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8.xml" ContentType="application/vnd.openxmlformats-officedocument.wordprocessingml.footer+xml"/>
  <Override PartName="/word/header4.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header7.xml" ContentType="application/vnd.openxmlformats-officedocument.wordprocessingml.header+xml"/>
  <Override PartName="/word/footer15.xml" ContentType="application/vnd.openxmlformats-officedocument.wordprocessingml.footer+xml"/>
  <Override PartName="/word/footer16.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header10.xml" ContentType="application/vnd.openxmlformats-officedocument.wordprocessingml.header+xml"/>
  <Override PartName="/word/footer33.xml" ContentType="application/vnd.openxmlformats-officedocument.wordprocessingml.footer+xml"/>
  <Override PartName="/word/footer34.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header13.xml" ContentType="application/vnd.openxmlformats-officedocument.wordprocessingml.header+xml"/>
  <Override PartName="/word/footer4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header16.xml" ContentType="application/vnd.openxmlformats-officedocument.wordprocessingml.header+xml"/>
  <Override PartName="/word/footer47.xml" ContentType="application/vnd.openxmlformats-officedocument.wordprocessingml.footer+xml"/>
  <Override PartName="/word/header17.xml" ContentType="application/vnd.openxmlformats-officedocument.wordprocessingml.header+xml"/>
  <Override PartName="/word/footer48.xml" ContentType="application/vnd.openxmlformats-officedocument.wordprocessingml.footer+xml"/>
  <Override PartName="/word/header18.xml" ContentType="application/vnd.openxmlformats-officedocument.wordprocessingml.header+xml"/>
  <Override PartName="/word/footer49.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21.xml" ContentType="application/vnd.openxmlformats-officedocument.wordprocessingml.header+xml"/>
  <Override PartName="/word/footer52.xml" ContentType="application/vnd.openxmlformats-officedocument.wordprocessingml.footer+xml"/>
  <Override PartName="/word/header22.xml" ContentType="application/vnd.openxmlformats-officedocument.wordprocessingml.header+xml"/>
  <Override PartName="/word/footer53.xml" ContentType="application/vnd.openxmlformats-officedocument.wordprocessingml.footer+xml"/>
  <Override PartName="/word/footer54.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55.xml" ContentType="application/vnd.openxmlformats-officedocument.wordprocessingml.footer+xml"/>
  <Override PartName="/word/header25.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footer58.xml" ContentType="application/vnd.openxmlformats-officedocument.wordprocessingml.footer+xml"/>
  <Override PartName="/word/header29.xml" ContentType="application/vnd.openxmlformats-officedocument.wordprocessingml.header+xml"/>
  <Override PartName="/word/footer59.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header32.xml" ContentType="application/vnd.openxmlformats-officedocument.wordprocessingml.header+xml"/>
  <Override PartName="/word/footer62.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footer63.xml" ContentType="application/vnd.openxmlformats-officedocument.wordprocessingml.footer+xml"/>
  <Override PartName="/word/footer64.xml" ContentType="application/vnd.openxmlformats-officedocument.wordprocessingml.footer+xml"/>
  <Override PartName="/word/header35.xml" ContentType="application/vnd.openxmlformats-officedocument.wordprocessingml.header+xml"/>
  <Override PartName="/word/footer65.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38.xml" ContentType="application/vnd.openxmlformats-officedocument.wordprocessingml.header+xml"/>
  <Override PartName="/word/footer68.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header41.xml" ContentType="application/vnd.openxmlformats-officedocument.wordprocessingml.header+xml"/>
  <Override PartName="/word/footer73.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header50.xml" ContentType="application/vnd.openxmlformats-officedocument.wordprocessingml.header+xml"/>
  <Override PartName="/word/footer92.xml" ContentType="application/vnd.openxmlformats-officedocument.wordprocessingml.footer+xml"/>
  <Override PartName="/word/header51.xml" ContentType="application/vnd.openxmlformats-officedocument.wordprocessingml.header+xml"/>
  <Override PartName="/word/footer93.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header54.xml" ContentType="application/vnd.openxmlformats-officedocument.wordprocessingml.header+xml"/>
  <Override PartName="/word/footer100.xml" ContentType="application/vnd.openxmlformats-officedocument.wordprocessingml.footer+xml"/>
  <Override PartName="/word/header55.xml" ContentType="application/vnd.openxmlformats-officedocument.wordprocessingml.header+xml"/>
  <Override PartName="/word/footer101.xml" ContentType="application/vnd.openxmlformats-officedocument.wordprocessingml.footer+xml"/>
  <Override PartName="/word/header56.xml" ContentType="application/vnd.openxmlformats-officedocument.wordprocessingml.header+xml"/>
  <Override PartName="/word/footer10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p>
    <w:p>
      <w:pPr>
        <w:spacing w:after="0"/>
        <w:rPr>
          <w:sz w:val="17"/>
        </w:rPr>
        <w:sectPr>
          <w:type w:val="continuous"/>
          <w:pgSz w:w="9640" w:h="13040"/>
          <w:pgMar w:top="1200" w:bottom="280" w:left="1340" w:right="1340"/>
        </w:sectPr>
      </w:pPr>
    </w:p>
    <w:p>
      <w:pPr>
        <w:pStyle w:val="BodyText"/>
        <w:spacing w:before="4"/>
        <w:rPr>
          <w:sz w:val="17"/>
        </w:rPr>
      </w:pPr>
    </w:p>
    <w:p>
      <w:pPr>
        <w:spacing w:after="0"/>
        <w:rPr>
          <w:sz w:val="17"/>
        </w:rPr>
        <w:sectPr>
          <w:pgSz w:w="9640" w:h="13040"/>
          <w:pgMar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2"/>
        <w:spacing w:line="261" w:lineRule="auto" w:before="177"/>
        <w:ind w:left="555" w:right="383" w:firstLine="39"/>
        <w:jc w:val="both"/>
      </w:pPr>
      <w:r>
        <w:rPr>
          <w:color w:val="231F20"/>
          <w:spacing w:val="-5"/>
          <w:w w:val="120"/>
        </w:rPr>
        <w:t>Evolución,</w:t>
      </w:r>
      <w:r>
        <w:rPr>
          <w:color w:val="231F20"/>
          <w:spacing w:val="-68"/>
          <w:w w:val="120"/>
        </w:rPr>
        <w:t> </w:t>
      </w:r>
      <w:r>
        <w:rPr>
          <w:color w:val="231F20"/>
          <w:w w:val="120"/>
        </w:rPr>
        <w:t>condiciones</w:t>
      </w:r>
      <w:r>
        <w:rPr>
          <w:color w:val="231F20"/>
          <w:spacing w:val="-68"/>
          <w:w w:val="120"/>
        </w:rPr>
        <w:t> </w:t>
      </w:r>
      <w:r>
        <w:rPr>
          <w:color w:val="231F20"/>
          <w:spacing w:val="-4"/>
          <w:w w:val="120"/>
        </w:rPr>
        <w:t>actuales </w:t>
      </w:r>
      <w:r>
        <w:rPr>
          <w:color w:val="231F20"/>
          <w:w w:val="120"/>
        </w:rPr>
        <w:t>y </w:t>
      </w:r>
      <w:r>
        <w:rPr>
          <w:color w:val="231F20"/>
          <w:spacing w:val="-3"/>
          <w:w w:val="120"/>
        </w:rPr>
        <w:t>retos </w:t>
      </w:r>
      <w:r>
        <w:rPr>
          <w:color w:val="231F20"/>
          <w:w w:val="120"/>
        </w:rPr>
        <w:t>del sector </w:t>
      </w:r>
      <w:r>
        <w:rPr>
          <w:color w:val="231F20"/>
          <w:spacing w:val="-4"/>
          <w:w w:val="120"/>
        </w:rPr>
        <w:t>automotriz </w:t>
      </w:r>
      <w:r>
        <w:rPr>
          <w:color w:val="231F20"/>
          <w:w w:val="120"/>
        </w:rPr>
        <w:t>en México</w:t>
      </w:r>
      <w:r>
        <w:rPr>
          <w:color w:val="231F20"/>
          <w:spacing w:val="-87"/>
          <w:w w:val="120"/>
        </w:rPr>
        <w:t> </w:t>
      </w:r>
      <w:r>
        <w:rPr>
          <w:color w:val="231F20"/>
          <w:w w:val="120"/>
        </w:rPr>
        <w:t>y</w:t>
      </w:r>
      <w:r>
        <w:rPr>
          <w:color w:val="231F20"/>
          <w:spacing w:val="-87"/>
          <w:w w:val="120"/>
        </w:rPr>
        <w:t> </w:t>
      </w:r>
      <w:r>
        <w:rPr>
          <w:color w:val="231F20"/>
          <w:w w:val="120"/>
        </w:rPr>
        <w:t>en</w:t>
      </w:r>
      <w:r>
        <w:rPr>
          <w:color w:val="231F20"/>
          <w:spacing w:val="-87"/>
          <w:w w:val="120"/>
        </w:rPr>
        <w:t> </w:t>
      </w:r>
      <w:r>
        <w:rPr>
          <w:color w:val="231F20"/>
          <w:w w:val="120"/>
        </w:rPr>
        <w:t>el</w:t>
      </w:r>
      <w:r>
        <w:rPr>
          <w:color w:val="231F20"/>
          <w:spacing w:val="-87"/>
          <w:w w:val="120"/>
        </w:rPr>
        <w:t> </w:t>
      </w:r>
      <w:r>
        <w:rPr>
          <w:color w:val="231F20"/>
          <w:spacing w:val="-3"/>
          <w:w w:val="120"/>
        </w:rPr>
        <w:t>Estado</w:t>
      </w:r>
      <w:r>
        <w:rPr>
          <w:color w:val="231F20"/>
          <w:spacing w:val="-87"/>
          <w:w w:val="120"/>
        </w:rPr>
        <w:t> </w:t>
      </w:r>
      <w:r>
        <w:rPr>
          <w:color w:val="231F20"/>
          <w:w w:val="120"/>
        </w:rPr>
        <w:t>de</w:t>
      </w:r>
      <w:r>
        <w:rPr>
          <w:color w:val="231F20"/>
          <w:spacing w:val="-87"/>
          <w:w w:val="120"/>
        </w:rPr>
        <w:t> </w:t>
      </w:r>
      <w:r>
        <w:rPr>
          <w:color w:val="231F20"/>
          <w:w w:val="120"/>
        </w:rPr>
        <w:t>México</w:t>
      </w:r>
    </w:p>
    <w:p>
      <w:pPr>
        <w:spacing w:after="0" w:line="261" w:lineRule="auto"/>
        <w:jc w:val="both"/>
        <w:sectPr>
          <w:pgSz w:w="9640" w:h="13040"/>
          <w:pgMar w:top="1200" w:bottom="280" w:left="1340" w:right="1340"/>
        </w:sectPr>
      </w:pPr>
    </w:p>
    <w:p>
      <w:pPr>
        <w:pStyle w:val="BodyText"/>
        <w:spacing w:before="4"/>
        <w:rPr>
          <w:sz w:val="17"/>
        </w:rPr>
      </w:pPr>
    </w:p>
    <w:p>
      <w:pPr>
        <w:spacing w:after="0"/>
        <w:rPr>
          <w:sz w:val="17"/>
        </w:rPr>
        <w:sectPr>
          <w:pgSz w:w="9640" w:h="13040"/>
          <w:pgMar w:top="1200" w:bottom="280" w:left="1340" w:right="1340"/>
        </w:sectPr>
      </w:pPr>
    </w:p>
    <w:p>
      <w:pPr>
        <w:pStyle w:val="BodyText"/>
        <w:rPr>
          <w:sz w:val="20"/>
        </w:rPr>
      </w:pPr>
      <w:r>
        <w:rPr/>
        <w:drawing>
          <wp:anchor distT="0" distB="0" distL="0" distR="0" allowOverlap="1" layoutInCell="1" locked="0" behindDoc="0" simplePos="0" relativeHeight="0">
            <wp:simplePos x="0" y="0"/>
            <wp:positionH relativeFrom="page">
              <wp:posOffset>2448677</wp:posOffset>
            </wp:positionH>
            <wp:positionV relativeFrom="page">
              <wp:posOffset>6366616</wp:posOffset>
            </wp:positionV>
            <wp:extent cx="415207" cy="538162"/>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415207" cy="538162"/>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909960</wp:posOffset>
            </wp:positionH>
            <wp:positionV relativeFrom="page">
              <wp:posOffset>6759576</wp:posOffset>
            </wp:positionV>
            <wp:extent cx="499550" cy="128587"/>
            <wp:effectExtent l="0" t="0" r="0" b="0"/>
            <wp:wrapNone/>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499550" cy="128587"/>
                    </a:xfrm>
                    <a:prstGeom prst="rect">
                      <a:avLst/>
                    </a:prstGeom>
                  </pic:spPr>
                </pic:pic>
              </a:graphicData>
            </a:graphic>
          </wp:anchor>
        </w:drawing>
      </w:r>
      <w:r>
        <w:rPr/>
        <w:drawing>
          <wp:anchor distT="0" distB="0" distL="0" distR="0" allowOverlap="1" layoutInCell="1" locked="0" behindDoc="0" simplePos="0" relativeHeight="1072">
            <wp:simplePos x="0" y="0"/>
            <wp:positionH relativeFrom="page">
              <wp:posOffset>1521279</wp:posOffset>
            </wp:positionH>
            <wp:positionV relativeFrom="page">
              <wp:posOffset>6761560</wp:posOffset>
            </wp:positionV>
            <wp:extent cx="599370" cy="114300"/>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599370" cy="114300"/>
                    </a:xfrm>
                    <a:prstGeom prst="rect">
                      <a:avLst/>
                    </a:prstGeom>
                  </pic:spPr>
                </pic:pic>
              </a:graphicData>
            </a:graphic>
          </wp:anchor>
        </w:drawing>
      </w:r>
      <w:r>
        <w:rPr/>
        <w:pict>
          <v:line style="position:absolute;mso-position-horizontal-relative:page;mso-position-vertical-relative:page;z-index:1096" from="115.378502pt,529.721008pt" to="115.378502pt,544.910008pt" stroked="true" strokeweight=".285pt" strokecolor="#231f20">
            <w10:wrap type="none"/>
          </v:line>
        </w:pict>
      </w:r>
      <w:r>
        <w:rPr/>
        <w:pict>
          <v:group style="position:absolute;margin-left:104.849098pt;margin-top:500.013885pt;width:28.75pt;height:25.3pt;mso-position-horizontal-relative:page;mso-position-vertical-relative:page;z-index:1120" coordorigin="2097,10000" coordsize="575,506">
            <v:shape style="position:absolute;left:2136;top:10013;width:497;height:79" type="#_x0000_t75" stroked="false">
              <v:imagedata r:id="rId8" o:title=""/>
            </v:shape>
            <v:shape style="position:absolute;left:2232;top:10113;width:300;height:283" type="#_x0000_t75" stroked="false">
              <v:imagedata r:id="rId9" o:title=""/>
            </v:shape>
            <v:shape style="position:absolute;left:2097;top:10000;width:574;height:506" type="#_x0000_t75" stroked="false">
              <v:imagedata r:id="rId10" o:title=""/>
            </v:shape>
            <w10:wrap type="none"/>
          </v:group>
        </w:pict>
      </w:r>
      <w:r>
        <w:rPr/>
        <w:drawing>
          <wp:anchor distT="0" distB="0" distL="0" distR="0" allowOverlap="1" layoutInCell="1" locked="0" behindDoc="0" simplePos="0" relativeHeight="1144">
            <wp:simplePos x="0" y="0"/>
            <wp:positionH relativeFrom="page">
              <wp:posOffset>3174265</wp:posOffset>
            </wp:positionH>
            <wp:positionV relativeFrom="page">
              <wp:posOffset>6507077</wp:posOffset>
            </wp:positionV>
            <wp:extent cx="706953" cy="300037"/>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11" cstate="print"/>
                    <a:stretch>
                      <a:fillRect/>
                    </a:stretch>
                  </pic:blipFill>
                  <pic:spPr>
                    <a:xfrm>
                      <a:off x="0" y="0"/>
                      <a:ext cx="706953" cy="300037"/>
                    </a:xfrm>
                    <a:prstGeom prst="rect">
                      <a:avLst/>
                    </a:prstGeom>
                  </pic:spPr>
                </pic:pic>
              </a:graphicData>
            </a:graphic>
          </wp:anchor>
        </w:drawing>
      </w:r>
      <w:r>
        <w:rPr/>
        <w:drawing>
          <wp:anchor distT="0" distB="0" distL="0" distR="0" allowOverlap="1" layoutInCell="1" locked="0" behindDoc="0" simplePos="0" relativeHeight="1168">
            <wp:simplePos x="0" y="0"/>
            <wp:positionH relativeFrom="page">
              <wp:posOffset>4164067</wp:posOffset>
            </wp:positionH>
            <wp:positionV relativeFrom="page">
              <wp:posOffset>6402616</wp:posOffset>
            </wp:positionV>
            <wp:extent cx="1172527" cy="490728"/>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12" cstate="print"/>
                    <a:stretch>
                      <a:fillRect/>
                    </a:stretch>
                  </pic:blipFill>
                  <pic:spPr>
                    <a:xfrm>
                      <a:off x="0" y="0"/>
                      <a:ext cx="1172527" cy="490728"/>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61" w:lineRule="auto" w:before="177"/>
        <w:ind w:left="575" w:right="583" w:firstLine="39"/>
        <w:jc w:val="both"/>
        <w:rPr>
          <w:sz w:val="40"/>
        </w:rPr>
      </w:pPr>
      <w:r>
        <w:rPr>
          <w:color w:val="231F20"/>
          <w:spacing w:val="-5"/>
          <w:w w:val="120"/>
          <w:sz w:val="40"/>
        </w:rPr>
        <w:t>Evolución,</w:t>
      </w:r>
      <w:r>
        <w:rPr>
          <w:color w:val="231F20"/>
          <w:spacing w:val="-68"/>
          <w:w w:val="120"/>
          <w:sz w:val="40"/>
        </w:rPr>
        <w:t> </w:t>
      </w:r>
      <w:r>
        <w:rPr>
          <w:color w:val="231F20"/>
          <w:w w:val="120"/>
          <w:sz w:val="40"/>
        </w:rPr>
        <w:t>condiciones</w:t>
      </w:r>
      <w:r>
        <w:rPr>
          <w:color w:val="231F20"/>
          <w:spacing w:val="-68"/>
          <w:w w:val="120"/>
          <w:sz w:val="40"/>
        </w:rPr>
        <w:t> </w:t>
      </w:r>
      <w:r>
        <w:rPr>
          <w:color w:val="231F20"/>
          <w:spacing w:val="-4"/>
          <w:w w:val="120"/>
          <w:sz w:val="40"/>
        </w:rPr>
        <w:t>actuales </w:t>
      </w:r>
      <w:r>
        <w:rPr>
          <w:color w:val="231F20"/>
          <w:w w:val="120"/>
          <w:sz w:val="40"/>
        </w:rPr>
        <w:t>y </w:t>
      </w:r>
      <w:r>
        <w:rPr>
          <w:color w:val="231F20"/>
          <w:spacing w:val="-3"/>
          <w:w w:val="120"/>
          <w:sz w:val="40"/>
        </w:rPr>
        <w:t>retos </w:t>
      </w:r>
      <w:r>
        <w:rPr>
          <w:color w:val="231F20"/>
          <w:w w:val="120"/>
          <w:sz w:val="40"/>
        </w:rPr>
        <w:t>del sector </w:t>
      </w:r>
      <w:r>
        <w:rPr>
          <w:color w:val="231F20"/>
          <w:spacing w:val="-4"/>
          <w:w w:val="120"/>
          <w:sz w:val="40"/>
        </w:rPr>
        <w:t>automotriz </w:t>
      </w:r>
      <w:r>
        <w:rPr>
          <w:color w:val="231F20"/>
          <w:w w:val="120"/>
          <w:sz w:val="40"/>
        </w:rPr>
        <w:t>en México</w:t>
      </w:r>
      <w:r>
        <w:rPr>
          <w:color w:val="231F20"/>
          <w:spacing w:val="-87"/>
          <w:w w:val="120"/>
          <w:sz w:val="40"/>
        </w:rPr>
        <w:t> </w:t>
      </w:r>
      <w:r>
        <w:rPr>
          <w:color w:val="231F20"/>
          <w:w w:val="120"/>
          <w:sz w:val="40"/>
        </w:rPr>
        <w:t>y</w:t>
      </w:r>
      <w:r>
        <w:rPr>
          <w:color w:val="231F20"/>
          <w:spacing w:val="-87"/>
          <w:w w:val="120"/>
          <w:sz w:val="40"/>
        </w:rPr>
        <w:t> </w:t>
      </w:r>
      <w:r>
        <w:rPr>
          <w:color w:val="231F20"/>
          <w:w w:val="120"/>
          <w:sz w:val="40"/>
        </w:rPr>
        <w:t>en</w:t>
      </w:r>
      <w:r>
        <w:rPr>
          <w:color w:val="231F20"/>
          <w:spacing w:val="-87"/>
          <w:w w:val="120"/>
          <w:sz w:val="40"/>
        </w:rPr>
        <w:t> </w:t>
      </w:r>
      <w:r>
        <w:rPr>
          <w:color w:val="231F20"/>
          <w:w w:val="120"/>
          <w:sz w:val="40"/>
        </w:rPr>
        <w:t>el</w:t>
      </w:r>
      <w:r>
        <w:rPr>
          <w:color w:val="231F20"/>
          <w:spacing w:val="-87"/>
          <w:w w:val="120"/>
          <w:sz w:val="40"/>
        </w:rPr>
        <w:t> </w:t>
      </w:r>
      <w:r>
        <w:rPr>
          <w:color w:val="231F20"/>
          <w:spacing w:val="-3"/>
          <w:w w:val="120"/>
          <w:sz w:val="40"/>
        </w:rPr>
        <w:t>Estado</w:t>
      </w:r>
      <w:r>
        <w:rPr>
          <w:color w:val="231F20"/>
          <w:spacing w:val="-87"/>
          <w:w w:val="120"/>
          <w:sz w:val="40"/>
        </w:rPr>
        <w:t> </w:t>
      </w:r>
      <w:r>
        <w:rPr>
          <w:color w:val="231F20"/>
          <w:w w:val="120"/>
          <w:sz w:val="40"/>
        </w:rPr>
        <w:t>de</w:t>
      </w:r>
      <w:r>
        <w:rPr>
          <w:color w:val="231F20"/>
          <w:spacing w:val="-87"/>
          <w:w w:val="120"/>
          <w:sz w:val="40"/>
        </w:rPr>
        <w:t> </w:t>
      </w:r>
      <w:r>
        <w:rPr>
          <w:color w:val="231F20"/>
          <w:w w:val="120"/>
          <w:sz w:val="40"/>
        </w:rPr>
        <w:t>México</w:t>
      </w:r>
    </w:p>
    <w:p>
      <w:pPr>
        <w:pStyle w:val="BodyText"/>
        <w:rPr>
          <w:sz w:val="40"/>
        </w:rPr>
      </w:pPr>
    </w:p>
    <w:p>
      <w:pPr>
        <w:pStyle w:val="BodyText"/>
        <w:spacing w:before="3"/>
        <w:rPr>
          <w:sz w:val="44"/>
        </w:rPr>
      </w:pPr>
    </w:p>
    <w:p>
      <w:pPr>
        <w:spacing w:before="0"/>
        <w:ind w:left="1953" w:right="0" w:firstLine="0"/>
        <w:jc w:val="left"/>
        <w:rPr>
          <w:rFonts w:ascii="Palatino Linotype" w:hAnsi="Palatino Linotype"/>
          <w:b/>
          <w:sz w:val="30"/>
        </w:rPr>
      </w:pPr>
      <w:r>
        <w:rPr>
          <w:rFonts w:ascii="Palatino Linotype" w:hAnsi="Palatino Linotype"/>
          <w:b/>
          <w:color w:val="231F20"/>
          <w:w w:val="95"/>
          <w:sz w:val="30"/>
        </w:rPr>
        <w:t>Yolanda Carbajal Suárez</w:t>
      </w:r>
    </w:p>
    <w:p>
      <w:pPr>
        <w:spacing w:after="0"/>
        <w:jc w:val="left"/>
        <w:rPr>
          <w:rFonts w:ascii="Palatino Linotype" w:hAnsi="Palatino Linotype"/>
          <w:sz w:val="30"/>
        </w:rPr>
        <w:sectPr>
          <w:pgSz w:w="9640" w:h="13040"/>
          <w:pgMar w:top="1200" w:bottom="280" w:left="1320" w:right="1140"/>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5"/>
        <w:rPr>
          <w:rFonts w:ascii="Palatino Linotype"/>
          <w:b/>
          <w:sz w:val="15"/>
        </w:rPr>
      </w:pPr>
    </w:p>
    <w:p>
      <w:pPr>
        <w:spacing w:line="290" w:lineRule="auto" w:before="64"/>
        <w:ind w:left="100" w:right="1192" w:firstLine="0"/>
        <w:jc w:val="left"/>
        <w:rPr>
          <w:sz w:val="18"/>
        </w:rPr>
      </w:pPr>
      <w:r>
        <w:rPr>
          <w:color w:val="231F20"/>
          <w:sz w:val="18"/>
        </w:rPr>
        <w:t>La autora es investigadora integrante de la Red Temática Conacyt Innovación y Trabajo de la Industria Automotriz Mexicana (Red ITIAM).</w:t>
      </w:r>
    </w:p>
    <w:p>
      <w:pPr>
        <w:pStyle w:val="BodyText"/>
        <w:rPr>
          <w:sz w:val="18"/>
        </w:rPr>
      </w:pPr>
    </w:p>
    <w:p>
      <w:pPr>
        <w:pStyle w:val="BodyText"/>
        <w:rPr>
          <w:sz w:val="18"/>
        </w:rPr>
      </w:pPr>
    </w:p>
    <w:p>
      <w:pPr>
        <w:spacing w:before="106"/>
        <w:ind w:left="100" w:right="0" w:firstLine="0"/>
        <w:jc w:val="left"/>
        <w:rPr>
          <w:sz w:val="16"/>
        </w:rPr>
      </w:pPr>
      <w:r>
        <w:rPr>
          <w:color w:val="231F20"/>
          <w:w w:val="125"/>
          <w:sz w:val="16"/>
        </w:rPr>
        <w:t>La presente investigación fue sometida a dictamen en el sistema de pares ciegos.</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pPr>
    </w:p>
    <w:p>
      <w:pPr>
        <w:spacing w:line="247" w:lineRule="auto" w:before="0"/>
        <w:ind w:left="100" w:right="1192" w:firstLine="0"/>
        <w:jc w:val="left"/>
        <w:rPr>
          <w:sz w:val="22"/>
        </w:rPr>
      </w:pPr>
      <w:r>
        <w:rPr>
          <w:color w:val="231F20"/>
          <w:w w:val="120"/>
          <w:sz w:val="22"/>
        </w:rPr>
        <w:t>Evolución, condiciones actuales y retos del sector automotriz en México y en el Estado de México</w:t>
      </w:r>
    </w:p>
    <w:p>
      <w:pPr>
        <w:pStyle w:val="BodyText"/>
        <w:spacing w:before="1"/>
        <w:rPr>
          <w:sz w:val="24"/>
        </w:rPr>
      </w:pPr>
    </w:p>
    <w:p>
      <w:pPr>
        <w:spacing w:before="0"/>
        <w:ind w:left="100" w:right="1192" w:firstLine="0"/>
        <w:jc w:val="left"/>
        <w:rPr>
          <w:sz w:val="18"/>
        </w:rPr>
      </w:pPr>
      <w:r>
        <w:rPr>
          <w:color w:val="231F20"/>
          <w:sz w:val="18"/>
        </w:rPr>
        <w:t>Primera edición, 2015</w:t>
      </w:r>
    </w:p>
    <w:p>
      <w:pPr>
        <w:pStyle w:val="BodyText"/>
        <w:spacing w:before="5"/>
        <w:rPr>
          <w:sz w:val="25"/>
        </w:rPr>
      </w:pPr>
    </w:p>
    <w:p>
      <w:pPr>
        <w:spacing w:before="0"/>
        <w:ind w:left="100" w:right="1192" w:firstLine="0"/>
        <w:jc w:val="left"/>
        <w:rPr>
          <w:sz w:val="18"/>
        </w:rPr>
      </w:pPr>
      <w:r>
        <w:rPr>
          <w:color w:val="231F20"/>
          <w:sz w:val="18"/>
        </w:rPr>
        <w:t>D.R. © Universidad Autónoma del Estado de México</w:t>
      </w:r>
    </w:p>
    <w:p>
      <w:pPr>
        <w:pStyle w:val="BodyText"/>
        <w:spacing w:before="5"/>
        <w:rPr>
          <w:sz w:val="25"/>
        </w:rPr>
      </w:pPr>
    </w:p>
    <w:p>
      <w:pPr>
        <w:spacing w:line="290" w:lineRule="auto" w:before="0"/>
        <w:ind w:left="100" w:right="1192" w:firstLine="0"/>
        <w:jc w:val="left"/>
        <w:rPr>
          <w:sz w:val="18"/>
        </w:rPr>
      </w:pPr>
      <w:r>
        <w:rPr>
          <w:color w:val="231F20"/>
          <w:sz w:val="18"/>
        </w:rPr>
        <w:t>Diseño y diagramación: Bonobos Editores S. de R.L. de C.V. </w:t>
      </w:r>
      <w:hyperlink r:id="rId13">
        <w:r>
          <w:rPr>
            <w:color w:val="231F20"/>
            <w:sz w:val="18"/>
          </w:rPr>
          <w:t>www.serviciosbonobos.com.mx</w:t>
        </w:r>
      </w:hyperlink>
    </w:p>
    <w:p>
      <w:pPr>
        <w:pStyle w:val="BodyText"/>
        <w:spacing w:before="9"/>
      </w:pPr>
    </w:p>
    <w:p>
      <w:pPr>
        <w:spacing w:before="0"/>
        <w:ind w:left="100" w:right="1192" w:firstLine="0"/>
        <w:jc w:val="left"/>
        <w:rPr>
          <w:sz w:val="18"/>
        </w:rPr>
      </w:pPr>
      <w:r>
        <w:rPr>
          <w:color w:val="231F20"/>
          <w:sz w:val="18"/>
        </w:rPr>
        <w:t>isbn 978-607-422-664-5</w:t>
      </w:r>
    </w:p>
    <w:p>
      <w:pPr>
        <w:pStyle w:val="BodyText"/>
        <w:spacing w:before="5"/>
        <w:rPr>
          <w:sz w:val="25"/>
        </w:rPr>
      </w:pPr>
    </w:p>
    <w:p>
      <w:pPr>
        <w:spacing w:line="278" w:lineRule="auto" w:before="0"/>
        <w:ind w:left="100" w:right="478" w:firstLine="0"/>
        <w:jc w:val="left"/>
        <w:rPr>
          <w:rFonts w:ascii="Palatino Linotype"/>
          <w:i/>
          <w:sz w:val="16"/>
        </w:rPr>
      </w:pPr>
      <w:r>
        <w:rPr>
          <w:rFonts w:ascii="Palatino Linotype"/>
          <w:i/>
          <w:color w:val="231F20"/>
          <w:w w:val="125"/>
          <w:sz w:val="16"/>
        </w:rPr>
        <w:t>El</w:t>
      </w:r>
      <w:r>
        <w:rPr>
          <w:rFonts w:ascii="Palatino Linotype"/>
          <w:i/>
          <w:color w:val="231F20"/>
          <w:spacing w:val="-14"/>
          <w:w w:val="125"/>
          <w:sz w:val="16"/>
        </w:rPr>
        <w:t> </w:t>
      </w:r>
      <w:r>
        <w:rPr>
          <w:rFonts w:ascii="Palatino Linotype"/>
          <w:i/>
          <w:color w:val="231F20"/>
          <w:w w:val="125"/>
          <w:sz w:val="16"/>
        </w:rPr>
        <w:t>contenido</w:t>
      </w:r>
      <w:r>
        <w:rPr>
          <w:rFonts w:ascii="Palatino Linotype"/>
          <w:i/>
          <w:color w:val="231F20"/>
          <w:spacing w:val="-14"/>
          <w:w w:val="125"/>
          <w:sz w:val="16"/>
        </w:rPr>
        <w:t> </w:t>
      </w:r>
      <w:r>
        <w:rPr>
          <w:rFonts w:ascii="Palatino Linotype"/>
          <w:i/>
          <w:color w:val="231F20"/>
          <w:w w:val="125"/>
          <w:sz w:val="16"/>
        </w:rPr>
        <w:t>de</w:t>
      </w:r>
      <w:r>
        <w:rPr>
          <w:rFonts w:ascii="Palatino Linotype"/>
          <w:i/>
          <w:color w:val="231F20"/>
          <w:spacing w:val="-14"/>
          <w:w w:val="125"/>
          <w:sz w:val="16"/>
        </w:rPr>
        <w:t> </w:t>
      </w:r>
      <w:r>
        <w:rPr>
          <w:rFonts w:ascii="Palatino Linotype"/>
          <w:i/>
          <w:color w:val="231F20"/>
          <w:w w:val="125"/>
          <w:sz w:val="16"/>
        </w:rPr>
        <w:t>cada</w:t>
      </w:r>
      <w:r>
        <w:rPr>
          <w:rFonts w:ascii="Palatino Linotype"/>
          <w:i/>
          <w:color w:val="231F20"/>
          <w:spacing w:val="-14"/>
          <w:w w:val="125"/>
          <w:sz w:val="16"/>
        </w:rPr>
        <w:t> </w:t>
      </w:r>
      <w:r>
        <w:rPr>
          <w:rFonts w:ascii="Palatino Linotype"/>
          <w:i/>
          <w:color w:val="231F20"/>
          <w:w w:val="125"/>
          <w:sz w:val="16"/>
        </w:rPr>
        <w:t>uno</w:t>
      </w:r>
      <w:r>
        <w:rPr>
          <w:rFonts w:ascii="Palatino Linotype"/>
          <w:i/>
          <w:color w:val="231F20"/>
          <w:spacing w:val="-14"/>
          <w:w w:val="125"/>
          <w:sz w:val="16"/>
        </w:rPr>
        <w:t> </w:t>
      </w:r>
      <w:r>
        <w:rPr>
          <w:rFonts w:ascii="Palatino Linotype"/>
          <w:i/>
          <w:color w:val="231F20"/>
          <w:w w:val="125"/>
          <w:sz w:val="16"/>
        </w:rPr>
        <w:t>de</w:t>
      </w:r>
      <w:r>
        <w:rPr>
          <w:rFonts w:ascii="Palatino Linotype"/>
          <w:i/>
          <w:color w:val="231F20"/>
          <w:spacing w:val="-14"/>
          <w:w w:val="125"/>
          <w:sz w:val="16"/>
        </w:rPr>
        <w:t> </w:t>
      </w:r>
      <w:r>
        <w:rPr>
          <w:rFonts w:ascii="Palatino Linotype"/>
          <w:i/>
          <w:color w:val="231F20"/>
          <w:w w:val="125"/>
          <w:sz w:val="16"/>
        </w:rPr>
        <w:t>los</w:t>
      </w:r>
      <w:r>
        <w:rPr>
          <w:rFonts w:ascii="Palatino Linotype"/>
          <w:i/>
          <w:color w:val="231F20"/>
          <w:spacing w:val="-14"/>
          <w:w w:val="125"/>
          <w:sz w:val="16"/>
        </w:rPr>
        <w:t> </w:t>
      </w:r>
      <w:r>
        <w:rPr>
          <w:rFonts w:ascii="Palatino Linotype"/>
          <w:i/>
          <w:color w:val="231F20"/>
          <w:w w:val="125"/>
          <w:sz w:val="16"/>
        </w:rPr>
        <w:t>apartados</w:t>
      </w:r>
      <w:r>
        <w:rPr>
          <w:rFonts w:ascii="Palatino Linotype"/>
          <w:i/>
          <w:color w:val="231F20"/>
          <w:spacing w:val="-14"/>
          <w:w w:val="125"/>
          <w:sz w:val="16"/>
        </w:rPr>
        <w:t> </w:t>
      </w:r>
      <w:r>
        <w:rPr>
          <w:rFonts w:ascii="Palatino Linotype"/>
          <w:i/>
          <w:color w:val="231F20"/>
          <w:w w:val="125"/>
          <w:sz w:val="16"/>
        </w:rPr>
        <w:t>de</w:t>
      </w:r>
      <w:r>
        <w:rPr>
          <w:rFonts w:ascii="Palatino Linotype"/>
          <w:i/>
          <w:color w:val="231F20"/>
          <w:spacing w:val="-14"/>
          <w:w w:val="125"/>
          <w:sz w:val="16"/>
        </w:rPr>
        <w:t> </w:t>
      </w:r>
      <w:r>
        <w:rPr>
          <w:rFonts w:ascii="Palatino Linotype"/>
          <w:i/>
          <w:color w:val="231F20"/>
          <w:w w:val="125"/>
          <w:sz w:val="16"/>
        </w:rPr>
        <w:t>este</w:t>
      </w:r>
      <w:r>
        <w:rPr>
          <w:rFonts w:ascii="Palatino Linotype"/>
          <w:i/>
          <w:color w:val="231F20"/>
          <w:spacing w:val="-14"/>
          <w:w w:val="125"/>
          <w:sz w:val="16"/>
        </w:rPr>
        <w:t> </w:t>
      </w:r>
      <w:r>
        <w:rPr>
          <w:rFonts w:ascii="Palatino Linotype"/>
          <w:i/>
          <w:color w:val="231F20"/>
          <w:spacing w:val="-3"/>
          <w:w w:val="125"/>
          <w:sz w:val="16"/>
        </w:rPr>
        <w:t>libro</w:t>
      </w:r>
      <w:r>
        <w:rPr>
          <w:rFonts w:ascii="Palatino Linotype"/>
          <w:i/>
          <w:color w:val="231F20"/>
          <w:spacing w:val="-14"/>
          <w:w w:val="125"/>
          <w:sz w:val="16"/>
        </w:rPr>
        <w:t> </w:t>
      </w:r>
      <w:r>
        <w:rPr>
          <w:rFonts w:ascii="Palatino Linotype"/>
          <w:i/>
          <w:color w:val="231F20"/>
          <w:w w:val="125"/>
          <w:sz w:val="16"/>
        </w:rPr>
        <w:t>es</w:t>
      </w:r>
      <w:r>
        <w:rPr>
          <w:rFonts w:ascii="Palatino Linotype"/>
          <w:i/>
          <w:color w:val="231F20"/>
          <w:spacing w:val="-14"/>
          <w:w w:val="125"/>
          <w:sz w:val="16"/>
        </w:rPr>
        <w:t> </w:t>
      </w:r>
      <w:r>
        <w:rPr>
          <w:rFonts w:ascii="Palatino Linotype"/>
          <w:i/>
          <w:color w:val="231F20"/>
          <w:w w:val="125"/>
          <w:sz w:val="16"/>
        </w:rPr>
        <w:t>responsabilidad </w:t>
      </w:r>
      <w:r>
        <w:rPr>
          <w:rFonts w:ascii="Palatino Linotype"/>
          <w:i/>
          <w:color w:val="231F20"/>
          <w:w w:val="125"/>
          <w:sz w:val="16"/>
        </w:rPr>
        <w:t>exclusiva</w:t>
      </w:r>
      <w:r>
        <w:rPr>
          <w:rFonts w:ascii="Palatino Linotype"/>
          <w:i/>
          <w:color w:val="231F20"/>
          <w:spacing w:val="-35"/>
          <w:w w:val="125"/>
          <w:sz w:val="16"/>
        </w:rPr>
        <w:t> </w:t>
      </w:r>
      <w:r>
        <w:rPr>
          <w:rFonts w:ascii="Palatino Linotype"/>
          <w:i/>
          <w:color w:val="231F20"/>
          <w:w w:val="125"/>
          <w:sz w:val="16"/>
        </w:rPr>
        <w:t>de</w:t>
      </w:r>
      <w:r>
        <w:rPr>
          <w:rFonts w:ascii="Palatino Linotype"/>
          <w:i/>
          <w:color w:val="231F20"/>
          <w:spacing w:val="-35"/>
          <w:w w:val="125"/>
          <w:sz w:val="16"/>
        </w:rPr>
        <w:t> </w:t>
      </w:r>
      <w:r>
        <w:rPr>
          <w:rFonts w:ascii="Palatino Linotype"/>
          <w:i/>
          <w:color w:val="231F20"/>
          <w:w w:val="125"/>
          <w:sz w:val="16"/>
        </w:rPr>
        <w:t>su(s)</w:t>
      </w:r>
      <w:r>
        <w:rPr>
          <w:rFonts w:ascii="Palatino Linotype"/>
          <w:i/>
          <w:color w:val="231F20"/>
          <w:spacing w:val="-35"/>
          <w:w w:val="125"/>
          <w:sz w:val="16"/>
        </w:rPr>
        <w:t> </w:t>
      </w:r>
      <w:r>
        <w:rPr>
          <w:rFonts w:ascii="Palatino Linotype"/>
          <w:i/>
          <w:color w:val="231F20"/>
          <w:w w:val="125"/>
          <w:sz w:val="16"/>
        </w:rPr>
        <w:t>autor(es).</w:t>
      </w:r>
    </w:p>
    <w:p>
      <w:pPr>
        <w:pStyle w:val="BodyText"/>
        <w:rPr>
          <w:rFonts w:ascii="Palatino Linotype"/>
          <w:i/>
          <w:sz w:val="16"/>
        </w:rPr>
      </w:pPr>
    </w:p>
    <w:p>
      <w:pPr>
        <w:pStyle w:val="BodyText"/>
        <w:rPr>
          <w:rFonts w:ascii="Palatino Linotype"/>
          <w:i/>
        </w:rPr>
      </w:pPr>
    </w:p>
    <w:p>
      <w:pPr>
        <w:spacing w:before="0"/>
        <w:ind w:left="100" w:right="1192" w:firstLine="0"/>
        <w:jc w:val="left"/>
        <w:rPr>
          <w:rFonts w:ascii="Palatino Linotype" w:hAnsi="Palatino Linotype"/>
          <w:i/>
          <w:sz w:val="16"/>
        </w:rPr>
      </w:pPr>
      <w:r>
        <w:rPr>
          <w:rFonts w:ascii="Palatino Linotype" w:hAnsi="Palatino Linotype"/>
          <w:i/>
          <w:color w:val="231F20"/>
          <w:w w:val="125"/>
          <w:sz w:val="16"/>
        </w:rPr>
        <w:t>Prohibida la reproducción total o parcial por cualquier medio</w:t>
      </w:r>
    </w:p>
    <w:p>
      <w:pPr>
        <w:spacing w:line="556" w:lineRule="auto" w:before="34"/>
        <w:ind w:left="100" w:right="1280" w:firstLine="0"/>
        <w:jc w:val="left"/>
        <w:rPr>
          <w:rFonts w:ascii="Palatino Linotype" w:hAnsi="Palatino Linotype"/>
          <w:i/>
          <w:sz w:val="16"/>
        </w:rPr>
      </w:pPr>
      <w:r>
        <w:rPr>
          <w:rFonts w:ascii="Palatino Linotype" w:hAnsi="Palatino Linotype"/>
          <w:i/>
          <w:color w:val="231F20"/>
          <w:w w:val="120"/>
          <w:sz w:val="16"/>
        </w:rPr>
        <w:t>sin la autorización escrita del titular de los derechos patrimoniales. </w:t>
      </w:r>
      <w:r>
        <w:rPr>
          <w:rFonts w:ascii="Palatino Linotype" w:hAnsi="Palatino Linotype"/>
          <w:i/>
          <w:color w:val="231F20"/>
          <w:w w:val="120"/>
          <w:sz w:val="16"/>
        </w:rPr>
        <w:t>Todos los derechos reservados.</w:t>
      </w:r>
    </w:p>
    <w:p>
      <w:pPr>
        <w:spacing w:line="215" w:lineRule="exact" w:before="0"/>
        <w:ind w:left="100" w:right="1192" w:firstLine="0"/>
        <w:jc w:val="left"/>
        <w:rPr>
          <w:rFonts w:ascii="Palatino Linotype" w:hAnsi="Palatino Linotype"/>
          <w:i/>
          <w:sz w:val="16"/>
        </w:rPr>
      </w:pPr>
      <w:r>
        <w:rPr>
          <w:rFonts w:ascii="Palatino Linotype" w:hAnsi="Palatino Linotype"/>
          <w:i/>
          <w:color w:val="231F20"/>
          <w:w w:val="125"/>
          <w:sz w:val="16"/>
        </w:rPr>
        <w:t>Hecho en México.</w:t>
      </w:r>
    </w:p>
    <w:p>
      <w:pPr>
        <w:spacing w:after="0" w:line="215" w:lineRule="exact"/>
        <w:jc w:val="left"/>
        <w:rPr>
          <w:rFonts w:ascii="Palatino Linotype" w:hAnsi="Palatino Linotype"/>
          <w:sz w:val="16"/>
        </w:rPr>
        <w:sectPr>
          <w:pgSz w:w="9640" w:h="13040"/>
          <w:pgMar w:top="1200" w:bottom="280" w:left="1340" w:right="1340"/>
        </w:sectPr>
      </w:pPr>
    </w:p>
    <w:p>
      <w:pPr>
        <w:pStyle w:val="BodyText"/>
        <w:rPr>
          <w:rFonts w:ascii="Palatino Linotype"/>
          <w:i/>
          <w:sz w:val="20"/>
        </w:rPr>
      </w:pPr>
    </w:p>
    <w:p>
      <w:pPr>
        <w:pStyle w:val="BodyText"/>
        <w:rPr>
          <w:rFonts w:ascii="Palatino Linotype"/>
          <w:i/>
          <w:sz w:val="20"/>
        </w:rPr>
      </w:pPr>
    </w:p>
    <w:p>
      <w:pPr>
        <w:pStyle w:val="BodyText"/>
        <w:rPr>
          <w:rFonts w:ascii="Palatino Linotype"/>
          <w:i/>
          <w:sz w:val="20"/>
        </w:rPr>
      </w:pPr>
    </w:p>
    <w:p>
      <w:pPr>
        <w:pStyle w:val="BodyText"/>
        <w:spacing w:before="11"/>
        <w:rPr>
          <w:rFonts w:ascii="Palatino Linotype"/>
          <w:i/>
          <w:sz w:val="14"/>
        </w:rPr>
      </w:pPr>
    </w:p>
    <w:p>
      <w:pPr>
        <w:pStyle w:val="Heading1"/>
        <w:ind w:right="1131"/>
        <w:jc w:val="right"/>
      </w:pPr>
      <w:r>
        <w:rPr/>
        <w:pict>
          <v:group style="position:absolute;margin-left:64.696899pt;margin-top:-51.435482pt;width:417.7pt;height:96.1pt;mso-position-horizontal-relative:page;mso-position-vertical-relative:paragraph;z-index:-617632" coordorigin="1294,-1029" coordsize="8354,1922">
            <v:line style="position:absolute" from="1304,883" to="9638,883" stroked="true" strokeweight="1pt" strokecolor="#58595b"/>
            <v:rect style="position:absolute;left:9194;top:-1029;width:444;height:1917" filled="true" fillcolor="#58595b" stroked="false">
              <v:fill type="solid"/>
            </v:rect>
            <w10:wrap type="none"/>
          </v:group>
        </w:pict>
      </w:r>
      <w:r>
        <w:rPr>
          <w:color w:val="231F20"/>
          <w:w w:val="105"/>
        </w:rPr>
        <w:t>Índice</w:t>
      </w:r>
    </w:p>
    <w:p>
      <w:pPr>
        <w:pStyle w:val="BodyText"/>
        <w:spacing w:before="5"/>
        <w:rPr>
          <w:rFonts w:ascii="Palatino Linotype"/>
          <w:b/>
          <w:sz w:val="29"/>
        </w:rPr>
      </w:pPr>
    </w:p>
    <w:p>
      <w:pPr>
        <w:pStyle w:val="Heading4"/>
        <w:tabs>
          <w:tab w:pos="7008" w:val="left" w:leader="none"/>
        </w:tabs>
        <w:spacing w:line="670" w:lineRule="atLeast"/>
        <w:ind w:left="123" w:right="1151"/>
        <w:jc w:val="left"/>
      </w:pPr>
      <w:r>
        <w:rPr/>
        <w:pict>
          <v:line style="position:absolute;mso-position-horizontal-relative:page;mso-position-vertical-relative:paragraph;z-index:-618400" from="137.432098pt,31.4072pt" to="137.432098pt,31.4072pt" stroked="true" strokeweight="1pt" strokecolor="#27211f">
            <w10:wrap type="none"/>
          </v:line>
        </w:pict>
      </w:r>
      <w:r>
        <w:rPr/>
        <w:pict>
          <v:line style="position:absolute;mso-position-horizontal-relative:page;mso-position-vertical-relative:paragraph;z-index:-618376" from="410.435089pt,31.4072pt" to="410.435089pt,31.4072pt" stroked="true" strokeweight="1pt" strokecolor="#27211f">
            <w10:wrap type="none"/>
          </v:line>
        </w:pict>
      </w:r>
      <w:r>
        <w:rPr>
          <w:color w:val="231F20"/>
          <w:w w:val="110"/>
        </w:rPr>
        <w:t>Introducción</w:t>
      </w:r>
      <w:r>
        <w:rPr>
          <w:color w:val="231F20"/>
          <w:w w:val="110"/>
          <w:u w:val="dotted" w:color="27211F"/>
        </w:rPr>
        <w:tab/>
      </w:r>
      <w:r>
        <w:rPr>
          <w:color w:val="231F20"/>
          <w:w w:val="110"/>
        </w:rPr>
        <w:t>13</w:t>
      </w:r>
      <w:r>
        <w:rPr>
          <w:color w:val="231F20"/>
          <w:w w:val="104"/>
        </w:rPr>
        <w:t> </w:t>
      </w:r>
      <w:r>
        <w:rPr>
          <w:color w:val="231F20"/>
          <w:w w:val="110"/>
        </w:rPr>
        <w:t>Capítulo</w:t>
      </w:r>
      <w:r>
        <w:rPr>
          <w:color w:val="231F20"/>
          <w:spacing w:val="-15"/>
          <w:w w:val="110"/>
        </w:rPr>
        <w:t> </w:t>
      </w:r>
      <w:r>
        <w:rPr>
          <w:color w:val="231F20"/>
          <w:w w:val="110"/>
        </w:rPr>
        <w:t>I</w:t>
      </w:r>
    </w:p>
    <w:p>
      <w:pPr>
        <w:spacing w:line="282" w:lineRule="exact" w:before="53"/>
        <w:ind w:left="123" w:right="1151" w:firstLine="0"/>
        <w:jc w:val="left"/>
        <w:rPr>
          <w:rFonts w:ascii="Palatino Linotype" w:hAnsi="Palatino Linotype"/>
          <w:b/>
          <w:sz w:val="21"/>
        </w:rPr>
      </w:pPr>
      <w:r>
        <w:rPr>
          <w:rFonts w:ascii="Palatino Linotype" w:hAnsi="Palatino Linotype"/>
          <w:b/>
          <w:color w:val="231F20"/>
          <w:w w:val="90"/>
          <w:sz w:val="21"/>
        </w:rPr>
        <w:t>Las cadenas mercantiles globales. Un marco de análisis</w:t>
      </w:r>
    </w:p>
    <w:p>
      <w:pPr>
        <w:tabs>
          <w:tab w:pos="7019" w:val="left" w:leader="none"/>
        </w:tabs>
        <w:spacing w:line="282" w:lineRule="exact" w:before="0"/>
        <w:ind w:left="123" w:right="1151" w:firstLine="0"/>
        <w:jc w:val="left"/>
        <w:rPr>
          <w:rFonts w:ascii="Palatino Linotype"/>
          <w:b/>
          <w:sz w:val="21"/>
        </w:rPr>
      </w:pPr>
      <w:r>
        <w:rPr/>
        <w:pict>
          <v:line style="position:absolute;mso-position-horizontal-relative:page;mso-position-vertical-relative:paragraph;z-index:-618352" from="175.8508pt,11.990705pt" to="175.8508pt,11.990705pt" stroked="true" strokeweight="1pt" strokecolor="#27211f">
            <w10:wrap type="none"/>
          </v:line>
        </w:pict>
      </w:r>
      <w:r>
        <w:rPr/>
        <w:pict>
          <v:line style="position:absolute;mso-position-horizontal-relative:page;mso-position-vertical-relative:paragraph;z-index:-618328" from="410.960785pt,11.990705pt" to="410.960785pt,11.990705pt" stroked="true" strokeweight="1pt" strokecolor="#27211f">
            <w10:wrap type="none"/>
          </v:line>
        </w:pict>
      </w:r>
      <w:r>
        <w:rPr>
          <w:rFonts w:ascii="Palatino Linotype"/>
          <w:b/>
          <w:color w:val="231F20"/>
          <w:sz w:val="21"/>
        </w:rPr>
        <w:t>para el</w:t>
      </w:r>
      <w:r>
        <w:rPr>
          <w:rFonts w:ascii="Palatino Linotype"/>
          <w:b/>
          <w:color w:val="231F20"/>
          <w:spacing w:val="-18"/>
          <w:sz w:val="21"/>
        </w:rPr>
        <w:t> </w:t>
      </w:r>
      <w:r>
        <w:rPr>
          <w:rFonts w:ascii="Palatino Linotype"/>
          <w:b/>
          <w:color w:val="231F20"/>
          <w:sz w:val="21"/>
        </w:rPr>
        <w:t>sector</w:t>
      </w:r>
      <w:r>
        <w:rPr>
          <w:rFonts w:ascii="Palatino Linotype"/>
          <w:b/>
          <w:color w:val="231F20"/>
          <w:spacing w:val="-9"/>
          <w:sz w:val="21"/>
        </w:rPr>
        <w:t> </w:t>
      </w:r>
      <w:r>
        <w:rPr>
          <w:rFonts w:ascii="Palatino Linotype"/>
          <w:b/>
          <w:color w:val="231F20"/>
          <w:sz w:val="21"/>
        </w:rPr>
        <w:t>automotriz</w:t>
      </w:r>
      <w:r>
        <w:rPr>
          <w:rFonts w:ascii="Palatino Linotype"/>
          <w:b/>
          <w:color w:val="231F20"/>
          <w:sz w:val="21"/>
          <w:u w:val="dotted" w:color="27211F"/>
        </w:rPr>
        <w:tab/>
      </w:r>
      <w:r>
        <w:rPr>
          <w:rFonts w:ascii="Palatino Linotype"/>
          <w:b/>
          <w:color w:val="231F20"/>
          <w:sz w:val="21"/>
        </w:rPr>
        <w:t>19</w:t>
      </w:r>
    </w:p>
    <w:p>
      <w:pPr>
        <w:pStyle w:val="ListParagraph"/>
        <w:numPr>
          <w:ilvl w:val="1"/>
          <w:numId w:val="1"/>
        </w:numPr>
        <w:tabs>
          <w:tab w:pos="866" w:val="left" w:leader="none"/>
          <w:tab w:pos="7024" w:val="left" w:leader="none"/>
        </w:tabs>
        <w:spacing w:line="240" w:lineRule="auto" w:before="77" w:after="0"/>
        <w:ind w:left="865" w:right="0" w:hanging="345"/>
        <w:jc w:val="left"/>
        <w:rPr>
          <w:sz w:val="21"/>
        </w:rPr>
      </w:pPr>
      <w:r>
        <w:rPr/>
        <w:pict>
          <v:line style="position:absolute;mso-position-horizontal-relative:page;mso-position-vertical-relative:paragraph;z-index:-618304" from="242.101395pt,14.708249pt" to="242.101395pt,14.708249pt" stroked="true" strokeweight="1pt" strokecolor="#27211f">
            <w10:wrap type="none"/>
          </v:line>
        </w:pict>
      </w:r>
      <w:r>
        <w:rPr/>
        <w:pict>
          <v:line style="position:absolute;mso-position-horizontal-relative:page;mso-position-vertical-relative:paragraph;z-index:-618280" from="411.233398pt,14.708249pt" to="411.233398pt,14.708249pt" stroked="true" strokeweight="1pt" strokecolor="#27211f">
            <w10:wrap type="none"/>
          </v:line>
        </w:pict>
      </w:r>
      <w:r>
        <w:rPr>
          <w:color w:val="231F20"/>
          <w:sz w:val="21"/>
        </w:rPr>
        <w:t>Las cadenas</w:t>
      </w:r>
      <w:r>
        <w:rPr>
          <w:color w:val="231F20"/>
          <w:spacing w:val="-12"/>
          <w:sz w:val="21"/>
        </w:rPr>
        <w:t> </w:t>
      </w:r>
      <w:r>
        <w:rPr>
          <w:color w:val="231F20"/>
          <w:sz w:val="21"/>
        </w:rPr>
        <w:t>mercantiles</w:t>
      </w:r>
      <w:r>
        <w:rPr>
          <w:color w:val="231F20"/>
          <w:spacing w:val="-6"/>
          <w:sz w:val="21"/>
        </w:rPr>
        <w:t> </w:t>
      </w:r>
      <w:r>
        <w:rPr>
          <w:color w:val="231F20"/>
          <w:sz w:val="21"/>
        </w:rPr>
        <w:t>globales</w:t>
      </w:r>
      <w:r>
        <w:rPr>
          <w:color w:val="231F20"/>
          <w:sz w:val="21"/>
          <w:u w:val="dotted" w:color="27211F"/>
        </w:rPr>
        <w:tab/>
      </w:r>
      <w:r>
        <w:rPr>
          <w:color w:val="231F20"/>
          <w:sz w:val="21"/>
        </w:rPr>
        <w:t>19</w:t>
      </w:r>
    </w:p>
    <w:p>
      <w:pPr>
        <w:pStyle w:val="ListParagraph"/>
        <w:numPr>
          <w:ilvl w:val="1"/>
          <w:numId w:val="1"/>
        </w:numPr>
        <w:tabs>
          <w:tab w:pos="866" w:val="left" w:leader="none"/>
          <w:tab w:pos="7024" w:val="left" w:leader="none"/>
        </w:tabs>
        <w:spacing w:line="240" w:lineRule="auto" w:before="95" w:after="0"/>
        <w:ind w:left="865" w:right="0" w:hanging="345"/>
        <w:jc w:val="left"/>
        <w:rPr>
          <w:sz w:val="21"/>
        </w:rPr>
      </w:pPr>
      <w:r>
        <w:rPr/>
        <w:pict>
          <v:line style="position:absolute;mso-position-horizontal-relative:page;mso-position-vertical-relative:paragraph;z-index:-618256" from="284.447601pt,15.611436pt" to="284.447601pt,15.611436pt" stroked="true" strokeweight="1pt" strokecolor="#27211f">
            <w10:wrap type="none"/>
          </v:line>
        </w:pict>
      </w:r>
      <w:r>
        <w:rPr/>
        <w:pict>
          <v:line style="position:absolute;mso-position-horizontal-relative:page;mso-position-vertical-relative:paragraph;z-index:-618232" from="411.233612pt,15.611436pt" to="411.233612pt,15.611436pt" stroked="true" strokeweight="1pt" strokecolor="#27211f">
            <w10:wrap type="none"/>
          </v:line>
        </w:pict>
      </w:r>
      <w:r>
        <w:rPr>
          <w:color w:val="231F20"/>
          <w:sz w:val="21"/>
        </w:rPr>
        <w:t>Cadena de valor de la</w:t>
      </w:r>
      <w:r>
        <w:rPr>
          <w:color w:val="231F20"/>
          <w:spacing w:val="-23"/>
          <w:sz w:val="21"/>
        </w:rPr>
        <w:t> </w:t>
      </w:r>
      <w:r>
        <w:rPr>
          <w:color w:val="231F20"/>
          <w:sz w:val="21"/>
        </w:rPr>
        <w:t>industria</w:t>
      </w:r>
      <w:r>
        <w:rPr>
          <w:color w:val="231F20"/>
          <w:spacing w:val="-5"/>
          <w:sz w:val="21"/>
        </w:rPr>
        <w:t> </w:t>
      </w:r>
      <w:r>
        <w:rPr>
          <w:color w:val="231F20"/>
          <w:sz w:val="21"/>
        </w:rPr>
        <w:t>automotriz</w:t>
      </w:r>
      <w:r>
        <w:rPr>
          <w:color w:val="231F20"/>
          <w:sz w:val="21"/>
          <w:u w:val="dotted" w:color="27211F"/>
        </w:rPr>
        <w:tab/>
      </w:r>
      <w:r>
        <w:rPr>
          <w:color w:val="231F20"/>
          <w:sz w:val="21"/>
        </w:rPr>
        <w:t>23</w:t>
      </w:r>
    </w:p>
    <w:p>
      <w:pPr>
        <w:pStyle w:val="ListParagraph"/>
        <w:numPr>
          <w:ilvl w:val="1"/>
          <w:numId w:val="1"/>
        </w:numPr>
        <w:tabs>
          <w:tab w:pos="867" w:val="left" w:leader="none"/>
          <w:tab w:pos="7024" w:val="left" w:leader="none"/>
        </w:tabs>
        <w:spacing w:line="240" w:lineRule="auto" w:before="95" w:after="0"/>
        <w:ind w:left="866" w:right="0" w:hanging="345"/>
        <w:jc w:val="left"/>
        <w:rPr>
          <w:sz w:val="21"/>
        </w:rPr>
      </w:pPr>
      <w:r>
        <w:rPr/>
        <w:pict>
          <v:line style="position:absolute;mso-position-horizontal-relative:page;mso-position-vertical-relative:paragraph;z-index:-618208" from="212.618607pt,15.614524pt" to="212.618607pt,15.614524pt" stroked="true" strokeweight="1pt" strokecolor="#27211f">
            <w10:wrap type="none"/>
          </v:line>
        </w:pict>
      </w:r>
      <w:r>
        <w:rPr/>
        <w:pict>
          <v:line style="position:absolute;mso-position-horizontal-relative:page;mso-position-vertical-relative:paragraph;z-index:-618184" from="411.233612pt,15.614524pt" to="411.233612pt,15.614524pt" stroked="true" strokeweight="1pt" strokecolor="#27211f">
            <w10:wrap type="none"/>
          </v:line>
        </w:pict>
      </w:r>
      <w:r>
        <w:rPr>
          <w:color w:val="231F20"/>
          <w:sz w:val="21"/>
        </w:rPr>
        <w:t>Conclusiones</w:t>
      </w:r>
      <w:r>
        <w:rPr>
          <w:color w:val="231F20"/>
          <w:spacing w:val="-6"/>
          <w:sz w:val="21"/>
        </w:rPr>
        <w:t> </w:t>
      </w:r>
      <w:r>
        <w:rPr>
          <w:color w:val="231F20"/>
          <w:sz w:val="21"/>
        </w:rPr>
        <w:t>del</w:t>
      </w:r>
      <w:r>
        <w:rPr>
          <w:color w:val="231F20"/>
          <w:spacing w:val="-6"/>
          <w:sz w:val="21"/>
        </w:rPr>
        <w:t> </w:t>
      </w:r>
      <w:r>
        <w:rPr>
          <w:color w:val="231F20"/>
          <w:sz w:val="21"/>
        </w:rPr>
        <w:t>capítulo</w:t>
      </w:r>
      <w:r>
        <w:rPr>
          <w:color w:val="231F20"/>
          <w:sz w:val="21"/>
          <w:u w:val="dotted" w:color="27211F"/>
        </w:rPr>
        <w:tab/>
      </w:r>
      <w:r>
        <w:rPr>
          <w:color w:val="231F20"/>
          <w:sz w:val="21"/>
        </w:rPr>
        <w:t>26</w:t>
      </w:r>
    </w:p>
    <w:p>
      <w:pPr>
        <w:pStyle w:val="BodyText"/>
        <w:rPr>
          <w:sz w:val="20"/>
        </w:rPr>
      </w:pPr>
    </w:p>
    <w:p>
      <w:pPr>
        <w:pStyle w:val="Heading4"/>
        <w:spacing w:line="240" w:lineRule="auto" w:before="177"/>
        <w:ind w:left="124" w:right="1151"/>
        <w:jc w:val="left"/>
      </w:pPr>
      <w:r>
        <w:rPr>
          <w:color w:val="231F20"/>
          <w:w w:val="110"/>
        </w:rPr>
        <w:t>Capítulo II</w:t>
      </w:r>
    </w:p>
    <w:p>
      <w:pPr>
        <w:spacing w:line="280" w:lineRule="exact" w:before="49"/>
        <w:ind w:left="124" w:right="3112" w:firstLine="0"/>
        <w:jc w:val="left"/>
        <w:rPr>
          <w:rFonts w:ascii="Palatino Linotype" w:hAnsi="Palatino Linotype"/>
          <w:b/>
          <w:sz w:val="21"/>
        </w:rPr>
      </w:pPr>
      <w:r>
        <w:rPr>
          <w:rFonts w:ascii="Palatino Linotype" w:hAnsi="Palatino Linotype"/>
          <w:b/>
          <w:color w:val="231F20"/>
          <w:w w:val="95"/>
          <w:sz w:val="21"/>
        </w:rPr>
        <w:t>La</w:t>
      </w:r>
      <w:r>
        <w:rPr>
          <w:rFonts w:ascii="Palatino Linotype" w:hAnsi="Palatino Linotype"/>
          <w:b/>
          <w:color w:val="231F20"/>
          <w:spacing w:val="-33"/>
          <w:w w:val="95"/>
          <w:sz w:val="21"/>
        </w:rPr>
        <w:t> </w:t>
      </w:r>
      <w:r>
        <w:rPr>
          <w:rFonts w:ascii="Palatino Linotype" w:hAnsi="Palatino Linotype"/>
          <w:b/>
          <w:color w:val="231F20"/>
          <w:spacing w:val="-3"/>
          <w:w w:val="95"/>
          <w:sz w:val="21"/>
        </w:rPr>
        <w:t>industria</w:t>
      </w:r>
      <w:r>
        <w:rPr>
          <w:rFonts w:ascii="Palatino Linotype" w:hAnsi="Palatino Linotype"/>
          <w:b/>
          <w:color w:val="231F20"/>
          <w:spacing w:val="-33"/>
          <w:w w:val="95"/>
          <w:sz w:val="21"/>
        </w:rPr>
        <w:t> </w:t>
      </w:r>
      <w:r>
        <w:rPr>
          <w:rFonts w:ascii="Palatino Linotype" w:hAnsi="Palatino Linotype"/>
          <w:b/>
          <w:color w:val="231F20"/>
          <w:spacing w:val="-4"/>
          <w:w w:val="95"/>
          <w:sz w:val="21"/>
        </w:rPr>
        <w:t>automotriz</w:t>
      </w:r>
      <w:r>
        <w:rPr>
          <w:rFonts w:ascii="Palatino Linotype" w:hAnsi="Palatino Linotype"/>
          <w:b/>
          <w:color w:val="231F20"/>
          <w:spacing w:val="-33"/>
          <w:w w:val="95"/>
          <w:sz w:val="21"/>
        </w:rPr>
        <w:t> </w:t>
      </w:r>
      <w:r>
        <w:rPr>
          <w:rFonts w:ascii="Palatino Linotype" w:hAnsi="Palatino Linotype"/>
          <w:b/>
          <w:color w:val="231F20"/>
          <w:w w:val="95"/>
          <w:sz w:val="21"/>
        </w:rPr>
        <w:t>en</w:t>
      </w:r>
      <w:r>
        <w:rPr>
          <w:rFonts w:ascii="Palatino Linotype" w:hAnsi="Palatino Linotype"/>
          <w:b/>
          <w:color w:val="231F20"/>
          <w:spacing w:val="-33"/>
          <w:w w:val="95"/>
          <w:sz w:val="21"/>
        </w:rPr>
        <w:t> </w:t>
      </w:r>
      <w:r>
        <w:rPr>
          <w:rFonts w:ascii="Palatino Linotype" w:hAnsi="Palatino Linotype"/>
          <w:b/>
          <w:color w:val="231F20"/>
          <w:w w:val="95"/>
          <w:sz w:val="21"/>
        </w:rPr>
        <w:t>el</w:t>
      </w:r>
      <w:r>
        <w:rPr>
          <w:rFonts w:ascii="Palatino Linotype" w:hAnsi="Palatino Linotype"/>
          <w:b/>
          <w:color w:val="231F20"/>
          <w:spacing w:val="-33"/>
          <w:w w:val="95"/>
          <w:sz w:val="21"/>
        </w:rPr>
        <w:t> </w:t>
      </w:r>
      <w:r>
        <w:rPr>
          <w:rFonts w:ascii="Palatino Linotype" w:hAnsi="Palatino Linotype"/>
          <w:b/>
          <w:color w:val="231F20"/>
          <w:spacing w:val="-4"/>
          <w:w w:val="95"/>
          <w:sz w:val="21"/>
        </w:rPr>
        <w:t>mundo.</w:t>
      </w:r>
      <w:r>
        <w:rPr>
          <w:rFonts w:ascii="Palatino Linotype" w:hAnsi="Palatino Linotype"/>
          <w:b/>
          <w:color w:val="231F20"/>
          <w:spacing w:val="-33"/>
          <w:w w:val="95"/>
          <w:sz w:val="21"/>
        </w:rPr>
        <w:t> </w:t>
      </w:r>
      <w:r>
        <w:rPr>
          <w:rFonts w:ascii="Palatino Linotype" w:hAnsi="Palatino Linotype"/>
          <w:b/>
          <w:color w:val="231F20"/>
          <w:spacing w:val="-4"/>
          <w:w w:val="95"/>
          <w:sz w:val="21"/>
        </w:rPr>
        <w:t>Innovación</w:t>
      </w:r>
      <w:r>
        <w:rPr>
          <w:rFonts w:ascii="Palatino Linotype" w:hAnsi="Palatino Linotype"/>
          <w:b/>
          <w:color w:val="231F20"/>
          <w:spacing w:val="-33"/>
          <w:w w:val="95"/>
          <w:sz w:val="21"/>
        </w:rPr>
        <w:t> </w:t>
      </w:r>
      <w:r>
        <w:rPr>
          <w:rFonts w:ascii="Palatino Linotype" w:hAnsi="Palatino Linotype"/>
          <w:b/>
          <w:color w:val="231F20"/>
          <w:spacing w:val="-3"/>
          <w:w w:val="95"/>
          <w:sz w:val="21"/>
        </w:rPr>
        <w:t>tecnológica, </w:t>
      </w:r>
      <w:r>
        <w:rPr>
          <w:rFonts w:ascii="Palatino Linotype" w:hAnsi="Palatino Linotype"/>
          <w:b/>
          <w:color w:val="231F20"/>
          <w:spacing w:val="-3"/>
          <w:w w:val="90"/>
          <w:sz w:val="21"/>
        </w:rPr>
        <w:t>procesos productivos </w:t>
      </w:r>
      <w:r>
        <w:rPr>
          <w:rFonts w:ascii="Palatino Linotype" w:hAnsi="Palatino Linotype"/>
          <w:b/>
          <w:color w:val="231F20"/>
          <w:w w:val="90"/>
          <w:sz w:val="21"/>
        </w:rPr>
        <w:t>y </w:t>
      </w:r>
      <w:r>
        <w:rPr>
          <w:rFonts w:ascii="Palatino Linotype" w:hAnsi="Palatino Linotype"/>
          <w:b/>
          <w:color w:val="231F20"/>
          <w:spacing w:val="-3"/>
          <w:w w:val="90"/>
          <w:sz w:val="21"/>
        </w:rPr>
        <w:t>reconfiguración </w:t>
      </w:r>
      <w:r>
        <w:rPr>
          <w:rFonts w:ascii="Palatino Linotype" w:hAnsi="Palatino Linotype"/>
          <w:b/>
          <w:color w:val="231F20"/>
          <w:w w:val="90"/>
          <w:sz w:val="21"/>
        </w:rPr>
        <w:t>del </w:t>
      </w:r>
      <w:r>
        <w:rPr>
          <w:rFonts w:ascii="Palatino Linotype" w:hAnsi="Palatino Linotype"/>
          <w:b/>
          <w:color w:val="231F20"/>
          <w:spacing w:val="-3"/>
          <w:w w:val="90"/>
          <w:sz w:val="21"/>
        </w:rPr>
        <w:t>mercado</w:t>
      </w:r>
      <w:r>
        <w:rPr>
          <w:rFonts w:ascii="Palatino Linotype" w:hAnsi="Palatino Linotype"/>
          <w:b/>
          <w:color w:val="231F20"/>
          <w:spacing w:val="11"/>
          <w:w w:val="90"/>
          <w:sz w:val="21"/>
        </w:rPr>
        <w:t> </w:t>
      </w:r>
      <w:r>
        <w:rPr>
          <w:rFonts w:ascii="Palatino Linotype" w:hAnsi="Palatino Linotype"/>
          <w:b/>
          <w:color w:val="231F20"/>
          <w:spacing w:val="-3"/>
          <w:w w:val="90"/>
          <w:sz w:val="21"/>
        </w:rPr>
        <w:t>mundial</w:t>
      </w:r>
    </w:p>
    <w:p>
      <w:pPr>
        <w:tabs>
          <w:tab w:pos="7019" w:val="left" w:leader="none"/>
        </w:tabs>
        <w:spacing w:before="3"/>
        <w:ind w:left="521" w:right="1151" w:firstLine="0"/>
        <w:jc w:val="left"/>
        <w:rPr>
          <w:rFonts w:ascii="Palatino Linotype" w:hAnsi="Palatino Linotype"/>
          <w:b/>
          <w:sz w:val="21"/>
        </w:rPr>
      </w:pPr>
      <w:r>
        <w:rPr/>
        <w:pict>
          <v:line style="position:absolute;mso-position-horizontal-relative:page;mso-position-vertical-relative:paragraph;z-index:-618160" from="139.865402pt,12.240653pt" to="139.865402pt,12.240653pt" stroked="true" strokeweight="1pt" strokecolor="#27211f">
            <w10:wrap type="none"/>
          </v:line>
        </w:pict>
      </w:r>
      <w:r>
        <w:rPr/>
        <w:pict>
          <v:line style="position:absolute;mso-position-horizontal-relative:page;mso-position-vertical-relative:paragraph;z-index:-618136" from="410.960388pt,12.240653pt" to="410.960388pt,12.240653pt" stroked="true" strokeweight="1pt" strokecolor="#27211f">
            <w10:wrap type="none"/>
          </v:line>
        </w:pict>
      </w:r>
      <w:r>
        <w:rPr>
          <w:rFonts w:ascii="Palatino Linotype" w:hAnsi="Palatino Linotype"/>
          <w:b/>
          <w:color w:val="231F20"/>
          <w:sz w:val="21"/>
        </w:rPr>
        <w:t>de</w:t>
      </w:r>
      <w:r>
        <w:rPr>
          <w:rFonts w:ascii="Palatino Linotype" w:hAnsi="Palatino Linotype"/>
          <w:b/>
          <w:color w:val="231F20"/>
          <w:spacing w:val="-12"/>
          <w:sz w:val="21"/>
        </w:rPr>
        <w:t> </w:t>
      </w:r>
      <w:r>
        <w:rPr>
          <w:rFonts w:ascii="Palatino Linotype" w:hAnsi="Palatino Linotype"/>
          <w:b/>
          <w:color w:val="231F20"/>
          <w:spacing w:val="-3"/>
          <w:sz w:val="21"/>
        </w:rPr>
        <w:t>vehículos</w:t>
      </w:r>
      <w:r>
        <w:rPr>
          <w:rFonts w:ascii="Palatino Linotype" w:hAnsi="Palatino Linotype"/>
          <w:b/>
          <w:color w:val="231F20"/>
          <w:spacing w:val="-3"/>
          <w:sz w:val="21"/>
          <w:u w:val="dotted" w:color="27211F"/>
        </w:rPr>
        <w:tab/>
      </w:r>
      <w:r>
        <w:rPr>
          <w:rFonts w:ascii="Palatino Linotype" w:hAnsi="Palatino Linotype"/>
          <w:b/>
          <w:color w:val="231F20"/>
          <w:sz w:val="21"/>
        </w:rPr>
        <w:t>27</w:t>
      </w:r>
    </w:p>
    <w:p>
      <w:pPr>
        <w:pStyle w:val="ListParagraph"/>
        <w:numPr>
          <w:ilvl w:val="1"/>
          <w:numId w:val="2"/>
        </w:numPr>
        <w:tabs>
          <w:tab w:pos="867" w:val="left" w:leader="none"/>
          <w:tab w:pos="7024" w:val="left" w:leader="none"/>
        </w:tabs>
        <w:spacing w:line="240" w:lineRule="auto" w:before="77" w:after="0"/>
        <w:ind w:left="866" w:right="0" w:hanging="345"/>
        <w:jc w:val="left"/>
        <w:rPr>
          <w:sz w:val="21"/>
        </w:rPr>
      </w:pPr>
      <w:r>
        <w:rPr/>
        <w:pict>
          <v:line style="position:absolute;mso-position-horizontal-relative:page;mso-position-vertical-relative:paragraph;z-index:-618112" from="301.866699pt,14.723625pt" to="301.866699pt,14.723625pt" stroked="true" strokeweight="1pt" strokecolor="#27211f">
            <w10:wrap type="none"/>
          </v:line>
        </w:pict>
      </w:r>
      <w:r>
        <w:rPr/>
        <w:pict>
          <v:line style="position:absolute;mso-position-horizontal-relative:page;mso-position-vertical-relative:paragraph;z-index:-618088" from="411.233704pt,14.723625pt" to="411.233704pt,14.723625pt" stroked="true" strokeweight="1pt" strokecolor="#27211f">
            <w10:wrap type="none"/>
          </v:line>
        </w:pict>
      </w:r>
      <w:r>
        <w:rPr>
          <w:color w:val="231F20"/>
          <w:sz w:val="21"/>
        </w:rPr>
        <w:t>Innovación tecnológica y</w:t>
      </w:r>
      <w:r>
        <w:rPr>
          <w:color w:val="231F20"/>
          <w:spacing w:val="-16"/>
          <w:sz w:val="21"/>
        </w:rPr>
        <w:t> </w:t>
      </w:r>
      <w:r>
        <w:rPr>
          <w:color w:val="231F20"/>
          <w:sz w:val="21"/>
        </w:rPr>
        <w:t>procesos</w:t>
      </w:r>
      <w:r>
        <w:rPr>
          <w:color w:val="231F20"/>
          <w:spacing w:val="-6"/>
          <w:sz w:val="21"/>
        </w:rPr>
        <w:t> </w:t>
      </w:r>
      <w:r>
        <w:rPr>
          <w:color w:val="231F20"/>
          <w:sz w:val="21"/>
        </w:rPr>
        <w:t>productivos</w:t>
      </w:r>
      <w:r>
        <w:rPr>
          <w:color w:val="231F20"/>
          <w:sz w:val="21"/>
          <w:u w:val="dotted" w:color="27211F"/>
        </w:rPr>
        <w:tab/>
      </w:r>
      <w:r>
        <w:rPr>
          <w:color w:val="231F20"/>
          <w:sz w:val="21"/>
        </w:rPr>
        <w:t>28</w:t>
      </w:r>
    </w:p>
    <w:p>
      <w:pPr>
        <w:pStyle w:val="ListParagraph"/>
        <w:numPr>
          <w:ilvl w:val="2"/>
          <w:numId w:val="2"/>
        </w:numPr>
        <w:tabs>
          <w:tab w:pos="1413" w:val="left" w:leader="none"/>
          <w:tab w:pos="7024" w:val="left" w:leader="none"/>
        </w:tabs>
        <w:spacing w:line="240" w:lineRule="auto" w:before="95" w:after="0"/>
        <w:ind w:left="1412" w:right="0" w:hanging="494"/>
        <w:jc w:val="left"/>
        <w:rPr>
          <w:sz w:val="21"/>
        </w:rPr>
      </w:pPr>
      <w:r>
        <w:rPr/>
        <w:pict>
          <v:line style="position:absolute;mso-position-horizontal-relative:page;mso-position-vertical-relative:paragraph;z-index:-618064" from="293.559387pt,15.626843pt" to="293.559387pt,15.626843pt" stroked="true" strokeweight="1pt" strokecolor="#27211f">
            <w10:wrap type="none"/>
          </v:line>
        </w:pict>
      </w:r>
      <w:r>
        <w:rPr/>
        <w:pict>
          <v:line style="position:absolute;mso-position-horizontal-relative:page;mso-position-vertical-relative:paragraph;z-index:-618040" from="411.233398pt,15.626843pt" to="411.233398pt,15.626843pt" stroked="true" strokeweight="1pt" strokecolor="#27211f">
            <w10:wrap type="none"/>
          </v:line>
        </w:pict>
      </w:r>
      <w:r>
        <w:rPr>
          <w:color w:val="231F20"/>
          <w:sz w:val="21"/>
        </w:rPr>
        <w:t>Del fordismo a la</w:t>
      </w:r>
      <w:r>
        <w:rPr>
          <w:color w:val="231F20"/>
          <w:spacing w:val="-19"/>
          <w:sz w:val="21"/>
        </w:rPr>
        <w:t> </w:t>
      </w:r>
      <w:r>
        <w:rPr>
          <w:color w:val="231F20"/>
          <w:sz w:val="21"/>
        </w:rPr>
        <w:t>producción</w:t>
      </w:r>
      <w:r>
        <w:rPr>
          <w:color w:val="231F20"/>
          <w:spacing w:val="-5"/>
          <w:sz w:val="21"/>
        </w:rPr>
        <w:t> </w:t>
      </w:r>
      <w:r>
        <w:rPr>
          <w:color w:val="231F20"/>
          <w:sz w:val="21"/>
        </w:rPr>
        <w:t>modular</w:t>
      </w:r>
      <w:r>
        <w:rPr>
          <w:color w:val="231F20"/>
          <w:sz w:val="21"/>
          <w:u w:val="dotted" w:color="27211F"/>
        </w:rPr>
        <w:tab/>
      </w:r>
      <w:r>
        <w:rPr>
          <w:color w:val="231F20"/>
          <w:sz w:val="21"/>
        </w:rPr>
        <w:t>28</w:t>
      </w:r>
    </w:p>
    <w:p>
      <w:pPr>
        <w:pStyle w:val="ListParagraph"/>
        <w:numPr>
          <w:ilvl w:val="3"/>
          <w:numId w:val="2"/>
        </w:numPr>
        <w:tabs>
          <w:tab w:pos="1624" w:val="left" w:leader="none"/>
          <w:tab w:pos="7024" w:val="left" w:leader="none"/>
        </w:tabs>
        <w:spacing w:line="240" w:lineRule="auto" w:before="95" w:after="0"/>
        <w:ind w:left="1623" w:right="0" w:hanging="213"/>
        <w:jc w:val="left"/>
        <w:rPr>
          <w:color w:val="010202"/>
          <w:sz w:val="21"/>
        </w:rPr>
      </w:pPr>
      <w:r>
        <w:rPr/>
        <w:pict>
          <v:line style="position:absolute;mso-position-horizontal-relative:page;mso-position-vertical-relative:paragraph;z-index:-618016" from="235.063293pt,15.629931pt" to="235.063293pt,15.629931pt" stroked="true" strokeweight="1pt" strokecolor="#27211f">
            <w10:wrap type="none"/>
          </v:line>
        </w:pict>
      </w:r>
      <w:r>
        <w:rPr/>
        <w:pict>
          <v:line style="position:absolute;mso-position-horizontal-relative:page;mso-position-vertical-relative:paragraph;z-index:-617992" from="411.233307pt,15.629931pt" to="411.233307pt,15.629931pt" stroked="true" strokeweight="1pt" strokecolor="#27211f">
            <w10:wrap type="none"/>
          </v:line>
        </w:pict>
      </w:r>
      <w:r>
        <w:rPr>
          <w:color w:val="010202"/>
          <w:sz w:val="21"/>
        </w:rPr>
        <w:t>Fordismo</w:t>
      </w:r>
      <w:r>
        <w:rPr>
          <w:color w:val="010202"/>
          <w:spacing w:val="-6"/>
          <w:sz w:val="21"/>
        </w:rPr>
        <w:t> </w:t>
      </w:r>
      <w:r>
        <w:rPr>
          <w:color w:val="010202"/>
          <w:sz w:val="21"/>
        </w:rPr>
        <w:t>y</w:t>
      </w:r>
      <w:r>
        <w:rPr>
          <w:color w:val="010202"/>
          <w:spacing w:val="-6"/>
          <w:sz w:val="21"/>
        </w:rPr>
        <w:t> </w:t>
      </w:r>
      <w:r>
        <w:rPr>
          <w:color w:val="010202"/>
          <w:sz w:val="21"/>
        </w:rPr>
        <w:t>toyotismo</w:t>
      </w:r>
      <w:r>
        <w:rPr>
          <w:color w:val="010202"/>
          <w:sz w:val="21"/>
          <w:u w:val="dotted" w:color="27211F"/>
        </w:rPr>
        <w:tab/>
      </w:r>
      <w:r>
        <w:rPr>
          <w:color w:val="010202"/>
          <w:sz w:val="21"/>
        </w:rPr>
        <w:t>28</w:t>
      </w:r>
    </w:p>
    <w:p>
      <w:pPr>
        <w:pStyle w:val="ListParagraph"/>
        <w:numPr>
          <w:ilvl w:val="3"/>
          <w:numId w:val="2"/>
        </w:numPr>
        <w:tabs>
          <w:tab w:pos="1638" w:val="left" w:leader="none"/>
          <w:tab w:pos="7024" w:val="left" w:leader="none"/>
        </w:tabs>
        <w:spacing w:line="240" w:lineRule="auto" w:before="95" w:after="0"/>
        <w:ind w:left="1637" w:right="0" w:hanging="227"/>
        <w:jc w:val="left"/>
        <w:rPr>
          <w:color w:val="010202"/>
          <w:sz w:val="21"/>
        </w:rPr>
      </w:pPr>
      <w:r>
        <w:rPr/>
        <w:pict>
          <v:line style="position:absolute;mso-position-horizontal-relative:page;mso-position-vertical-relative:paragraph;z-index:-617968" from="230.883896pt,15.633049pt" to="230.883896pt,15.633049pt" stroked="true" strokeweight="1pt" strokecolor="#27211f">
            <w10:wrap type="none"/>
          </v:line>
        </w:pict>
      </w:r>
      <w:r>
        <w:rPr/>
        <w:pict>
          <v:line style="position:absolute;mso-position-horizontal-relative:page;mso-position-vertical-relative:paragraph;z-index:-617944" from="411.233887pt,15.633049pt" to="411.233887pt,15.633049pt" stroked="true" strokeweight="1pt" strokecolor="#27211f">
            <w10:wrap type="none"/>
          </v:line>
        </w:pict>
      </w:r>
      <w:r>
        <w:rPr>
          <w:color w:val="010202"/>
          <w:sz w:val="21"/>
        </w:rPr>
        <w:t>Producción</w:t>
      </w:r>
      <w:r>
        <w:rPr>
          <w:color w:val="010202"/>
          <w:spacing w:val="-5"/>
          <w:sz w:val="21"/>
        </w:rPr>
        <w:t> </w:t>
      </w:r>
      <w:r>
        <w:rPr>
          <w:color w:val="010202"/>
          <w:sz w:val="21"/>
        </w:rPr>
        <w:t>modular</w:t>
      </w:r>
      <w:r>
        <w:rPr>
          <w:color w:val="010202"/>
          <w:sz w:val="21"/>
          <w:u w:val="dotted" w:color="27211F"/>
        </w:rPr>
        <w:tab/>
      </w:r>
      <w:r>
        <w:rPr>
          <w:color w:val="010202"/>
          <w:sz w:val="21"/>
        </w:rPr>
        <w:t>32</w:t>
      </w:r>
    </w:p>
    <w:p>
      <w:pPr>
        <w:pStyle w:val="ListParagraph"/>
        <w:numPr>
          <w:ilvl w:val="2"/>
          <w:numId w:val="2"/>
        </w:numPr>
        <w:tabs>
          <w:tab w:pos="1413" w:val="left" w:leader="none"/>
        </w:tabs>
        <w:spacing w:line="240" w:lineRule="auto" w:before="95" w:after="0"/>
        <w:ind w:left="1412" w:right="0" w:hanging="494"/>
        <w:jc w:val="left"/>
        <w:rPr>
          <w:sz w:val="21"/>
        </w:rPr>
      </w:pPr>
      <w:r>
        <w:rPr>
          <w:color w:val="231F20"/>
          <w:spacing w:val="-3"/>
          <w:sz w:val="21"/>
        </w:rPr>
        <w:t>Tendencias </w:t>
      </w:r>
      <w:r>
        <w:rPr>
          <w:color w:val="231F20"/>
          <w:sz w:val="21"/>
        </w:rPr>
        <w:t>y estrategias recientes de la</w:t>
      </w:r>
      <w:r>
        <w:rPr>
          <w:color w:val="231F20"/>
          <w:spacing w:val="-29"/>
          <w:sz w:val="21"/>
        </w:rPr>
        <w:t> </w:t>
      </w:r>
      <w:r>
        <w:rPr>
          <w:color w:val="231F20"/>
          <w:sz w:val="21"/>
        </w:rPr>
        <w:t>industria</w:t>
      </w:r>
    </w:p>
    <w:p>
      <w:pPr>
        <w:pStyle w:val="BodyText"/>
        <w:tabs>
          <w:tab w:pos="7024" w:val="left" w:leader="none"/>
        </w:tabs>
        <w:spacing w:before="38"/>
        <w:ind w:left="1412" w:right="1151"/>
      </w:pPr>
      <w:r>
        <w:rPr/>
        <w:pict>
          <v:line style="position:absolute;mso-position-horizontal-relative:page;mso-position-vertical-relative:paragraph;z-index:-617920" from="233.857697pt,12.789731pt" to="233.857697pt,12.789731pt" stroked="true" strokeweight="1pt" strokecolor="#27211f">
            <w10:wrap type="none"/>
          </v:line>
        </w:pict>
      </w:r>
      <w:r>
        <w:rPr/>
        <w:pict>
          <v:line style="position:absolute;mso-position-horizontal-relative:page;mso-position-vertical-relative:paragraph;z-index:-617896" from="411.233704pt,12.789731pt" to="411.233704pt,12.789731pt" stroked="true" strokeweight="1pt" strokecolor="#27211f">
            <w10:wrap type="none"/>
          </v:line>
        </w:pict>
      </w:r>
      <w:r>
        <w:rPr>
          <w:color w:val="231F20"/>
        </w:rPr>
        <w:t>automotriz en</w:t>
      </w:r>
      <w:r>
        <w:rPr>
          <w:color w:val="231F20"/>
          <w:spacing w:val="-10"/>
        </w:rPr>
        <w:t> </w:t>
      </w:r>
      <w:r>
        <w:rPr>
          <w:color w:val="231F20"/>
        </w:rPr>
        <w:t>el</w:t>
      </w:r>
      <w:r>
        <w:rPr>
          <w:color w:val="231F20"/>
          <w:spacing w:val="-5"/>
        </w:rPr>
        <w:t> </w:t>
      </w:r>
      <w:r>
        <w:rPr>
          <w:color w:val="231F20"/>
        </w:rPr>
        <w:t>mundo</w:t>
      </w:r>
      <w:r>
        <w:rPr>
          <w:color w:val="231F20"/>
          <w:u w:val="dotted" w:color="27211F"/>
        </w:rPr>
        <w:tab/>
      </w:r>
      <w:r>
        <w:rPr>
          <w:color w:val="231F20"/>
        </w:rPr>
        <w:t>37</w:t>
      </w:r>
    </w:p>
    <w:p>
      <w:pPr>
        <w:pStyle w:val="ListParagraph"/>
        <w:numPr>
          <w:ilvl w:val="3"/>
          <w:numId w:val="2"/>
        </w:numPr>
        <w:tabs>
          <w:tab w:pos="1624" w:val="left" w:leader="none"/>
          <w:tab w:pos="7024" w:val="left" w:leader="none"/>
        </w:tabs>
        <w:spacing w:line="240" w:lineRule="auto" w:before="95" w:after="0"/>
        <w:ind w:left="1623" w:right="0" w:hanging="212"/>
        <w:jc w:val="left"/>
        <w:rPr>
          <w:color w:val="231F20"/>
          <w:sz w:val="21"/>
        </w:rPr>
      </w:pPr>
      <w:r>
        <w:rPr/>
        <w:pict>
          <v:line style="position:absolute;mso-position-horizontal-relative:page;mso-position-vertical-relative:paragraph;z-index:-617872" from="327.901306pt,15.642834pt" to="327.901306pt,15.642834pt" stroked="true" strokeweight="1pt" strokecolor="#27211f">
            <w10:wrap type="none"/>
          </v:line>
        </w:pict>
      </w:r>
      <w:r>
        <w:rPr/>
        <w:pict>
          <v:line style="position:absolute;mso-position-horizontal-relative:page;mso-position-vertical-relative:paragraph;z-index:-617848" from="411.233307pt,15.642834pt" to="411.233307pt,15.642834pt" stroked="true" strokeweight="1pt" strokecolor="#27211f">
            <w10:wrap type="none"/>
          </v:line>
        </w:pict>
      </w:r>
      <w:r>
        <w:rPr>
          <w:color w:val="231F20"/>
          <w:spacing w:val="-3"/>
          <w:sz w:val="21"/>
        </w:rPr>
        <w:t>Tecnologías </w:t>
      </w:r>
      <w:r>
        <w:rPr>
          <w:color w:val="231F20"/>
          <w:sz w:val="21"/>
        </w:rPr>
        <w:t>híbridas en el</w:t>
      </w:r>
      <w:r>
        <w:rPr>
          <w:color w:val="231F20"/>
          <w:spacing w:val="-16"/>
          <w:sz w:val="21"/>
        </w:rPr>
        <w:t> </w:t>
      </w:r>
      <w:r>
        <w:rPr>
          <w:color w:val="231F20"/>
          <w:sz w:val="21"/>
        </w:rPr>
        <w:t>sector</w:t>
      </w:r>
      <w:r>
        <w:rPr>
          <w:color w:val="231F20"/>
          <w:spacing w:val="-5"/>
          <w:sz w:val="21"/>
        </w:rPr>
        <w:t> </w:t>
      </w:r>
      <w:r>
        <w:rPr>
          <w:color w:val="231F20"/>
          <w:sz w:val="21"/>
        </w:rPr>
        <w:t>automotriz</w:t>
      </w:r>
      <w:r>
        <w:rPr>
          <w:color w:val="231F20"/>
          <w:sz w:val="21"/>
          <w:u w:val="dotted" w:color="27211F"/>
        </w:rPr>
        <w:tab/>
      </w:r>
      <w:r>
        <w:rPr>
          <w:color w:val="231F20"/>
          <w:sz w:val="21"/>
        </w:rPr>
        <w:t>39</w:t>
      </w:r>
    </w:p>
    <w:p>
      <w:pPr>
        <w:pStyle w:val="ListParagraph"/>
        <w:numPr>
          <w:ilvl w:val="1"/>
          <w:numId w:val="2"/>
        </w:numPr>
        <w:tabs>
          <w:tab w:pos="868" w:val="left" w:leader="none"/>
        </w:tabs>
        <w:spacing w:line="240" w:lineRule="auto" w:before="95" w:after="0"/>
        <w:ind w:left="867" w:right="0" w:hanging="345"/>
        <w:jc w:val="left"/>
        <w:rPr>
          <w:sz w:val="21"/>
        </w:rPr>
      </w:pPr>
      <w:r>
        <w:rPr>
          <w:color w:val="231F20"/>
          <w:sz w:val="21"/>
        </w:rPr>
        <w:t>Reconfiguración del mercado mundial de</w:t>
      </w:r>
      <w:r>
        <w:rPr>
          <w:color w:val="231F20"/>
          <w:spacing w:val="-26"/>
          <w:sz w:val="21"/>
        </w:rPr>
        <w:t> </w:t>
      </w:r>
      <w:r>
        <w:rPr>
          <w:color w:val="231F20"/>
          <w:sz w:val="21"/>
        </w:rPr>
        <w:t>vehículos</w:t>
      </w:r>
    </w:p>
    <w:p>
      <w:pPr>
        <w:pStyle w:val="BodyText"/>
        <w:tabs>
          <w:tab w:pos="7024" w:val="left" w:leader="none"/>
        </w:tabs>
        <w:spacing w:before="38"/>
        <w:ind w:left="867" w:right="1151"/>
      </w:pPr>
      <w:r>
        <w:rPr/>
        <w:pict>
          <v:line style="position:absolute;mso-position-horizontal-relative:page;mso-position-vertical-relative:paragraph;z-index:-617824" from="259.258301pt,12.799531pt" to="259.258301pt,12.799531pt" stroked="true" strokeweight="1pt" strokecolor="#27211f">
            <w10:wrap type="none"/>
          </v:line>
        </w:pict>
      </w:r>
      <w:r>
        <w:rPr/>
        <w:pict>
          <v:line style="position:absolute;mso-position-horizontal-relative:page;mso-position-vertical-relative:paragraph;z-index:-617800" from="411.233307pt,12.799531pt" to="411.233307pt,12.799531pt" stroked="true" strokeweight="1pt" strokecolor="#27211f">
            <w10:wrap type="none"/>
          </v:line>
        </w:pict>
      </w:r>
      <w:r>
        <w:rPr>
          <w:color w:val="231F20"/>
        </w:rPr>
        <w:t>y saldos de la Gran Recesión</w:t>
      </w:r>
      <w:r>
        <w:rPr>
          <w:color w:val="231F20"/>
          <w:spacing w:val="-34"/>
        </w:rPr>
        <w:t> </w:t>
      </w:r>
      <w:r>
        <w:rPr>
          <w:color w:val="231F20"/>
        </w:rPr>
        <w:t>de</w:t>
      </w:r>
      <w:r>
        <w:rPr>
          <w:color w:val="231F20"/>
          <w:spacing w:val="-6"/>
        </w:rPr>
        <w:t> </w:t>
      </w:r>
      <w:r>
        <w:rPr>
          <w:color w:val="231F20"/>
        </w:rPr>
        <w:t>2008</w:t>
      </w:r>
      <w:r>
        <w:rPr>
          <w:color w:val="231F20"/>
          <w:u w:val="dotted" w:color="27211F"/>
        </w:rPr>
        <w:tab/>
      </w:r>
      <w:r>
        <w:rPr>
          <w:color w:val="231F20"/>
        </w:rPr>
        <w:t>44</w:t>
      </w:r>
    </w:p>
    <w:p>
      <w:pPr>
        <w:pStyle w:val="ListParagraph"/>
        <w:numPr>
          <w:ilvl w:val="2"/>
          <w:numId w:val="2"/>
        </w:numPr>
        <w:tabs>
          <w:tab w:pos="1413" w:val="left" w:leader="none"/>
          <w:tab w:pos="7024" w:val="left" w:leader="none"/>
        </w:tabs>
        <w:spacing w:line="240" w:lineRule="auto" w:before="95" w:after="0"/>
        <w:ind w:left="1412" w:right="0" w:hanging="493"/>
        <w:jc w:val="left"/>
        <w:rPr>
          <w:sz w:val="21"/>
        </w:rPr>
      </w:pPr>
      <w:r>
        <w:rPr/>
        <w:pict>
          <v:line style="position:absolute;mso-position-horizontal-relative:page;mso-position-vertical-relative:paragraph;z-index:-617776" from="322.727905pt,15.652634pt" to="322.727905pt,15.652634pt" stroked="true" strokeweight="1pt" strokecolor="#27211f">
            <w10:wrap type="none"/>
          </v:line>
        </w:pict>
      </w:r>
      <w:r>
        <w:rPr/>
        <w:pict>
          <v:line style="position:absolute;mso-position-horizontal-relative:page;mso-position-vertical-relative:paragraph;z-index:-617752" from="411.233887pt,15.652634pt" to="411.233887pt,15.652634pt" stroked="true" strokeweight="1pt" strokecolor="#27211f">
            <w10:wrap type="none"/>
          </v:line>
        </w:pict>
      </w:r>
      <w:r>
        <w:rPr>
          <w:color w:val="231F20"/>
          <w:sz w:val="21"/>
        </w:rPr>
        <w:t>Producción y venta de vehículos en</w:t>
      </w:r>
      <w:r>
        <w:rPr>
          <w:color w:val="231F20"/>
          <w:spacing w:val="-29"/>
          <w:sz w:val="21"/>
        </w:rPr>
        <w:t> </w:t>
      </w:r>
      <w:r>
        <w:rPr>
          <w:color w:val="231F20"/>
          <w:sz w:val="21"/>
        </w:rPr>
        <w:t>el</w:t>
      </w:r>
      <w:r>
        <w:rPr>
          <w:color w:val="231F20"/>
          <w:spacing w:val="-5"/>
          <w:sz w:val="21"/>
        </w:rPr>
        <w:t> </w:t>
      </w:r>
      <w:r>
        <w:rPr>
          <w:color w:val="231F20"/>
          <w:sz w:val="21"/>
        </w:rPr>
        <w:t>mundo</w:t>
      </w:r>
      <w:r>
        <w:rPr>
          <w:color w:val="231F20"/>
          <w:sz w:val="21"/>
          <w:u w:val="dotted" w:color="27211F"/>
        </w:rPr>
        <w:tab/>
      </w:r>
      <w:r>
        <w:rPr>
          <w:color w:val="231F20"/>
          <w:sz w:val="21"/>
        </w:rPr>
        <w:t>44</w:t>
      </w:r>
    </w:p>
    <w:p>
      <w:pPr>
        <w:pStyle w:val="ListParagraph"/>
        <w:numPr>
          <w:ilvl w:val="2"/>
          <w:numId w:val="2"/>
        </w:numPr>
        <w:tabs>
          <w:tab w:pos="1414" w:val="left" w:leader="none"/>
        </w:tabs>
        <w:spacing w:line="240" w:lineRule="auto" w:before="95" w:after="0"/>
        <w:ind w:left="1413" w:right="0" w:hanging="494"/>
        <w:jc w:val="left"/>
        <w:rPr>
          <w:sz w:val="21"/>
        </w:rPr>
      </w:pPr>
      <w:r>
        <w:rPr>
          <w:color w:val="231F20"/>
          <w:sz w:val="21"/>
        </w:rPr>
        <w:t>El</w:t>
      </w:r>
      <w:r>
        <w:rPr>
          <w:color w:val="231F20"/>
          <w:spacing w:val="-9"/>
          <w:sz w:val="21"/>
        </w:rPr>
        <w:t> </w:t>
      </w:r>
      <w:r>
        <w:rPr>
          <w:color w:val="231F20"/>
          <w:sz w:val="21"/>
        </w:rPr>
        <w:t>sector</w:t>
      </w:r>
      <w:r>
        <w:rPr>
          <w:color w:val="231F20"/>
          <w:spacing w:val="-9"/>
          <w:sz w:val="21"/>
        </w:rPr>
        <w:t> </w:t>
      </w:r>
      <w:r>
        <w:rPr>
          <w:color w:val="231F20"/>
          <w:sz w:val="21"/>
        </w:rPr>
        <w:t>automotriz</w:t>
      </w:r>
      <w:r>
        <w:rPr>
          <w:color w:val="231F20"/>
          <w:spacing w:val="-9"/>
          <w:sz w:val="21"/>
        </w:rPr>
        <w:t> </w:t>
      </w:r>
      <w:r>
        <w:rPr>
          <w:color w:val="231F20"/>
          <w:sz w:val="21"/>
        </w:rPr>
        <w:t>y</w:t>
      </w:r>
      <w:r>
        <w:rPr>
          <w:color w:val="231F20"/>
          <w:spacing w:val="-9"/>
          <w:sz w:val="21"/>
        </w:rPr>
        <w:t> </w:t>
      </w:r>
      <w:r>
        <w:rPr>
          <w:color w:val="231F20"/>
          <w:sz w:val="21"/>
        </w:rPr>
        <w:t>los</w:t>
      </w:r>
      <w:r>
        <w:rPr>
          <w:color w:val="231F20"/>
          <w:spacing w:val="-9"/>
          <w:sz w:val="21"/>
        </w:rPr>
        <w:t> </w:t>
      </w:r>
      <w:r>
        <w:rPr>
          <w:color w:val="231F20"/>
          <w:sz w:val="21"/>
        </w:rPr>
        <w:t>saldos</w:t>
      </w:r>
      <w:r>
        <w:rPr>
          <w:color w:val="231F20"/>
          <w:spacing w:val="-9"/>
          <w:sz w:val="21"/>
        </w:rPr>
        <w:t> </w:t>
      </w:r>
      <w:r>
        <w:rPr>
          <w:color w:val="231F20"/>
          <w:sz w:val="21"/>
        </w:rPr>
        <w:t>de</w:t>
      </w:r>
      <w:r>
        <w:rPr>
          <w:color w:val="231F20"/>
          <w:spacing w:val="-9"/>
          <w:sz w:val="21"/>
        </w:rPr>
        <w:t> </w:t>
      </w:r>
      <w:r>
        <w:rPr>
          <w:color w:val="231F20"/>
          <w:sz w:val="21"/>
        </w:rPr>
        <w:t>la</w:t>
      </w:r>
    </w:p>
    <w:p>
      <w:pPr>
        <w:pStyle w:val="BodyText"/>
        <w:tabs>
          <w:tab w:pos="7024" w:val="left" w:leader="none"/>
        </w:tabs>
        <w:spacing w:before="38"/>
        <w:ind w:left="1411" w:right="1151"/>
      </w:pPr>
      <w:r>
        <w:rPr/>
        <w:pict>
          <v:line style="position:absolute;mso-position-horizontal-relative:page;mso-position-vertical-relative:paragraph;z-index:-617728" from="228.815399pt,12.809331pt" to="228.815399pt,12.809331pt" stroked="true" strokeweight="1pt" strokecolor="#27211f">
            <w10:wrap type="none"/>
          </v:line>
        </w:pict>
      </w:r>
      <w:r>
        <w:rPr/>
        <w:pict>
          <v:line style="position:absolute;mso-position-horizontal-relative:page;mso-position-vertical-relative:paragraph;z-index:-617704" from="411.233398pt,12.809331pt" to="411.233398pt,12.809331pt" stroked="true" strokeweight="1pt" strokecolor="#27211f">
            <w10:wrap type="none"/>
          </v:line>
        </w:pict>
      </w:r>
      <w:r>
        <w:rPr>
          <w:color w:val="231F20"/>
        </w:rPr>
        <w:t>Gran Recesión</w:t>
      </w:r>
      <w:r>
        <w:rPr>
          <w:color w:val="231F20"/>
          <w:spacing w:val="-11"/>
        </w:rPr>
        <w:t> </w:t>
      </w:r>
      <w:r>
        <w:rPr>
          <w:color w:val="231F20"/>
        </w:rPr>
        <w:t>de</w:t>
      </w:r>
      <w:r>
        <w:rPr>
          <w:color w:val="231F20"/>
          <w:spacing w:val="-6"/>
        </w:rPr>
        <w:t> </w:t>
      </w:r>
      <w:r>
        <w:rPr>
          <w:color w:val="231F20"/>
        </w:rPr>
        <w:t>2008</w:t>
      </w:r>
      <w:r>
        <w:rPr>
          <w:color w:val="231F20"/>
          <w:u w:val="dotted" w:color="27211F"/>
        </w:rPr>
        <w:tab/>
      </w:r>
      <w:r>
        <w:rPr>
          <w:color w:val="231F20"/>
        </w:rPr>
        <w:t>55</w:t>
      </w:r>
    </w:p>
    <w:p>
      <w:pPr>
        <w:pStyle w:val="ListParagraph"/>
        <w:numPr>
          <w:ilvl w:val="1"/>
          <w:numId w:val="2"/>
        </w:numPr>
        <w:tabs>
          <w:tab w:pos="868" w:val="left" w:leader="none"/>
          <w:tab w:pos="7024" w:val="left" w:leader="none"/>
        </w:tabs>
        <w:spacing w:line="240" w:lineRule="auto" w:before="95" w:after="0"/>
        <w:ind w:left="867" w:right="0" w:hanging="345"/>
        <w:jc w:val="left"/>
        <w:rPr>
          <w:sz w:val="21"/>
        </w:rPr>
      </w:pPr>
      <w:r>
        <w:rPr/>
        <w:pict>
          <v:line style="position:absolute;mso-position-horizontal-relative:page;mso-position-vertical-relative:paragraph;z-index:-617680" from="212.618607pt,15.662434pt" to="212.618607pt,15.662434pt" stroked="true" strokeweight="1pt" strokecolor="#27211f">
            <w10:wrap type="none"/>
          </v:line>
        </w:pict>
      </w:r>
      <w:r>
        <w:rPr/>
        <w:pict>
          <v:line style="position:absolute;mso-position-horizontal-relative:page;mso-position-vertical-relative:paragraph;z-index:-617656" from="411.233612pt,15.662434pt" to="411.233612pt,15.662434pt" stroked="true" strokeweight="1pt" strokecolor="#27211f">
            <w10:wrap type="none"/>
          </v:line>
        </w:pict>
      </w:r>
      <w:r>
        <w:rPr>
          <w:color w:val="231F20"/>
          <w:sz w:val="21"/>
        </w:rPr>
        <w:t>Conclusiones</w:t>
      </w:r>
      <w:r>
        <w:rPr>
          <w:color w:val="231F20"/>
          <w:spacing w:val="-6"/>
          <w:sz w:val="21"/>
        </w:rPr>
        <w:t> </w:t>
      </w:r>
      <w:r>
        <w:rPr>
          <w:color w:val="231F20"/>
          <w:sz w:val="21"/>
        </w:rPr>
        <w:t>del</w:t>
      </w:r>
      <w:r>
        <w:rPr>
          <w:color w:val="231F20"/>
          <w:spacing w:val="-6"/>
          <w:sz w:val="21"/>
        </w:rPr>
        <w:t> </w:t>
      </w:r>
      <w:r>
        <w:rPr>
          <w:color w:val="231F20"/>
          <w:sz w:val="21"/>
        </w:rPr>
        <w:t>capítulo</w:t>
      </w:r>
      <w:r>
        <w:rPr>
          <w:color w:val="231F20"/>
          <w:sz w:val="21"/>
          <w:u w:val="dotted" w:color="27211F"/>
        </w:rPr>
        <w:tab/>
      </w:r>
      <w:r>
        <w:rPr>
          <w:color w:val="231F20"/>
          <w:sz w:val="21"/>
        </w:rPr>
        <w:t>63</w:t>
      </w:r>
    </w:p>
    <w:p>
      <w:pPr>
        <w:spacing w:after="0" w:line="240" w:lineRule="auto"/>
        <w:jc w:val="left"/>
        <w:rPr>
          <w:sz w:val="21"/>
        </w:rPr>
        <w:sectPr>
          <w:footerReference w:type="default" r:id="rId14"/>
          <w:footerReference w:type="even" r:id="rId15"/>
          <w:pgSz w:w="9640" w:h="13040"/>
          <w:pgMar w:footer="654" w:header="0" w:top="0" w:bottom="840" w:left="1180" w:right="0"/>
          <w:pgNumType w:start="7"/>
        </w:sectPr>
      </w:pPr>
    </w:p>
    <w:p>
      <w:pPr>
        <w:pStyle w:val="Heading4"/>
        <w:spacing w:line="240" w:lineRule="auto" w:before="6"/>
        <w:ind w:left="593"/>
        <w:jc w:val="left"/>
      </w:pPr>
      <w:r>
        <w:rPr>
          <w:color w:val="231F20"/>
          <w:w w:val="110"/>
        </w:rPr>
        <w:t>Capítulo III</w:t>
      </w:r>
    </w:p>
    <w:p>
      <w:pPr>
        <w:spacing w:line="282" w:lineRule="exact" w:before="53"/>
        <w:ind w:left="593" w:right="0" w:firstLine="0"/>
        <w:jc w:val="left"/>
        <w:rPr>
          <w:rFonts w:ascii="Palatino Linotype" w:hAnsi="Palatino Linotype"/>
          <w:b/>
          <w:sz w:val="21"/>
        </w:rPr>
      </w:pPr>
      <w:r>
        <w:rPr>
          <w:rFonts w:ascii="Palatino Linotype" w:hAnsi="Palatino Linotype"/>
          <w:b/>
          <w:color w:val="231F20"/>
          <w:w w:val="90"/>
          <w:sz w:val="21"/>
        </w:rPr>
        <w:t>La industria automotriz en México. Importancia,  evolución,</w:t>
      </w:r>
    </w:p>
    <w:p>
      <w:pPr>
        <w:tabs>
          <w:tab w:pos="7488" w:val="left" w:leader="none"/>
        </w:tabs>
        <w:spacing w:line="282" w:lineRule="exact" w:before="0"/>
        <w:ind w:left="593" w:right="0" w:firstLine="0"/>
        <w:jc w:val="left"/>
        <w:rPr>
          <w:rFonts w:ascii="Palatino Linotype" w:hAnsi="Palatino Linotype"/>
          <w:b/>
          <w:sz w:val="21"/>
        </w:rPr>
      </w:pPr>
      <w:r>
        <w:rPr/>
        <w:pict>
          <v:line style="position:absolute;mso-position-horizontal-relative:page;mso-position-vertical-relative:paragraph;z-index:-617608" from="343.807709pt,11.994833pt" to="343.807709pt,11.994833pt" stroked="true" strokeweight="1pt" strokecolor="#27211f">
            <w10:wrap type="none"/>
          </v:line>
        </w:pict>
      </w:r>
      <w:r>
        <w:rPr/>
        <w:pict>
          <v:line style="position:absolute;mso-position-horizontal-relative:page;mso-position-vertical-relative:paragraph;z-index:-617584" from="402.456696pt,11.994833pt" to="402.456696pt,11.994833pt" stroked="true" strokeweight="1pt" strokecolor="#27211f">
            <w10:wrap type="none"/>
          </v:line>
        </w:pict>
      </w:r>
      <w:r>
        <w:rPr>
          <w:rFonts w:ascii="Palatino Linotype" w:hAnsi="Palatino Linotype"/>
          <w:b/>
          <w:color w:val="231F20"/>
          <w:sz w:val="21"/>
        </w:rPr>
        <w:t>desempeño</w:t>
      </w:r>
      <w:r>
        <w:rPr>
          <w:rFonts w:ascii="Palatino Linotype" w:hAnsi="Palatino Linotype"/>
          <w:b/>
          <w:color w:val="231F20"/>
          <w:spacing w:val="-23"/>
          <w:sz w:val="21"/>
        </w:rPr>
        <w:t> </w:t>
      </w:r>
      <w:r>
        <w:rPr>
          <w:rFonts w:ascii="Palatino Linotype" w:hAnsi="Palatino Linotype"/>
          <w:b/>
          <w:color w:val="231F20"/>
          <w:sz w:val="21"/>
        </w:rPr>
        <w:t>y</w:t>
      </w:r>
      <w:r>
        <w:rPr>
          <w:rFonts w:ascii="Palatino Linotype" w:hAnsi="Palatino Linotype"/>
          <w:b/>
          <w:color w:val="231F20"/>
          <w:spacing w:val="-23"/>
          <w:sz w:val="21"/>
        </w:rPr>
        <w:t> </w:t>
      </w:r>
      <w:r>
        <w:rPr>
          <w:rFonts w:ascii="Palatino Linotype" w:hAnsi="Palatino Linotype"/>
          <w:b/>
          <w:color w:val="231F20"/>
          <w:sz w:val="21"/>
        </w:rPr>
        <w:t>tendencias</w:t>
      </w:r>
      <w:r>
        <w:rPr>
          <w:rFonts w:ascii="Palatino Linotype" w:hAnsi="Palatino Linotype"/>
          <w:b/>
          <w:color w:val="231F20"/>
          <w:spacing w:val="-23"/>
          <w:sz w:val="21"/>
        </w:rPr>
        <w:t> </w:t>
      </w:r>
      <w:r>
        <w:rPr>
          <w:rFonts w:ascii="Palatino Linotype" w:hAnsi="Palatino Linotype"/>
          <w:b/>
          <w:color w:val="231F20"/>
          <w:sz w:val="21"/>
        </w:rPr>
        <w:t>en</w:t>
      </w:r>
      <w:r>
        <w:rPr>
          <w:rFonts w:ascii="Palatino Linotype" w:hAnsi="Palatino Linotype"/>
          <w:b/>
          <w:color w:val="231F20"/>
          <w:spacing w:val="-23"/>
          <w:sz w:val="21"/>
        </w:rPr>
        <w:t> </w:t>
      </w:r>
      <w:r>
        <w:rPr>
          <w:rFonts w:ascii="Palatino Linotype" w:hAnsi="Palatino Linotype"/>
          <w:b/>
          <w:color w:val="231F20"/>
          <w:sz w:val="21"/>
        </w:rPr>
        <w:t>el</w:t>
      </w:r>
      <w:r>
        <w:rPr>
          <w:rFonts w:ascii="Palatino Linotype" w:hAnsi="Palatino Linotype"/>
          <w:b/>
          <w:color w:val="231F20"/>
          <w:spacing w:val="-23"/>
          <w:sz w:val="21"/>
        </w:rPr>
        <w:t> </w:t>
      </w:r>
      <w:r>
        <w:rPr>
          <w:rFonts w:ascii="Palatino Linotype" w:hAnsi="Palatino Linotype"/>
          <w:b/>
          <w:color w:val="231F20"/>
          <w:sz w:val="21"/>
        </w:rPr>
        <w:t>crecimiento</w:t>
      </w:r>
      <w:r>
        <w:rPr>
          <w:rFonts w:ascii="Palatino Linotype" w:hAnsi="Palatino Linotype"/>
          <w:b/>
          <w:color w:val="231F20"/>
          <w:spacing w:val="-23"/>
          <w:sz w:val="21"/>
        </w:rPr>
        <w:t> </w:t>
      </w:r>
      <w:r>
        <w:rPr>
          <w:rFonts w:ascii="Palatino Linotype" w:hAnsi="Palatino Linotype"/>
          <w:b/>
          <w:color w:val="231F20"/>
          <w:sz w:val="21"/>
        </w:rPr>
        <w:t>de</w:t>
      </w:r>
      <w:r>
        <w:rPr>
          <w:rFonts w:ascii="Palatino Linotype" w:hAnsi="Palatino Linotype"/>
          <w:b/>
          <w:color w:val="231F20"/>
          <w:spacing w:val="-23"/>
          <w:sz w:val="21"/>
        </w:rPr>
        <w:t> </w:t>
      </w:r>
      <w:r>
        <w:rPr>
          <w:rFonts w:ascii="Palatino Linotype" w:hAnsi="Palatino Linotype"/>
          <w:b/>
          <w:color w:val="231F20"/>
          <w:sz w:val="21"/>
        </w:rPr>
        <w:t>un</w:t>
      </w:r>
      <w:r>
        <w:rPr>
          <w:rFonts w:ascii="Palatino Linotype" w:hAnsi="Palatino Linotype"/>
          <w:b/>
          <w:color w:val="231F20"/>
          <w:spacing w:val="-23"/>
          <w:sz w:val="21"/>
        </w:rPr>
        <w:t> </w:t>
      </w:r>
      <w:r>
        <w:rPr>
          <w:rFonts w:ascii="Palatino Linotype" w:hAnsi="Palatino Linotype"/>
          <w:b/>
          <w:color w:val="231F20"/>
          <w:sz w:val="21"/>
        </w:rPr>
        <w:t>sector</w:t>
      </w:r>
      <w:r>
        <w:rPr>
          <w:rFonts w:ascii="Palatino Linotype" w:hAnsi="Palatino Linotype"/>
          <w:b/>
          <w:color w:val="231F20"/>
          <w:spacing w:val="-23"/>
          <w:sz w:val="21"/>
        </w:rPr>
        <w:t> </w:t>
      </w:r>
      <w:r>
        <w:rPr>
          <w:rFonts w:ascii="Palatino Linotype" w:hAnsi="Palatino Linotype"/>
          <w:b/>
          <w:color w:val="231F20"/>
          <w:sz w:val="21"/>
        </w:rPr>
        <w:t>estratégico</w:t>
      </w:r>
      <w:r>
        <w:rPr>
          <w:rFonts w:ascii="Palatino Linotype" w:hAnsi="Palatino Linotype"/>
          <w:b/>
          <w:color w:val="231F20"/>
          <w:sz w:val="21"/>
          <w:u w:val="dotted" w:color="27211F"/>
        </w:rPr>
        <w:tab/>
      </w:r>
      <w:r>
        <w:rPr>
          <w:rFonts w:ascii="Palatino Linotype" w:hAnsi="Palatino Linotype"/>
          <w:b/>
          <w:color w:val="231F20"/>
          <w:sz w:val="21"/>
        </w:rPr>
        <w:t>65</w:t>
      </w:r>
    </w:p>
    <w:p>
      <w:pPr>
        <w:pStyle w:val="ListParagraph"/>
        <w:numPr>
          <w:ilvl w:val="1"/>
          <w:numId w:val="3"/>
        </w:numPr>
        <w:tabs>
          <w:tab w:pos="1336" w:val="left" w:leader="none"/>
          <w:tab w:pos="7494" w:val="left" w:leader="none"/>
        </w:tabs>
        <w:spacing w:line="240" w:lineRule="auto" w:before="77" w:after="0"/>
        <w:ind w:left="1335" w:right="0" w:hanging="345"/>
        <w:jc w:val="left"/>
        <w:rPr>
          <w:sz w:val="21"/>
        </w:rPr>
      </w:pPr>
      <w:r>
        <w:rPr/>
        <w:pict>
          <v:line style="position:absolute;mso-position-horizontal-relative:page;mso-position-vertical-relative:paragraph;z-index:-617560" from="286.170013pt,14.712461pt" to="286.170013pt,14.712461pt" stroked="true" strokeweight="1pt" strokecolor="#27211f">
            <w10:wrap type="none"/>
          </v:line>
        </w:pict>
      </w:r>
      <w:r>
        <w:rPr/>
        <w:pict>
          <v:line style="position:absolute;mso-position-horizontal-relative:page;mso-position-vertical-relative:paragraph;z-index:-617536" from="402.730011pt,14.712461pt" to="402.730011pt,14.712461pt" stroked="true" strokeweight="1pt" strokecolor="#27211f">
            <w10:wrap type="none"/>
          </v:line>
        </w:pict>
      </w:r>
      <w:r>
        <w:rPr>
          <w:color w:val="231F20"/>
          <w:sz w:val="21"/>
        </w:rPr>
        <w:t>Importancia del sector automotriz</w:t>
      </w:r>
      <w:r>
        <w:rPr>
          <w:color w:val="231F20"/>
          <w:spacing w:val="-20"/>
          <w:sz w:val="21"/>
        </w:rPr>
        <w:t> </w:t>
      </w:r>
      <w:r>
        <w:rPr>
          <w:color w:val="231F20"/>
          <w:sz w:val="21"/>
        </w:rPr>
        <w:t>en</w:t>
      </w:r>
      <w:r>
        <w:rPr>
          <w:color w:val="231F20"/>
          <w:spacing w:val="-5"/>
          <w:sz w:val="21"/>
        </w:rPr>
        <w:t> </w:t>
      </w:r>
      <w:r>
        <w:rPr>
          <w:color w:val="231F20"/>
          <w:sz w:val="21"/>
        </w:rPr>
        <w:t>México</w:t>
      </w:r>
      <w:r>
        <w:rPr>
          <w:color w:val="231F20"/>
          <w:sz w:val="21"/>
          <w:u w:val="dotted" w:color="27211F"/>
        </w:rPr>
        <w:tab/>
      </w:r>
      <w:r>
        <w:rPr>
          <w:color w:val="231F20"/>
          <w:sz w:val="21"/>
        </w:rPr>
        <w:t>66</w:t>
      </w:r>
    </w:p>
    <w:p>
      <w:pPr>
        <w:pStyle w:val="ListParagraph"/>
        <w:numPr>
          <w:ilvl w:val="1"/>
          <w:numId w:val="3"/>
        </w:numPr>
        <w:tabs>
          <w:tab w:pos="1336" w:val="left" w:leader="none"/>
          <w:tab w:pos="7494" w:val="left" w:leader="none"/>
        </w:tabs>
        <w:spacing w:line="240" w:lineRule="auto" w:before="95" w:after="0"/>
        <w:ind w:left="1336" w:right="0" w:hanging="346"/>
        <w:jc w:val="left"/>
        <w:rPr>
          <w:sz w:val="21"/>
        </w:rPr>
      </w:pPr>
      <w:r>
        <w:rPr/>
        <w:pict>
          <v:line style="position:absolute;mso-position-horizontal-relative:page;mso-position-vertical-relative:paragraph;z-index:-617512" from="206.203705pt,15.615519pt" to="206.203705pt,15.615519pt" stroked="true" strokeweight="1pt" strokecolor="#27211f">
            <w10:wrap type="none"/>
          </v:line>
        </w:pict>
      </w:r>
      <w:r>
        <w:rPr/>
        <w:pict>
          <v:line style="position:absolute;mso-position-horizontal-relative:page;mso-position-vertical-relative:paragraph;z-index:-617488" from="402.729706pt,15.615519pt" to="402.729706pt,15.615519pt" stroked="true" strokeweight="1pt" strokecolor="#27211f">
            <w10:wrap type="none"/>
          </v:line>
        </w:pict>
      </w:r>
      <w:r>
        <w:rPr>
          <w:color w:val="231F20"/>
          <w:sz w:val="21"/>
        </w:rPr>
        <w:t>Los</w:t>
      </w:r>
      <w:r>
        <w:rPr>
          <w:color w:val="231F20"/>
          <w:spacing w:val="-6"/>
          <w:sz w:val="21"/>
        </w:rPr>
        <w:t> </w:t>
      </w:r>
      <w:r>
        <w:rPr>
          <w:color w:val="231F20"/>
          <w:sz w:val="21"/>
        </w:rPr>
        <w:t>decretos</w:t>
      </w:r>
      <w:r>
        <w:rPr>
          <w:color w:val="231F20"/>
          <w:spacing w:val="-6"/>
          <w:sz w:val="21"/>
        </w:rPr>
        <w:t> </w:t>
      </w:r>
      <w:r>
        <w:rPr>
          <w:color w:val="231F20"/>
          <w:sz w:val="21"/>
        </w:rPr>
        <w:t>automotrices</w:t>
      </w:r>
      <w:r>
        <w:rPr>
          <w:color w:val="231F20"/>
          <w:sz w:val="21"/>
          <w:u w:val="dotted" w:color="27211F"/>
        </w:rPr>
        <w:tab/>
      </w:r>
      <w:r>
        <w:rPr>
          <w:color w:val="231F20"/>
          <w:sz w:val="21"/>
        </w:rPr>
        <w:t>68</w:t>
      </w:r>
    </w:p>
    <w:p>
      <w:pPr>
        <w:pStyle w:val="ListParagraph"/>
        <w:numPr>
          <w:ilvl w:val="1"/>
          <w:numId w:val="4"/>
        </w:numPr>
        <w:tabs>
          <w:tab w:pos="1289" w:val="left" w:leader="none"/>
          <w:tab w:pos="7494" w:val="left" w:leader="none"/>
        </w:tabs>
        <w:spacing w:line="240" w:lineRule="auto" w:before="95" w:after="0"/>
        <w:ind w:left="1288" w:right="0" w:hanging="297"/>
        <w:jc w:val="left"/>
        <w:rPr>
          <w:sz w:val="21"/>
        </w:rPr>
      </w:pPr>
      <w:r>
        <w:rPr/>
        <w:pict>
          <v:line style="position:absolute;mso-position-horizontal-relative:page;mso-position-vertical-relative:paragraph;z-index:-617464" from="290.747711pt,15.618636pt" to="290.747711pt,15.618636pt" stroked="true" strokeweight="1pt" strokecolor="#27211f">
            <w10:wrap type="none"/>
          </v:line>
        </w:pict>
      </w:r>
      <w:r>
        <w:rPr/>
        <w:pict>
          <v:line style="position:absolute;mso-position-horizontal-relative:page;mso-position-vertical-relative:paragraph;z-index:-617440" from="402.729706pt,15.618636pt" to="402.729706pt,15.618636pt" stroked="true" strokeweight="1pt" strokecolor="#27211f">
            <w10:wrap type="none"/>
          </v:line>
        </w:pict>
      </w:r>
      <w:r>
        <w:rPr>
          <w:color w:val="231F20"/>
          <w:sz w:val="21"/>
        </w:rPr>
        <w:t>El desempeño del sector automotriz</w:t>
      </w:r>
      <w:r>
        <w:rPr>
          <w:color w:val="231F20"/>
          <w:spacing w:val="-26"/>
          <w:sz w:val="21"/>
        </w:rPr>
        <w:t> </w:t>
      </w:r>
      <w:r>
        <w:rPr>
          <w:color w:val="231F20"/>
          <w:sz w:val="21"/>
        </w:rPr>
        <w:t>en</w:t>
      </w:r>
      <w:r>
        <w:rPr>
          <w:color w:val="231F20"/>
          <w:spacing w:val="-6"/>
          <w:sz w:val="21"/>
        </w:rPr>
        <w:t> </w:t>
      </w:r>
      <w:r>
        <w:rPr>
          <w:color w:val="231F20"/>
          <w:sz w:val="21"/>
        </w:rPr>
        <w:t>México</w:t>
      </w:r>
      <w:r>
        <w:rPr>
          <w:color w:val="231F20"/>
          <w:sz w:val="21"/>
          <w:u w:val="dotted" w:color="27211F"/>
        </w:rPr>
        <w:tab/>
      </w:r>
      <w:r>
        <w:rPr>
          <w:color w:val="231F20"/>
          <w:sz w:val="21"/>
        </w:rPr>
        <w:t>75</w:t>
      </w:r>
    </w:p>
    <w:p>
      <w:pPr>
        <w:pStyle w:val="ListParagraph"/>
        <w:numPr>
          <w:ilvl w:val="2"/>
          <w:numId w:val="4"/>
        </w:numPr>
        <w:tabs>
          <w:tab w:pos="1868" w:val="left" w:leader="none"/>
        </w:tabs>
        <w:spacing w:line="240" w:lineRule="auto" w:before="95" w:after="0"/>
        <w:ind w:left="1867" w:right="0" w:hanging="479"/>
        <w:jc w:val="left"/>
        <w:rPr>
          <w:sz w:val="21"/>
        </w:rPr>
      </w:pPr>
      <w:r>
        <w:rPr>
          <w:color w:val="231F20"/>
          <w:spacing w:val="-4"/>
          <w:sz w:val="21"/>
        </w:rPr>
        <w:t>Producción </w:t>
      </w:r>
      <w:r>
        <w:rPr>
          <w:color w:val="231F20"/>
          <w:spacing w:val="-3"/>
          <w:sz w:val="21"/>
        </w:rPr>
        <w:t>total, para mercado </w:t>
      </w:r>
      <w:r>
        <w:rPr>
          <w:color w:val="231F20"/>
          <w:spacing w:val="-1"/>
          <w:sz w:val="21"/>
        </w:rPr>
        <w:t> </w:t>
      </w:r>
      <w:r>
        <w:rPr>
          <w:color w:val="231F20"/>
          <w:spacing w:val="-3"/>
          <w:sz w:val="21"/>
        </w:rPr>
        <w:t>nacional</w:t>
      </w:r>
    </w:p>
    <w:p>
      <w:pPr>
        <w:pStyle w:val="BodyText"/>
        <w:tabs>
          <w:tab w:pos="7494" w:val="left" w:leader="none"/>
        </w:tabs>
        <w:spacing w:before="38"/>
        <w:ind w:left="1876"/>
      </w:pPr>
      <w:r>
        <w:rPr/>
        <w:pict>
          <v:line style="position:absolute;mso-position-horizontal-relative:page;mso-position-vertical-relative:paragraph;z-index:-617416" from="220.626099pt,12.775333pt" to="220.626099pt,12.775333pt" stroked="true" strokeweight="1pt" strokecolor="#27211f">
            <w10:wrap type="none"/>
          </v:line>
        </w:pict>
      </w:r>
      <w:r>
        <w:rPr/>
        <w:pict>
          <v:line style="position:absolute;mso-position-horizontal-relative:page;mso-position-vertical-relative:paragraph;z-index:-617392" from="402.730103pt,12.775333pt" to="402.730103pt,12.775333pt" stroked="true" strokeweight="1pt" strokecolor="#27211f">
            <w10:wrap type="none"/>
          </v:line>
        </w:pict>
      </w:r>
      <w:r>
        <w:rPr>
          <w:color w:val="231F20"/>
        </w:rPr>
        <w:t>y </w:t>
      </w:r>
      <w:r>
        <w:rPr>
          <w:color w:val="231F20"/>
          <w:spacing w:val="-3"/>
        </w:rPr>
        <w:t>para</w:t>
      </w:r>
      <w:r>
        <w:rPr>
          <w:color w:val="231F20"/>
          <w:spacing w:val="-20"/>
        </w:rPr>
        <w:t> </w:t>
      </w:r>
      <w:r>
        <w:rPr>
          <w:color w:val="231F20"/>
          <w:spacing w:val="-3"/>
        </w:rPr>
        <w:t>mercado</w:t>
      </w:r>
      <w:r>
        <w:rPr>
          <w:color w:val="231F20"/>
          <w:spacing w:val="-10"/>
        </w:rPr>
        <w:t> </w:t>
      </w:r>
      <w:r>
        <w:rPr>
          <w:color w:val="231F20"/>
          <w:spacing w:val="-3"/>
        </w:rPr>
        <w:t>externo</w:t>
      </w:r>
      <w:r>
        <w:rPr>
          <w:color w:val="231F20"/>
          <w:spacing w:val="-3"/>
          <w:u w:val="dotted" w:color="27211F"/>
        </w:rPr>
        <w:tab/>
      </w:r>
      <w:r>
        <w:rPr>
          <w:color w:val="231F20"/>
        </w:rPr>
        <w:t>76</w:t>
      </w:r>
    </w:p>
    <w:p>
      <w:pPr>
        <w:pStyle w:val="ListParagraph"/>
        <w:numPr>
          <w:ilvl w:val="2"/>
          <w:numId w:val="4"/>
        </w:numPr>
        <w:tabs>
          <w:tab w:pos="1883" w:val="left" w:leader="none"/>
          <w:tab w:pos="7494" w:val="left" w:leader="none"/>
        </w:tabs>
        <w:spacing w:line="240" w:lineRule="auto" w:before="95" w:after="0"/>
        <w:ind w:left="1882" w:right="0" w:hanging="494"/>
        <w:jc w:val="left"/>
        <w:rPr>
          <w:sz w:val="21"/>
        </w:rPr>
      </w:pPr>
      <w:r>
        <w:rPr/>
        <w:pict>
          <v:line style="position:absolute;mso-position-horizontal-relative:page;mso-position-vertical-relative:paragraph;z-index:-617368" from="222.087494pt,15.628421pt" to="222.087494pt,15.628421pt" stroked="true" strokeweight="1pt" strokecolor="#27211f">
            <w10:wrap type="none"/>
          </v:line>
        </w:pict>
      </w:r>
      <w:r>
        <w:rPr/>
        <w:pict>
          <v:line style="position:absolute;mso-position-horizontal-relative:page;mso-position-vertical-relative:paragraph;z-index:-617344" from="402.729492pt,15.628421pt" to="402.729492pt,15.628421pt" stroked="true" strokeweight="1pt" strokecolor="#27211f">
            <w10:wrap type="none"/>
          </v:line>
        </w:pict>
      </w:r>
      <w:r>
        <w:rPr>
          <w:color w:val="231F20"/>
          <w:sz w:val="21"/>
        </w:rPr>
        <w:t>Localización</w:t>
      </w:r>
      <w:r>
        <w:rPr>
          <w:color w:val="231F20"/>
          <w:spacing w:val="-6"/>
          <w:sz w:val="21"/>
        </w:rPr>
        <w:t> </w:t>
      </w:r>
      <w:r>
        <w:rPr>
          <w:color w:val="231F20"/>
          <w:sz w:val="21"/>
        </w:rPr>
        <w:t>geográfica</w:t>
      </w:r>
      <w:r>
        <w:rPr>
          <w:color w:val="231F20"/>
          <w:sz w:val="21"/>
          <w:u w:val="dotted" w:color="27211F"/>
        </w:rPr>
        <w:tab/>
      </w:r>
      <w:r>
        <w:rPr>
          <w:color w:val="231F20"/>
          <w:sz w:val="21"/>
        </w:rPr>
        <w:t>88</w:t>
      </w:r>
    </w:p>
    <w:p>
      <w:pPr>
        <w:pStyle w:val="ListParagraph"/>
        <w:numPr>
          <w:ilvl w:val="1"/>
          <w:numId w:val="5"/>
        </w:numPr>
        <w:tabs>
          <w:tab w:pos="1337" w:val="left" w:leader="none"/>
        </w:tabs>
        <w:spacing w:line="240" w:lineRule="auto" w:before="95" w:after="0"/>
        <w:ind w:left="1336" w:right="0" w:hanging="345"/>
        <w:jc w:val="left"/>
        <w:rPr>
          <w:sz w:val="21"/>
        </w:rPr>
      </w:pPr>
      <w:r>
        <w:rPr>
          <w:color w:val="231F20"/>
          <w:spacing w:val="-3"/>
          <w:sz w:val="21"/>
        </w:rPr>
        <w:t>Tendencias</w:t>
      </w:r>
      <w:r>
        <w:rPr>
          <w:color w:val="231F20"/>
          <w:spacing w:val="-10"/>
          <w:sz w:val="21"/>
        </w:rPr>
        <w:t> </w:t>
      </w:r>
      <w:r>
        <w:rPr>
          <w:color w:val="231F20"/>
          <w:sz w:val="21"/>
        </w:rPr>
        <w:t>en</w:t>
      </w:r>
      <w:r>
        <w:rPr>
          <w:color w:val="231F20"/>
          <w:spacing w:val="-10"/>
          <w:sz w:val="21"/>
        </w:rPr>
        <w:t> </w:t>
      </w:r>
      <w:r>
        <w:rPr>
          <w:color w:val="231F20"/>
          <w:sz w:val="21"/>
        </w:rPr>
        <w:t>el</w:t>
      </w:r>
      <w:r>
        <w:rPr>
          <w:color w:val="231F20"/>
          <w:spacing w:val="-10"/>
          <w:sz w:val="21"/>
        </w:rPr>
        <w:t> </w:t>
      </w:r>
      <w:r>
        <w:rPr>
          <w:color w:val="231F20"/>
          <w:sz w:val="21"/>
        </w:rPr>
        <w:t>crecimiento</w:t>
      </w:r>
      <w:r>
        <w:rPr>
          <w:color w:val="231F20"/>
          <w:spacing w:val="-10"/>
          <w:sz w:val="21"/>
        </w:rPr>
        <w:t> </w:t>
      </w:r>
      <w:r>
        <w:rPr>
          <w:color w:val="231F20"/>
          <w:sz w:val="21"/>
        </w:rPr>
        <w:t>y</w:t>
      </w:r>
      <w:r>
        <w:rPr>
          <w:color w:val="231F20"/>
          <w:spacing w:val="-10"/>
          <w:sz w:val="21"/>
        </w:rPr>
        <w:t> </w:t>
      </w:r>
      <w:r>
        <w:rPr>
          <w:color w:val="231F20"/>
          <w:sz w:val="21"/>
        </w:rPr>
        <w:t>localización</w:t>
      </w:r>
      <w:r>
        <w:rPr>
          <w:color w:val="231F20"/>
          <w:spacing w:val="-10"/>
          <w:sz w:val="21"/>
        </w:rPr>
        <w:t> </w:t>
      </w:r>
      <w:r>
        <w:rPr>
          <w:color w:val="231F20"/>
          <w:sz w:val="21"/>
        </w:rPr>
        <w:t>espacial</w:t>
      </w:r>
    </w:p>
    <w:p>
      <w:pPr>
        <w:pStyle w:val="BodyText"/>
        <w:tabs>
          <w:tab w:pos="7494" w:val="left" w:leader="none"/>
        </w:tabs>
        <w:spacing w:before="38"/>
        <w:ind w:left="1336"/>
      </w:pPr>
      <w:r>
        <w:rPr/>
        <w:pict>
          <v:line style="position:absolute;mso-position-horizontal-relative:page;mso-position-vertical-relative:paragraph;z-index:-617320" from="231.770706pt,12.785149pt" to="231.770706pt,12.785149pt" stroked="true" strokeweight="1pt" strokecolor="#27211f">
            <w10:wrap type="none"/>
          </v:line>
        </w:pict>
      </w:r>
      <w:r>
        <w:rPr/>
        <w:pict>
          <v:line style="position:absolute;mso-position-horizontal-relative:page;mso-position-vertical-relative:paragraph;z-index:-617296" from="402.729706pt,12.785149pt" to="402.729706pt,12.785149pt" stroked="true" strokeweight="1pt" strokecolor="#27211f">
            <w10:wrap type="none"/>
          </v:line>
        </w:pict>
      </w:r>
      <w:r>
        <w:rPr>
          <w:color w:val="231F20"/>
        </w:rPr>
        <w:t>del sector automotriz</w:t>
      </w:r>
      <w:r>
        <w:rPr>
          <w:color w:val="231F20"/>
          <w:spacing w:val="-16"/>
        </w:rPr>
        <w:t> </w:t>
      </w:r>
      <w:r>
        <w:rPr>
          <w:color w:val="231F20"/>
        </w:rPr>
        <w:t>en</w:t>
      </w:r>
      <w:r>
        <w:rPr>
          <w:color w:val="231F20"/>
          <w:spacing w:val="-6"/>
        </w:rPr>
        <w:t> </w:t>
      </w:r>
      <w:r>
        <w:rPr>
          <w:color w:val="231F20"/>
        </w:rPr>
        <w:t>México</w:t>
      </w:r>
      <w:r>
        <w:rPr>
          <w:color w:val="231F20"/>
          <w:u w:val="dotted" w:color="27211F"/>
        </w:rPr>
        <w:tab/>
      </w:r>
      <w:r>
        <w:rPr>
          <w:color w:val="231F20"/>
        </w:rPr>
        <w:t>94</w:t>
      </w:r>
    </w:p>
    <w:p>
      <w:pPr>
        <w:pStyle w:val="ListParagraph"/>
        <w:numPr>
          <w:ilvl w:val="1"/>
          <w:numId w:val="5"/>
        </w:numPr>
        <w:tabs>
          <w:tab w:pos="1338" w:val="left" w:leader="none"/>
          <w:tab w:pos="7393" w:val="left" w:leader="none"/>
        </w:tabs>
        <w:spacing w:line="240" w:lineRule="auto" w:before="95" w:after="0"/>
        <w:ind w:left="1337" w:right="0" w:hanging="345"/>
        <w:jc w:val="left"/>
        <w:rPr>
          <w:sz w:val="21"/>
        </w:rPr>
      </w:pPr>
      <w:r>
        <w:rPr/>
        <w:pict>
          <v:line style="position:absolute;mso-position-horizontal-relative:page;mso-position-vertical-relative:paragraph;z-index:-617272" from="204.1147pt,15.638236pt" to="204.1147pt,15.638236pt" stroked="true" strokeweight="1pt" strokecolor="#27211f">
            <w10:wrap type="none"/>
          </v:line>
        </w:pict>
      </w:r>
      <w:r>
        <w:rPr/>
        <w:pict>
          <v:line style="position:absolute;mso-position-horizontal-relative:page;mso-position-vertical-relative:paragraph;z-index:-617248" from="397.689697pt,15.638236pt" to="397.689697pt,15.638236pt" stroked="true" strokeweight="1pt" strokecolor="#27211f">
            <w10:wrap type="none"/>
          </v:line>
        </w:pict>
      </w:r>
      <w:r>
        <w:rPr>
          <w:color w:val="231F20"/>
          <w:sz w:val="21"/>
        </w:rPr>
        <w:t>Conclusiones</w:t>
      </w:r>
      <w:r>
        <w:rPr>
          <w:color w:val="231F20"/>
          <w:spacing w:val="-6"/>
          <w:sz w:val="21"/>
        </w:rPr>
        <w:t> </w:t>
      </w:r>
      <w:r>
        <w:rPr>
          <w:color w:val="231F20"/>
          <w:sz w:val="21"/>
        </w:rPr>
        <w:t>del</w:t>
      </w:r>
      <w:r>
        <w:rPr>
          <w:color w:val="231F20"/>
          <w:spacing w:val="-6"/>
          <w:sz w:val="21"/>
        </w:rPr>
        <w:t> </w:t>
      </w:r>
      <w:r>
        <w:rPr>
          <w:color w:val="231F20"/>
          <w:sz w:val="21"/>
        </w:rPr>
        <w:t>capítulo</w:t>
      </w:r>
      <w:r>
        <w:rPr>
          <w:color w:val="231F20"/>
          <w:sz w:val="21"/>
          <w:u w:val="dotted" w:color="27211F"/>
        </w:rPr>
        <w:tab/>
      </w:r>
      <w:r>
        <w:rPr>
          <w:color w:val="231F20"/>
          <w:sz w:val="21"/>
        </w:rPr>
        <w:t>100</w:t>
      </w:r>
    </w:p>
    <w:p>
      <w:pPr>
        <w:pStyle w:val="BodyText"/>
        <w:rPr>
          <w:sz w:val="27"/>
        </w:rPr>
      </w:pPr>
    </w:p>
    <w:p>
      <w:pPr>
        <w:pStyle w:val="Heading4"/>
        <w:spacing w:line="240" w:lineRule="auto"/>
        <w:ind w:left="595"/>
        <w:jc w:val="left"/>
      </w:pPr>
      <w:r>
        <w:rPr>
          <w:color w:val="231F20"/>
          <w:w w:val="105"/>
        </w:rPr>
        <w:t>Capítulo IV</w:t>
      </w:r>
    </w:p>
    <w:p>
      <w:pPr>
        <w:spacing w:line="282" w:lineRule="exact" w:before="53"/>
        <w:ind w:left="595" w:right="0" w:firstLine="0"/>
        <w:jc w:val="left"/>
        <w:rPr>
          <w:rFonts w:ascii="Palatino Linotype" w:hAnsi="Palatino Linotype"/>
          <w:b/>
          <w:sz w:val="21"/>
        </w:rPr>
      </w:pPr>
      <w:r>
        <w:rPr>
          <w:rFonts w:ascii="Palatino Linotype" w:hAnsi="Palatino Linotype"/>
          <w:b/>
          <w:color w:val="231F20"/>
          <w:w w:val="95"/>
          <w:sz w:val="21"/>
        </w:rPr>
        <w:t>La industria automotriz en el Estado de México. Importancia,</w:t>
      </w:r>
    </w:p>
    <w:p>
      <w:pPr>
        <w:tabs>
          <w:tab w:pos="7389" w:val="left" w:leader="none"/>
        </w:tabs>
        <w:spacing w:line="282" w:lineRule="exact" w:before="0"/>
        <w:ind w:left="595" w:right="0" w:firstLine="0"/>
        <w:jc w:val="left"/>
        <w:rPr>
          <w:rFonts w:ascii="Palatino Linotype" w:hAnsi="Palatino Linotype"/>
          <w:b/>
          <w:sz w:val="21"/>
        </w:rPr>
      </w:pPr>
      <w:r>
        <w:rPr/>
        <w:pict>
          <v:line style="position:absolute;mso-position-horizontal-relative:page;mso-position-vertical-relative:paragraph;z-index:-617224" from="313.326294pt,12.032115pt" to="313.326294pt,12.032115pt" stroked="true" strokeweight="1pt" strokecolor="#27211f">
            <w10:wrap type="none"/>
          </v:line>
        </w:pict>
      </w:r>
      <w:r>
        <w:rPr/>
        <w:pict>
          <v:line style="position:absolute;mso-position-horizontal-relative:page;mso-position-vertical-relative:paragraph;z-index:-617200" from="397.490295pt,12.032115pt" to="397.490295pt,12.032115pt" stroked="true" strokeweight="1pt" strokecolor="#27211f">
            <w10:wrap type="none"/>
          </v:line>
        </w:pict>
      </w:r>
      <w:r>
        <w:rPr>
          <w:rFonts w:ascii="Palatino Linotype" w:hAnsi="Palatino Linotype"/>
          <w:b/>
          <w:color w:val="231F20"/>
          <w:spacing w:val="-3"/>
          <w:sz w:val="21"/>
        </w:rPr>
        <w:t>desempeño</w:t>
      </w:r>
      <w:r>
        <w:rPr>
          <w:rFonts w:ascii="Palatino Linotype" w:hAnsi="Palatino Linotype"/>
          <w:b/>
          <w:color w:val="231F20"/>
          <w:spacing w:val="-21"/>
          <w:sz w:val="21"/>
        </w:rPr>
        <w:t> </w:t>
      </w:r>
      <w:r>
        <w:rPr>
          <w:rFonts w:ascii="Palatino Linotype" w:hAnsi="Palatino Linotype"/>
          <w:b/>
          <w:color w:val="231F20"/>
          <w:sz w:val="21"/>
        </w:rPr>
        <w:t>y</w:t>
      </w:r>
      <w:r>
        <w:rPr>
          <w:rFonts w:ascii="Palatino Linotype" w:hAnsi="Palatino Linotype"/>
          <w:b/>
          <w:color w:val="231F20"/>
          <w:spacing w:val="-21"/>
          <w:sz w:val="21"/>
        </w:rPr>
        <w:t> </w:t>
      </w:r>
      <w:r>
        <w:rPr>
          <w:rFonts w:ascii="Palatino Linotype" w:hAnsi="Palatino Linotype"/>
          <w:b/>
          <w:color w:val="231F20"/>
          <w:spacing w:val="-3"/>
          <w:sz w:val="21"/>
        </w:rPr>
        <w:t>pérdida</w:t>
      </w:r>
      <w:r>
        <w:rPr>
          <w:rFonts w:ascii="Palatino Linotype" w:hAnsi="Palatino Linotype"/>
          <w:b/>
          <w:color w:val="231F20"/>
          <w:spacing w:val="-21"/>
          <w:sz w:val="21"/>
        </w:rPr>
        <w:t> </w:t>
      </w:r>
      <w:r>
        <w:rPr>
          <w:rFonts w:ascii="Palatino Linotype" w:hAnsi="Palatino Linotype"/>
          <w:b/>
          <w:color w:val="231F20"/>
          <w:sz w:val="21"/>
        </w:rPr>
        <w:t>de</w:t>
      </w:r>
      <w:r>
        <w:rPr>
          <w:rFonts w:ascii="Palatino Linotype" w:hAnsi="Palatino Linotype"/>
          <w:b/>
          <w:color w:val="231F20"/>
          <w:spacing w:val="-21"/>
          <w:sz w:val="21"/>
        </w:rPr>
        <w:t> </w:t>
      </w:r>
      <w:r>
        <w:rPr>
          <w:rFonts w:ascii="Palatino Linotype" w:hAnsi="Palatino Linotype"/>
          <w:b/>
          <w:color w:val="231F20"/>
          <w:spacing w:val="-3"/>
          <w:sz w:val="21"/>
        </w:rPr>
        <w:t>dinamismo</w:t>
      </w:r>
      <w:r>
        <w:rPr>
          <w:rFonts w:ascii="Palatino Linotype" w:hAnsi="Palatino Linotype"/>
          <w:b/>
          <w:color w:val="231F20"/>
          <w:spacing w:val="-21"/>
          <w:sz w:val="21"/>
        </w:rPr>
        <w:t> </w:t>
      </w:r>
      <w:r>
        <w:rPr>
          <w:rFonts w:ascii="Palatino Linotype" w:hAnsi="Palatino Linotype"/>
          <w:b/>
          <w:color w:val="231F20"/>
          <w:sz w:val="21"/>
        </w:rPr>
        <w:t>de</w:t>
      </w:r>
      <w:r>
        <w:rPr>
          <w:rFonts w:ascii="Palatino Linotype" w:hAnsi="Palatino Linotype"/>
          <w:b/>
          <w:color w:val="231F20"/>
          <w:spacing w:val="-21"/>
          <w:sz w:val="21"/>
        </w:rPr>
        <w:t> </w:t>
      </w:r>
      <w:r>
        <w:rPr>
          <w:rFonts w:ascii="Palatino Linotype" w:hAnsi="Palatino Linotype"/>
          <w:b/>
          <w:color w:val="231F20"/>
          <w:sz w:val="21"/>
        </w:rPr>
        <w:t>un</w:t>
      </w:r>
      <w:r>
        <w:rPr>
          <w:rFonts w:ascii="Palatino Linotype" w:hAnsi="Palatino Linotype"/>
          <w:b/>
          <w:color w:val="231F20"/>
          <w:spacing w:val="-21"/>
          <w:sz w:val="21"/>
        </w:rPr>
        <w:t> </w:t>
      </w:r>
      <w:r>
        <w:rPr>
          <w:rFonts w:ascii="Palatino Linotype" w:hAnsi="Palatino Linotype"/>
          <w:b/>
          <w:color w:val="231F20"/>
          <w:spacing w:val="-3"/>
          <w:sz w:val="21"/>
        </w:rPr>
        <w:t>sector</w:t>
      </w:r>
      <w:r>
        <w:rPr>
          <w:rFonts w:ascii="Palatino Linotype" w:hAnsi="Palatino Linotype"/>
          <w:b/>
          <w:color w:val="231F20"/>
          <w:spacing w:val="-21"/>
          <w:sz w:val="21"/>
        </w:rPr>
        <w:t> </w:t>
      </w:r>
      <w:r>
        <w:rPr>
          <w:rFonts w:ascii="Palatino Linotype" w:hAnsi="Palatino Linotype"/>
          <w:b/>
          <w:color w:val="231F20"/>
          <w:spacing w:val="-3"/>
          <w:sz w:val="21"/>
        </w:rPr>
        <w:t>estratégico</w:t>
      </w:r>
      <w:r>
        <w:rPr>
          <w:rFonts w:ascii="Palatino Linotype" w:hAnsi="Palatino Linotype"/>
          <w:b/>
          <w:color w:val="231F20"/>
          <w:spacing w:val="-3"/>
          <w:sz w:val="21"/>
          <w:u w:val="dotted" w:color="27211F"/>
        </w:rPr>
        <w:tab/>
      </w:r>
      <w:r>
        <w:rPr>
          <w:rFonts w:ascii="Palatino Linotype" w:hAnsi="Palatino Linotype"/>
          <w:b/>
          <w:color w:val="231F20"/>
          <w:spacing w:val="-3"/>
          <w:sz w:val="21"/>
        </w:rPr>
        <w:t>103</w:t>
      </w:r>
    </w:p>
    <w:p>
      <w:pPr>
        <w:pStyle w:val="ListParagraph"/>
        <w:numPr>
          <w:ilvl w:val="1"/>
          <w:numId w:val="6"/>
        </w:numPr>
        <w:tabs>
          <w:tab w:pos="1338" w:val="left" w:leader="none"/>
          <w:tab w:pos="7393" w:val="left" w:leader="none"/>
        </w:tabs>
        <w:spacing w:line="240" w:lineRule="auto" w:before="77" w:after="0"/>
        <w:ind w:left="1337" w:right="0" w:hanging="345"/>
        <w:jc w:val="left"/>
        <w:rPr>
          <w:sz w:val="21"/>
        </w:rPr>
      </w:pPr>
      <w:r>
        <w:rPr/>
        <w:pict>
          <v:line style="position:absolute;mso-position-horizontal-relative:page;mso-position-vertical-relative:paragraph;z-index:-617176" from="338.984009pt,14.749643pt" to="338.984009pt,14.749643pt" stroked="true" strokeweight="1pt" strokecolor="#27211f">
            <w10:wrap type="none"/>
          </v:line>
        </w:pict>
      </w:r>
      <w:r>
        <w:rPr/>
        <w:pict>
          <v:line style="position:absolute;mso-position-horizontal-relative:page;mso-position-vertical-relative:paragraph;z-index:-617152" from="397.690002pt,14.749643pt" to="397.690002pt,14.749643pt" stroked="true" strokeweight="1pt" strokecolor="#27211f">
            <w10:wrap type="none"/>
          </v:line>
        </w:pict>
      </w:r>
      <w:r>
        <w:rPr>
          <w:color w:val="231F20"/>
          <w:sz w:val="21"/>
        </w:rPr>
        <w:t>Importancia del sector automotriz en el Estado</w:t>
      </w:r>
      <w:r>
        <w:rPr>
          <w:color w:val="231F20"/>
          <w:spacing w:val="-36"/>
          <w:sz w:val="21"/>
        </w:rPr>
        <w:t> </w:t>
      </w:r>
      <w:r>
        <w:rPr>
          <w:color w:val="231F20"/>
          <w:sz w:val="21"/>
        </w:rPr>
        <w:t>de</w:t>
      </w:r>
      <w:r>
        <w:rPr>
          <w:color w:val="231F20"/>
          <w:spacing w:val="-6"/>
          <w:sz w:val="21"/>
        </w:rPr>
        <w:t> </w:t>
      </w:r>
      <w:r>
        <w:rPr>
          <w:color w:val="231F20"/>
          <w:sz w:val="21"/>
        </w:rPr>
        <w:t>México</w:t>
      </w:r>
      <w:r>
        <w:rPr>
          <w:color w:val="231F20"/>
          <w:sz w:val="21"/>
          <w:u w:val="dotted" w:color="27211F"/>
        </w:rPr>
        <w:tab/>
      </w:r>
      <w:r>
        <w:rPr>
          <w:color w:val="231F20"/>
          <w:sz w:val="21"/>
        </w:rPr>
        <w:t>104</w:t>
      </w:r>
    </w:p>
    <w:p>
      <w:pPr>
        <w:pStyle w:val="ListParagraph"/>
        <w:numPr>
          <w:ilvl w:val="1"/>
          <w:numId w:val="6"/>
        </w:numPr>
        <w:tabs>
          <w:tab w:pos="1338" w:val="left" w:leader="none"/>
          <w:tab w:pos="7393" w:val="left" w:leader="none"/>
        </w:tabs>
        <w:spacing w:line="240" w:lineRule="auto" w:before="95" w:after="0"/>
        <w:ind w:left="1337" w:right="0" w:hanging="345"/>
        <w:jc w:val="left"/>
        <w:rPr>
          <w:sz w:val="21"/>
        </w:rPr>
      </w:pPr>
      <w:r>
        <w:rPr/>
        <w:pict>
          <v:line style="position:absolute;mso-position-horizontal-relative:page;mso-position-vertical-relative:paragraph;z-index:-617128" from="337.125305pt,15.652831pt" to="337.125305pt,15.652831pt" stroked="true" strokeweight="1pt" strokecolor="#27211f">
            <w10:wrap type="none"/>
          </v:line>
        </w:pict>
      </w:r>
      <w:r>
        <w:rPr/>
        <w:pict>
          <v:line style="position:absolute;mso-position-horizontal-relative:page;mso-position-vertical-relative:paragraph;z-index:-617104" from="397.689301pt,15.652831pt" to="397.689301pt,15.652831pt" stroked="true" strokeweight="1pt" strokecolor="#27211f">
            <w10:wrap type="none"/>
          </v:line>
        </w:pict>
      </w:r>
      <w:r>
        <w:rPr>
          <w:color w:val="231F20"/>
          <w:sz w:val="21"/>
        </w:rPr>
        <w:t>Desempeño</w:t>
      </w:r>
      <w:r>
        <w:rPr>
          <w:color w:val="231F20"/>
          <w:spacing w:val="-6"/>
          <w:sz w:val="21"/>
        </w:rPr>
        <w:t> </w:t>
      </w:r>
      <w:r>
        <w:rPr>
          <w:color w:val="231F20"/>
          <w:sz w:val="21"/>
        </w:rPr>
        <w:t>del</w:t>
      </w:r>
      <w:r>
        <w:rPr>
          <w:color w:val="231F20"/>
          <w:spacing w:val="-6"/>
          <w:sz w:val="21"/>
        </w:rPr>
        <w:t> </w:t>
      </w:r>
      <w:r>
        <w:rPr>
          <w:color w:val="231F20"/>
          <w:sz w:val="21"/>
        </w:rPr>
        <w:t>sector</w:t>
      </w:r>
      <w:r>
        <w:rPr>
          <w:color w:val="231F20"/>
          <w:spacing w:val="-6"/>
          <w:sz w:val="21"/>
        </w:rPr>
        <w:t> </w:t>
      </w:r>
      <w:r>
        <w:rPr>
          <w:color w:val="231F20"/>
          <w:sz w:val="21"/>
        </w:rPr>
        <w:t>automotriz</w:t>
      </w:r>
      <w:r>
        <w:rPr>
          <w:color w:val="231F20"/>
          <w:spacing w:val="-6"/>
          <w:sz w:val="21"/>
        </w:rPr>
        <w:t> </w:t>
      </w:r>
      <w:r>
        <w:rPr>
          <w:color w:val="231F20"/>
          <w:sz w:val="21"/>
        </w:rPr>
        <w:t>en</w:t>
      </w:r>
      <w:r>
        <w:rPr>
          <w:color w:val="231F20"/>
          <w:spacing w:val="-6"/>
          <w:sz w:val="21"/>
        </w:rPr>
        <w:t> </w:t>
      </w:r>
      <w:r>
        <w:rPr>
          <w:color w:val="231F20"/>
          <w:sz w:val="21"/>
        </w:rPr>
        <w:t>el</w:t>
      </w:r>
      <w:r>
        <w:rPr>
          <w:color w:val="231F20"/>
          <w:spacing w:val="-6"/>
          <w:sz w:val="21"/>
        </w:rPr>
        <w:t> </w:t>
      </w:r>
      <w:r>
        <w:rPr>
          <w:color w:val="231F20"/>
          <w:sz w:val="21"/>
        </w:rPr>
        <w:t>Estado</w:t>
      </w:r>
      <w:r>
        <w:rPr>
          <w:color w:val="231F20"/>
          <w:spacing w:val="-6"/>
          <w:sz w:val="21"/>
        </w:rPr>
        <w:t> </w:t>
      </w:r>
      <w:r>
        <w:rPr>
          <w:color w:val="231F20"/>
          <w:sz w:val="21"/>
        </w:rPr>
        <w:t>de</w:t>
      </w:r>
      <w:r>
        <w:rPr>
          <w:color w:val="231F20"/>
          <w:spacing w:val="-6"/>
          <w:sz w:val="21"/>
        </w:rPr>
        <w:t> </w:t>
      </w:r>
      <w:r>
        <w:rPr>
          <w:color w:val="231F20"/>
          <w:sz w:val="21"/>
        </w:rPr>
        <w:t>México</w:t>
      </w:r>
      <w:r>
        <w:rPr>
          <w:color w:val="231F20"/>
          <w:sz w:val="21"/>
          <w:u w:val="dotted" w:color="27211F"/>
        </w:rPr>
        <w:tab/>
      </w:r>
      <w:r>
        <w:rPr>
          <w:color w:val="231F20"/>
          <w:sz w:val="21"/>
        </w:rPr>
        <w:t>111</w:t>
      </w:r>
    </w:p>
    <w:p>
      <w:pPr>
        <w:pStyle w:val="ListParagraph"/>
        <w:numPr>
          <w:ilvl w:val="2"/>
          <w:numId w:val="6"/>
        </w:numPr>
        <w:tabs>
          <w:tab w:pos="1883" w:val="left" w:leader="none"/>
          <w:tab w:pos="7393" w:val="left" w:leader="none"/>
        </w:tabs>
        <w:spacing w:line="240" w:lineRule="auto" w:before="95" w:after="0"/>
        <w:ind w:left="1882" w:right="0" w:hanging="494"/>
        <w:jc w:val="left"/>
        <w:rPr>
          <w:sz w:val="21"/>
        </w:rPr>
      </w:pPr>
      <w:r>
        <w:rPr/>
        <w:pict>
          <v:line style="position:absolute;mso-position-horizontal-relative:page;mso-position-vertical-relative:paragraph;z-index:-617080" from="174.954803pt,15.656049pt" to="174.954803pt,15.656049pt" stroked="true" strokeweight="1pt" strokecolor="#27211f">
            <w10:wrap type="none"/>
          </v:line>
        </w:pict>
      </w:r>
      <w:r>
        <w:rPr/>
        <w:pict>
          <v:line style="position:absolute;mso-position-horizontal-relative:page;mso-position-vertical-relative:paragraph;z-index:-617056" from="397.689789pt,15.656049pt" to="397.689789pt,15.656049pt" stroked="true" strokeweight="1pt" strokecolor="#27211f">
            <w10:wrap type="none"/>
          </v:line>
        </w:pict>
      </w:r>
      <w:r>
        <w:rPr>
          <w:color w:val="231F20"/>
          <w:sz w:val="21"/>
        </w:rPr>
        <w:t>Producción</w:t>
      </w:r>
      <w:r>
        <w:rPr>
          <w:color w:val="231F20"/>
          <w:sz w:val="21"/>
          <w:u w:val="dotted" w:color="27211F"/>
        </w:rPr>
        <w:tab/>
      </w:r>
      <w:r>
        <w:rPr>
          <w:color w:val="231F20"/>
          <w:sz w:val="21"/>
        </w:rPr>
        <w:t>111</w:t>
      </w:r>
    </w:p>
    <w:p>
      <w:pPr>
        <w:pStyle w:val="ListParagraph"/>
        <w:numPr>
          <w:ilvl w:val="1"/>
          <w:numId w:val="6"/>
        </w:numPr>
        <w:tabs>
          <w:tab w:pos="1337" w:val="left" w:leader="none"/>
          <w:tab w:pos="7393" w:val="left" w:leader="none"/>
        </w:tabs>
        <w:spacing w:line="240" w:lineRule="auto" w:before="95" w:after="0"/>
        <w:ind w:left="1336" w:right="0" w:hanging="345"/>
        <w:jc w:val="left"/>
        <w:rPr>
          <w:sz w:val="21"/>
        </w:rPr>
      </w:pPr>
      <w:r>
        <w:rPr/>
        <w:pict>
          <v:line style="position:absolute;mso-position-horizontal-relative:page;mso-position-vertical-relative:paragraph;z-index:-617032" from="292.543488pt,15.659137pt" to="292.543488pt,15.659137pt" stroked="true" strokeweight="1pt" strokecolor="#27211f">
            <w10:wrap type="none"/>
          </v:line>
        </w:pict>
      </w:r>
      <w:r>
        <w:rPr/>
        <w:pict>
          <v:line style="position:absolute;mso-position-horizontal-relative:page;mso-position-vertical-relative:paragraph;z-index:-617008" from="397.689514pt,15.659137pt" to="397.689514pt,15.659137pt" stroked="true" strokeweight="1pt" strokecolor="#27211f">
            <w10:wrap type="none"/>
          </v:line>
        </w:pict>
      </w:r>
      <w:r>
        <w:rPr>
          <w:color w:val="231F20"/>
          <w:sz w:val="21"/>
        </w:rPr>
        <w:t>Pérdida de dinamismo de un</w:t>
      </w:r>
      <w:r>
        <w:rPr>
          <w:color w:val="231F20"/>
          <w:spacing w:val="-23"/>
          <w:sz w:val="21"/>
        </w:rPr>
        <w:t> </w:t>
      </w:r>
      <w:r>
        <w:rPr>
          <w:color w:val="231F20"/>
          <w:sz w:val="21"/>
        </w:rPr>
        <w:t>sector</w:t>
      </w:r>
      <w:r>
        <w:rPr>
          <w:color w:val="231F20"/>
          <w:spacing w:val="-5"/>
          <w:sz w:val="21"/>
        </w:rPr>
        <w:t> </w:t>
      </w:r>
      <w:r>
        <w:rPr>
          <w:color w:val="231F20"/>
          <w:sz w:val="21"/>
        </w:rPr>
        <w:t>estratégico</w:t>
      </w:r>
      <w:r>
        <w:rPr>
          <w:color w:val="231F20"/>
          <w:sz w:val="21"/>
          <w:u w:val="dotted" w:color="27211F"/>
        </w:rPr>
        <w:tab/>
      </w:r>
      <w:r>
        <w:rPr>
          <w:color w:val="231F20"/>
          <w:sz w:val="21"/>
        </w:rPr>
        <w:t>120</w:t>
      </w:r>
    </w:p>
    <w:p>
      <w:pPr>
        <w:pStyle w:val="ListParagraph"/>
        <w:numPr>
          <w:ilvl w:val="2"/>
          <w:numId w:val="6"/>
        </w:numPr>
        <w:tabs>
          <w:tab w:pos="1868" w:val="left" w:leader="none"/>
          <w:tab w:pos="7393" w:val="left" w:leader="none"/>
        </w:tabs>
        <w:spacing w:line="240" w:lineRule="auto" w:before="95" w:after="0"/>
        <w:ind w:left="1867" w:right="0" w:hanging="479"/>
        <w:jc w:val="left"/>
        <w:rPr>
          <w:sz w:val="21"/>
        </w:rPr>
      </w:pPr>
      <w:r>
        <w:rPr/>
        <w:pict>
          <v:line style="position:absolute;mso-position-horizontal-relative:page;mso-position-vertical-relative:paragraph;z-index:-616984" from="357.325592pt,15.662225pt" to="357.325592pt,15.662225pt" stroked="true" strokeweight="1pt" strokecolor="#27211f">
            <w10:wrap type="none"/>
          </v:line>
        </w:pict>
      </w:r>
      <w:r>
        <w:rPr/>
        <w:pict>
          <v:line style="position:absolute;mso-position-horizontal-relative:page;mso-position-vertical-relative:paragraph;z-index:-616960" from="397.689606pt,15.662225pt" to="397.689606pt,15.662225pt" stroked="true" strokeweight="1pt" strokecolor="#27211f">
            <w10:wrap type="none"/>
          </v:line>
        </w:pict>
      </w:r>
      <w:r>
        <w:rPr>
          <w:color w:val="231F20"/>
          <w:spacing w:val="-3"/>
          <w:sz w:val="21"/>
        </w:rPr>
        <w:t>Contraste</w:t>
      </w:r>
      <w:r>
        <w:rPr>
          <w:color w:val="231F20"/>
          <w:spacing w:val="-8"/>
          <w:sz w:val="21"/>
        </w:rPr>
        <w:t> </w:t>
      </w:r>
      <w:r>
        <w:rPr>
          <w:color w:val="231F20"/>
          <w:spacing w:val="-3"/>
          <w:sz w:val="21"/>
        </w:rPr>
        <w:t>con</w:t>
      </w:r>
      <w:r>
        <w:rPr>
          <w:color w:val="231F20"/>
          <w:spacing w:val="-8"/>
          <w:sz w:val="21"/>
        </w:rPr>
        <w:t> </w:t>
      </w:r>
      <w:r>
        <w:rPr>
          <w:color w:val="231F20"/>
          <w:sz w:val="21"/>
        </w:rPr>
        <w:t>la</w:t>
      </w:r>
      <w:r>
        <w:rPr>
          <w:color w:val="231F20"/>
          <w:spacing w:val="-8"/>
          <w:sz w:val="21"/>
        </w:rPr>
        <w:t> </w:t>
      </w:r>
      <w:r>
        <w:rPr>
          <w:color w:val="231F20"/>
          <w:spacing w:val="-3"/>
          <w:sz w:val="21"/>
        </w:rPr>
        <w:t>industria</w:t>
      </w:r>
      <w:r>
        <w:rPr>
          <w:color w:val="231F20"/>
          <w:spacing w:val="-8"/>
          <w:sz w:val="21"/>
        </w:rPr>
        <w:t> </w:t>
      </w:r>
      <w:r>
        <w:rPr>
          <w:color w:val="231F20"/>
          <w:spacing w:val="-3"/>
          <w:sz w:val="21"/>
        </w:rPr>
        <w:t>nacional</w:t>
      </w:r>
      <w:r>
        <w:rPr>
          <w:color w:val="231F20"/>
          <w:spacing w:val="-8"/>
          <w:sz w:val="21"/>
        </w:rPr>
        <w:t> </w:t>
      </w:r>
      <w:r>
        <w:rPr>
          <w:color w:val="231F20"/>
          <w:sz w:val="21"/>
        </w:rPr>
        <w:t>y</w:t>
      </w:r>
      <w:r>
        <w:rPr>
          <w:color w:val="231F20"/>
          <w:spacing w:val="-8"/>
          <w:sz w:val="21"/>
        </w:rPr>
        <w:t> </w:t>
      </w:r>
      <w:r>
        <w:rPr>
          <w:color w:val="231F20"/>
          <w:spacing w:val="-3"/>
          <w:sz w:val="21"/>
        </w:rPr>
        <w:t>con</w:t>
      </w:r>
      <w:r>
        <w:rPr>
          <w:color w:val="231F20"/>
          <w:spacing w:val="-8"/>
          <w:sz w:val="21"/>
        </w:rPr>
        <w:t> </w:t>
      </w:r>
      <w:r>
        <w:rPr>
          <w:color w:val="231F20"/>
          <w:spacing w:val="-3"/>
          <w:sz w:val="21"/>
        </w:rPr>
        <w:t>otras</w:t>
      </w:r>
      <w:r>
        <w:rPr>
          <w:color w:val="231F20"/>
          <w:spacing w:val="-8"/>
          <w:sz w:val="21"/>
        </w:rPr>
        <w:t> </w:t>
      </w:r>
      <w:r>
        <w:rPr>
          <w:color w:val="231F20"/>
          <w:spacing w:val="-3"/>
          <w:sz w:val="21"/>
        </w:rPr>
        <w:t>entidades</w:t>
      </w:r>
      <w:r>
        <w:rPr>
          <w:color w:val="231F20"/>
          <w:spacing w:val="-3"/>
          <w:sz w:val="21"/>
          <w:u w:val="dotted" w:color="27211F"/>
        </w:rPr>
        <w:tab/>
      </w:r>
      <w:r>
        <w:rPr>
          <w:color w:val="231F20"/>
          <w:sz w:val="21"/>
        </w:rPr>
        <w:t>123</w:t>
      </w:r>
    </w:p>
    <w:p>
      <w:pPr>
        <w:pStyle w:val="ListParagraph"/>
        <w:numPr>
          <w:ilvl w:val="1"/>
          <w:numId w:val="6"/>
        </w:numPr>
        <w:tabs>
          <w:tab w:pos="1337" w:val="left" w:leader="none"/>
        </w:tabs>
        <w:spacing w:line="240" w:lineRule="auto" w:before="95" w:after="0"/>
        <w:ind w:left="1336" w:right="0" w:hanging="345"/>
        <w:jc w:val="left"/>
        <w:rPr>
          <w:sz w:val="21"/>
        </w:rPr>
      </w:pPr>
      <w:r>
        <w:rPr>
          <w:color w:val="231F20"/>
          <w:sz w:val="21"/>
        </w:rPr>
        <w:t>Algunas</w:t>
      </w:r>
      <w:r>
        <w:rPr>
          <w:color w:val="231F20"/>
          <w:spacing w:val="-15"/>
          <w:sz w:val="21"/>
        </w:rPr>
        <w:t> </w:t>
      </w:r>
      <w:r>
        <w:rPr>
          <w:color w:val="231F20"/>
          <w:sz w:val="21"/>
        </w:rPr>
        <w:t>explicaciones</w:t>
      </w:r>
      <w:r>
        <w:rPr>
          <w:color w:val="231F20"/>
          <w:spacing w:val="-15"/>
          <w:sz w:val="21"/>
        </w:rPr>
        <w:t> </w:t>
      </w:r>
      <w:r>
        <w:rPr>
          <w:color w:val="231F20"/>
          <w:sz w:val="21"/>
        </w:rPr>
        <w:t>a</w:t>
      </w:r>
      <w:r>
        <w:rPr>
          <w:color w:val="231F20"/>
          <w:spacing w:val="-15"/>
          <w:sz w:val="21"/>
        </w:rPr>
        <w:t> </w:t>
      </w:r>
      <w:r>
        <w:rPr>
          <w:color w:val="231F20"/>
          <w:sz w:val="21"/>
        </w:rPr>
        <w:t>los</w:t>
      </w:r>
      <w:r>
        <w:rPr>
          <w:color w:val="231F20"/>
          <w:spacing w:val="-15"/>
          <w:sz w:val="21"/>
        </w:rPr>
        <w:t> </w:t>
      </w:r>
      <w:r>
        <w:rPr>
          <w:color w:val="231F20"/>
          <w:sz w:val="21"/>
        </w:rPr>
        <w:t>bajos</w:t>
      </w:r>
      <w:r>
        <w:rPr>
          <w:color w:val="231F20"/>
          <w:spacing w:val="-15"/>
          <w:sz w:val="21"/>
        </w:rPr>
        <w:t> </w:t>
      </w:r>
      <w:r>
        <w:rPr>
          <w:color w:val="231F20"/>
          <w:sz w:val="21"/>
        </w:rPr>
        <w:t>niveles</w:t>
      </w:r>
      <w:r>
        <w:rPr>
          <w:color w:val="231F20"/>
          <w:spacing w:val="-15"/>
          <w:sz w:val="21"/>
        </w:rPr>
        <w:t> </w:t>
      </w:r>
      <w:r>
        <w:rPr>
          <w:color w:val="231F20"/>
          <w:sz w:val="21"/>
        </w:rPr>
        <w:t>de</w:t>
      </w:r>
      <w:r>
        <w:rPr>
          <w:color w:val="231F20"/>
          <w:spacing w:val="-15"/>
          <w:sz w:val="21"/>
        </w:rPr>
        <w:t> </w:t>
      </w:r>
      <w:r>
        <w:rPr>
          <w:color w:val="231F20"/>
          <w:sz w:val="21"/>
        </w:rPr>
        <w:t>crecimiento</w:t>
      </w:r>
    </w:p>
    <w:p>
      <w:pPr>
        <w:pStyle w:val="BodyText"/>
        <w:tabs>
          <w:tab w:pos="7393" w:val="left" w:leader="none"/>
        </w:tabs>
        <w:spacing w:before="38"/>
        <w:ind w:left="1336"/>
      </w:pPr>
      <w:r>
        <w:rPr/>
        <w:pict>
          <v:line style="position:absolute;mso-position-horizontal-relative:page;mso-position-vertical-relative:paragraph;z-index:-616936" from="284.584686pt,12.818936pt" to="284.584686pt,12.818936pt" stroked="true" strokeweight="1pt" strokecolor="#27211f">
            <w10:wrap type="none"/>
          </v:line>
        </w:pict>
      </w:r>
      <w:r>
        <w:rPr/>
        <w:pict>
          <v:line style="position:absolute;mso-position-horizontal-relative:page;mso-position-vertical-relative:paragraph;z-index:-616912" from="397.689697pt,12.818936pt" to="397.689697pt,12.818936pt" stroked="true" strokeweight="1pt" strokecolor="#27211f">
            <w10:wrap type="none"/>
          </v:line>
        </w:pict>
      </w:r>
      <w:r>
        <w:rPr>
          <w:color w:val="231F20"/>
        </w:rPr>
        <w:t>del sector automotriz en el Estado</w:t>
      </w:r>
      <w:r>
        <w:rPr>
          <w:color w:val="231F20"/>
          <w:spacing w:val="-33"/>
        </w:rPr>
        <w:t> </w:t>
      </w:r>
      <w:r>
        <w:rPr>
          <w:color w:val="231F20"/>
        </w:rPr>
        <w:t>de</w:t>
      </w:r>
      <w:r>
        <w:rPr>
          <w:color w:val="231F20"/>
          <w:spacing w:val="-6"/>
        </w:rPr>
        <w:t> </w:t>
      </w:r>
      <w:r>
        <w:rPr>
          <w:color w:val="231F20"/>
        </w:rPr>
        <w:t>México</w:t>
      </w:r>
      <w:r>
        <w:rPr>
          <w:color w:val="231F20"/>
          <w:u w:val="dotted" w:color="27211F"/>
        </w:rPr>
        <w:tab/>
      </w:r>
      <w:r>
        <w:rPr>
          <w:color w:val="231F20"/>
        </w:rPr>
        <w:t>128</w:t>
      </w:r>
    </w:p>
    <w:p>
      <w:pPr>
        <w:pStyle w:val="ListParagraph"/>
        <w:numPr>
          <w:ilvl w:val="1"/>
          <w:numId w:val="6"/>
        </w:numPr>
        <w:tabs>
          <w:tab w:pos="1337" w:val="left" w:leader="none"/>
          <w:tab w:pos="7393" w:val="left" w:leader="none"/>
        </w:tabs>
        <w:spacing w:line="240" w:lineRule="auto" w:before="95" w:after="0"/>
        <w:ind w:left="1336" w:right="0" w:hanging="345"/>
        <w:jc w:val="left"/>
        <w:rPr>
          <w:sz w:val="21"/>
        </w:rPr>
      </w:pPr>
      <w:r>
        <w:rPr/>
        <w:pict>
          <v:line style="position:absolute;mso-position-horizontal-relative:page;mso-position-vertical-relative:paragraph;z-index:-616888" from="204.1147pt,15.672039pt" to="204.1147pt,15.672039pt" stroked="true" strokeweight="1pt" strokecolor="#27211f">
            <w10:wrap type="none"/>
          </v:line>
        </w:pict>
      </w:r>
      <w:r>
        <w:rPr/>
        <w:pict>
          <v:line style="position:absolute;mso-position-horizontal-relative:page;mso-position-vertical-relative:paragraph;z-index:-616864" from="397.689697pt,15.672039pt" to="397.689697pt,15.672039pt" stroked="true" strokeweight="1pt" strokecolor="#27211f">
            <w10:wrap type="none"/>
          </v:line>
        </w:pict>
      </w:r>
      <w:r>
        <w:rPr>
          <w:color w:val="231F20"/>
          <w:sz w:val="21"/>
        </w:rPr>
        <w:t>Conclusiones</w:t>
      </w:r>
      <w:r>
        <w:rPr>
          <w:color w:val="231F20"/>
          <w:spacing w:val="-6"/>
          <w:sz w:val="21"/>
        </w:rPr>
        <w:t> </w:t>
      </w:r>
      <w:r>
        <w:rPr>
          <w:color w:val="231F20"/>
          <w:sz w:val="21"/>
        </w:rPr>
        <w:t>del</w:t>
      </w:r>
      <w:r>
        <w:rPr>
          <w:color w:val="231F20"/>
          <w:spacing w:val="-6"/>
          <w:sz w:val="21"/>
        </w:rPr>
        <w:t> </w:t>
      </w:r>
      <w:r>
        <w:rPr>
          <w:color w:val="231F20"/>
          <w:sz w:val="21"/>
        </w:rPr>
        <w:t>capítulo</w:t>
      </w:r>
      <w:r>
        <w:rPr>
          <w:color w:val="231F20"/>
          <w:sz w:val="21"/>
          <w:u w:val="dotted" w:color="27211F"/>
        </w:rPr>
        <w:tab/>
      </w:r>
      <w:r>
        <w:rPr>
          <w:color w:val="231F20"/>
          <w:sz w:val="21"/>
        </w:rPr>
        <w:t>131</w:t>
      </w:r>
    </w:p>
    <w:p>
      <w:pPr>
        <w:pStyle w:val="BodyText"/>
        <w:spacing w:before="8"/>
        <w:rPr>
          <w:sz w:val="28"/>
        </w:rPr>
      </w:pPr>
    </w:p>
    <w:p>
      <w:pPr>
        <w:pStyle w:val="Heading4"/>
        <w:spacing w:line="240" w:lineRule="auto"/>
        <w:ind w:left="594"/>
        <w:jc w:val="left"/>
      </w:pPr>
      <w:r>
        <w:rPr>
          <w:color w:val="231F20"/>
          <w:w w:val="105"/>
        </w:rPr>
        <w:t>Capítulo V</w:t>
      </w:r>
    </w:p>
    <w:p>
      <w:pPr>
        <w:spacing w:line="282" w:lineRule="exact" w:before="53"/>
        <w:ind w:left="594" w:right="0" w:firstLine="0"/>
        <w:jc w:val="left"/>
        <w:rPr>
          <w:rFonts w:ascii="Palatino Linotype" w:hAnsi="Palatino Linotype"/>
          <w:b/>
          <w:sz w:val="21"/>
        </w:rPr>
      </w:pPr>
      <w:r>
        <w:rPr>
          <w:rFonts w:ascii="Palatino Linotype" w:hAnsi="Palatino Linotype"/>
          <w:b/>
          <w:color w:val="231F20"/>
          <w:w w:val="90"/>
          <w:sz w:val="21"/>
        </w:rPr>
        <w:t>Conclusiones generales, recomendaciones de política y escenarios</w:t>
      </w:r>
    </w:p>
    <w:p>
      <w:pPr>
        <w:tabs>
          <w:tab w:pos="7389" w:val="left" w:leader="none"/>
        </w:tabs>
        <w:spacing w:line="282" w:lineRule="exact" w:before="0"/>
        <w:ind w:left="594" w:right="0" w:firstLine="0"/>
        <w:jc w:val="left"/>
        <w:rPr>
          <w:rFonts w:ascii="Palatino Linotype" w:hAnsi="Palatino Linotype"/>
          <w:b/>
          <w:sz w:val="21"/>
        </w:rPr>
      </w:pPr>
      <w:r>
        <w:rPr/>
        <w:pict>
          <v:line style="position:absolute;mso-position-horizontal-relative:page;mso-position-vertical-relative:paragraph;z-index:-616840" from="348.080902pt,12.068413pt" to="348.080902pt,12.068413pt" stroked="true" strokeweight="1pt" strokecolor="#27211f">
            <w10:wrap type="none"/>
          </v:line>
        </w:pict>
      </w:r>
      <w:r>
        <w:rPr/>
        <w:pict>
          <v:line style="position:absolute;mso-position-horizontal-relative:page;mso-position-vertical-relative:paragraph;z-index:-616816" from="397.489899pt,12.068413pt" to="397.489899pt,12.068413pt" stroked="true" strokeweight="1pt" strokecolor="#27211f">
            <w10:wrap type="none"/>
          </v:line>
        </w:pict>
      </w:r>
      <w:r>
        <w:rPr>
          <w:rFonts w:ascii="Palatino Linotype" w:hAnsi="Palatino Linotype"/>
          <w:b/>
          <w:color w:val="231F20"/>
          <w:spacing w:val="-4"/>
          <w:sz w:val="21"/>
        </w:rPr>
        <w:t>posibles</w:t>
      </w:r>
      <w:r>
        <w:rPr>
          <w:rFonts w:ascii="Palatino Linotype" w:hAnsi="Palatino Linotype"/>
          <w:b/>
          <w:color w:val="231F20"/>
          <w:spacing w:val="-28"/>
          <w:sz w:val="21"/>
        </w:rPr>
        <w:t> </w:t>
      </w:r>
      <w:r>
        <w:rPr>
          <w:rFonts w:ascii="Palatino Linotype" w:hAnsi="Palatino Linotype"/>
          <w:b/>
          <w:color w:val="231F20"/>
          <w:spacing w:val="-3"/>
          <w:sz w:val="21"/>
        </w:rPr>
        <w:t>para</w:t>
      </w:r>
      <w:r>
        <w:rPr>
          <w:rFonts w:ascii="Palatino Linotype" w:hAnsi="Palatino Linotype"/>
          <w:b/>
          <w:color w:val="231F20"/>
          <w:spacing w:val="-28"/>
          <w:sz w:val="21"/>
        </w:rPr>
        <w:t> </w:t>
      </w:r>
      <w:r>
        <w:rPr>
          <w:rFonts w:ascii="Palatino Linotype" w:hAnsi="Palatino Linotype"/>
          <w:b/>
          <w:color w:val="231F20"/>
          <w:sz w:val="21"/>
        </w:rPr>
        <w:t>el</w:t>
      </w:r>
      <w:r>
        <w:rPr>
          <w:rFonts w:ascii="Palatino Linotype" w:hAnsi="Palatino Linotype"/>
          <w:b/>
          <w:color w:val="231F20"/>
          <w:spacing w:val="-28"/>
          <w:sz w:val="21"/>
        </w:rPr>
        <w:t> </w:t>
      </w:r>
      <w:r>
        <w:rPr>
          <w:rFonts w:ascii="Palatino Linotype" w:hAnsi="Palatino Linotype"/>
          <w:b/>
          <w:color w:val="231F20"/>
          <w:spacing w:val="-3"/>
          <w:sz w:val="21"/>
        </w:rPr>
        <w:t>sector</w:t>
      </w:r>
      <w:r>
        <w:rPr>
          <w:rFonts w:ascii="Palatino Linotype" w:hAnsi="Palatino Linotype"/>
          <w:b/>
          <w:color w:val="231F20"/>
          <w:spacing w:val="-28"/>
          <w:sz w:val="21"/>
        </w:rPr>
        <w:t> </w:t>
      </w:r>
      <w:r>
        <w:rPr>
          <w:rFonts w:ascii="Palatino Linotype" w:hAnsi="Palatino Linotype"/>
          <w:b/>
          <w:color w:val="231F20"/>
          <w:spacing w:val="-5"/>
          <w:sz w:val="21"/>
        </w:rPr>
        <w:t>automotriz</w:t>
      </w:r>
      <w:r>
        <w:rPr>
          <w:rFonts w:ascii="Palatino Linotype" w:hAnsi="Palatino Linotype"/>
          <w:b/>
          <w:color w:val="231F20"/>
          <w:spacing w:val="-28"/>
          <w:sz w:val="21"/>
        </w:rPr>
        <w:t> </w:t>
      </w:r>
      <w:r>
        <w:rPr>
          <w:rFonts w:ascii="Palatino Linotype" w:hAnsi="Palatino Linotype"/>
          <w:b/>
          <w:color w:val="231F20"/>
          <w:sz w:val="21"/>
        </w:rPr>
        <w:t>en</w:t>
      </w:r>
      <w:r>
        <w:rPr>
          <w:rFonts w:ascii="Palatino Linotype" w:hAnsi="Palatino Linotype"/>
          <w:b/>
          <w:color w:val="231F20"/>
          <w:spacing w:val="-28"/>
          <w:sz w:val="21"/>
        </w:rPr>
        <w:t> </w:t>
      </w:r>
      <w:r>
        <w:rPr>
          <w:rFonts w:ascii="Palatino Linotype" w:hAnsi="Palatino Linotype"/>
          <w:b/>
          <w:color w:val="231F20"/>
          <w:spacing w:val="-4"/>
          <w:sz w:val="21"/>
        </w:rPr>
        <w:t>México</w:t>
      </w:r>
      <w:r>
        <w:rPr>
          <w:rFonts w:ascii="Palatino Linotype" w:hAnsi="Palatino Linotype"/>
          <w:b/>
          <w:color w:val="231F20"/>
          <w:spacing w:val="-28"/>
          <w:sz w:val="21"/>
        </w:rPr>
        <w:t> </w:t>
      </w:r>
      <w:r>
        <w:rPr>
          <w:rFonts w:ascii="Palatino Linotype" w:hAnsi="Palatino Linotype"/>
          <w:b/>
          <w:color w:val="231F20"/>
          <w:sz w:val="21"/>
        </w:rPr>
        <w:t>y</w:t>
      </w:r>
      <w:r>
        <w:rPr>
          <w:rFonts w:ascii="Palatino Linotype" w:hAnsi="Palatino Linotype"/>
          <w:b/>
          <w:color w:val="231F20"/>
          <w:spacing w:val="-28"/>
          <w:sz w:val="21"/>
        </w:rPr>
        <w:t> </w:t>
      </w:r>
      <w:r>
        <w:rPr>
          <w:rFonts w:ascii="Palatino Linotype" w:hAnsi="Palatino Linotype"/>
          <w:b/>
          <w:color w:val="231F20"/>
          <w:sz w:val="21"/>
        </w:rPr>
        <w:t>en</w:t>
      </w:r>
      <w:r>
        <w:rPr>
          <w:rFonts w:ascii="Palatino Linotype" w:hAnsi="Palatino Linotype"/>
          <w:b/>
          <w:color w:val="231F20"/>
          <w:spacing w:val="-28"/>
          <w:sz w:val="21"/>
        </w:rPr>
        <w:t> </w:t>
      </w:r>
      <w:r>
        <w:rPr>
          <w:rFonts w:ascii="Palatino Linotype" w:hAnsi="Palatino Linotype"/>
          <w:b/>
          <w:color w:val="231F20"/>
          <w:sz w:val="21"/>
        </w:rPr>
        <w:t>el</w:t>
      </w:r>
      <w:r>
        <w:rPr>
          <w:rFonts w:ascii="Palatino Linotype" w:hAnsi="Palatino Linotype"/>
          <w:b/>
          <w:color w:val="231F20"/>
          <w:spacing w:val="-28"/>
          <w:sz w:val="21"/>
        </w:rPr>
        <w:t> </w:t>
      </w:r>
      <w:r>
        <w:rPr>
          <w:rFonts w:ascii="Palatino Linotype" w:hAnsi="Palatino Linotype"/>
          <w:b/>
          <w:color w:val="231F20"/>
          <w:spacing w:val="-3"/>
          <w:sz w:val="21"/>
        </w:rPr>
        <w:t>Estado</w:t>
      </w:r>
      <w:r>
        <w:rPr>
          <w:rFonts w:ascii="Palatino Linotype" w:hAnsi="Palatino Linotype"/>
          <w:b/>
          <w:color w:val="231F20"/>
          <w:spacing w:val="-28"/>
          <w:sz w:val="21"/>
        </w:rPr>
        <w:t> </w:t>
      </w:r>
      <w:r>
        <w:rPr>
          <w:rFonts w:ascii="Palatino Linotype" w:hAnsi="Palatino Linotype"/>
          <w:b/>
          <w:color w:val="231F20"/>
          <w:sz w:val="21"/>
        </w:rPr>
        <w:t>de</w:t>
      </w:r>
      <w:r>
        <w:rPr>
          <w:rFonts w:ascii="Palatino Linotype" w:hAnsi="Palatino Linotype"/>
          <w:b/>
          <w:color w:val="231F20"/>
          <w:spacing w:val="-28"/>
          <w:sz w:val="21"/>
        </w:rPr>
        <w:t> </w:t>
      </w:r>
      <w:r>
        <w:rPr>
          <w:rFonts w:ascii="Palatino Linotype" w:hAnsi="Palatino Linotype"/>
          <w:b/>
          <w:color w:val="231F20"/>
          <w:spacing w:val="-4"/>
          <w:sz w:val="21"/>
        </w:rPr>
        <w:t>México</w:t>
      </w:r>
      <w:r>
        <w:rPr>
          <w:rFonts w:ascii="Palatino Linotype" w:hAnsi="Palatino Linotype"/>
          <w:b/>
          <w:color w:val="231F20"/>
          <w:spacing w:val="-4"/>
          <w:sz w:val="21"/>
          <w:u w:val="dotted" w:color="27211F"/>
        </w:rPr>
        <w:tab/>
      </w:r>
      <w:r>
        <w:rPr>
          <w:rFonts w:ascii="Palatino Linotype" w:hAnsi="Palatino Linotype"/>
          <w:b/>
          <w:color w:val="231F20"/>
          <w:spacing w:val="-3"/>
          <w:sz w:val="21"/>
        </w:rPr>
        <w:t>133</w:t>
      </w:r>
    </w:p>
    <w:p>
      <w:pPr>
        <w:pStyle w:val="ListParagraph"/>
        <w:numPr>
          <w:ilvl w:val="1"/>
          <w:numId w:val="7"/>
        </w:numPr>
        <w:tabs>
          <w:tab w:pos="1337" w:val="left" w:leader="none"/>
          <w:tab w:pos="7393" w:val="left" w:leader="none"/>
        </w:tabs>
        <w:spacing w:line="240" w:lineRule="auto" w:before="77" w:after="0"/>
        <w:ind w:left="1336" w:right="0" w:hanging="345"/>
        <w:jc w:val="left"/>
        <w:rPr>
          <w:sz w:val="21"/>
        </w:rPr>
      </w:pPr>
      <w:r>
        <w:rPr/>
        <w:pict>
          <v:line style="position:absolute;mso-position-horizontal-relative:page;mso-position-vertical-relative:paragraph;z-index:-616792" from="194.412796pt,14.786034pt" to="194.412796pt,14.786034pt" stroked="true" strokeweight="1pt" strokecolor="#27211f">
            <w10:wrap type="none"/>
          </v:line>
        </w:pict>
      </w:r>
      <w:r>
        <w:rPr/>
        <w:pict>
          <v:line style="position:absolute;mso-position-horizontal-relative:page;mso-position-vertical-relative:paragraph;z-index:-616768" from="397.689789pt,14.786034pt" to="397.689789pt,14.786034pt" stroked="true" strokeweight="1pt" strokecolor="#27211f">
            <w10:wrap type="none"/>
          </v:line>
        </w:pict>
      </w:r>
      <w:r>
        <w:rPr>
          <w:color w:val="231F20"/>
          <w:sz w:val="21"/>
        </w:rPr>
        <w:t>Conclusiones</w:t>
      </w:r>
      <w:r>
        <w:rPr>
          <w:color w:val="231F20"/>
          <w:spacing w:val="-6"/>
          <w:sz w:val="21"/>
        </w:rPr>
        <w:t> </w:t>
      </w:r>
      <w:r>
        <w:rPr>
          <w:color w:val="231F20"/>
          <w:sz w:val="21"/>
        </w:rPr>
        <w:t>generales</w:t>
      </w:r>
      <w:r>
        <w:rPr>
          <w:color w:val="231F20"/>
          <w:sz w:val="21"/>
          <w:u w:val="dotted" w:color="27211F"/>
        </w:rPr>
        <w:tab/>
      </w:r>
      <w:r>
        <w:rPr>
          <w:color w:val="231F20"/>
          <w:sz w:val="21"/>
        </w:rPr>
        <w:t>133</w:t>
      </w:r>
    </w:p>
    <w:p>
      <w:pPr>
        <w:pStyle w:val="ListParagraph"/>
        <w:numPr>
          <w:ilvl w:val="1"/>
          <w:numId w:val="7"/>
        </w:numPr>
        <w:tabs>
          <w:tab w:pos="1337" w:val="left" w:leader="none"/>
          <w:tab w:pos="7393" w:val="left" w:leader="none"/>
        </w:tabs>
        <w:spacing w:line="240" w:lineRule="auto" w:before="95" w:after="0"/>
        <w:ind w:left="1336" w:right="0" w:hanging="345"/>
        <w:jc w:val="left"/>
        <w:rPr>
          <w:sz w:val="21"/>
        </w:rPr>
      </w:pPr>
      <w:r>
        <w:rPr/>
        <w:pict>
          <v:line style="position:absolute;mso-position-horizontal-relative:page;mso-position-vertical-relative:paragraph;z-index:-616744" from="266.892212pt,15.689137pt" to="266.892212pt,15.689137pt" stroked="true" strokeweight="1pt" strokecolor="#27211f">
            <w10:wrap type="none"/>
          </v:line>
        </w:pict>
      </w:r>
      <w:r>
        <w:rPr/>
        <w:pict>
          <v:line style="position:absolute;mso-position-horizontal-relative:page;mso-position-vertical-relative:paragraph;z-index:-616720" from="397.689209pt,15.689137pt" to="397.689209pt,15.689137pt" stroked="true" strokeweight="1pt" strokecolor="#27211f">
            <w10:wrap type="none"/>
          </v:line>
        </w:pict>
      </w:r>
      <w:r>
        <w:rPr>
          <w:color w:val="231F20"/>
          <w:sz w:val="21"/>
        </w:rPr>
        <w:t>Recomendaciones de</w:t>
      </w:r>
      <w:r>
        <w:rPr>
          <w:color w:val="231F20"/>
          <w:spacing w:val="-11"/>
          <w:sz w:val="21"/>
        </w:rPr>
        <w:t> </w:t>
      </w:r>
      <w:r>
        <w:rPr>
          <w:color w:val="231F20"/>
          <w:sz w:val="21"/>
        </w:rPr>
        <w:t>política</w:t>
      </w:r>
      <w:r>
        <w:rPr>
          <w:color w:val="231F20"/>
          <w:spacing w:val="-6"/>
          <w:sz w:val="21"/>
        </w:rPr>
        <w:t> </w:t>
      </w:r>
      <w:r>
        <w:rPr>
          <w:color w:val="231F20"/>
          <w:sz w:val="21"/>
        </w:rPr>
        <w:t>económica</w:t>
      </w:r>
      <w:r>
        <w:rPr>
          <w:color w:val="231F20"/>
          <w:sz w:val="21"/>
          <w:u w:val="dotted" w:color="27211F"/>
        </w:rPr>
        <w:tab/>
      </w:r>
      <w:r>
        <w:rPr>
          <w:color w:val="231F20"/>
          <w:sz w:val="21"/>
        </w:rPr>
        <w:t>138</w:t>
      </w:r>
    </w:p>
    <w:p>
      <w:pPr>
        <w:pStyle w:val="ListParagraph"/>
        <w:numPr>
          <w:ilvl w:val="1"/>
          <w:numId w:val="7"/>
        </w:numPr>
        <w:tabs>
          <w:tab w:pos="1337" w:val="left" w:leader="none"/>
          <w:tab w:pos="7393" w:val="left" w:leader="none"/>
        </w:tabs>
        <w:spacing w:line="240" w:lineRule="auto" w:before="95" w:after="0"/>
        <w:ind w:left="1336" w:right="0" w:hanging="345"/>
        <w:jc w:val="left"/>
        <w:rPr>
          <w:sz w:val="21"/>
        </w:rPr>
      </w:pPr>
      <w:r>
        <w:rPr/>
        <w:pict>
          <v:line style="position:absolute;mso-position-horizontal-relative:page;mso-position-vertical-relative:paragraph;z-index:-616696" from="235.886002pt,15.692332pt" to="235.886002pt,15.692332pt" stroked="true" strokeweight="1pt" strokecolor="#27211f">
            <w10:wrap type="none"/>
          </v:line>
        </w:pict>
      </w:r>
      <w:r>
        <w:rPr/>
        <w:pict>
          <v:line style="position:absolute;mso-position-horizontal-relative:page;mso-position-vertical-relative:paragraph;z-index:-616672" from="397.690002pt,15.692332pt" to="397.690002pt,15.692332pt" stroked="true" strokeweight="1pt" strokecolor="#27211f">
            <w10:wrap type="none"/>
          </v:line>
        </w:pict>
      </w:r>
      <w:r>
        <w:rPr>
          <w:color w:val="231F20"/>
          <w:sz w:val="21"/>
        </w:rPr>
        <w:t>Escenarios posibles para</w:t>
      </w:r>
      <w:r>
        <w:rPr>
          <w:color w:val="231F20"/>
          <w:spacing w:val="-17"/>
          <w:sz w:val="21"/>
        </w:rPr>
        <w:t> </w:t>
      </w:r>
      <w:r>
        <w:rPr>
          <w:color w:val="231F20"/>
          <w:sz w:val="21"/>
        </w:rPr>
        <w:t>el</w:t>
      </w:r>
      <w:r>
        <w:rPr>
          <w:color w:val="231F20"/>
          <w:spacing w:val="-6"/>
          <w:sz w:val="21"/>
        </w:rPr>
        <w:t> </w:t>
      </w:r>
      <w:r>
        <w:rPr>
          <w:color w:val="231F20"/>
          <w:sz w:val="21"/>
        </w:rPr>
        <w:t>sector</w:t>
      </w:r>
      <w:r>
        <w:rPr>
          <w:color w:val="231F20"/>
          <w:sz w:val="21"/>
          <w:u w:val="dotted" w:color="27211F"/>
        </w:rPr>
        <w:tab/>
      </w:r>
      <w:r>
        <w:rPr>
          <w:color w:val="231F20"/>
          <w:sz w:val="21"/>
        </w:rPr>
        <w:t>140</w:t>
      </w:r>
    </w:p>
    <w:p>
      <w:pPr>
        <w:pStyle w:val="Heading4"/>
        <w:tabs>
          <w:tab w:pos="7366" w:val="left" w:leader="none"/>
        </w:tabs>
        <w:spacing w:line="240" w:lineRule="auto" w:before="170"/>
        <w:ind w:left="594"/>
        <w:jc w:val="left"/>
      </w:pPr>
      <w:r>
        <w:rPr/>
        <w:pict>
          <v:line style="position:absolute;mso-position-horizontal-relative:page;mso-position-vertical-relative:paragraph;z-index:-616648" from="125.347397pt,20.667648pt" to="125.347397pt,20.667648pt" stroked="true" strokeweight="1pt" strokecolor="#27211f">
            <w10:wrap type="none"/>
          </v:line>
        </w:pict>
      </w:r>
      <w:r>
        <w:rPr/>
        <w:pict>
          <v:line style="position:absolute;mso-position-horizontal-relative:page;mso-position-vertical-relative:paragraph;z-index:-616624" from="396.335388pt,20.667648pt" to="396.335388pt,20.667648pt" stroked="true" strokeweight="1pt" strokecolor="#27211f">
            <w10:wrap type="none"/>
          </v:line>
        </w:pict>
      </w:r>
      <w:r>
        <w:rPr>
          <w:color w:val="231F20"/>
          <w:w w:val="110"/>
        </w:rPr>
        <w:t>Bibliografía</w:t>
      </w:r>
      <w:r>
        <w:rPr>
          <w:color w:val="231F20"/>
          <w:w w:val="110"/>
          <w:u w:val="dotted" w:color="27211F"/>
        </w:rPr>
        <w:tab/>
      </w:r>
      <w:r>
        <w:rPr>
          <w:color w:val="231F20"/>
          <w:w w:val="110"/>
        </w:rPr>
        <w:t>143</w:t>
      </w:r>
    </w:p>
    <w:p>
      <w:pPr>
        <w:tabs>
          <w:tab w:pos="7366" w:val="left" w:leader="none"/>
        </w:tabs>
        <w:spacing w:before="53"/>
        <w:ind w:left="594" w:right="0" w:firstLine="0"/>
        <w:jc w:val="left"/>
        <w:rPr>
          <w:rFonts w:ascii="Palatino Linotype"/>
          <w:b/>
          <w:sz w:val="21"/>
        </w:rPr>
      </w:pPr>
      <w:r>
        <w:rPr/>
        <w:pict>
          <v:line style="position:absolute;mso-position-horizontal-relative:page;mso-position-vertical-relative:paragraph;z-index:-616600" from="99.198402pt,14.820851pt" to="99.198402pt,14.820851pt" stroked="true" strokeweight="1pt" strokecolor="#27211f">
            <w10:wrap type="none"/>
          </v:line>
        </w:pict>
      </w:r>
      <w:r>
        <w:rPr/>
        <w:pict>
          <v:line style="position:absolute;mso-position-horizontal-relative:page;mso-position-vertical-relative:paragraph;z-index:-616576" from="396.335388pt,14.820851pt" to="396.335388pt,14.820851pt" stroked="true" strokeweight="1pt" strokecolor="#27211f">
            <w10:wrap type="none"/>
          </v:line>
        </w:pict>
      </w:r>
      <w:r>
        <w:rPr>
          <w:rFonts w:ascii="Palatino Linotype"/>
          <w:b/>
          <w:color w:val="231F20"/>
          <w:w w:val="105"/>
          <w:sz w:val="21"/>
        </w:rPr>
        <w:t>Anexos</w:t>
      </w:r>
      <w:r>
        <w:rPr>
          <w:rFonts w:ascii="Palatino Linotype"/>
          <w:b/>
          <w:color w:val="231F20"/>
          <w:w w:val="105"/>
          <w:sz w:val="21"/>
          <w:u w:val="dotted" w:color="27211F"/>
        </w:rPr>
        <w:tab/>
      </w:r>
      <w:r>
        <w:rPr>
          <w:rFonts w:ascii="Palatino Linotype"/>
          <w:b/>
          <w:color w:val="231F20"/>
          <w:w w:val="105"/>
          <w:sz w:val="21"/>
        </w:rPr>
        <w:t>154</w:t>
      </w:r>
    </w:p>
    <w:p>
      <w:pPr>
        <w:spacing w:after="0"/>
        <w:jc w:val="left"/>
        <w:rPr>
          <w:rFonts w:ascii="Palatino Linotype"/>
          <w:sz w:val="21"/>
        </w:rPr>
        <w:sectPr>
          <w:pgSz w:w="9640" w:h="13040"/>
          <w:pgMar w:header="0" w:footer="654" w:top="1040" w:bottom="840" w:left="540" w:right="1220"/>
        </w:sectPr>
      </w:pPr>
    </w:p>
    <w:p>
      <w:pPr>
        <w:spacing w:line="321" w:lineRule="exact" w:before="0"/>
        <w:ind w:left="103" w:right="613" w:firstLine="0"/>
        <w:jc w:val="left"/>
        <w:rPr>
          <w:rFonts w:ascii="Palatino Linotype" w:hAnsi="Palatino Linotype"/>
          <w:b/>
          <w:sz w:val="24"/>
        </w:rPr>
      </w:pPr>
      <w:r>
        <w:rPr>
          <w:rFonts w:ascii="Palatino Linotype" w:hAnsi="Palatino Linotype"/>
          <w:b/>
          <w:color w:val="231F20"/>
          <w:w w:val="95"/>
          <w:sz w:val="24"/>
        </w:rPr>
        <w:t>Índice de cuadros, gráficas, figuras y diagramas</w:t>
      </w:r>
    </w:p>
    <w:p>
      <w:pPr>
        <w:spacing w:before="214"/>
        <w:ind w:left="103" w:right="613" w:firstLine="0"/>
        <w:jc w:val="left"/>
        <w:rPr>
          <w:rFonts w:ascii="Palatino Linotype"/>
          <w:b/>
          <w:sz w:val="21"/>
        </w:rPr>
      </w:pPr>
      <w:r>
        <w:rPr>
          <w:rFonts w:ascii="Palatino Linotype"/>
          <w:b/>
          <w:color w:val="231F20"/>
          <w:sz w:val="21"/>
        </w:rPr>
        <w:t>Cuadros</w:t>
      </w:r>
    </w:p>
    <w:p>
      <w:pPr>
        <w:pStyle w:val="BodyText"/>
        <w:spacing w:before="68"/>
        <w:ind w:left="103" w:right="613"/>
      </w:pPr>
      <w:r>
        <w:rPr>
          <w:color w:val="231F20"/>
        </w:rPr>
        <w:t>Cuadro II.1</w:t>
      </w:r>
    </w:p>
    <w:p>
      <w:pPr>
        <w:pStyle w:val="BodyText"/>
        <w:tabs>
          <w:tab w:pos="7006" w:val="left" w:leader="none"/>
        </w:tabs>
        <w:spacing w:line="268" w:lineRule="auto" w:before="28"/>
        <w:ind w:left="103" w:right="613"/>
      </w:pPr>
      <w:r>
        <w:rPr/>
        <w:pict>
          <v:line style="position:absolute;mso-position-horizontal-relative:page;mso-position-vertical-relative:paragraph;z-index:-616552" from="342.082306pt,12.246326pt" to="342.082306pt,12.246326pt" stroked="true" strokeweight="1pt" strokecolor="#27211f">
            <w10:wrap type="none"/>
          </v:line>
        </w:pict>
      </w:r>
      <w:r>
        <w:rPr/>
        <w:pict>
          <v:line style="position:absolute;mso-position-horizontal-relative:page;mso-position-vertical-relative:paragraph;z-index:-616528" from="411.338287pt,12.246326pt" to="411.338287pt,12.246326pt" stroked="true" strokeweight="1pt" strokecolor="#27211f">
            <w10:wrap type="none"/>
          </v:line>
        </w:pict>
      </w:r>
      <w:r>
        <w:rPr>
          <w:color w:val="231F20"/>
          <w:spacing w:val="-3"/>
        </w:rPr>
        <w:t>Algunos</w:t>
      </w:r>
      <w:r>
        <w:rPr>
          <w:color w:val="231F20"/>
          <w:spacing w:val="-9"/>
        </w:rPr>
        <w:t> </w:t>
      </w:r>
      <w:r>
        <w:rPr>
          <w:color w:val="231F20"/>
          <w:spacing w:val="-3"/>
        </w:rPr>
        <w:t>modelos</w:t>
      </w:r>
      <w:r>
        <w:rPr>
          <w:color w:val="231F20"/>
          <w:spacing w:val="-9"/>
        </w:rPr>
        <w:t> </w:t>
      </w:r>
      <w:r>
        <w:rPr>
          <w:color w:val="231F20"/>
          <w:spacing w:val="-3"/>
        </w:rPr>
        <w:t>que</w:t>
      </w:r>
      <w:r>
        <w:rPr>
          <w:color w:val="231F20"/>
          <w:spacing w:val="-9"/>
        </w:rPr>
        <w:t> </w:t>
      </w:r>
      <w:r>
        <w:rPr>
          <w:color w:val="231F20"/>
          <w:spacing w:val="-3"/>
        </w:rPr>
        <w:t>cuentan</w:t>
      </w:r>
      <w:r>
        <w:rPr>
          <w:color w:val="231F20"/>
          <w:spacing w:val="-9"/>
        </w:rPr>
        <w:t> </w:t>
      </w:r>
      <w:r>
        <w:rPr>
          <w:color w:val="231F20"/>
          <w:spacing w:val="-3"/>
        </w:rPr>
        <w:t>con</w:t>
      </w:r>
      <w:r>
        <w:rPr>
          <w:color w:val="231F20"/>
          <w:spacing w:val="-9"/>
        </w:rPr>
        <w:t> </w:t>
      </w:r>
      <w:r>
        <w:rPr>
          <w:color w:val="231F20"/>
          <w:spacing w:val="-3"/>
        </w:rPr>
        <w:t>nuevas</w:t>
      </w:r>
      <w:r>
        <w:rPr>
          <w:color w:val="231F20"/>
          <w:spacing w:val="-9"/>
        </w:rPr>
        <w:t> </w:t>
      </w:r>
      <w:r>
        <w:rPr>
          <w:color w:val="231F20"/>
          <w:spacing w:val="-3"/>
        </w:rPr>
        <w:t>tecnologías</w:t>
      </w:r>
      <w:r>
        <w:rPr>
          <w:color w:val="231F20"/>
          <w:spacing w:val="-9"/>
        </w:rPr>
        <w:t> </w:t>
      </w:r>
      <w:r>
        <w:rPr>
          <w:color w:val="231F20"/>
        </w:rPr>
        <w:t>por</w:t>
      </w:r>
      <w:r>
        <w:rPr>
          <w:color w:val="231F20"/>
          <w:spacing w:val="-9"/>
        </w:rPr>
        <w:t> </w:t>
      </w:r>
      <w:r>
        <w:rPr>
          <w:color w:val="231F20"/>
          <w:spacing w:val="-4"/>
        </w:rPr>
        <w:t>empresa</w:t>
      </w:r>
      <w:r>
        <w:rPr>
          <w:color w:val="231F20"/>
          <w:spacing w:val="-4"/>
          <w:u w:val="dotted" w:color="27211F"/>
        </w:rPr>
        <w:tab/>
      </w:r>
      <w:r>
        <w:rPr>
          <w:color w:val="231F20"/>
          <w:spacing w:val="-3"/>
        </w:rPr>
        <w:t>42</w:t>
      </w:r>
      <w:r>
        <w:rPr>
          <w:color w:val="231F20"/>
          <w:spacing w:val="-3"/>
          <w:w w:val="96"/>
        </w:rPr>
        <w:t> </w:t>
      </w:r>
      <w:r>
        <w:rPr>
          <w:color w:val="231F20"/>
          <w:spacing w:val="-4"/>
        </w:rPr>
        <w:t>Cuadro</w:t>
      </w:r>
      <w:r>
        <w:rPr>
          <w:color w:val="231F20"/>
          <w:spacing w:val="10"/>
        </w:rPr>
        <w:t> </w:t>
      </w:r>
      <w:r>
        <w:rPr>
          <w:color w:val="231F20"/>
          <w:spacing w:val="-3"/>
        </w:rPr>
        <w:t>II.2</w:t>
      </w:r>
    </w:p>
    <w:p>
      <w:pPr>
        <w:pStyle w:val="BodyText"/>
        <w:tabs>
          <w:tab w:pos="7005" w:val="left" w:leader="none"/>
        </w:tabs>
        <w:spacing w:line="268" w:lineRule="auto"/>
        <w:ind w:left="103" w:right="613"/>
      </w:pPr>
      <w:r>
        <w:rPr/>
        <w:pict>
          <v:line style="position:absolute;mso-position-horizontal-relative:page;mso-position-vertical-relative:paragraph;z-index:-616504" from="388.344696pt,10.840345pt" to="388.344696pt,10.840345pt" stroked="true" strokeweight="1pt" strokecolor="#27211f">
            <w10:wrap type="none"/>
          </v:line>
        </w:pict>
      </w:r>
      <w:r>
        <w:rPr/>
        <w:pict>
          <v:line style="position:absolute;mso-position-horizontal-relative:page;mso-position-vertical-relative:paragraph;z-index:-616480" from="411.338715pt,10.840345pt" to="411.338715pt,10.840345pt" stroked="true" strokeweight="1pt" strokecolor="#27211f">
            <w10:wrap type="none"/>
          </v:line>
        </w:pict>
      </w:r>
      <w:r>
        <w:rPr>
          <w:color w:val="231F20"/>
          <w:spacing w:val="-4"/>
        </w:rPr>
        <w:t>Participación porcentual </w:t>
      </w:r>
      <w:r>
        <w:rPr>
          <w:color w:val="231F20"/>
        </w:rPr>
        <w:t>en la </w:t>
      </w:r>
      <w:r>
        <w:rPr>
          <w:color w:val="231F20"/>
          <w:spacing w:val="-4"/>
        </w:rPr>
        <w:t>producción </w:t>
      </w:r>
      <w:r>
        <w:rPr>
          <w:color w:val="231F20"/>
          <w:spacing w:val="-3"/>
        </w:rPr>
        <w:t>mundial </w:t>
      </w:r>
      <w:r>
        <w:rPr>
          <w:color w:val="231F20"/>
        </w:rPr>
        <w:t>de</w:t>
      </w:r>
      <w:r>
        <w:rPr>
          <w:color w:val="231F20"/>
          <w:spacing w:val="-32"/>
        </w:rPr>
        <w:t> </w:t>
      </w:r>
      <w:r>
        <w:rPr>
          <w:color w:val="231F20"/>
          <w:spacing w:val="-4"/>
        </w:rPr>
        <w:t>automóviles,</w:t>
      </w:r>
      <w:r>
        <w:rPr>
          <w:color w:val="231F20"/>
          <w:spacing w:val="-7"/>
        </w:rPr>
        <w:t> </w:t>
      </w:r>
      <w:r>
        <w:rPr>
          <w:color w:val="231F20"/>
          <w:spacing w:val="-3"/>
        </w:rPr>
        <w:t>1961-2013</w:t>
      </w:r>
      <w:r>
        <w:rPr>
          <w:color w:val="231F20"/>
          <w:spacing w:val="-3"/>
          <w:u w:val="dotted" w:color="27211F"/>
        </w:rPr>
        <w:tab/>
      </w:r>
      <w:r>
        <w:rPr>
          <w:color w:val="231F20"/>
          <w:spacing w:val="-3"/>
        </w:rPr>
        <w:t>45</w:t>
      </w:r>
      <w:r>
        <w:rPr>
          <w:color w:val="231F20"/>
          <w:spacing w:val="-3"/>
          <w:w w:val="96"/>
        </w:rPr>
        <w:t> </w:t>
      </w:r>
      <w:r>
        <w:rPr>
          <w:color w:val="231F20"/>
          <w:spacing w:val="-4"/>
        </w:rPr>
        <w:t>Cuadro</w:t>
      </w:r>
      <w:r>
        <w:rPr>
          <w:color w:val="231F20"/>
          <w:spacing w:val="10"/>
        </w:rPr>
        <w:t> </w:t>
      </w:r>
      <w:r>
        <w:rPr>
          <w:color w:val="231F20"/>
          <w:spacing w:val="-3"/>
        </w:rPr>
        <w:t>II.3</w:t>
      </w:r>
    </w:p>
    <w:p>
      <w:pPr>
        <w:pStyle w:val="BodyText"/>
        <w:tabs>
          <w:tab w:pos="7006" w:val="left" w:leader="none"/>
        </w:tabs>
        <w:spacing w:line="268" w:lineRule="auto"/>
        <w:ind w:left="103" w:right="613"/>
      </w:pPr>
      <w:r>
        <w:rPr/>
        <w:pict>
          <v:line style="position:absolute;mso-position-horizontal-relative:page;mso-position-vertical-relative:paragraph;z-index:-616456" from="387.241791pt,10.834333pt" to="387.241791pt,10.834333pt" stroked="true" strokeweight="1pt" strokecolor="#27211f">
            <w10:wrap type="none"/>
          </v:line>
        </w:pict>
      </w:r>
      <w:r>
        <w:rPr/>
        <w:pict>
          <v:line style="position:absolute;mso-position-horizontal-relative:page;mso-position-vertical-relative:paragraph;z-index:-616432" from="411.338806pt,10.834333pt" to="411.338806pt,10.834333pt" stroked="true" strokeweight="1pt" strokecolor="#27211f">
            <w10:wrap type="none"/>
          </v:line>
        </w:pict>
      </w:r>
      <w:r>
        <w:rPr>
          <w:color w:val="231F20"/>
          <w:spacing w:val="-7"/>
        </w:rPr>
        <w:t>Tasa</w:t>
      </w:r>
      <w:r>
        <w:rPr>
          <w:color w:val="231F20"/>
          <w:spacing w:val="-9"/>
        </w:rPr>
        <w:t> </w:t>
      </w:r>
      <w:r>
        <w:rPr>
          <w:color w:val="231F20"/>
        </w:rPr>
        <w:t>de</w:t>
      </w:r>
      <w:r>
        <w:rPr>
          <w:color w:val="231F20"/>
          <w:spacing w:val="-9"/>
        </w:rPr>
        <w:t> </w:t>
      </w:r>
      <w:r>
        <w:rPr>
          <w:color w:val="231F20"/>
          <w:spacing w:val="-4"/>
        </w:rPr>
        <w:t>crecimiento</w:t>
      </w:r>
      <w:r>
        <w:rPr>
          <w:color w:val="231F20"/>
          <w:spacing w:val="-9"/>
        </w:rPr>
        <w:t> </w:t>
      </w:r>
      <w:r>
        <w:rPr>
          <w:color w:val="231F20"/>
        </w:rPr>
        <w:t>media</w:t>
      </w:r>
      <w:r>
        <w:rPr>
          <w:color w:val="231F20"/>
          <w:spacing w:val="-9"/>
        </w:rPr>
        <w:t> </w:t>
      </w:r>
      <w:r>
        <w:rPr>
          <w:color w:val="231F20"/>
          <w:spacing w:val="-3"/>
        </w:rPr>
        <w:t>anual</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4"/>
        </w:rPr>
        <w:t>producción</w:t>
      </w:r>
      <w:r>
        <w:rPr>
          <w:color w:val="231F20"/>
          <w:spacing w:val="-9"/>
        </w:rPr>
        <w:t> </w:t>
      </w:r>
      <w:r>
        <w:rPr>
          <w:color w:val="231F20"/>
          <w:spacing w:val="-3"/>
        </w:rPr>
        <w:t>mundial</w:t>
      </w:r>
      <w:r>
        <w:rPr>
          <w:color w:val="231F20"/>
          <w:spacing w:val="-9"/>
        </w:rPr>
        <w:t> </w:t>
      </w:r>
      <w:r>
        <w:rPr>
          <w:color w:val="231F20"/>
        </w:rPr>
        <w:t>de</w:t>
      </w:r>
      <w:r>
        <w:rPr>
          <w:color w:val="231F20"/>
          <w:spacing w:val="-9"/>
        </w:rPr>
        <w:t> </w:t>
      </w:r>
      <w:r>
        <w:rPr>
          <w:color w:val="231F20"/>
          <w:spacing w:val="-3"/>
        </w:rPr>
        <w:t>vehículos,</w:t>
      </w:r>
      <w:r>
        <w:rPr>
          <w:color w:val="231F20"/>
          <w:spacing w:val="-9"/>
        </w:rPr>
        <w:t> </w:t>
      </w:r>
      <w:r>
        <w:rPr>
          <w:color w:val="231F20"/>
          <w:spacing w:val="-3"/>
        </w:rPr>
        <w:t>2009</w:t>
      </w:r>
      <w:r>
        <w:rPr>
          <w:color w:val="231F20"/>
          <w:spacing w:val="-3"/>
          <w:u w:val="dotted" w:color="27211F"/>
        </w:rPr>
        <w:tab/>
      </w:r>
      <w:r>
        <w:rPr>
          <w:color w:val="231F20"/>
          <w:spacing w:val="-3"/>
        </w:rPr>
        <w:t>46</w:t>
      </w:r>
      <w:r>
        <w:rPr>
          <w:color w:val="231F20"/>
          <w:spacing w:val="-3"/>
          <w:w w:val="96"/>
        </w:rPr>
        <w:t> </w:t>
      </w:r>
      <w:r>
        <w:rPr>
          <w:color w:val="231F20"/>
          <w:spacing w:val="-4"/>
        </w:rPr>
        <w:t>Cuadro</w:t>
      </w:r>
      <w:r>
        <w:rPr>
          <w:color w:val="231F20"/>
          <w:spacing w:val="10"/>
        </w:rPr>
        <w:t> </w:t>
      </w:r>
      <w:r>
        <w:rPr>
          <w:color w:val="231F20"/>
          <w:spacing w:val="-3"/>
        </w:rPr>
        <w:t>II.4</w:t>
      </w:r>
    </w:p>
    <w:p>
      <w:pPr>
        <w:pStyle w:val="BodyText"/>
        <w:ind w:left="103" w:right="613"/>
      </w:pPr>
      <w:r>
        <w:rPr>
          <w:color w:val="231F20"/>
        </w:rPr>
        <w:t>Participación porcentual en la producción mundial de vehículos por región</w:t>
      </w:r>
    </w:p>
    <w:p>
      <w:pPr>
        <w:pStyle w:val="BodyText"/>
        <w:tabs>
          <w:tab w:pos="7006" w:val="left" w:leader="none"/>
        </w:tabs>
        <w:spacing w:line="268" w:lineRule="auto" w:before="28"/>
        <w:ind w:left="103" w:right="613"/>
      </w:pPr>
      <w:r>
        <w:rPr/>
        <w:pict>
          <v:line style="position:absolute;mso-position-horizontal-relative:page;mso-position-vertical-relative:paragraph;z-index:-616408" from="246.114502pt,12.22533pt" to="246.114502pt,12.22533pt" stroked="true" strokeweight="1pt" strokecolor="#27211f">
            <w10:wrap type="none"/>
          </v:line>
        </w:pict>
      </w:r>
      <w:r>
        <w:rPr/>
        <w:pict>
          <v:line style="position:absolute;mso-position-horizontal-relative:page;mso-position-vertical-relative:paragraph;z-index:-616384" from="411.338501pt,12.22533pt" to="411.338501pt,12.22533pt" stroked="true" strokeweight="1pt" strokecolor="#27211f">
            <w10:wrap type="none"/>
          </v:line>
        </w:pict>
      </w:r>
      <w:r>
        <w:rPr>
          <w:color w:val="231F20"/>
        </w:rPr>
        <w:t>y </w:t>
      </w:r>
      <w:r>
        <w:rPr>
          <w:color w:val="231F20"/>
          <w:spacing w:val="-3"/>
        </w:rPr>
        <w:t>principales países</w:t>
      </w:r>
      <w:r>
        <w:rPr>
          <w:color w:val="231F20"/>
          <w:spacing w:val="-28"/>
        </w:rPr>
        <w:t> </w:t>
      </w:r>
      <w:r>
        <w:rPr>
          <w:color w:val="231F20"/>
          <w:spacing w:val="-4"/>
        </w:rPr>
        <w:t>productores,</w:t>
      </w:r>
      <w:r>
        <w:rPr>
          <w:color w:val="231F20"/>
          <w:spacing w:val="-11"/>
        </w:rPr>
        <w:t> </w:t>
      </w:r>
      <w:r>
        <w:rPr>
          <w:color w:val="231F20"/>
          <w:spacing w:val="-3"/>
        </w:rPr>
        <w:t>2000-2013</w:t>
      </w:r>
      <w:r>
        <w:rPr>
          <w:color w:val="231F20"/>
          <w:spacing w:val="-3"/>
          <w:u w:val="dotted" w:color="27211F"/>
        </w:rPr>
        <w:tab/>
      </w:r>
      <w:r>
        <w:rPr>
          <w:color w:val="231F20"/>
          <w:spacing w:val="-3"/>
        </w:rPr>
        <w:t>48</w:t>
      </w:r>
      <w:r>
        <w:rPr>
          <w:color w:val="231F20"/>
          <w:spacing w:val="-3"/>
          <w:w w:val="96"/>
        </w:rPr>
        <w:t> </w:t>
      </w:r>
      <w:r>
        <w:rPr>
          <w:color w:val="231F20"/>
          <w:spacing w:val="-4"/>
        </w:rPr>
        <w:t>Cuadro</w:t>
      </w:r>
      <w:r>
        <w:rPr>
          <w:color w:val="231F20"/>
          <w:spacing w:val="10"/>
        </w:rPr>
        <w:t> </w:t>
      </w:r>
      <w:r>
        <w:rPr>
          <w:color w:val="231F20"/>
          <w:spacing w:val="-3"/>
        </w:rPr>
        <w:t>II.5</w:t>
      </w:r>
    </w:p>
    <w:p>
      <w:pPr>
        <w:pStyle w:val="BodyText"/>
        <w:tabs>
          <w:tab w:pos="7006" w:val="left" w:leader="none"/>
        </w:tabs>
        <w:spacing w:line="268" w:lineRule="auto"/>
        <w:ind w:left="103" w:right="613"/>
      </w:pPr>
      <w:r>
        <w:rPr/>
        <w:pict>
          <v:line style="position:absolute;mso-position-horizontal-relative:page;mso-position-vertical-relative:paragraph;z-index:-616360" from="355.721191pt,10.819349pt" to="355.721191pt,10.819349pt" stroked="true" strokeweight="1pt" strokecolor="#27211f">
            <w10:wrap type="none"/>
          </v:line>
        </w:pict>
      </w:r>
      <w:r>
        <w:rPr/>
        <w:pict>
          <v:line style="position:absolute;mso-position-horizontal-relative:page;mso-position-vertical-relative:paragraph;z-index:-616336" from="411.338196pt,10.819349pt" to="411.338196pt,10.819349pt" stroked="true" strokeweight="1pt" strokecolor="#27211f">
            <w10:wrap type="none"/>
          </v:line>
        </w:pict>
      </w:r>
      <w:r>
        <w:rPr>
          <w:color w:val="231F20"/>
          <w:spacing w:val="-7"/>
        </w:rPr>
        <w:t>Venta</w:t>
      </w:r>
      <w:r>
        <w:rPr>
          <w:color w:val="231F20"/>
          <w:spacing w:val="-11"/>
        </w:rPr>
        <w:t> </w:t>
      </w:r>
      <w:r>
        <w:rPr>
          <w:color w:val="231F20"/>
          <w:spacing w:val="-3"/>
        </w:rPr>
        <w:t>mundial</w:t>
      </w:r>
      <w:r>
        <w:rPr>
          <w:color w:val="231F20"/>
          <w:spacing w:val="-11"/>
        </w:rPr>
        <w:t> </w:t>
      </w:r>
      <w:r>
        <w:rPr>
          <w:color w:val="231F20"/>
        </w:rPr>
        <w:t>de</w:t>
      </w:r>
      <w:r>
        <w:rPr>
          <w:color w:val="231F20"/>
          <w:spacing w:val="-11"/>
        </w:rPr>
        <w:t> </w:t>
      </w:r>
      <w:r>
        <w:rPr>
          <w:color w:val="231F20"/>
          <w:spacing w:val="-3"/>
        </w:rPr>
        <w:t>vehículos</w:t>
      </w:r>
      <w:r>
        <w:rPr>
          <w:color w:val="231F20"/>
          <w:spacing w:val="-11"/>
        </w:rPr>
        <w:t> </w:t>
      </w:r>
      <w:r>
        <w:rPr>
          <w:color w:val="231F20"/>
        </w:rPr>
        <w:t>por</w:t>
      </w:r>
      <w:r>
        <w:rPr>
          <w:color w:val="231F20"/>
          <w:spacing w:val="-11"/>
        </w:rPr>
        <w:t> </w:t>
      </w:r>
      <w:r>
        <w:rPr>
          <w:color w:val="231F20"/>
          <w:spacing w:val="-3"/>
        </w:rPr>
        <w:t>región</w:t>
      </w:r>
      <w:r>
        <w:rPr>
          <w:color w:val="231F20"/>
          <w:spacing w:val="-11"/>
        </w:rPr>
        <w:t> </w:t>
      </w:r>
      <w:r>
        <w:rPr>
          <w:color w:val="231F20"/>
        </w:rPr>
        <w:t>y</w:t>
      </w:r>
      <w:r>
        <w:rPr>
          <w:color w:val="231F20"/>
          <w:spacing w:val="-11"/>
        </w:rPr>
        <w:t> </w:t>
      </w:r>
      <w:r>
        <w:rPr>
          <w:color w:val="231F20"/>
          <w:spacing w:val="-3"/>
        </w:rPr>
        <w:t>principales</w:t>
      </w:r>
      <w:r>
        <w:rPr>
          <w:color w:val="231F20"/>
          <w:spacing w:val="-11"/>
        </w:rPr>
        <w:t> </w:t>
      </w:r>
      <w:r>
        <w:rPr>
          <w:color w:val="231F20"/>
          <w:spacing w:val="-3"/>
        </w:rPr>
        <w:t>países,</w:t>
      </w:r>
      <w:r>
        <w:rPr>
          <w:color w:val="231F20"/>
          <w:spacing w:val="-11"/>
        </w:rPr>
        <w:t> </w:t>
      </w:r>
      <w:r>
        <w:rPr>
          <w:color w:val="231F20"/>
          <w:spacing w:val="-3"/>
        </w:rPr>
        <w:t>2000-2013</w:t>
      </w:r>
      <w:r>
        <w:rPr>
          <w:color w:val="231F20"/>
          <w:spacing w:val="-3"/>
          <w:u w:val="dotted" w:color="27211F"/>
        </w:rPr>
        <w:tab/>
      </w:r>
      <w:r>
        <w:rPr>
          <w:color w:val="231F20"/>
          <w:spacing w:val="-3"/>
        </w:rPr>
        <w:t>50</w:t>
      </w:r>
      <w:r>
        <w:rPr>
          <w:color w:val="231F20"/>
          <w:spacing w:val="-3"/>
          <w:w w:val="96"/>
        </w:rPr>
        <w:t> </w:t>
      </w:r>
      <w:r>
        <w:rPr>
          <w:color w:val="231F20"/>
          <w:spacing w:val="-4"/>
        </w:rPr>
        <w:t>Cuadro</w:t>
      </w:r>
      <w:r>
        <w:rPr>
          <w:color w:val="231F20"/>
          <w:spacing w:val="10"/>
        </w:rPr>
        <w:t> </w:t>
      </w:r>
      <w:r>
        <w:rPr>
          <w:color w:val="231F20"/>
          <w:spacing w:val="-3"/>
        </w:rPr>
        <w:t>II.6</w:t>
      </w:r>
    </w:p>
    <w:p>
      <w:pPr>
        <w:pStyle w:val="BodyText"/>
        <w:ind w:left="103" w:right="613"/>
      </w:pPr>
      <w:r>
        <w:rPr>
          <w:color w:val="231F20"/>
        </w:rPr>
        <w:t>Participación porcentual en la producción mundial de vehículos</w:t>
      </w:r>
    </w:p>
    <w:p>
      <w:pPr>
        <w:pStyle w:val="BodyText"/>
        <w:tabs>
          <w:tab w:pos="7006" w:val="left" w:leader="none"/>
        </w:tabs>
        <w:spacing w:line="268" w:lineRule="auto" w:before="28"/>
        <w:ind w:left="103" w:right="613"/>
      </w:pPr>
      <w:r>
        <w:rPr/>
        <w:pict>
          <v:line style="position:absolute;mso-position-horizontal-relative:page;mso-position-vertical-relative:paragraph;z-index:-616312" from="269.549988pt,12.210346pt" to="269.549988pt,12.210346pt" stroked="true" strokeweight="1pt" strokecolor="#27211f">
            <w10:wrap type="none"/>
          </v:line>
        </w:pict>
      </w:r>
      <w:r>
        <w:rPr/>
        <w:pict>
          <v:line style="position:absolute;mso-position-horizontal-relative:page;mso-position-vertical-relative:paragraph;z-index:-616288" from="411.338989pt,12.210346pt" to="411.338989pt,12.210346pt" stroked="true" strokeweight="1pt" strokecolor="#27211f">
            <w10:wrap type="none"/>
          </v:line>
        </w:pict>
      </w:r>
      <w:r>
        <w:rPr>
          <w:color w:val="231F20"/>
        </w:rPr>
        <w:t>por </w:t>
      </w:r>
      <w:r>
        <w:rPr>
          <w:color w:val="231F20"/>
          <w:spacing w:val="-3"/>
        </w:rPr>
        <w:t>principales </w:t>
      </w:r>
      <w:r>
        <w:rPr>
          <w:color w:val="231F20"/>
          <w:spacing w:val="-4"/>
        </w:rPr>
        <w:t>empresas</w:t>
      </w:r>
      <w:r>
        <w:rPr>
          <w:color w:val="231F20"/>
          <w:spacing w:val="-26"/>
        </w:rPr>
        <w:t> </w:t>
      </w:r>
      <w:r>
        <w:rPr>
          <w:color w:val="231F20"/>
          <w:spacing w:val="-4"/>
        </w:rPr>
        <w:t>productoras,</w:t>
      </w:r>
      <w:r>
        <w:rPr>
          <w:color w:val="231F20"/>
          <w:spacing w:val="-10"/>
        </w:rPr>
        <w:t> </w:t>
      </w:r>
      <w:r>
        <w:rPr>
          <w:color w:val="231F20"/>
          <w:spacing w:val="-3"/>
        </w:rPr>
        <w:t>1985-2012</w:t>
      </w:r>
      <w:r>
        <w:rPr>
          <w:color w:val="231F20"/>
          <w:spacing w:val="-3"/>
          <w:u w:val="dotted" w:color="27211F"/>
        </w:rPr>
        <w:tab/>
      </w:r>
      <w:r>
        <w:rPr>
          <w:color w:val="231F20"/>
          <w:spacing w:val="-3"/>
        </w:rPr>
        <w:t>52</w:t>
      </w:r>
      <w:r>
        <w:rPr>
          <w:color w:val="231F20"/>
          <w:spacing w:val="-3"/>
          <w:w w:val="96"/>
        </w:rPr>
        <w:t> </w:t>
      </w:r>
      <w:r>
        <w:rPr>
          <w:color w:val="231F20"/>
          <w:spacing w:val="-4"/>
        </w:rPr>
        <w:t>Cuadro</w:t>
      </w:r>
      <w:r>
        <w:rPr>
          <w:color w:val="231F20"/>
          <w:spacing w:val="10"/>
        </w:rPr>
        <w:t> </w:t>
      </w:r>
      <w:r>
        <w:rPr>
          <w:color w:val="231F20"/>
          <w:spacing w:val="-3"/>
        </w:rPr>
        <w:t>II.7</w:t>
      </w:r>
    </w:p>
    <w:p>
      <w:pPr>
        <w:pStyle w:val="BodyText"/>
        <w:tabs>
          <w:tab w:pos="7006" w:val="left" w:leader="none"/>
        </w:tabs>
        <w:spacing w:line="268" w:lineRule="auto"/>
        <w:ind w:left="103" w:right="613"/>
      </w:pPr>
      <w:r>
        <w:rPr/>
        <w:pict>
          <v:line style="position:absolute;mso-position-horizontal-relative:page;mso-position-vertical-relative:paragraph;z-index:-616264" from="380.941711pt,10.804335pt" to="380.941711pt,10.804335pt" stroked="true" strokeweight="1pt" strokecolor="#27211f">
            <w10:wrap type="none"/>
          </v:line>
        </w:pict>
      </w:r>
      <w:r>
        <w:rPr/>
        <w:pict>
          <v:line style="position:absolute;mso-position-horizontal-relative:page;mso-position-vertical-relative:paragraph;z-index:-616240" from="411.338715pt,10.804335pt" to="411.338715pt,10.804335pt" stroked="true" strokeweight="1pt" strokecolor="#27211f">
            <w10:wrap type="none"/>
          </v:line>
        </w:pict>
      </w:r>
      <w:r>
        <w:rPr>
          <w:color w:val="231F20"/>
          <w:spacing w:val="-4"/>
        </w:rPr>
        <w:t>Participación</w:t>
      </w:r>
      <w:r>
        <w:rPr>
          <w:color w:val="231F20"/>
          <w:spacing w:val="-9"/>
        </w:rPr>
        <w:t> </w:t>
      </w:r>
      <w:r>
        <w:rPr>
          <w:color w:val="231F20"/>
          <w:spacing w:val="-4"/>
        </w:rPr>
        <w:t>porcentual</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3"/>
        </w:rPr>
        <w:t>venta</w:t>
      </w:r>
      <w:r>
        <w:rPr>
          <w:color w:val="231F20"/>
          <w:spacing w:val="-9"/>
        </w:rPr>
        <w:t> </w:t>
      </w:r>
      <w:r>
        <w:rPr>
          <w:color w:val="231F20"/>
        </w:rPr>
        <w:t>de</w:t>
      </w:r>
      <w:r>
        <w:rPr>
          <w:color w:val="231F20"/>
          <w:spacing w:val="-9"/>
        </w:rPr>
        <w:t> </w:t>
      </w:r>
      <w:r>
        <w:rPr>
          <w:color w:val="231F20"/>
          <w:spacing w:val="-3"/>
        </w:rPr>
        <w:t>vehículos</w:t>
      </w:r>
      <w:r>
        <w:rPr>
          <w:color w:val="231F20"/>
          <w:spacing w:val="-9"/>
        </w:rPr>
        <w:t> </w:t>
      </w:r>
      <w:r>
        <w:rPr>
          <w:color w:val="231F20"/>
        </w:rPr>
        <w:t>por</w:t>
      </w:r>
      <w:r>
        <w:rPr>
          <w:color w:val="231F20"/>
          <w:spacing w:val="-9"/>
        </w:rPr>
        <w:t> </w:t>
      </w:r>
      <w:r>
        <w:rPr>
          <w:color w:val="231F20"/>
          <w:spacing w:val="-4"/>
        </w:rPr>
        <w:t>empresa</w:t>
      </w:r>
      <w:r>
        <w:rPr>
          <w:color w:val="231F20"/>
          <w:spacing w:val="-9"/>
        </w:rPr>
        <w:t> </w:t>
      </w:r>
      <w:r>
        <w:rPr>
          <w:color w:val="231F20"/>
        </w:rPr>
        <w:t>y</w:t>
      </w:r>
      <w:r>
        <w:rPr>
          <w:color w:val="231F20"/>
          <w:spacing w:val="-9"/>
        </w:rPr>
        <w:t> </w:t>
      </w:r>
      <w:r>
        <w:rPr>
          <w:color w:val="231F20"/>
          <w:spacing w:val="-3"/>
        </w:rPr>
        <w:t>región,</w:t>
      </w:r>
      <w:r>
        <w:rPr>
          <w:color w:val="231F20"/>
          <w:spacing w:val="-9"/>
        </w:rPr>
        <w:t> </w:t>
      </w:r>
      <w:r>
        <w:rPr>
          <w:color w:val="231F20"/>
          <w:spacing w:val="-3"/>
        </w:rPr>
        <w:t>2006</w:t>
      </w:r>
      <w:r>
        <w:rPr>
          <w:color w:val="231F20"/>
          <w:spacing w:val="-3"/>
          <w:u w:val="dotted" w:color="27211F"/>
        </w:rPr>
        <w:tab/>
      </w:r>
      <w:r>
        <w:rPr>
          <w:color w:val="231F20"/>
          <w:spacing w:val="-3"/>
        </w:rPr>
        <w:t>53</w:t>
      </w:r>
      <w:r>
        <w:rPr>
          <w:color w:val="231F20"/>
          <w:spacing w:val="-3"/>
          <w:w w:val="96"/>
        </w:rPr>
        <w:t> </w:t>
      </w:r>
      <w:r>
        <w:rPr>
          <w:color w:val="231F20"/>
          <w:spacing w:val="-4"/>
        </w:rPr>
        <w:t>Cuadro</w:t>
      </w:r>
      <w:r>
        <w:rPr>
          <w:color w:val="231F20"/>
          <w:spacing w:val="10"/>
        </w:rPr>
        <w:t> </w:t>
      </w:r>
      <w:r>
        <w:rPr>
          <w:color w:val="231F20"/>
          <w:spacing w:val="-3"/>
        </w:rPr>
        <w:t>II.8</w:t>
      </w:r>
    </w:p>
    <w:p>
      <w:pPr>
        <w:pStyle w:val="BodyText"/>
        <w:ind w:left="103" w:right="613"/>
      </w:pPr>
      <w:r>
        <w:rPr>
          <w:color w:val="231F20"/>
        </w:rPr>
        <w:t>Tasas de crecimiento de la producción mundial de vehículos.</w:t>
      </w:r>
    </w:p>
    <w:p>
      <w:pPr>
        <w:pStyle w:val="BodyText"/>
        <w:tabs>
          <w:tab w:pos="7006" w:val="left" w:leader="none"/>
        </w:tabs>
        <w:spacing w:line="268" w:lineRule="auto" w:before="28"/>
        <w:ind w:left="103" w:right="613"/>
      </w:pPr>
      <w:r>
        <w:rPr/>
        <w:pict>
          <v:line style="position:absolute;mso-position-horizontal-relative:page;mso-position-vertical-relative:paragraph;z-index:-616216" from="253.307098pt,12.195332pt" to="253.307098pt,12.195332pt" stroked="true" strokeweight="1pt" strokecolor="#27211f">
            <w10:wrap type="none"/>
          </v:line>
        </w:pict>
      </w:r>
      <w:r>
        <w:rPr/>
        <w:pict>
          <v:line style="position:absolute;mso-position-horizontal-relative:page;mso-position-vertical-relative:paragraph;z-index:-616192" from="411.338104pt,12.195332pt" to="411.338104pt,12.195332pt" stroked="true" strokeweight="1pt" strokecolor="#27211f">
            <w10:wrap type="none"/>
          </v:line>
        </w:pict>
      </w:r>
      <w:r>
        <w:rPr>
          <w:color w:val="231F20"/>
          <w:spacing w:val="-3"/>
        </w:rPr>
        <w:t>Principales </w:t>
      </w:r>
      <w:r>
        <w:rPr>
          <w:color w:val="231F20"/>
          <w:spacing w:val="-4"/>
        </w:rPr>
        <w:t>empresas</w:t>
      </w:r>
      <w:r>
        <w:rPr>
          <w:color w:val="231F20"/>
          <w:spacing w:val="-17"/>
        </w:rPr>
        <w:t> </w:t>
      </w:r>
      <w:r>
        <w:rPr>
          <w:color w:val="231F20"/>
          <w:spacing w:val="-4"/>
        </w:rPr>
        <w:t>productoras,</w:t>
      </w:r>
      <w:r>
        <w:rPr>
          <w:color w:val="231F20"/>
          <w:spacing w:val="-10"/>
        </w:rPr>
        <w:t> </w:t>
      </w:r>
      <w:r>
        <w:rPr>
          <w:color w:val="231F20"/>
          <w:spacing w:val="-3"/>
        </w:rPr>
        <w:t>1985-2012</w:t>
      </w:r>
      <w:r>
        <w:rPr>
          <w:color w:val="231F20"/>
          <w:spacing w:val="-3"/>
          <w:u w:val="dotted" w:color="27211F"/>
        </w:rPr>
        <w:tab/>
      </w:r>
      <w:r>
        <w:rPr>
          <w:color w:val="231F20"/>
          <w:spacing w:val="-3"/>
        </w:rPr>
        <w:t>54</w:t>
      </w:r>
      <w:r>
        <w:rPr>
          <w:color w:val="231F20"/>
          <w:spacing w:val="-3"/>
          <w:w w:val="96"/>
        </w:rPr>
        <w:t> </w:t>
      </w:r>
      <w:r>
        <w:rPr>
          <w:color w:val="231F20"/>
          <w:spacing w:val="-4"/>
        </w:rPr>
        <w:t>Cuadro</w:t>
      </w:r>
      <w:r>
        <w:rPr>
          <w:color w:val="231F20"/>
          <w:spacing w:val="10"/>
        </w:rPr>
        <w:t> </w:t>
      </w:r>
      <w:r>
        <w:rPr>
          <w:color w:val="231F20"/>
          <w:spacing w:val="-3"/>
        </w:rPr>
        <w:t>II.9</w:t>
      </w:r>
    </w:p>
    <w:p>
      <w:pPr>
        <w:pStyle w:val="BodyText"/>
        <w:ind w:left="103" w:right="613"/>
      </w:pPr>
      <w:r>
        <w:rPr>
          <w:color w:val="231F20"/>
        </w:rPr>
        <w:t>Producción mundial de vehículos. Principales empresas  productoras,</w:t>
      </w:r>
    </w:p>
    <w:p>
      <w:pPr>
        <w:pStyle w:val="BodyText"/>
        <w:tabs>
          <w:tab w:pos="7006" w:val="left" w:leader="none"/>
        </w:tabs>
        <w:spacing w:line="268" w:lineRule="auto" w:before="28"/>
        <w:ind w:left="103" w:right="613"/>
      </w:pPr>
      <w:r>
        <w:rPr/>
        <w:pict>
          <v:line style="position:absolute;mso-position-horizontal-relative:page;mso-position-vertical-relative:paragraph;z-index:-616168" from="238.302902pt,12.186329pt" to="238.302902pt,12.186329pt" stroked="true" strokeweight="1pt" strokecolor="#27211f">
            <w10:wrap type="none"/>
          </v:line>
        </w:pict>
      </w:r>
      <w:r>
        <w:rPr/>
        <w:pict>
          <v:line style="position:absolute;mso-position-horizontal-relative:page;mso-position-vertical-relative:paragraph;z-index:-616144" from="411.338898pt,12.186329pt" to="411.338898pt,12.186329pt" stroked="true" strokeweight="1pt" strokecolor="#27211f">
            <w10:wrap type="none"/>
          </v:line>
        </w:pict>
      </w:r>
      <w:r>
        <w:rPr>
          <w:color w:val="231F20"/>
          <w:spacing w:val="-3"/>
        </w:rPr>
        <w:t>2001-2012 </w:t>
      </w:r>
      <w:r>
        <w:rPr>
          <w:color w:val="231F20"/>
          <w:spacing w:val="-6"/>
        </w:rPr>
        <w:t>(Tasas </w:t>
      </w:r>
      <w:r>
        <w:rPr>
          <w:color w:val="231F20"/>
        </w:rPr>
        <w:t>de</w:t>
      </w:r>
      <w:r>
        <w:rPr>
          <w:color w:val="231F20"/>
          <w:spacing w:val="-22"/>
        </w:rPr>
        <w:t> </w:t>
      </w:r>
      <w:r>
        <w:rPr>
          <w:color w:val="231F20"/>
          <w:spacing w:val="-4"/>
        </w:rPr>
        <w:t>crecimiento</w:t>
      </w:r>
      <w:r>
        <w:rPr>
          <w:color w:val="231F20"/>
          <w:spacing w:val="-11"/>
        </w:rPr>
        <w:t> </w:t>
      </w:r>
      <w:r>
        <w:rPr>
          <w:color w:val="231F20"/>
          <w:spacing w:val="-3"/>
        </w:rPr>
        <w:t>anuales)</w:t>
      </w:r>
      <w:r>
        <w:rPr>
          <w:color w:val="231F20"/>
          <w:spacing w:val="-3"/>
          <w:u w:val="dotted" w:color="27211F"/>
        </w:rPr>
        <w:tab/>
      </w:r>
      <w:r>
        <w:rPr>
          <w:color w:val="231F20"/>
          <w:spacing w:val="-3"/>
        </w:rPr>
        <w:t>61</w:t>
      </w:r>
      <w:r>
        <w:rPr>
          <w:color w:val="231F20"/>
          <w:spacing w:val="-3"/>
          <w:w w:val="96"/>
        </w:rPr>
        <w:t> </w:t>
      </w:r>
      <w:r>
        <w:rPr>
          <w:color w:val="231F20"/>
          <w:spacing w:val="-4"/>
        </w:rPr>
        <w:t>Cuadro</w:t>
      </w:r>
      <w:r>
        <w:rPr>
          <w:color w:val="231F20"/>
          <w:spacing w:val="12"/>
        </w:rPr>
        <w:t> </w:t>
      </w:r>
      <w:r>
        <w:rPr>
          <w:color w:val="231F20"/>
          <w:spacing w:val="-3"/>
        </w:rPr>
        <w:t>III.1</w:t>
      </w:r>
    </w:p>
    <w:p>
      <w:pPr>
        <w:pStyle w:val="BodyText"/>
        <w:ind w:left="103" w:right="613"/>
      </w:pPr>
      <w:r>
        <w:rPr>
          <w:color w:val="231F20"/>
        </w:rPr>
        <w:t>México: sector automotriz, ue, po, pbt y vacb, participación   porcentual</w:t>
      </w:r>
    </w:p>
    <w:p>
      <w:pPr>
        <w:pStyle w:val="BodyText"/>
        <w:tabs>
          <w:tab w:pos="7006" w:val="left" w:leader="none"/>
        </w:tabs>
        <w:spacing w:line="268" w:lineRule="auto" w:before="28"/>
        <w:ind w:left="104" w:right="613" w:hanging="1"/>
      </w:pPr>
      <w:r>
        <w:rPr/>
        <w:pict>
          <v:line style="position:absolute;mso-position-horizontal-relative:page;mso-position-vertical-relative:paragraph;z-index:-616120" from="297.112701pt,12.177341pt" to="297.112701pt,12.177341pt" stroked="true" strokeweight="1pt" strokecolor="#27211f">
            <w10:wrap type="none"/>
          </v:line>
        </w:pict>
      </w:r>
      <w:r>
        <w:rPr/>
        <w:pict>
          <v:line style="position:absolute;mso-position-horizontal-relative:page;mso-position-vertical-relative:paragraph;z-index:-616096" from="411.338715pt,12.177341pt" to="411.338715pt,12.177341pt" stroked="true" strokeweight="1pt" strokecolor="#27211f">
            <w10:wrap type="none"/>
          </v:line>
        </w:pict>
      </w:r>
      <w:r>
        <w:rPr>
          <w:color w:val="231F20"/>
        </w:rPr>
        <w:t>en</w:t>
      </w:r>
      <w:r>
        <w:rPr>
          <w:color w:val="231F20"/>
          <w:spacing w:val="-10"/>
        </w:rPr>
        <w:t> </w:t>
      </w:r>
      <w:r>
        <w:rPr>
          <w:color w:val="231F20"/>
        </w:rPr>
        <w:t>el</w:t>
      </w:r>
      <w:r>
        <w:rPr>
          <w:color w:val="231F20"/>
          <w:spacing w:val="-10"/>
        </w:rPr>
        <w:t> </w:t>
      </w:r>
      <w:r>
        <w:rPr>
          <w:color w:val="231F20"/>
          <w:spacing w:val="-3"/>
        </w:rPr>
        <w:t>total</w:t>
      </w:r>
      <w:r>
        <w:rPr>
          <w:color w:val="231F20"/>
          <w:spacing w:val="-10"/>
        </w:rPr>
        <w:t> </w:t>
      </w:r>
      <w:r>
        <w:rPr>
          <w:color w:val="231F20"/>
          <w:spacing w:val="-3"/>
        </w:rPr>
        <w:t>nacional</w:t>
      </w:r>
      <w:r>
        <w:rPr>
          <w:color w:val="231F20"/>
          <w:spacing w:val="-10"/>
        </w:rPr>
        <w:t> </w:t>
      </w:r>
      <w:r>
        <w:rPr>
          <w:color w:val="231F20"/>
        </w:rPr>
        <w:t>por</w:t>
      </w:r>
      <w:r>
        <w:rPr>
          <w:color w:val="231F20"/>
          <w:spacing w:val="-10"/>
        </w:rPr>
        <w:t> </w:t>
      </w:r>
      <w:r>
        <w:rPr>
          <w:color w:val="231F20"/>
          <w:spacing w:val="-4"/>
        </w:rPr>
        <w:t>subsector,</w:t>
      </w:r>
      <w:r>
        <w:rPr>
          <w:color w:val="231F20"/>
          <w:spacing w:val="-10"/>
        </w:rPr>
        <w:t> </w:t>
      </w:r>
      <w:r>
        <w:rPr>
          <w:color w:val="231F20"/>
          <w:spacing w:val="-3"/>
        </w:rPr>
        <w:t>rama</w:t>
      </w:r>
      <w:r>
        <w:rPr>
          <w:color w:val="231F20"/>
          <w:spacing w:val="-10"/>
        </w:rPr>
        <w:t> </w:t>
      </w:r>
      <w:r>
        <w:rPr>
          <w:color w:val="231F20"/>
        </w:rPr>
        <w:t>y</w:t>
      </w:r>
      <w:r>
        <w:rPr>
          <w:color w:val="231F20"/>
          <w:spacing w:val="-10"/>
        </w:rPr>
        <w:t> </w:t>
      </w:r>
      <w:r>
        <w:rPr>
          <w:color w:val="231F20"/>
          <w:spacing w:val="-4"/>
        </w:rPr>
        <w:t>subrama,</w:t>
      </w:r>
      <w:r>
        <w:rPr>
          <w:color w:val="231F20"/>
          <w:spacing w:val="-10"/>
        </w:rPr>
        <w:t> </w:t>
      </w:r>
      <w:r>
        <w:rPr>
          <w:color w:val="231F20"/>
          <w:spacing w:val="-3"/>
        </w:rPr>
        <w:t>2008</w:t>
      </w:r>
      <w:r>
        <w:rPr>
          <w:color w:val="231F20"/>
          <w:spacing w:val="-3"/>
          <w:u w:val="dotted" w:color="27211F"/>
        </w:rPr>
        <w:tab/>
      </w:r>
      <w:r>
        <w:rPr>
          <w:color w:val="231F20"/>
          <w:spacing w:val="-3"/>
        </w:rPr>
        <w:t>67</w:t>
      </w:r>
      <w:r>
        <w:rPr>
          <w:color w:val="231F20"/>
          <w:spacing w:val="-3"/>
          <w:w w:val="96"/>
        </w:rPr>
        <w:t> </w:t>
      </w:r>
      <w:r>
        <w:rPr>
          <w:color w:val="231F20"/>
          <w:spacing w:val="-4"/>
        </w:rPr>
        <w:t>Cuadro</w:t>
      </w:r>
      <w:r>
        <w:rPr>
          <w:color w:val="231F20"/>
          <w:spacing w:val="12"/>
        </w:rPr>
        <w:t> </w:t>
      </w:r>
      <w:r>
        <w:rPr>
          <w:color w:val="231F20"/>
          <w:spacing w:val="-3"/>
        </w:rPr>
        <w:t>III.2</w:t>
      </w:r>
    </w:p>
    <w:p>
      <w:pPr>
        <w:pStyle w:val="BodyText"/>
        <w:tabs>
          <w:tab w:pos="7006" w:val="left" w:leader="none"/>
        </w:tabs>
        <w:spacing w:line="268" w:lineRule="auto"/>
        <w:ind w:left="104" w:right="613"/>
      </w:pPr>
      <w:r>
        <w:rPr/>
        <w:pict>
          <v:line style="position:absolute;mso-position-horizontal-relative:page;mso-position-vertical-relative:paragraph;z-index:-616072" from="372.92099pt,10.77133pt" to="372.92099pt,10.77133pt" stroked="true" strokeweight="1pt" strokecolor="#27211f">
            <w10:wrap type="none"/>
          </v:line>
        </w:pict>
      </w:r>
      <w:r>
        <w:rPr/>
        <w:pict>
          <v:line style="position:absolute;mso-position-horizontal-relative:page;mso-position-vertical-relative:paragraph;z-index:-616048" from="411.338989pt,10.77133pt" to="411.338989pt,10.77133pt" stroked="true" strokeweight="1pt" strokecolor="#27211f">
            <w10:wrap type="none"/>
          </v:line>
        </w:pict>
      </w:r>
      <w:r>
        <w:rPr>
          <w:color w:val="231F20"/>
          <w:spacing w:val="-4"/>
        </w:rPr>
        <w:t>Mercado</w:t>
      </w:r>
      <w:r>
        <w:rPr>
          <w:color w:val="231F20"/>
          <w:spacing w:val="-10"/>
        </w:rPr>
        <w:t> </w:t>
      </w:r>
      <w:r>
        <w:rPr>
          <w:color w:val="231F20"/>
        </w:rPr>
        <w:t>de</w:t>
      </w:r>
      <w:r>
        <w:rPr>
          <w:color w:val="231F20"/>
          <w:spacing w:val="-10"/>
        </w:rPr>
        <w:t> </w:t>
      </w:r>
      <w:r>
        <w:rPr>
          <w:color w:val="231F20"/>
          <w:spacing w:val="-3"/>
        </w:rPr>
        <w:t>destino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spacing w:val="-4"/>
        </w:rPr>
        <w:t>producción</w:t>
      </w:r>
      <w:r>
        <w:rPr>
          <w:color w:val="231F20"/>
          <w:spacing w:val="-10"/>
        </w:rPr>
        <w:t> </w:t>
      </w:r>
      <w:r>
        <w:rPr>
          <w:color w:val="231F20"/>
        </w:rPr>
        <w:t>de</w:t>
      </w:r>
      <w:r>
        <w:rPr>
          <w:color w:val="231F20"/>
          <w:spacing w:val="-10"/>
        </w:rPr>
        <w:t> </w:t>
      </w:r>
      <w:r>
        <w:rPr>
          <w:color w:val="231F20"/>
          <w:spacing w:val="-3"/>
        </w:rPr>
        <w:t>vehículos,</w:t>
      </w:r>
      <w:r>
        <w:rPr>
          <w:color w:val="231F20"/>
          <w:spacing w:val="-10"/>
        </w:rPr>
        <w:t> </w:t>
      </w:r>
      <w:r>
        <w:rPr>
          <w:color w:val="231F20"/>
          <w:spacing w:val="-3"/>
        </w:rPr>
        <w:t>1988-2013</w:t>
      </w:r>
      <w:r>
        <w:rPr>
          <w:color w:val="231F20"/>
          <w:spacing w:val="-10"/>
        </w:rPr>
        <w:t> </w:t>
      </w:r>
      <w:r>
        <w:rPr>
          <w:color w:val="231F20"/>
          <w:spacing w:val="-4"/>
        </w:rPr>
        <w:t>(Porcentaje)</w:t>
      </w:r>
      <w:r>
        <w:rPr>
          <w:color w:val="231F20"/>
          <w:spacing w:val="-4"/>
          <w:u w:val="dotted" w:color="27211F"/>
        </w:rPr>
        <w:tab/>
      </w:r>
      <w:r>
        <w:rPr>
          <w:color w:val="231F20"/>
          <w:spacing w:val="-3"/>
        </w:rPr>
        <w:t>78</w:t>
      </w:r>
      <w:r>
        <w:rPr>
          <w:color w:val="231F20"/>
          <w:spacing w:val="-3"/>
          <w:w w:val="96"/>
        </w:rPr>
        <w:t> </w:t>
      </w:r>
      <w:r>
        <w:rPr>
          <w:color w:val="231F20"/>
          <w:spacing w:val="-4"/>
        </w:rPr>
        <w:t>Cuadro</w:t>
      </w:r>
      <w:r>
        <w:rPr>
          <w:color w:val="231F20"/>
          <w:spacing w:val="12"/>
        </w:rPr>
        <w:t> </w:t>
      </w:r>
      <w:r>
        <w:rPr>
          <w:color w:val="231F20"/>
          <w:spacing w:val="-3"/>
        </w:rPr>
        <w:t>III.3</w:t>
      </w:r>
    </w:p>
    <w:p>
      <w:pPr>
        <w:pStyle w:val="BodyText"/>
        <w:tabs>
          <w:tab w:pos="7006" w:val="left" w:leader="none"/>
        </w:tabs>
        <w:spacing w:line="268" w:lineRule="auto"/>
        <w:ind w:left="104" w:right="613"/>
      </w:pPr>
      <w:r>
        <w:rPr/>
        <w:pict>
          <v:line style="position:absolute;mso-position-horizontal-relative:page;mso-position-vertical-relative:paragraph;z-index:-616024" from="342.471313pt,10.765333pt" to="342.471313pt,10.765333pt" stroked="true" strokeweight="1pt" strokecolor="#27211f">
            <w10:wrap type="none"/>
          </v:line>
        </w:pict>
      </w:r>
      <w:r>
        <w:rPr/>
        <w:pict>
          <v:line style="position:absolute;mso-position-horizontal-relative:page;mso-position-vertical-relative:paragraph;z-index:-616000" from="411.338287pt,10.765333pt" to="411.338287pt,10.765333pt" stroked="true" strokeweight="1pt" strokecolor="#27211f">
            <w10:wrap type="none"/>
          </v:line>
        </w:pict>
      </w:r>
      <w:r>
        <w:rPr>
          <w:color w:val="231F20"/>
          <w:spacing w:val="-4"/>
        </w:rPr>
        <w:t>Producción</w:t>
      </w:r>
      <w:r>
        <w:rPr>
          <w:color w:val="231F20"/>
          <w:spacing w:val="-10"/>
        </w:rPr>
        <w:t> </w:t>
      </w:r>
      <w:r>
        <w:rPr>
          <w:color w:val="231F20"/>
          <w:spacing w:val="-3"/>
        </w:rPr>
        <w:t>total</w:t>
      </w:r>
      <w:r>
        <w:rPr>
          <w:color w:val="231F20"/>
          <w:spacing w:val="-10"/>
        </w:rPr>
        <w:t> </w:t>
      </w:r>
      <w:r>
        <w:rPr>
          <w:color w:val="231F20"/>
        </w:rPr>
        <w:t>de</w:t>
      </w:r>
      <w:r>
        <w:rPr>
          <w:color w:val="231F20"/>
          <w:spacing w:val="-10"/>
        </w:rPr>
        <w:t> </w:t>
      </w:r>
      <w:r>
        <w:rPr>
          <w:color w:val="231F20"/>
          <w:spacing w:val="-3"/>
        </w:rPr>
        <w:t>vehículos</w:t>
      </w:r>
      <w:r>
        <w:rPr>
          <w:color w:val="231F20"/>
          <w:spacing w:val="-10"/>
        </w:rPr>
        <w:t> </w:t>
      </w:r>
      <w:r>
        <w:rPr>
          <w:color w:val="231F20"/>
        </w:rPr>
        <w:t>por</w:t>
      </w:r>
      <w:r>
        <w:rPr>
          <w:color w:val="231F20"/>
          <w:spacing w:val="-10"/>
        </w:rPr>
        <w:t> </w:t>
      </w:r>
      <w:r>
        <w:rPr>
          <w:color w:val="231F20"/>
          <w:spacing w:val="-4"/>
        </w:rPr>
        <w:t>empresa,</w:t>
      </w:r>
      <w:r>
        <w:rPr>
          <w:color w:val="231F20"/>
          <w:spacing w:val="-10"/>
        </w:rPr>
        <w:t> </w:t>
      </w:r>
      <w:r>
        <w:rPr>
          <w:color w:val="231F20"/>
          <w:spacing w:val="-3"/>
        </w:rPr>
        <w:t>1988-2013</w:t>
      </w:r>
      <w:r>
        <w:rPr>
          <w:color w:val="231F20"/>
          <w:spacing w:val="-10"/>
        </w:rPr>
        <w:t> </w:t>
      </w:r>
      <w:r>
        <w:rPr>
          <w:color w:val="231F20"/>
          <w:spacing w:val="-4"/>
        </w:rPr>
        <w:t>(Porcentaje)</w:t>
      </w:r>
      <w:r>
        <w:rPr>
          <w:color w:val="231F20"/>
          <w:spacing w:val="-4"/>
          <w:u w:val="dotted" w:color="27211F"/>
        </w:rPr>
        <w:tab/>
      </w:r>
      <w:r>
        <w:rPr>
          <w:color w:val="231F20"/>
          <w:spacing w:val="-3"/>
        </w:rPr>
        <w:t>80</w:t>
      </w:r>
      <w:r>
        <w:rPr>
          <w:color w:val="231F20"/>
          <w:spacing w:val="-3"/>
          <w:w w:val="96"/>
        </w:rPr>
        <w:t> </w:t>
      </w:r>
      <w:r>
        <w:rPr>
          <w:color w:val="231F20"/>
          <w:spacing w:val="-4"/>
        </w:rPr>
        <w:t>Cuadro</w:t>
      </w:r>
      <w:r>
        <w:rPr>
          <w:color w:val="231F20"/>
          <w:spacing w:val="12"/>
        </w:rPr>
        <w:t> </w:t>
      </w:r>
      <w:r>
        <w:rPr>
          <w:color w:val="231F20"/>
          <w:spacing w:val="-3"/>
        </w:rPr>
        <w:t>III.4</w:t>
      </w:r>
    </w:p>
    <w:p>
      <w:pPr>
        <w:pStyle w:val="BodyText"/>
        <w:tabs>
          <w:tab w:pos="7006" w:val="left" w:leader="none"/>
        </w:tabs>
        <w:spacing w:line="268" w:lineRule="auto"/>
        <w:ind w:left="104" w:right="613"/>
      </w:pPr>
      <w:r>
        <w:rPr/>
        <w:pict>
          <v:line style="position:absolute;mso-position-horizontal-relative:page;mso-position-vertical-relative:paragraph;z-index:-615976" from="359.670288pt,10.759336pt" to="359.670288pt,10.759336pt" stroked="true" strokeweight="1pt" strokecolor="#27211f">
            <w10:wrap type="none"/>
          </v:line>
        </w:pict>
      </w:r>
      <w:r>
        <w:rPr/>
        <w:pict>
          <v:line style="position:absolute;mso-position-horizontal-relative:page;mso-position-vertical-relative:paragraph;z-index:-615952" from="411.338287pt,10.759336pt" to="411.338287pt,10.759336pt" stroked="true" strokeweight="1pt" strokecolor="#27211f">
            <w10:wrap type="none"/>
          </v:line>
        </w:pict>
      </w:r>
      <w:r>
        <w:rPr>
          <w:color w:val="231F20"/>
          <w:spacing w:val="-4"/>
        </w:rPr>
        <w:t>Producción </w:t>
      </w:r>
      <w:r>
        <w:rPr>
          <w:color w:val="231F20"/>
        </w:rPr>
        <w:t>por </w:t>
      </w:r>
      <w:r>
        <w:rPr>
          <w:color w:val="231F20"/>
          <w:spacing w:val="-4"/>
        </w:rPr>
        <w:t>empresa </w:t>
      </w:r>
      <w:r>
        <w:rPr>
          <w:color w:val="231F20"/>
          <w:spacing w:val="-3"/>
        </w:rPr>
        <w:t>para mercado </w:t>
      </w:r>
      <w:r>
        <w:rPr>
          <w:color w:val="231F20"/>
          <w:spacing w:val="-4"/>
        </w:rPr>
        <w:t>interno,</w:t>
      </w:r>
      <w:r>
        <w:rPr>
          <w:color w:val="231F20"/>
          <w:spacing w:val="-30"/>
        </w:rPr>
        <w:t> </w:t>
      </w:r>
      <w:r>
        <w:rPr>
          <w:color w:val="231F20"/>
          <w:spacing w:val="-3"/>
        </w:rPr>
        <w:t>1988-2013</w:t>
      </w:r>
      <w:r>
        <w:rPr>
          <w:color w:val="231F20"/>
          <w:spacing w:val="-8"/>
        </w:rPr>
        <w:t> </w:t>
      </w:r>
      <w:r>
        <w:rPr>
          <w:color w:val="231F20"/>
          <w:spacing w:val="-4"/>
        </w:rPr>
        <w:t>(Porcentaje)</w:t>
      </w:r>
      <w:r>
        <w:rPr>
          <w:color w:val="231F20"/>
          <w:spacing w:val="-4"/>
          <w:u w:val="dotted" w:color="27211F"/>
        </w:rPr>
        <w:tab/>
      </w:r>
      <w:r>
        <w:rPr>
          <w:color w:val="231F20"/>
          <w:spacing w:val="-3"/>
        </w:rPr>
        <w:t>82</w:t>
      </w:r>
      <w:r>
        <w:rPr>
          <w:color w:val="231F20"/>
          <w:spacing w:val="-3"/>
          <w:w w:val="96"/>
        </w:rPr>
        <w:t> </w:t>
      </w:r>
      <w:r>
        <w:rPr>
          <w:color w:val="231F20"/>
          <w:spacing w:val="-4"/>
        </w:rPr>
        <w:t>Cuadro</w:t>
      </w:r>
      <w:r>
        <w:rPr>
          <w:color w:val="231F20"/>
          <w:spacing w:val="12"/>
        </w:rPr>
        <w:t> </w:t>
      </w:r>
      <w:r>
        <w:rPr>
          <w:color w:val="231F20"/>
          <w:spacing w:val="-3"/>
        </w:rPr>
        <w:t>III.5</w:t>
      </w:r>
    </w:p>
    <w:p>
      <w:pPr>
        <w:pStyle w:val="BodyText"/>
        <w:tabs>
          <w:tab w:pos="7006" w:val="left" w:leader="none"/>
        </w:tabs>
        <w:spacing w:line="268" w:lineRule="auto"/>
        <w:ind w:left="104" w:right="613"/>
      </w:pPr>
      <w:r>
        <w:rPr/>
        <w:pict>
          <v:line style="position:absolute;mso-position-horizontal-relative:page;mso-position-vertical-relative:paragraph;z-index:-615928" from="391.001312pt,10.753332pt" to="391.001312pt,10.753332pt" stroked="true" strokeweight="1pt" strokecolor="#27211f">
            <w10:wrap type="none"/>
          </v:line>
        </w:pict>
      </w:r>
      <w:r>
        <w:rPr/>
        <w:pict>
          <v:line style="position:absolute;mso-position-horizontal-relative:page;mso-position-vertical-relative:paragraph;z-index:-615904" from="411.338287pt,10.753332pt" to="411.338287pt,10.753332pt" stroked="true" strokeweight="1pt" strokecolor="#27211f">
            <w10:wrap type="none"/>
          </v:line>
        </w:pict>
      </w:r>
      <w:r>
        <w:rPr>
          <w:color w:val="231F20"/>
          <w:spacing w:val="-4"/>
        </w:rPr>
        <w:t>Producción </w:t>
      </w:r>
      <w:r>
        <w:rPr>
          <w:color w:val="231F20"/>
        </w:rPr>
        <w:t>por </w:t>
      </w:r>
      <w:r>
        <w:rPr>
          <w:color w:val="231F20"/>
          <w:spacing w:val="-4"/>
        </w:rPr>
        <w:t>empresa </w:t>
      </w:r>
      <w:r>
        <w:rPr>
          <w:color w:val="231F20"/>
          <w:spacing w:val="-3"/>
        </w:rPr>
        <w:t>para mercado </w:t>
      </w:r>
      <w:r>
        <w:rPr>
          <w:color w:val="231F20"/>
        </w:rPr>
        <w:t>de </w:t>
      </w:r>
      <w:r>
        <w:rPr>
          <w:color w:val="231F20"/>
          <w:spacing w:val="-3"/>
        </w:rPr>
        <w:t>exportación,</w:t>
      </w:r>
      <w:r>
        <w:rPr>
          <w:color w:val="231F20"/>
          <w:spacing w:val="-30"/>
        </w:rPr>
        <w:t> </w:t>
      </w:r>
      <w:r>
        <w:rPr>
          <w:color w:val="231F20"/>
          <w:spacing w:val="-3"/>
        </w:rPr>
        <w:t>1988-2013</w:t>
      </w:r>
      <w:r>
        <w:rPr>
          <w:color w:val="231F20"/>
          <w:spacing w:val="-7"/>
        </w:rPr>
        <w:t> </w:t>
      </w:r>
      <w:r>
        <w:rPr>
          <w:color w:val="231F20"/>
          <w:spacing w:val="-4"/>
        </w:rPr>
        <w:t>(Porcentaje)</w:t>
      </w:r>
      <w:r>
        <w:rPr>
          <w:color w:val="231F20"/>
          <w:spacing w:val="-4"/>
          <w:u w:val="dotted" w:color="27211F"/>
        </w:rPr>
        <w:tab/>
      </w:r>
      <w:r>
        <w:rPr>
          <w:color w:val="231F20"/>
          <w:spacing w:val="-3"/>
        </w:rPr>
        <w:t>83</w:t>
      </w:r>
      <w:r>
        <w:rPr>
          <w:color w:val="231F20"/>
          <w:spacing w:val="-3"/>
          <w:w w:val="96"/>
        </w:rPr>
        <w:t> </w:t>
      </w:r>
      <w:r>
        <w:rPr>
          <w:color w:val="231F20"/>
          <w:spacing w:val="-4"/>
        </w:rPr>
        <w:t>Cuadro</w:t>
      </w:r>
      <w:r>
        <w:rPr>
          <w:color w:val="231F20"/>
          <w:spacing w:val="12"/>
        </w:rPr>
        <w:t> </w:t>
      </w:r>
      <w:r>
        <w:rPr>
          <w:color w:val="231F20"/>
          <w:spacing w:val="-3"/>
        </w:rPr>
        <w:t>III.6</w:t>
      </w:r>
    </w:p>
    <w:p>
      <w:pPr>
        <w:pStyle w:val="BodyText"/>
        <w:ind w:left="104" w:right="613"/>
      </w:pPr>
      <w:r>
        <w:rPr>
          <w:color w:val="231F20"/>
        </w:rPr>
        <w:t>Tasas de crecimiento: producción de vehículos por empresa</w:t>
      </w:r>
    </w:p>
    <w:p>
      <w:pPr>
        <w:pStyle w:val="BodyText"/>
        <w:tabs>
          <w:tab w:pos="7006" w:val="left" w:leader="none"/>
        </w:tabs>
        <w:spacing w:before="28"/>
        <w:ind w:left="104" w:right="613"/>
      </w:pPr>
      <w:r>
        <w:rPr/>
        <w:pict>
          <v:line style="position:absolute;mso-position-horizontal-relative:page;mso-position-vertical-relative:paragraph;z-index:-615880" from="161.969604pt,12.144337pt" to="161.969604pt,12.144337pt" stroked="true" strokeweight="1pt" strokecolor="#27211f">
            <w10:wrap type="none"/>
          </v:line>
        </w:pict>
      </w:r>
      <w:r>
        <w:rPr/>
        <w:pict>
          <v:line style="position:absolute;mso-position-horizontal-relative:page;mso-position-vertical-relative:paragraph;z-index:-615856" from="411.338593pt,12.144337pt" to="411.338593pt,12.144337pt" stroked="true" strokeweight="1pt" strokecolor="#27211f">
            <w10:wrap type="none"/>
          </v:line>
        </w:pict>
      </w:r>
      <w:r>
        <w:rPr>
          <w:color w:val="231F20"/>
        </w:rPr>
        <w:t>y</w:t>
      </w:r>
      <w:r>
        <w:rPr>
          <w:color w:val="231F20"/>
          <w:spacing w:val="-11"/>
        </w:rPr>
        <w:t> </w:t>
      </w:r>
      <w:r>
        <w:rPr>
          <w:color w:val="231F20"/>
          <w:spacing w:val="-4"/>
        </w:rPr>
        <w:t>segmento,</w:t>
      </w:r>
      <w:r>
        <w:rPr>
          <w:color w:val="231F20"/>
          <w:spacing w:val="-11"/>
        </w:rPr>
        <w:t> </w:t>
      </w:r>
      <w:r>
        <w:rPr>
          <w:color w:val="231F20"/>
          <w:spacing w:val="-3"/>
        </w:rPr>
        <w:t>1991-2013</w:t>
      </w:r>
      <w:r>
        <w:rPr>
          <w:color w:val="231F20"/>
          <w:spacing w:val="-3"/>
          <w:u w:val="dotted" w:color="27211F"/>
        </w:rPr>
        <w:tab/>
      </w:r>
      <w:r>
        <w:rPr>
          <w:color w:val="231F20"/>
          <w:spacing w:val="-3"/>
        </w:rPr>
        <w:t>85</w:t>
      </w:r>
    </w:p>
    <w:p>
      <w:pPr>
        <w:spacing w:after="0"/>
        <w:sectPr>
          <w:pgSz w:w="9640" w:h="13040"/>
          <w:pgMar w:header="0" w:footer="654" w:top="1040" w:bottom="840" w:left="1200" w:right="540"/>
        </w:sectPr>
      </w:pPr>
    </w:p>
    <w:p>
      <w:pPr>
        <w:pStyle w:val="BodyText"/>
        <w:spacing w:before="31"/>
        <w:ind w:left="653" w:right="103"/>
      </w:pPr>
      <w:r>
        <w:rPr>
          <w:color w:val="231F20"/>
        </w:rPr>
        <w:t>Cuadro III.7</w:t>
      </w:r>
    </w:p>
    <w:p>
      <w:pPr>
        <w:pStyle w:val="BodyText"/>
        <w:spacing w:before="28"/>
        <w:ind w:left="699" w:right="103"/>
      </w:pPr>
      <w:r>
        <w:rPr>
          <w:color w:val="231F20"/>
        </w:rPr>
        <w:t>Sector automotriz: participación porcentual en el valor de la</w:t>
      </w:r>
    </w:p>
    <w:p>
      <w:pPr>
        <w:pStyle w:val="BodyText"/>
        <w:tabs>
          <w:tab w:pos="7556" w:val="left" w:leader="none"/>
        </w:tabs>
        <w:spacing w:line="268" w:lineRule="auto" w:before="28"/>
        <w:ind w:left="653" w:right="103"/>
      </w:pPr>
      <w:r>
        <w:rPr/>
        <w:pict>
          <v:line style="position:absolute;mso-position-horizontal-relative:page;mso-position-vertical-relative:paragraph;z-index:-615832" from="291.957886pt,12.246665pt" to="291.957886pt,12.246665pt" stroked="true" strokeweight="1pt" strokecolor="#27211f">
            <w10:wrap type="none"/>
          </v:line>
        </w:pict>
      </w:r>
      <w:r>
        <w:rPr/>
        <w:pict>
          <v:line style="position:absolute;mso-position-horizontal-relative:page;mso-position-vertical-relative:paragraph;z-index:-615808" from="402.8349pt,12.246665pt" to="402.8349pt,12.246665pt" stroked="true" strokeweight="1pt" strokecolor="#27211f">
            <w10:wrap type="none"/>
          </v:line>
        </w:pict>
      </w:r>
      <w:r>
        <w:rPr>
          <w:color w:val="231F20"/>
          <w:spacing w:val="-4"/>
        </w:rPr>
        <w:t>producción </w:t>
      </w:r>
      <w:r>
        <w:rPr>
          <w:color w:val="231F20"/>
          <w:spacing w:val="-3"/>
        </w:rPr>
        <w:t>bruta total </w:t>
      </w:r>
      <w:r>
        <w:rPr>
          <w:color w:val="231F20"/>
        </w:rPr>
        <w:t>por </w:t>
      </w:r>
      <w:r>
        <w:rPr>
          <w:color w:val="231F20"/>
          <w:spacing w:val="-3"/>
        </w:rPr>
        <w:t>entidad</w:t>
      </w:r>
      <w:r>
        <w:rPr>
          <w:color w:val="231F20"/>
          <w:spacing w:val="-35"/>
        </w:rPr>
        <w:t> </w:t>
      </w:r>
      <w:r>
        <w:rPr>
          <w:color w:val="231F20"/>
          <w:spacing w:val="-4"/>
        </w:rPr>
        <w:t>federativa,</w:t>
      </w:r>
      <w:r>
        <w:rPr>
          <w:color w:val="231F20"/>
          <w:spacing w:val="-9"/>
        </w:rPr>
        <w:t> </w:t>
      </w:r>
      <w:r>
        <w:rPr>
          <w:color w:val="231F20"/>
          <w:spacing w:val="-3"/>
        </w:rPr>
        <w:t>1985-2009</w:t>
      </w:r>
      <w:r>
        <w:rPr>
          <w:color w:val="231F20"/>
          <w:spacing w:val="-3"/>
          <w:u w:val="dotted" w:color="27211F"/>
        </w:rPr>
        <w:tab/>
      </w:r>
      <w:r>
        <w:rPr>
          <w:color w:val="231F20"/>
          <w:spacing w:val="-3"/>
        </w:rPr>
        <w:t>95</w:t>
      </w:r>
      <w:r>
        <w:rPr>
          <w:color w:val="231F20"/>
          <w:spacing w:val="-3"/>
          <w:w w:val="96"/>
        </w:rPr>
        <w:t> </w:t>
      </w:r>
      <w:r>
        <w:rPr>
          <w:color w:val="231F20"/>
          <w:spacing w:val="-4"/>
        </w:rPr>
        <w:t>Cuadro</w:t>
      </w:r>
      <w:r>
        <w:rPr>
          <w:color w:val="231F20"/>
          <w:spacing w:val="12"/>
        </w:rPr>
        <w:t> </w:t>
      </w:r>
      <w:r>
        <w:rPr>
          <w:color w:val="231F20"/>
          <w:spacing w:val="-3"/>
        </w:rPr>
        <w:t>III.8</w:t>
      </w:r>
    </w:p>
    <w:p>
      <w:pPr>
        <w:pStyle w:val="BodyText"/>
        <w:ind w:left="653" w:right="103"/>
      </w:pPr>
      <w:r>
        <w:rPr>
          <w:color w:val="231F20"/>
        </w:rPr>
        <w:t>Sector automotriz: participación porcentual en el valor agregado</w:t>
      </w:r>
    </w:p>
    <w:p>
      <w:pPr>
        <w:pStyle w:val="BodyText"/>
        <w:tabs>
          <w:tab w:pos="7556" w:val="left" w:leader="none"/>
        </w:tabs>
        <w:spacing w:line="268" w:lineRule="auto" w:before="28"/>
        <w:ind w:left="653" w:right="103"/>
      </w:pPr>
      <w:r>
        <w:rPr/>
        <w:pict>
          <v:line style="position:absolute;mso-position-horizontal-relative:page;mso-position-vertical-relative:paragraph;z-index:-615784" from="249.832397pt,12.237632pt" to="249.832397pt,12.237632pt" stroked="true" strokeweight="1pt" strokecolor="#27211f">
            <w10:wrap type="none"/>
          </v:line>
        </w:pict>
      </w:r>
      <w:r>
        <w:rPr/>
        <w:pict>
          <v:line style="position:absolute;mso-position-horizontal-relative:page;mso-position-vertical-relative:paragraph;z-index:-615760" from="402.834412pt,12.237632pt" to="402.834412pt,12.237632pt" stroked="true" strokeweight="1pt" strokecolor="#27211f">
            <w10:wrap type="none"/>
          </v:line>
        </w:pict>
      </w:r>
      <w:r>
        <w:rPr>
          <w:color w:val="231F20"/>
          <w:spacing w:val="-3"/>
        </w:rPr>
        <w:t>censal bruto </w:t>
      </w:r>
      <w:r>
        <w:rPr>
          <w:color w:val="231F20"/>
        </w:rPr>
        <w:t>por </w:t>
      </w:r>
      <w:r>
        <w:rPr>
          <w:color w:val="231F20"/>
          <w:spacing w:val="-3"/>
        </w:rPr>
        <w:t>entidad</w:t>
      </w:r>
      <w:r>
        <w:rPr>
          <w:color w:val="231F20"/>
          <w:spacing w:val="-34"/>
        </w:rPr>
        <w:t> </w:t>
      </w:r>
      <w:r>
        <w:rPr>
          <w:color w:val="231F20"/>
          <w:spacing w:val="-4"/>
        </w:rPr>
        <w:t>federativa,</w:t>
      </w:r>
      <w:r>
        <w:rPr>
          <w:color w:val="231F20"/>
          <w:spacing w:val="-10"/>
        </w:rPr>
        <w:t> </w:t>
      </w:r>
      <w:r>
        <w:rPr>
          <w:color w:val="231F20"/>
          <w:spacing w:val="-3"/>
        </w:rPr>
        <w:t>1985-2009</w:t>
      </w:r>
      <w:r>
        <w:rPr>
          <w:color w:val="231F20"/>
          <w:spacing w:val="-3"/>
          <w:u w:val="dotted" w:color="27211F"/>
        </w:rPr>
        <w:tab/>
      </w:r>
      <w:r>
        <w:rPr>
          <w:color w:val="231F20"/>
          <w:spacing w:val="-3"/>
        </w:rPr>
        <w:t>96</w:t>
      </w:r>
      <w:r>
        <w:rPr>
          <w:color w:val="231F20"/>
          <w:spacing w:val="-3"/>
          <w:w w:val="96"/>
        </w:rPr>
        <w:t> </w:t>
      </w:r>
      <w:r>
        <w:rPr>
          <w:color w:val="231F20"/>
          <w:spacing w:val="-4"/>
        </w:rPr>
        <w:t>Cuadro</w:t>
      </w:r>
      <w:r>
        <w:rPr>
          <w:color w:val="231F20"/>
          <w:spacing w:val="12"/>
        </w:rPr>
        <w:t> </w:t>
      </w:r>
      <w:r>
        <w:rPr>
          <w:color w:val="231F20"/>
          <w:spacing w:val="-3"/>
        </w:rPr>
        <w:t>III.9</w:t>
      </w:r>
    </w:p>
    <w:p>
      <w:pPr>
        <w:pStyle w:val="BodyText"/>
        <w:ind w:left="653" w:right="103"/>
      </w:pPr>
      <w:r>
        <w:rPr>
          <w:color w:val="231F20"/>
        </w:rPr>
        <w:t>Industria automotriz: personal ocupado total   (promedio)</w:t>
      </w:r>
    </w:p>
    <w:p>
      <w:pPr>
        <w:pStyle w:val="BodyText"/>
        <w:tabs>
          <w:tab w:pos="7556" w:val="left" w:leader="none"/>
        </w:tabs>
        <w:spacing w:line="268" w:lineRule="auto" w:before="28"/>
        <w:ind w:left="653" w:right="103"/>
      </w:pPr>
      <w:r>
        <w:rPr/>
        <w:pict>
          <v:line style="position:absolute;mso-position-horizontal-relative:page;mso-position-vertical-relative:paragraph;z-index:-615736" from="197.480606pt,12.228629pt" to="197.480606pt,12.228629pt" stroked="true" strokeweight="1pt" strokecolor="#27211f">
            <w10:wrap type="none"/>
          </v:line>
        </w:pict>
      </w:r>
      <w:r>
        <w:rPr/>
        <w:pict>
          <v:line style="position:absolute;mso-position-horizontal-relative:page;mso-position-vertical-relative:paragraph;z-index:-615712" from="402.834595pt,12.228629pt" to="402.834595pt,12.228629pt" stroked="true" strokeweight="1pt" strokecolor="#27211f">
            <w10:wrap type="none"/>
          </v:line>
        </w:pict>
      </w:r>
      <w:r>
        <w:rPr>
          <w:color w:val="231F20"/>
        </w:rPr>
        <w:t>por </w:t>
      </w:r>
      <w:r>
        <w:rPr>
          <w:color w:val="231F20"/>
          <w:spacing w:val="-3"/>
        </w:rPr>
        <w:t>entidad</w:t>
      </w:r>
      <w:r>
        <w:rPr>
          <w:color w:val="231F20"/>
          <w:spacing w:val="-21"/>
        </w:rPr>
        <w:t> </w:t>
      </w:r>
      <w:r>
        <w:rPr>
          <w:color w:val="231F20"/>
          <w:spacing w:val="-4"/>
        </w:rPr>
        <w:t>federativa,</w:t>
      </w:r>
      <w:r>
        <w:rPr>
          <w:color w:val="231F20"/>
          <w:spacing w:val="-11"/>
        </w:rPr>
        <w:t> </w:t>
      </w:r>
      <w:r>
        <w:rPr>
          <w:color w:val="231F20"/>
          <w:spacing w:val="-3"/>
        </w:rPr>
        <w:t>1985-2009</w:t>
      </w:r>
      <w:r>
        <w:rPr>
          <w:color w:val="231F20"/>
          <w:spacing w:val="-3"/>
          <w:u w:val="dotted" w:color="27211F"/>
        </w:rPr>
        <w:tab/>
      </w:r>
      <w:r>
        <w:rPr>
          <w:color w:val="231F20"/>
          <w:spacing w:val="-3"/>
        </w:rPr>
        <w:t>97</w:t>
      </w:r>
      <w:r>
        <w:rPr>
          <w:color w:val="231F20"/>
          <w:spacing w:val="-3"/>
          <w:w w:val="96"/>
        </w:rPr>
        <w:t> </w:t>
      </w:r>
      <w:r>
        <w:rPr>
          <w:color w:val="231F20"/>
          <w:spacing w:val="-4"/>
        </w:rPr>
        <w:t>Cuadro</w:t>
      </w:r>
      <w:r>
        <w:rPr>
          <w:color w:val="231F20"/>
          <w:spacing w:val="8"/>
        </w:rPr>
        <w:t> </w:t>
      </w:r>
      <w:r>
        <w:rPr>
          <w:color w:val="231F20"/>
          <w:spacing w:val="-3"/>
        </w:rPr>
        <w:t>III.10</w:t>
      </w:r>
    </w:p>
    <w:p>
      <w:pPr>
        <w:pStyle w:val="BodyText"/>
        <w:ind w:left="653" w:right="103"/>
      </w:pPr>
      <w:r>
        <w:rPr>
          <w:color w:val="231F20"/>
        </w:rPr>
        <w:t>Destino de la inversión extranjera directa del sector automotriz,</w:t>
      </w:r>
    </w:p>
    <w:p>
      <w:pPr>
        <w:pStyle w:val="BodyText"/>
        <w:tabs>
          <w:tab w:pos="7556" w:val="left" w:leader="none"/>
        </w:tabs>
        <w:spacing w:line="268" w:lineRule="auto" w:before="28"/>
        <w:ind w:left="653" w:right="103"/>
      </w:pPr>
      <w:r>
        <w:rPr/>
        <w:pict>
          <v:line style="position:absolute;mso-position-horizontal-relative:page;mso-position-vertical-relative:paragraph;z-index:-615688" from="154.799194pt,12.219626pt" to="154.799194pt,12.219626pt" stroked="true" strokeweight="1pt" strokecolor="#27211f">
            <w10:wrap type="none"/>
          </v:line>
        </w:pict>
      </w:r>
      <w:r>
        <w:rPr/>
        <w:pict>
          <v:line style="position:absolute;mso-position-horizontal-relative:page;mso-position-vertical-relative:paragraph;z-index:-615664" from="402.834198pt,12.219626pt" to="402.834198pt,12.219626pt" stroked="true" strokeweight="1pt" strokecolor="#27211f">
            <w10:wrap type="none"/>
          </v:line>
        </w:pict>
      </w:r>
      <w:r>
        <w:rPr>
          <w:color w:val="231F20"/>
          <w:spacing w:val="-3"/>
        </w:rPr>
        <w:t>1997-2013</w:t>
      </w:r>
      <w:r>
        <w:rPr>
          <w:color w:val="231F20"/>
          <w:spacing w:val="-11"/>
        </w:rPr>
        <w:t> </w:t>
      </w:r>
      <w:r>
        <w:rPr>
          <w:color w:val="231F20"/>
          <w:spacing w:val="-4"/>
        </w:rPr>
        <w:t>(Porcentaje)</w:t>
      </w:r>
      <w:r>
        <w:rPr>
          <w:color w:val="231F20"/>
          <w:spacing w:val="-4"/>
          <w:u w:val="dotted" w:color="27211F"/>
        </w:rPr>
        <w:tab/>
      </w:r>
      <w:r>
        <w:rPr>
          <w:color w:val="231F20"/>
          <w:spacing w:val="-3"/>
        </w:rPr>
        <w:t>99</w:t>
      </w:r>
      <w:r>
        <w:rPr>
          <w:color w:val="231F20"/>
          <w:spacing w:val="-3"/>
          <w:w w:val="96"/>
        </w:rPr>
        <w:t> </w:t>
      </w:r>
      <w:r>
        <w:rPr>
          <w:color w:val="231F20"/>
          <w:spacing w:val="-4"/>
        </w:rPr>
        <w:t>Cuadro</w:t>
      </w:r>
      <w:r>
        <w:rPr>
          <w:color w:val="231F20"/>
          <w:spacing w:val="6"/>
        </w:rPr>
        <w:t> </w:t>
      </w:r>
      <w:r>
        <w:rPr>
          <w:color w:val="231F20"/>
          <w:spacing w:val="-11"/>
        </w:rPr>
        <w:t>IV.1</w:t>
      </w:r>
    </w:p>
    <w:p>
      <w:pPr>
        <w:pStyle w:val="BodyText"/>
        <w:tabs>
          <w:tab w:pos="7457" w:val="left" w:leader="none"/>
        </w:tabs>
        <w:spacing w:line="268" w:lineRule="auto"/>
        <w:ind w:left="653" w:right="103"/>
      </w:pPr>
      <w:r>
        <w:rPr/>
        <w:pict>
          <v:line style="position:absolute;mso-position-horizontal-relative:page;mso-position-vertical-relative:paragraph;z-index:-615640" from="302.227112pt,10.813644pt" to="302.227112pt,10.813644pt" stroked="true" strokeweight="1pt" strokecolor="#27211f">
            <w10:wrap type="none"/>
          </v:line>
        </w:pict>
      </w:r>
      <w:r>
        <w:rPr/>
        <w:pict>
          <v:line style="position:absolute;mso-position-horizontal-relative:page;mso-position-vertical-relative:paragraph;z-index:-615616" from="397.900085pt,10.813644pt" to="397.900085pt,10.813644pt" stroked="true" strokeweight="1pt" strokecolor="#27211f">
            <w10:wrap type="none"/>
          </v:line>
        </w:pict>
      </w:r>
      <w:r>
        <w:rPr>
          <w:color w:val="231F20"/>
          <w:spacing w:val="-3"/>
        </w:rPr>
        <w:t>Plantas</w:t>
      </w:r>
      <w:r>
        <w:rPr>
          <w:color w:val="231F20"/>
          <w:spacing w:val="-11"/>
        </w:rPr>
        <w:t> </w:t>
      </w:r>
      <w:r>
        <w:rPr>
          <w:color w:val="231F20"/>
          <w:spacing w:val="-4"/>
        </w:rPr>
        <w:t>ensambladoras</w:t>
      </w:r>
      <w:r>
        <w:rPr>
          <w:color w:val="231F20"/>
          <w:spacing w:val="-11"/>
        </w:rPr>
        <w:t> </w:t>
      </w:r>
      <w:r>
        <w:rPr>
          <w:color w:val="231F20"/>
          <w:spacing w:val="-3"/>
        </w:rPr>
        <w:t>establecidas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Estado</w:t>
      </w:r>
      <w:r>
        <w:rPr>
          <w:color w:val="231F20"/>
          <w:spacing w:val="-11"/>
        </w:rPr>
        <w:t> </w:t>
      </w:r>
      <w:r>
        <w:rPr>
          <w:color w:val="231F20"/>
        </w:rPr>
        <w:t>de</w:t>
      </w:r>
      <w:r>
        <w:rPr>
          <w:color w:val="231F20"/>
          <w:spacing w:val="-11"/>
        </w:rPr>
        <w:t> </w:t>
      </w:r>
      <w:r>
        <w:rPr>
          <w:color w:val="231F20"/>
          <w:spacing w:val="-4"/>
        </w:rPr>
        <w:t>México</w:t>
      </w:r>
      <w:r>
        <w:rPr>
          <w:color w:val="231F20"/>
          <w:spacing w:val="-4"/>
          <w:u w:val="dotted" w:color="27211F"/>
        </w:rPr>
        <w:tab/>
      </w:r>
      <w:r>
        <w:rPr>
          <w:color w:val="231F20"/>
          <w:spacing w:val="-3"/>
        </w:rPr>
        <w:t>105</w:t>
      </w:r>
      <w:r>
        <w:rPr>
          <w:color w:val="231F20"/>
          <w:spacing w:val="-3"/>
          <w:w w:val="96"/>
        </w:rPr>
        <w:t> </w:t>
      </w:r>
      <w:r>
        <w:rPr>
          <w:color w:val="231F20"/>
          <w:spacing w:val="-4"/>
        </w:rPr>
        <w:t>Cuadro</w:t>
      </w:r>
      <w:r>
        <w:rPr>
          <w:color w:val="231F20"/>
          <w:spacing w:val="6"/>
        </w:rPr>
        <w:t> </w:t>
      </w:r>
      <w:r>
        <w:rPr>
          <w:color w:val="231F20"/>
          <w:spacing w:val="-11"/>
        </w:rPr>
        <w:t>IV.2</w:t>
      </w:r>
    </w:p>
    <w:p>
      <w:pPr>
        <w:pStyle w:val="BodyText"/>
        <w:ind w:left="653" w:right="103"/>
      </w:pPr>
      <w:r>
        <w:rPr>
          <w:color w:val="231F20"/>
        </w:rPr>
        <w:t>UE, PO y VACB, participación porcentual del Estado de México</w:t>
      </w:r>
    </w:p>
    <w:p>
      <w:pPr>
        <w:pStyle w:val="BodyText"/>
        <w:tabs>
          <w:tab w:pos="7458" w:val="left" w:leader="none"/>
        </w:tabs>
        <w:spacing w:line="268" w:lineRule="auto" w:before="28"/>
        <w:ind w:left="653" w:right="103"/>
      </w:pPr>
      <w:r>
        <w:rPr/>
        <w:pict>
          <v:line style="position:absolute;mso-position-horizontal-relative:page;mso-position-vertical-relative:paragraph;z-index:-615592" from="254.463806pt,12.204642pt" to="254.463806pt,12.204642pt" stroked="true" strokeweight="1pt" strokecolor="#27211f">
            <w10:wrap type="none"/>
          </v:line>
        </w:pict>
      </w:r>
      <w:r>
        <w:rPr/>
        <w:pict>
          <v:line style="position:absolute;mso-position-horizontal-relative:page;mso-position-vertical-relative:paragraph;z-index:-615568" from="397.899811pt,12.204642pt" to="397.899811pt,12.204642pt" stroked="true" strokeweight="1pt" strokecolor="#27211f">
            <w10:wrap type="none"/>
          </v:line>
        </w:pict>
      </w:r>
      <w:r>
        <w:rPr>
          <w:color w:val="231F20"/>
        </w:rPr>
        <w:t>en</w:t>
      </w:r>
      <w:r>
        <w:rPr>
          <w:color w:val="231F20"/>
          <w:spacing w:val="-11"/>
        </w:rPr>
        <w:t> </w:t>
      </w:r>
      <w:r>
        <w:rPr>
          <w:color w:val="231F20"/>
        </w:rPr>
        <w:t>el</w:t>
      </w:r>
      <w:r>
        <w:rPr>
          <w:color w:val="231F20"/>
          <w:spacing w:val="-11"/>
        </w:rPr>
        <w:t> </w:t>
      </w:r>
      <w:r>
        <w:rPr>
          <w:color w:val="231F20"/>
          <w:spacing w:val="-3"/>
        </w:rPr>
        <w:t>nacional.</w:t>
      </w:r>
      <w:r>
        <w:rPr>
          <w:color w:val="231F20"/>
          <w:spacing w:val="-11"/>
        </w:rPr>
        <w:t> </w:t>
      </w:r>
      <w:r>
        <w:rPr>
          <w:color w:val="231F20"/>
          <w:spacing w:val="-5"/>
        </w:rPr>
        <w:t>Subsector,</w:t>
      </w:r>
      <w:r>
        <w:rPr>
          <w:color w:val="231F20"/>
          <w:spacing w:val="-11"/>
        </w:rPr>
        <w:t> </w:t>
      </w:r>
      <w:r>
        <w:rPr>
          <w:color w:val="231F20"/>
          <w:spacing w:val="-3"/>
        </w:rPr>
        <w:t>rama</w:t>
      </w:r>
      <w:r>
        <w:rPr>
          <w:color w:val="231F20"/>
          <w:spacing w:val="-11"/>
        </w:rPr>
        <w:t> </w:t>
      </w:r>
      <w:r>
        <w:rPr>
          <w:color w:val="231F20"/>
        </w:rPr>
        <w:t>y</w:t>
      </w:r>
      <w:r>
        <w:rPr>
          <w:color w:val="231F20"/>
          <w:spacing w:val="-11"/>
        </w:rPr>
        <w:t> </w:t>
      </w:r>
      <w:r>
        <w:rPr>
          <w:color w:val="231F20"/>
          <w:spacing w:val="-4"/>
        </w:rPr>
        <w:t>subrama,</w:t>
      </w:r>
      <w:r>
        <w:rPr>
          <w:color w:val="231F20"/>
          <w:spacing w:val="-11"/>
        </w:rPr>
        <w:t> </w:t>
      </w:r>
      <w:r>
        <w:rPr>
          <w:color w:val="231F20"/>
          <w:spacing w:val="-3"/>
        </w:rPr>
        <w:t>2009</w:t>
      </w:r>
      <w:r>
        <w:rPr>
          <w:color w:val="231F20"/>
          <w:spacing w:val="-3"/>
          <w:u w:val="dotted" w:color="27211F"/>
        </w:rPr>
        <w:tab/>
      </w:r>
      <w:r>
        <w:rPr>
          <w:color w:val="231F20"/>
          <w:spacing w:val="-3"/>
        </w:rPr>
        <w:t>107</w:t>
      </w:r>
      <w:r>
        <w:rPr>
          <w:color w:val="231F20"/>
          <w:spacing w:val="-3"/>
          <w:w w:val="96"/>
        </w:rPr>
        <w:t> </w:t>
      </w:r>
      <w:r>
        <w:rPr>
          <w:color w:val="231F20"/>
          <w:spacing w:val="-4"/>
        </w:rPr>
        <w:t>Cuadro</w:t>
      </w:r>
      <w:r>
        <w:rPr>
          <w:color w:val="231F20"/>
          <w:spacing w:val="6"/>
        </w:rPr>
        <w:t> </w:t>
      </w:r>
      <w:r>
        <w:rPr>
          <w:color w:val="231F20"/>
          <w:spacing w:val="-11"/>
        </w:rPr>
        <w:t>IV.3</w:t>
      </w:r>
    </w:p>
    <w:p>
      <w:pPr>
        <w:pStyle w:val="BodyText"/>
        <w:ind w:left="653" w:right="103"/>
      </w:pPr>
      <w:r>
        <w:rPr>
          <w:color w:val="231F20"/>
        </w:rPr>
        <w:t>Fabricación de equipo de transporte en el Estado de México:</w:t>
      </w:r>
    </w:p>
    <w:p>
      <w:pPr>
        <w:pStyle w:val="BodyText"/>
        <w:tabs>
          <w:tab w:pos="7457" w:val="left" w:leader="none"/>
        </w:tabs>
        <w:spacing w:line="268" w:lineRule="auto" w:before="28"/>
        <w:ind w:left="653" w:right="103"/>
      </w:pPr>
      <w:r>
        <w:rPr/>
        <w:pict>
          <v:line style="position:absolute;mso-position-horizontal-relative:page;mso-position-vertical-relative:paragraph;z-index:-615544" from="342.08371pt,12.19564pt" to="342.08371pt,12.19564pt" stroked="true" strokeweight="1pt" strokecolor="#27211f">
            <w10:wrap type="none"/>
          </v:line>
        </w:pict>
      </w:r>
      <w:r>
        <w:rPr/>
        <w:pict>
          <v:line style="position:absolute;mso-position-horizontal-relative:page;mso-position-vertical-relative:paragraph;z-index:-615520" from="397.899689pt,12.19564pt" to="397.899689pt,12.19564pt" stroked="true" strokeweight="1pt" strokecolor="#27211f">
            <w10:wrap type="none"/>
          </v:line>
        </w:pict>
      </w:r>
      <w:r>
        <w:rPr>
          <w:color w:val="231F20"/>
        </w:rPr>
        <w:t>UE,</w:t>
      </w:r>
      <w:r>
        <w:rPr>
          <w:color w:val="231F20"/>
          <w:spacing w:val="-11"/>
        </w:rPr>
        <w:t> </w:t>
      </w:r>
      <w:r>
        <w:rPr>
          <w:color w:val="231F20"/>
        </w:rPr>
        <w:t>PO</w:t>
      </w:r>
      <w:r>
        <w:rPr>
          <w:color w:val="231F20"/>
          <w:spacing w:val="-11"/>
        </w:rPr>
        <w:t> </w:t>
      </w:r>
      <w:r>
        <w:rPr>
          <w:color w:val="231F20"/>
        </w:rPr>
        <w:t>y</w:t>
      </w:r>
      <w:r>
        <w:rPr>
          <w:color w:val="231F20"/>
          <w:spacing w:val="-11"/>
        </w:rPr>
        <w:t> </w:t>
      </w:r>
      <w:r>
        <w:rPr>
          <w:color w:val="231F20"/>
          <w:spacing w:val="-9"/>
        </w:rPr>
        <w:t>VACB,</w:t>
      </w:r>
      <w:r>
        <w:rPr>
          <w:color w:val="231F20"/>
          <w:spacing w:val="-11"/>
        </w:rPr>
        <w:t> </w:t>
      </w:r>
      <w:r>
        <w:rPr>
          <w:color w:val="231F20"/>
          <w:spacing w:val="-3"/>
        </w:rPr>
        <w:t>participación</w:t>
      </w:r>
      <w:r>
        <w:rPr>
          <w:color w:val="231F20"/>
          <w:spacing w:val="-11"/>
        </w:rPr>
        <w:t> </w:t>
      </w:r>
      <w:r>
        <w:rPr>
          <w:color w:val="231F20"/>
          <w:spacing w:val="-4"/>
        </w:rPr>
        <w:t>porcentual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spacing w:val="-3"/>
        </w:rPr>
        <w:t>total</w:t>
      </w:r>
      <w:r>
        <w:rPr>
          <w:color w:val="231F20"/>
          <w:spacing w:val="-11"/>
        </w:rPr>
        <w:t> </w:t>
      </w:r>
      <w:r>
        <w:rPr>
          <w:color w:val="231F20"/>
        </w:rPr>
        <w:t>del</w:t>
      </w:r>
      <w:r>
        <w:rPr>
          <w:color w:val="231F20"/>
          <w:spacing w:val="-11"/>
        </w:rPr>
        <w:t> </w:t>
      </w:r>
      <w:r>
        <w:rPr>
          <w:color w:val="231F20"/>
          <w:spacing w:val="-4"/>
        </w:rPr>
        <w:t>Estado,</w:t>
      </w:r>
      <w:r>
        <w:rPr>
          <w:color w:val="231F20"/>
          <w:spacing w:val="-11"/>
        </w:rPr>
        <w:t> </w:t>
      </w:r>
      <w:r>
        <w:rPr>
          <w:color w:val="231F20"/>
          <w:spacing w:val="-3"/>
        </w:rPr>
        <w:t>2009</w:t>
      </w:r>
      <w:r>
        <w:rPr>
          <w:color w:val="231F20"/>
          <w:spacing w:val="-3"/>
          <w:u w:val="dotted" w:color="27211F"/>
        </w:rPr>
        <w:tab/>
      </w:r>
      <w:r>
        <w:rPr>
          <w:color w:val="231F20"/>
          <w:spacing w:val="-3"/>
        </w:rPr>
        <w:t>108</w:t>
      </w:r>
      <w:r>
        <w:rPr>
          <w:color w:val="231F20"/>
          <w:spacing w:val="-3"/>
          <w:w w:val="96"/>
        </w:rPr>
        <w:t> </w:t>
      </w:r>
      <w:r>
        <w:rPr>
          <w:color w:val="231F20"/>
          <w:spacing w:val="-4"/>
        </w:rPr>
        <w:t>Cuadro</w:t>
      </w:r>
      <w:r>
        <w:rPr>
          <w:color w:val="231F20"/>
          <w:spacing w:val="6"/>
        </w:rPr>
        <w:t> </w:t>
      </w:r>
      <w:r>
        <w:rPr>
          <w:color w:val="231F20"/>
          <w:spacing w:val="-11"/>
        </w:rPr>
        <w:t>IV.4</w:t>
      </w:r>
    </w:p>
    <w:p>
      <w:pPr>
        <w:pStyle w:val="BodyText"/>
        <w:ind w:left="653" w:right="103"/>
      </w:pPr>
      <w:r>
        <w:rPr>
          <w:color w:val="231F20"/>
        </w:rPr>
        <w:t>Estado de México: producción total por empresa y tipo de vehículo,</w:t>
      </w:r>
    </w:p>
    <w:p>
      <w:pPr>
        <w:pStyle w:val="BodyText"/>
        <w:tabs>
          <w:tab w:pos="7457" w:val="left" w:leader="none"/>
        </w:tabs>
        <w:spacing w:line="268" w:lineRule="auto" w:before="28"/>
        <w:ind w:left="653" w:right="103"/>
      </w:pPr>
      <w:r>
        <w:rPr/>
        <w:pict>
          <v:line style="position:absolute;mso-position-horizontal-relative:page;mso-position-vertical-relative:paragraph;z-index:-615496" from="150.998398pt,12.186637pt" to="150.998398pt,12.186637pt" stroked="true" strokeweight="1pt" strokecolor="#27211f">
            <w10:wrap type="none"/>
          </v:line>
        </w:pict>
      </w:r>
      <w:r>
        <w:rPr/>
        <w:pict>
          <v:line style="position:absolute;mso-position-horizontal-relative:page;mso-position-vertical-relative:paragraph;z-index:-615472" from="397.899414pt,12.186637pt" to="397.899414pt,12.186637pt" stroked="true" strokeweight="1pt" strokecolor="#27211f">
            <w10:wrap type="none"/>
          </v:line>
        </w:pict>
      </w:r>
      <w:r>
        <w:rPr>
          <w:color w:val="231F20"/>
          <w:spacing w:val="-3"/>
        </w:rPr>
        <w:t>1988-2008</w:t>
      </w:r>
      <w:r>
        <w:rPr>
          <w:color w:val="231F20"/>
          <w:spacing w:val="-11"/>
        </w:rPr>
        <w:t> </w:t>
      </w:r>
      <w:r>
        <w:rPr>
          <w:color w:val="231F20"/>
          <w:spacing w:val="-4"/>
        </w:rPr>
        <w:t>(Unidades)</w:t>
      </w:r>
      <w:r>
        <w:rPr>
          <w:color w:val="231F20"/>
          <w:spacing w:val="-4"/>
          <w:u w:val="dotted" w:color="27211F"/>
        </w:rPr>
        <w:tab/>
      </w:r>
      <w:r>
        <w:rPr>
          <w:color w:val="231F20"/>
          <w:spacing w:val="-3"/>
        </w:rPr>
        <w:t>113</w:t>
      </w:r>
      <w:r>
        <w:rPr>
          <w:color w:val="231F20"/>
          <w:spacing w:val="-3"/>
          <w:w w:val="96"/>
        </w:rPr>
        <w:t> </w:t>
      </w:r>
      <w:r>
        <w:rPr>
          <w:color w:val="231F20"/>
          <w:spacing w:val="-4"/>
        </w:rPr>
        <w:t>Cuadro</w:t>
      </w:r>
      <w:r>
        <w:rPr>
          <w:color w:val="231F20"/>
          <w:spacing w:val="6"/>
        </w:rPr>
        <w:t> </w:t>
      </w:r>
      <w:r>
        <w:rPr>
          <w:color w:val="231F20"/>
          <w:spacing w:val="-11"/>
        </w:rPr>
        <w:t>IV.5</w:t>
      </w:r>
    </w:p>
    <w:p>
      <w:pPr>
        <w:pStyle w:val="BodyText"/>
        <w:ind w:left="653" w:right="103"/>
      </w:pPr>
      <w:r>
        <w:rPr>
          <w:color w:val="231F20"/>
        </w:rPr>
        <w:t>Estado de México: producción de vehículos por empresa,</w:t>
      </w:r>
    </w:p>
    <w:p>
      <w:pPr>
        <w:pStyle w:val="BodyText"/>
        <w:tabs>
          <w:tab w:pos="7457" w:val="left" w:leader="none"/>
        </w:tabs>
        <w:spacing w:line="268" w:lineRule="auto" w:before="28"/>
        <w:ind w:left="653" w:right="103"/>
      </w:pPr>
      <w:r>
        <w:rPr/>
        <w:pict>
          <v:line style="position:absolute;mso-position-horizontal-relative:page;mso-position-vertical-relative:paragraph;z-index:-615448" from="154.799194pt,12.177634pt" to="154.799194pt,12.177634pt" stroked="true" strokeweight="1pt" strokecolor="#27211f">
            <w10:wrap type="none"/>
          </v:line>
        </w:pict>
      </w:r>
      <w:r>
        <w:rPr/>
        <w:pict>
          <v:line style="position:absolute;mso-position-horizontal-relative:page;mso-position-vertical-relative:paragraph;z-index:-615424" from="397.8992pt,12.177634pt" to="397.8992pt,12.177634pt" stroked="true" strokeweight="1pt" strokecolor="#27211f">
            <w10:wrap type="none"/>
          </v:line>
        </w:pict>
      </w:r>
      <w:r>
        <w:rPr>
          <w:color w:val="231F20"/>
          <w:spacing w:val="-3"/>
        </w:rPr>
        <w:t>1988-2008</w:t>
      </w:r>
      <w:r>
        <w:rPr>
          <w:color w:val="231F20"/>
          <w:spacing w:val="-11"/>
        </w:rPr>
        <w:t> </w:t>
      </w:r>
      <w:r>
        <w:rPr>
          <w:color w:val="231F20"/>
          <w:spacing w:val="-4"/>
        </w:rPr>
        <w:t>(Porcentaje)</w:t>
      </w:r>
      <w:r>
        <w:rPr>
          <w:color w:val="231F20"/>
          <w:spacing w:val="-4"/>
          <w:u w:val="dotted" w:color="27211F"/>
        </w:rPr>
        <w:tab/>
      </w:r>
      <w:r>
        <w:rPr>
          <w:color w:val="231F20"/>
          <w:spacing w:val="-3"/>
        </w:rPr>
        <w:t>114</w:t>
      </w:r>
      <w:r>
        <w:rPr>
          <w:color w:val="231F20"/>
          <w:spacing w:val="-3"/>
          <w:w w:val="96"/>
        </w:rPr>
        <w:t> </w:t>
      </w:r>
      <w:r>
        <w:rPr>
          <w:color w:val="231F20"/>
          <w:spacing w:val="-4"/>
        </w:rPr>
        <w:t>Cuadro</w:t>
      </w:r>
      <w:r>
        <w:rPr>
          <w:color w:val="231F20"/>
          <w:spacing w:val="6"/>
        </w:rPr>
        <w:t> </w:t>
      </w:r>
      <w:r>
        <w:rPr>
          <w:color w:val="231F20"/>
          <w:spacing w:val="-11"/>
        </w:rPr>
        <w:t>IV.6</w:t>
      </w:r>
    </w:p>
    <w:p>
      <w:pPr>
        <w:pStyle w:val="BodyText"/>
        <w:ind w:left="653" w:right="103"/>
      </w:pPr>
      <w:r>
        <w:rPr>
          <w:color w:val="231F20"/>
        </w:rPr>
        <w:t>Estado de México: producción total por tipo de vehículo</w:t>
      </w:r>
    </w:p>
    <w:p>
      <w:pPr>
        <w:pStyle w:val="BodyText"/>
        <w:tabs>
          <w:tab w:pos="7458" w:val="left" w:leader="none"/>
        </w:tabs>
        <w:spacing w:line="268" w:lineRule="auto" w:before="28"/>
        <w:ind w:left="653" w:right="103"/>
      </w:pPr>
      <w:r>
        <w:rPr/>
        <w:pict>
          <v:line style="position:absolute;mso-position-horizontal-relative:page;mso-position-vertical-relative:paragraph;z-index:-615400" from="246.6306pt,12.168632pt" to="246.6306pt,12.168632pt" stroked="true" strokeweight="1pt" strokecolor="#27211f">
            <w10:wrap type="none"/>
          </v:line>
        </w:pict>
      </w:r>
      <w:r>
        <w:rPr/>
        <w:pict>
          <v:line style="position:absolute;mso-position-horizontal-relative:page;mso-position-vertical-relative:paragraph;z-index:-615376" from="397.899597pt,12.168632pt" to="397.899597pt,12.168632pt" stroked="true" strokeweight="1pt" strokecolor="#27211f">
            <w10:wrap type="none"/>
          </v:line>
        </w:pict>
      </w:r>
      <w:r>
        <w:rPr>
          <w:color w:val="231F20"/>
        </w:rPr>
        <w:t>y </w:t>
      </w:r>
      <w:r>
        <w:rPr>
          <w:color w:val="231F20"/>
          <w:spacing w:val="-3"/>
        </w:rPr>
        <w:t>mercado </w:t>
      </w:r>
      <w:r>
        <w:rPr>
          <w:color w:val="231F20"/>
        </w:rPr>
        <w:t>de </w:t>
      </w:r>
      <w:r>
        <w:rPr>
          <w:color w:val="231F20"/>
          <w:spacing w:val="-4"/>
        </w:rPr>
        <w:t>destino,</w:t>
      </w:r>
      <w:r>
        <w:rPr>
          <w:color w:val="231F20"/>
          <w:spacing w:val="-38"/>
        </w:rPr>
        <w:t> </w:t>
      </w:r>
      <w:r>
        <w:rPr>
          <w:color w:val="231F20"/>
          <w:spacing w:val="-3"/>
        </w:rPr>
        <w:t>1988-2008</w:t>
      </w:r>
      <w:r>
        <w:rPr>
          <w:color w:val="231F20"/>
          <w:spacing w:val="-11"/>
        </w:rPr>
        <w:t> </w:t>
      </w:r>
      <w:r>
        <w:rPr>
          <w:color w:val="231F20"/>
          <w:spacing w:val="-4"/>
        </w:rPr>
        <w:t>(Porcentaje)</w:t>
      </w:r>
      <w:r>
        <w:rPr>
          <w:color w:val="231F20"/>
          <w:spacing w:val="-4"/>
          <w:u w:val="dotted" w:color="27211F"/>
        </w:rPr>
        <w:tab/>
      </w:r>
      <w:r>
        <w:rPr>
          <w:color w:val="231F20"/>
          <w:spacing w:val="-3"/>
        </w:rPr>
        <w:t>115</w:t>
      </w:r>
      <w:r>
        <w:rPr>
          <w:color w:val="231F20"/>
          <w:spacing w:val="-3"/>
          <w:w w:val="96"/>
        </w:rPr>
        <w:t> </w:t>
      </w:r>
      <w:r>
        <w:rPr>
          <w:color w:val="231F20"/>
          <w:spacing w:val="-4"/>
        </w:rPr>
        <w:t>Cuadro</w:t>
      </w:r>
      <w:r>
        <w:rPr>
          <w:color w:val="231F20"/>
          <w:spacing w:val="6"/>
        </w:rPr>
        <w:t> </w:t>
      </w:r>
      <w:r>
        <w:rPr>
          <w:color w:val="231F20"/>
          <w:spacing w:val="-11"/>
        </w:rPr>
        <w:t>IV.7</w:t>
      </w:r>
    </w:p>
    <w:p>
      <w:pPr>
        <w:pStyle w:val="BodyText"/>
        <w:ind w:left="653" w:right="103"/>
      </w:pPr>
      <w:r>
        <w:rPr>
          <w:color w:val="231F20"/>
        </w:rPr>
        <w:t>Estado de México: participación en producción para mercado</w:t>
      </w:r>
    </w:p>
    <w:p>
      <w:pPr>
        <w:pStyle w:val="BodyText"/>
        <w:tabs>
          <w:tab w:pos="7457" w:val="left" w:leader="none"/>
        </w:tabs>
        <w:spacing w:line="268" w:lineRule="auto" w:before="28"/>
        <w:ind w:left="653" w:right="103"/>
      </w:pPr>
      <w:r>
        <w:rPr/>
        <w:pict>
          <v:line style="position:absolute;mso-position-horizontal-relative:page;mso-position-vertical-relative:paragraph;z-index:-615352" from="273.845306pt,12.159629pt" to="273.845306pt,12.159629pt" stroked="true" strokeweight="1pt" strokecolor="#27211f">
            <w10:wrap type="none"/>
          </v:line>
        </w:pict>
      </w:r>
      <w:r>
        <w:rPr/>
        <w:pict>
          <v:line style="position:absolute;mso-position-horizontal-relative:page;mso-position-vertical-relative:paragraph;z-index:-615328" from="397.899292pt,12.159629pt" to="397.899292pt,12.159629pt" stroked="true" strokeweight="1pt" strokecolor="#27211f">
            <w10:wrap type="none"/>
          </v:line>
        </w:pict>
      </w:r>
      <w:r>
        <w:rPr>
          <w:color w:val="231F20"/>
        </w:rPr>
        <w:t>de </w:t>
      </w:r>
      <w:r>
        <w:rPr>
          <w:color w:val="231F20"/>
          <w:spacing w:val="-3"/>
        </w:rPr>
        <w:t>exportación </w:t>
      </w:r>
      <w:r>
        <w:rPr>
          <w:color w:val="231F20"/>
        </w:rPr>
        <w:t>por </w:t>
      </w:r>
      <w:r>
        <w:rPr>
          <w:color w:val="231F20"/>
          <w:spacing w:val="-4"/>
        </w:rPr>
        <w:t>empresa,</w:t>
      </w:r>
      <w:r>
        <w:rPr>
          <w:color w:val="231F20"/>
          <w:spacing w:val="-37"/>
        </w:rPr>
        <w:t> </w:t>
      </w:r>
      <w:r>
        <w:rPr>
          <w:color w:val="231F20"/>
          <w:spacing w:val="-3"/>
        </w:rPr>
        <w:t>1988-2008</w:t>
      </w:r>
      <w:r>
        <w:rPr>
          <w:color w:val="231F20"/>
          <w:spacing w:val="-10"/>
        </w:rPr>
        <w:t> </w:t>
      </w:r>
      <w:r>
        <w:rPr>
          <w:color w:val="231F20"/>
          <w:spacing w:val="-4"/>
        </w:rPr>
        <w:t>(Porcentaje)</w:t>
      </w:r>
      <w:r>
        <w:rPr>
          <w:color w:val="231F20"/>
          <w:spacing w:val="-4"/>
          <w:u w:val="dotted" w:color="27211F"/>
        </w:rPr>
        <w:tab/>
      </w:r>
      <w:r>
        <w:rPr>
          <w:color w:val="231F20"/>
          <w:spacing w:val="-3"/>
        </w:rPr>
        <w:t>117</w:t>
      </w:r>
      <w:r>
        <w:rPr>
          <w:color w:val="231F20"/>
          <w:spacing w:val="-3"/>
          <w:w w:val="96"/>
        </w:rPr>
        <w:t> </w:t>
      </w:r>
      <w:r>
        <w:rPr>
          <w:color w:val="231F20"/>
          <w:spacing w:val="-4"/>
        </w:rPr>
        <w:t>Cuadro</w:t>
      </w:r>
      <w:r>
        <w:rPr>
          <w:color w:val="231F20"/>
          <w:spacing w:val="6"/>
        </w:rPr>
        <w:t> </w:t>
      </w:r>
      <w:r>
        <w:rPr>
          <w:color w:val="231F20"/>
          <w:spacing w:val="-11"/>
        </w:rPr>
        <w:t>IV.8</w:t>
      </w:r>
    </w:p>
    <w:p>
      <w:pPr>
        <w:pStyle w:val="BodyText"/>
        <w:ind w:left="653" w:right="103"/>
      </w:pPr>
      <w:r>
        <w:rPr>
          <w:color w:val="231F20"/>
        </w:rPr>
        <w:t>Estado de México: producción para mercado interno,  participación</w:t>
      </w:r>
    </w:p>
    <w:p>
      <w:pPr>
        <w:pStyle w:val="BodyText"/>
        <w:tabs>
          <w:tab w:pos="7457" w:val="left" w:leader="none"/>
        </w:tabs>
        <w:spacing w:line="268" w:lineRule="auto" w:before="28"/>
        <w:ind w:left="653" w:right="103"/>
      </w:pPr>
      <w:r>
        <w:rPr/>
        <w:pict>
          <v:line style="position:absolute;mso-position-horizontal-relative:page;mso-position-vertical-relative:paragraph;z-index:-615304" from="204.410294pt,12.150641pt" to="204.410294pt,12.150641pt" stroked="true" strokeweight="1pt" strokecolor="#27211f">
            <w10:wrap type="none"/>
          </v:line>
        </w:pict>
      </w:r>
      <w:r>
        <w:rPr/>
        <w:pict>
          <v:line style="position:absolute;mso-position-horizontal-relative:page;mso-position-vertical-relative:paragraph;z-index:-615280" from="397.899292pt,12.150641pt" to="397.899292pt,12.150641pt" stroked="true" strokeweight="1pt" strokecolor="#27211f">
            <w10:wrap type="none"/>
          </v:line>
        </w:pict>
      </w:r>
      <w:r>
        <w:rPr>
          <w:color w:val="231F20"/>
          <w:spacing w:val="-4"/>
        </w:rPr>
        <w:t>porcentual </w:t>
      </w:r>
      <w:r>
        <w:rPr>
          <w:color w:val="231F20"/>
        </w:rPr>
        <w:t>por</w:t>
      </w:r>
      <w:r>
        <w:rPr>
          <w:color w:val="231F20"/>
          <w:spacing w:val="-16"/>
        </w:rPr>
        <w:t> </w:t>
      </w:r>
      <w:r>
        <w:rPr>
          <w:color w:val="231F20"/>
          <w:spacing w:val="-4"/>
        </w:rPr>
        <w:t>empresa,</w:t>
      </w:r>
      <w:r>
        <w:rPr>
          <w:color w:val="231F20"/>
          <w:spacing w:val="-10"/>
        </w:rPr>
        <w:t> </w:t>
      </w:r>
      <w:r>
        <w:rPr>
          <w:color w:val="231F20"/>
          <w:spacing w:val="-3"/>
        </w:rPr>
        <w:t>1988-2008</w:t>
      </w:r>
      <w:r>
        <w:rPr>
          <w:color w:val="231F20"/>
          <w:spacing w:val="-3"/>
          <w:u w:val="dotted" w:color="27211F"/>
        </w:rPr>
        <w:tab/>
      </w:r>
      <w:r>
        <w:rPr>
          <w:color w:val="231F20"/>
          <w:spacing w:val="-3"/>
        </w:rPr>
        <w:t>119</w:t>
      </w:r>
      <w:r>
        <w:rPr>
          <w:color w:val="231F20"/>
          <w:spacing w:val="-3"/>
          <w:w w:val="96"/>
        </w:rPr>
        <w:t> </w:t>
      </w:r>
      <w:r>
        <w:rPr>
          <w:color w:val="231F20"/>
          <w:spacing w:val="-4"/>
        </w:rPr>
        <w:t>Cuadro</w:t>
      </w:r>
      <w:r>
        <w:rPr>
          <w:color w:val="231F20"/>
          <w:spacing w:val="6"/>
        </w:rPr>
        <w:t> </w:t>
      </w:r>
      <w:r>
        <w:rPr>
          <w:color w:val="231F20"/>
          <w:spacing w:val="-11"/>
        </w:rPr>
        <w:t>IV.9</w:t>
      </w:r>
    </w:p>
    <w:p>
      <w:pPr>
        <w:pStyle w:val="BodyText"/>
        <w:ind w:left="653" w:right="103"/>
      </w:pPr>
      <w:r>
        <w:rPr>
          <w:color w:val="231F20"/>
        </w:rPr>
        <w:t>Producción total de vehículos por empresa, segmento y lugar</w:t>
      </w:r>
    </w:p>
    <w:p>
      <w:pPr>
        <w:pStyle w:val="BodyText"/>
        <w:tabs>
          <w:tab w:pos="7457" w:val="left" w:leader="none"/>
        </w:tabs>
        <w:spacing w:before="28"/>
        <w:ind w:left="653" w:right="103"/>
      </w:pPr>
      <w:r>
        <w:rPr/>
        <w:pict>
          <v:line style="position:absolute;mso-position-horizontal-relative:page;mso-position-vertical-relative:paragraph;z-index:-615256" from="213.409103pt,12.141631pt" to="213.409103pt,12.141631pt" stroked="true" strokeweight="1pt" strokecolor="#27211f">
            <w10:wrap type="none"/>
          </v:line>
        </w:pict>
      </w:r>
      <w:r>
        <w:rPr/>
        <w:pict>
          <v:line style="position:absolute;mso-position-horizontal-relative:page;mso-position-vertical-relative:paragraph;z-index:-615232" from="397.900085pt,12.141631pt" to="397.900085pt,12.141631pt" stroked="true" strokeweight="1pt" strokecolor="#27211f">
            <w10:wrap type="none"/>
          </v:line>
        </w:pict>
      </w:r>
      <w:r>
        <w:rPr>
          <w:color w:val="231F20"/>
        </w:rPr>
        <w:t>de </w:t>
      </w:r>
      <w:r>
        <w:rPr>
          <w:color w:val="231F20"/>
          <w:spacing w:val="-3"/>
        </w:rPr>
        <w:t>fabricación,</w:t>
      </w:r>
      <w:r>
        <w:rPr>
          <w:color w:val="231F20"/>
          <w:spacing w:val="-21"/>
        </w:rPr>
        <w:t> </w:t>
      </w:r>
      <w:r>
        <w:rPr>
          <w:color w:val="231F20"/>
          <w:spacing w:val="-3"/>
        </w:rPr>
        <w:t>1988-2008</w:t>
      </w:r>
      <w:r>
        <w:rPr>
          <w:color w:val="231F20"/>
          <w:spacing w:val="-11"/>
        </w:rPr>
        <w:t> </w:t>
      </w:r>
      <w:r>
        <w:rPr>
          <w:color w:val="231F20"/>
          <w:spacing w:val="-4"/>
        </w:rPr>
        <w:t>(Unidades)</w:t>
      </w:r>
      <w:r>
        <w:rPr>
          <w:color w:val="231F20"/>
          <w:spacing w:val="-4"/>
          <w:u w:val="dotted" w:color="27211F"/>
        </w:rPr>
        <w:tab/>
      </w:r>
      <w:r>
        <w:rPr>
          <w:color w:val="231F20"/>
          <w:spacing w:val="-3"/>
        </w:rPr>
        <w:t>126</w:t>
      </w:r>
    </w:p>
    <w:p>
      <w:pPr>
        <w:spacing w:after="0"/>
        <w:sectPr>
          <w:footerReference w:type="even" r:id="rId16"/>
          <w:footerReference w:type="default" r:id="rId17"/>
          <w:pgSz w:w="9640" w:h="13040"/>
          <w:pgMar w:footer="654" w:header="0" w:top="1040" w:bottom="840" w:left="480" w:right="1220"/>
        </w:sectPr>
      </w:pPr>
    </w:p>
    <w:p>
      <w:pPr>
        <w:pStyle w:val="Heading4"/>
        <w:spacing w:line="240" w:lineRule="auto" w:before="6"/>
        <w:ind w:left="103" w:right="673"/>
        <w:jc w:val="left"/>
      </w:pPr>
      <w:r>
        <w:rPr>
          <w:color w:val="231F20"/>
        </w:rPr>
        <w:t>Diagramas</w:t>
      </w:r>
    </w:p>
    <w:p>
      <w:pPr>
        <w:pStyle w:val="BodyText"/>
        <w:spacing w:before="39"/>
        <w:ind w:left="103" w:right="673"/>
      </w:pPr>
      <w:r>
        <w:rPr>
          <w:color w:val="231F20"/>
        </w:rPr>
        <w:t>Diagrama II.1</w:t>
      </w:r>
    </w:p>
    <w:p>
      <w:pPr>
        <w:pStyle w:val="BodyText"/>
        <w:tabs>
          <w:tab w:pos="7004" w:val="left" w:leader="none"/>
        </w:tabs>
        <w:spacing w:before="28"/>
        <w:ind w:left="103" w:right="673"/>
      </w:pPr>
      <w:r>
        <w:rPr/>
        <w:pict>
          <v:line style="position:absolute;mso-position-horizontal-relative:page;mso-position-vertical-relative:paragraph;z-index:-615208" from="227.046707pt,12.246424pt" to="227.046707pt,12.246424pt" stroked="true" strokeweight="1pt" strokecolor="#27211f">
            <w10:wrap type="none"/>
          </v:line>
        </w:pict>
      </w:r>
      <w:r>
        <w:rPr/>
        <w:pict>
          <v:line style="position:absolute;mso-position-horizontal-relative:page;mso-position-vertical-relative:paragraph;z-index:-615184" from="411.233704pt,12.246424pt" to="411.233704pt,12.246424pt" stroked="true" strokeweight="1pt" strokecolor="#27211f">
            <w10:wrap type="none"/>
          </v:line>
        </w:pict>
      </w:r>
      <w:r>
        <w:rPr>
          <w:color w:val="231F20"/>
        </w:rPr>
        <w:t>De las partes a los</w:t>
      </w:r>
      <w:r>
        <w:rPr>
          <w:color w:val="231F20"/>
          <w:spacing w:val="-27"/>
        </w:rPr>
        <w:t> </w:t>
      </w:r>
      <w:r>
        <w:rPr>
          <w:color w:val="231F20"/>
        </w:rPr>
        <w:t>sistemas</w:t>
      </w:r>
      <w:r>
        <w:rPr>
          <w:color w:val="231F20"/>
          <w:spacing w:val="-6"/>
        </w:rPr>
        <w:t> </w:t>
      </w:r>
      <w:r>
        <w:rPr>
          <w:color w:val="231F20"/>
        </w:rPr>
        <w:t>modulares</w:t>
      </w:r>
      <w:r>
        <w:rPr>
          <w:color w:val="231F20"/>
          <w:u w:val="dotted" w:color="27211F"/>
        </w:rPr>
        <w:tab/>
      </w:r>
      <w:r>
        <w:rPr>
          <w:color w:val="231F20"/>
        </w:rPr>
        <w:t>34</w:t>
      </w:r>
    </w:p>
    <w:p>
      <w:pPr>
        <w:pStyle w:val="BodyText"/>
        <w:rPr>
          <w:sz w:val="20"/>
        </w:rPr>
      </w:pPr>
    </w:p>
    <w:p>
      <w:pPr>
        <w:pStyle w:val="BodyText"/>
        <w:spacing w:before="8"/>
        <w:rPr>
          <w:sz w:val="15"/>
        </w:rPr>
      </w:pPr>
    </w:p>
    <w:p>
      <w:pPr>
        <w:pStyle w:val="Heading4"/>
        <w:spacing w:line="240" w:lineRule="auto"/>
        <w:ind w:left="103" w:right="673"/>
        <w:jc w:val="left"/>
      </w:pPr>
      <w:r>
        <w:rPr>
          <w:color w:val="231F20"/>
        </w:rPr>
        <w:t>Gráficas</w:t>
      </w:r>
    </w:p>
    <w:p>
      <w:pPr>
        <w:pStyle w:val="BodyText"/>
        <w:spacing w:before="39"/>
        <w:ind w:left="103" w:right="673"/>
      </w:pPr>
      <w:r>
        <w:rPr>
          <w:color w:val="231F20"/>
        </w:rPr>
        <w:t>Gráfica II.1</w:t>
      </w:r>
    </w:p>
    <w:p>
      <w:pPr>
        <w:pStyle w:val="BodyText"/>
        <w:tabs>
          <w:tab w:pos="7006" w:val="left" w:leader="none"/>
        </w:tabs>
        <w:spacing w:line="297" w:lineRule="auto" w:before="28"/>
        <w:ind w:left="103" w:right="673"/>
      </w:pPr>
      <w:r>
        <w:rPr/>
        <w:pict>
          <v:line style="position:absolute;mso-position-horizontal-relative:page;mso-position-vertical-relative:paragraph;z-index:-615160" from="376.50061pt,12.243837pt" to="376.50061pt,12.243837pt" stroked="true" strokeweight="1pt" strokecolor="#27211f">
            <w10:wrap type="none"/>
          </v:line>
        </w:pict>
      </w:r>
      <w:r>
        <w:rPr/>
        <w:pict>
          <v:line style="position:absolute;mso-position-horizontal-relative:page;mso-position-vertical-relative:paragraph;z-index:-615136" from="411.338593pt,12.243837pt" to="411.338593pt,12.243837pt" stroked="true" strokeweight="1pt" strokecolor="#27211f">
            <w10:wrap type="none"/>
          </v:line>
        </w:pict>
      </w:r>
      <w:r>
        <w:rPr>
          <w:color w:val="231F20"/>
          <w:spacing w:val="-4"/>
        </w:rPr>
        <w:t>Participación</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spacing w:val="-4"/>
        </w:rPr>
        <w:t>producción</w:t>
      </w:r>
      <w:r>
        <w:rPr>
          <w:color w:val="231F20"/>
          <w:spacing w:val="-9"/>
        </w:rPr>
        <w:t> </w:t>
      </w:r>
      <w:r>
        <w:rPr>
          <w:color w:val="231F20"/>
          <w:spacing w:val="-3"/>
        </w:rPr>
        <w:t>mundial</w:t>
      </w:r>
      <w:r>
        <w:rPr>
          <w:color w:val="231F20"/>
          <w:spacing w:val="-9"/>
        </w:rPr>
        <w:t> </w:t>
      </w:r>
      <w:r>
        <w:rPr>
          <w:color w:val="231F20"/>
        </w:rPr>
        <w:t>de</w:t>
      </w:r>
      <w:r>
        <w:rPr>
          <w:color w:val="231F20"/>
          <w:spacing w:val="-9"/>
        </w:rPr>
        <w:t> </w:t>
      </w:r>
      <w:r>
        <w:rPr>
          <w:color w:val="231F20"/>
          <w:spacing w:val="-3"/>
        </w:rPr>
        <w:t>vehículos</w:t>
      </w:r>
      <w:r>
        <w:rPr>
          <w:color w:val="231F20"/>
          <w:spacing w:val="-9"/>
        </w:rPr>
        <w:t> </w:t>
      </w:r>
      <w:r>
        <w:rPr>
          <w:color w:val="231F20"/>
        </w:rPr>
        <w:t>por</w:t>
      </w:r>
      <w:r>
        <w:rPr>
          <w:color w:val="231F20"/>
          <w:spacing w:val="-9"/>
        </w:rPr>
        <w:t> </w:t>
      </w:r>
      <w:r>
        <w:rPr>
          <w:color w:val="231F20"/>
          <w:spacing w:val="-3"/>
        </w:rPr>
        <w:t>región,</w:t>
      </w:r>
      <w:r>
        <w:rPr>
          <w:color w:val="231F20"/>
          <w:spacing w:val="-9"/>
        </w:rPr>
        <w:t> </w:t>
      </w:r>
      <w:r>
        <w:rPr>
          <w:color w:val="231F20"/>
          <w:spacing w:val="-3"/>
        </w:rPr>
        <w:t>2000-2013</w:t>
      </w:r>
      <w:r>
        <w:rPr>
          <w:color w:val="231F20"/>
          <w:spacing w:val="-3"/>
          <w:u w:val="dotted" w:color="27211F"/>
        </w:rPr>
        <w:tab/>
      </w:r>
      <w:r>
        <w:rPr>
          <w:color w:val="231F20"/>
          <w:spacing w:val="-3"/>
        </w:rPr>
        <w:t>49</w:t>
      </w:r>
      <w:r>
        <w:rPr>
          <w:color w:val="231F20"/>
          <w:spacing w:val="-3"/>
          <w:w w:val="96"/>
        </w:rPr>
        <w:t> </w:t>
      </w:r>
      <w:r>
        <w:rPr>
          <w:color w:val="231F20"/>
          <w:spacing w:val="-3"/>
        </w:rPr>
        <w:t>Gráfica</w:t>
      </w:r>
      <w:r>
        <w:rPr>
          <w:color w:val="231F20"/>
          <w:spacing w:val="-28"/>
        </w:rPr>
        <w:t> </w:t>
      </w:r>
      <w:r>
        <w:rPr>
          <w:color w:val="231F20"/>
          <w:spacing w:val="-3"/>
        </w:rPr>
        <w:t>II.2</w:t>
      </w:r>
    </w:p>
    <w:p>
      <w:pPr>
        <w:pStyle w:val="BodyText"/>
        <w:spacing w:line="214" w:lineRule="exact"/>
        <w:ind w:left="103" w:right="673"/>
      </w:pPr>
      <w:r>
        <w:rPr>
          <w:color w:val="231F20"/>
        </w:rPr>
        <w:t>Producción mundial de vehículos por empresa, 2007-2008</w:t>
      </w:r>
    </w:p>
    <w:p>
      <w:pPr>
        <w:pStyle w:val="BodyText"/>
        <w:tabs>
          <w:tab w:pos="7006" w:val="left" w:leader="none"/>
        </w:tabs>
        <w:spacing w:line="297" w:lineRule="auto" w:before="28"/>
        <w:ind w:left="103" w:right="673"/>
      </w:pPr>
      <w:r>
        <w:rPr/>
        <w:pict>
          <v:line style="position:absolute;mso-position-horizontal-relative:page;mso-position-vertical-relative:paragraph;z-index:-615112" from="160.068802pt,12.234724pt" to="160.068802pt,12.234724pt" stroked="true" strokeweight="1pt" strokecolor="#27211f">
            <w10:wrap type="none"/>
          </v:line>
        </w:pict>
      </w:r>
      <w:r>
        <w:rPr/>
        <w:pict>
          <v:line style="position:absolute;mso-position-horizontal-relative:page;mso-position-vertical-relative:paragraph;z-index:-615088" from="411.338806pt,12.234724pt" to="411.338806pt,12.234724pt" stroked="true" strokeweight="1pt" strokecolor="#27211f">
            <w10:wrap type="none"/>
          </v:line>
        </w:pict>
      </w:r>
      <w:r>
        <w:rPr>
          <w:color w:val="231F20"/>
          <w:spacing w:val="-6"/>
        </w:rPr>
        <w:t>(Tasas</w:t>
      </w:r>
      <w:r>
        <w:rPr>
          <w:color w:val="231F20"/>
          <w:spacing w:val="-10"/>
        </w:rPr>
        <w:t> </w:t>
      </w:r>
      <w:r>
        <w:rPr>
          <w:color w:val="231F20"/>
        </w:rPr>
        <w:t>de</w:t>
      </w:r>
      <w:r>
        <w:rPr>
          <w:color w:val="231F20"/>
          <w:spacing w:val="-10"/>
        </w:rPr>
        <w:t> </w:t>
      </w:r>
      <w:r>
        <w:rPr>
          <w:color w:val="231F20"/>
          <w:spacing w:val="-4"/>
        </w:rPr>
        <w:t>crecimiento)</w:t>
      </w:r>
      <w:r>
        <w:rPr>
          <w:color w:val="231F20"/>
          <w:spacing w:val="-4"/>
          <w:u w:val="dotted" w:color="27211F"/>
        </w:rPr>
        <w:tab/>
      </w:r>
      <w:r>
        <w:rPr>
          <w:color w:val="231F20"/>
          <w:spacing w:val="-3"/>
        </w:rPr>
        <w:t>56</w:t>
      </w:r>
      <w:r>
        <w:rPr>
          <w:color w:val="231F20"/>
          <w:spacing w:val="-3"/>
          <w:w w:val="96"/>
        </w:rPr>
        <w:t> </w:t>
      </w:r>
      <w:r>
        <w:rPr>
          <w:color w:val="231F20"/>
          <w:spacing w:val="-3"/>
        </w:rPr>
        <w:t>Gráfica</w:t>
      </w:r>
      <w:r>
        <w:rPr>
          <w:color w:val="231F20"/>
          <w:spacing w:val="-28"/>
        </w:rPr>
        <w:t> </w:t>
      </w:r>
      <w:r>
        <w:rPr>
          <w:color w:val="231F20"/>
          <w:spacing w:val="-3"/>
        </w:rPr>
        <w:t>II.3</w:t>
      </w:r>
    </w:p>
    <w:p>
      <w:pPr>
        <w:pStyle w:val="BodyText"/>
        <w:spacing w:line="214" w:lineRule="exact"/>
        <w:ind w:left="103" w:right="673"/>
      </w:pPr>
      <w:r>
        <w:rPr>
          <w:color w:val="231F20"/>
        </w:rPr>
        <w:t>Producción mundial de vehículos. Principales empresas  productoras,</w:t>
      </w:r>
    </w:p>
    <w:p>
      <w:pPr>
        <w:pStyle w:val="BodyText"/>
        <w:tabs>
          <w:tab w:pos="7006" w:val="left" w:leader="none"/>
        </w:tabs>
        <w:spacing w:line="297" w:lineRule="auto" w:before="28"/>
        <w:ind w:left="103" w:right="673"/>
      </w:pPr>
      <w:r>
        <w:rPr/>
        <w:pict>
          <v:line style="position:absolute;mso-position-horizontal-relative:page;mso-position-vertical-relative:paragraph;z-index:-615064" from="196.093597pt,12.22554pt" to="196.093597pt,12.22554pt" stroked="true" strokeweight="1pt" strokecolor="#27211f">
            <w10:wrap type="none"/>
          </v:line>
        </w:pict>
      </w:r>
      <w:r>
        <w:rPr/>
        <w:pict>
          <v:line style="position:absolute;mso-position-horizontal-relative:page;mso-position-vertical-relative:paragraph;z-index:-615040" from="411.338593pt,12.22554pt" to="411.338593pt,12.22554pt" stroked="true" strokeweight="1pt" strokecolor="#27211f">
            <w10:wrap type="none"/>
          </v:line>
        </w:pict>
      </w:r>
      <w:r>
        <w:rPr>
          <w:color w:val="231F20"/>
          <w:spacing w:val="-3"/>
        </w:rPr>
        <w:t>1985-2012 (Miles</w:t>
      </w:r>
      <w:r>
        <w:rPr>
          <w:color w:val="231F20"/>
          <w:spacing w:val="-18"/>
        </w:rPr>
        <w:t> </w:t>
      </w:r>
      <w:r>
        <w:rPr>
          <w:color w:val="231F20"/>
        </w:rPr>
        <w:t>de</w:t>
      </w:r>
      <w:r>
        <w:rPr>
          <w:color w:val="231F20"/>
          <w:spacing w:val="-11"/>
        </w:rPr>
        <w:t> </w:t>
      </w:r>
      <w:r>
        <w:rPr>
          <w:color w:val="231F20"/>
          <w:spacing w:val="-3"/>
        </w:rPr>
        <w:t>vehículos)</w:t>
      </w:r>
      <w:r>
        <w:rPr>
          <w:color w:val="231F20"/>
          <w:spacing w:val="-3"/>
          <w:u w:val="dotted" w:color="27211F"/>
        </w:rPr>
        <w:tab/>
      </w:r>
      <w:r>
        <w:rPr>
          <w:color w:val="231F20"/>
          <w:spacing w:val="-3"/>
        </w:rPr>
        <w:t>62</w:t>
      </w:r>
      <w:r>
        <w:rPr>
          <w:color w:val="231F20"/>
          <w:spacing w:val="-3"/>
          <w:w w:val="96"/>
        </w:rPr>
        <w:t> </w:t>
      </w:r>
      <w:r>
        <w:rPr>
          <w:color w:val="231F20"/>
          <w:spacing w:val="-3"/>
        </w:rPr>
        <w:t>Gráfica</w:t>
      </w:r>
      <w:r>
        <w:rPr>
          <w:color w:val="231F20"/>
          <w:spacing w:val="-26"/>
        </w:rPr>
        <w:t> </w:t>
      </w:r>
      <w:r>
        <w:rPr>
          <w:color w:val="231F20"/>
          <w:spacing w:val="-3"/>
        </w:rPr>
        <w:t>III.1</w:t>
      </w:r>
    </w:p>
    <w:p>
      <w:pPr>
        <w:pStyle w:val="BodyText"/>
        <w:spacing w:line="214" w:lineRule="exact"/>
        <w:ind w:left="103" w:right="673"/>
      </w:pPr>
      <w:r>
        <w:rPr>
          <w:color w:val="231F20"/>
        </w:rPr>
        <w:t>Producción para mercado interno y para  mercado</w:t>
      </w:r>
    </w:p>
    <w:p>
      <w:pPr>
        <w:pStyle w:val="BodyText"/>
        <w:tabs>
          <w:tab w:pos="7006" w:val="left" w:leader="none"/>
        </w:tabs>
        <w:spacing w:line="297" w:lineRule="auto" w:before="28"/>
        <w:ind w:left="103" w:right="673"/>
      </w:pPr>
      <w:r>
        <w:rPr/>
        <w:pict>
          <v:line style="position:absolute;mso-position-horizontal-relative:page;mso-position-vertical-relative:paragraph;z-index:-615016" from="226.563904pt,12.216327pt" to="226.563904pt,12.216327pt" stroked="true" strokeweight="1pt" strokecolor="#27211f">
            <w10:wrap type="none"/>
          </v:line>
        </w:pict>
      </w:r>
      <w:r>
        <w:rPr/>
        <w:pict>
          <v:line style="position:absolute;mso-position-horizontal-relative:page;mso-position-vertical-relative:paragraph;z-index:-614992" from="411.338898pt,12.216327pt" to="411.338898pt,12.216327pt" stroked="true" strokeweight="1pt" strokecolor="#27211f">
            <w10:wrap type="none"/>
          </v:line>
        </w:pict>
      </w:r>
      <w:r>
        <w:rPr>
          <w:color w:val="231F20"/>
        </w:rPr>
        <w:t>de </w:t>
      </w:r>
      <w:r>
        <w:rPr>
          <w:color w:val="231F20"/>
          <w:spacing w:val="-3"/>
        </w:rPr>
        <w:t>exportación,</w:t>
      </w:r>
      <w:r>
        <w:rPr>
          <w:color w:val="231F20"/>
          <w:spacing w:val="-21"/>
        </w:rPr>
        <w:t> </w:t>
      </w:r>
      <w:r>
        <w:rPr>
          <w:color w:val="231F20"/>
          <w:spacing w:val="-3"/>
        </w:rPr>
        <w:t>1988-2013</w:t>
      </w:r>
      <w:r>
        <w:rPr>
          <w:color w:val="231F20"/>
          <w:spacing w:val="-11"/>
        </w:rPr>
        <w:t> </w:t>
      </w:r>
      <w:r>
        <w:rPr>
          <w:color w:val="231F20"/>
          <w:spacing w:val="-5"/>
        </w:rPr>
        <w:t>(Vehículos)</w:t>
      </w:r>
      <w:r>
        <w:rPr>
          <w:color w:val="231F20"/>
          <w:spacing w:val="-5"/>
          <w:u w:val="dotted" w:color="27211F"/>
        </w:rPr>
        <w:tab/>
      </w:r>
      <w:r>
        <w:rPr>
          <w:color w:val="231F20"/>
          <w:spacing w:val="-3"/>
        </w:rPr>
        <w:t>77</w:t>
      </w:r>
      <w:r>
        <w:rPr>
          <w:color w:val="231F20"/>
          <w:spacing w:val="-3"/>
          <w:w w:val="96"/>
        </w:rPr>
        <w:t> </w:t>
      </w:r>
      <w:r>
        <w:rPr>
          <w:color w:val="231F20"/>
          <w:spacing w:val="-3"/>
        </w:rPr>
        <w:t>Gráfica</w:t>
      </w:r>
      <w:r>
        <w:rPr>
          <w:color w:val="231F20"/>
          <w:spacing w:val="-26"/>
        </w:rPr>
        <w:t> </w:t>
      </w:r>
      <w:r>
        <w:rPr>
          <w:color w:val="231F20"/>
          <w:spacing w:val="-3"/>
        </w:rPr>
        <w:t>III.2</w:t>
      </w:r>
    </w:p>
    <w:p>
      <w:pPr>
        <w:pStyle w:val="BodyText"/>
        <w:spacing w:line="214" w:lineRule="exact"/>
        <w:ind w:left="103" w:right="673"/>
      </w:pPr>
      <w:r>
        <w:rPr>
          <w:color w:val="231F20"/>
        </w:rPr>
        <w:t>Producción de vehículos por tipo: automóviles y camiones,</w:t>
      </w:r>
    </w:p>
    <w:p>
      <w:pPr>
        <w:pStyle w:val="BodyText"/>
        <w:tabs>
          <w:tab w:pos="7006" w:val="left" w:leader="none"/>
        </w:tabs>
        <w:spacing w:line="297" w:lineRule="auto" w:before="28"/>
        <w:ind w:left="103" w:right="673"/>
      </w:pPr>
      <w:r>
        <w:rPr/>
        <w:pict>
          <v:line style="position:absolute;mso-position-horizontal-relative:page;mso-position-vertical-relative:paragraph;z-index:-614968" from="159.502304pt,12.207144pt" to="159.502304pt,12.207144pt" stroked="true" strokeweight="1pt" strokecolor="#27211f">
            <w10:wrap type="none"/>
          </v:line>
        </w:pict>
      </w:r>
      <w:r>
        <w:rPr/>
        <w:pict>
          <v:line style="position:absolute;mso-position-horizontal-relative:page;mso-position-vertical-relative:paragraph;z-index:-614944" from="411.338287pt,12.207144pt" to="411.338287pt,12.207144pt" stroked="true" strokeweight="1pt" strokecolor="#27211f">
            <w10:wrap type="none"/>
          </v:line>
        </w:pict>
      </w:r>
      <w:r>
        <w:rPr>
          <w:color w:val="231F20"/>
          <w:spacing w:val="-3"/>
        </w:rPr>
        <w:t>1988-2013</w:t>
      </w:r>
      <w:r>
        <w:rPr>
          <w:color w:val="231F20"/>
          <w:spacing w:val="-11"/>
        </w:rPr>
        <w:t> </w:t>
      </w:r>
      <w:r>
        <w:rPr>
          <w:color w:val="231F20"/>
          <w:spacing w:val="-4"/>
        </w:rPr>
        <w:t>(Unidades)</w:t>
      </w:r>
      <w:r>
        <w:rPr>
          <w:color w:val="231F20"/>
          <w:spacing w:val="-4"/>
          <w:u w:val="dotted" w:color="27211F"/>
        </w:rPr>
        <w:tab/>
      </w:r>
      <w:r>
        <w:rPr>
          <w:color w:val="231F20"/>
          <w:spacing w:val="-3"/>
        </w:rPr>
        <w:t>79</w:t>
      </w:r>
      <w:r>
        <w:rPr>
          <w:color w:val="231F20"/>
          <w:spacing w:val="-3"/>
          <w:w w:val="96"/>
        </w:rPr>
        <w:t> </w:t>
      </w:r>
      <w:r>
        <w:rPr>
          <w:color w:val="231F20"/>
          <w:spacing w:val="-3"/>
        </w:rPr>
        <w:t>Gráfica</w:t>
      </w:r>
      <w:r>
        <w:rPr>
          <w:color w:val="231F20"/>
          <w:spacing w:val="-26"/>
        </w:rPr>
        <w:t> </w:t>
      </w:r>
      <w:r>
        <w:rPr>
          <w:color w:val="231F20"/>
          <w:spacing w:val="-3"/>
        </w:rPr>
        <w:t>III.3</w:t>
      </w:r>
    </w:p>
    <w:p>
      <w:pPr>
        <w:pStyle w:val="BodyText"/>
        <w:tabs>
          <w:tab w:pos="7006" w:val="left" w:leader="none"/>
        </w:tabs>
        <w:spacing w:line="214" w:lineRule="exact"/>
        <w:ind w:left="103" w:right="673"/>
      </w:pPr>
      <w:r>
        <w:rPr/>
        <w:pict>
          <v:line style="position:absolute;mso-position-horizontal-relative:page;mso-position-vertical-relative:paragraph;z-index:-614920" from="329.966187pt,9.439364pt" to="329.966187pt,9.439364pt" stroked="true" strokeweight="1pt" strokecolor="#27211f">
            <w10:wrap type="none"/>
          </v:line>
        </w:pict>
      </w:r>
      <w:r>
        <w:rPr/>
        <w:pict>
          <v:line style="position:absolute;mso-position-horizontal-relative:page;mso-position-vertical-relative:paragraph;z-index:-614896" from="411.338196pt,9.439364pt" to="411.338196pt,9.439364pt" stroked="true" strokeweight="1pt" strokecolor="#27211f">
            <w10:wrap type="none"/>
          </v:line>
        </w:pict>
      </w:r>
      <w:r>
        <w:rPr>
          <w:color w:val="231F20"/>
          <w:spacing w:val="-4"/>
        </w:rPr>
        <w:t>Producción</w:t>
      </w:r>
      <w:r>
        <w:rPr>
          <w:color w:val="231F20"/>
          <w:spacing w:val="-9"/>
        </w:rPr>
        <w:t> </w:t>
      </w:r>
      <w:r>
        <w:rPr>
          <w:color w:val="231F20"/>
          <w:spacing w:val="-3"/>
        </w:rPr>
        <w:t>total</w:t>
      </w:r>
      <w:r>
        <w:rPr>
          <w:color w:val="231F20"/>
          <w:spacing w:val="-9"/>
        </w:rPr>
        <w:t> </w:t>
      </w:r>
      <w:r>
        <w:rPr>
          <w:color w:val="231F20"/>
        </w:rPr>
        <w:t>de</w:t>
      </w:r>
      <w:r>
        <w:rPr>
          <w:color w:val="231F20"/>
          <w:spacing w:val="-9"/>
        </w:rPr>
        <w:t> </w:t>
      </w:r>
      <w:r>
        <w:rPr>
          <w:color w:val="231F20"/>
          <w:spacing w:val="-4"/>
        </w:rPr>
        <w:t>automóviles</w:t>
      </w:r>
      <w:r>
        <w:rPr>
          <w:color w:val="231F20"/>
          <w:spacing w:val="-9"/>
        </w:rPr>
        <w:t> </w:t>
      </w:r>
      <w:r>
        <w:rPr>
          <w:color w:val="231F20"/>
        </w:rPr>
        <w:t>por</w:t>
      </w:r>
      <w:r>
        <w:rPr>
          <w:color w:val="231F20"/>
          <w:spacing w:val="-9"/>
        </w:rPr>
        <w:t> </w:t>
      </w:r>
      <w:r>
        <w:rPr>
          <w:color w:val="231F20"/>
          <w:spacing w:val="-4"/>
        </w:rPr>
        <w:t>empresa,</w:t>
      </w:r>
      <w:r>
        <w:rPr>
          <w:color w:val="231F20"/>
          <w:spacing w:val="-9"/>
        </w:rPr>
        <w:t> </w:t>
      </w:r>
      <w:r>
        <w:rPr>
          <w:color w:val="231F20"/>
          <w:spacing w:val="-3"/>
        </w:rPr>
        <w:t>2013</w:t>
      </w:r>
      <w:r>
        <w:rPr>
          <w:color w:val="231F20"/>
          <w:spacing w:val="-9"/>
        </w:rPr>
        <w:t> </w:t>
      </w:r>
      <w:r>
        <w:rPr>
          <w:color w:val="231F20"/>
          <w:spacing w:val="-4"/>
        </w:rPr>
        <w:t>(Porcentaje)</w:t>
      </w:r>
      <w:r>
        <w:rPr>
          <w:color w:val="231F20"/>
          <w:spacing w:val="-4"/>
          <w:u w:val="dotted" w:color="27211F"/>
        </w:rPr>
        <w:tab/>
      </w:r>
      <w:r>
        <w:rPr>
          <w:color w:val="231F20"/>
          <w:spacing w:val="-3"/>
        </w:rPr>
        <w:t>86</w:t>
      </w:r>
    </w:p>
    <w:p>
      <w:pPr>
        <w:pStyle w:val="BodyText"/>
        <w:spacing w:before="57"/>
        <w:ind w:left="103" w:right="673"/>
      </w:pPr>
      <w:r>
        <w:rPr>
          <w:color w:val="231F20"/>
        </w:rPr>
        <w:t>Gráfica III.4</w:t>
      </w:r>
    </w:p>
    <w:p>
      <w:pPr>
        <w:pStyle w:val="BodyText"/>
        <w:tabs>
          <w:tab w:pos="7006" w:val="left" w:leader="none"/>
        </w:tabs>
        <w:spacing w:line="297" w:lineRule="auto" w:before="28"/>
        <w:ind w:left="103" w:right="673"/>
      </w:pPr>
      <w:r>
        <w:rPr/>
        <w:pict>
          <v:line style="position:absolute;mso-position-horizontal-relative:page;mso-position-vertical-relative:paragraph;z-index:-614872" from="346.651093pt,12.194828pt" to="346.651093pt,12.194828pt" stroked="true" strokeweight="1pt" strokecolor="#27211f">
            <w10:wrap type="none"/>
          </v:line>
        </w:pict>
      </w:r>
      <w:r>
        <w:rPr/>
        <w:pict>
          <v:line style="position:absolute;mso-position-horizontal-relative:page;mso-position-vertical-relative:paragraph;z-index:-614848" from="411.338104pt,12.194828pt" to="411.338104pt,12.194828pt" stroked="true" strokeweight="1pt" strokecolor="#27211f">
            <w10:wrap type="none"/>
          </v:line>
        </w:pict>
      </w:r>
      <w:r>
        <w:rPr>
          <w:color w:val="231F20"/>
          <w:spacing w:val="-4"/>
        </w:rPr>
        <w:t>Producción</w:t>
      </w:r>
      <w:r>
        <w:rPr>
          <w:color w:val="231F20"/>
          <w:spacing w:val="-10"/>
        </w:rPr>
        <w:t> </w:t>
      </w:r>
      <w:r>
        <w:rPr>
          <w:color w:val="231F20"/>
          <w:spacing w:val="-3"/>
        </w:rPr>
        <w:t>nacional</w:t>
      </w:r>
      <w:r>
        <w:rPr>
          <w:color w:val="231F20"/>
          <w:spacing w:val="-10"/>
        </w:rPr>
        <w:t> </w:t>
      </w:r>
      <w:r>
        <w:rPr>
          <w:color w:val="231F20"/>
        </w:rPr>
        <w:t>de</w:t>
      </w:r>
      <w:r>
        <w:rPr>
          <w:color w:val="231F20"/>
          <w:spacing w:val="-10"/>
        </w:rPr>
        <w:t> </w:t>
      </w:r>
      <w:r>
        <w:rPr>
          <w:color w:val="231F20"/>
          <w:spacing w:val="-4"/>
        </w:rPr>
        <w:t>autopartes,</w:t>
      </w:r>
      <w:r>
        <w:rPr>
          <w:color w:val="231F20"/>
          <w:spacing w:val="-10"/>
        </w:rPr>
        <w:t> </w:t>
      </w:r>
      <w:r>
        <w:rPr>
          <w:color w:val="231F20"/>
          <w:spacing w:val="-3"/>
        </w:rPr>
        <w:t>1994-2009</w:t>
      </w:r>
      <w:r>
        <w:rPr>
          <w:color w:val="231F20"/>
          <w:spacing w:val="-10"/>
        </w:rPr>
        <w:t> </w:t>
      </w:r>
      <w:r>
        <w:rPr>
          <w:color w:val="231F20"/>
          <w:spacing w:val="-3"/>
        </w:rPr>
        <w:t>(Millones</w:t>
      </w:r>
      <w:r>
        <w:rPr>
          <w:color w:val="231F20"/>
          <w:spacing w:val="-10"/>
        </w:rPr>
        <w:t> </w:t>
      </w:r>
      <w:r>
        <w:rPr>
          <w:color w:val="231F20"/>
        </w:rPr>
        <w:t>de</w:t>
      </w:r>
      <w:r>
        <w:rPr>
          <w:color w:val="231F20"/>
          <w:spacing w:val="-10"/>
        </w:rPr>
        <w:t> </w:t>
      </w:r>
      <w:r>
        <w:rPr>
          <w:color w:val="231F20"/>
          <w:spacing w:val="-3"/>
        </w:rPr>
        <w:t>dólares)</w:t>
      </w:r>
      <w:r>
        <w:rPr>
          <w:color w:val="231F20"/>
          <w:spacing w:val="-3"/>
          <w:u w:val="dotted" w:color="27211F"/>
        </w:rPr>
        <w:tab/>
      </w:r>
      <w:r>
        <w:rPr>
          <w:color w:val="231F20"/>
          <w:spacing w:val="-3"/>
        </w:rPr>
        <w:t>87</w:t>
      </w:r>
      <w:r>
        <w:rPr>
          <w:color w:val="231F20"/>
          <w:spacing w:val="-3"/>
          <w:w w:val="96"/>
        </w:rPr>
        <w:t> </w:t>
      </w:r>
      <w:r>
        <w:rPr>
          <w:color w:val="231F20"/>
          <w:spacing w:val="-3"/>
        </w:rPr>
        <w:t>Gráfica</w:t>
      </w:r>
      <w:r>
        <w:rPr>
          <w:color w:val="231F20"/>
          <w:spacing w:val="-31"/>
        </w:rPr>
        <w:t> </w:t>
      </w:r>
      <w:r>
        <w:rPr>
          <w:color w:val="231F20"/>
          <w:spacing w:val="-11"/>
        </w:rPr>
        <w:t>IV.1</w:t>
      </w:r>
    </w:p>
    <w:p>
      <w:pPr>
        <w:pStyle w:val="BodyText"/>
        <w:tabs>
          <w:tab w:pos="6908" w:val="left" w:leader="none"/>
        </w:tabs>
        <w:spacing w:line="214" w:lineRule="exact"/>
        <w:ind w:left="103" w:right="673"/>
      </w:pPr>
      <w:r>
        <w:rPr/>
        <w:pict>
          <v:line style="position:absolute;mso-position-horizontal-relative:page;mso-position-vertical-relative:paragraph;z-index:-614824" from="342.975494pt,9.426949pt" to="342.975494pt,9.426949pt" stroked="true" strokeweight="1pt" strokecolor="#27211f">
            <w10:wrap type="none"/>
          </v:line>
        </w:pict>
      </w:r>
      <w:r>
        <w:rPr/>
        <w:pict>
          <v:line style="position:absolute;mso-position-horizontal-relative:page;mso-position-vertical-relative:paragraph;z-index:-614800" from="406.403503pt,9.426949pt" to="406.403503pt,9.426949pt" stroked="true" strokeweight="1pt" strokecolor="#27211f">
            <w10:wrap type="none"/>
          </v:line>
        </w:pict>
      </w:r>
      <w:r>
        <w:rPr>
          <w:color w:val="231F20"/>
          <w:spacing w:val="-3"/>
        </w:rPr>
        <w:t>Estado</w:t>
      </w:r>
      <w:r>
        <w:rPr>
          <w:color w:val="231F20"/>
          <w:spacing w:val="-10"/>
        </w:rPr>
        <w:t> </w:t>
      </w:r>
      <w:r>
        <w:rPr>
          <w:color w:val="231F20"/>
        </w:rPr>
        <w:t>de</w:t>
      </w:r>
      <w:r>
        <w:rPr>
          <w:color w:val="231F20"/>
          <w:spacing w:val="-10"/>
        </w:rPr>
        <w:t> </w:t>
      </w:r>
      <w:r>
        <w:rPr>
          <w:color w:val="231F20"/>
          <w:spacing w:val="-4"/>
        </w:rPr>
        <w:t>México:</w:t>
      </w:r>
      <w:r>
        <w:rPr>
          <w:color w:val="231F20"/>
          <w:spacing w:val="-10"/>
        </w:rPr>
        <w:t> </w:t>
      </w:r>
      <w:r>
        <w:rPr>
          <w:color w:val="231F20"/>
          <w:spacing w:val="-4"/>
        </w:rPr>
        <w:t>producción</w:t>
      </w:r>
      <w:r>
        <w:rPr>
          <w:color w:val="231F20"/>
          <w:spacing w:val="-10"/>
        </w:rPr>
        <w:t> </w:t>
      </w:r>
      <w:r>
        <w:rPr>
          <w:color w:val="231F20"/>
          <w:spacing w:val="-3"/>
        </w:rPr>
        <w:t>total</w:t>
      </w:r>
      <w:r>
        <w:rPr>
          <w:color w:val="231F20"/>
          <w:spacing w:val="-10"/>
        </w:rPr>
        <w:t> </w:t>
      </w:r>
      <w:r>
        <w:rPr>
          <w:color w:val="231F20"/>
        </w:rPr>
        <w:t>por</w:t>
      </w:r>
      <w:r>
        <w:rPr>
          <w:color w:val="231F20"/>
          <w:spacing w:val="-10"/>
        </w:rPr>
        <w:t> </w:t>
      </w:r>
      <w:r>
        <w:rPr>
          <w:color w:val="231F20"/>
          <w:spacing w:val="-4"/>
        </w:rPr>
        <w:t>empresa,</w:t>
      </w:r>
      <w:r>
        <w:rPr>
          <w:color w:val="231F20"/>
          <w:spacing w:val="-10"/>
        </w:rPr>
        <w:t> </w:t>
      </w:r>
      <w:r>
        <w:rPr>
          <w:color w:val="231F20"/>
          <w:spacing w:val="-3"/>
        </w:rPr>
        <w:t>2008</w:t>
      </w:r>
      <w:r>
        <w:rPr>
          <w:color w:val="231F20"/>
          <w:spacing w:val="-10"/>
        </w:rPr>
        <w:t> </w:t>
      </w:r>
      <w:r>
        <w:rPr>
          <w:color w:val="231F20"/>
          <w:spacing w:val="-4"/>
        </w:rPr>
        <w:t>(Porcentaje)</w:t>
      </w:r>
      <w:r>
        <w:rPr>
          <w:color w:val="231F20"/>
          <w:spacing w:val="-4"/>
          <w:u w:val="dotted" w:color="27211F"/>
        </w:rPr>
        <w:tab/>
      </w:r>
      <w:r>
        <w:rPr>
          <w:color w:val="231F20"/>
          <w:spacing w:val="-3"/>
        </w:rPr>
        <w:t>109</w:t>
      </w:r>
    </w:p>
    <w:p>
      <w:pPr>
        <w:pStyle w:val="BodyText"/>
        <w:spacing w:before="57"/>
        <w:ind w:left="103" w:right="673"/>
      </w:pPr>
      <w:r>
        <w:rPr>
          <w:color w:val="231F20"/>
        </w:rPr>
        <w:t>Gráfica IV.2</w:t>
      </w:r>
    </w:p>
    <w:p>
      <w:pPr>
        <w:pStyle w:val="BodyText"/>
        <w:spacing w:before="28"/>
        <w:ind w:left="103" w:right="673"/>
      </w:pPr>
      <w:r>
        <w:rPr>
          <w:color w:val="231F20"/>
        </w:rPr>
        <w:t>Estado de México: producción total de vehículos, 1988-2008</w:t>
      </w:r>
    </w:p>
    <w:p>
      <w:pPr>
        <w:pStyle w:val="BodyText"/>
        <w:tabs>
          <w:tab w:pos="6908" w:val="left" w:leader="none"/>
        </w:tabs>
        <w:spacing w:line="297" w:lineRule="auto" w:before="28"/>
        <w:ind w:left="103" w:right="673"/>
      </w:pPr>
      <w:r>
        <w:rPr/>
        <w:pict>
          <v:line style="position:absolute;mso-position-horizontal-relative:page;mso-position-vertical-relative:paragraph;z-index:-614776" from="208.913605pt,12.179438pt" to="208.913605pt,12.179438pt" stroked="true" strokeweight="1pt" strokecolor="#27211f">
            <w10:wrap type="none"/>
          </v:line>
        </w:pict>
      </w:r>
      <w:r>
        <w:rPr/>
        <w:pict>
          <v:line style="position:absolute;mso-position-horizontal-relative:page;mso-position-vertical-relative:paragraph;z-index:-614752" from="406.403595pt,12.179438pt" to="406.403595pt,12.179438pt" stroked="true" strokeweight="1pt" strokecolor="#27211f">
            <w10:wrap type="none"/>
          </v:line>
        </w:pict>
      </w:r>
      <w:r>
        <w:rPr>
          <w:color w:val="231F20"/>
          <w:spacing w:val="-6"/>
        </w:rPr>
        <w:t>(Tasa </w:t>
      </w:r>
      <w:r>
        <w:rPr>
          <w:color w:val="231F20"/>
        </w:rPr>
        <w:t>de </w:t>
      </w:r>
      <w:r>
        <w:rPr>
          <w:color w:val="231F20"/>
          <w:spacing w:val="-4"/>
        </w:rPr>
        <w:t>crecimiento</w:t>
      </w:r>
      <w:r>
        <w:rPr>
          <w:color w:val="231F20"/>
          <w:spacing w:val="-24"/>
        </w:rPr>
        <w:t> </w:t>
      </w:r>
      <w:r>
        <w:rPr>
          <w:color w:val="231F20"/>
        </w:rPr>
        <w:t>media</w:t>
      </w:r>
      <w:r>
        <w:rPr>
          <w:color w:val="231F20"/>
          <w:spacing w:val="-10"/>
        </w:rPr>
        <w:t> </w:t>
      </w:r>
      <w:r>
        <w:rPr>
          <w:color w:val="231F20"/>
          <w:spacing w:val="-3"/>
        </w:rPr>
        <w:t>anual)</w:t>
      </w:r>
      <w:r>
        <w:rPr>
          <w:color w:val="231F20"/>
          <w:spacing w:val="-3"/>
          <w:u w:val="dotted" w:color="27211F"/>
        </w:rPr>
        <w:tab/>
      </w:r>
      <w:r>
        <w:rPr>
          <w:color w:val="231F20"/>
          <w:spacing w:val="-3"/>
        </w:rPr>
        <w:t>112</w:t>
      </w:r>
      <w:r>
        <w:rPr>
          <w:color w:val="231F20"/>
          <w:spacing w:val="-3"/>
          <w:w w:val="96"/>
        </w:rPr>
        <w:t> </w:t>
      </w:r>
      <w:r>
        <w:rPr>
          <w:color w:val="231F20"/>
          <w:spacing w:val="-3"/>
        </w:rPr>
        <w:t>Gráfica</w:t>
      </w:r>
      <w:r>
        <w:rPr>
          <w:color w:val="231F20"/>
          <w:spacing w:val="-31"/>
        </w:rPr>
        <w:t> </w:t>
      </w:r>
      <w:r>
        <w:rPr>
          <w:color w:val="231F20"/>
          <w:spacing w:val="-11"/>
        </w:rPr>
        <w:t>IV.3</w:t>
      </w:r>
    </w:p>
    <w:p>
      <w:pPr>
        <w:pStyle w:val="BodyText"/>
        <w:spacing w:line="214" w:lineRule="exact"/>
        <w:ind w:left="103" w:right="673"/>
      </w:pPr>
      <w:r>
        <w:rPr>
          <w:color w:val="231F20"/>
        </w:rPr>
        <w:t>Estado de México: producción de vehículos por mercado</w:t>
      </w:r>
    </w:p>
    <w:p>
      <w:pPr>
        <w:pStyle w:val="BodyText"/>
        <w:tabs>
          <w:tab w:pos="6907" w:val="left" w:leader="none"/>
        </w:tabs>
        <w:spacing w:line="297" w:lineRule="auto" w:before="28"/>
        <w:ind w:left="103" w:right="673"/>
      </w:pPr>
      <w:r>
        <w:rPr>
          <w:color w:val="231F20"/>
        </w:rPr>
        <w:t>de </w:t>
      </w:r>
      <w:r>
        <w:rPr>
          <w:color w:val="231F20"/>
          <w:spacing w:val="-4"/>
        </w:rPr>
        <w:t>destino,</w:t>
      </w:r>
      <w:r>
        <w:rPr>
          <w:color w:val="231F20"/>
          <w:spacing w:val="-21"/>
        </w:rPr>
        <w:t> </w:t>
      </w:r>
      <w:r>
        <w:rPr>
          <w:color w:val="231F20"/>
          <w:spacing w:val="-3"/>
        </w:rPr>
        <w:t>1988-2008</w:t>
      </w:r>
      <w:r>
        <w:rPr>
          <w:color w:val="231F20"/>
          <w:spacing w:val="-11"/>
        </w:rPr>
        <w:t> </w:t>
      </w:r>
      <w:r>
        <w:rPr>
          <w:color w:val="231F20"/>
          <w:spacing w:val="-4"/>
        </w:rPr>
        <w:t>(Unidades)</w:t>
      </w:r>
      <w:r>
        <w:rPr>
          <w:color w:val="231F20"/>
          <w:spacing w:val="-4"/>
          <w:u w:val="dotted" w:color="27211F"/>
        </w:rPr>
        <w:tab/>
      </w:r>
      <w:r>
        <w:rPr>
          <w:color w:val="231F20"/>
          <w:spacing w:val="-3"/>
        </w:rPr>
        <w:t>118</w:t>
      </w:r>
      <w:r>
        <w:rPr>
          <w:color w:val="231F20"/>
          <w:spacing w:val="-3"/>
          <w:w w:val="96"/>
        </w:rPr>
        <w:t> </w:t>
      </w:r>
      <w:r>
        <w:rPr>
          <w:color w:val="231F20"/>
          <w:spacing w:val="-3"/>
        </w:rPr>
        <w:t>Gráfica</w:t>
      </w:r>
      <w:r>
        <w:rPr>
          <w:color w:val="231F20"/>
          <w:spacing w:val="-31"/>
        </w:rPr>
        <w:t> </w:t>
      </w:r>
      <w:r>
        <w:rPr>
          <w:color w:val="231F20"/>
          <w:spacing w:val="-11"/>
        </w:rPr>
        <w:t>IV.4</w:t>
      </w:r>
    </w:p>
    <w:p>
      <w:pPr>
        <w:pStyle w:val="BodyText"/>
        <w:spacing w:line="214" w:lineRule="exact"/>
        <w:ind w:left="103" w:right="673"/>
      </w:pPr>
      <w:r>
        <w:rPr>
          <w:color w:val="231F20"/>
        </w:rPr>
        <w:t>Estado de México: unidades económicas de la industria</w:t>
      </w:r>
    </w:p>
    <w:p>
      <w:pPr>
        <w:pStyle w:val="BodyText"/>
        <w:tabs>
          <w:tab w:pos="6907" w:val="left" w:leader="none"/>
        </w:tabs>
        <w:spacing w:line="297" w:lineRule="auto" w:before="28"/>
        <w:ind w:left="103" w:right="673"/>
      </w:pPr>
      <w:r>
        <w:rPr>
          <w:color w:val="231F20"/>
          <w:spacing w:val="-4"/>
        </w:rPr>
        <w:t>automotriz,</w:t>
      </w:r>
      <w:r>
        <w:rPr>
          <w:color w:val="231F20"/>
          <w:spacing w:val="-10"/>
        </w:rPr>
        <w:t> </w:t>
      </w:r>
      <w:r>
        <w:rPr>
          <w:color w:val="231F20"/>
          <w:spacing w:val="-3"/>
        </w:rPr>
        <w:t>1985-2009</w:t>
      </w:r>
      <w:r>
        <w:rPr>
          <w:color w:val="231F20"/>
          <w:spacing w:val="-10"/>
        </w:rPr>
        <w:t> </w:t>
      </w:r>
      <w:r>
        <w:rPr>
          <w:color w:val="231F20"/>
          <w:spacing w:val="-4"/>
        </w:rPr>
        <w:t>(Unidades)</w:t>
      </w:r>
      <w:r>
        <w:rPr>
          <w:color w:val="231F20"/>
          <w:spacing w:val="-4"/>
          <w:u w:val="dotted" w:color="27211F"/>
        </w:rPr>
        <w:tab/>
      </w:r>
      <w:r>
        <w:rPr>
          <w:color w:val="231F20"/>
          <w:spacing w:val="-3"/>
        </w:rPr>
        <w:t>120</w:t>
      </w:r>
      <w:r>
        <w:rPr>
          <w:color w:val="231F20"/>
          <w:spacing w:val="-3"/>
          <w:w w:val="96"/>
        </w:rPr>
        <w:t> </w:t>
      </w:r>
      <w:r>
        <w:rPr>
          <w:color w:val="231F20"/>
          <w:spacing w:val="-3"/>
        </w:rPr>
        <w:t>Gráfica</w:t>
      </w:r>
      <w:r>
        <w:rPr>
          <w:color w:val="231F20"/>
          <w:spacing w:val="-31"/>
        </w:rPr>
        <w:t> </w:t>
      </w:r>
      <w:r>
        <w:rPr>
          <w:color w:val="231F20"/>
          <w:spacing w:val="-11"/>
        </w:rPr>
        <w:t>IV.5</w:t>
      </w:r>
    </w:p>
    <w:p>
      <w:pPr>
        <w:pStyle w:val="BodyText"/>
        <w:spacing w:line="214" w:lineRule="exact"/>
        <w:ind w:left="103" w:right="673"/>
      </w:pPr>
      <w:r>
        <w:rPr>
          <w:color w:val="231F20"/>
        </w:rPr>
        <w:t>Estado de México: activos fijos netos y formación bruta</w:t>
      </w:r>
    </w:p>
    <w:p>
      <w:pPr>
        <w:pStyle w:val="BodyText"/>
        <w:tabs>
          <w:tab w:pos="6908" w:val="left" w:leader="none"/>
        </w:tabs>
        <w:spacing w:before="28"/>
        <w:ind w:left="103" w:right="673"/>
      </w:pPr>
      <w:r>
        <w:rPr>
          <w:color w:val="231F20"/>
        </w:rPr>
        <w:t>de</w:t>
      </w:r>
      <w:r>
        <w:rPr>
          <w:color w:val="231F20"/>
          <w:spacing w:val="-12"/>
        </w:rPr>
        <w:t> </w:t>
      </w:r>
      <w:r>
        <w:rPr>
          <w:color w:val="231F20"/>
          <w:spacing w:val="-4"/>
        </w:rPr>
        <w:t>capital</w:t>
      </w:r>
      <w:r>
        <w:rPr>
          <w:color w:val="231F20"/>
          <w:spacing w:val="-12"/>
        </w:rPr>
        <w:t> </w:t>
      </w:r>
      <w:r>
        <w:rPr>
          <w:color w:val="231F20"/>
        </w:rPr>
        <w:t>fijo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spacing w:val="-3"/>
        </w:rPr>
        <w:t>sector</w:t>
      </w:r>
      <w:r>
        <w:rPr>
          <w:color w:val="231F20"/>
          <w:spacing w:val="-12"/>
        </w:rPr>
        <w:t> </w:t>
      </w:r>
      <w:r>
        <w:rPr>
          <w:color w:val="231F20"/>
          <w:spacing w:val="-4"/>
        </w:rPr>
        <w:t>automotriz,</w:t>
      </w:r>
      <w:r>
        <w:rPr>
          <w:color w:val="231F20"/>
          <w:spacing w:val="-12"/>
        </w:rPr>
        <w:t> </w:t>
      </w:r>
      <w:r>
        <w:rPr>
          <w:color w:val="231F20"/>
          <w:spacing w:val="-3"/>
        </w:rPr>
        <w:t>1985-2009</w:t>
      </w:r>
      <w:r>
        <w:rPr>
          <w:color w:val="231F20"/>
          <w:spacing w:val="-12"/>
        </w:rPr>
        <w:t> </w:t>
      </w:r>
      <w:r>
        <w:rPr>
          <w:color w:val="231F20"/>
          <w:spacing w:val="-3"/>
        </w:rPr>
        <w:t>(Miles</w:t>
      </w:r>
      <w:r>
        <w:rPr>
          <w:color w:val="231F20"/>
          <w:spacing w:val="-12"/>
        </w:rPr>
        <w:t> </w:t>
      </w:r>
      <w:r>
        <w:rPr>
          <w:color w:val="231F20"/>
        </w:rPr>
        <w:t>de</w:t>
      </w:r>
      <w:r>
        <w:rPr>
          <w:color w:val="231F20"/>
          <w:spacing w:val="-12"/>
        </w:rPr>
        <w:t> </w:t>
      </w:r>
      <w:r>
        <w:rPr>
          <w:color w:val="231F20"/>
        </w:rPr>
        <w:t>pesos)</w:t>
      </w:r>
      <w:r>
        <w:rPr>
          <w:color w:val="231F20"/>
          <w:u w:val="dotted" w:color="27211F"/>
        </w:rPr>
        <w:tab/>
      </w:r>
      <w:r>
        <w:rPr>
          <w:color w:val="231F20"/>
          <w:spacing w:val="-3"/>
        </w:rPr>
        <w:t>121</w:t>
      </w:r>
    </w:p>
    <w:p>
      <w:pPr>
        <w:spacing w:after="0"/>
        <w:sectPr>
          <w:pgSz w:w="9640" w:h="13040"/>
          <w:pgMar w:header="0" w:footer="1210" w:top="1040" w:bottom="1400" w:left="1200" w:right="480"/>
        </w:sectPr>
      </w:pPr>
    </w:p>
    <w:p>
      <w:pPr>
        <w:pStyle w:val="ListParagraph"/>
        <w:numPr>
          <w:ilvl w:val="0"/>
          <w:numId w:val="8"/>
        </w:numPr>
        <w:tabs>
          <w:tab w:pos="717" w:val="left" w:leader="none"/>
          <w:tab w:pos="6917" w:val="left" w:leader="none"/>
        </w:tabs>
        <w:spacing w:line="240" w:lineRule="auto" w:before="31" w:after="0"/>
        <w:ind w:left="113" w:right="0" w:firstLine="397"/>
        <w:jc w:val="left"/>
        <w:rPr>
          <w:sz w:val="21"/>
        </w:rPr>
      </w:pPr>
      <w:r>
        <w:rPr/>
        <w:pict>
          <v:line style="position:absolute;mso-position-horizontal-relative:page;mso-position-vertical-relative:paragraph;z-index:-614728" from="163.973602pt,12.402646pt" to="163.973602pt,12.402646pt" stroked="true" strokeweight="1pt" strokecolor="#27211f">
            <w10:wrap type="none"/>
          </v:line>
        </w:pict>
      </w:r>
      <w:r>
        <w:rPr/>
        <w:pict>
          <v:line style="position:absolute;mso-position-horizontal-relative:page;mso-position-vertical-relative:paragraph;z-index:-614704" from="397.899597pt,12.402646pt" to="397.899597pt,12.402646pt" stroked="true" strokeweight="1pt" strokecolor="#27211f">
            <w10:wrap type="none"/>
          </v:line>
        </w:pict>
      </w:r>
      <w:r>
        <w:rPr>
          <w:color w:val="231F20"/>
          <w:spacing w:val="-4"/>
          <w:sz w:val="21"/>
        </w:rPr>
        <w:t>Activos</w:t>
      </w:r>
      <w:r>
        <w:rPr>
          <w:color w:val="231F20"/>
          <w:spacing w:val="-11"/>
          <w:sz w:val="21"/>
        </w:rPr>
        <w:t> </w:t>
      </w:r>
      <w:r>
        <w:rPr>
          <w:color w:val="231F20"/>
          <w:sz w:val="21"/>
        </w:rPr>
        <w:t>fijos</w:t>
      </w:r>
      <w:r>
        <w:rPr>
          <w:color w:val="231F20"/>
          <w:spacing w:val="-11"/>
          <w:sz w:val="21"/>
        </w:rPr>
        <w:t> </w:t>
      </w:r>
      <w:r>
        <w:rPr>
          <w:color w:val="231F20"/>
          <w:spacing w:val="-3"/>
          <w:sz w:val="21"/>
        </w:rPr>
        <w:t>netos</w:t>
      </w:r>
      <w:r>
        <w:rPr>
          <w:color w:val="231F20"/>
          <w:spacing w:val="-3"/>
          <w:sz w:val="21"/>
          <w:u w:val="dotted" w:color="27211F"/>
        </w:rPr>
        <w:tab/>
      </w:r>
      <w:r>
        <w:rPr>
          <w:color w:val="231F20"/>
          <w:spacing w:val="-3"/>
          <w:sz w:val="21"/>
        </w:rPr>
        <w:t>121</w:t>
      </w:r>
    </w:p>
    <w:p>
      <w:pPr>
        <w:pStyle w:val="ListParagraph"/>
        <w:numPr>
          <w:ilvl w:val="0"/>
          <w:numId w:val="8"/>
        </w:numPr>
        <w:tabs>
          <w:tab w:pos="732" w:val="left" w:leader="none"/>
          <w:tab w:pos="6917" w:val="left" w:leader="none"/>
        </w:tabs>
        <w:spacing w:line="297" w:lineRule="auto" w:before="57" w:after="0"/>
        <w:ind w:left="113" w:right="103" w:firstLine="397"/>
        <w:jc w:val="left"/>
        <w:rPr>
          <w:sz w:val="21"/>
        </w:rPr>
      </w:pPr>
      <w:r>
        <w:rPr/>
        <w:pict>
          <v:line style="position:absolute;mso-position-horizontal-relative:page;mso-position-vertical-relative:paragraph;z-index:-614680" from="216.378006pt,13.699414pt" to="216.378006pt,13.699414pt" stroked="true" strokeweight="1pt" strokecolor="#27211f">
            <w10:wrap type="none"/>
          </v:line>
        </w:pict>
      </w:r>
      <w:r>
        <w:rPr/>
        <w:pict>
          <v:line style="position:absolute;mso-position-horizontal-relative:page;mso-position-vertical-relative:paragraph;z-index:-614656" from="397.899994pt,13.699414pt" to="397.899994pt,13.699414pt" stroked="true" strokeweight="1pt" strokecolor="#27211f">
            <w10:wrap type="none"/>
          </v:line>
        </w:pict>
      </w:r>
      <w:r>
        <w:rPr>
          <w:color w:val="231F20"/>
          <w:spacing w:val="-4"/>
          <w:sz w:val="21"/>
        </w:rPr>
        <w:t>Formación </w:t>
      </w:r>
      <w:r>
        <w:rPr>
          <w:color w:val="231F20"/>
          <w:spacing w:val="-3"/>
          <w:sz w:val="21"/>
        </w:rPr>
        <w:t>bruta </w:t>
      </w:r>
      <w:r>
        <w:rPr>
          <w:color w:val="231F20"/>
          <w:sz w:val="21"/>
        </w:rPr>
        <w:t>de</w:t>
      </w:r>
      <w:r>
        <w:rPr>
          <w:color w:val="231F20"/>
          <w:spacing w:val="-23"/>
          <w:sz w:val="21"/>
        </w:rPr>
        <w:t> </w:t>
      </w:r>
      <w:r>
        <w:rPr>
          <w:color w:val="231F20"/>
          <w:spacing w:val="-4"/>
          <w:sz w:val="21"/>
        </w:rPr>
        <w:t>capital</w:t>
      </w:r>
      <w:r>
        <w:rPr>
          <w:color w:val="231F20"/>
          <w:spacing w:val="-10"/>
          <w:sz w:val="21"/>
        </w:rPr>
        <w:t> </w:t>
      </w:r>
      <w:r>
        <w:rPr>
          <w:color w:val="231F20"/>
          <w:sz w:val="21"/>
        </w:rPr>
        <w:t>fijo</w:t>
      </w:r>
      <w:r>
        <w:rPr>
          <w:color w:val="231F20"/>
          <w:sz w:val="21"/>
          <w:u w:val="dotted" w:color="27211F"/>
        </w:rPr>
        <w:tab/>
      </w:r>
      <w:r>
        <w:rPr>
          <w:color w:val="231F20"/>
          <w:spacing w:val="-3"/>
          <w:sz w:val="21"/>
        </w:rPr>
        <w:t>121</w:t>
      </w:r>
      <w:r>
        <w:rPr>
          <w:color w:val="231F20"/>
          <w:spacing w:val="-3"/>
          <w:w w:val="96"/>
          <w:sz w:val="21"/>
        </w:rPr>
        <w:t> </w:t>
      </w:r>
      <w:r>
        <w:rPr>
          <w:color w:val="231F20"/>
          <w:spacing w:val="-3"/>
          <w:sz w:val="21"/>
        </w:rPr>
        <w:t>Gráficas</w:t>
      </w:r>
      <w:r>
        <w:rPr>
          <w:color w:val="231F20"/>
          <w:spacing w:val="-36"/>
          <w:sz w:val="21"/>
        </w:rPr>
        <w:t> </w:t>
      </w:r>
      <w:r>
        <w:rPr>
          <w:color w:val="231F20"/>
          <w:spacing w:val="-11"/>
          <w:sz w:val="21"/>
        </w:rPr>
        <w:t>IV.6</w:t>
      </w:r>
    </w:p>
    <w:p>
      <w:pPr>
        <w:pStyle w:val="BodyText"/>
        <w:spacing w:line="214" w:lineRule="exact"/>
        <w:ind w:left="113" w:right="103"/>
      </w:pPr>
      <w:r>
        <w:rPr>
          <w:color w:val="231F20"/>
        </w:rPr>
        <w:t>Estado de México: personal ocupado e índice de productividad</w:t>
      </w:r>
    </w:p>
    <w:p>
      <w:pPr>
        <w:pStyle w:val="BodyText"/>
        <w:tabs>
          <w:tab w:pos="6917" w:val="left" w:leader="none"/>
        </w:tabs>
        <w:spacing w:before="28"/>
        <w:ind w:left="113" w:right="103"/>
      </w:pPr>
      <w:r>
        <w:rPr/>
        <w:pict>
          <v:line style="position:absolute;mso-position-horizontal-relative:page;mso-position-vertical-relative:paragraph;z-index:-614632" from="209.061707pt,12.240261pt" to="209.061707pt,12.240261pt" stroked="true" strokeweight="1pt" strokecolor="#27211f">
            <w10:wrap type="none"/>
          </v:line>
        </w:pict>
      </w:r>
      <w:r>
        <w:rPr/>
        <w:pict>
          <v:line style="position:absolute;mso-position-horizontal-relative:page;mso-position-vertical-relative:paragraph;z-index:-614608" from="397.899689pt,12.240261pt" to="397.899689pt,12.240261pt" stroked="true" strokeweight="1pt" strokecolor="#27211f">
            <w10:wrap type="none"/>
          </v:line>
        </w:pict>
      </w:r>
      <w:r>
        <w:rPr>
          <w:color w:val="231F20"/>
          <w:spacing w:val="-3"/>
        </w:rPr>
        <w:t>para </w:t>
      </w:r>
      <w:r>
        <w:rPr>
          <w:color w:val="231F20"/>
        </w:rPr>
        <w:t>el </w:t>
      </w:r>
      <w:r>
        <w:rPr>
          <w:color w:val="231F20"/>
          <w:spacing w:val="-3"/>
        </w:rPr>
        <w:t>sector</w:t>
      </w:r>
      <w:r>
        <w:rPr>
          <w:color w:val="231F20"/>
          <w:spacing w:val="-27"/>
        </w:rPr>
        <w:t> </w:t>
      </w:r>
      <w:r>
        <w:rPr>
          <w:color w:val="231F20"/>
          <w:spacing w:val="-4"/>
        </w:rPr>
        <w:t>automotriz,</w:t>
      </w:r>
      <w:r>
        <w:rPr>
          <w:color w:val="231F20"/>
          <w:spacing w:val="-10"/>
        </w:rPr>
        <w:t> </w:t>
      </w:r>
      <w:r>
        <w:rPr>
          <w:color w:val="231F20"/>
          <w:spacing w:val="-3"/>
        </w:rPr>
        <w:t>1985-2009</w:t>
      </w:r>
      <w:r>
        <w:rPr>
          <w:color w:val="231F20"/>
          <w:spacing w:val="-3"/>
          <w:u w:val="dotted" w:color="27211F"/>
        </w:rPr>
        <w:tab/>
      </w:r>
      <w:r>
        <w:rPr>
          <w:color w:val="231F20"/>
          <w:spacing w:val="-3"/>
        </w:rPr>
        <w:t>122</w:t>
      </w:r>
    </w:p>
    <w:p>
      <w:pPr>
        <w:pStyle w:val="ListParagraph"/>
        <w:numPr>
          <w:ilvl w:val="0"/>
          <w:numId w:val="9"/>
        </w:numPr>
        <w:tabs>
          <w:tab w:pos="717" w:val="left" w:leader="none"/>
          <w:tab w:pos="6917" w:val="left" w:leader="none"/>
        </w:tabs>
        <w:spacing w:line="240" w:lineRule="auto" w:before="57" w:after="0"/>
        <w:ind w:left="113" w:right="0" w:firstLine="397"/>
        <w:jc w:val="left"/>
        <w:rPr>
          <w:sz w:val="21"/>
        </w:rPr>
      </w:pPr>
      <w:r>
        <w:rPr/>
        <w:pict>
          <v:line style="position:absolute;mso-position-horizontal-relative:page;mso-position-vertical-relative:paragraph;z-index:-614584" from="162.912903pt,13.687129pt" to="162.912903pt,13.687129pt" stroked="true" strokeweight="1pt" strokecolor="#27211f">
            <w10:wrap type="none"/>
          </v:line>
        </w:pict>
      </w:r>
      <w:r>
        <w:rPr/>
        <w:pict>
          <v:line style="position:absolute;mso-position-horizontal-relative:page;mso-position-vertical-relative:paragraph;z-index:-614560" from="397.899902pt,13.687129pt" to="397.899902pt,13.687129pt" stroked="true" strokeweight="1pt" strokecolor="#27211f">
            <w10:wrap type="none"/>
          </v:line>
        </w:pict>
      </w:r>
      <w:r>
        <w:rPr>
          <w:color w:val="231F20"/>
          <w:spacing w:val="-4"/>
          <w:sz w:val="21"/>
        </w:rPr>
        <w:t>Personal</w:t>
      </w:r>
      <w:r>
        <w:rPr>
          <w:color w:val="231F20"/>
          <w:spacing w:val="-10"/>
          <w:sz w:val="21"/>
        </w:rPr>
        <w:t> </w:t>
      </w:r>
      <w:r>
        <w:rPr>
          <w:color w:val="231F20"/>
          <w:spacing w:val="-3"/>
          <w:sz w:val="21"/>
        </w:rPr>
        <w:t>ocupado</w:t>
      </w:r>
      <w:r>
        <w:rPr>
          <w:color w:val="231F20"/>
          <w:spacing w:val="-3"/>
          <w:sz w:val="21"/>
          <w:u w:val="dotted" w:color="27211F"/>
        </w:rPr>
        <w:tab/>
      </w:r>
      <w:r>
        <w:rPr>
          <w:color w:val="231F20"/>
          <w:spacing w:val="-3"/>
          <w:sz w:val="21"/>
        </w:rPr>
        <w:t>122</w:t>
      </w:r>
    </w:p>
    <w:p>
      <w:pPr>
        <w:pStyle w:val="ListParagraph"/>
        <w:numPr>
          <w:ilvl w:val="0"/>
          <w:numId w:val="9"/>
        </w:numPr>
        <w:tabs>
          <w:tab w:pos="732" w:val="left" w:leader="none"/>
          <w:tab w:pos="6917" w:val="left" w:leader="none"/>
        </w:tabs>
        <w:spacing w:line="297" w:lineRule="auto" w:before="57" w:after="0"/>
        <w:ind w:left="113" w:right="103" w:firstLine="397"/>
        <w:jc w:val="left"/>
        <w:rPr>
          <w:sz w:val="21"/>
        </w:rPr>
      </w:pPr>
      <w:r>
        <w:rPr/>
        <w:pict>
          <v:line style="position:absolute;mso-position-horizontal-relative:page;mso-position-vertical-relative:paragraph;z-index:-614536" from="188.648193pt,13.683827pt" to="188.648193pt,13.683827pt" stroked="true" strokeweight="1pt" strokecolor="#27211f">
            <w10:wrap type="none"/>
          </v:line>
        </w:pict>
      </w:r>
      <w:r>
        <w:rPr/>
        <w:pict>
          <v:line style="position:absolute;mso-position-horizontal-relative:page;mso-position-vertical-relative:paragraph;z-index:-614512" from="397.8992pt,13.683827pt" to="397.8992pt,13.683827pt" stroked="true" strokeweight="1pt" strokecolor="#27211f">
            <w10:wrap type="none"/>
          </v:line>
        </w:pict>
      </w:r>
      <w:r>
        <w:rPr>
          <w:color w:val="231F20"/>
          <w:spacing w:val="-3"/>
          <w:sz w:val="21"/>
        </w:rPr>
        <w:t>Índice</w:t>
      </w:r>
      <w:r>
        <w:rPr>
          <w:color w:val="231F20"/>
          <w:spacing w:val="-10"/>
          <w:sz w:val="21"/>
        </w:rPr>
        <w:t> </w:t>
      </w:r>
      <w:r>
        <w:rPr>
          <w:color w:val="231F20"/>
          <w:sz w:val="21"/>
        </w:rPr>
        <w:t>de</w:t>
      </w:r>
      <w:r>
        <w:rPr>
          <w:color w:val="231F20"/>
          <w:spacing w:val="-10"/>
          <w:sz w:val="21"/>
        </w:rPr>
        <w:t> </w:t>
      </w:r>
      <w:r>
        <w:rPr>
          <w:color w:val="231F20"/>
          <w:spacing w:val="-3"/>
          <w:sz w:val="21"/>
        </w:rPr>
        <w:t>productividad</w:t>
      </w:r>
      <w:r>
        <w:rPr>
          <w:color w:val="231F20"/>
          <w:spacing w:val="-3"/>
          <w:sz w:val="21"/>
          <w:u w:val="dotted" w:color="27211F"/>
        </w:rPr>
        <w:tab/>
      </w:r>
      <w:r>
        <w:rPr>
          <w:color w:val="231F20"/>
          <w:spacing w:val="-3"/>
          <w:sz w:val="21"/>
        </w:rPr>
        <w:t>122</w:t>
      </w:r>
      <w:r>
        <w:rPr>
          <w:color w:val="231F20"/>
          <w:spacing w:val="-3"/>
          <w:w w:val="96"/>
          <w:sz w:val="21"/>
        </w:rPr>
        <w:t> </w:t>
      </w:r>
      <w:r>
        <w:rPr>
          <w:color w:val="231F20"/>
          <w:spacing w:val="-3"/>
          <w:sz w:val="21"/>
        </w:rPr>
        <w:t>Gráfica</w:t>
      </w:r>
      <w:r>
        <w:rPr>
          <w:color w:val="231F20"/>
          <w:spacing w:val="-31"/>
          <w:sz w:val="21"/>
        </w:rPr>
        <w:t> </w:t>
      </w:r>
      <w:r>
        <w:rPr>
          <w:color w:val="231F20"/>
          <w:spacing w:val="-11"/>
          <w:sz w:val="21"/>
        </w:rPr>
        <w:t>IV.7</w:t>
      </w:r>
    </w:p>
    <w:p>
      <w:pPr>
        <w:pStyle w:val="BodyText"/>
        <w:spacing w:line="214" w:lineRule="exact"/>
        <w:ind w:left="113" w:right="103"/>
      </w:pPr>
      <w:r>
        <w:rPr>
          <w:color w:val="231F20"/>
        </w:rPr>
        <w:t>México y Estado de México: IED dentro del sector automotriz,</w:t>
      </w:r>
    </w:p>
    <w:p>
      <w:pPr>
        <w:pStyle w:val="BodyText"/>
        <w:tabs>
          <w:tab w:pos="6917" w:val="left" w:leader="none"/>
        </w:tabs>
        <w:spacing w:line="297" w:lineRule="auto" w:before="28"/>
        <w:ind w:left="113" w:right="103"/>
      </w:pPr>
      <w:r>
        <w:rPr/>
        <w:pict>
          <v:line style="position:absolute;mso-position-horizontal-relative:page;mso-position-vertical-relative:paragraph;z-index:-614488" from="178.276794pt,12.224745pt" to="178.276794pt,12.224745pt" stroked="true" strokeweight="1pt" strokecolor="#27211f">
            <w10:wrap type="none"/>
          </v:line>
        </w:pict>
      </w:r>
      <w:r>
        <w:rPr/>
        <w:pict>
          <v:line style="position:absolute;mso-position-horizontal-relative:page;mso-position-vertical-relative:paragraph;z-index:-614464" from="397.899811pt,12.224745pt" to="397.899811pt,12.224745pt" stroked="true" strokeweight="1pt" strokecolor="#27211f">
            <w10:wrap type="none"/>
          </v:line>
        </w:pict>
      </w:r>
      <w:r>
        <w:rPr>
          <w:color w:val="231F20"/>
          <w:spacing w:val="-3"/>
        </w:rPr>
        <w:t>1997-2013 (Miles</w:t>
      </w:r>
      <w:r>
        <w:rPr>
          <w:color w:val="231F20"/>
          <w:spacing w:val="-18"/>
        </w:rPr>
        <w:t> </w:t>
      </w:r>
      <w:r>
        <w:rPr>
          <w:color w:val="231F20"/>
        </w:rPr>
        <w:t>de</w:t>
      </w:r>
      <w:r>
        <w:rPr>
          <w:color w:val="231F20"/>
          <w:spacing w:val="-11"/>
        </w:rPr>
        <w:t> </w:t>
      </w:r>
      <w:r>
        <w:rPr>
          <w:color w:val="231F20"/>
          <w:spacing w:val="-3"/>
        </w:rPr>
        <w:t>dólares)</w:t>
      </w:r>
      <w:r>
        <w:rPr>
          <w:color w:val="231F20"/>
          <w:spacing w:val="-3"/>
          <w:u w:val="dotted" w:color="27211F"/>
        </w:rPr>
        <w:tab/>
      </w:r>
      <w:r>
        <w:rPr>
          <w:color w:val="231F20"/>
          <w:spacing w:val="-3"/>
        </w:rPr>
        <w:t>123</w:t>
      </w:r>
      <w:r>
        <w:rPr>
          <w:color w:val="231F20"/>
          <w:spacing w:val="-3"/>
          <w:w w:val="96"/>
        </w:rPr>
        <w:t> </w:t>
      </w:r>
      <w:r>
        <w:rPr>
          <w:color w:val="231F20"/>
          <w:spacing w:val="-3"/>
        </w:rPr>
        <w:t>Gráfica</w:t>
      </w:r>
      <w:r>
        <w:rPr>
          <w:color w:val="231F20"/>
          <w:spacing w:val="-31"/>
        </w:rPr>
        <w:t> </w:t>
      </w:r>
      <w:r>
        <w:rPr>
          <w:color w:val="231F20"/>
          <w:spacing w:val="-11"/>
        </w:rPr>
        <w:t>IV.8</w:t>
      </w:r>
    </w:p>
    <w:p>
      <w:pPr>
        <w:pStyle w:val="BodyText"/>
        <w:spacing w:line="214" w:lineRule="exact"/>
        <w:ind w:left="113" w:right="103"/>
      </w:pPr>
      <w:r>
        <w:rPr>
          <w:color w:val="231F20"/>
        </w:rPr>
        <w:t>Producción total de vehículos, México y Estado de México,</w:t>
      </w:r>
    </w:p>
    <w:p>
      <w:pPr>
        <w:pStyle w:val="BodyText"/>
        <w:tabs>
          <w:tab w:pos="6917" w:val="left" w:leader="none"/>
        </w:tabs>
        <w:spacing w:line="297" w:lineRule="auto" w:before="28"/>
        <w:ind w:left="113" w:right="103"/>
      </w:pPr>
      <w:r>
        <w:rPr/>
        <w:pict>
          <v:line style="position:absolute;mso-position-horizontal-relative:page;mso-position-vertical-relative:paragraph;z-index:-614440" from="150.998398pt,12.21553pt" to="150.998398pt,12.21553pt" stroked="true" strokeweight="1pt" strokecolor="#27211f">
            <w10:wrap type="none"/>
          </v:line>
        </w:pict>
      </w:r>
      <w:r>
        <w:rPr/>
        <w:pict>
          <v:line style="position:absolute;mso-position-horizontal-relative:page;mso-position-vertical-relative:paragraph;z-index:-614416" from="397.899414pt,12.21553pt" to="397.899414pt,12.21553pt" stroked="true" strokeweight="1pt" strokecolor="#27211f">
            <w10:wrap type="none"/>
          </v:line>
        </w:pict>
      </w:r>
      <w:r>
        <w:rPr>
          <w:color w:val="231F20"/>
          <w:spacing w:val="-3"/>
        </w:rPr>
        <w:t>1988-2008</w:t>
      </w:r>
      <w:r>
        <w:rPr>
          <w:color w:val="231F20"/>
          <w:spacing w:val="-11"/>
        </w:rPr>
        <w:t> </w:t>
      </w:r>
      <w:r>
        <w:rPr>
          <w:color w:val="231F20"/>
          <w:spacing w:val="-4"/>
        </w:rPr>
        <w:t>(Unidades)</w:t>
      </w:r>
      <w:r>
        <w:rPr>
          <w:color w:val="231F20"/>
          <w:spacing w:val="-4"/>
          <w:u w:val="dotted" w:color="27211F"/>
        </w:rPr>
        <w:tab/>
      </w:r>
      <w:r>
        <w:rPr>
          <w:color w:val="231F20"/>
          <w:spacing w:val="-3"/>
        </w:rPr>
        <w:t>124</w:t>
      </w:r>
      <w:r>
        <w:rPr>
          <w:color w:val="231F20"/>
          <w:spacing w:val="-3"/>
          <w:w w:val="96"/>
        </w:rPr>
        <w:t> </w:t>
      </w:r>
      <w:r>
        <w:rPr>
          <w:color w:val="231F20"/>
          <w:spacing w:val="-3"/>
        </w:rPr>
        <w:t>Gráfica</w:t>
      </w:r>
      <w:r>
        <w:rPr>
          <w:color w:val="231F20"/>
          <w:spacing w:val="-31"/>
        </w:rPr>
        <w:t> </w:t>
      </w:r>
      <w:r>
        <w:rPr>
          <w:color w:val="231F20"/>
          <w:spacing w:val="-11"/>
        </w:rPr>
        <w:t>IV.9</w:t>
      </w:r>
    </w:p>
    <w:p>
      <w:pPr>
        <w:pStyle w:val="BodyText"/>
        <w:spacing w:line="214" w:lineRule="exact"/>
        <w:ind w:left="113" w:right="103"/>
      </w:pPr>
      <w:r>
        <w:rPr>
          <w:color w:val="231F20"/>
        </w:rPr>
        <w:t>México y Estado de México: producción por mercado</w:t>
      </w:r>
    </w:p>
    <w:p>
      <w:pPr>
        <w:pStyle w:val="BodyText"/>
        <w:tabs>
          <w:tab w:pos="6918" w:val="left" w:leader="none"/>
        </w:tabs>
        <w:spacing w:line="297" w:lineRule="auto" w:before="28"/>
        <w:ind w:left="113" w:right="103"/>
      </w:pPr>
      <w:r>
        <w:rPr/>
        <w:pict>
          <v:line style="position:absolute;mso-position-horizontal-relative:page;mso-position-vertical-relative:paragraph;z-index:-614392" from="198.761703pt,12.206347pt" to="198.761703pt,12.206347pt" stroked="true" strokeweight="1pt" strokecolor="#27211f">
            <w10:wrap type="none"/>
          </v:line>
        </w:pict>
      </w:r>
      <w:r>
        <w:rPr/>
        <w:pict>
          <v:line style="position:absolute;mso-position-horizontal-relative:page;mso-position-vertical-relative:paragraph;z-index:-614368" from="397.899689pt,12.206347pt" to="397.899689pt,12.206347pt" stroked="true" strokeweight="1pt" strokecolor="#27211f">
            <w10:wrap type="none"/>
          </v:line>
        </w:pict>
      </w:r>
      <w:r>
        <w:rPr>
          <w:color w:val="231F20"/>
        </w:rPr>
        <w:t>de </w:t>
      </w:r>
      <w:r>
        <w:rPr>
          <w:color w:val="231F20"/>
          <w:spacing w:val="-4"/>
        </w:rPr>
        <w:t>destino,</w:t>
      </w:r>
      <w:r>
        <w:rPr>
          <w:color w:val="231F20"/>
          <w:spacing w:val="-21"/>
        </w:rPr>
        <w:t> </w:t>
      </w:r>
      <w:r>
        <w:rPr>
          <w:color w:val="231F20"/>
          <w:spacing w:val="-3"/>
        </w:rPr>
        <w:t>1988-2008</w:t>
      </w:r>
      <w:r>
        <w:rPr>
          <w:color w:val="231F20"/>
          <w:spacing w:val="-11"/>
        </w:rPr>
        <w:t> </w:t>
      </w:r>
      <w:r>
        <w:rPr>
          <w:color w:val="231F20"/>
          <w:spacing w:val="-5"/>
        </w:rPr>
        <w:t>(Vehículos)</w:t>
      </w:r>
      <w:r>
        <w:rPr>
          <w:color w:val="231F20"/>
          <w:spacing w:val="-5"/>
          <w:u w:val="dotted" w:color="27211F"/>
        </w:rPr>
        <w:tab/>
      </w:r>
      <w:r>
        <w:rPr>
          <w:color w:val="231F20"/>
          <w:spacing w:val="-3"/>
        </w:rPr>
        <w:t>125</w:t>
      </w:r>
      <w:r>
        <w:rPr>
          <w:color w:val="231F20"/>
          <w:spacing w:val="-3"/>
          <w:w w:val="96"/>
        </w:rPr>
        <w:t> </w:t>
      </w:r>
      <w:r>
        <w:rPr>
          <w:color w:val="231F20"/>
          <w:spacing w:val="-3"/>
        </w:rPr>
        <w:t>Gráfica</w:t>
      </w:r>
      <w:r>
        <w:rPr>
          <w:color w:val="231F20"/>
          <w:spacing w:val="-38"/>
        </w:rPr>
        <w:t> </w:t>
      </w:r>
      <w:r>
        <w:rPr>
          <w:color w:val="231F20"/>
          <w:spacing w:val="-9"/>
        </w:rPr>
        <w:t>IV.10</w:t>
      </w:r>
    </w:p>
    <w:p>
      <w:pPr>
        <w:pStyle w:val="BodyText"/>
        <w:tabs>
          <w:tab w:pos="6918" w:val="left" w:leader="none"/>
        </w:tabs>
        <w:spacing w:line="214" w:lineRule="exact"/>
        <w:ind w:left="113" w:right="103"/>
      </w:pPr>
      <w:r>
        <w:rPr/>
        <w:pict>
          <v:line style="position:absolute;mso-position-horizontal-relative:page;mso-position-vertical-relative:paragraph;z-index:-614344" from="300.640198pt,9.438468pt" to="300.640198pt,9.438468pt" stroked="true" strokeweight="1pt" strokecolor="#27211f">
            <w10:wrap type="none"/>
          </v:line>
        </w:pict>
      </w:r>
      <w:r>
        <w:rPr/>
        <w:pict>
          <v:line style="position:absolute;mso-position-horizontal-relative:page;mso-position-vertical-relative:paragraph;z-index:-614320" from="397.8992pt,9.438468pt" to="397.8992pt,9.438468pt" stroked="true" strokeweight="1pt" strokecolor="#27211f">
            <w10:wrap type="none"/>
          </v:line>
        </w:pict>
      </w:r>
      <w:r>
        <w:rPr>
          <w:color w:val="231F20"/>
          <w:spacing w:val="-4"/>
        </w:rPr>
        <w:t>Personal</w:t>
      </w:r>
      <w:r>
        <w:rPr>
          <w:color w:val="231F20"/>
          <w:spacing w:val="-10"/>
        </w:rPr>
        <w:t> </w:t>
      </w:r>
      <w:r>
        <w:rPr>
          <w:color w:val="231F20"/>
          <w:spacing w:val="-3"/>
        </w:rPr>
        <w:t>ocupado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sector</w:t>
      </w:r>
      <w:r>
        <w:rPr>
          <w:color w:val="231F20"/>
          <w:spacing w:val="-10"/>
        </w:rPr>
        <w:t> </w:t>
      </w:r>
      <w:r>
        <w:rPr>
          <w:color w:val="231F20"/>
          <w:spacing w:val="-4"/>
        </w:rPr>
        <w:t>automotriz</w:t>
      </w:r>
      <w:r>
        <w:rPr>
          <w:color w:val="231F20"/>
          <w:spacing w:val="-10"/>
        </w:rPr>
        <w:t> </w:t>
      </w:r>
      <w:r>
        <w:rPr>
          <w:color w:val="231F20"/>
        </w:rPr>
        <w:t>por</w:t>
      </w:r>
      <w:r>
        <w:rPr>
          <w:color w:val="231F20"/>
          <w:spacing w:val="-10"/>
        </w:rPr>
        <w:t> </w:t>
      </w:r>
      <w:r>
        <w:rPr>
          <w:color w:val="231F20"/>
          <w:spacing w:val="-3"/>
        </w:rPr>
        <w:t>región,</w:t>
      </w:r>
      <w:r>
        <w:rPr>
          <w:color w:val="231F20"/>
          <w:spacing w:val="-10"/>
        </w:rPr>
        <w:t> </w:t>
      </w:r>
      <w:r>
        <w:rPr>
          <w:color w:val="231F20"/>
          <w:spacing w:val="-3"/>
        </w:rPr>
        <w:t>1985</w:t>
      </w:r>
      <w:r>
        <w:rPr>
          <w:color w:val="231F20"/>
          <w:spacing w:val="-3"/>
          <w:u w:val="dotted" w:color="27211F"/>
        </w:rPr>
        <w:tab/>
      </w:r>
      <w:r>
        <w:rPr>
          <w:color w:val="231F20"/>
          <w:spacing w:val="-3"/>
        </w:rPr>
        <w:t>127</w:t>
      </w:r>
    </w:p>
    <w:p>
      <w:pPr>
        <w:pStyle w:val="BodyText"/>
        <w:spacing w:before="57"/>
        <w:ind w:left="113" w:right="103"/>
      </w:pPr>
      <w:r>
        <w:rPr>
          <w:color w:val="231F20"/>
        </w:rPr>
        <w:t>Gráfica IV.11</w:t>
      </w:r>
    </w:p>
    <w:p>
      <w:pPr>
        <w:pStyle w:val="BodyText"/>
        <w:tabs>
          <w:tab w:pos="6918" w:val="left" w:leader="none"/>
        </w:tabs>
        <w:spacing w:line="297" w:lineRule="auto" w:before="28"/>
        <w:ind w:left="113" w:right="103"/>
      </w:pPr>
      <w:r>
        <w:rPr/>
        <w:pict>
          <v:line style="position:absolute;mso-position-horizontal-relative:page;mso-position-vertical-relative:paragraph;z-index:-614296" from="298.361786pt,12.194032pt" to="298.361786pt,12.194032pt" stroked="true" strokeweight="1pt" strokecolor="#27211f">
            <w10:wrap type="none"/>
          </v:line>
        </w:pict>
      </w:r>
      <w:r>
        <w:rPr/>
        <w:pict>
          <v:line style="position:absolute;mso-position-horizontal-relative:page;mso-position-vertical-relative:paragraph;z-index:-614272" from="397.899811pt,12.194032pt" to="397.899811pt,12.194032pt" stroked="true" strokeweight="1pt" strokecolor="#27211f">
            <w10:wrap type="none"/>
          </v:line>
        </w:pict>
      </w:r>
      <w:r>
        <w:rPr>
          <w:color w:val="231F20"/>
          <w:spacing w:val="-4"/>
        </w:rPr>
        <w:t>Personal</w:t>
      </w:r>
      <w:r>
        <w:rPr>
          <w:color w:val="231F20"/>
          <w:spacing w:val="-10"/>
        </w:rPr>
        <w:t> </w:t>
      </w:r>
      <w:r>
        <w:rPr>
          <w:color w:val="231F20"/>
          <w:spacing w:val="-3"/>
        </w:rPr>
        <w:t>ocupado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spacing w:val="-3"/>
        </w:rPr>
        <w:t>sector</w:t>
      </w:r>
      <w:r>
        <w:rPr>
          <w:color w:val="231F20"/>
          <w:spacing w:val="-10"/>
        </w:rPr>
        <w:t> </w:t>
      </w:r>
      <w:r>
        <w:rPr>
          <w:color w:val="231F20"/>
          <w:spacing w:val="-4"/>
        </w:rPr>
        <w:t>automotriz</w:t>
      </w:r>
      <w:r>
        <w:rPr>
          <w:color w:val="231F20"/>
          <w:spacing w:val="-10"/>
        </w:rPr>
        <w:t> </w:t>
      </w:r>
      <w:r>
        <w:rPr>
          <w:color w:val="231F20"/>
        </w:rPr>
        <w:t>por</w:t>
      </w:r>
      <w:r>
        <w:rPr>
          <w:color w:val="231F20"/>
          <w:spacing w:val="-10"/>
        </w:rPr>
        <w:t> </w:t>
      </w:r>
      <w:r>
        <w:rPr>
          <w:color w:val="231F20"/>
          <w:spacing w:val="-3"/>
        </w:rPr>
        <w:t>región,</w:t>
      </w:r>
      <w:r>
        <w:rPr>
          <w:color w:val="231F20"/>
          <w:spacing w:val="-10"/>
        </w:rPr>
        <w:t> </w:t>
      </w:r>
      <w:r>
        <w:rPr>
          <w:color w:val="231F20"/>
          <w:spacing w:val="-3"/>
        </w:rPr>
        <w:t>2009</w:t>
      </w:r>
      <w:r>
        <w:rPr>
          <w:color w:val="231F20"/>
          <w:spacing w:val="-3"/>
          <w:u w:val="dotted" w:color="27211F"/>
        </w:rPr>
        <w:tab/>
      </w:r>
      <w:r>
        <w:rPr>
          <w:color w:val="231F20"/>
          <w:spacing w:val="-3"/>
        </w:rPr>
        <w:t>127</w:t>
      </w:r>
      <w:r>
        <w:rPr>
          <w:color w:val="231F20"/>
          <w:spacing w:val="-3"/>
          <w:w w:val="96"/>
        </w:rPr>
        <w:t> </w:t>
      </w:r>
      <w:r>
        <w:rPr>
          <w:color w:val="231F20"/>
          <w:spacing w:val="-3"/>
        </w:rPr>
        <w:t>Gráfica</w:t>
      </w:r>
      <w:r>
        <w:rPr>
          <w:color w:val="231F20"/>
          <w:spacing w:val="-38"/>
        </w:rPr>
        <w:t> </w:t>
      </w:r>
      <w:r>
        <w:rPr>
          <w:color w:val="231F20"/>
          <w:spacing w:val="-9"/>
        </w:rPr>
        <w:t>IV.12</w:t>
      </w:r>
    </w:p>
    <w:p>
      <w:pPr>
        <w:pStyle w:val="BodyText"/>
        <w:spacing w:line="214" w:lineRule="exact"/>
        <w:ind w:left="113" w:right="103"/>
      </w:pPr>
      <w:r>
        <w:rPr>
          <w:color w:val="231F20"/>
        </w:rPr>
        <w:t>México y Estado de México: VACB del sector automotriz,</w:t>
      </w:r>
    </w:p>
    <w:p>
      <w:pPr>
        <w:pStyle w:val="BodyText"/>
        <w:tabs>
          <w:tab w:pos="6918" w:val="left" w:leader="none"/>
        </w:tabs>
        <w:spacing w:before="28"/>
        <w:ind w:left="113" w:right="103"/>
      </w:pPr>
      <w:r>
        <w:rPr/>
        <w:pict>
          <v:line style="position:absolute;mso-position-horizontal-relative:page;mso-position-vertical-relative:paragraph;z-index:-614248" from="216.726807pt,12.184849pt" to="216.726807pt,12.184849pt" stroked="true" strokeweight="1pt" strokecolor="#27211f">
            <w10:wrap type="none"/>
          </v:line>
        </w:pict>
      </w:r>
      <w:r>
        <w:rPr/>
        <w:pict>
          <v:line style="position:absolute;mso-position-horizontal-relative:page;mso-position-vertical-relative:paragraph;z-index:-614224" from="397.899811pt,12.184849pt" to="397.899811pt,12.184849pt" stroked="true" strokeweight="1pt" strokecolor="#27211f">
            <w10:wrap type="none"/>
          </v:line>
        </w:pict>
      </w:r>
      <w:r>
        <w:rPr>
          <w:color w:val="231F20"/>
          <w:spacing w:val="-3"/>
        </w:rPr>
        <w:t>1985-2008 (Miles </w:t>
      </w:r>
      <w:r>
        <w:rPr>
          <w:color w:val="231F20"/>
        </w:rPr>
        <w:t>de</w:t>
      </w:r>
      <w:r>
        <w:rPr>
          <w:color w:val="231F20"/>
          <w:spacing w:val="-26"/>
        </w:rPr>
        <w:t> </w:t>
      </w:r>
      <w:r>
        <w:rPr>
          <w:color w:val="231F20"/>
        </w:rPr>
        <w:t>pesos</w:t>
      </w:r>
      <w:r>
        <w:rPr>
          <w:color w:val="231F20"/>
          <w:spacing w:val="-11"/>
        </w:rPr>
        <w:t> </w:t>
      </w:r>
      <w:r>
        <w:rPr>
          <w:color w:val="231F20"/>
          <w:spacing w:val="-4"/>
        </w:rPr>
        <w:t>constantes)</w:t>
      </w:r>
      <w:r>
        <w:rPr>
          <w:color w:val="231F20"/>
          <w:spacing w:val="-4"/>
          <w:u w:val="dotted" w:color="27211F"/>
        </w:rPr>
        <w:tab/>
      </w:r>
      <w:r>
        <w:rPr>
          <w:color w:val="231F20"/>
          <w:spacing w:val="-3"/>
        </w:rPr>
        <w:t>128</w:t>
      </w:r>
    </w:p>
    <w:p>
      <w:pPr>
        <w:pStyle w:val="BodyText"/>
        <w:rPr>
          <w:sz w:val="27"/>
        </w:rPr>
      </w:pPr>
    </w:p>
    <w:p>
      <w:pPr>
        <w:pStyle w:val="Heading4"/>
        <w:spacing w:line="240" w:lineRule="auto"/>
        <w:ind w:left="113" w:right="103"/>
        <w:jc w:val="left"/>
      </w:pPr>
      <w:r>
        <w:rPr>
          <w:color w:val="231F20"/>
        </w:rPr>
        <w:t>Figuras</w:t>
      </w:r>
    </w:p>
    <w:p>
      <w:pPr>
        <w:pStyle w:val="BodyText"/>
        <w:spacing w:before="39"/>
        <w:ind w:left="113" w:right="103"/>
      </w:pPr>
      <w:r>
        <w:rPr>
          <w:color w:val="231F20"/>
        </w:rPr>
        <w:t>Figura III.1</w:t>
      </w:r>
    </w:p>
    <w:p>
      <w:pPr>
        <w:pStyle w:val="BodyText"/>
        <w:tabs>
          <w:tab w:pos="7291" w:val="right" w:leader="none"/>
        </w:tabs>
        <w:spacing w:before="28"/>
        <w:ind w:left="113"/>
      </w:pPr>
      <w:r>
        <w:rPr>
          <w:color w:val="231F20"/>
          <w:spacing w:val="-3"/>
        </w:rPr>
        <w:t>Localización</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spacing w:val="-3"/>
        </w:rPr>
        <w:t>principales</w:t>
      </w:r>
      <w:r>
        <w:rPr>
          <w:color w:val="231F20"/>
          <w:spacing w:val="-11"/>
        </w:rPr>
        <w:t> </w:t>
      </w:r>
      <w:r>
        <w:rPr>
          <w:color w:val="231F20"/>
          <w:spacing w:val="-4"/>
        </w:rPr>
        <w:t>ensambladoras</w:t>
      </w:r>
      <w:r>
        <w:rPr>
          <w:color w:val="231F20"/>
          <w:spacing w:val="-11"/>
        </w:rPr>
        <w:t> </w:t>
      </w:r>
      <w:r>
        <w:rPr>
          <w:color w:val="231F20"/>
        </w:rPr>
        <w:t>de</w:t>
      </w:r>
      <w:r>
        <w:rPr>
          <w:color w:val="231F20"/>
          <w:spacing w:val="-11"/>
        </w:rPr>
        <w:t> </w:t>
      </w:r>
      <w:r>
        <w:rPr>
          <w:color w:val="231F20"/>
          <w:spacing w:val="-3"/>
        </w:rPr>
        <w:t>vehículos</w:t>
      </w:r>
      <w:r>
        <w:rPr>
          <w:color w:val="231F20"/>
          <w:spacing w:val="-11"/>
        </w:rPr>
        <w:t> </w:t>
      </w:r>
      <w:r>
        <w:rPr>
          <w:color w:val="231F20"/>
        </w:rPr>
        <w:t>en</w:t>
      </w:r>
      <w:r>
        <w:rPr>
          <w:color w:val="231F20"/>
          <w:spacing w:val="-11"/>
        </w:rPr>
        <w:t> </w:t>
      </w:r>
      <w:r>
        <w:rPr>
          <w:color w:val="231F20"/>
          <w:spacing w:val="-4"/>
        </w:rPr>
        <w:t>México</w:t>
        <w:tab/>
      </w:r>
      <w:r>
        <w:rPr>
          <w:color w:val="231F20"/>
          <w:spacing w:val="-3"/>
        </w:rPr>
        <w:t>89</w:t>
      </w:r>
    </w:p>
    <w:p>
      <w:pPr>
        <w:pStyle w:val="BodyText"/>
        <w:spacing w:before="57"/>
        <w:ind w:left="113" w:right="103"/>
      </w:pPr>
      <w:r>
        <w:rPr>
          <w:color w:val="231F20"/>
        </w:rPr>
        <w:t>Figura III.2</w:t>
      </w:r>
    </w:p>
    <w:p>
      <w:pPr>
        <w:pStyle w:val="BodyText"/>
        <w:spacing w:before="28"/>
        <w:ind w:left="113" w:right="103"/>
      </w:pPr>
      <w:r>
        <w:rPr>
          <w:color w:val="231F20"/>
        </w:rPr>
        <w:t>Distribución geográfica de las empresas de autopartes</w:t>
      </w:r>
    </w:p>
    <w:p>
      <w:pPr>
        <w:pStyle w:val="BodyText"/>
        <w:tabs>
          <w:tab w:pos="7016" w:val="left" w:leader="none"/>
        </w:tabs>
        <w:spacing w:line="297" w:lineRule="auto" w:before="28"/>
        <w:ind w:left="113" w:right="103"/>
      </w:pPr>
      <w:r>
        <w:rPr/>
        <w:pict>
          <v:line style="position:absolute;mso-position-horizontal-relative:page;mso-position-vertical-relative:paragraph;z-index:-614200" from="281.552094pt,12.171135pt" to="281.552094pt,12.171135pt" stroked="true" strokeweight="1pt" strokecolor="#27211f">
            <w10:wrap type="none"/>
          </v:line>
        </w:pict>
      </w:r>
      <w:r>
        <w:rPr/>
        <w:pict>
          <v:line style="position:absolute;mso-position-horizontal-relative:page;mso-position-vertical-relative:paragraph;z-index:-614176" from="402.835114pt,12.171135pt" to="402.835114pt,12.171135pt" stroked="true" strokeweight="1pt" strokecolor="#27211f">
            <w10:wrap type="none"/>
          </v:line>
        </w:pict>
      </w:r>
      <w:r>
        <w:rPr>
          <w:color w:val="231F20"/>
        </w:rPr>
        <w:t>de</w:t>
      </w:r>
      <w:r>
        <w:rPr>
          <w:color w:val="231F20"/>
          <w:spacing w:val="-10"/>
        </w:rPr>
        <w:t> </w:t>
      </w:r>
      <w:r>
        <w:rPr>
          <w:color w:val="231F20"/>
          <w:spacing w:val="-3"/>
        </w:rPr>
        <w:t>primer</w:t>
      </w:r>
      <w:r>
        <w:rPr>
          <w:color w:val="231F20"/>
          <w:spacing w:val="-10"/>
        </w:rPr>
        <w:t> </w:t>
      </w:r>
      <w:r>
        <w:rPr>
          <w:color w:val="231F20"/>
          <w:spacing w:val="-3"/>
        </w:rPr>
        <w:t>nivel</w:t>
      </w:r>
      <w:r>
        <w:rPr>
          <w:color w:val="231F20"/>
          <w:spacing w:val="-10"/>
        </w:rPr>
        <w:t> </w:t>
      </w:r>
      <w:r>
        <w:rPr>
          <w:color w:val="231F20"/>
          <w:spacing w:val="-3"/>
        </w:rPr>
        <w:t>localizadas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zona</w:t>
      </w:r>
      <w:r>
        <w:rPr>
          <w:color w:val="231F20"/>
          <w:spacing w:val="-10"/>
        </w:rPr>
        <w:t> </w:t>
      </w:r>
      <w:r>
        <w:rPr>
          <w:color w:val="231F20"/>
          <w:spacing w:val="-3"/>
        </w:rPr>
        <w:t>norte</w:t>
      </w:r>
      <w:r>
        <w:rPr>
          <w:color w:val="231F20"/>
          <w:spacing w:val="-10"/>
        </w:rPr>
        <w:t> </w:t>
      </w:r>
      <w:r>
        <w:rPr>
          <w:color w:val="231F20"/>
        </w:rPr>
        <w:t>de</w:t>
      </w:r>
      <w:r>
        <w:rPr>
          <w:color w:val="231F20"/>
          <w:spacing w:val="-10"/>
        </w:rPr>
        <w:t> </w:t>
      </w:r>
      <w:r>
        <w:rPr>
          <w:color w:val="231F20"/>
          <w:spacing w:val="-4"/>
        </w:rPr>
        <w:t>México</w:t>
      </w:r>
      <w:r>
        <w:rPr>
          <w:color w:val="231F20"/>
          <w:spacing w:val="-4"/>
          <w:u w:val="dotted" w:color="27211F"/>
        </w:rPr>
        <w:tab/>
      </w:r>
      <w:r>
        <w:rPr>
          <w:color w:val="231F20"/>
          <w:spacing w:val="-3"/>
        </w:rPr>
        <w:t>91</w:t>
      </w:r>
      <w:r>
        <w:rPr>
          <w:color w:val="231F20"/>
          <w:spacing w:val="-3"/>
          <w:w w:val="96"/>
        </w:rPr>
        <w:t> </w:t>
      </w:r>
      <w:r>
        <w:rPr>
          <w:color w:val="231F20"/>
          <w:spacing w:val="-3"/>
        </w:rPr>
        <w:t>Figura</w:t>
      </w:r>
      <w:r>
        <w:rPr>
          <w:color w:val="231F20"/>
          <w:spacing w:val="-12"/>
        </w:rPr>
        <w:t> </w:t>
      </w:r>
      <w:r>
        <w:rPr>
          <w:color w:val="231F20"/>
          <w:spacing w:val="-3"/>
        </w:rPr>
        <w:t>III.3</w:t>
      </w:r>
    </w:p>
    <w:p>
      <w:pPr>
        <w:pStyle w:val="BodyText"/>
        <w:spacing w:line="214" w:lineRule="exact"/>
        <w:ind w:left="113" w:right="103"/>
      </w:pPr>
      <w:r>
        <w:rPr>
          <w:color w:val="231F20"/>
        </w:rPr>
        <w:t>Distribución geográfica de las empresas de autopartes de</w:t>
      </w:r>
    </w:p>
    <w:p>
      <w:pPr>
        <w:pStyle w:val="BodyText"/>
        <w:tabs>
          <w:tab w:pos="7016" w:val="left" w:leader="none"/>
        </w:tabs>
        <w:spacing w:line="297" w:lineRule="auto" w:before="28"/>
        <w:ind w:left="113" w:right="103"/>
      </w:pPr>
      <w:r>
        <w:rPr/>
        <w:pict>
          <v:line style="position:absolute;mso-position-horizontal-relative:page;mso-position-vertical-relative:paragraph;z-index:-614152" from="290.245789pt,12.161937pt" to="290.245789pt,12.161937pt" stroked="true" strokeweight="1pt" strokecolor="#27211f">
            <w10:wrap type="none"/>
          </v:line>
        </w:pict>
      </w:r>
      <w:r>
        <w:rPr/>
        <w:pict>
          <v:line style="position:absolute;mso-position-horizontal-relative:page;mso-position-vertical-relative:paragraph;z-index:-614128" from="402.834808pt,12.161937pt" to="402.834808pt,12.161937pt" stroked="true" strokeweight="1pt" strokecolor="#27211f">
            <w10:wrap type="none"/>
          </v:line>
        </w:pict>
      </w:r>
      <w:r>
        <w:rPr>
          <w:color w:val="231F20"/>
          <w:spacing w:val="-3"/>
        </w:rPr>
        <w:t>primer</w:t>
      </w:r>
      <w:r>
        <w:rPr>
          <w:color w:val="231F20"/>
          <w:spacing w:val="-10"/>
        </w:rPr>
        <w:t> </w:t>
      </w:r>
      <w:r>
        <w:rPr>
          <w:color w:val="231F20"/>
          <w:spacing w:val="-3"/>
        </w:rPr>
        <w:t>nivel</w:t>
      </w:r>
      <w:r>
        <w:rPr>
          <w:color w:val="231F20"/>
          <w:spacing w:val="-10"/>
        </w:rPr>
        <w:t> </w:t>
      </w:r>
      <w:r>
        <w:rPr>
          <w:color w:val="231F20"/>
          <w:spacing w:val="-3"/>
        </w:rPr>
        <w:t>localizadas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spacing w:val="-3"/>
        </w:rPr>
        <w:t>zona</w:t>
      </w:r>
      <w:r>
        <w:rPr>
          <w:color w:val="231F20"/>
          <w:spacing w:val="-10"/>
        </w:rPr>
        <w:t> </w:t>
      </w:r>
      <w:r>
        <w:rPr>
          <w:color w:val="231F20"/>
          <w:spacing w:val="-4"/>
        </w:rPr>
        <w:t>centro-sur</w:t>
      </w:r>
      <w:r>
        <w:rPr>
          <w:color w:val="231F20"/>
          <w:spacing w:val="-10"/>
        </w:rPr>
        <w:t> </w:t>
      </w:r>
      <w:r>
        <w:rPr>
          <w:color w:val="231F20"/>
        </w:rPr>
        <w:t>de</w:t>
      </w:r>
      <w:r>
        <w:rPr>
          <w:color w:val="231F20"/>
          <w:spacing w:val="-10"/>
        </w:rPr>
        <w:t> </w:t>
      </w:r>
      <w:r>
        <w:rPr>
          <w:color w:val="231F20"/>
          <w:spacing w:val="-4"/>
        </w:rPr>
        <w:t>México</w:t>
      </w:r>
      <w:r>
        <w:rPr>
          <w:color w:val="231F20"/>
          <w:spacing w:val="-4"/>
          <w:u w:val="dotted" w:color="27211F"/>
        </w:rPr>
        <w:tab/>
      </w:r>
      <w:r>
        <w:rPr>
          <w:color w:val="231F20"/>
          <w:spacing w:val="-3"/>
        </w:rPr>
        <w:t>93</w:t>
      </w:r>
      <w:r>
        <w:rPr>
          <w:color w:val="231F20"/>
          <w:spacing w:val="-3"/>
          <w:w w:val="96"/>
        </w:rPr>
        <w:t> </w:t>
      </w:r>
      <w:r>
        <w:rPr>
          <w:color w:val="231F20"/>
          <w:spacing w:val="-3"/>
        </w:rPr>
        <w:t>Figura</w:t>
      </w:r>
      <w:r>
        <w:rPr>
          <w:color w:val="231F20"/>
          <w:spacing w:val="-18"/>
        </w:rPr>
        <w:t> </w:t>
      </w:r>
      <w:r>
        <w:rPr>
          <w:color w:val="231F20"/>
          <w:spacing w:val="-11"/>
        </w:rPr>
        <w:t>IV.1</w:t>
      </w:r>
    </w:p>
    <w:p>
      <w:pPr>
        <w:pStyle w:val="BodyText"/>
        <w:spacing w:line="214" w:lineRule="exact"/>
        <w:ind w:left="113" w:right="103"/>
      </w:pPr>
      <w:r>
        <w:rPr>
          <w:color w:val="231F20"/>
        </w:rPr>
        <w:t>Estado de México: localización geográfica de las principales empresas</w:t>
      </w:r>
    </w:p>
    <w:p>
      <w:pPr>
        <w:pStyle w:val="BodyText"/>
        <w:tabs>
          <w:tab w:pos="6917" w:val="left" w:leader="none"/>
        </w:tabs>
        <w:spacing w:before="28"/>
        <w:ind w:left="113" w:right="103"/>
      </w:pPr>
      <w:r>
        <w:rPr/>
        <w:pict>
          <v:line style="position:absolute;mso-position-horizontal-relative:page;mso-position-vertical-relative:paragraph;z-index:-614104" from="144.320206pt,12.152731pt" to="144.320206pt,12.152731pt" stroked="true" strokeweight="1pt" strokecolor="#27211f">
            <w10:wrap type="none"/>
          </v:line>
        </w:pict>
      </w:r>
      <w:r>
        <w:rPr/>
        <w:pict>
          <v:line style="position:absolute;mso-position-horizontal-relative:page;mso-position-vertical-relative:paragraph;z-index:-614080" from="397.8992pt,12.152731pt" to="397.8992pt,12.152731pt" stroked="true" strokeweight="1pt" strokecolor="#27211f">
            <w10:wrap type="none"/>
          </v:line>
        </w:pict>
      </w:r>
      <w:r>
        <w:rPr>
          <w:color w:val="231F20"/>
        </w:rPr>
        <w:t>del</w:t>
      </w:r>
      <w:r>
        <w:rPr>
          <w:color w:val="231F20"/>
          <w:spacing w:val="-10"/>
        </w:rPr>
        <w:t> </w:t>
      </w:r>
      <w:r>
        <w:rPr>
          <w:color w:val="231F20"/>
          <w:spacing w:val="-3"/>
        </w:rPr>
        <w:t>sector</w:t>
      </w:r>
      <w:r>
        <w:rPr>
          <w:color w:val="231F20"/>
          <w:spacing w:val="-10"/>
        </w:rPr>
        <w:t> </w:t>
      </w:r>
      <w:r>
        <w:rPr>
          <w:color w:val="231F20"/>
          <w:spacing w:val="-5"/>
        </w:rPr>
        <w:t>automotor</w:t>
      </w:r>
      <w:r>
        <w:rPr>
          <w:color w:val="231F20"/>
          <w:spacing w:val="-5"/>
          <w:u w:val="dotted" w:color="27211F"/>
        </w:rPr>
        <w:tab/>
      </w:r>
      <w:r>
        <w:rPr>
          <w:color w:val="231F20"/>
          <w:spacing w:val="-3"/>
        </w:rPr>
        <w:t>110</w:t>
      </w:r>
    </w:p>
    <w:p>
      <w:pPr>
        <w:spacing w:after="0"/>
        <w:sectPr>
          <w:footerReference w:type="even" r:id="rId18"/>
          <w:pgSz w:w="9640" w:h="13040"/>
          <w:pgMar w:footer="0" w:header="0" w:top="1040" w:bottom="280" w:left="1020" w:right="12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left="4681"/>
      </w:pPr>
      <w:r>
        <w:rPr/>
        <w:pict>
          <v:group style="position:absolute;margin-left:64.696899pt;margin-top:-62.737774pt;width:417.7pt;height:123.6pt;mso-position-horizontal-relative:page;mso-position-vertical-relative:paragraph;z-index:-614056" coordorigin="1294,-1255" coordsize="8354,2472">
            <v:line style="position:absolute" from="1304,1207" to="9638,1207" stroked="true" strokeweight="1pt" strokecolor="#58595b"/>
            <v:rect style="position:absolute;left:9194;top:-1255;width:444;height:2467" filled="true" fillcolor="#58595b" stroked="false">
              <v:fill type="solid"/>
            </v:rect>
            <w10:wrap type="none"/>
          </v:group>
        </w:pict>
      </w:r>
      <w:r>
        <w:rPr>
          <w:color w:val="231F20"/>
          <w:w w:val="115"/>
        </w:rPr>
        <w:t>Introducción</w:t>
      </w:r>
    </w:p>
    <w:p>
      <w:pPr>
        <w:pStyle w:val="BodyText"/>
        <w:rPr>
          <w:rFonts w:ascii="Palatino Linotype"/>
          <w:b/>
          <w:sz w:val="40"/>
        </w:rPr>
      </w:pPr>
    </w:p>
    <w:p>
      <w:pPr>
        <w:pStyle w:val="BodyText"/>
        <w:spacing w:before="12"/>
        <w:rPr>
          <w:rFonts w:ascii="Palatino Linotype"/>
          <w:b/>
          <w:sz w:val="55"/>
        </w:rPr>
      </w:pPr>
    </w:p>
    <w:p>
      <w:pPr>
        <w:pStyle w:val="BodyText"/>
        <w:spacing w:line="278" w:lineRule="auto" w:before="1"/>
        <w:ind w:left="123" w:right="1131"/>
        <w:jc w:val="both"/>
      </w:pPr>
      <w:r>
        <w:rPr>
          <w:color w:val="231F20"/>
        </w:rPr>
        <w:t>La industria automotriz ha logrado posicionarse como una de las más dinámicas y competitivas</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mundial.</w:t>
      </w:r>
      <w:r>
        <w:rPr>
          <w:color w:val="231F20"/>
          <w:spacing w:val="-10"/>
        </w:rPr>
        <w:t> </w:t>
      </w:r>
      <w:r>
        <w:rPr>
          <w:color w:val="231F20"/>
        </w:rPr>
        <w:t>Las</w:t>
      </w:r>
      <w:r>
        <w:rPr>
          <w:color w:val="231F20"/>
          <w:spacing w:val="-10"/>
        </w:rPr>
        <w:t> </w:t>
      </w:r>
      <w:r>
        <w:rPr>
          <w:color w:val="231F20"/>
        </w:rPr>
        <w:t>constantes</w:t>
      </w:r>
      <w:r>
        <w:rPr>
          <w:color w:val="231F20"/>
          <w:spacing w:val="-10"/>
        </w:rPr>
        <w:t> </w:t>
      </w:r>
      <w:r>
        <w:rPr>
          <w:color w:val="231F20"/>
        </w:rPr>
        <w:t>innovaciones</w:t>
      </w:r>
      <w:r>
        <w:rPr>
          <w:color w:val="231F20"/>
          <w:spacing w:val="-10"/>
        </w:rPr>
        <w:t> </w:t>
      </w:r>
      <w:r>
        <w:rPr>
          <w:color w:val="231F20"/>
        </w:rPr>
        <w:t>tecnológicas</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organiza- ción en los procesos productivos, las grandes inversiones que realiza, las</w:t>
      </w:r>
      <w:r>
        <w:rPr>
          <w:color w:val="231F20"/>
          <w:spacing w:val="-36"/>
        </w:rPr>
        <w:t> </w:t>
      </w:r>
      <w:r>
        <w:rPr>
          <w:color w:val="231F20"/>
        </w:rPr>
        <w:t>aportaciones al</w:t>
      </w:r>
      <w:r>
        <w:rPr>
          <w:color w:val="231F20"/>
          <w:spacing w:val="-3"/>
        </w:rPr>
        <w:t> </w:t>
      </w:r>
      <w:r>
        <w:rPr>
          <w:color w:val="231F20"/>
        </w:rPr>
        <w:t>producto</w:t>
      </w:r>
      <w:r>
        <w:rPr>
          <w:color w:val="231F20"/>
          <w:spacing w:val="-3"/>
        </w:rPr>
        <w:t> </w:t>
      </w:r>
      <w:r>
        <w:rPr>
          <w:color w:val="231F20"/>
        </w:rPr>
        <w:t>interno</w:t>
      </w:r>
      <w:r>
        <w:rPr>
          <w:color w:val="231F20"/>
          <w:spacing w:val="-3"/>
        </w:rPr>
        <w:t> </w:t>
      </w:r>
      <w:r>
        <w:rPr>
          <w:color w:val="231F20"/>
        </w:rPr>
        <w:t>bruto</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economías</w:t>
      </w:r>
      <w:r>
        <w:rPr>
          <w:color w:val="231F20"/>
          <w:spacing w:val="-3"/>
        </w:rPr>
        <w:t> </w:t>
      </w:r>
      <w:r>
        <w:rPr>
          <w:color w:val="231F20"/>
        </w:rPr>
        <w:t>y</w:t>
      </w:r>
      <w:r>
        <w:rPr>
          <w:color w:val="231F20"/>
          <w:spacing w:val="-3"/>
        </w:rPr>
        <w:t> </w:t>
      </w:r>
      <w:r>
        <w:rPr>
          <w:color w:val="231F20"/>
        </w:rPr>
        <w:t>el</w:t>
      </w:r>
      <w:r>
        <w:rPr>
          <w:color w:val="231F20"/>
          <w:spacing w:val="-3"/>
        </w:rPr>
        <w:t> </w:t>
      </w:r>
      <w:r>
        <w:rPr>
          <w:color w:val="231F20"/>
        </w:rPr>
        <w:t>número</w:t>
      </w:r>
      <w:r>
        <w:rPr>
          <w:color w:val="231F20"/>
          <w:spacing w:val="-3"/>
        </w:rPr>
        <w:t> </w:t>
      </w:r>
      <w:r>
        <w:rPr>
          <w:color w:val="231F20"/>
        </w:rPr>
        <w:t>de</w:t>
      </w:r>
      <w:r>
        <w:rPr>
          <w:color w:val="231F20"/>
          <w:spacing w:val="-3"/>
        </w:rPr>
        <w:t> </w:t>
      </w:r>
      <w:r>
        <w:rPr>
          <w:color w:val="231F20"/>
        </w:rPr>
        <w:t>empleos</w:t>
      </w:r>
      <w:r>
        <w:rPr>
          <w:color w:val="231F20"/>
          <w:spacing w:val="-3"/>
        </w:rPr>
        <w:t> </w:t>
      </w:r>
      <w:r>
        <w:rPr>
          <w:color w:val="231F20"/>
        </w:rPr>
        <w:t>que</w:t>
      </w:r>
      <w:r>
        <w:rPr>
          <w:color w:val="231F20"/>
          <w:spacing w:val="-3"/>
        </w:rPr>
        <w:t> </w:t>
      </w:r>
      <w:r>
        <w:rPr>
          <w:color w:val="231F20"/>
        </w:rPr>
        <w:t>genera,</w:t>
      </w:r>
      <w:r>
        <w:rPr>
          <w:color w:val="231F20"/>
          <w:spacing w:val="-3"/>
        </w:rPr>
        <w:t> </w:t>
      </w:r>
      <w:r>
        <w:rPr>
          <w:color w:val="231F20"/>
        </w:rPr>
        <w:t>la</w:t>
      </w:r>
      <w:r>
        <w:rPr>
          <w:color w:val="231F20"/>
          <w:spacing w:val="-3"/>
        </w:rPr>
        <w:t> </w:t>
      </w:r>
      <w:r>
        <w:rPr>
          <w:color w:val="231F20"/>
        </w:rPr>
        <w:t>han consolidado en muchos de los países donde está</w:t>
      </w:r>
      <w:r>
        <w:rPr>
          <w:color w:val="231F20"/>
          <w:spacing w:val="-34"/>
        </w:rPr>
        <w:t> </w:t>
      </w:r>
      <w:r>
        <w:rPr>
          <w:color w:val="231F20"/>
        </w:rPr>
        <w:t>presente.</w:t>
      </w:r>
    </w:p>
    <w:p>
      <w:pPr>
        <w:pStyle w:val="BodyText"/>
        <w:spacing w:line="278" w:lineRule="auto" w:before="1"/>
        <w:ind w:left="123" w:right="1131" w:firstLine="396"/>
        <w:jc w:val="both"/>
      </w:pPr>
      <w:r>
        <w:rPr>
          <w:color w:val="231F20"/>
        </w:rPr>
        <w:t>Con el fin de incrementar su capacidad competitiva y con ello posicionarse en los primeros lugares en producción y ventas de los mercados mundiales, las empresas integrantes del sector han estado siempre en busca de innovaciones que les permitan fortalecer</w:t>
      </w:r>
      <w:r>
        <w:rPr>
          <w:color w:val="231F20"/>
          <w:spacing w:val="-7"/>
        </w:rPr>
        <w:t> </w:t>
      </w:r>
      <w:r>
        <w:rPr>
          <w:color w:val="231F20"/>
        </w:rPr>
        <w:t>y</w:t>
      </w:r>
      <w:r>
        <w:rPr>
          <w:color w:val="231F20"/>
          <w:spacing w:val="-7"/>
        </w:rPr>
        <w:t> </w:t>
      </w:r>
      <w:r>
        <w:rPr>
          <w:color w:val="231F20"/>
        </w:rPr>
        <w:t>hacer</w:t>
      </w:r>
      <w:r>
        <w:rPr>
          <w:color w:val="231F20"/>
          <w:spacing w:val="-7"/>
        </w:rPr>
        <w:t> </w:t>
      </w:r>
      <w:r>
        <w:rPr>
          <w:color w:val="231F20"/>
        </w:rPr>
        <w:t>más</w:t>
      </w:r>
      <w:r>
        <w:rPr>
          <w:color w:val="231F20"/>
          <w:spacing w:val="-7"/>
        </w:rPr>
        <w:t> </w:t>
      </w:r>
      <w:r>
        <w:rPr>
          <w:color w:val="231F20"/>
        </w:rPr>
        <w:t>competitivos</w:t>
      </w:r>
      <w:r>
        <w:rPr>
          <w:color w:val="231F20"/>
          <w:spacing w:val="-7"/>
        </w:rPr>
        <w:t> </w:t>
      </w:r>
      <w:r>
        <w:rPr>
          <w:color w:val="231F20"/>
        </w:rPr>
        <w:t>sus</w:t>
      </w:r>
      <w:r>
        <w:rPr>
          <w:color w:val="231F20"/>
          <w:spacing w:val="-7"/>
        </w:rPr>
        <w:t> </w:t>
      </w:r>
      <w:r>
        <w:rPr>
          <w:color w:val="231F20"/>
        </w:rPr>
        <w:t>procesos</w:t>
      </w:r>
      <w:r>
        <w:rPr>
          <w:color w:val="231F20"/>
          <w:spacing w:val="-7"/>
        </w:rPr>
        <w:t> </w:t>
      </w:r>
      <w:r>
        <w:rPr>
          <w:color w:val="231F20"/>
        </w:rPr>
        <w:t>productivos</w:t>
      </w:r>
      <w:r>
        <w:rPr>
          <w:color w:val="231F20"/>
          <w:spacing w:val="-7"/>
        </w:rPr>
        <w:t> </w:t>
      </w:r>
      <w:r>
        <w:rPr>
          <w:color w:val="231F20"/>
        </w:rPr>
        <w:t>y</w:t>
      </w:r>
      <w:r>
        <w:rPr>
          <w:color w:val="231F20"/>
          <w:spacing w:val="-7"/>
        </w:rPr>
        <w:t> </w:t>
      </w:r>
      <w:r>
        <w:rPr>
          <w:color w:val="231F20"/>
        </w:rPr>
        <w:t>de</w:t>
      </w:r>
      <w:r>
        <w:rPr>
          <w:color w:val="231F20"/>
          <w:spacing w:val="-7"/>
        </w:rPr>
        <w:t> </w:t>
      </w:r>
      <w:r>
        <w:rPr>
          <w:color w:val="231F20"/>
        </w:rPr>
        <w:t>organización.</w:t>
      </w:r>
      <w:r>
        <w:rPr>
          <w:color w:val="231F20"/>
          <w:spacing w:val="-7"/>
        </w:rPr>
        <w:t> </w:t>
      </w:r>
      <w:r>
        <w:rPr>
          <w:color w:val="231F20"/>
        </w:rPr>
        <w:t>Entre las principales estrategias que se han aplicado para lograr su cometido se encuentran la adopción de los modelos “justo a </w:t>
      </w:r>
      <w:r>
        <w:rPr>
          <w:color w:val="231F20"/>
          <w:spacing w:val="-3"/>
        </w:rPr>
        <w:t>tiempo” </w:t>
      </w:r>
      <w:r>
        <w:rPr>
          <w:color w:val="231F20"/>
        </w:rPr>
        <w:t>y </w:t>
      </w:r>
      <w:r>
        <w:rPr>
          <w:color w:val="231F20"/>
          <w:spacing w:val="-3"/>
        </w:rPr>
        <w:t>“calidad </w:t>
      </w:r>
      <w:r>
        <w:rPr>
          <w:color w:val="231F20"/>
        </w:rPr>
        <w:t>total” (que implican la sub- contratación, el incremento de la responsabilidad de los proveedores y la flexibilidad en la producción); la producción de vehículos a través de plataformas y de sistemas modulares; o la reubicación de actividades de manufactura en regiones que les permi- ten aprovechar ventajas, como costos bajos, abundancia de mano de obra calificada y existencia</w:t>
      </w:r>
      <w:r>
        <w:rPr>
          <w:color w:val="231F20"/>
          <w:spacing w:val="-12"/>
        </w:rPr>
        <w:t> </w:t>
      </w:r>
      <w:r>
        <w:rPr>
          <w:color w:val="231F20"/>
        </w:rPr>
        <w:t>de</w:t>
      </w:r>
      <w:r>
        <w:rPr>
          <w:color w:val="231F20"/>
          <w:spacing w:val="-12"/>
        </w:rPr>
        <w:t> </w:t>
      </w:r>
      <w:r>
        <w:rPr>
          <w:color w:val="231F20"/>
        </w:rPr>
        <w:t>materias</w:t>
      </w:r>
      <w:r>
        <w:rPr>
          <w:color w:val="231F20"/>
          <w:spacing w:val="-12"/>
        </w:rPr>
        <w:t> </w:t>
      </w:r>
      <w:r>
        <w:rPr>
          <w:color w:val="231F20"/>
        </w:rPr>
        <w:t>primas</w:t>
      </w:r>
      <w:r>
        <w:rPr>
          <w:color w:val="231F20"/>
          <w:spacing w:val="-12"/>
        </w:rPr>
        <w:t> </w:t>
      </w:r>
      <w:r>
        <w:rPr>
          <w:color w:val="231F20"/>
        </w:rPr>
        <w:t>y</w:t>
      </w:r>
      <w:r>
        <w:rPr>
          <w:color w:val="231F20"/>
          <w:spacing w:val="-12"/>
        </w:rPr>
        <w:t> </w:t>
      </w:r>
      <w:r>
        <w:rPr>
          <w:color w:val="231F20"/>
        </w:rPr>
        <w:t>recursos</w:t>
      </w:r>
      <w:r>
        <w:rPr>
          <w:color w:val="231F20"/>
          <w:spacing w:val="-12"/>
        </w:rPr>
        <w:t> </w:t>
      </w:r>
      <w:r>
        <w:rPr>
          <w:color w:val="231F20"/>
        </w:rPr>
        <w:t>naturales,</w:t>
      </w:r>
      <w:r>
        <w:rPr>
          <w:color w:val="231F20"/>
          <w:spacing w:val="-12"/>
        </w:rPr>
        <w:t> </w:t>
      </w:r>
      <w:r>
        <w:rPr>
          <w:color w:val="231F20"/>
        </w:rPr>
        <w:t>así</w:t>
      </w:r>
      <w:r>
        <w:rPr>
          <w:color w:val="231F20"/>
          <w:spacing w:val="-12"/>
        </w:rPr>
        <w:t> </w:t>
      </w:r>
      <w:r>
        <w:rPr>
          <w:color w:val="231F20"/>
        </w:rPr>
        <w:t>como</w:t>
      </w:r>
      <w:r>
        <w:rPr>
          <w:color w:val="231F20"/>
          <w:spacing w:val="-12"/>
        </w:rPr>
        <w:t> </w:t>
      </w:r>
      <w:r>
        <w:rPr>
          <w:color w:val="231F20"/>
        </w:rPr>
        <w:t>cercanía</w:t>
      </w:r>
      <w:r>
        <w:rPr>
          <w:color w:val="231F20"/>
          <w:spacing w:val="-12"/>
        </w:rPr>
        <w:t> </w:t>
      </w:r>
      <w:r>
        <w:rPr>
          <w:color w:val="231F20"/>
        </w:rPr>
        <w:t>con</w:t>
      </w:r>
      <w:r>
        <w:rPr>
          <w:color w:val="231F20"/>
          <w:spacing w:val="-12"/>
        </w:rPr>
        <w:t> </w:t>
      </w:r>
      <w:r>
        <w:rPr>
          <w:color w:val="231F20"/>
        </w:rPr>
        <w:t>los</w:t>
      </w:r>
      <w:r>
        <w:rPr>
          <w:color w:val="231F20"/>
          <w:spacing w:val="-12"/>
        </w:rPr>
        <w:t> </w:t>
      </w:r>
      <w:r>
        <w:rPr>
          <w:color w:val="231F20"/>
        </w:rPr>
        <w:t>mercados más</w:t>
      </w:r>
      <w:r>
        <w:rPr>
          <w:color w:val="231F20"/>
          <w:spacing w:val="13"/>
        </w:rPr>
        <w:t> </w:t>
      </w:r>
      <w:r>
        <w:rPr>
          <w:color w:val="231F20"/>
        </w:rPr>
        <w:t>importantes.</w:t>
      </w:r>
    </w:p>
    <w:p>
      <w:pPr>
        <w:pStyle w:val="BodyText"/>
        <w:spacing w:line="278" w:lineRule="auto" w:before="1"/>
        <w:ind w:left="123" w:right="1130" w:firstLine="396"/>
        <w:jc w:val="both"/>
      </w:pPr>
      <w:r>
        <w:rPr>
          <w:color w:val="231F20"/>
        </w:rPr>
        <w:t>En México el sector automotriz también ha tenido una historia de éxito. En 2013 este país ya estaba posicionado como el octavo productor de vehículos en el mundo y el</w:t>
      </w:r>
      <w:r>
        <w:rPr>
          <w:color w:val="231F20"/>
          <w:spacing w:val="-11"/>
        </w:rPr>
        <w:t> </w:t>
      </w:r>
      <w:r>
        <w:rPr>
          <w:color w:val="231F20"/>
        </w:rPr>
        <w:t>quinto</w:t>
      </w:r>
      <w:r>
        <w:rPr>
          <w:color w:val="231F20"/>
          <w:spacing w:val="-11"/>
        </w:rPr>
        <w:t> </w:t>
      </w:r>
      <w:r>
        <w:rPr>
          <w:color w:val="231F20"/>
        </w:rPr>
        <w:t>productor</w:t>
      </w:r>
      <w:r>
        <w:rPr>
          <w:color w:val="231F20"/>
          <w:spacing w:val="-11"/>
        </w:rPr>
        <w:t> </w:t>
      </w:r>
      <w:r>
        <w:rPr>
          <w:color w:val="231F20"/>
        </w:rPr>
        <w:t>de</w:t>
      </w:r>
      <w:r>
        <w:rPr>
          <w:color w:val="231F20"/>
          <w:spacing w:val="-11"/>
        </w:rPr>
        <w:t> </w:t>
      </w:r>
      <w:r>
        <w:rPr>
          <w:color w:val="231F20"/>
        </w:rPr>
        <w:t>autopartes.</w:t>
      </w:r>
      <w:r>
        <w:rPr>
          <w:color w:val="231F20"/>
          <w:spacing w:val="-11"/>
        </w:rPr>
        <w:t> </w:t>
      </w:r>
      <w:r>
        <w:rPr>
          <w:color w:val="231F20"/>
        </w:rPr>
        <w:t>Actualmente</w:t>
      </w:r>
      <w:r>
        <w:rPr>
          <w:color w:val="231F20"/>
          <w:spacing w:val="-11"/>
        </w:rPr>
        <w:t> </w:t>
      </w:r>
      <w:r>
        <w:rPr>
          <w:color w:val="231F20"/>
        </w:rPr>
        <w:t>12</w:t>
      </w:r>
      <w:r>
        <w:rPr>
          <w:color w:val="231F20"/>
          <w:spacing w:val="-11"/>
        </w:rPr>
        <w:t> </w:t>
      </w:r>
      <w:r>
        <w:rPr>
          <w:color w:val="231F20"/>
        </w:rPr>
        <w:t>entidades</w:t>
      </w:r>
      <w:r>
        <w:rPr>
          <w:color w:val="231F20"/>
          <w:spacing w:val="-11"/>
        </w:rPr>
        <w:t> </w:t>
      </w:r>
      <w:r>
        <w:rPr>
          <w:color w:val="231F20"/>
        </w:rPr>
        <w:t>federativas</w:t>
      </w:r>
      <w:r>
        <w:rPr>
          <w:color w:val="231F20"/>
          <w:spacing w:val="-11"/>
        </w:rPr>
        <w:t> </w:t>
      </w:r>
      <w:r>
        <w:rPr>
          <w:color w:val="231F20"/>
        </w:rPr>
        <w:t>del</w:t>
      </w:r>
      <w:r>
        <w:rPr>
          <w:color w:val="231F20"/>
          <w:spacing w:val="-11"/>
        </w:rPr>
        <w:t> </w:t>
      </w:r>
      <w:r>
        <w:rPr>
          <w:color w:val="231F20"/>
        </w:rPr>
        <w:t>país</w:t>
      </w:r>
      <w:r>
        <w:rPr>
          <w:color w:val="231F20"/>
          <w:spacing w:val="-11"/>
        </w:rPr>
        <w:t> </w:t>
      </w:r>
      <w:r>
        <w:rPr>
          <w:color w:val="231F20"/>
        </w:rPr>
        <w:t>tienen plantas armadoras fabricantes de vehículos ligeros y motores; 8 cuentan con plantas armadoras de vehículos pesados y motores; 26 tienen empresas proveedoras fabrican- tes</w:t>
      </w:r>
      <w:r>
        <w:rPr>
          <w:color w:val="231F20"/>
          <w:spacing w:val="-8"/>
        </w:rPr>
        <w:t> </w:t>
      </w:r>
      <w:r>
        <w:rPr>
          <w:color w:val="231F20"/>
        </w:rPr>
        <w:t>de</w:t>
      </w:r>
      <w:r>
        <w:rPr>
          <w:color w:val="231F20"/>
          <w:spacing w:val="-8"/>
        </w:rPr>
        <w:t> </w:t>
      </w:r>
      <w:r>
        <w:rPr>
          <w:color w:val="231F20"/>
        </w:rPr>
        <w:t>autopartes;</w:t>
      </w:r>
      <w:r>
        <w:rPr>
          <w:color w:val="231F20"/>
          <w:spacing w:val="-8"/>
        </w:rPr>
        <w:t> </w:t>
      </w:r>
      <w:r>
        <w:rPr>
          <w:color w:val="231F20"/>
        </w:rPr>
        <w:t>y</w:t>
      </w:r>
      <w:r>
        <w:rPr>
          <w:color w:val="231F20"/>
          <w:spacing w:val="-8"/>
        </w:rPr>
        <w:t> </w:t>
      </w:r>
      <w:r>
        <w:rPr>
          <w:color w:val="231F20"/>
        </w:rPr>
        <w:t>todas</w:t>
      </w:r>
      <w:r>
        <w:rPr>
          <w:color w:val="231F20"/>
          <w:spacing w:val="-8"/>
        </w:rPr>
        <w:t> </w:t>
      </w:r>
      <w:r>
        <w:rPr>
          <w:color w:val="231F20"/>
        </w:rPr>
        <w:t>las</w:t>
      </w:r>
      <w:r>
        <w:rPr>
          <w:color w:val="231F20"/>
          <w:spacing w:val="-8"/>
        </w:rPr>
        <w:t> </w:t>
      </w:r>
      <w:r>
        <w:rPr>
          <w:color w:val="231F20"/>
        </w:rPr>
        <w:t>entidades</w:t>
      </w:r>
      <w:r>
        <w:rPr>
          <w:color w:val="231F20"/>
          <w:spacing w:val="-8"/>
        </w:rPr>
        <w:t> </w:t>
      </w:r>
      <w:r>
        <w:rPr>
          <w:color w:val="231F20"/>
        </w:rPr>
        <w:t>federativas</w:t>
      </w:r>
      <w:r>
        <w:rPr>
          <w:color w:val="231F20"/>
          <w:spacing w:val="-8"/>
        </w:rPr>
        <w:t> </w:t>
      </w:r>
      <w:r>
        <w:rPr>
          <w:color w:val="231F20"/>
        </w:rPr>
        <w:t>cuentan</w:t>
      </w:r>
      <w:r>
        <w:rPr>
          <w:color w:val="231F20"/>
          <w:spacing w:val="-8"/>
        </w:rPr>
        <w:t> </w:t>
      </w:r>
      <w:r>
        <w:rPr>
          <w:color w:val="231F20"/>
        </w:rPr>
        <w:t>con</w:t>
      </w:r>
      <w:r>
        <w:rPr>
          <w:color w:val="231F20"/>
          <w:spacing w:val="-8"/>
        </w:rPr>
        <w:t> </w:t>
      </w:r>
      <w:r>
        <w:rPr>
          <w:color w:val="231F20"/>
        </w:rPr>
        <w:t>agencias</w:t>
      </w:r>
      <w:r>
        <w:rPr>
          <w:color w:val="231F20"/>
          <w:spacing w:val="-8"/>
        </w:rPr>
        <w:t> </w:t>
      </w:r>
      <w:r>
        <w:rPr>
          <w:color w:val="231F20"/>
        </w:rPr>
        <w:t>distribuidoras de vehículos nuevos y servicios de posventa; son poco más de 1, 700 distribuidores de vehículos, en los que se comercializan 42 marcas, con alrededor de 300 modelos y 1,</w:t>
      </w:r>
      <w:r>
        <w:rPr>
          <w:color w:val="231F20"/>
          <w:spacing w:val="-44"/>
        </w:rPr>
        <w:t> </w:t>
      </w:r>
      <w:r>
        <w:rPr>
          <w:color w:val="231F20"/>
        </w:rPr>
        <w:t>400</w:t>
      </w:r>
      <w:r>
        <w:rPr>
          <w:color w:val="231F20"/>
          <w:spacing w:val="-28"/>
        </w:rPr>
        <w:t> </w:t>
      </w:r>
      <w:r>
        <w:rPr>
          <w:color w:val="231F20"/>
        </w:rPr>
        <w:t>versiones</w:t>
      </w:r>
      <w:r>
        <w:rPr>
          <w:color w:val="231F20"/>
          <w:spacing w:val="-28"/>
        </w:rPr>
        <w:t> </w:t>
      </w:r>
      <w:r>
        <w:rPr>
          <w:color w:val="231F20"/>
        </w:rPr>
        <w:t>(AMDA,</w:t>
      </w:r>
      <w:r>
        <w:rPr>
          <w:color w:val="231F20"/>
          <w:spacing w:val="-28"/>
        </w:rPr>
        <w:t> </w:t>
      </w:r>
      <w:r>
        <w:rPr>
          <w:color w:val="231F20"/>
        </w:rPr>
        <w:t>2014).</w:t>
      </w:r>
    </w:p>
    <w:p>
      <w:pPr>
        <w:pStyle w:val="BodyText"/>
        <w:spacing w:line="278" w:lineRule="auto" w:before="1"/>
        <w:ind w:left="123" w:right="1131" w:firstLine="396"/>
        <w:jc w:val="both"/>
      </w:pPr>
      <w:r>
        <w:rPr>
          <w:color w:val="231F20"/>
        </w:rPr>
        <w:t>Específicamente en el Estado de México, este sector también ha sido uno de los más importantes y dinámicos. En esta entidad se instalaron las primeras armadoras que llegaron a México; sin embargo, durante las últimas dos décadas y media parece que esta historia de éxito llegó a un agotamiento, en tanto que la evidencia estadística de producción total, para mercado interno y de exportación, unidades económicas,</w:t>
      </w:r>
    </w:p>
    <w:p>
      <w:pPr>
        <w:spacing w:after="0" w:line="278" w:lineRule="auto"/>
        <w:jc w:val="both"/>
        <w:sectPr>
          <w:footerReference w:type="default" r:id="rId19"/>
          <w:footerReference w:type="even" r:id="rId20"/>
          <w:pgSz w:w="9640" w:h="13040"/>
          <w:pgMar w:footer="654" w:header="0" w:top="0" w:bottom="840" w:left="1180" w:right="0"/>
          <w:pgNumType w:start="13"/>
        </w:sectPr>
      </w:pPr>
    </w:p>
    <w:p>
      <w:pPr>
        <w:pStyle w:val="BodyText"/>
        <w:rPr>
          <w:sz w:val="20"/>
        </w:rPr>
      </w:pPr>
    </w:p>
    <w:p>
      <w:pPr>
        <w:pStyle w:val="BodyText"/>
        <w:spacing w:before="6"/>
      </w:pPr>
    </w:p>
    <w:p>
      <w:pPr>
        <w:pStyle w:val="BodyText"/>
        <w:spacing w:line="278" w:lineRule="auto" w:before="58"/>
        <w:ind w:left="653" w:right="100"/>
        <w:jc w:val="both"/>
      </w:pPr>
      <w:r>
        <w:rPr>
          <w:color w:val="231F20"/>
          <w:w w:val="105"/>
        </w:rPr>
        <w:t>empleo</w:t>
      </w:r>
      <w:r>
        <w:rPr>
          <w:color w:val="231F20"/>
          <w:spacing w:val="-31"/>
          <w:w w:val="105"/>
        </w:rPr>
        <w:t> </w:t>
      </w:r>
      <w:r>
        <w:rPr>
          <w:color w:val="231F20"/>
          <w:w w:val="105"/>
        </w:rPr>
        <w:t>e</w:t>
      </w:r>
      <w:r>
        <w:rPr>
          <w:color w:val="231F20"/>
          <w:spacing w:val="-31"/>
          <w:w w:val="105"/>
        </w:rPr>
        <w:t> </w:t>
      </w:r>
      <w:r>
        <w:rPr>
          <w:color w:val="231F20"/>
          <w:w w:val="105"/>
        </w:rPr>
        <w:t>inversión</w:t>
      </w:r>
      <w:r>
        <w:rPr>
          <w:color w:val="231F20"/>
          <w:spacing w:val="-31"/>
          <w:w w:val="105"/>
        </w:rPr>
        <w:t> </w:t>
      </w:r>
      <w:r>
        <w:rPr>
          <w:color w:val="231F20"/>
          <w:w w:val="105"/>
        </w:rPr>
        <w:t>extranjera</w:t>
      </w:r>
      <w:r>
        <w:rPr>
          <w:color w:val="231F20"/>
          <w:spacing w:val="-31"/>
          <w:w w:val="105"/>
        </w:rPr>
        <w:t> </w:t>
      </w:r>
      <w:r>
        <w:rPr>
          <w:color w:val="231F20"/>
          <w:w w:val="105"/>
        </w:rPr>
        <w:t>directa</w:t>
      </w:r>
      <w:r>
        <w:rPr>
          <w:color w:val="231F20"/>
          <w:spacing w:val="-31"/>
          <w:w w:val="105"/>
        </w:rPr>
        <w:t> </w:t>
      </w:r>
      <w:r>
        <w:rPr>
          <w:color w:val="231F20"/>
          <w:w w:val="105"/>
        </w:rPr>
        <w:t>(IED),</w:t>
      </w:r>
      <w:r>
        <w:rPr>
          <w:color w:val="231F20"/>
          <w:spacing w:val="-31"/>
          <w:w w:val="105"/>
        </w:rPr>
        <w:t> </w:t>
      </w:r>
      <w:r>
        <w:rPr>
          <w:color w:val="231F20"/>
          <w:w w:val="105"/>
        </w:rPr>
        <w:t>muestra</w:t>
      </w:r>
      <w:r>
        <w:rPr>
          <w:color w:val="231F20"/>
          <w:spacing w:val="-31"/>
          <w:w w:val="105"/>
        </w:rPr>
        <w:t> </w:t>
      </w:r>
      <w:r>
        <w:rPr>
          <w:color w:val="231F20"/>
          <w:w w:val="105"/>
        </w:rPr>
        <w:t>con</w:t>
      </w:r>
      <w:r>
        <w:rPr>
          <w:color w:val="231F20"/>
          <w:spacing w:val="-31"/>
          <w:w w:val="105"/>
        </w:rPr>
        <w:t> </w:t>
      </w:r>
      <w:r>
        <w:rPr>
          <w:color w:val="231F20"/>
          <w:w w:val="105"/>
        </w:rPr>
        <w:t>claridad</w:t>
      </w:r>
      <w:r>
        <w:rPr>
          <w:color w:val="231F20"/>
          <w:spacing w:val="-31"/>
          <w:w w:val="105"/>
        </w:rPr>
        <w:t> </w:t>
      </w:r>
      <w:r>
        <w:rPr>
          <w:color w:val="231F20"/>
          <w:w w:val="105"/>
        </w:rPr>
        <w:t>que</w:t>
      </w:r>
      <w:r>
        <w:rPr>
          <w:color w:val="231F20"/>
          <w:spacing w:val="-31"/>
          <w:w w:val="105"/>
        </w:rPr>
        <w:t> </w:t>
      </w:r>
      <w:r>
        <w:rPr>
          <w:color w:val="231F20"/>
          <w:w w:val="105"/>
        </w:rPr>
        <w:t>en</w:t>
      </w:r>
      <w:r>
        <w:rPr>
          <w:color w:val="231F20"/>
          <w:spacing w:val="-31"/>
          <w:w w:val="105"/>
        </w:rPr>
        <w:t> </w:t>
      </w:r>
      <w:r>
        <w:rPr>
          <w:color w:val="231F20"/>
          <w:w w:val="105"/>
        </w:rPr>
        <w:t>ese</w:t>
      </w:r>
      <w:r>
        <w:rPr>
          <w:color w:val="231F20"/>
          <w:spacing w:val="-31"/>
          <w:w w:val="105"/>
        </w:rPr>
        <w:t> </w:t>
      </w:r>
      <w:r>
        <w:rPr>
          <w:color w:val="231F20"/>
          <w:w w:val="105"/>
        </w:rPr>
        <w:t>estado</w:t>
      </w:r>
      <w:r>
        <w:rPr>
          <w:color w:val="231F20"/>
          <w:spacing w:val="-31"/>
          <w:w w:val="105"/>
        </w:rPr>
        <w:t> </w:t>
      </w:r>
      <w:r>
        <w:rPr>
          <w:color w:val="231F20"/>
          <w:w w:val="105"/>
        </w:rPr>
        <w:t>el sector</w:t>
      </w:r>
      <w:r>
        <w:rPr>
          <w:color w:val="231F20"/>
          <w:spacing w:val="-24"/>
          <w:w w:val="105"/>
        </w:rPr>
        <w:t> </w:t>
      </w:r>
      <w:r>
        <w:rPr>
          <w:color w:val="231F20"/>
          <w:w w:val="105"/>
        </w:rPr>
        <w:t>automotriz,</w:t>
      </w:r>
      <w:r>
        <w:rPr>
          <w:color w:val="231F20"/>
          <w:spacing w:val="-24"/>
          <w:w w:val="105"/>
        </w:rPr>
        <w:t> </w:t>
      </w:r>
      <w:r>
        <w:rPr>
          <w:color w:val="231F20"/>
          <w:w w:val="105"/>
        </w:rPr>
        <w:t>comparado</w:t>
      </w:r>
      <w:r>
        <w:rPr>
          <w:color w:val="231F20"/>
          <w:spacing w:val="-24"/>
          <w:w w:val="105"/>
        </w:rPr>
        <w:t> </w:t>
      </w:r>
      <w:r>
        <w:rPr>
          <w:color w:val="231F20"/>
          <w:w w:val="105"/>
        </w:rPr>
        <w:t>con</w:t>
      </w:r>
      <w:r>
        <w:rPr>
          <w:color w:val="231F20"/>
          <w:spacing w:val="-24"/>
          <w:w w:val="105"/>
        </w:rPr>
        <w:t> </w:t>
      </w:r>
      <w:r>
        <w:rPr>
          <w:color w:val="231F20"/>
          <w:w w:val="105"/>
        </w:rPr>
        <w:t>otras</w:t>
      </w:r>
      <w:r>
        <w:rPr>
          <w:color w:val="231F20"/>
          <w:spacing w:val="-24"/>
          <w:w w:val="105"/>
        </w:rPr>
        <w:t> </w:t>
      </w:r>
      <w:r>
        <w:rPr>
          <w:color w:val="231F20"/>
          <w:w w:val="105"/>
        </w:rPr>
        <w:t>regiones</w:t>
      </w:r>
      <w:r>
        <w:rPr>
          <w:color w:val="231F20"/>
          <w:spacing w:val="-24"/>
          <w:w w:val="105"/>
        </w:rPr>
        <w:t> </w:t>
      </w:r>
      <w:r>
        <w:rPr>
          <w:color w:val="231F20"/>
          <w:w w:val="105"/>
        </w:rPr>
        <w:t>como</w:t>
      </w:r>
      <w:r>
        <w:rPr>
          <w:color w:val="231F20"/>
          <w:spacing w:val="-24"/>
          <w:w w:val="105"/>
        </w:rPr>
        <w:t> </w:t>
      </w:r>
      <w:r>
        <w:rPr>
          <w:color w:val="231F20"/>
          <w:w w:val="105"/>
        </w:rPr>
        <w:t>la</w:t>
      </w:r>
      <w:r>
        <w:rPr>
          <w:color w:val="231F20"/>
          <w:spacing w:val="-24"/>
          <w:w w:val="105"/>
        </w:rPr>
        <w:t> </w:t>
      </w:r>
      <w:r>
        <w:rPr>
          <w:color w:val="231F20"/>
          <w:w w:val="105"/>
        </w:rPr>
        <w:t>norte</w:t>
      </w:r>
      <w:r>
        <w:rPr>
          <w:color w:val="231F20"/>
          <w:spacing w:val="-24"/>
          <w:w w:val="105"/>
        </w:rPr>
        <w:t> </w:t>
      </w:r>
      <w:r>
        <w:rPr>
          <w:color w:val="231F20"/>
          <w:w w:val="105"/>
        </w:rPr>
        <w:t>y</w:t>
      </w:r>
      <w:r>
        <w:rPr>
          <w:color w:val="231F20"/>
          <w:spacing w:val="-24"/>
          <w:w w:val="105"/>
        </w:rPr>
        <w:t> </w:t>
      </w:r>
      <w:r>
        <w:rPr>
          <w:color w:val="231F20"/>
          <w:w w:val="105"/>
        </w:rPr>
        <w:t>centro-norte,</w:t>
      </w:r>
      <w:r>
        <w:rPr>
          <w:color w:val="231F20"/>
          <w:spacing w:val="-24"/>
          <w:w w:val="105"/>
        </w:rPr>
        <w:t> </w:t>
      </w:r>
      <w:r>
        <w:rPr>
          <w:color w:val="231F20"/>
          <w:w w:val="105"/>
        </w:rPr>
        <w:t>en</w:t>
      </w:r>
      <w:r>
        <w:rPr>
          <w:color w:val="231F20"/>
          <w:spacing w:val="-24"/>
          <w:w w:val="105"/>
        </w:rPr>
        <w:t> </w:t>
      </w:r>
      <w:r>
        <w:rPr>
          <w:color w:val="231F20"/>
          <w:w w:val="105"/>
        </w:rPr>
        <w:t>las que</w:t>
      </w:r>
      <w:r>
        <w:rPr>
          <w:color w:val="231F20"/>
          <w:spacing w:val="-20"/>
          <w:w w:val="105"/>
        </w:rPr>
        <w:t> </w:t>
      </w:r>
      <w:r>
        <w:rPr>
          <w:color w:val="231F20"/>
          <w:w w:val="105"/>
        </w:rPr>
        <w:t>se</w:t>
      </w:r>
      <w:r>
        <w:rPr>
          <w:color w:val="231F20"/>
          <w:spacing w:val="-20"/>
          <w:w w:val="105"/>
        </w:rPr>
        <w:t> </w:t>
      </w:r>
      <w:r>
        <w:rPr>
          <w:color w:val="231F20"/>
          <w:w w:val="105"/>
        </w:rPr>
        <w:t>encuentra</w:t>
      </w:r>
      <w:r>
        <w:rPr>
          <w:color w:val="231F20"/>
          <w:spacing w:val="-20"/>
          <w:w w:val="105"/>
        </w:rPr>
        <w:t> </w:t>
      </w:r>
      <w:r>
        <w:rPr>
          <w:color w:val="231F20"/>
          <w:w w:val="105"/>
        </w:rPr>
        <w:t>en</w:t>
      </w:r>
      <w:r>
        <w:rPr>
          <w:color w:val="231F20"/>
          <w:spacing w:val="-20"/>
          <w:w w:val="105"/>
        </w:rPr>
        <w:t> </w:t>
      </w:r>
      <w:r>
        <w:rPr>
          <w:color w:val="231F20"/>
          <w:w w:val="105"/>
        </w:rPr>
        <w:t>franco</w:t>
      </w:r>
      <w:r>
        <w:rPr>
          <w:color w:val="231F20"/>
          <w:spacing w:val="-20"/>
          <w:w w:val="105"/>
        </w:rPr>
        <w:t> </w:t>
      </w:r>
      <w:r>
        <w:rPr>
          <w:color w:val="231F20"/>
          <w:w w:val="105"/>
        </w:rPr>
        <w:t>crecimiento</w:t>
      </w:r>
      <w:r>
        <w:rPr>
          <w:color w:val="231F20"/>
          <w:spacing w:val="-20"/>
          <w:w w:val="105"/>
        </w:rPr>
        <w:t> </w:t>
      </w:r>
      <w:r>
        <w:rPr>
          <w:color w:val="231F20"/>
          <w:w w:val="105"/>
        </w:rPr>
        <w:t>desde</w:t>
      </w:r>
      <w:r>
        <w:rPr>
          <w:color w:val="231F20"/>
          <w:spacing w:val="-20"/>
          <w:w w:val="105"/>
        </w:rPr>
        <w:t> </w:t>
      </w:r>
      <w:r>
        <w:rPr>
          <w:color w:val="231F20"/>
          <w:w w:val="105"/>
        </w:rPr>
        <w:t>hace</w:t>
      </w:r>
      <w:r>
        <w:rPr>
          <w:color w:val="231F20"/>
          <w:spacing w:val="-20"/>
          <w:w w:val="105"/>
        </w:rPr>
        <w:t> </w:t>
      </w:r>
      <w:r>
        <w:rPr>
          <w:color w:val="231F20"/>
          <w:w w:val="105"/>
        </w:rPr>
        <w:t>ya</w:t>
      </w:r>
      <w:r>
        <w:rPr>
          <w:color w:val="231F20"/>
          <w:spacing w:val="-20"/>
          <w:w w:val="105"/>
        </w:rPr>
        <w:t> </w:t>
      </w:r>
      <w:r>
        <w:rPr>
          <w:color w:val="231F20"/>
          <w:w w:val="105"/>
        </w:rPr>
        <w:t>algunos</w:t>
      </w:r>
      <w:r>
        <w:rPr>
          <w:color w:val="231F20"/>
          <w:spacing w:val="-20"/>
          <w:w w:val="105"/>
        </w:rPr>
        <w:t> </w:t>
      </w:r>
      <w:r>
        <w:rPr>
          <w:color w:val="231F20"/>
          <w:w w:val="105"/>
        </w:rPr>
        <w:t>años,</w:t>
      </w:r>
      <w:r>
        <w:rPr>
          <w:color w:val="231F20"/>
          <w:spacing w:val="-20"/>
          <w:w w:val="105"/>
        </w:rPr>
        <w:t> </w:t>
      </w:r>
      <w:r>
        <w:rPr>
          <w:color w:val="231F20"/>
          <w:w w:val="105"/>
        </w:rPr>
        <w:t>ha</w:t>
      </w:r>
      <w:r>
        <w:rPr>
          <w:color w:val="231F20"/>
          <w:spacing w:val="-20"/>
          <w:w w:val="105"/>
        </w:rPr>
        <w:t> </w:t>
      </w:r>
      <w:r>
        <w:rPr>
          <w:color w:val="231F20"/>
          <w:w w:val="105"/>
        </w:rPr>
        <w:t>dejado</w:t>
      </w:r>
      <w:r>
        <w:rPr>
          <w:color w:val="231F20"/>
          <w:spacing w:val="-20"/>
          <w:w w:val="105"/>
        </w:rPr>
        <w:t> </w:t>
      </w:r>
      <w:r>
        <w:rPr>
          <w:color w:val="231F20"/>
          <w:w w:val="105"/>
        </w:rPr>
        <w:t>de</w:t>
      </w:r>
      <w:r>
        <w:rPr>
          <w:color w:val="231F20"/>
          <w:spacing w:val="-20"/>
          <w:w w:val="105"/>
        </w:rPr>
        <w:t> </w:t>
      </w:r>
      <w:r>
        <w:rPr>
          <w:color w:val="231F20"/>
          <w:w w:val="105"/>
        </w:rPr>
        <w:t>ser tan</w:t>
      </w:r>
      <w:r>
        <w:rPr>
          <w:color w:val="231F20"/>
          <w:spacing w:val="-30"/>
          <w:w w:val="105"/>
        </w:rPr>
        <w:t> </w:t>
      </w:r>
      <w:r>
        <w:rPr>
          <w:color w:val="231F20"/>
          <w:w w:val="105"/>
        </w:rPr>
        <w:t>dinámico</w:t>
      </w:r>
      <w:r>
        <w:rPr>
          <w:color w:val="231F20"/>
          <w:spacing w:val="-30"/>
          <w:w w:val="105"/>
        </w:rPr>
        <w:t> </w:t>
      </w:r>
      <w:r>
        <w:rPr>
          <w:color w:val="231F20"/>
          <w:w w:val="105"/>
        </w:rPr>
        <w:t>como</w:t>
      </w:r>
      <w:r>
        <w:rPr>
          <w:color w:val="231F20"/>
          <w:spacing w:val="-30"/>
          <w:w w:val="105"/>
        </w:rPr>
        <w:t> </w:t>
      </w:r>
      <w:r>
        <w:rPr>
          <w:color w:val="231F20"/>
          <w:w w:val="105"/>
        </w:rPr>
        <w:t>lo</w:t>
      </w:r>
      <w:r>
        <w:rPr>
          <w:color w:val="231F20"/>
          <w:spacing w:val="-30"/>
          <w:w w:val="105"/>
        </w:rPr>
        <w:t> </w:t>
      </w:r>
      <w:r>
        <w:rPr>
          <w:color w:val="231F20"/>
          <w:w w:val="105"/>
        </w:rPr>
        <w:t>fue</w:t>
      </w:r>
      <w:r>
        <w:rPr>
          <w:color w:val="231F20"/>
          <w:spacing w:val="-30"/>
          <w:w w:val="105"/>
        </w:rPr>
        <w:t> </w:t>
      </w:r>
      <w:r>
        <w:rPr>
          <w:color w:val="231F20"/>
          <w:w w:val="105"/>
        </w:rPr>
        <w:t>en</w:t>
      </w:r>
      <w:r>
        <w:rPr>
          <w:color w:val="231F20"/>
          <w:spacing w:val="-30"/>
          <w:w w:val="105"/>
        </w:rPr>
        <w:t> </w:t>
      </w:r>
      <w:r>
        <w:rPr>
          <w:color w:val="231F20"/>
          <w:w w:val="105"/>
        </w:rPr>
        <w:t>décadas</w:t>
      </w:r>
      <w:r>
        <w:rPr>
          <w:color w:val="231F20"/>
          <w:spacing w:val="-30"/>
          <w:w w:val="105"/>
        </w:rPr>
        <w:t> </w:t>
      </w:r>
      <w:r>
        <w:rPr>
          <w:color w:val="231F20"/>
          <w:w w:val="105"/>
        </w:rPr>
        <w:t>pasadas.</w:t>
      </w:r>
    </w:p>
    <w:p>
      <w:pPr>
        <w:pStyle w:val="BodyText"/>
        <w:spacing w:line="278" w:lineRule="auto" w:before="1"/>
        <w:ind w:left="653" w:right="101" w:firstLine="396"/>
        <w:jc w:val="right"/>
      </w:pPr>
      <w:r>
        <w:rPr>
          <w:color w:val="231F20"/>
        </w:rPr>
        <w:t>El comportamiento de las variables deja ver que el sector localizado en</w:t>
      </w:r>
      <w:r>
        <w:rPr>
          <w:color w:val="231F20"/>
          <w:spacing w:val="-8"/>
        </w:rPr>
        <w:t> </w:t>
      </w:r>
      <w:r>
        <w:rPr>
          <w:color w:val="231F20"/>
        </w:rPr>
        <w:t>el</w:t>
      </w:r>
      <w:r>
        <w:rPr>
          <w:color w:val="231F20"/>
          <w:spacing w:val="-1"/>
        </w:rPr>
        <w:t> </w:t>
      </w:r>
      <w:r>
        <w:rPr>
          <w:color w:val="231F20"/>
        </w:rPr>
        <w:t>Estado</w:t>
      </w:r>
      <w:r>
        <w:rPr>
          <w:color w:val="231F20"/>
          <w:w w:val="102"/>
        </w:rPr>
        <w:t> </w:t>
      </w:r>
      <w:r>
        <w:rPr>
          <w:color w:val="231F20"/>
        </w:rPr>
        <w:t>de México prácticamente dejó de crecer en los años posteriores a 1985; y</w:t>
      </w:r>
      <w:r>
        <w:rPr>
          <w:color w:val="231F20"/>
          <w:spacing w:val="7"/>
        </w:rPr>
        <w:t> </w:t>
      </w:r>
      <w:r>
        <w:rPr>
          <w:color w:val="231F20"/>
        </w:rPr>
        <w:t>de</w:t>
      </w:r>
      <w:r>
        <w:rPr>
          <w:color w:val="231F20"/>
          <w:spacing w:val="8"/>
        </w:rPr>
        <w:t> </w:t>
      </w:r>
      <w:r>
        <w:rPr>
          <w:color w:val="231F20"/>
        </w:rPr>
        <w:t>manera</w:t>
      </w:r>
      <w:r>
        <w:rPr>
          <w:color w:val="231F20"/>
          <w:w w:val="101"/>
        </w:rPr>
        <w:t> </w:t>
      </w:r>
      <w:r>
        <w:rPr>
          <w:color w:val="231F20"/>
        </w:rPr>
        <w:t>más</w:t>
      </w:r>
      <w:r>
        <w:rPr>
          <w:color w:val="231F20"/>
          <w:spacing w:val="-5"/>
        </w:rPr>
        <w:t> </w:t>
      </w:r>
      <w:r>
        <w:rPr>
          <w:color w:val="231F20"/>
        </w:rPr>
        <w:t>pronunciada,</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1994,</w:t>
      </w:r>
      <w:r>
        <w:rPr>
          <w:color w:val="231F20"/>
          <w:spacing w:val="-5"/>
        </w:rPr>
        <w:t> </w:t>
      </w:r>
      <w:r>
        <w:rPr>
          <w:color w:val="231F20"/>
        </w:rPr>
        <w:t>es</w:t>
      </w:r>
      <w:r>
        <w:rPr>
          <w:color w:val="231F20"/>
          <w:spacing w:val="-5"/>
        </w:rPr>
        <w:t> </w:t>
      </w:r>
      <w:r>
        <w:rPr>
          <w:color w:val="231F20"/>
          <w:spacing w:val="-3"/>
        </w:rPr>
        <w:t>decir,</w:t>
      </w:r>
      <w:r>
        <w:rPr>
          <w:color w:val="231F20"/>
          <w:spacing w:val="-5"/>
        </w:rPr>
        <w:t> </w:t>
      </w:r>
      <w:r>
        <w:rPr>
          <w:color w:val="231F20"/>
        </w:rPr>
        <w:t>después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puesta</w:t>
      </w:r>
      <w:r>
        <w:rPr>
          <w:color w:val="231F20"/>
          <w:spacing w:val="-5"/>
        </w:rPr>
        <w:t> </w:t>
      </w:r>
      <w:r>
        <w:rPr>
          <w:color w:val="231F20"/>
        </w:rPr>
        <w:t>en</w:t>
      </w:r>
      <w:r>
        <w:rPr>
          <w:color w:val="231F20"/>
          <w:spacing w:val="-5"/>
        </w:rPr>
        <w:t> </w:t>
      </w:r>
      <w:r>
        <w:rPr>
          <w:color w:val="231F20"/>
        </w:rPr>
        <w:t>marcha</w:t>
      </w:r>
      <w:r>
        <w:rPr>
          <w:color w:val="231F20"/>
          <w:spacing w:val="-5"/>
        </w:rPr>
        <w:t> </w:t>
      </w:r>
      <w:r>
        <w:rPr>
          <w:color w:val="231F20"/>
        </w:rPr>
        <w:t>del</w:t>
      </w:r>
      <w:r>
        <w:rPr>
          <w:color w:val="231F20"/>
          <w:spacing w:val="-5"/>
        </w:rPr>
        <w:t> </w:t>
      </w:r>
      <w:r>
        <w:rPr>
          <w:color w:val="231F20"/>
          <w:spacing w:val="-4"/>
        </w:rPr>
        <w:t>Trata-</w:t>
      </w:r>
      <w:r>
        <w:rPr>
          <w:color w:val="231F20"/>
          <w:w w:val="106"/>
        </w:rPr>
        <w:t> </w:t>
      </w:r>
      <w:r>
        <w:rPr>
          <w:color w:val="231F20"/>
        </w:rPr>
        <w:t>do</w:t>
      </w:r>
      <w:r>
        <w:rPr>
          <w:color w:val="231F20"/>
          <w:spacing w:val="-11"/>
        </w:rPr>
        <w:t> </w:t>
      </w:r>
      <w:r>
        <w:rPr>
          <w:color w:val="231F20"/>
        </w:rPr>
        <w:t>de</w:t>
      </w:r>
      <w:r>
        <w:rPr>
          <w:color w:val="231F20"/>
          <w:spacing w:val="-11"/>
        </w:rPr>
        <w:t> </w:t>
      </w:r>
      <w:r>
        <w:rPr>
          <w:color w:val="231F20"/>
        </w:rPr>
        <w:t>Libre</w:t>
      </w:r>
      <w:r>
        <w:rPr>
          <w:color w:val="231F20"/>
          <w:spacing w:val="-11"/>
        </w:rPr>
        <w:t> </w:t>
      </w:r>
      <w:r>
        <w:rPr>
          <w:color w:val="231F20"/>
        </w:rPr>
        <w:t>Comercio</w:t>
      </w:r>
      <w:r>
        <w:rPr>
          <w:color w:val="231F20"/>
          <w:spacing w:val="-11"/>
        </w:rPr>
        <w:t> </w:t>
      </w:r>
      <w:r>
        <w:rPr>
          <w:color w:val="231F20"/>
        </w:rPr>
        <w:t>de</w:t>
      </w:r>
      <w:r>
        <w:rPr>
          <w:color w:val="231F20"/>
          <w:spacing w:val="-11"/>
        </w:rPr>
        <w:t> </w:t>
      </w:r>
      <w:r>
        <w:rPr>
          <w:color w:val="231F20"/>
        </w:rPr>
        <w:t>América</w:t>
      </w:r>
      <w:r>
        <w:rPr>
          <w:color w:val="231F20"/>
          <w:spacing w:val="-11"/>
        </w:rPr>
        <w:t> </w:t>
      </w:r>
      <w:r>
        <w:rPr>
          <w:color w:val="231F20"/>
        </w:rPr>
        <w:t>del</w:t>
      </w:r>
      <w:r>
        <w:rPr>
          <w:color w:val="231F20"/>
          <w:spacing w:val="-11"/>
        </w:rPr>
        <w:t> </w:t>
      </w:r>
      <w:r>
        <w:rPr>
          <w:color w:val="231F20"/>
        </w:rPr>
        <w:t>Norte</w:t>
      </w:r>
      <w:r>
        <w:rPr>
          <w:color w:val="231F20"/>
          <w:spacing w:val="-11"/>
        </w:rPr>
        <w:t> </w:t>
      </w:r>
      <w:r>
        <w:rPr>
          <w:color w:val="231F20"/>
        </w:rPr>
        <w:t>(TLCAN).</w:t>
      </w:r>
      <w:r>
        <w:rPr>
          <w:color w:val="231F20"/>
          <w:spacing w:val="-11"/>
        </w:rPr>
        <w:t> </w:t>
      </w:r>
      <w:r>
        <w:rPr>
          <w:color w:val="231F20"/>
        </w:rPr>
        <w:t>Con</w:t>
      </w:r>
      <w:r>
        <w:rPr>
          <w:color w:val="231F20"/>
          <w:spacing w:val="-11"/>
        </w:rPr>
        <w:t> </w:t>
      </w:r>
      <w:r>
        <w:rPr>
          <w:color w:val="231F20"/>
        </w:rPr>
        <w:t>el</w:t>
      </w:r>
      <w:r>
        <w:rPr>
          <w:color w:val="231F20"/>
          <w:spacing w:val="-11"/>
        </w:rPr>
        <w:t> </w:t>
      </w:r>
      <w:r>
        <w:rPr>
          <w:color w:val="231F20"/>
        </w:rPr>
        <w:t>inicio</w:t>
      </w:r>
      <w:r>
        <w:rPr>
          <w:color w:val="231F20"/>
          <w:spacing w:val="-11"/>
        </w:rPr>
        <w:t> </w:t>
      </w:r>
      <w:r>
        <w:rPr>
          <w:color w:val="231F20"/>
        </w:rPr>
        <w:t>del</w:t>
      </w:r>
      <w:r>
        <w:rPr>
          <w:color w:val="231F20"/>
          <w:spacing w:val="-11"/>
        </w:rPr>
        <w:t> </w:t>
      </w:r>
      <w:r>
        <w:rPr>
          <w:color w:val="231F20"/>
        </w:rPr>
        <w:t>TLCAN,</w:t>
      </w:r>
      <w:r>
        <w:rPr>
          <w:color w:val="231F20"/>
          <w:spacing w:val="-11"/>
        </w:rPr>
        <w:t> </w:t>
      </w:r>
      <w:r>
        <w:rPr>
          <w:color w:val="231F20"/>
        </w:rPr>
        <w:t>todo</w:t>
      </w:r>
      <w:r>
        <w:rPr>
          <w:color w:val="231F20"/>
          <w:w w:val="103"/>
        </w:rPr>
        <w:t> </w:t>
      </w:r>
      <w:r>
        <w:rPr>
          <w:color w:val="231F20"/>
        </w:rPr>
        <w:t>indica que se apuntalaron las bases para la reubicación de complejos</w:t>
      </w:r>
      <w:r>
        <w:rPr>
          <w:color w:val="231F20"/>
          <w:spacing w:val="38"/>
        </w:rPr>
        <w:t> </w:t>
      </w:r>
      <w:r>
        <w:rPr>
          <w:color w:val="231F20"/>
        </w:rPr>
        <w:t>automotrices</w:t>
      </w:r>
      <w:r>
        <w:rPr>
          <w:color w:val="231F20"/>
          <w:spacing w:val="3"/>
        </w:rPr>
        <w:t> </w:t>
      </w:r>
      <w:r>
        <w:rPr>
          <w:color w:val="231F20"/>
        </w:rPr>
        <w:t>en</w:t>
      </w:r>
      <w:r>
        <w:rPr>
          <w:color w:val="231F20"/>
          <w:w w:val="102"/>
        </w:rPr>
        <w:t> </w:t>
      </w:r>
      <w:r>
        <w:rPr>
          <w:color w:val="231F20"/>
        </w:rPr>
        <w:t>zonas</w:t>
      </w:r>
      <w:r>
        <w:rPr>
          <w:color w:val="231F20"/>
          <w:spacing w:val="-6"/>
        </w:rPr>
        <w:t> </w:t>
      </w:r>
      <w:r>
        <w:rPr>
          <w:color w:val="231F20"/>
        </w:rPr>
        <w:t>distintas</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tradicionales,</w:t>
      </w:r>
      <w:r>
        <w:rPr>
          <w:color w:val="231F20"/>
          <w:spacing w:val="-6"/>
        </w:rPr>
        <w:t> </w:t>
      </w:r>
      <w:r>
        <w:rPr>
          <w:color w:val="231F20"/>
        </w:rPr>
        <w:t>especialmente</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región</w:t>
      </w:r>
      <w:r>
        <w:rPr>
          <w:color w:val="231F20"/>
          <w:spacing w:val="-6"/>
        </w:rPr>
        <w:t> </w:t>
      </w:r>
      <w:r>
        <w:rPr>
          <w:color w:val="231F20"/>
        </w:rPr>
        <w:t>centro,</w:t>
      </w:r>
      <w:r>
        <w:rPr>
          <w:color w:val="231F20"/>
          <w:spacing w:val="-6"/>
        </w:rPr>
        <w:t> </w:t>
      </w:r>
      <w:r>
        <w:rPr>
          <w:color w:val="231F20"/>
        </w:rPr>
        <w:t>y</w:t>
      </w:r>
      <w:r>
        <w:rPr>
          <w:color w:val="231F20"/>
          <w:spacing w:val="-6"/>
        </w:rPr>
        <w:t> </w:t>
      </w:r>
      <w:r>
        <w:rPr>
          <w:color w:val="231F20"/>
        </w:rPr>
        <w:t>que</w:t>
      </w:r>
      <w:r>
        <w:rPr>
          <w:color w:val="231F20"/>
          <w:spacing w:val="-6"/>
        </w:rPr>
        <w:t> </w:t>
      </w:r>
      <w:r>
        <w:rPr>
          <w:color w:val="231F20"/>
        </w:rPr>
        <w:t>así</w:t>
      </w:r>
      <w:r>
        <w:rPr>
          <w:color w:val="231F20"/>
          <w:spacing w:val="-6"/>
        </w:rPr>
        <w:t> </w:t>
      </w:r>
      <w:r>
        <w:rPr>
          <w:color w:val="231F20"/>
        </w:rPr>
        <w:t>cobra-</w:t>
      </w:r>
      <w:r>
        <w:rPr>
          <w:color w:val="231F20"/>
          <w:w w:val="106"/>
        </w:rPr>
        <w:t> </w:t>
      </w:r>
      <w:r>
        <w:rPr>
          <w:color w:val="231F20"/>
        </w:rPr>
        <w:t>ron</w:t>
      </w:r>
      <w:r>
        <w:rPr>
          <w:color w:val="231F20"/>
          <w:spacing w:val="-7"/>
        </w:rPr>
        <w:t> </w:t>
      </w:r>
      <w:r>
        <w:rPr>
          <w:color w:val="231F20"/>
        </w:rPr>
        <w:t>gran</w:t>
      </w:r>
      <w:r>
        <w:rPr>
          <w:color w:val="231F20"/>
          <w:spacing w:val="-7"/>
        </w:rPr>
        <w:t> </w:t>
      </w:r>
      <w:r>
        <w:rPr>
          <w:color w:val="231F20"/>
        </w:rPr>
        <w:t>importancia</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rPr>
        <w:t>los</w:t>
      </w:r>
      <w:r>
        <w:rPr>
          <w:color w:val="231F20"/>
          <w:spacing w:val="-7"/>
        </w:rPr>
        <w:t> </w:t>
      </w:r>
      <w:r>
        <w:rPr>
          <w:color w:val="231F20"/>
        </w:rPr>
        <w:t>estados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zona</w:t>
      </w:r>
      <w:r>
        <w:rPr>
          <w:color w:val="231F20"/>
          <w:spacing w:val="-7"/>
        </w:rPr>
        <w:t> </w:t>
      </w:r>
      <w:r>
        <w:rPr>
          <w:color w:val="231F20"/>
        </w:rPr>
        <w:t>norte</w:t>
      </w:r>
      <w:r>
        <w:rPr>
          <w:color w:val="231F20"/>
          <w:spacing w:val="-7"/>
        </w:rPr>
        <w:t> </w:t>
      </w:r>
      <w:r>
        <w:rPr>
          <w:color w:val="231F20"/>
        </w:rPr>
        <w:t>y</w:t>
      </w:r>
      <w:r>
        <w:rPr>
          <w:color w:val="231F20"/>
          <w:spacing w:val="-7"/>
        </w:rPr>
        <w:t> </w:t>
      </w:r>
      <w:r>
        <w:rPr>
          <w:color w:val="231F20"/>
        </w:rPr>
        <w:t>centro-norte</w:t>
      </w:r>
      <w:r>
        <w:rPr>
          <w:color w:val="231F20"/>
          <w:spacing w:val="-7"/>
        </w:rPr>
        <w:t> </w:t>
      </w:r>
      <w:r>
        <w:rPr>
          <w:color w:val="231F20"/>
        </w:rPr>
        <w:t>del</w:t>
      </w:r>
      <w:r>
        <w:rPr>
          <w:color w:val="231F20"/>
          <w:spacing w:val="-7"/>
        </w:rPr>
        <w:t> </w:t>
      </w:r>
      <w:r>
        <w:rPr>
          <w:color w:val="231F20"/>
        </w:rPr>
        <w:t>país.</w:t>
      </w:r>
    </w:p>
    <w:p>
      <w:pPr>
        <w:pStyle w:val="BodyText"/>
        <w:spacing w:line="278" w:lineRule="auto" w:before="1"/>
        <w:ind w:left="653" w:right="99" w:firstLine="396"/>
        <w:jc w:val="both"/>
      </w:pPr>
      <w:r>
        <w:rPr>
          <w:color w:val="231F20"/>
        </w:rPr>
        <w:t>Una </w:t>
      </w:r>
      <w:r>
        <w:rPr>
          <w:color w:val="231F20"/>
          <w:spacing w:val="2"/>
        </w:rPr>
        <w:t>particularidad </w:t>
      </w:r>
      <w:r>
        <w:rPr>
          <w:color w:val="231F20"/>
        </w:rPr>
        <w:t>de estas entidades  es  que  presentan  importantes  ventajas de localización, entre ellas: bajos costos de producción, incluyendo salarios; escasa tradición sindical; abundancia de mano de obra barata; reducidos costos unitarios; estabilidad política y laboral; y proximidad a la frontera con Estados Unidos </w:t>
      </w:r>
      <w:r>
        <w:rPr>
          <w:color w:val="231F20"/>
          <w:spacing w:val="2"/>
        </w:rPr>
        <w:t>(Carrillo </w:t>
      </w:r>
      <w:r>
        <w:rPr>
          <w:color w:val="231F20"/>
        </w:rPr>
        <w:t>y Ramírez, 1997), que es el principal mercado consumidor y proveedor del sector, lo que implica menores costos y tiempos de traslado de los productos terminados y de  la proveeduría de partes. Además, hay que tener en cuenta las ventajas que significan los ofrecimientos de los gobiernos municipales y que tienen que ver con la exención de impuestos, la capacitación de la mano de obra y la reducción del tiempo para rea- lizar  trámites</w:t>
      </w:r>
      <w:r>
        <w:rPr>
          <w:color w:val="231F20"/>
          <w:spacing w:val="10"/>
        </w:rPr>
        <w:t> </w:t>
      </w:r>
      <w:r>
        <w:rPr>
          <w:color w:val="231F20"/>
        </w:rPr>
        <w:t>administrativos.</w:t>
      </w:r>
    </w:p>
    <w:p>
      <w:pPr>
        <w:pStyle w:val="BodyText"/>
        <w:spacing w:line="278" w:lineRule="auto" w:before="1"/>
        <w:ind w:left="653" w:right="100" w:firstLine="396"/>
        <w:jc w:val="both"/>
      </w:pPr>
      <w:r>
        <w:rPr>
          <w:color w:val="231F20"/>
          <w:spacing w:val="-3"/>
        </w:rPr>
        <w:t>Por </w:t>
      </w:r>
      <w:r>
        <w:rPr>
          <w:color w:val="231F20"/>
        </w:rPr>
        <w:t>otro lado, aun cuando las empresas establecidas en los estados del norte del país</w:t>
      </w:r>
      <w:r>
        <w:rPr>
          <w:color w:val="231F20"/>
          <w:spacing w:val="-5"/>
        </w:rPr>
        <w:t> </w:t>
      </w:r>
      <w:r>
        <w:rPr>
          <w:color w:val="231F20"/>
        </w:rPr>
        <w:t>son</w:t>
      </w:r>
      <w:r>
        <w:rPr>
          <w:color w:val="231F20"/>
          <w:spacing w:val="-5"/>
        </w:rPr>
        <w:t> </w:t>
      </w:r>
      <w:r>
        <w:rPr>
          <w:color w:val="231F20"/>
        </w:rPr>
        <w:t>las</w:t>
      </w:r>
      <w:r>
        <w:rPr>
          <w:color w:val="231F20"/>
          <w:spacing w:val="-5"/>
        </w:rPr>
        <w:t> </w:t>
      </w:r>
      <w:r>
        <w:rPr>
          <w:color w:val="231F20"/>
        </w:rPr>
        <w:t>mismas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localizan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las</w:t>
      </w:r>
      <w:r>
        <w:rPr>
          <w:color w:val="231F20"/>
          <w:spacing w:val="-5"/>
        </w:rPr>
        <w:t> </w:t>
      </w:r>
      <w:r>
        <w:rPr>
          <w:color w:val="231F20"/>
        </w:rPr>
        <w:t>plantas</w:t>
      </w:r>
      <w:r>
        <w:rPr>
          <w:color w:val="231F20"/>
          <w:spacing w:val="-5"/>
        </w:rPr>
        <w:t> </w:t>
      </w:r>
      <w:r>
        <w:rPr>
          <w:color w:val="231F20"/>
        </w:rPr>
        <w:t>del</w:t>
      </w:r>
      <w:r>
        <w:rPr>
          <w:color w:val="231F20"/>
          <w:spacing w:val="-5"/>
        </w:rPr>
        <w:t> </w:t>
      </w:r>
      <w:r>
        <w:rPr>
          <w:color w:val="231F20"/>
        </w:rPr>
        <w:t>norte</w:t>
      </w:r>
      <w:r>
        <w:rPr>
          <w:color w:val="231F20"/>
          <w:spacing w:val="-5"/>
        </w:rPr>
        <w:t> </w:t>
      </w:r>
      <w:r>
        <w:rPr>
          <w:color w:val="231F20"/>
        </w:rPr>
        <w:t>pre- sentan condiciones laborales y tecnológicas diferentes a las del centro. Estas nuevas plantas contrastan considerablemente con las viejas armadoras de los años sesenta ubicadas en la zona centro del país; en aquéllas, la transferencia de tecnología ha ju- gado</w:t>
      </w:r>
      <w:r>
        <w:rPr>
          <w:color w:val="231F20"/>
          <w:spacing w:val="-7"/>
        </w:rPr>
        <w:t> </w:t>
      </w:r>
      <w:r>
        <w:rPr>
          <w:color w:val="231F20"/>
        </w:rPr>
        <w:t>un</w:t>
      </w:r>
      <w:r>
        <w:rPr>
          <w:color w:val="231F20"/>
          <w:spacing w:val="-7"/>
        </w:rPr>
        <w:t> </w:t>
      </w:r>
      <w:r>
        <w:rPr>
          <w:color w:val="231F20"/>
        </w:rPr>
        <w:t>papel</w:t>
      </w:r>
      <w:r>
        <w:rPr>
          <w:color w:val="231F20"/>
          <w:spacing w:val="-7"/>
        </w:rPr>
        <w:t> </w:t>
      </w:r>
      <w:r>
        <w:rPr>
          <w:color w:val="231F20"/>
        </w:rPr>
        <w:t>muy</w:t>
      </w:r>
      <w:r>
        <w:rPr>
          <w:color w:val="231F20"/>
          <w:spacing w:val="-7"/>
        </w:rPr>
        <w:t> </w:t>
      </w:r>
      <w:r>
        <w:rPr>
          <w:color w:val="231F20"/>
        </w:rPr>
        <w:t>relevante,</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refleja</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equipo,</w:t>
      </w:r>
      <w:r>
        <w:rPr>
          <w:color w:val="231F20"/>
          <w:spacing w:val="-7"/>
        </w:rPr>
        <w:t> </w:t>
      </w:r>
      <w:r>
        <w:rPr>
          <w:color w:val="231F20"/>
        </w:rPr>
        <w:t>la</w:t>
      </w:r>
      <w:r>
        <w:rPr>
          <w:color w:val="231F20"/>
          <w:spacing w:val="-7"/>
        </w:rPr>
        <w:t> </w:t>
      </w:r>
      <w:r>
        <w:rPr>
          <w:color w:val="231F20"/>
        </w:rPr>
        <w:t>maquinaria</w:t>
      </w:r>
      <w:r>
        <w:rPr>
          <w:color w:val="231F20"/>
          <w:spacing w:val="-7"/>
        </w:rPr>
        <w:t> </w:t>
      </w:r>
      <w:r>
        <w:rPr>
          <w:color w:val="231F20"/>
        </w:rPr>
        <w:t>y</w:t>
      </w:r>
      <w:r>
        <w:rPr>
          <w:color w:val="231F20"/>
          <w:spacing w:val="-7"/>
        </w:rPr>
        <w:t> </w:t>
      </w:r>
      <w:r>
        <w:rPr>
          <w:color w:val="231F20"/>
        </w:rPr>
        <w:t>las</w:t>
      </w:r>
      <w:r>
        <w:rPr>
          <w:color w:val="231F20"/>
          <w:spacing w:val="-7"/>
        </w:rPr>
        <w:t> </w:t>
      </w:r>
      <w:r>
        <w:rPr>
          <w:color w:val="231F20"/>
        </w:rPr>
        <w:t>nuevas condiciones de trabajo (Moreno Brid, 1996). Es decir, dichas plantas cuentan con tec- nología de punta y estándares mundiales en sus prácticas y procesos productivos. En adición, se encuentran otros factores que evidentemente han contribuido a la pérdida de dinamismo del sector en el Estado de México, como el agotamiento de procesos productivos en la</w:t>
      </w:r>
      <w:r>
        <w:rPr>
          <w:color w:val="231F20"/>
          <w:spacing w:val="26"/>
        </w:rPr>
        <w:t> </w:t>
      </w:r>
      <w:r>
        <w:rPr>
          <w:color w:val="231F20"/>
        </w:rPr>
        <w:t>entidad.</w:t>
      </w:r>
    </w:p>
    <w:p>
      <w:pPr>
        <w:pStyle w:val="BodyText"/>
        <w:spacing w:line="278" w:lineRule="auto" w:before="1"/>
        <w:ind w:left="653" w:right="101" w:firstLine="396"/>
        <w:jc w:val="both"/>
      </w:pPr>
      <w:r>
        <w:rPr>
          <w:color w:val="231F20"/>
        </w:rPr>
        <w:t>El</w:t>
      </w:r>
      <w:r>
        <w:rPr>
          <w:color w:val="231F20"/>
          <w:spacing w:val="-12"/>
        </w:rPr>
        <w:t> </w:t>
      </w:r>
      <w:r>
        <w:rPr>
          <w:color w:val="231F20"/>
        </w:rPr>
        <w:t>objetivo</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obra</w:t>
      </w:r>
      <w:r>
        <w:rPr>
          <w:color w:val="231F20"/>
          <w:spacing w:val="-12"/>
        </w:rPr>
        <w:t> </w:t>
      </w:r>
      <w:r>
        <w:rPr>
          <w:color w:val="231F20"/>
        </w:rPr>
        <w:t>es</w:t>
      </w:r>
      <w:r>
        <w:rPr>
          <w:color w:val="231F20"/>
          <w:spacing w:val="-12"/>
        </w:rPr>
        <w:t> </w:t>
      </w:r>
      <w:r>
        <w:rPr>
          <w:color w:val="231F20"/>
        </w:rPr>
        <w:t>justamente</w:t>
      </w:r>
      <w:r>
        <w:rPr>
          <w:color w:val="231F20"/>
          <w:spacing w:val="-12"/>
        </w:rPr>
        <w:t> </w:t>
      </w:r>
      <w:r>
        <w:rPr>
          <w:color w:val="231F20"/>
        </w:rPr>
        <w:t>presentar</w:t>
      </w:r>
      <w:r>
        <w:rPr>
          <w:color w:val="231F20"/>
          <w:spacing w:val="-12"/>
        </w:rPr>
        <w:t> </w:t>
      </w:r>
      <w:r>
        <w:rPr>
          <w:color w:val="231F20"/>
        </w:rPr>
        <w:t>al</w:t>
      </w:r>
      <w:r>
        <w:rPr>
          <w:color w:val="231F20"/>
          <w:spacing w:val="-12"/>
        </w:rPr>
        <w:t> </w:t>
      </w:r>
      <w:r>
        <w:rPr>
          <w:color w:val="231F20"/>
        </w:rPr>
        <w:t>lector</w:t>
      </w:r>
      <w:r>
        <w:rPr>
          <w:color w:val="231F20"/>
          <w:spacing w:val="-12"/>
        </w:rPr>
        <w:t> </w:t>
      </w:r>
      <w:r>
        <w:rPr>
          <w:color w:val="231F20"/>
        </w:rPr>
        <w:t>el</w:t>
      </w:r>
      <w:r>
        <w:rPr>
          <w:color w:val="231F20"/>
          <w:spacing w:val="-12"/>
        </w:rPr>
        <w:t> </w:t>
      </w:r>
      <w:r>
        <w:rPr>
          <w:color w:val="231F20"/>
        </w:rPr>
        <w:t>contexto</w:t>
      </w:r>
      <w:r>
        <w:rPr>
          <w:color w:val="231F20"/>
          <w:spacing w:val="-12"/>
        </w:rPr>
        <w:t> </w:t>
      </w:r>
      <w:r>
        <w:rPr>
          <w:color w:val="231F20"/>
        </w:rPr>
        <w:t>bajo</w:t>
      </w:r>
      <w:r>
        <w:rPr>
          <w:color w:val="231F20"/>
          <w:spacing w:val="-12"/>
        </w:rPr>
        <w:t> </w:t>
      </w:r>
      <w:r>
        <w:rPr>
          <w:color w:val="231F20"/>
        </w:rPr>
        <w:t>el</w:t>
      </w:r>
      <w:r>
        <w:rPr>
          <w:color w:val="231F20"/>
          <w:spacing w:val="-12"/>
        </w:rPr>
        <w:t> </w:t>
      </w:r>
      <w:r>
        <w:rPr>
          <w:color w:val="231F20"/>
        </w:rPr>
        <w:t>cual</w:t>
      </w:r>
      <w:r>
        <w:rPr>
          <w:color w:val="231F20"/>
          <w:spacing w:val="-12"/>
        </w:rPr>
        <w:t> </w:t>
      </w:r>
      <w:r>
        <w:rPr>
          <w:color w:val="231F20"/>
        </w:rPr>
        <w:t>se ha desarrollado el sector automotriz en México y en el Estado de México durante las últimas</w:t>
      </w:r>
      <w:r>
        <w:rPr>
          <w:color w:val="231F20"/>
          <w:spacing w:val="-10"/>
        </w:rPr>
        <w:t> </w:t>
      </w:r>
      <w:r>
        <w:rPr>
          <w:color w:val="231F20"/>
        </w:rPr>
        <w:t>décadas,</w:t>
      </w:r>
      <w:r>
        <w:rPr>
          <w:color w:val="231F20"/>
          <w:spacing w:val="-10"/>
        </w:rPr>
        <w:t> </w:t>
      </w:r>
      <w:r>
        <w:rPr>
          <w:color w:val="231F20"/>
        </w:rPr>
        <w:t>de</w:t>
      </w:r>
      <w:r>
        <w:rPr>
          <w:color w:val="231F20"/>
          <w:spacing w:val="-10"/>
        </w:rPr>
        <w:t> </w:t>
      </w:r>
      <w:r>
        <w:rPr>
          <w:color w:val="231F20"/>
        </w:rPr>
        <w:t>tal</w:t>
      </w:r>
      <w:r>
        <w:rPr>
          <w:color w:val="231F20"/>
          <w:spacing w:val="-10"/>
        </w:rPr>
        <w:t> </w:t>
      </w:r>
      <w:r>
        <w:rPr>
          <w:color w:val="231F20"/>
        </w:rPr>
        <w:t>forma</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aprecie</w:t>
      </w:r>
      <w:r>
        <w:rPr>
          <w:color w:val="231F20"/>
          <w:spacing w:val="-10"/>
        </w:rPr>
        <w:t> </w:t>
      </w:r>
      <w:r>
        <w:rPr>
          <w:color w:val="231F20"/>
        </w:rPr>
        <w:t>la</w:t>
      </w:r>
      <w:r>
        <w:rPr>
          <w:color w:val="231F20"/>
          <w:spacing w:val="-10"/>
        </w:rPr>
        <w:t> </w:t>
      </w:r>
      <w:r>
        <w:rPr>
          <w:color w:val="231F20"/>
        </w:rPr>
        <w:t>importancia,</w:t>
      </w:r>
      <w:r>
        <w:rPr>
          <w:color w:val="231F20"/>
          <w:spacing w:val="-10"/>
        </w:rPr>
        <w:t> </w:t>
      </w:r>
      <w:r>
        <w:rPr>
          <w:color w:val="231F20"/>
        </w:rPr>
        <w:t>la</w:t>
      </w:r>
      <w:r>
        <w:rPr>
          <w:color w:val="231F20"/>
          <w:spacing w:val="-10"/>
        </w:rPr>
        <w:t> </w:t>
      </w:r>
      <w:r>
        <w:rPr>
          <w:color w:val="231F20"/>
        </w:rPr>
        <w:t>evolución</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desempe- ño que ha tenido tanto a nivel nacional como en la entidad durante los últimos años,  y de manera particular la evidente disminución en el ritmo de crecimiento del  </w:t>
      </w:r>
      <w:r>
        <w:rPr>
          <w:color w:val="231F20"/>
          <w:spacing w:val="19"/>
        </w:rPr>
        <w:t> </w:t>
      </w:r>
      <w:r>
        <w:rPr>
          <w:color w:val="231F20"/>
        </w:rPr>
        <w:t>sector</w:t>
      </w:r>
    </w:p>
    <w:p>
      <w:pPr>
        <w:spacing w:after="0" w:line="278" w:lineRule="auto"/>
        <w:jc w:val="both"/>
        <w:sectPr>
          <w:headerReference w:type="even" r:id="rId21"/>
          <w:headerReference w:type="default" r:id="rId22"/>
          <w:pgSz w:w="9640" w:h="13040"/>
          <w:pgMar w:header="581" w:footer="654" w:top="780" w:bottom="840" w:left="480" w:right="1200"/>
        </w:sectPr>
      </w:pPr>
    </w:p>
    <w:p>
      <w:pPr>
        <w:pStyle w:val="BodyText"/>
        <w:rPr>
          <w:sz w:val="20"/>
        </w:rPr>
      </w:pPr>
    </w:p>
    <w:p>
      <w:pPr>
        <w:pStyle w:val="BodyText"/>
        <w:spacing w:before="7"/>
      </w:pPr>
    </w:p>
    <w:p>
      <w:pPr>
        <w:pStyle w:val="BodyText"/>
        <w:spacing w:line="278" w:lineRule="auto" w:before="58"/>
        <w:ind w:left="103" w:right="651"/>
        <w:jc w:val="both"/>
      </w:pPr>
      <w:r>
        <w:rPr>
          <w:color w:val="231F20"/>
        </w:rPr>
        <w:t>localizado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De</w:t>
      </w:r>
      <w:r>
        <w:rPr>
          <w:color w:val="231F20"/>
          <w:spacing w:val="-9"/>
        </w:rPr>
        <w:t> </w:t>
      </w:r>
      <w:r>
        <w:rPr>
          <w:color w:val="231F20"/>
        </w:rPr>
        <w:t>este</w:t>
      </w:r>
      <w:r>
        <w:rPr>
          <w:color w:val="231F20"/>
          <w:spacing w:val="-9"/>
        </w:rPr>
        <w:t> </w:t>
      </w:r>
      <w:r>
        <w:rPr>
          <w:color w:val="231F20"/>
        </w:rPr>
        <w:t>modo</w:t>
      </w:r>
      <w:r>
        <w:rPr>
          <w:color w:val="231F20"/>
          <w:spacing w:val="-9"/>
        </w:rPr>
        <w:t> </w:t>
      </w:r>
      <w:r>
        <w:rPr>
          <w:color w:val="231F20"/>
        </w:rPr>
        <w:t>se</w:t>
      </w:r>
      <w:r>
        <w:rPr>
          <w:color w:val="231F20"/>
          <w:spacing w:val="-9"/>
        </w:rPr>
        <w:t> </w:t>
      </w:r>
      <w:r>
        <w:rPr>
          <w:color w:val="231F20"/>
        </w:rPr>
        <w:t>pueden</w:t>
      </w:r>
      <w:r>
        <w:rPr>
          <w:color w:val="231F20"/>
          <w:spacing w:val="-9"/>
        </w:rPr>
        <w:t> </w:t>
      </w:r>
      <w:r>
        <w:rPr>
          <w:color w:val="231F20"/>
        </w:rPr>
        <w:t>trazar</w:t>
      </w:r>
      <w:r>
        <w:rPr>
          <w:color w:val="231F20"/>
          <w:spacing w:val="-9"/>
        </w:rPr>
        <w:t> </w:t>
      </w:r>
      <w:r>
        <w:rPr>
          <w:color w:val="231F20"/>
        </w:rPr>
        <w:t>los</w:t>
      </w:r>
      <w:r>
        <w:rPr>
          <w:color w:val="231F20"/>
          <w:spacing w:val="-9"/>
        </w:rPr>
        <w:t> </w:t>
      </w:r>
      <w:r>
        <w:rPr>
          <w:color w:val="231F20"/>
        </w:rPr>
        <w:t>principales</w:t>
      </w:r>
      <w:r>
        <w:rPr>
          <w:color w:val="231F20"/>
          <w:spacing w:val="-9"/>
        </w:rPr>
        <w:t> </w:t>
      </w:r>
      <w:r>
        <w:rPr>
          <w:color w:val="231F20"/>
        </w:rPr>
        <w:t>retos que enfrenta esta industria y los posibles escenarios que pueden presentarse, tanto a nivel nacional como</w:t>
      </w:r>
      <w:r>
        <w:rPr>
          <w:color w:val="231F20"/>
          <w:spacing w:val="-35"/>
        </w:rPr>
        <w:t> </w:t>
      </w:r>
      <w:r>
        <w:rPr>
          <w:color w:val="231F20"/>
        </w:rPr>
        <w:t>estatal.</w:t>
      </w:r>
    </w:p>
    <w:p>
      <w:pPr>
        <w:pStyle w:val="BodyText"/>
        <w:spacing w:line="273" w:lineRule="auto" w:before="1"/>
        <w:ind w:left="103" w:right="650" w:firstLine="396"/>
        <w:jc w:val="right"/>
      </w:pPr>
      <w:r>
        <w:rPr>
          <w:color w:val="231F20"/>
        </w:rPr>
        <w:t>El</w:t>
      </w:r>
      <w:r>
        <w:rPr>
          <w:color w:val="231F20"/>
          <w:spacing w:val="20"/>
        </w:rPr>
        <w:t> </w:t>
      </w:r>
      <w:r>
        <w:rPr>
          <w:color w:val="231F20"/>
        </w:rPr>
        <w:t>sector</w:t>
      </w:r>
      <w:r>
        <w:rPr>
          <w:color w:val="231F20"/>
          <w:spacing w:val="20"/>
        </w:rPr>
        <w:t> </w:t>
      </w:r>
      <w:r>
        <w:rPr>
          <w:color w:val="231F20"/>
        </w:rPr>
        <w:t>automotriz</w:t>
      </w:r>
      <w:r>
        <w:rPr>
          <w:color w:val="231F20"/>
          <w:spacing w:val="20"/>
        </w:rPr>
        <w:t> </w:t>
      </w:r>
      <w:r>
        <w:rPr>
          <w:color w:val="231F20"/>
        </w:rPr>
        <w:t>en</w:t>
      </w:r>
      <w:r>
        <w:rPr>
          <w:color w:val="231F20"/>
          <w:spacing w:val="20"/>
        </w:rPr>
        <w:t> </w:t>
      </w:r>
      <w:r>
        <w:rPr>
          <w:color w:val="231F20"/>
        </w:rPr>
        <w:t>México</w:t>
      </w:r>
      <w:r>
        <w:rPr>
          <w:color w:val="231F20"/>
          <w:spacing w:val="20"/>
        </w:rPr>
        <w:t> </w:t>
      </w:r>
      <w:r>
        <w:rPr>
          <w:color w:val="231F20"/>
        </w:rPr>
        <w:t>ha</w:t>
      </w:r>
      <w:r>
        <w:rPr>
          <w:color w:val="231F20"/>
          <w:spacing w:val="20"/>
        </w:rPr>
        <w:t> </w:t>
      </w:r>
      <w:r>
        <w:rPr>
          <w:color w:val="231F20"/>
        </w:rPr>
        <w:t>sido</w:t>
      </w:r>
      <w:r>
        <w:rPr>
          <w:color w:val="231F20"/>
          <w:spacing w:val="20"/>
        </w:rPr>
        <w:t> </w:t>
      </w:r>
      <w:r>
        <w:rPr>
          <w:color w:val="231F20"/>
        </w:rPr>
        <w:t>materia</w:t>
      </w:r>
      <w:r>
        <w:rPr>
          <w:color w:val="231F20"/>
          <w:spacing w:val="20"/>
        </w:rPr>
        <w:t> </w:t>
      </w:r>
      <w:r>
        <w:rPr>
          <w:color w:val="231F20"/>
        </w:rPr>
        <w:t>de</w:t>
      </w:r>
      <w:r>
        <w:rPr>
          <w:color w:val="231F20"/>
          <w:spacing w:val="20"/>
        </w:rPr>
        <w:t> </w:t>
      </w:r>
      <w:r>
        <w:rPr>
          <w:color w:val="231F20"/>
        </w:rPr>
        <w:t>análisis</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considerable</w:t>
      </w:r>
      <w:r>
        <w:rPr>
          <w:color w:val="231F20"/>
          <w:w w:val="93"/>
        </w:rPr>
        <w:t> </w:t>
      </w:r>
      <w:r>
        <w:rPr>
          <w:color w:val="231F20"/>
        </w:rPr>
        <w:t>número</w:t>
      </w:r>
      <w:r>
        <w:rPr>
          <w:color w:val="231F20"/>
          <w:spacing w:val="-11"/>
        </w:rPr>
        <w:t> </w:t>
      </w:r>
      <w:r>
        <w:rPr>
          <w:color w:val="231F20"/>
        </w:rPr>
        <w:t>de</w:t>
      </w:r>
      <w:r>
        <w:rPr>
          <w:color w:val="231F20"/>
          <w:spacing w:val="-11"/>
        </w:rPr>
        <w:t> </w:t>
      </w:r>
      <w:r>
        <w:rPr>
          <w:color w:val="231F20"/>
        </w:rPr>
        <w:t>trabajos,</w:t>
      </w:r>
      <w:r>
        <w:rPr>
          <w:color w:val="231F20"/>
          <w:spacing w:val="-11"/>
        </w:rPr>
        <w:t> </w:t>
      </w:r>
      <w:r>
        <w:rPr>
          <w:color w:val="231F20"/>
        </w:rPr>
        <w:t>bajo</w:t>
      </w:r>
      <w:r>
        <w:rPr>
          <w:color w:val="231F20"/>
          <w:spacing w:val="-11"/>
        </w:rPr>
        <w:t> </w:t>
      </w:r>
      <w:r>
        <w:rPr>
          <w:color w:val="231F20"/>
        </w:rPr>
        <w:t>diversos</w:t>
      </w:r>
      <w:r>
        <w:rPr>
          <w:color w:val="231F20"/>
          <w:spacing w:val="-11"/>
        </w:rPr>
        <w:t> </w:t>
      </w:r>
      <w:r>
        <w:rPr>
          <w:color w:val="231F20"/>
        </w:rPr>
        <w:t>planteamientos.</w:t>
      </w:r>
      <w:r>
        <w:rPr>
          <w:color w:val="231F20"/>
          <w:spacing w:val="-11"/>
        </w:rPr>
        <w:t> </w:t>
      </w:r>
      <w:r>
        <w:rPr>
          <w:color w:val="231F20"/>
        </w:rPr>
        <w:t>Algunos</w:t>
      </w:r>
      <w:r>
        <w:rPr>
          <w:color w:val="231F20"/>
          <w:spacing w:val="-11"/>
        </w:rPr>
        <w:t> </w:t>
      </w:r>
      <w:r>
        <w:rPr>
          <w:color w:val="231F20"/>
          <w:spacing w:val="-3"/>
        </w:rPr>
        <w:t>autores</w:t>
      </w:r>
      <w:r>
        <w:rPr>
          <w:color w:val="231F20"/>
          <w:spacing w:val="-11"/>
        </w:rPr>
        <w:t> </w:t>
      </w:r>
      <w:r>
        <w:rPr>
          <w:color w:val="231F20"/>
        </w:rPr>
        <w:t>como</w:t>
      </w:r>
      <w:r>
        <w:rPr>
          <w:color w:val="231F20"/>
          <w:spacing w:val="-11"/>
        </w:rPr>
        <w:t> </w:t>
      </w:r>
      <w:r>
        <w:rPr>
          <w:color w:val="231F20"/>
        </w:rPr>
        <w:t>Vieyra</w:t>
      </w:r>
      <w:r>
        <w:rPr>
          <w:color w:val="231F20"/>
          <w:spacing w:val="-11"/>
        </w:rPr>
        <w:t> </w:t>
      </w:r>
      <w:r>
        <w:rPr>
          <w:color w:val="231F20"/>
        </w:rPr>
        <w:t>(1999</w:t>
      </w:r>
      <w:r>
        <w:rPr>
          <w:color w:val="231F20"/>
          <w:w w:val="97"/>
        </w:rPr>
        <w:t> </w:t>
      </w:r>
      <w:r>
        <w:rPr>
          <w:color w:val="231F20"/>
        </w:rPr>
        <w:t>y 2000), Vicencio (2007), </w:t>
      </w:r>
      <w:r>
        <w:rPr>
          <w:color w:val="231F20"/>
          <w:spacing w:val="-3"/>
        </w:rPr>
        <w:t>Moreno </w:t>
      </w:r>
      <w:r>
        <w:rPr>
          <w:color w:val="231F20"/>
        </w:rPr>
        <w:t>Brid (1996) y Camarena (1981) han</w:t>
      </w:r>
      <w:r>
        <w:rPr>
          <w:color w:val="231F20"/>
          <w:spacing w:val="45"/>
        </w:rPr>
        <w:t> </w:t>
      </w:r>
      <w:r>
        <w:rPr>
          <w:color w:val="231F20"/>
        </w:rPr>
        <w:t>destacado</w:t>
      </w:r>
      <w:r>
        <w:rPr>
          <w:color w:val="231F20"/>
          <w:spacing w:val="13"/>
        </w:rPr>
        <w:t> </w:t>
      </w:r>
      <w:r>
        <w:rPr>
          <w:color w:val="231F20"/>
        </w:rPr>
        <w:t>la</w:t>
      </w:r>
      <w:r>
        <w:rPr>
          <w:color w:val="231F20"/>
          <w:w w:val="98"/>
        </w:rPr>
        <w:t> </w:t>
      </w:r>
      <w:r>
        <w:rPr>
          <w:color w:val="231F20"/>
        </w:rPr>
        <w:t>evolución y el desempeño de esta industria en territorio mexicano, desde</w:t>
      </w:r>
      <w:r>
        <w:rPr>
          <w:color w:val="231F20"/>
          <w:spacing w:val="24"/>
        </w:rPr>
        <w:t> </w:t>
      </w:r>
      <w:r>
        <w:rPr>
          <w:color w:val="231F20"/>
        </w:rPr>
        <w:t>sus</w:t>
      </w:r>
      <w:r>
        <w:rPr>
          <w:color w:val="231F20"/>
          <w:spacing w:val="11"/>
        </w:rPr>
        <w:t> </w:t>
      </w:r>
      <w:r>
        <w:rPr>
          <w:color w:val="231F20"/>
        </w:rPr>
        <w:t>inicios</w:t>
      </w:r>
      <w:r>
        <w:rPr>
          <w:color w:val="231F20"/>
          <w:w w:val="99"/>
        </w:rPr>
        <w:t> </w:t>
      </w:r>
      <w:r>
        <w:rPr>
          <w:color w:val="231F20"/>
        </w:rPr>
        <w:t>con</w:t>
      </w:r>
      <w:r>
        <w:rPr>
          <w:color w:val="231F20"/>
          <w:spacing w:val="-4"/>
        </w:rPr>
        <w:t> </w:t>
      </w:r>
      <w:r>
        <w:rPr>
          <w:color w:val="231F20"/>
        </w:rPr>
        <w:t>la</w:t>
      </w:r>
      <w:r>
        <w:rPr>
          <w:color w:val="231F20"/>
          <w:spacing w:val="-4"/>
        </w:rPr>
        <w:t> </w:t>
      </w:r>
      <w:r>
        <w:rPr>
          <w:color w:val="231F20"/>
        </w:rPr>
        <w:t>instalación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primeras</w:t>
      </w:r>
      <w:r>
        <w:rPr>
          <w:color w:val="231F20"/>
          <w:spacing w:val="-4"/>
        </w:rPr>
        <w:t> </w:t>
      </w:r>
      <w:r>
        <w:rPr>
          <w:color w:val="231F20"/>
        </w:rPr>
        <w:t>armadoras,</w:t>
      </w:r>
      <w:r>
        <w:rPr>
          <w:color w:val="231F20"/>
          <w:spacing w:val="-4"/>
        </w:rPr>
        <w:t> </w:t>
      </w:r>
      <w:r>
        <w:rPr>
          <w:color w:val="231F20"/>
        </w:rPr>
        <w:t>hasta</w:t>
      </w:r>
      <w:r>
        <w:rPr>
          <w:color w:val="231F20"/>
          <w:spacing w:val="-4"/>
        </w:rPr>
        <w:t> </w:t>
      </w:r>
      <w:r>
        <w:rPr>
          <w:color w:val="231F20"/>
        </w:rPr>
        <w:t>la</w:t>
      </w:r>
      <w:r>
        <w:rPr>
          <w:color w:val="231F20"/>
          <w:spacing w:val="-4"/>
        </w:rPr>
        <w:t> </w:t>
      </w:r>
      <w:r>
        <w:rPr>
          <w:color w:val="231F20"/>
        </w:rPr>
        <w:t>etapa</w:t>
      </w:r>
      <w:r>
        <w:rPr>
          <w:color w:val="231F20"/>
          <w:spacing w:val="-4"/>
        </w:rPr>
        <w:t> </w:t>
      </w:r>
      <w:r>
        <w:rPr>
          <w:color w:val="231F20"/>
        </w:rPr>
        <w:t>exportadora</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con</w:t>
      </w:r>
      <w:r>
        <w:rPr>
          <w:color w:val="231F20"/>
          <w:w w:val="109"/>
        </w:rPr>
        <w:t> </w:t>
      </w:r>
      <w:r>
        <w:rPr>
          <w:color w:val="231F20"/>
        </w:rPr>
        <w:t>la apertura económica y comercial; otros como Carbajal y De Jesús</w:t>
      </w:r>
      <w:r>
        <w:rPr>
          <w:color w:val="231F20"/>
          <w:spacing w:val="33"/>
        </w:rPr>
        <w:t> </w:t>
      </w:r>
      <w:r>
        <w:rPr>
          <w:color w:val="231F20"/>
        </w:rPr>
        <w:t>(2013),</w:t>
      </w:r>
      <w:r>
        <w:rPr>
          <w:color w:val="231F20"/>
          <w:spacing w:val="7"/>
        </w:rPr>
        <w:t> </w:t>
      </w:r>
      <w:r>
        <w:rPr>
          <w:color w:val="231F20"/>
        </w:rPr>
        <w:t>Carbajal</w:t>
      </w:r>
      <w:r>
        <w:rPr>
          <w:color w:val="231F20"/>
          <w:w w:val="91"/>
        </w:rPr>
        <w:t> </w:t>
      </w:r>
      <w:r>
        <w:rPr>
          <w:color w:val="231F20"/>
        </w:rPr>
        <w:t>(2013), Carbajal (2012), </w:t>
      </w:r>
      <w:r>
        <w:rPr>
          <w:color w:val="231F20"/>
          <w:spacing w:val="-3"/>
        </w:rPr>
        <w:t>Unger </w:t>
      </w:r>
      <w:r>
        <w:rPr>
          <w:color w:val="231F20"/>
        </w:rPr>
        <w:t>(2004), </w:t>
      </w:r>
      <w:r>
        <w:rPr>
          <w:color w:val="231F20"/>
          <w:spacing w:val="-3"/>
        </w:rPr>
        <w:t>Unger </w:t>
      </w:r>
      <w:r>
        <w:rPr>
          <w:color w:val="231F20"/>
        </w:rPr>
        <w:t>y Chico (2004 y 2002) la</w:t>
      </w:r>
      <w:r>
        <w:rPr>
          <w:color w:val="231F20"/>
          <w:spacing w:val="-9"/>
        </w:rPr>
        <w:t> </w:t>
      </w:r>
      <w:r>
        <w:rPr>
          <w:color w:val="231F20"/>
        </w:rPr>
        <w:t>han</w:t>
      </w:r>
      <w:r>
        <w:rPr>
          <w:color w:val="231F20"/>
          <w:spacing w:val="-2"/>
        </w:rPr>
        <w:t> </w:t>
      </w:r>
      <w:r>
        <w:rPr>
          <w:color w:val="231F20"/>
        </w:rPr>
        <w:t>analizado</w:t>
      </w:r>
      <w:r>
        <w:rPr>
          <w:color w:val="231F20"/>
          <w:w w:val="98"/>
        </w:rPr>
        <w:t> </w:t>
      </w:r>
      <w:r>
        <w:rPr>
          <w:color w:val="231F20"/>
        </w:rPr>
        <w:t>desde</w:t>
      </w:r>
      <w:r>
        <w:rPr>
          <w:color w:val="231F20"/>
          <w:spacing w:val="-8"/>
        </w:rPr>
        <w:t> </w:t>
      </w:r>
      <w:r>
        <w:rPr>
          <w:color w:val="231F20"/>
        </w:rPr>
        <w:t>una</w:t>
      </w:r>
      <w:r>
        <w:rPr>
          <w:color w:val="231F20"/>
          <w:spacing w:val="-8"/>
        </w:rPr>
        <w:t> </w:t>
      </w:r>
      <w:r>
        <w:rPr>
          <w:color w:val="231F20"/>
        </w:rPr>
        <w:t>perspectiva</w:t>
      </w:r>
      <w:r>
        <w:rPr>
          <w:color w:val="231F20"/>
          <w:spacing w:val="-8"/>
        </w:rPr>
        <w:t> </w:t>
      </w:r>
      <w:r>
        <w:rPr>
          <w:color w:val="231F20"/>
        </w:rPr>
        <w:t>regional</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clúster;</w:t>
      </w:r>
      <w:r>
        <w:rPr>
          <w:color w:val="231F20"/>
          <w:spacing w:val="-8"/>
        </w:rPr>
        <w:t> </w:t>
      </w:r>
      <w:r>
        <w:rPr>
          <w:color w:val="231F20"/>
        </w:rPr>
        <w:t>Dussel</w:t>
      </w:r>
      <w:r>
        <w:rPr>
          <w:color w:val="231F20"/>
          <w:spacing w:val="-8"/>
        </w:rPr>
        <w:t> </w:t>
      </w:r>
      <w:r>
        <w:rPr>
          <w:color w:val="231F20"/>
        </w:rPr>
        <w:t>Peters</w:t>
      </w:r>
      <w:r>
        <w:rPr>
          <w:color w:val="231F20"/>
          <w:spacing w:val="-8"/>
        </w:rPr>
        <w:t> </w:t>
      </w:r>
      <w:r>
        <w:rPr>
          <w:color w:val="231F20"/>
        </w:rPr>
        <w:t>(2014,</w:t>
      </w:r>
      <w:r>
        <w:rPr>
          <w:color w:val="231F20"/>
          <w:spacing w:val="-8"/>
        </w:rPr>
        <w:t> </w:t>
      </w:r>
      <w:r>
        <w:rPr>
          <w:color w:val="231F20"/>
        </w:rPr>
        <w:t>2012</w:t>
      </w:r>
      <w:r>
        <w:rPr>
          <w:color w:val="231F20"/>
          <w:spacing w:val="-8"/>
        </w:rPr>
        <w:t> </w:t>
      </w:r>
      <w:r>
        <w:rPr>
          <w:color w:val="231F20"/>
        </w:rPr>
        <w:t>y</w:t>
      </w:r>
      <w:r>
        <w:rPr>
          <w:color w:val="231F20"/>
          <w:spacing w:val="-8"/>
        </w:rPr>
        <w:t> </w:t>
      </w:r>
      <w:r>
        <w:rPr>
          <w:color w:val="231F20"/>
        </w:rPr>
        <w:t>2010)</w:t>
      </w:r>
      <w:r>
        <w:rPr>
          <w:color w:val="231F20"/>
          <w:spacing w:val="-8"/>
        </w:rPr>
        <w:t> </w:t>
      </w:r>
      <w:r>
        <w:rPr>
          <w:color w:val="231F20"/>
        </w:rPr>
        <w:t>ha</w:t>
      </w:r>
      <w:r>
        <w:rPr>
          <w:color w:val="231F20"/>
          <w:spacing w:val="-8"/>
        </w:rPr>
        <w:t> </w:t>
      </w:r>
      <w:r>
        <w:rPr>
          <w:color w:val="231F20"/>
        </w:rPr>
        <w:t>ana-</w:t>
      </w:r>
      <w:r>
        <w:rPr>
          <w:color w:val="231F20"/>
          <w:w w:val="106"/>
        </w:rPr>
        <w:t> </w:t>
      </w:r>
      <w:r>
        <w:rPr>
          <w:color w:val="231F20"/>
        </w:rPr>
        <w:t>lizado el sector para el caso específico de otros países como Estados Unidos</w:t>
      </w:r>
      <w:r>
        <w:rPr>
          <w:color w:val="231F20"/>
          <w:spacing w:val="26"/>
        </w:rPr>
        <w:t> </w:t>
      </w:r>
      <w:r>
        <w:rPr>
          <w:color w:val="231F20"/>
        </w:rPr>
        <w:t>y</w:t>
      </w:r>
      <w:r>
        <w:rPr>
          <w:color w:val="231F20"/>
          <w:spacing w:val="2"/>
        </w:rPr>
        <w:t> </w:t>
      </w:r>
      <w:r>
        <w:rPr>
          <w:color w:val="231F20"/>
        </w:rPr>
        <w:t>China.</w:t>
      </w:r>
      <w:r>
        <w:rPr>
          <w:color w:val="231F20"/>
          <w:w w:val="96"/>
        </w:rPr>
        <w:t> </w:t>
      </w:r>
      <w:r>
        <w:rPr>
          <w:color w:val="231F20"/>
        </w:rPr>
        <w:t>Otros,</w:t>
      </w:r>
      <w:r>
        <w:rPr>
          <w:color w:val="231F20"/>
          <w:spacing w:val="-13"/>
        </w:rPr>
        <w:t> </w:t>
      </w:r>
      <w:r>
        <w:rPr>
          <w:color w:val="231F20"/>
        </w:rPr>
        <w:t>como</w:t>
      </w:r>
      <w:r>
        <w:rPr>
          <w:color w:val="231F20"/>
          <w:spacing w:val="-13"/>
        </w:rPr>
        <w:t> </w:t>
      </w:r>
      <w:r>
        <w:rPr>
          <w:color w:val="231F20"/>
        </w:rPr>
        <w:t>Juárez</w:t>
      </w:r>
      <w:r>
        <w:rPr>
          <w:color w:val="231F20"/>
          <w:spacing w:val="-13"/>
        </w:rPr>
        <w:t> </w:t>
      </w:r>
      <w:r>
        <w:rPr>
          <w:color w:val="231F20"/>
        </w:rPr>
        <w:t>Núñez</w:t>
      </w:r>
      <w:r>
        <w:rPr>
          <w:color w:val="231F20"/>
          <w:spacing w:val="-13"/>
        </w:rPr>
        <w:t> </w:t>
      </w:r>
      <w:r>
        <w:rPr>
          <w:color w:val="231F20"/>
        </w:rPr>
        <w:t>(2005)</w:t>
      </w:r>
      <w:r>
        <w:rPr>
          <w:color w:val="231F20"/>
          <w:spacing w:val="-13"/>
        </w:rPr>
        <w:t> </w:t>
      </w:r>
      <w:r>
        <w:rPr>
          <w:color w:val="231F20"/>
        </w:rPr>
        <w:t>o</w:t>
      </w:r>
      <w:r>
        <w:rPr>
          <w:color w:val="231F20"/>
          <w:spacing w:val="-13"/>
        </w:rPr>
        <w:t> </w:t>
      </w:r>
      <w:r>
        <w:rPr>
          <w:color w:val="231F20"/>
        </w:rPr>
        <w:t>Lara</w:t>
      </w:r>
      <w:r>
        <w:rPr>
          <w:color w:val="231F20"/>
          <w:spacing w:val="-13"/>
        </w:rPr>
        <w:t> </w:t>
      </w:r>
      <w:r>
        <w:rPr>
          <w:rFonts w:ascii="Palatino Linotype" w:hAnsi="Palatino Linotype"/>
          <w:i/>
          <w:color w:val="231F20"/>
        </w:rPr>
        <w:t>et</w:t>
      </w:r>
      <w:r>
        <w:rPr>
          <w:rFonts w:ascii="Palatino Linotype" w:hAnsi="Palatino Linotype"/>
          <w:i/>
          <w:color w:val="231F20"/>
          <w:spacing w:val="-13"/>
        </w:rPr>
        <w:t> </w:t>
      </w:r>
      <w:r>
        <w:rPr>
          <w:rFonts w:ascii="Palatino Linotype" w:hAnsi="Palatino Linotype"/>
          <w:i/>
          <w:color w:val="231F20"/>
        </w:rPr>
        <w:t>al</w:t>
      </w:r>
      <w:r>
        <w:rPr>
          <w:color w:val="231F20"/>
        </w:rPr>
        <w:t>.</w:t>
      </w:r>
      <w:r>
        <w:rPr>
          <w:color w:val="231F20"/>
          <w:spacing w:val="-13"/>
        </w:rPr>
        <w:t> </w:t>
      </w:r>
      <w:r>
        <w:rPr>
          <w:color w:val="231F20"/>
        </w:rPr>
        <w:t>(2005a),</w:t>
      </w:r>
      <w:r>
        <w:rPr>
          <w:color w:val="231F20"/>
          <w:spacing w:val="-13"/>
        </w:rPr>
        <w:t> </w:t>
      </w:r>
      <w:r>
        <w:rPr>
          <w:color w:val="231F20"/>
        </w:rPr>
        <w:t>se</w:t>
      </w:r>
      <w:r>
        <w:rPr>
          <w:color w:val="231F20"/>
          <w:spacing w:val="-13"/>
        </w:rPr>
        <w:t> </w:t>
      </w:r>
      <w:r>
        <w:rPr>
          <w:color w:val="231F20"/>
        </w:rPr>
        <w:t>han</w:t>
      </w:r>
      <w:r>
        <w:rPr>
          <w:color w:val="231F20"/>
          <w:spacing w:val="-13"/>
        </w:rPr>
        <w:t> </w:t>
      </w:r>
      <w:r>
        <w:rPr>
          <w:color w:val="231F20"/>
        </w:rPr>
        <w:t>centrado</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estudio</w:t>
      </w:r>
      <w:r>
        <w:rPr>
          <w:color w:val="231F20"/>
          <w:spacing w:val="-13"/>
        </w:rPr>
        <w:t> </w:t>
      </w:r>
      <w:r>
        <w:rPr>
          <w:color w:val="231F20"/>
        </w:rPr>
        <w:t>de</w:t>
      </w:r>
      <w:r>
        <w:rPr>
          <w:color w:val="231F20"/>
          <w:w w:val="100"/>
        </w:rPr>
        <w:t> </w:t>
      </w:r>
      <w:r>
        <w:rPr>
          <w:color w:val="231F20"/>
        </w:rPr>
        <w:t>la industria de autopartes; algunos más lo han abordado a partir de periodos</w:t>
      </w:r>
      <w:r>
        <w:rPr>
          <w:color w:val="231F20"/>
          <w:spacing w:val="43"/>
        </w:rPr>
        <w:t> </w:t>
      </w:r>
      <w:r>
        <w:rPr>
          <w:color w:val="231F20"/>
        </w:rPr>
        <w:t>o</w:t>
      </w:r>
      <w:r>
        <w:rPr>
          <w:color w:val="231F20"/>
          <w:spacing w:val="3"/>
        </w:rPr>
        <w:t> </w:t>
      </w:r>
      <w:r>
        <w:rPr>
          <w:color w:val="231F20"/>
        </w:rPr>
        <w:t>hechos</w:t>
      </w:r>
      <w:r>
        <w:rPr>
          <w:color w:val="231F20"/>
          <w:w w:val="98"/>
        </w:rPr>
        <w:t> </w:t>
      </w:r>
      <w:r>
        <w:rPr>
          <w:color w:val="231F20"/>
        </w:rPr>
        <w:t>específicos</w:t>
      </w:r>
      <w:r>
        <w:rPr>
          <w:color w:val="231F20"/>
          <w:spacing w:val="-13"/>
        </w:rPr>
        <w:t> </w:t>
      </w:r>
      <w:r>
        <w:rPr>
          <w:color w:val="231F20"/>
        </w:rPr>
        <w:t>que</w:t>
      </w:r>
      <w:r>
        <w:rPr>
          <w:color w:val="231F20"/>
          <w:spacing w:val="-13"/>
        </w:rPr>
        <w:t> </w:t>
      </w:r>
      <w:r>
        <w:rPr>
          <w:color w:val="231F20"/>
        </w:rPr>
        <w:t>han</w:t>
      </w:r>
      <w:r>
        <w:rPr>
          <w:color w:val="231F20"/>
          <w:spacing w:val="-13"/>
        </w:rPr>
        <w:t> </w:t>
      </w:r>
      <w:r>
        <w:rPr>
          <w:color w:val="231F20"/>
        </w:rPr>
        <w:t>marcado</w:t>
      </w:r>
      <w:r>
        <w:rPr>
          <w:color w:val="231F20"/>
          <w:spacing w:val="-13"/>
        </w:rPr>
        <w:t> </w:t>
      </w:r>
      <w:r>
        <w:rPr>
          <w:color w:val="231F20"/>
        </w:rPr>
        <w:t>a</w:t>
      </w:r>
      <w:r>
        <w:rPr>
          <w:color w:val="231F20"/>
          <w:spacing w:val="-13"/>
        </w:rPr>
        <w:t> </w:t>
      </w:r>
      <w:r>
        <w:rPr>
          <w:color w:val="231F20"/>
        </w:rPr>
        <w:t>este</w:t>
      </w:r>
      <w:r>
        <w:rPr>
          <w:color w:val="231F20"/>
          <w:spacing w:val="-13"/>
        </w:rPr>
        <w:t> </w:t>
      </w:r>
      <w:r>
        <w:rPr>
          <w:color w:val="231F20"/>
        </w:rPr>
        <w:t>sector</w:t>
      </w:r>
      <w:r>
        <w:rPr>
          <w:color w:val="231F20"/>
          <w:spacing w:val="-13"/>
        </w:rPr>
        <w:t> </w:t>
      </w:r>
      <w:r>
        <w:rPr>
          <w:color w:val="231F20"/>
        </w:rPr>
        <w:t>(Carrillo</w:t>
      </w:r>
      <w:r>
        <w:rPr>
          <w:color w:val="231F20"/>
          <w:spacing w:val="-13"/>
        </w:rPr>
        <w:t> </w:t>
      </w:r>
      <w:r>
        <w:rPr>
          <w:color w:val="231F20"/>
        </w:rPr>
        <w:t>y</w:t>
      </w:r>
      <w:r>
        <w:rPr>
          <w:color w:val="231F20"/>
          <w:spacing w:val="-13"/>
        </w:rPr>
        <w:t> </w:t>
      </w:r>
      <w:r>
        <w:rPr>
          <w:color w:val="231F20"/>
        </w:rPr>
        <w:t>Ramírez,</w:t>
      </w:r>
      <w:r>
        <w:rPr>
          <w:color w:val="231F20"/>
          <w:spacing w:val="-13"/>
        </w:rPr>
        <w:t> </w:t>
      </w:r>
      <w:r>
        <w:rPr>
          <w:color w:val="231F20"/>
        </w:rPr>
        <w:t>1997</w:t>
      </w:r>
      <w:r>
        <w:rPr>
          <w:color w:val="231F20"/>
          <w:spacing w:val="-13"/>
        </w:rPr>
        <w:t> </w:t>
      </w:r>
      <w:r>
        <w:rPr>
          <w:color w:val="231F20"/>
        </w:rPr>
        <w:t>y</w:t>
      </w:r>
      <w:r>
        <w:rPr>
          <w:color w:val="231F20"/>
          <w:spacing w:val="-13"/>
        </w:rPr>
        <w:t> </w:t>
      </w:r>
      <w:r>
        <w:rPr>
          <w:color w:val="231F20"/>
        </w:rPr>
        <w:t>Dombois,</w:t>
      </w:r>
      <w:r>
        <w:rPr>
          <w:color w:val="231F20"/>
          <w:spacing w:val="-13"/>
        </w:rPr>
        <w:t> </w:t>
      </w:r>
      <w:r>
        <w:rPr>
          <w:color w:val="231F20"/>
        </w:rPr>
        <w:t>1990).</w:t>
      </w:r>
    </w:p>
    <w:p>
      <w:pPr>
        <w:pStyle w:val="BodyText"/>
        <w:spacing w:line="266" w:lineRule="auto" w:before="6"/>
        <w:ind w:left="103" w:right="650" w:firstLine="396"/>
        <w:jc w:val="both"/>
      </w:pPr>
      <w:r>
        <w:rPr>
          <w:color w:val="231F20"/>
        </w:rPr>
        <w:t>Específicamente</w:t>
      </w:r>
      <w:r>
        <w:rPr>
          <w:color w:val="231F20"/>
          <w:spacing w:val="-18"/>
        </w:rPr>
        <w:t> </w:t>
      </w:r>
      <w:r>
        <w:rPr>
          <w:color w:val="231F20"/>
        </w:rPr>
        <w:t>para</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los</w:t>
      </w:r>
      <w:r>
        <w:rPr>
          <w:color w:val="231F20"/>
          <w:spacing w:val="-18"/>
        </w:rPr>
        <w:t> </w:t>
      </w:r>
      <w:r>
        <w:rPr>
          <w:color w:val="231F20"/>
        </w:rPr>
        <w:t>estudios</w:t>
      </w:r>
      <w:r>
        <w:rPr>
          <w:color w:val="231F20"/>
          <w:spacing w:val="-18"/>
        </w:rPr>
        <w:t> </w:t>
      </w:r>
      <w:r>
        <w:rPr>
          <w:color w:val="231F20"/>
        </w:rPr>
        <w:t>aún</w:t>
      </w:r>
      <w:r>
        <w:rPr>
          <w:color w:val="231F20"/>
          <w:spacing w:val="-18"/>
        </w:rPr>
        <w:t> </w:t>
      </w:r>
      <w:r>
        <w:rPr>
          <w:color w:val="231F20"/>
        </w:rPr>
        <w:t>son</w:t>
      </w:r>
      <w:r>
        <w:rPr>
          <w:color w:val="231F20"/>
          <w:spacing w:val="-18"/>
        </w:rPr>
        <w:t> </w:t>
      </w:r>
      <w:r>
        <w:rPr>
          <w:color w:val="231F20"/>
        </w:rPr>
        <w:t>pocos.</w:t>
      </w:r>
      <w:r>
        <w:rPr>
          <w:color w:val="231F20"/>
          <w:spacing w:val="-18"/>
        </w:rPr>
        <w:t> </w:t>
      </w:r>
      <w:r>
        <w:rPr>
          <w:color w:val="231F20"/>
        </w:rPr>
        <w:t>Se</w:t>
      </w:r>
      <w:r>
        <w:rPr>
          <w:color w:val="231F20"/>
          <w:spacing w:val="-18"/>
        </w:rPr>
        <w:t> </w:t>
      </w:r>
      <w:r>
        <w:rPr>
          <w:color w:val="231F20"/>
        </w:rPr>
        <w:t>destacan los realizados por </w:t>
      </w:r>
      <w:r>
        <w:rPr>
          <w:color w:val="231F20"/>
          <w:spacing w:val="-3"/>
        </w:rPr>
        <w:t>Unger </w:t>
      </w:r>
      <w:r>
        <w:rPr>
          <w:color w:val="231F20"/>
        </w:rPr>
        <w:t>(2004), quien hace un análisis para el sector en esta entidad bajo</w:t>
      </w:r>
      <w:r>
        <w:rPr>
          <w:color w:val="231F20"/>
          <w:spacing w:val="-10"/>
        </w:rPr>
        <w:t> </w:t>
      </w:r>
      <w:r>
        <w:rPr>
          <w:color w:val="231F20"/>
        </w:rPr>
        <w:t>una</w:t>
      </w:r>
      <w:r>
        <w:rPr>
          <w:color w:val="231F20"/>
          <w:spacing w:val="-10"/>
        </w:rPr>
        <w:t> </w:t>
      </w:r>
      <w:r>
        <w:rPr>
          <w:color w:val="231F20"/>
        </w:rPr>
        <w:t>perspectiva</w:t>
      </w:r>
      <w:r>
        <w:rPr>
          <w:color w:val="231F20"/>
          <w:spacing w:val="-10"/>
        </w:rPr>
        <w:t> </w:t>
      </w:r>
      <w:r>
        <w:rPr>
          <w:color w:val="231F20"/>
        </w:rPr>
        <w:t>de</w:t>
      </w:r>
      <w:r>
        <w:rPr>
          <w:color w:val="231F20"/>
          <w:spacing w:val="-10"/>
        </w:rPr>
        <w:t> </w:t>
      </w:r>
      <w:r>
        <w:rPr>
          <w:color w:val="231F20"/>
        </w:rPr>
        <w:t>clúster</w:t>
      </w:r>
      <w:r>
        <w:rPr>
          <w:color w:val="231F20"/>
          <w:spacing w:val="-10"/>
        </w:rPr>
        <w:t> </w:t>
      </w:r>
      <w:r>
        <w:rPr>
          <w:color w:val="231F20"/>
        </w:rPr>
        <w:t>regional;</w:t>
      </w:r>
      <w:r>
        <w:rPr>
          <w:color w:val="231F20"/>
          <w:spacing w:val="-10"/>
        </w:rPr>
        <w:t> </w:t>
      </w:r>
      <w:r>
        <w:rPr>
          <w:color w:val="231F20"/>
        </w:rPr>
        <w:t>y</w:t>
      </w:r>
      <w:r>
        <w:rPr>
          <w:color w:val="231F20"/>
          <w:spacing w:val="-10"/>
        </w:rPr>
        <w:t> </w:t>
      </w:r>
      <w:r>
        <w:rPr>
          <w:color w:val="231F20"/>
        </w:rPr>
        <w:t>por</w:t>
      </w:r>
      <w:r>
        <w:rPr>
          <w:color w:val="231F20"/>
          <w:spacing w:val="-10"/>
        </w:rPr>
        <w:t> </w:t>
      </w:r>
      <w:r>
        <w:rPr>
          <w:color w:val="231F20"/>
        </w:rPr>
        <w:t>Lara</w:t>
      </w:r>
      <w:r>
        <w:rPr>
          <w:color w:val="231F20"/>
          <w:spacing w:val="-10"/>
        </w:rPr>
        <w:t> </w:t>
      </w:r>
      <w:r>
        <w:rPr>
          <w:rFonts w:ascii="Palatino Linotype" w:hAnsi="Palatino Linotype"/>
          <w:i/>
          <w:color w:val="231F20"/>
        </w:rPr>
        <w:t>et</w:t>
      </w:r>
      <w:r>
        <w:rPr>
          <w:rFonts w:ascii="Palatino Linotype" w:hAnsi="Palatino Linotype"/>
          <w:i/>
          <w:color w:val="231F20"/>
          <w:spacing w:val="-10"/>
        </w:rPr>
        <w:t> </w:t>
      </w:r>
      <w:r>
        <w:rPr>
          <w:rFonts w:ascii="Palatino Linotype" w:hAnsi="Palatino Linotype"/>
          <w:i/>
          <w:color w:val="231F20"/>
        </w:rPr>
        <w:t>al.</w:t>
      </w:r>
      <w:r>
        <w:rPr>
          <w:rFonts w:ascii="Palatino Linotype" w:hAnsi="Palatino Linotype"/>
          <w:i/>
          <w:color w:val="231F20"/>
          <w:spacing w:val="-10"/>
        </w:rPr>
        <w:t> </w:t>
      </w:r>
      <w:r>
        <w:rPr>
          <w:color w:val="231F20"/>
        </w:rPr>
        <w:t>(2005b),</w:t>
      </w:r>
      <w:r>
        <w:rPr>
          <w:color w:val="231F20"/>
          <w:spacing w:val="-10"/>
        </w:rPr>
        <w:t> </w:t>
      </w:r>
      <w:r>
        <w:rPr>
          <w:color w:val="231F20"/>
        </w:rPr>
        <w:t>quienes,</w:t>
      </w:r>
      <w:r>
        <w:rPr>
          <w:color w:val="231F20"/>
          <w:spacing w:val="-10"/>
        </w:rPr>
        <w:t> </w:t>
      </w:r>
      <w:r>
        <w:rPr>
          <w:color w:val="231F20"/>
        </w:rPr>
        <w:t>al</w:t>
      </w:r>
      <w:r>
        <w:rPr>
          <w:color w:val="231F20"/>
          <w:spacing w:val="-10"/>
        </w:rPr>
        <w:t> </w:t>
      </w:r>
      <w:r>
        <w:rPr>
          <w:color w:val="231F20"/>
        </w:rPr>
        <w:t>igual</w:t>
      </w:r>
      <w:r>
        <w:rPr>
          <w:color w:val="231F20"/>
          <w:spacing w:val="-10"/>
        </w:rPr>
        <w:t> </w:t>
      </w:r>
      <w:r>
        <w:rPr>
          <w:color w:val="231F20"/>
        </w:rPr>
        <w:t>que Carbajal</w:t>
      </w:r>
      <w:r>
        <w:rPr>
          <w:color w:val="231F20"/>
          <w:spacing w:val="-3"/>
        </w:rPr>
        <w:t> </w:t>
      </w:r>
      <w:r>
        <w:rPr>
          <w:color w:val="231F20"/>
        </w:rPr>
        <w:t>(2012),</w:t>
      </w:r>
      <w:r>
        <w:rPr>
          <w:color w:val="231F20"/>
          <w:spacing w:val="-3"/>
        </w:rPr>
        <w:t> </w:t>
      </w:r>
      <w:r>
        <w:rPr>
          <w:color w:val="231F20"/>
        </w:rPr>
        <w:t>analizan</w:t>
      </w:r>
      <w:r>
        <w:rPr>
          <w:color w:val="231F20"/>
          <w:spacing w:val="-3"/>
        </w:rPr>
        <w:t> </w:t>
      </w:r>
      <w:r>
        <w:rPr>
          <w:color w:val="231F20"/>
        </w:rPr>
        <w:t>los</w:t>
      </w:r>
      <w:r>
        <w:rPr>
          <w:color w:val="231F20"/>
          <w:spacing w:val="-3"/>
        </w:rPr>
        <w:t> </w:t>
      </w:r>
      <w:r>
        <w:rPr>
          <w:color w:val="231F20"/>
        </w:rPr>
        <w:t>retos</w:t>
      </w:r>
      <w:r>
        <w:rPr>
          <w:color w:val="231F20"/>
          <w:spacing w:val="-3"/>
        </w:rPr>
        <w:t> </w:t>
      </w:r>
      <w:r>
        <w:rPr>
          <w:color w:val="231F20"/>
        </w:rPr>
        <w:t>y</w:t>
      </w:r>
      <w:r>
        <w:rPr>
          <w:color w:val="231F20"/>
          <w:spacing w:val="-3"/>
        </w:rPr>
        <w:t> </w:t>
      </w:r>
      <w:r>
        <w:rPr>
          <w:color w:val="231F20"/>
        </w:rPr>
        <w:t>las</w:t>
      </w:r>
      <w:r>
        <w:rPr>
          <w:color w:val="231F20"/>
          <w:spacing w:val="-3"/>
        </w:rPr>
        <w:t> </w:t>
      </w:r>
      <w:r>
        <w:rPr>
          <w:color w:val="231F20"/>
        </w:rPr>
        <w:t>oportunidades</w:t>
      </w:r>
      <w:r>
        <w:rPr>
          <w:color w:val="231F20"/>
          <w:spacing w:val="-3"/>
        </w:rPr>
        <w:t> </w:t>
      </w:r>
      <w:r>
        <w:rPr>
          <w:color w:val="231F20"/>
        </w:rPr>
        <w:t>para</w:t>
      </w:r>
      <w:r>
        <w:rPr>
          <w:color w:val="231F20"/>
          <w:spacing w:val="-3"/>
        </w:rPr>
        <w:t> </w:t>
      </w:r>
      <w:r>
        <w:rPr>
          <w:color w:val="231F20"/>
        </w:rPr>
        <w:t>el</w:t>
      </w:r>
      <w:r>
        <w:rPr>
          <w:color w:val="231F20"/>
          <w:spacing w:val="-3"/>
        </w:rPr>
        <w:t> </w:t>
      </w:r>
      <w:r>
        <w:rPr>
          <w:color w:val="231F20"/>
        </w:rPr>
        <w:t>clúster</w:t>
      </w:r>
      <w:r>
        <w:rPr>
          <w:color w:val="231F20"/>
          <w:spacing w:val="-3"/>
        </w:rPr>
        <w:t> </w:t>
      </w:r>
      <w:r>
        <w:rPr>
          <w:color w:val="231F20"/>
        </w:rPr>
        <w:t>automotriz</w:t>
      </w:r>
      <w:r>
        <w:rPr>
          <w:color w:val="231F20"/>
          <w:spacing w:val="-3"/>
        </w:rPr>
        <w:t> </w:t>
      </w:r>
      <w:r>
        <w:rPr>
          <w:color w:val="231F20"/>
        </w:rPr>
        <w:t>en</w:t>
      </w:r>
      <w:r>
        <w:rPr>
          <w:color w:val="231F20"/>
          <w:spacing w:val="-3"/>
        </w:rPr>
        <w:t> </w:t>
      </w:r>
      <w:r>
        <w:rPr>
          <w:color w:val="231F20"/>
        </w:rPr>
        <w:t>el Estado de</w:t>
      </w:r>
      <w:r>
        <w:rPr>
          <w:color w:val="231F20"/>
          <w:spacing w:val="-42"/>
        </w:rPr>
        <w:t> </w:t>
      </w:r>
      <w:r>
        <w:rPr>
          <w:color w:val="231F20"/>
        </w:rPr>
        <w:t>México.</w:t>
      </w:r>
    </w:p>
    <w:p>
      <w:pPr>
        <w:pStyle w:val="BodyText"/>
        <w:spacing w:line="273" w:lineRule="auto" w:before="13"/>
        <w:ind w:left="103" w:right="650" w:firstLine="396"/>
        <w:jc w:val="both"/>
      </w:pPr>
      <w:r>
        <w:rPr>
          <w:color w:val="231F20"/>
        </w:rPr>
        <w:t>El trabajo se divide en cinco capítulos. El primero tiene como propósito darle al lector un acercamiento inicial a la forma en que funciona la cadena productiva del sector automotriz-autopartes a nivel global y local. Para ello, se parte del concepto de cadenas mercantiles globales (</w:t>
      </w:r>
      <w:r>
        <w:rPr>
          <w:rFonts w:ascii="Palatino Linotype" w:hAnsi="Palatino Linotype"/>
          <w:i/>
          <w:color w:val="231F20"/>
        </w:rPr>
        <w:t>Global Commodity Chains</w:t>
      </w:r>
      <w:r>
        <w:rPr>
          <w:color w:val="231F20"/>
        </w:rPr>
        <w:t>). El análisis de los encade- namientos mercantiles globales permite realizar una aproximación al funcionamiento actual de las estructuras económicas y productivas a nivel mundial, además de enten- der el funcionamiento de la cadena automotriz-autopartes. Como podrá apreciarse a lo largo de los capítulos, aun cuando se analice el sector automotriz a nivel de un país o un estado, el punto de partida necesariamente es el funcionamiento de la cadena productiva</w:t>
      </w:r>
      <w:r>
        <w:rPr>
          <w:color w:val="231F20"/>
          <w:spacing w:val="-14"/>
        </w:rPr>
        <w:t> </w:t>
      </w:r>
      <w:r>
        <w:rPr>
          <w:color w:val="231F20"/>
        </w:rPr>
        <w:t>a</w:t>
      </w:r>
      <w:r>
        <w:rPr>
          <w:color w:val="231F20"/>
          <w:spacing w:val="-14"/>
        </w:rPr>
        <w:t> </w:t>
      </w:r>
      <w:r>
        <w:rPr>
          <w:color w:val="231F20"/>
        </w:rPr>
        <w:t>nivel</w:t>
      </w:r>
      <w:r>
        <w:rPr>
          <w:color w:val="231F20"/>
          <w:spacing w:val="-14"/>
        </w:rPr>
        <w:t> </w:t>
      </w:r>
      <w:r>
        <w:rPr>
          <w:color w:val="231F20"/>
        </w:rPr>
        <w:t>global.</w:t>
      </w:r>
    </w:p>
    <w:p>
      <w:pPr>
        <w:pStyle w:val="BodyText"/>
        <w:spacing w:line="278" w:lineRule="auto" w:before="6"/>
        <w:ind w:left="103" w:right="651" w:firstLine="396"/>
        <w:jc w:val="both"/>
      </w:pPr>
      <w:r>
        <w:rPr>
          <w:color w:val="231F20"/>
        </w:rPr>
        <w:t>En</w:t>
      </w:r>
      <w:r>
        <w:rPr>
          <w:color w:val="231F20"/>
          <w:spacing w:val="-10"/>
        </w:rPr>
        <w:t> </w:t>
      </w:r>
      <w:r>
        <w:rPr>
          <w:color w:val="231F20"/>
        </w:rPr>
        <w:t>el</w:t>
      </w:r>
      <w:r>
        <w:rPr>
          <w:color w:val="231F20"/>
          <w:spacing w:val="-10"/>
        </w:rPr>
        <w:t> </w:t>
      </w:r>
      <w:r>
        <w:rPr>
          <w:color w:val="231F20"/>
          <w:spacing w:val="-3"/>
        </w:rPr>
        <w:t>capítulo</w:t>
      </w:r>
      <w:r>
        <w:rPr>
          <w:color w:val="231F20"/>
          <w:spacing w:val="-10"/>
        </w:rPr>
        <w:t> </w:t>
      </w:r>
      <w:r>
        <w:rPr>
          <w:color w:val="231F20"/>
        </w:rPr>
        <w:t>segundo</w:t>
      </w:r>
      <w:r>
        <w:rPr>
          <w:color w:val="231F20"/>
          <w:spacing w:val="-10"/>
        </w:rPr>
        <w:t> </w:t>
      </w:r>
      <w:r>
        <w:rPr>
          <w:color w:val="231F20"/>
        </w:rPr>
        <w:t>se</w:t>
      </w:r>
      <w:r>
        <w:rPr>
          <w:color w:val="231F20"/>
          <w:spacing w:val="-10"/>
        </w:rPr>
        <w:t> </w:t>
      </w:r>
      <w:r>
        <w:rPr>
          <w:color w:val="231F20"/>
          <w:spacing w:val="-3"/>
        </w:rPr>
        <w:t>presenta</w:t>
      </w:r>
      <w:r>
        <w:rPr>
          <w:color w:val="231F20"/>
          <w:spacing w:val="-10"/>
        </w:rPr>
        <w:t> </w:t>
      </w:r>
      <w:r>
        <w:rPr>
          <w:color w:val="231F20"/>
        </w:rPr>
        <w:t>un</w:t>
      </w:r>
      <w:r>
        <w:rPr>
          <w:color w:val="231F20"/>
          <w:spacing w:val="-10"/>
        </w:rPr>
        <w:t> </w:t>
      </w:r>
      <w:r>
        <w:rPr>
          <w:color w:val="231F20"/>
        </w:rPr>
        <w:t>panorama</w:t>
      </w:r>
      <w:r>
        <w:rPr>
          <w:color w:val="231F20"/>
          <w:spacing w:val="-10"/>
        </w:rPr>
        <w:t> </w:t>
      </w:r>
      <w:r>
        <w:rPr>
          <w:color w:val="231F20"/>
        </w:rPr>
        <w:t>del</w:t>
      </w:r>
      <w:r>
        <w:rPr>
          <w:color w:val="231F20"/>
          <w:spacing w:val="-10"/>
        </w:rPr>
        <w:t> </w:t>
      </w:r>
      <w:r>
        <w:rPr>
          <w:color w:val="231F20"/>
        </w:rPr>
        <w:t>sector</w:t>
      </w:r>
      <w:r>
        <w:rPr>
          <w:color w:val="231F20"/>
          <w:spacing w:val="-10"/>
        </w:rPr>
        <w:t> </w:t>
      </w:r>
      <w:r>
        <w:rPr>
          <w:color w:val="231F20"/>
          <w:spacing w:val="-3"/>
        </w:rPr>
        <w:t>automotriz</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spacing w:val="-3"/>
        </w:rPr>
        <w:t>mun- </w:t>
      </w:r>
      <w:r>
        <w:rPr>
          <w:color w:val="231F20"/>
        </w:rPr>
        <w:t>dial, </w:t>
      </w:r>
      <w:r>
        <w:rPr>
          <w:color w:val="231F20"/>
          <w:spacing w:val="-2"/>
        </w:rPr>
        <w:t>que </w:t>
      </w:r>
      <w:r>
        <w:rPr>
          <w:color w:val="231F20"/>
        </w:rPr>
        <w:t>permite conocer la importancia y la </w:t>
      </w:r>
      <w:r>
        <w:rPr>
          <w:color w:val="231F20"/>
          <w:spacing w:val="-3"/>
        </w:rPr>
        <w:t>evolución </w:t>
      </w:r>
      <w:r>
        <w:rPr>
          <w:color w:val="231F20"/>
        </w:rPr>
        <w:t>de esta industria en términos de </w:t>
      </w:r>
      <w:r>
        <w:rPr>
          <w:color w:val="231F20"/>
          <w:spacing w:val="-3"/>
        </w:rPr>
        <w:t>producción </w:t>
      </w:r>
      <w:r>
        <w:rPr>
          <w:color w:val="231F20"/>
        </w:rPr>
        <w:t>y </w:t>
      </w:r>
      <w:r>
        <w:rPr>
          <w:color w:val="231F20"/>
          <w:spacing w:val="-3"/>
        </w:rPr>
        <w:t>ventas, </w:t>
      </w:r>
      <w:r>
        <w:rPr>
          <w:color w:val="231F20"/>
        </w:rPr>
        <w:t>así como de </w:t>
      </w:r>
      <w:r>
        <w:rPr>
          <w:color w:val="231F20"/>
          <w:spacing w:val="-3"/>
        </w:rPr>
        <w:t>empresas, </w:t>
      </w:r>
      <w:r>
        <w:rPr>
          <w:color w:val="231F20"/>
        </w:rPr>
        <w:t>países y </w:t>
      </w:r>
      <w:r>
        <w:rPr>
          <w:color w:val="231F20"/>
          <w:spacing w:val="-3"/>
        </w:rPr>
        <w:t>regiones. Además </w:t>
      </w:r>
      <w:r>
        <w:rPr>
          <w:color w:val="231F20"/>
        </w:rPr>
        <w:t>de conocer  la </w:t>
      </w:r>
      <w:r>
        <w:rPr>
          <w:color w:val="231F20"/>
          <w:spacing w:val="-3"/>
        </w:rPr>
        <w:t>situación </w:t>
      </w:r>
      <w:r>
        <w:rPr>
          <w:color w:val="231F20"/>
        </w:rPr>
        <w:t>actual del sector e identificar los </w:t>
      </w:r>
      <w:r>
        <w:rPr>
          <w:color w:val="231F20"/>
          <w:spacing w:val="-3"/>
        </w:rPr>
        <w:t>motores </w:t>
      </w:r>
      <w:r>
        <w:rPr>
          <w:color w:val="231F20"/>
          <w:spacing w:val="-2"/>
        </w:rPr>
        <w:t>que </w:t>
      </w:r>
      <w:r>
        <w:rPr>
          <w:color w:val="231F20"/>
        </w:rPr>
        <w:t>lo están </w:t>
      </w:r>
      <w:r>
        <w:rPr>
          <w:color w:val="231F20"/>
          <w:spacing w:val="-3"/>
        </w:rPr>
        <w:t>impulsando </w:t>
      </w:r>
      <w:r>
        <w:rPr>
          <w:color w:val="231F20"/>
        </w:rPr>
        <w:t>a nivel global,</w:t>
      </w:r>
      <w:r>
        <w:rPr>
          <w:color w:val="231F20"/>
          <w:spacing w:val="-12"/>
        </w:rPr>
        <w:t> </w:t>
      </w:r>
      <w:r>
        <w:rPr>
          <w:color w:val="231F20"/>
        </w:rPr>
        <w:t>se</w:t>
      </w:r>
      <w:r>
        <w:rPr>
          <w:color w:val="231F20"/>
          <w:spacing w:val="-12"/>
        </w:rPr>
        <w:t> </w:t>
      </w:r>
      <w:r>
        <w:rPr>
          <w:color w:val="231F20"/>
          <w:spacing w:val="-2"/>
        </w:rPr>
        <w:t>aborda</w:t>
      </w:r>
      <w:r>
        <w:rPr>
          <w:color w:val="231F20"/>
          <w:spacing w:val="-12"/>
        </w:rPr>
        <w:t> </w:t>
      </w:r>
      <w:r>
        <w:rPr>
          <w:color w:val="231F20"/>
        </w:rPr>
        <w:t>la</w:t>
      </w:r>
      <w:r>
        <w:rPr>
          <w:color w:val="231F20"/>
          <w:spacing w:val="-12"/>
        </w:rPr>
        <w:t> </w:t>
      </w:r>
      <w:r>
        <w:rPr>
          <w:color w:val="231F20"/>
        </w:rPr>
        <w:t>reestructuración</w:t>
      </w:r>
      <w:r>
        <w:rPr>
          <w:color w:val="231F20"/>
          <w:spacing w:val="-12"/>
        </w:rPr>
        <w:t> </w:t>
      </w:r>
      <w:r>
        <w:rPr>
          <w:color w:val="231F20"/>
        </w:rPr>
        <w:t>del</w:t>
      </w:r>
      <w:r>
        <w:rPr>
          <w:color w:val="231F20"/>
          <w:spacing w:val="-12"/>
        </w:rPr>
        <w:t> </w:t>
      </w:r>
      <w:r>
        <w:rPr>
          <w:color w:val="231F20"/>
        </w:rPr>
        <w:t>sector</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0"/>
        </w:rPr>
        <w:t> </w:t>
      </w:r>
      <w:r>
        <w:rPr>
          <w:color w:val="231F20"/>
        </w:rPr>
        <w:t>dos</w:t>
      </w:r>
      <w:r>
        <w:rPr>
          <w:color w:val="231F20"/>
          <w:spacing w:val="-10"/>
        </w:rPr>
        <w:t> </w:t>
      </w:r>
      <w:r>
        <w:rPr>
          <w:color w:val="231F20"/>
        </w:rPr>
        <w:t>ámbitos</w:t>
      </w:r>
      <w:r>
        <w:rPr>
          <w:color w:val="231F20"/>
          <w:spacing w:val="-10"/>
        </w:rPr>
        <w:t> </w:t>
      </w:r>
      <w:r>
        <w:rPr>
          <w:color w:val="231F20"/>
        </w:rPr>
        <w:t>distintos,</w:t>
      </w:r>
      <w:r>
        <w:rPr>
          <w:color w:val="231F20"/>
          <w:spacing w:val="-10"/>
        </w:rPr>
        <w:t> </w:t>
      </w:r>
      <w:r>
        <w:rPr>
          <w:color w:val="231F20"/>
        </w:rPr>
        <w:t>el</w:t>
      </w:r>
      <w:r>
        <w:rPr>
          <w:color w:val="231F20"/>
          <w:spacing w:val="-10"/>
        </w:rPr>
        <w:t> </w:t>
      </w:r>
      <w:r>
        <w:rPr>
          <w:color w:val="231F20"/>
        </w:rPr>
        <w:t>de</w:t>
      </w:r>
      <w:r>
        <w:rPr>
          <w:color w:val="231F20"/>
          <w:spacing w:val="-10"/>
        </w:rPr>
        <w:t> </w:t>
      </w:r>
      <w:r>
        <w:rPr>
          <w:color w:val="231F20"/>
        </w:rPr>
        <w:t>la innovación tecnológica en los procesos productivos y de organización laboral y el de la reconfiguración del mercado mundial de vehículos en términos de regiones, de </w:t>
      </w:r>
      <w:r>
        <w:rPr>
          <w:color w:val="231F20"/>
          <w:spacing w:val="14"/>
        </w:rPr>
        <w:t> </w:t>
      </w:r>
      <w:r>
        <w:rPr>
          <w:color w:val="231F20"/>
        </w:rPr>
        <w:t>los</w:t>
      </w:r>
    </w:p>
    <w:p>
      <w:pPr>
        <w:spacing w:after="0" w:line="278" w:lineRule="auto"/>
        <w:jc w:val="both"/>
        <w:sectPr>
          <w:pgSz w:w="9640" w:h="13040"/>
          <w:pgMar w:header="580" w:footer="654" w:top="780" w:bottom="840" w:left="1200" w:right="480"/>
        </w:sectPr>
      </w:pPr>
    </w:p>
    <w:p>
      <w:pPr>
        <w:pStyle w:val="BodyText"/>
        <w:rPr>
          <w:sz w:val="20"/>
        </w:rPr>
      </w:pPr>
    </w:p>
    <w:p>
      <w:pPr>
        <w:pStyle w:val="BodyText"/>
        <w:spacing w:before="6"/>
      </w:pPr>
    </w:p>
    <w:p>
      <w:pPr>
        <w:pStyle w:val="BodyText"/>
        <w:spacing w:line="278" w:lineRule="auto" w:before="58"/>
        <w:ind w:left="653"/>
      </w:pPr>
      <w:r>
        <w:rPr>
          <w:color w:val="231F20"/>
        </w:rPr>
        <w:t>principales países productores y las empresas más importantes, tanto en producción como en ventas.</w:t>
      </w:r>
    </w:p>
    <w:p>
      <w:pPr>
        <w:pStyle w:val="BodyText"/>
        <w:spacing w:line="278" w:lineRule="auto" w:before="1"/>
        <w:ind w:left="653" w:right="101" w:firstLine="396"/>
        <w:jc w:val="both"/>
      </w:pPr>
      <w:r>
        <w:rPr>
          <w:color w:val="231F20"/>
        </w:rPr>
        <w:t>Respecto</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motores</w:t>
      </w:r>
      <w:r>
        <w:rPr>
          <w:color w:val="231F20"/>
          <w:spacing w:val="-16"/>
        </w:rPr>
        <w:t> </w:t>
      </w:r>
      <w:r>
        <w:rPr>
          <w:color w:val="231F20"/>
        </w:rPr>
        <w:t>que</w:t>
      </w:r>
      <w:r>
        <w:rPr>
          <w:color w:val="231F20"/>
          <w:spacing w:val="-16"/>
        </w:rPr>
        <w:t> </w:t>
      </w:r>
      <w:r>
        <w:rPr>
          <w:color w:val="231F20"/>
        </w:rPr>
        <w:t>están</w:t>
      </w:r>
      <w:r>
        <w:rPr>
          <w:color w:val="231F20"/>
          <w:spacing w:val="-16"/>
        </w:rPr>
        <w:t> </w:t>
      </w:r>
      <w:r>
        <w:rPr>
          <w:color w:val="231F20"/>
        </w:rPr>
        <w:t>impulsando</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rPr>
        <w:t>a</w:t>
      </w:r>
      <w:r>
        <w:rPr>
          <w:color w:val="231F20"/>
          <w:spacing w:val="-16"/>
        </w:rPr>
        <w:t> </w:t>
      </w:r>
      <w:r>
        <w:rPr>
          <w:color w:val="231F20"/>
        </w:rPr>
        <w:t>nivel</w:t>
      </w:r>
      <w:r>
        <w:rPr>
          <w:color w:val="231F20"/>
          <w:spacing w:val="-16"/>
        </w:rPr>
        <w:t> </w:t>
      </w:r>
      <w:r>
        <w:rPr>
          <w:color w:val="231F20"/>
        </w:rPr>
        <w:t>mundial,</w:t>
      </w:r>
      <w:r>
        <w:rPr>
          <w:color w:val="231F20"/>
          <w:spacing w:val="-16"/>
        </w:rPr>
        <w:t> </w:t>
      </w:r>
      <w:r>
        <w:rPr>
          <w:color w:val="231F20"/>
        </w:rPr>
        <w:t>se</w:t>
      </w:r>
      <w:r>
        <w:rPr>
          <w:color w:val="231F20"/>
          <w:spacing w:val="-16"/>
        </w:rPr>
        <w:t> </w:t>
      </w:r>
      <w:r>
        <w:rPr>
          <w:color w:val="231F20"/>
        </w:rPr>
        <w:t>destacan las grandes inversiones que las armadoras han realizado en el terreno de</w:t>
      </w:r>
      <w:r>
        <w:rPr>
          <w:color w:val="231F20"/>
          <w:spacing w:val="-36"/>
        </w:rPr>
        <w:t> </w:t>
      </w:r>
      <w:r>
        <w:rPr>
          <w:color w:val="231F20"/>
        </w:rPr>
        <w:t>investigación y</w:t>
      </w:r>
      <w:r>
        <w:rPr>
          <w:color w:val="231F20"/>
          <w:spacing w:val="-15"/>
        </w:rPr>
        <w:t> </w:t>
      </w:r>
      <w:r>
        <w:rPr>
          <w:color w:val="231F20"/>
        </w:rPr>
        <w:t>desarrollo</w:t>
      </w:r>
      <w:r>
        <w:rPr>
          <w:color w:val="231F20"/>
          <w:spacing w:val="-15"/>
        </w:rPr>
        <w:t> </w:t>
      </w:r>
      <w:r>
        <w:rPr>
          <w:color w:val="231F20"/>
        </w:rPr>
        <w:t>(I+D),</w:t>
      </w:r>
      <w:r>
        <w:rPr>
          <w:color w:val="231F20"/>
          <w:spacing w:val="-15"/>
        </w:rPr>
        <w:t> </w:t>
      </w:r>
      <w:r>
        <w:rPr>
          <w:color w:val="231F20"/>
        </w:rPr>
        <w:t>en</w:t>
      </w:r>
      <w:r>
        <w:rPr>
          <w:color w:val="231F20"/>
          <w:spacing w:val="-15"/>
        </w:rPr>
        <w:t> </w:t>
      </w:r>
      <w:r>
        <w:rPr>
          <w:color w:val="231F20"/>
        </w:rPr>
        <w:t>busca</w:t>
      </w:r>
      <w:r>
        <w:rPr>
          <w:color w:val="231F20"/>
          <w:spacing w:val="-15"/>
        </w:rPr>
        <w:t> </w:t>
      </w:r>
      <w:r>
        <w:rPr>
          <w:color w:val="231F20"/>
        </w:rPr>
        <w:t>de</w:t>
      </w:r>
      <w:r>
        <w:rPr>
          <w:color w:val="231F20"/>
          <w:spacing w:val="-15"/>
        </w:rPr>
        <w:t> </w:t>
      </w:r>
      <w:r>
        <w:rPr>
          <w:color w:val="231F20"/>
        </w:rPr>
        <w:t>nuevas</w:t>
      </w:r>
      <w:r>
        <w:rPr>
          <w:color w:val="231F20"/>
          <w:spacing w:val="-15"/>
        </w:rPr>
        <w:t> </w:t>
      </w:r>
      <w:r>
        <w:rPr>
          <w:color w:val="231F20"/>
        </w:rPr>
        <w:t>tecnologías</w:t>
      </w:r>
      <w:r>
        <w:rPr>
          <w:color w:val="231F20"/>
          <w:spacing w:val="-15"/>
        </w:rPr>
        <w:t> </w:t>
      </w:r>
      <w:r>
        <w:rPr>
          <w:color w:val="231F20"/>
        </w:rPr>
        <w:t>híbridas</w:t>
      </w:r>
      <w:r>
        <w:rPr>
          <w:color w:val="231F20"/>
          <w:spacing w:val="-15"/>
        </w:rPr>
        <w:t> </w:t>
      </w:r>
      <w:r>
        <w:rPr>
          <w:color w:val="231F20"/>
        </w:rPr>
        <w:t>y</w:t>
      </w:r>
      <w:r>
        <w:rPr>
          <w:color w:val="231F20"/>
          <w:spacing w:val="-15"/>
        </w:rPr>
        <w:t> </w:t>
      </w:r>
      <w:r>
        <w:rPr>
          <w:color w:val="231F20"/>
        </w:rPr>
        <w:t>combustibles</w:t>
      </w:r>
      <w:r>
        <w:rPr>
          <w:color w:val="231F20"/>
          <w:spacing w:val="-15"/>
        </w:rPr>
        <w:t> </w:t>
      </w:r>
      <w:r>
        <w:rPr>
          <w:color w:val="231F20"/>
        </w:rPr>
        <w:t>alternativos a</w:t>
      </w:r>
      <w:r>
        <w:rPr>
          <w:color w:val="231F20"/>
          <w:spacing w:val="-4"/>
        </w:rPr>
        <w:t> </w:t>
      </w:r>
      <w:r>
        <w:rPr>
          <w:color w:val="231F20"/>
        </w:rPr>
        <w:t>las</w:t>
      </w:r>
      <w:r>
        <w:rPr>
          <w:color w:val="231F20"/>
          <w:spacing w:val="-4"/>
        </w:rPr>
        <w:t> </w:t>
      </w:r>
      <w:r>
        <w:rPr>
          <w:color w:val="231F20"/>
        </w:rPr>
        <w:t>gasolinas,</w:t>
      </w:r>
      <w:r>
        <w:rPr>
          <w:color w:val="231F20"/>
          <w:spacing w:val="-4"/>
        </w:rPr>
        <w:t> </w:t>
      </w:r>
      <w:r>
        <w:rPr>
          <w:color w:val="231F20"/>
        </w:rPr>
        <w:t>pues</w:t>
      </w:r>
      <w:r>
        <w:rPr>
          <w:color w:val="231F20"/>
          <w:spacing w:val="-4"/>
        </w:rPr>
        <w:t> </w:t>
      </w:r>
      <w:r>
        <w:rPr>
          <w:color w:val="231F20"/>
        </w:rPr>
        <w:t>todo</w:t>
      </w:r>
      <w:r>
        <w:rPr>
          <w:color w:val="231F20"/>
          <w:spacing w:val="-4"/>
        </w:rPr>
        <w:t> </w:t>
      </w:r>
      <w:r>
        <w:rPr>
          <w:color w:val="231F20"/>
        </w:rPr>
        <w:t>indica</w:t>
      </w:r>
      <w:r>
        <w:rPr>
          <w:color w:val="231F20"/>
          <w:spacing w:val="-4"/>
        </w:rPr>
        <w:t> </w:t>
      </w:r>
      <w:r>
        <w:rPr>
          <w:color w:val="231F20"/>
        </w:rPr>
        <w:t>que</w:t>
      </w:r>
      <w:r>
        <w:rPr>
          <w:color w:val="231F20"/>
          <w:spacing w:val="-4"/>
        </w:rPr>
        <w:t> </w:t>
      </w:r>
      <w:r>
        <w:rPr>
          <w:color w:val="231F20"/>
        </w:rPr>
        <w:t>estos</w:t>
      </w:r>
      <w:r>
        <w:rPr>
          <w:color w:val="231F20"/>
          <w:spacing w:val="-4"/>
        </w:rPr>
        <w:t> </w:t>
      </w:r>
      <w:r>
        <w:rPr>
          <w:color w:val="231F20"/>
        </w:rPr>
        <w:t>factores</w:t>
      </w:r>
      <w:r>
        <w:rPr>
          <w:color w:val="231F20"/>
          <w:spacing w:val="-4"/>
        </w:rPr>
        <w:t> </w:t>
      </w:r>
      <w:r>
        <w:rPr>
          <w:color w:val="231F20"/>
        </w:rPr>
        <w:t>son</w:t>
      </w:r>
      <w:r>
        <w:rPr>
          <w:color w:val="231F20"/>
          <w:spacing w:val="-4"/>
        </w:rPr>
        <w:t> </w:t>
      </w:r>
      <w:r>
        <w:rPr>
          <w:color w:val="231F20"/>
        </w:rPr>
        <w:t>la</w:t>
      </w:r>
      <w:r>
        <w:rPr>
          <w:color w:val="231F20"/>
          <w:spacing w:val="-4"/>
        </w:rPr>
        <w:t> </w:t>
      </w:r>
      <w:r>
        <w:rPr>
          <w:color w:val="231F20"/>
        </w:rPr>
        <w:t>base</w:t>
      </w:r>
      <w:r>
        <w:rPr>
          <w:color w:val="231F20"/>
          <w:spacing w:val="-4"/>
        </w:rPr>
        <w:t> </w:t>
      </w:r>
      <w:r>
        <w:rPr>
          <w:color w:val="231F20"/>
        </w:rPr>
        <w:t>sobre</w:t>
      </w:r>
      <w:r>
        <w:rPr>
          <w:color w:val="231F20"/>
          <w:spacing w:val="-4"/>
        </w:rPr>
        <w:t> </w:t>
      </w:r>
      <w:r>
        <w:rPr>
          <w:color w:val="231F20"/>
        </w:rPr>
        <w:t>la</w:t>
      </w:r>
      <w:r>
        <w:rPr>
          <w:color w:val="231F20"/>
          <w:spacing w:val="-4"/>
        </w:rPr>
        <w:t> </w:t>
      </w:r>
      <w:r>
        <w:rPr>
          <w:color w:val="231F20"/>
        </w:rPr>
        <w:t>cual</w:t>
      </w:r>
      <w:r>
        <w:rPr>
          <w:color w:val="231F20"/>
          <w:spacing w:val="-4"/>
        </w:rPr>
        <w:t> </w:t>
      </w:r>
      <w:r>
        <w:rPr>
          <w:color w:val="231F20"/>
        </w:rPr>
        <w:t>se</w:t>
      </w:r>
      <w:r>
        <w:rPr>
          <w:color w:val="231F20"/>
          <w:spacing w:val="-4"/>
        </w:rPr>
        <w:t> </w:t>
      </w:r>
      <w:r>
        <w:rPr>
          <w:color w:val="231F20"/>
        </w:rPr>
        <w:t>presen- tará</w:t>
      </w:r>
      <w:r>
        <w:rPr>
          <w:color w:val="231F20"/>
          <w:spacing w:val="-4"/>
        </w:rPr>
        <w:t> </w:t>
      </w:r>
      <w:r>
        <w:rPr>
          <w:color w:val="231F20"/>
        </w:rPr>
        <w:t>una</w:t>
      </w:r>
      <w:r>
        <w:rPr>
          <w:color w:val="231F20"/>
          <w:spacing w:val="-4"/>
        </w:rPr>
        <w:t> </w:t>
      </w:r>
      <w:r>
        <w:rPr>
          <w:color w:val="231F20"/>
        </w:rPr>
        <w:t>reestructuración</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a</w:t>
      </w:r>
      <w:r>
        <w:rPr>
          <w:color w:val="231F20"/>
          <w:spacing w:val="-4"/>
        </w:rPr>
        <w:t> </w:t>
      </w:r>
      <w:r>
        <w:rPr>
          <w:color w:val="231F20"/>
        </w:rPr>
        <w:t>nivel</w:t>
      </w:r>
      <w:r>
        <w:rPr>
          <w:color w:val="231F20"/>
          <w:spacing w:val="-4"/>
        </w:rPr>
        <w:t> </w:t>
      </w:r>
      <w:r>
        <w:rPr>
          <w:color w:val="231F20"/>
        </w:rPr>
        <w:t>mundial.</w:t>
      </w:r>
      <w:r>
        <w:rPr>
          <w:color w:val="231F20"/>
          <w:spacing w:val="-4"/>
        </w:rPr>
        <w:t> </w:t>
      </w:r>
      <w:r>
        <w:rPr>
          <w:color w:val="231F20"/>
        </w:rPr>
        <w:t>Respecto</w:t>
      </w:r>
      <w:r>
        <w:rPr>
          <w:color w:val="231F20"/>
          <w:spacing w:val="-4"/>
        </w:rPr>
        <w:t> </w:t>
      </w:r>
      <w:r>
        <w:rPr>
          <w:color w:val="231F20"/>
        </w:rPr>
        <w:t>a</w:t>
      </w:r>
      <w:r>
        <w:rPr>
          <w:color w:val="231F20"/>
          <w:spacing w:val="-4"/>
        </w:rPr>
        <w:t> </w:t>
      </w:r>
      <w:r>
        <w:rPr>
          <w:color w:val="231F20"/>
        </w:rPr>
        <w:t>la</w:t>
      </w:r>
      <w:r>
        <w:rPr>
          <w:color w:val="231F20"/>
          <w:spacing w:val="-4"/>
        </w:rPr>
        <w:t> </w:t>
      </w:r>
      <w:r>
        <w:rPr>
          <w:color w:val="231F20"/>
        </w:rPr>
        <w:t>reconfiguración</w:t>
      </w:r>
      <w:r>
        <w:rPr>
          <w:color w:val="231F20"/>
          <w:spacing w:val="-4"/>
        </w:rPr>
        <w:t> </w:t>
      </w:r>
      <w:r>
        <w:rPr>
          <w:color w:val="231F20"/>
        </w:rPr>
        <w:t>del mercado mundial de vehículos, en el capítulo se presentan datos que dan evidencia</w:t>
      </w:r>
      <w:r>
        <w:rPr>
          <w:color w:val="231F20"/>
          <w:spacing w:val="-32"/>
        </w:rPr>
        <w:t> </w:t>
      </w:r>
      <w:r>
        <w:rPr>
          <w:color w:val="231F20"/>
        </w:rPr>
        <w:t>de cómo</w:t>
      </w:r>
      <w:r>
        <w:rPr>
          <w:color w:val="231F20"/>
          <w:spacing w:val="-6"/>
        </w:rPr>
        <w:t> </w:t>
      </w:r>
      <w:r>
        <w:rPr>
          <w:color w:val="231F20"/>
        </w:rPr>
        <w:t>han</w:t>
      </w:r>
      <w:r>
        <w:rPr>
          <w:color w:val="231F20"/>
          <w:spacing w:val="-6"/>
        </w:rPr>
        <w:t> </w:t>
      </w:r>
      <w:r>
        <w:rPr>
          <w:color w:val="231F20"/>
        </w:rPr>
        <w:t>evolucionado</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venta</w:t>
      </w:r>
      <w:r>
        <w:rPr>
          <w:color w:val="231F20"/>
          <w:spacing w:val="-6"/>
        </w:rPr>
        <w:t> </w:t>
      </w:r>
      <w:r>
        <w:rPr>
          <w:color w:val="231F20"/>
        </w:rPr>
        <w:t>mundiales</w:t>
      </w:r>
      <w:r>
        <w:rPr>
          <w:color w:val="231F20"/>
          <w:spacing w:val="-6"/>
        </w:rPr>
        <w:t> </w:t>
      </w:r>
      <w:r>
        <w:rPr>
          <w:color w:val="231F20"/>
        </w:rPr>
        <w:t>de</w:t>
      </w:r>
      <w:r>
        <w:rPr>
          <w:color w:val="231F20"/>
          <w:spacing w:val="-6"/>
        </w:rPr>
        <w:t> </w:t>
      </w:r>
      <w:r>
        <w:rPr>
          <w:color w:val="231F20"/>
        </w:rPr>
        <w:t>vehículos</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forma</w:t>
      </w:r>
      <w:r>
        <w:rPr>
          <w:color w:val="231F20"/>
          <w:spacing w:val="-6"/>
        </w:rPr>
        <w:t> </w:t>
      </w:r>
      <w:r>
        <w:rPr>
          <w:color w:val="231F20"/>
        </w:rPr>
        <w:t>en que ha cambiado la estructura del sector en los últimos años. El periodo de análisis</w:t>
      </w:r>
      <w:r>
        <w:rPr>
          <w:color w:val="231F20"/>
          <w:spacing w:val="-30"/>
        </w:rPr>
        <w:t> </w:t>
      </w:r>
      <w:r>
        <w:rPr>
          <w:color w:val="231F20"/>
        </w:rPr>
        <w:t>va del</w:t>
      </w:r>
      <w:r>
        <w:rPr>
          <w:color w:val="231F20"/>
          <w:spacing w:val="-10"/>
        </w:rPr>
        <w:t> </w:t>
      </w:r>
      <w:r>
        <w:rPr>
          <w:color w:val="231F20"/>
        </w:rPr>
        <w:t>2000</w:t>
      </w:r>
      <w:r>
        <w:rPr>
          <w:color w:val="231F20"/>
          <w:spacing w:val="-10"/>
        </w:rPr>
        <w:t> </w:t>
      </w:r>
      <w:r>
        <w:rPr>
          <w:color w:val="231F20"/>
        </w:rPr>
        <w:t>al</w:t>
      </w:r>
      <w:r>
        <w:rPr>
          <w:color w:val="231F20"/>
          <w:spacing w:val="-10"/>
        </w:rPr>
        <w:t> </w:t>
      </w:r>
      <w:r>
        <w:rPr>
          <w:color w:val="231F20"/>
        </w:rPr>
        <w:t>2013;</w:t>
      </w:r>
      <w:r>
        <w:rPr>
          <w:color w:val="231F20"/>
          <w:spacing w:val="-10"/>
        </w:rPr>
        <w:t> </w:t>
      </w:r>
      <w:r>
        <w:rPr>
          <w:color w:val="231F20"/>
        </w:rPr>
        <w:t>sólo</w:t>
      </w:r>
      <w:r>
        <w:rPr>
          <w:color w:val="231F20"/>
          <w:spacing w:val="-10"/>
        </w:rPr>
        <w:t> </w:t>
      </w:r>
      <w:r>
        <w:rPr>
          <w:color w:val="231F20"/>
        </w:rPr>
        <w:t>cuando</w:t>
      </w:r>
      <w:r>
        <w:rPr>
          <w:color w:val="231F20"/>
          <w:spacing w:val="-10"/>
        </w:rPr>
        <w:t> </w:t>
      </w:r>
      <w:r>
        <w:rPr>
          <w:color w:val="231F20"/>
        </w:rPr>
        <w:t>es</w:t>
      </w:r>
      <w:r>
        <w:rPr>
          <w:color w:val="231F20"/>
          <w:spacing w:val="-10"/>
        </w:rPr>
        <w:t> </w:t>
      </w:r>
      <w:r>
        <w:rPr>
          <w:color w:val="231F20"/>
        </w:rPr>
        <w:t>necesario</w:t>
      </w:r>
      <w:r>
        <w:rPr>
          <w:color w:val="231F20"/>
          <w:spacing w:val="-10"/>
        </w:rPr>
        <w:t> </w:t>
      </w:r>
      <w:r>
        <w:rPr>
          <w:color w:val="231F20"/>
        </w:rPr>
        <w:t>se</w:t>
      </w:r>
      <w:r>
        <w:rPr>
          <w:color w:val="231F20"/>
          <w:spacing w:val="-10"/>
        </w:rPr>
        <w:t> </w:t>
      </w:r>
      <w:r>
        <w:rPr>
          <w:color w:val="231F20"/>
        </w:rPr>
        <w:t>emplean</w:t>
      </w:r>
      <w:r>
        <w:rPr>
          <w:color w:val="231F20"/>
          <w:spacing w:val="-10"/>
        </w:rPr>
        <w:t> </w:t>
      </w:r>
      <w:r>
        <w:rPr>
          <w:color w:val="231F20"/>
        </w:rPr>
        <w:t>datos</w:t>
      </w:r>
      <w:r>
        <w:rPr>
          <w:color w:val="231F20"/>
          <w:spacing w:val="-10"/>
        </w:rPr>
        <w:t> </w:t>
      </w:r>
      <w:r>
        <w:rPr>
          <w:color w:val="231F20"/>
        </w:rPr>
        <w:t>anteriores.</w:t>
      </w:r>
    </w:p>
    <w:p>
      <w:pPr>
        <w:pStyle w:val="BodyText"/>
        <w:spacing w:line="278" w:lineRule="auto" w:before="1"/>
        <w:ind w:left="653" w:right="101" w:firstLine="396"/>
        <w:jc w:val="both"/>
      </w:pPr>
      <w:r>
        <w:rPr>
          <w:color w:val="231F20"/>
        </w:rPr>
        <w:t>En el capítulo tercero se abordan la evolución y el desempeño del sector auto- motriz en México. Se presentan algunos datos que dan evidencia de la importancia que esta industria tiene para la economía nacional y la conformación de la cadena productiva. Se muestran los diferentes decretos que se han emitido en apoyo de esta industria, los que han jugado un papel relevante en su desarrollo y su situación</w:t>
      </w:r>
      <w:r>
        <w:rPr>
          <w:color w:val="231F20"/>
          <w:spacing w:val="-27"/>
        </w:rPr>
        <w:t> </w:t>
      </w:r>
      <w:r>
        <w:rPr>
          <w:color w:val="231F20"/>
        </w:rPr>
        <w:t>actual. Finalmente,</w:t>
      </w:r>
      <w:r>
        <w:rPr>
          <w:color w:val="231F20"/>
          <w:spacing w:val="-9"/>
        </w:rPr>
        <w:t> </w:t>
      </w:r>
      <w:r>
        <w:rPr>
          <w:color w:val="231F20"/>
        </w:rPr>
        <w:t>se</w:t>
      </w:r>
      <w:r>
        <w:rPr>
          <w:color w:val="231F20"/>
          <w:spacing w:val="-9"/>
        </w:rPr>
        <w:t> </w:t>
      </w:r>
      <w:r>
        <w:rPr>
          <w:color w:val="231F20"/>
        </w:rPr>
        <w:t>examina</w:t>
      </w:r>
      <w:r>
        <w:rPr>
          <w:color w:val="231F20"/>
          <w:spacing w:val="-9"/>
        </w:rPr>
        <w:t> </w:t>
      </w:r>
      <w:r>
        <w:rPr>
          <w:color w:val="231F20"/>
        </w:rPr>
        <w:t>el</w:t>
      </w:r>
      <w:r>
        <w:rPr>
          <w:color w:val="231F20"/>
          <w:spacing w:val="-9"/>
        </w:rPr>
        <w:t> </w:t>
      </w:r>
      <w:r>
        <w:rPr>
          <w:color w:val="231F20"/>
        </w:rPr>
        <w:t>desempeño</w:t>
      </w:r>
      <w:r>
        <w:rPr>
          <w:color w:val="231F20"/>
          <w:spacing w:val="-9"/>
        </w:rPr>
        <w:t> </w:t>
      </w:r>
      <w:r>
        <w:rPr>
          <w:color w:val="231F20"/>
        </w:rPr>
        <w:t>del</w:t>
      </w:r>
      <w:r>
        <w:rPr>
          <w:color w:val="231F20"/>
          <w:spacing w:val="-9"/>
        </w:rPr>
        <w:t> </w:t>
      </w:r>
      <w:r>
        <w:rPr>
          <w:color w:val="231F20"/>
        </w:rPr>
        <w:t>sector</w:t>
      </w:r>
      <w:r>
        <w:rPr>
          <w:color w:val="231F20"/>
          <w:spacing w:val="-9"/>
        </w:rPr>
        <w:t> </w:t>
      </w:r>
      <w:r>
        <w:rPr>
          <w:color w:val="231F20"/>
        </w:rPr>
        <w:t>durante</w:t>
      </w:r>
      <w:r>
        <w:rPr>
          <w:color w:val="231F20"/>
          <w:spacing w:val="-9"/>
        </w:rPr>
        <w:t> </w:t>
      </w:r>
      <w:r>
        <w:rPr>
          <w:color w:val="231F20"/>
        </w:rPr>
        <w:t>las</w:t>
      </w:r>
      <w:r>
        <w:rPr>
          <w:color w:val="231F20"/>
          <w:spacing w:val="-9"/>
        </w:rPr>
        <w:t> </w:t>
      </w:r>
      <w:r>
        <w:rPr>
          <w:color w:val="231F20"/>
        </w:rPr>
        <w:t>últimas</w:t>
      </w:r>
      <w:r>
        <w:rPr>
          <w:color w:val="231F20"/>
          <w:spacing w:val="-9"/>
        </w:rPr>
        <w:t> </w:t>
      </w:r>
      <w:r>
        <w:rPr>
          <w:color w:val="231F20"/>
        </w:rPr>
        <w:t>décadas,</w:t>
      </w:r>
      <w:r>
        <w:rPr>
          <w:color w:val="231F20"/>
          <w:spacing w:val="-9"/>
        </w:rPr>
        <w:t> </w:t>
      </w:r>
      <w:r>
        <w:rPr>
          <w:color w:val="231F20"/>
        </w:rPr>
        <w:t>haciendo hincapié</w:t>
      </w:r>
      <w:r>
        <w:rPr>
          <w:color w:val="231F20"/>
          <w:spacing w:val="-6"/>
        </w:rPr>
        <w:t> </w:t>
      </w:r>
      <w:r>
        <w:rPr>
          <w:color w:val="231F20"/>
        </w:rPr>
        <w:t>en</w:t>
      </w:r>
      <w:r>
        <w:rPr>
          <w:color w:val="231F20"/>
          <w:spacing w:val="-6"/>
        </w:rPr>
        <w:t> </w:t>
      </w:r>
      <w:r>
        <w:rPr>
          <w:color w:val="231F20"/>
        </w:rPr>
        <w:t>la</w:t>
      </w:r>
      <w:r>
        <w:rPr>
          <w:color w:val="231F20"/>
          <w:spacing w:val="-6"/>
        </w:rPr>
        <w:t> </w:t>
      </w:r>
      <w:r>
        <w:rPr>
          <w:color w:val="231F20"/>
        </w:rPr>
        <w:t>importancia</w:t>
      </w:r>
      <w:r>
        <w:rPr>
          <w:color w:val="231F20"/>
          <w:spacing w:val="-6"/>
        </w:rPr>
        <w:t> </w:t>
      </w:r>
      <w:r>
        <w:rPr>
          <w:color w:val="231F20"/>
        </w:rPr>
        <w:t>que</w:t>
      </w:r>
      <w:r>
        <w:rPr>
          <w:color w:val="231F20"/>
          <w:spacing w:val="-6"/>
        </w:rPr>
        <w:t> </w:t>
      </w:r>
      <w:r>
        <w:rPr>
          <w:color w:val="231F20"/>
        </w:rPr>
        <w:t>adquiere</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externo</w:t>
      </w:r>
      <w:r>
        <w:rPr>
          <w:color w:val="231F20"/>
          <w:spacing w:val="-6"/>
        </w:rPr>
        <w:t> </w:t>
      </w:r>
      <w:r>
        <w:rPr>
          <w:color w:val="231F20"/>
        </w:rPr>
        <w:t>para</w:t>
      </w:r>
      <w:r>
        <w:rPr>
          <w:color w:val="231F20"/>
          <w:spacing w:val="-6"/>
        </w:rPr>
        <w:t> </w:t>
      </w:r>
      <w:r>
        <w:rPr>
          <w:color w:val="231F20"/>
        </w:rPr>
        <w:t>esta</w:t>
      </w:r>
      <w:r>
        <w:rPr>
          <w:color w:val="231F20"/>
          <w:spacing w:val="-6"/>
        </w:rPr>
        <w:t> </w:t>
      </w:r>
      <w:r>
        <w:rPr>
          <w:color w:val="231F20"/>
        </w:rPr>
        <w:t>industria</w:t>
      </w:r>
      <w:r>
        <w:rPr>
          <w:color w:val="231F20"/>
          <w:spacing w:val="-6"/>
        </w:rPr>
        <w:t> </w:t>
      </w:r>
      <w:r>
        <w:rPr>
          <w:color w:val="231F20"/>
        </w:rPr>
        <w:t>a</w:t>
      </w:r>
      <w:r>
        <w:rPr>
          <w:color w:val="231F20"/>
          <w:spacing w:val="-6"/>
        </w:rPr>
        <w:t> </w:t>
      </w:r>
      <w:r>
        <w:rPr>
          <w:color w:val="231F20"/>
        </w:rPr>
        <w:t>partir de</w:t>
      </w:r>
      <w:r>
        <w:rPr>
          <w:color w:val="231F20"/>
          <w:spacing w:val="-14"/>
        </w:rPr>
        <w:t> </w:t>
      </w:r>
      <w:r>
        <w:rPr>
          <w:color w:val="231F20"/>
        </w:rPr>
        <w:t>la</w:t>
      </w:r>
      <w:r>
        <w:rPr>
          <w:color w:val="231F20"/>
          <w:spacing w:val="-14"/>
        </w:rPr>
        <w:t> </w:t>
      </w:r>
      <w:r>
        <w:rPr>
          <w:color w:val="231F20"/>
        </w:rPr>
        <w:t>firma</w:t>
      </w:r>
      <w:r>
        <w:rPr>
          <w:color w:val="231F20"/>
          <w:spacing w:val="-14"/>
        </w:rPr>
        <w:t> </w:t>
      </w:r>
      <w:r>
        <w:rPr>
          <w:color w:val="231F20"/>
        </w:rPr>
        <w:t>del</w:t>
      </w:r>
      <w:r>
        <w:rPr>
          <w:color w:val="231F20"/>
          <w:spacing w:val="-14"/>
        </w:rPr>
        <w:t> </w:t>
      </w:r>
      <w:r>
        <w:rPr>
          <w:color w:val="231F20"/>
        </w:rPr>
        <w:t>TLCAN.</w:t>
      </w:r>
    </w:p>
    <w:p>
      <w:pPr>
        <w:pStyle w:val="BodyText"/>
        <w:spacing w:line="278" w:lineRule="auto" w:before="1"/>
        <w:ind w:left="653" w:right="100" w:firstLine="396"/>
        <w:jc w:val="both"/>
      </w:pPr>
      <w:r>
        <w:rPr>
          <w:color w:val="231F20"/>
        </w:rPr>
        <w:t>En</w:t>
      </w:r>
      <w:r>
        <w:rPr>
          <w:color w:val="231F20"/>
          <w:spacing w:val="-11"/>
        </w:rPr>
        <w:t> </w:t>
      </w:r>
      <w:r>
        <w:rPr>
          <w:color w:val="231F20"/>
        </w:rPr>
        <w:t>el</w:t>
      </w:r>
      <w:r>
        <w:rPr>
          <w:color w:val="231F20"/>
          <w:spacing w:val="-11"/>
        </w:rPr>
        <w:t> </w:t>
      </w:r>
      <w:r>
        <w:rPr>
          <w:color w:val="231F20"/>
        </w:rPr>
        <w:t>capítulo</w:t>
      </w:r>
      <w:r>
        <w:rPr>
          <w:color w:val="231F20"/>
          <w:spacing w:val="-11"/>
        </w:rPr>
        <w:t> </w:t>
      </w:r>
      <w:r>
        <w:rPr>
          <w:color w:val="231F20"/>
        </w:rPr>
        <w:t>cuarto</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obra</w:t>
      </w:r>
      <w:r>
        <w:rPr>
          <w:color w:val="231F20"/>
          <w:spacing w:val="-11"/>
        </w:rPr>
        <w:t> </w:t>
      </w:r>
      <w:r>
        <w:rPr>
          <w:color w:val="231F20"/>
        </w:rPr>
        <w:t>se</w:t>
      </w:r>
      <w:r>
        <w:rPr>
          <w:color w:val="231F20"/>
          <w:spacing w:val="-11"/>
        </w:rPr>
        <w:t> </w:t>
      </w:r>
      <w:r>
        <w:rPr>
          <w:color w:val="231F20"/>
        </w:rPr>
        <w:t>analizan</w:t>
      </w:r>
      <w:r>
        <w:rPr>
          <w:color w:val="231F20"/>
          <w:spacing w:val="-11"/>
        </w:rPr>
        <w:t> </w:t>
      </w:r>
      <w:r>
        <w:rPr>
          <w:color w:val="231F20"/>
        </w:rPr>
        <w:t>la</w:t>
      </w:r>
      <w:r>
        <w:rPr>
          <w:color w:val="231F20"/>
          <w:spacing w:val="-11"/>
        </w:rPr>
        <w:t> </w:t>
      </w:r>
      <w:r>
        <w:rPr>
          <w:color w:val="231F20"/>
        </w:rPr>
        <w:t>importancia,</w:t>
      </w:r>
      <w:r>
        <w:rPr>
          <w:color w:val="231F20"/>
          <w:spacing w:val="-11"/>
        </w:rPr>
        <w:t> </w:t>
      </w:r>
      <w:r>
        <w:rPr>
          <w:color w:val="231F20"/>
        </w:rPr>
        <w:t>la</w:t>
      </w:r>
      <w:r>
        <w:rPr>
          <w:color w:val="231F20"/>
          <w:spacing w:val="-11"/>
        </w:rPr>
        <w:t> </w:t>
      </w:r>
      <w:r>
        <w:rPr>
          <w:color w:val="231F20"/>
        </w:rPr>
        <w:t>evolución</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des- empeño</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automotriz</w:t>
      </w:r>
      <w:r>
        <w:rPr>
          <w:color w:val="231F20"/>
          <w:spacing w:val="-6"/>
        </w:rPr>
        <w:t> </w:t>
      </w:r>
      <w:r>
        <w:rPr>
          <w:color w:val="231F20"/>
        </w:rPr>
        <w:t>ha</w:t>
      </w:r>
      <w:r>
        <w:rPr>
          <w:color w:val="231F20"/>
          <w:spacing w:val="-6"/>
        </w:rPr>
        <w:t> </w:t>
      </w:r>
      <w:r>
        <w:rPr>
          <w:color w:val="231F20"/>
        </w:rPr>
        <w:t>tenido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durante</w:t>
      </w:r>
      <w:r>
        <w:rPr>
          <w:color w:val="231F20"/>
          <w:spacing w:val="-6"/>
        </w:rPr>
        <w:t> </w:t>
      </w:r>
      <w:r>
        <w:rPr>
          <w:color w:val="231F20"/>
        </w:rPr>
        <w:t>los</w:t>
      </w:r>
      <w:r>
        <w:rPr>
          <w:color w:val="231F20"/>
          <w:spacing w:val="-6"/>
        </w:rPr>
        <w:t> </w:t>
      </w:r>
      <w:r>
        <w:rPr>
          <w:color w:val="231F20"/>
        </w:rPr>
        <w:t>últimos años,</w:t>
      </w:r>
      <w:r>
        <w:rPr>
          <w:color w:val="231F20"/>
          <w:spacing w:val="-10"/>
        </w:rPr>
        <w:t> </w:t>
      </w:r>
      <w:r>
        <w:rPr>
          <w:color w:val="231F20"/>
        </w:rPr>
        <w:t>con</w:t>
      </w:r>
      <w:r>
        <w:rPr>
          <w:color w:val="231F20"/>
          <w:spacing w:val="-10"/>
        </w:rPr>
        <w:t> </w:t>
      </w:r>
      <w:r>
        <w:rPr>
          <w:color w:val="231F20"/>
        </w:rPr>
        <w:t>el</w:t>
      </w:r>
      <w:r>
        <w:rPr>
          <w:color w:val="231F20"/>
          <w:spacing w:val="-10"/>
        </w:rPr>
        <w:t> </w:t>
      </w:r>
      <w:r>
        <w:rPr>
          <w:color w:val="231F20"/>
        </w:rPr>
        <w:t>propósito</w:t>
      </w:r>
      <w:r>
        <w:rPr>
          <w:color w:val="231F20"/>
          <w:spacing w:val="-10"/>
        </w:rPr>
        <w:t> </w:t>
      </w:r>
      <w:r>
        <w:rPr>
          <w:color w:val="231F20"/>
        </w:rPr>
        <w:t>de</w:t>
      </w:r>
      <w:r>
        <w:rPr>
          <w:color w:val="231F20"/>
          <w:spacing w:val="-10"/>
        </w:rPr>
        <w:t> </w:t>
      </w:r>
      <w:r>
        <w:rPr>
          <w:color w:val="231F20"/>
        </w:rPr>
        <w:t>evidenciar</w:t>
      </w:r>
      <w:r>
        <w:rPr>
          <w:color w:val="231F20"/>
          <w:spacing w:val="-10"/>
        </w:rPr>
        <w:t> </w:t>
      </w:r>
      <w:r>
        <w:rPr>
          <w:color w:val="231F20"/>
        </w:rPr>
        <w:t>la</w:t>
      </w:r>
      <w:r>
        <w:rPr>
          <w:color w:val="231F20"/>
          <w:spacing w:val="-10"/>
        </w:rPr>
        <w:t> </w:t>
      </w:r>
      <w:r>
        <w:rPr>
          <w:color w:val="231F20"/>
        </w:rPr>
        <w:t>disminución</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ritmo</w:t>
      </w:r>
      <w:r>
        <w:rPr>
          <w:color w:val="231F20"/>
          <w:spacing w:val="-10"/>
        </w:rPr>
        <w:t> </w:t>
      </w:r>
      <w:r>
        <w:rPr>
          <w:color w:val="231F20"/>
        </w:rPr>
        <w:t>de</w:t>
      </w:r>
      <w:r>
        <w:rPr>
          <w:color w:val="231F20"/>
          <w:spacing w:val="-10"/>
        </w:rPr>
        <w:t> </w:t>
      </w:r>
      <w:r>
        <w:rPr>
          <w:color w:val="231F20"/>
        </w:rPr>
        <w:t>crecimiento</w:t>
      </w:r>
      <w:r>
        <w:rPr>
          <w:color w:val="231F20"/>
          <w:spacing w:val="-10"/>
        </w:rPr>
        <w:t> </w:t>
      </w:r>
      <w:r>
        <w:rPr>
          <w:color w:val="231F20"/>
        </w:rPr>
        <w:t>que</w:t>
      </w:r>
      <w:r>
        <w:rPr>
          <w:color w:val="231F20"/>
          <w:spacing w:val="-10"/>
        </w:rPr>
        <w:t> </w:t>
      </w:r>
      <w:r>
        <w:rPr>
          <w:color w:val="231F20"/>
        </w:rPr>
        <w:t>esta industria ha tenido en la entidad, lo cual contrasta con el crecimiento que ha tenido a nivel</w:t>
      </w:r>
      <w:r>
        <w:rPr>
          <w:color w:val="231F20"/>
          <w:spacing w:val="-12"/>
        </w:rPr>
        <w:t> </w:t>
      </w:r>
      <w:r>
        <w:rPr>
          <w:color w:val="231F20"/>
        </w:rPr>
        <w:t>nacional</w:t>
      </w:r>
      <w:r>
        <w:rPr>
          <w:color w:val="231F20"/>
          <w:spacing w:val="-12"/>
        </w:rPr>
        <w:t> </w:t>
      </w:r>
      <w:r>
        <w:rPr>
          <w:color w:val="231F20"/>
        </w:rPr>
        <w:t>y</w:t>
      </w:r>
      <w:r>
        <w:rPr>
          <w:color w:val="231F20"/>
          <w:spacing w:val="-12"/>
        </w:rPr>
        <w:t> </w:t>
      </w:r>
      <w:r>
        <w:rPr>
          <w:color w:val="231F20"/>
        </w:rPr>
        <w:t>en</w:t>
      </w:r>
      <w:r>
        <w:rPr>
          <w:color w:val="231F20"/>
          <w:spacing w:val="-12"/>
        </w:rPr>
        <w:t> </w:t>
      </w:r>
      <w:r>
        <w:rPr>
          <w:color w:val="231F20"/>
        </w:rPr>
        <w:t>otras</w:t>
      </w:r>
      <w:r>
        <w:rPr>
          <w:color w:val="231F20"/>
          <w:spacing w:val="-12"/>
        </w:rPr>
        <w:t> </w:t>
      </w:r>
      <w:r>
        <w:rPr>
          <w:color w:val="231F20"/>
        </w:rPr>
        <w:t>entidades</w:t>
      </w:r>
      <w:r>
        <w:rPr>
          <w:color w:val="231F20"/>
          <w:spacing w:val="-12"/>
        </w:rPr>
        <w:t> </w:t>
      </w:r>
      <w:r>
        <w:rPr>
          <w:color w:val="231F20"/>
        </w:rPr>
        <w:t>del</w:t>
      </w:r>
      <w:r>
        <w:rPr>
          <w:color w:val="231F20"/>
          <w:spacing w:val="-12"/>
        </w:rPr>
        <w:t> </w:t>
      </w:r>
      <w:r>
        <w:rPr>
          <w:color w:val="231F20"/>
        </w:rPr>
        <w:t>país.</w:t>
      </w:r>
      <w:r>
        <w:rPr>
          <w:color w:val="231F20"/>
          <w:spacing w:val="-12"/>
        </w:rPr>
        <w:t> </w:t>
      </w:r>
      <w:r>
        <w:rPr>
          <w:color w:val="231F20"/>
        </w:rPr>
        <w:t>Se</w:t>
      </w:r>
      <w:r>
        <w:rPr>
          <w:color w:val="231F20"/>
          <w:spacing w:val="-12"/>
        </w:rPr>
        <w:t> </w:t>
      </w:r>
      <w:r>
        <w:rPr>
          <w:color w:val="231F20"/>
        </w:rPr>
        <w:t>parte</w:t>
      </w:r>
      <w:r>
        <w:rPr>
          <w:color w:val="231F20"/>
          <w:spacing w:val="-12"/>
        </w:rPr>
        <w:t> </w:t>
      </w:r>
      <w:r>
        <w:rPr>
          <w:color w:val="231F20"/>
        </w:rPr>
        <w:t>de</w:t>
      </w:r>
      <w:r>
        <w:rPr>
          <w:color w:val="231F20"/>
          <w:spacing w:val="-12"/>
        </w:rPr>
        <w:t> </w:t>
      </w:r>
      <w:r>
        <w:rPr>
          <w:color w:val="231F20"/>
        </w:rPr>
        <w:t>analizar</w:t>
      </w:r>
      <w:r>
        <w:rPr>
          <w:color w:val="231F20"/>
          <w:spacing w:val="-12"/>
        </w:rPr>
        <w:t> </w:t>
      </w:r>
      <w:r>
        <w:rPr>
          <w:color w:val="231F20"/>
        </w:rPr>
        <w:t>la</w:t>
      </w:r>
      <w:r>
        <w:rPr>
          <w:color w:val="231F20"/>
          <w:spacing w:val="-12"/>
        </w:rPr>
        <w:t> </w:t>
      </w:r>
      <w:r>
        <w:rPr>
          <w:color w:val="231F20"/>
        </w:rPr>
        <w:t>importancia</w:t>
      </w:r>
      <w:r>
        <w:rPr>
          <w:color w:val="231F20"/>
          <w:spacing w:val="-12"/>
        </w:rPr>
        <w:t> </w:t>
      </w:r>
      <w:r>
        <w:rPr>
          <w:color w:val="231F20"/>
        </w:rPr>
        <w:t>que</w:t>
      </w:r>
      <w:r>
        <w:rPr>
          <w:color w:val="231F20"/>
          <w:spacing w:val="-12"/>
        </w:rPr>
        <w:t> </w:t>
      </w:r>
      <w:r>
        <w:rPr>
          <w:color w:val="231F20"/>
        </w:rPr>
        <w:t>este sector tiene para la economía del estado y se observa su desempeño a partir de varia- bles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empleo,</w:t>
      </w:r>
      <w:r>
        <w:rPr>
          <w:color w:val="231F20"/>
          <w:spacing w:val="-6"/>
        </w:rPr>
        <w:t> </w:t>
      </w:r>
      <w:r>
        <w:rPr>
          <w:color w:val="231F20"/>
        </w:rPr>
        <w:t>unidades</w:t>
      </w:r>
      <w:r>
        <w:rPr>
          <w:color w:val="231F20"/>
          <w:spacing w:val="-6"/>
        </w:rPr>
        <w:t> </w:t>
      </w:r>
      <w:r>
        <w:rPr>
          <w:color w:val="231F20"/>
        </w:rPr>
        <w:t>económicas</w:t>
      </w:r>
      <w:r>
        <w:rPr>
          <w:color w:val="231F20"/>
          <w:spacing w:val="-6"/>
        </w:rPr>
        <w:t> </w:t>
      </w:r>
      <w:r>
        <w:rPr>
          <w:color w:val="231F20"/>
        </w:rPr>
        <w:t>e</w:t>
      </w:r>
      <w:r>
        <w:rPr>
          <w:color w:val="231F20"/>
          <w:spacing w:val="-6"/>
        </w:rPr>
        <w:t> </w:t>
      </w:r>
      <w:r>
        <w:rPr>
          <w:color w:val="231F20"/>
        </w:rPr>
        <w:t>inversión.</w:t>
      </w:r>
      <w:r>
        <w:rPr>
          <w:color w:val="231F20"/>
          <w:spacing w:val="-6"/>
        </w:rPr>
        <w:t> </w:t>
      </w:r>
      <w:r>
        <w:rPr>
          <w:color w:val="231F20"/>
        </w:rPr>
        <w:t>Finalmente</w:t>
      </w:r>
      <w:r>
        <w:rPr>
          <w:color w:val="231F20"/>
          <w:spacing w:val="-6"/>
        </w:rPr>
        <w:t> </w:t>
      </w:r>
      <w:r>
        <w:rPr>
          <w:color w:val="231F20"/>
        </w:rPr>
        <w:t>se</w:t>
      </w:r>
      <w:r>
        <w:rPr>
          <w:color w:val="231F20"/>
          <w:spacing w:val="-6"/>
        </w:rPr>
        <w:t> </w:t>
      </w:r>
      <w:r>
        <w:rPr>
          <w:color w:val="231F20"/>
        </w:rPr>
        <w:t>destacan algunos aspectos que tratan de explicar la pérdida de dinamismo. Para este capítulo  la información estadística se centra en las cifras de las tres grandes transnacionales norteamericanas,</w:t>
      </w:r>
      <w:r>
        <w:rPr>
          <w:color w:val="231F20"/>
          <w:spacing w:val="-13"/>
        </w:rPr>
        <w:t> </w:t>
      </w:r>
      <w:r>
        <w:rPr>
          <w:color w:val="231F20"/>
        </w:rPr>
        <w:t>Chrysler,</w:t>
      </w:r>
      <w:r>
        <w:rPr>
          <w:color w:val="231F20"/>
          <w:spacing w:val="-13"/>
        </w:rPr>
        <w:t> </w:t>
      </w:r>
      <w:r>
        <w:rPr>
          <w:color w:val="231F20"/>
          <w:spacing w:val="-3"/>
        </w:rPr>
        <w:t>Ford</w:t>
      </w:r>
      <w:r>
        <w:rPr>
          <w:color w:val="231F20"/>
          <w:spacing w:val="-13"/>
        </w:rPr>
        <w:t> </w:t>
      </w:r>
      <w:r>
        <w:rPr>
          <w:color w:val="231F20"/>
        </w:rPr>
        <w:t>y</w:t>
      </w:r>
      <w:r>
        <w:rPr>
          <w:color w:val="231F20"/>
          <w:spacing w:val="-13"/>
        </w:rPr>
        <w:t> </w:t>
      </w:r>
      <w:r>
        <w:rPr>
          <w:color w:val="231F20"/>
        </w:rPr>
        <w:t>General</w:t>
      </w:r>
      <w:r>
        <w:rPr>
          <w:color w:val="231F20"/>
          <w:spacing w:val="-13"/>
        </w:rPr>
        <w:t> </w:t>
      </w:r>
      <w:r>
        <w:rPr>
          <w:color w:val="231F20"/>
          <w:spacing w:val="-3"/>
        </w:rPr>
        <w:t>Motors,</w:t>
      </w:r>
      <w:r>
        <w:rPr>
          <w:color w:val="231F20"/>
          <w:spacing w:val="-13"/>
        </w:rPr>
        <w:t> </w:t>
      </w:r>
      <w:r>
        <w:rPr>
          <w:color w:val="231F20"/>
        </w:rPr>
        <w:t>al</w:t>
      </w:r>
      <w:r>
        <w:rPr>
          <w:color w:val="231F20"/>
          <w:spacing w:val="-13"/>
        </w:rPr>
        <w:t> </w:t>
      </w:r>
      <w:r>
        <w:rPr>
          <w:color w:val="231F20"/>
        </w:rPr>
        <w:t>ser</w:t>
      </w:r>
      <w:r>
        <w:rPr>
          <w:color w:val="231F20"/>
          <w:spacing w:val="-13"/>
        </w:rPr>
        <w:t> </w:t>
      </w:r>
      <w:r>
        <w:rPr>
          <w:color w:val="231F20"/>
        </w:rPr>
        <w:t>éstas</w:t>
      </w:r>
      <w:r>
        <w:rPr>
          <w:color w:val="231F20"/>
          <w:spacing w:val="-13"/>
        </w:rPr>
        <w:t> </w:t>
      </w:r>
      <w:r>
        <w:rPr>
          <w:color w:val="231F20"/>
        </w:rPr>
        <w:t>las</w:t>
      </w:r>
      <w:r>
        <w:rPr>
          <w:color w:val="231F20"/>
          <w:spacing w:val="-13"/>
        </w:rPr>
        <w:t> </w:t>
      </w:r>
      <w:r>
        <w:rPr>
          <w:color w:val="231F20"/>
        </w:rPr>
        <w:t>principales</w:t>
      </w:r>
      <w:r>
        <w:rPr>
          <w:color w:val="231F20"/>
          <w:spacing w:val="-13"/>
        </w:rPr>
        <w:t> </w:t>
      </w:r>
      <w:r>
        <w:rPr>
          <w:color w:val="231F20"/>
        </w:rPr>
        <w:t>empresas ensambladoras presentes en la entidad de las que se pudo obtener información. Las variables</w:t>
      </w:r>
      <w:r>
        <w:rPr>
          <w:color w:val="231F20"/>
          <w:spacing w:val="-14"/>
        </w:rPr>
        <w:t> </w:t>
      </w:r>
      <w:r>
        <w:rPr>
          <w:color w:val="231F20"/>
        </w:rPr>
        <w:t>de</w:t>
      </w:r>
      <w:r>
        <w:rPr>
          <w:color w:val="231F20"/>
          <w:spacing w:val="-14"/>
        </w:rPr>
        <w:t> </w:t>
      </w:r>
      <w:r>
        <w:rPr>
          <w:color w:val="231F20"/>
        </w:rPr>
        <w:t>análisis</w:t>
      </w:r>
      <w:r>
        <w:rPr>
          <w:color w:val="231F20"/>
          <w:spacing w:val="-14"/>
        </w:rPr>
        <w:t> </w:t>
      </w:r>
      <w:r>
        <w:rPr>
          <w:color w:val="231F20"/>
        </w:rPr>
        <w:t>centrales</w:t>
      </w:r>
      <w:r>
        <w:rPr>
          <w:color w:val="231F20"/>
          <w:spacing w:val="-14"/>
        </w:rPr>
        <w:t> </w:t>
      </w:r>
      <w:r>
        <w:rPr>
          <w:color w:val="231F20"/>
        </w:rPr>
        <w:t>son:</w:t>
      </w:r>
      <w:r>
        <w:rPr>
          <w:color w:val="231F20"/>
          <w:spacing w:val="-14"/>
        </w:rPr>
        <w:t> </w:t>
      </w:r>
      <w:r>
        <w:rPr>
          <w:color w:val="231F20"/>
        </w:rPr>
        <w:t>producción</w:t>
      </w:r>
      <w:r>
        <w:rPr>
          <w:color w:val="231F20"/>
          <w:spacing w:val="-14"/>
        </w:rPr>
        <w:t> </w:t>
      </w:r>
      <w:r>
        <w:rPr>
          <w:color w:val="231F20"/>
        </w:rPr>
        <w:t>total</w:t>
      </w:r>
      <w:r>
        <w:rPr>
          <w:color w:val="231F20"/>
          <w:spacing w:val="-14"/>
        </w:rPr>
        <w:t> </w:t>
      </w:r>
      <w:r>
        <w:rPr>
          <w:color w:val="231F20"/>
        </w:rPr>
        <w:t>de</w:t>
      </w:r>
      <w:r>
        <w:rPr>
          <w:color w:val="231F20"/>
          <w:spacing w:val="-14"/>
        </w:rPr>
        <w:t> </w:t>
      </w:r>
      <w:r>
        <w:rPr>
          <w:color w:val="231F20"/>
        </w:rPr>
        <w:t>vehículos,</w:t>
      </w:r>
      <w:r>
        <w:rPr>
          <w:color w:val="231F20"/>
          <w:spacing w:val="-14"/>
        </w:rPr>
        <w:t> </w:t>
      </w:r>
      <w:r>
        <w:rPr>
          <w:color w:val="231F20"/>
        </w:rPr>
        <w:t>producción</w:t>
      </w:r>
      <w:r>
        <w:rPr>
          <w:color w:val="231F20"/>
          <w:spacing w:val="-14"/>
        </w:rPr>
        <w:t> </w:t>
      </w:r>
      <w:r>
        <w:rPr>
          <w:color w:val="231F20"/>
        </w:rPr>
        <w:t>para</w:t>
      </w:r>
      <w:r>
        <w:rPr>
          <w:color w:val="231F20"/>
          <w:spacing w:val="-14"/>
        </w:rPr>
        <w:t> </w:t>
      </w:r>
      <w:r>
        <w:rPr>
          <w:color w:val="231F20"/>
        </w:rPr>
        <w:t>mer- cado interno, producción para exportación, población ocupada, valor agregado censal bruto e inversión extranjera</w:t>
      </w:r>
      <w:r>
        <w:rPr>
          <w:color w:val="231F20"/>
          <w:spacing w:val="2"/>
        </w:rPr>
        <w:t> </w:t>
      </w:r>
      <w:r>
        <w:rPr>
          <w:color w:val="231F20"/>
        </w:rPr>
        <w:t>directa.</w:t>
      </w:r>
    </w:p>
    <w:p>
      <w:pPr>
        <w:pStyle w:val="BodyText"/>
        <w:spacing w:line="278" w:lineRule="auto" w:before="1"/>
        <w:ind w:left="653" w:right="101" w:firstLine="396"/>
        <w:jc w:val="both"/>
      </w:pPr>
      <w:r>
        <w:rPr>
          <w:color w:val="231F20"/>
          <w:spacing w:val="-3"/>
        </w:rPr>
        <w:t>Aun </w:t>
      </w:r>
      <w:r>
        <w:rPr>
          <w:color w:val="231F20"/>
        </w:rPr>
        <w:t>cuando cada uno de los capítulos de esta obra cuenta con algunas conclusio- nes,</w:t>
      </w:r>
      <w:r>
        <w:rPr>
          <w:color w:val="231F20"/>
          <w:spacing w:val="-5"/>
        </w:rPr>
        <w:t> </w:t>
      </w:r>
      <w:r>
        <w:rPr>
          <w:color w:val="231F20"/>
        </w:rPr>
        <w:t>al</w:t>
      </w:r>
      <w:r>
        <w:rPr>
          <w:color w:val="231F20"/>
          <w:spacing w:val="-5"/>
        </w:rPr>
        <w:t> </w:t>
      </w:r>
      <w:r>
        <w:rPr>
          <w:color w:val="231F20"/>
        </w:rPr>
        <w:t>final</w:t>
      </w:r>
      <w:r>
        <w:rPr>
          <w:color w:val="231F20"/>
          <w:spacing w:val="-5"/>
        </w:rPr>
        <w:t> </w:t>
      </w:r>
      <w:r>
        <w:rPr>
          <w:color w:val="231F20"/>
        </w:rPr>
        <w:t>se</w:t>
      </w:r>
      <w:r>
        <w:rPr>
          <w:color w:val="231F20"/>
          <w:spacing w:val="-5"/>
        </w:rPr>
        <w:t> </w:t>
      </w:r>
      <w:r>
        <w:rPr>
          <w:color w:val="231F20"/>
        </w:rPr>
        <w:t>incluye</w:t>
      </w:r>
      <w:r>
        <w:rPr>
          <w:color w:val="231F20"/>
          <w:spacing w:val="-5"/>
        </w:rPr>
        <w:t> </w:t>
      </w:r>
      <w:r>
        <w:rPr>
          <w:color w:val="231F20"/>
        </w:rPr>
        <w:t>un</w:t>
      </w:r>
      <w:r>
        <w:rPr>
          <w:color w:val="231F20"/>
          <w:spacing w:val="-5"/>
        </w:rPr>
        <w:t> </w:t>
      </w:r>
      <w:r>
        <w:rPr>
          <w:color w:val="231F20"/>
        </w:rPr>
        <w:t>apartado</w:t>
      </w:r>
      <w:r>
        <w:rPr>
          <w:color w:val="231F20"/>
          <w:spacing w:val="-5"/>
        </w:rPr>
        <w:t> </w:t>
      </w:r>
      <w:r>
        <w:rPr>
          <w:color w:val="231F20"/>
        </w:rPr>
        <w:t>de</w:t>
      </w:r>
      <w:r>
        <w:rPr>
          <w:color w:val="231F20"/>
          <w:spacing w:val="-5"/>
        </w:rPr>
        <w:t> </w:t>
      </w:r>
      <w:r>
        <w:rPr>
          <w:color w:val="231F20"/>
        </w:rPr>
        <w:t>conclusiones</w:t>
      </w:r>
      <w:r>
        <w:rPr>
          <w:color w:val="231F20"/>
          <w:spacing w:val="-5"/>
        </w:rPr>
        <w:t> </w:t>
      </w:r>
      <w:r>
        <w:rPr>
          <w:color w:val="231F20"/>
        </w:rPr>
        <w:t>generales,</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se</w:t>
      </w:r>
      <w:r>
        <w:rPr>
          <w:color w:val="231F20"/>
          <w:spacing w:val="-5"/>
        </w:rPr>
        <w:t> </w:t>
      </w:r>
      <w:r>
        <w:rPr>
          <w:color w:val="231F20"/>
        </w:rPr>
        <w:t>encaminan especialmente a identificar algunos retos que tiene el sector automotriz en la actuali- dad,</w:t>
      </w:r>
      <w:r>
        <w:rPr>
          <w:color w:val="231F20"/>
          <w:spacing w:val="13"/>
        </w:rPr>
        <w:t> </w:t>
      </w:r>
      <w:r>
        <w:rPr>
          <w:color w:val="231F20"/>
        </w:rPr>
        <w:t>tanto</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mundial</w:t>
      </w:r>
      <w:r>
        <w:rPr>
          <w:color w:val="231F20"/>
          <w:spacing w:val="13"/>
        </w:rPr>
        <w:t> </w:t>
      </w:r>
      <w:r>
        <w:rPr>
          <w:color w:val="231F20"/>
        </w:rPr>
        <w:t>como</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particular</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de</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7"/>
      </w:pPr>
    </w:p>
    <w:p>
      <w:pPr>
        <w:pStyle w:val="BodyText"/>
        <w:spacing w:line="278" w:lineRule="auto" w:before="58"/>
        <w:ind w:left="103"/>
      </w:pPr>
      <w:r>
        <w:rPr>
          <w:color w:val="231F20"/>
        </w:rPr>
        <w:t>México. En este apartado también se presentan algunas recomendaciones de política y escenarios posibles para el sector.</w:t>
      </w:r>
    </w:p>
    <w:p>
      <w:pPr>
        <w:pStyle w:val="BodyText"/>
        <w:spacing w:line="271" w:lineRule="auto" w:before="1"/>
        <w:ind w:left="103" w:right="649" w:firstLine="396"/>
        <w:jc w:val="both"/>
        <w:rPr>
          <w:rFonts w:ascii="Palatino Linotype" w:hAnsi="Palatino Linotype"/>
          <w:i/>
        </w:rPr>
      </w:pPr>
      <w:r>
        <w:rPr>
          <w:color w:val="231F20"/>
        </w:rPr>
        <w:t>Se hace uso de información de los censos económicos del Instituto Nacional de Estadística y Geografía (INEGI) y otros documentos específicos del sector automo- triz, particularmente estadísticas generadas por la Asociación Mexicana de la Indus- tria Automotriz (AMIA), la Industria Nacional de Autopartes (INA), la Asociación Mexicana de Distribuidores de Autopartes (AMDA), </w:t>
      </w:r>
      <w:r>
        <w:rPr>
          <w:rFonts w:ascii="Palatino Linotype" w:hAnsi="Palatino Linotype"/>
          <w:i/>
          <w:color w:val="231F20"/>
        </w:rPr>
        <w:t>la Organisation  Internationale</w:t>
      </w:r>
    </w:p>
    <w:p>
      <w:pPr>
        <w:spacing w:line="243" w:lineRule="exact" w:before="0"/>
        <w:ind w:left="103" w:right="0" w:firstLine="0"/>
        <w:jc w:val="left"/>
        <w:rPr>
          <w:sz w:val="21"/>
        </w:rPr>
      </w:pPr>
      <w:r>
        <w:rPr>
          <w:rFonts w:ascii="Palatino Linotype" w:hAnsi="Palatino Linotype"/>
          <w:i/>
          <w:color w:val="231F20"/>
          <w:sz w:val="21"/>
        </w:rPr>
        <w:t>des Constructeurs d’Automobiles </w:t>
      </w:r>
      <w:r>
        <w:rPr>
          <w:color w:val="231F20"/>
          <w:sz w:val="21"/>
        </w:rPr>
        <w:t>(OICA), así como otros documentos sobre el sector</w:t>
      </w:r>
    </w:p>
    <w:p>
      <w:pPr>
        <w:pStyle w:val="BodyText"/>
        <w:spacing w:before="21"/>
        <w:ind w:left="103" w:right="673"/>
      </w:pPr>
      <w:r>
        <w:rPr>
          <w:color w:val="231F20"/>
        </w:rPr>
        <w:t>y páginas web especializadas.</w:t>
      </w:r>
    </w:p>
    <w:p>
      <w:pPr>
        <w:pStyle w:val="BodyText"/>
        <w:spacing w:line="278" w:lineRule="auto" w:before="38"/>
        <w:ind w:left="103" w:right="650" w:firstLine="396"/>
        <w:jc w:val="both"/>
      </w:pPr>
      <w:r>
        <w:rPr>
          <w:color w:val="231F20"/>
        </w:rPr>
        <w:t>Finalmente, es necesario mencionar que este trabajo se enriqueció con los co- mentarios que se realizaron en la presentación de trabajos parciales sobre el tema en diferentes eventos académicos, de los que en ocasiones se desprendió algún capítulo de </w:t>
      </w:r>
      <w:r>
        <w:rPr>
          <w:color w:val="231F20"/>
          <w:spacing w:val="-3"/>
        </w:rPr>
        <w:t>libro, </w:t>
      </w:r>
      <w:r>
        <w:rPr>
          <w:color w:val="231F20"/>
        </w:rPr>
        <w:t>artículo o memoria. </w:t>
      </w:r>
      <w:r>
        <w:rPr>
          <w:color w:val="231F20"/>
          <w:spacing w:val="-4"/>
        </w:rPr>
        <w:t>También, </w:t>
      </w:r>
      <w:r>
        <w:rPr>
          <w:color w:val="231F20"/>
        </w:rPr>
        <w:t>con información obtenida de conversaciones sostenidas con actores locales claves del sector: General </w:t>
      </w:r>
      <w:r>
        <w:rPr>
          <w:color w:val="231F20"/>
          <w:spacing w:val="-3"/>
        </w:rPr>
        <w:t>Motors, </w:t>
      </w:r>
      <w:r>
        <w:rPr>
          <w:color w:val="231F20"/>
        </w:rPr>
        <w:t>Chrysler (Ford, se encontraba</w:t>
      </w:r>
      <w:r>
        <w:rPr>
          <w:color w:val="231F20"/>
          <w:spacing w:val="-10"/>
        </w:rPr>
        <w:t> </w:t>
      </w:r>
      <w:r>
        <w:rPr>
          <w:color w:val="231F20"/>
        </w:rPr>
        <w:t>cerrada);</w:t>
      </w:r>
      <w:r>
        <w:rPr>
          <w:color w:val="231F20"/>
          <w:spacing w:val="-10"/>
        </w:rPr>
        <w:t> </w:t>
      </w:r>
      <w:r>
        <w:rPr>
          <w:color w:val="231F20"/>
        </w:rPr>
        <w:t>con</w:t>
      </w:r>
      <w:r>
        <w:rPr>
          <w:color w:val="231F20"/>
          <w:spacing w:val="-10"/>
        </w:rPr>
        <w:t> </w:t>
      </w:r>
      <w:r>
        <w:rPr>
          <w:color w:val="231F20"/>
        </w:rPr>
        <w:t>representantes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Asociación</w:t>
      </w:r>
      <w:r>
        <w:rPr>
          <w:color w:val="231F20"/>
          <w:spacing w:val="-10"/>
        </w:rPr>
        <w:t> </w:t>
      </w:r>
      <w:r>
        <w:rPr>
          <w:color w:val="231F20"/>
        </w:rPr>
        <w:t>Mexicana</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Industria</w:t>
      </w:r>
      <w:r>
        <w:rPr>
          <w:color w:val="231F20"/>
          <w:spacing w:val="-10"/>
        </w:rPr>
        <w:t> </w:t>
      </w:r>
      <w:r>
        <w:rPr>
          <w:color w:val="231F20"/>
          <w:spacing w:val="-3"/>
        </w:rPr>
        <w:t>Au- </w:t>
      </w:r>
      <w:r>
        <w:rPr>
          <w:color w:val="231F20"/>
        </w:rPr>
        <w:t>tomotriz; con empleados de empresas productoras de autopartes (Lear Corporation, Bosch,</w:t>
      </w:r>
      <w:r>
        <w:rPr>
          <w:color w:val="231F20"/>
          <w:spacing w:val="-7"/>
        </w:rPr>
        <w:t> </w:t>
      </w:r>
      <w:r>
        <w:rPr>
          <w:color w:val="231F20"/>
          <w:spacing w:val="-5"/>
        </w:rPr>
        <w:t>Valeo,</w:t>
      </w:r>
      <w:r>
        <w:rPr>
          <w:color w:val="231F20"/>
          <w:spacing w:val="-7"/>
        </w:rPr>
        <w:t> </w:t>
      </w:r>
      <w:r>
        <w:rPr>
          <w:color w:val="231F20"/>
        </w:rPr>
        <w:t>Auma,</w:t>
      </w:r>
      <w:r>
        <w:rPr>
          <w:color w:val="231F20"/>
          <w:spacing w:val="-7"/>
        </w:rPr>
        <w:t> </w:t>
      </w:r>
      <w:r>
        <w:rPr>
          <w:color w:val="231F20"/>
        </w:rPr>
        <w:t>Bocar</w:t>
      </w:r>
      <w:r>
        <w:rPr>
          <w:color w:val="231F20"/>
          <w:spacing w:val="-7"/>
        </w:rPr>
        <w:t> </w:t>
      </w:r>
      <w:r>
        <w:rPr>
          <w:color w:val="231F20"/>
        </w:rPr>
        <w:t>Precision,</w:t>
      </w:r>
      <w:r>
        <w:rPr>
          <w:color w:val="231F20"/>
          <w:spacing w:val="-7"/>
        </w:rPr>
        <w:t> </w:t>
      </w:r>
      <w:r>
        <w:rPr>
          <w:color w:val="231F20"/>
        </w:rPr>
        <w:t>Grupo</w:t>
      </w:r>
      <w:r>
        <w:rPr>
          <w:color w:val="231F20"/>
          <w:spacing w:val="-7"/>
        </w:rPr>
        <w:t> </w:t>
      </w:r>
      <w:r>
        <w:rPr>
          <w:color w:val="231F20"/>
        </w:rPr>
        <w:t>Rassini);</w:t>
      </w:r>
      <w:r>
        <w:rPr>
          <w:color w:val="231F20"/>
          <w:spacing w:val="-7"/>
        </w:rPr>
        <w:t> </w:t>
      </w:r>
      <w:r>
        <w:rPr>
          <w:color w:val="231F20"/>
        </w:rPr>
        <w:t>con</w:t>
      </w:r>
      <w:r>
        <w:rPr>
          <w:color w:val="231F20"/>
          <w:spacing w:val="-7"/>
        </w:rPr>
        <w:t> </w:t>
      </w:r>
      <w:r>
        <w:rPr>
          <w:color w:val="231F20"/>
        </w:rPr>
        <w:t>el</w:t>
      </w:r>
      <w:r>
        <w:rPr>
          <w:color w:val="231F20"/>
          <w:spacing w:val="-7"/>
        </w:rPr>
        <w:t> </w:t>
      </w:r>
      <w:r>
        <w:rPr>
          <w:color w:val="231F20"/>
        </w:rPr>
        <w:t>Coordinador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licen- ciatura en Ingeniería Electromecánica, del Instituto Tecnológico de </w:t>
      </w:r>
      <w:r>
        <w:rPr>
          <w:color w:val="231F20"/>
          <w:spacing w:val="-4"/>
        </w:rPr>
        <w:t>Toluca; </w:t>
      </w:r>
      <w:r>
        <w:rPr>
          <w:color w:val="231F20"/>
        </w:rPr>
        <w:t>así como con</w:t>
      </w:r>
      <w:r>
        <w:rPr>
          <w:color w:val="231F20"/>
          <w:spacing w:val="-10"/>
        </w:rPr>
        <w:t> </w:t>
      </w:r>
      <w:r>
        <w:rPr>
          <w:color w:val="231F20"/>
        </w:rPr>
        <w:t>la</w:t>
      </w:r>
      <w:r>
        <w:rPr>
          <w:color w:val="231F20"/>
          <w:spacing w:val="-10"/>
        </w:rPr>
        <w:t> </w:t>
      </w:r>
      <w:r>
        <w:rPr>
          <w:color w:val="231F20"/>
        </w:rPr>
        <w:t>asistencia</w:t>
      </w:r>
      <w:r>
        <w:rPr>
          <w:color w:val="231F20"/>
          <w:spacing w:val="-10"/>
        </w:rPr>
        <w:t> </w:t>
      </w:r>
      <w:r>
        <w:rPr>
          <w:color w:val="231F20"/>
        </w:rPr>
        <w:t>a</w:t>
      </w:r>
      <w:r>
        <w:rPr>
          <w:color w:val="231F20"/>
          <w:spacing w:val="-10"/>
        </w:rPr>
        <w:t> </w:t>
      </w:r>
      <w:r>
        <w:rPr>
          <w:color w:val="231F20"/>
        </w:rPr>
        <w:t>diferentes</w:t>
      </w:r>
      <w:r>
        <w:rPr>
          <w:color w:val="231F20"/>
          <w:spacing w:val="-10"/>
        </w:rPr>
        <w:t> </w:t>
      </w:r>
      <w:r>
        <w:rPr>
          <w:color w:val="231F20"/>
        </w:rPr>
        <w:t>eventos,</w:t>
      </w:r>
      <w:r>
        <w:rPr>
          <w:color w:val="231F20"/>
          <w:spacing w:val="-10"/>
        </w:rPr>
        <w:t> </w:t>
      </w:r>
      <w:r>
        <w:rPr>
          <w:color w:val="231F20"/>
        </w:rPr>
        <w:t>donde</w:t>
      </w:r>
      <w:r>
        <w:rPr>
          <w:color w:val="231F20"/>
          <w:spacing w:val="-10"/>
        </w:rPr>
        <w:t> </w:t>
      </w:r>
      <w:r>
        <w:rPr>
          <w:color w:val="231F20"/>
        </w:rPr>
        <w:t>el</w:t>
      </w:r>
      <w:r>
        <w:rPr>
          <w:color w:val="231F20"/>
          <w:spacing w:val="-10"/>
        </w:rPr>
        <w:t> </w:t>
      </w:r>
      <w:r>
        <w:rPr>
          <w:color w:val="231F20"/>
        </w:rPr>
        <w:t>tema</w:t>
      </w:r>
      <w:r>
        <w:rPr>
          <w:color w:val="231F20"/>
          <w:spacing w:val="-10"/>
        </w:rPr>
        <w:t> </w:t>
      </w:r>
      <w:r>
        <w:rPr>
          <w:color w:val="231F20"/>
        </w:rPr>
        <w:t>de</w:t>
      </w:r>
      <w:r>
        <w:rPr>
          <w:color w:val="231F20"/>
          <w:spacing w:val="-10"/>
        </w:rPr>
        <w:t> </w:t>
      </w:r>
      <w:r>
        <w:rPr>
          <w:color w:val="231F20"/>
        </w:rPr>
        <w:t>discusión</w:t>
      </w:r>
      <w:r>
        <w:rPr>
          <w:color w:val="231F20"/>
          <w:spacing w:val="-10"/>
        </w:rPr>
        <w:t> </w:t>
      </w:r>
      <w:r>
        <w:rPr>
          <w:color w:val="231F20"/>
        </w:rPr>
        <w:t>fue</w:t>
      </w:r>
      <w:r>
        <w:rPr>
          <w:color w:val="231F20"/>
          <w:spacing w:val="-10"/>
        </w:rPr>
        <w:t> </w:t>
      </w:r>
      <w:r>
        <w:rPr>
          <w:color w:val="231F20"/>
        </w:rPr>
        <w:t>el</w:t>
      </w:r>
      <w:r>
        <w:rPr>
          <w:color w:val="231F20"/>
          <w:spacing w:val="-10"/>
        </w:rPr>
        <w:t> </w:t>
      </w:r>
      <w:r>
        <w:rPr>
          <w:color w:val="231F20"/>
        </w:rPr>
        <w:t>sector</w:t>
      </w:r>
      <w:r>
        <w:rPr>
          <w:color w:val="231F20"/>
          <w:spacing w:val="-10"/>
        </w:rPr>
        <w:t> </w:t>
      </w:r>
      <w:r>
        <w:rPr>
          <w:color w:val="231F20"/>
        </w:rPr>
        <w:t>automo- triz;</w:t>
      </w:r>
      <w:r>
        <w:rPr>
          <w:color w:val="231F20"/>
          <w:spacing w:val="-12"/>
        </w:rPr>
        <w:t> </w:t>
      </w:r>
      <w:r>
        <w:rPr>
          <w:color w:val="231F20"/>
        </w:rPr>
        <w:t>por</w:t>
      </w:r>
      <w:r>
        <w:rPr>
          <w:color w:val="231F20"/>
          <w:spacing w:val="-12"/>
        </w:rPr>
        <w:t> </w:t>
      </w:r>
      <w:r>
        <w:rPr>
          <w:color w:val="231F20"/>
        </w:rPr>
        <w:t>ejemplo,</w:t>
      </w:r>
      <w:r>
        <w:rPr>
          <w:color w:val="231F20"/>
          <w:spacing w:val="-12"/>
        </w:rPr>
        <w:t> </w:t>
      </w:r>
      <w:r>
        <w:rPr>
          <w:color w:val="231F20"/>
        </w:rPr>
        <w:t>una</w:t>
      </w:r>
      <w:r>
        <w:rPr>
          <w:color w:val="231F20"/>
          <w:spacing w:val="-12"/>
        </w:rPr>
        <w:t> </w:t>
      </w:r>
      <w:r>
        <w:rPr>
          <w:color w:val="231F20"/>
        </w:rPr>
        <w:t>conferencia</w:t>
      </w:r>
      <w:r>
        <w:rPr>
          <w:color w:val="231F20"/>
          <w:spacing w:val="-12"/>
        </w:rPr>
        <w:t> </w:t>
      </w:r>
      <w:r>
        <w:rPr>
          <w:color w:val="231F20"/>
        </w:rPr>
        <w:t>presentada</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director</w:t>
      </w:r>
      <w:r>
        <w:rPr>
          <w:color w:val="231F20"/>
          <w:spacing w:val="-12"/>
        </w:rPr>
        <w:t> </w:t>
      </w:r>
      <w:r>
        <w:rPr>
          <w:color w:val="231F20"/>
        </w:rPr>
        <w:t>general</w:t>
      </w:r>
      <w:r>
        <w:rPr>
          <w:color w:val="231F20"/>
          <w:spacing w:val="-12"/>
        </w:rPr>
        <w:t> </w:t>
      </w:r>
      <w:r>
        <w:rPr>
          <w:color w:val="231F20"/>
        </w:rPr>
        <w:t>de</w:t>
      </w:r>
      <w:r>
        <w:rPr>
          <w:color w:val="231F20"/>
          <w:spacing w:val="-12"/>
        </w:rPr>
        <w:t> </w:t>
      </w:r>
      <w:r>
        <w:rPr>
          <w:color w:val="231F20"/>
        </w:rPr>
        <w:t>General</w:t>
      </w:r>
      <w:r>
        <w:rPr>
          <w:color w:val="231F20"/>
          <w:spacing w:val="-12"/>
        </w:rPr>
        <w:t> </w:t>
      </w:r>
      <w:r>
        <w:rPr>
          <w:color w:val="231F20"/>
          <w:spacing w:val="-3"/>
        </w:rPr>
        <w:t>Motors </w:t>
      </w:r>
      <w:r>
        <w:rPr>
          <w:color w:val="231F20"/>
        </w:rPr>
        <w:t>San</w:t>
      </w:r>
      <w:r>
        <w:rPr>
          <w:color w:val="231F20"/>
          <w:spacing w:val="-17"/>
        </w:rPr>
        <w:t> </w:t>
      </w:r>
      <w:r>
        <w:rPr>
          <w:color w:val="231F20"/>
        </w:rPr>
        <w:t>Luis</w:t>
      </w:r>
      <w:r>
        <w:rPr>
          <w:color w:val="231F20"/>
          <w:spacing w:val="-17"/>
        </w:rPr>
        <w:t> </w:t>
      </w:r>
      <w:r>
        <w:rPr>
          <w:color w:val="231F20"/>
        </w:rPr>
        <w:t>Potosí,</w:t>
      </w:r>
      <w:r>
        <w:rPr>
          <w:color w:val="231F20"/>
          <w:spacing w:val="-17"/>
        </w:rPr>
        <w:t> </w:t>
      </w:r>
      <w:r>
        <w:rPr>
          <w:color w:val="231F20"/>
        </w:rPr>
        <w:t>el</w:t>
      </w:r>
      <w:r>
        <w:rPr>
          <w:color w:val="231F20"/>
          <w:spacing w:val="-17"/>
        </w:rPr>
        <w:t> </w:t>
      </w:r>
      <w:r>
        <w:rPr>
          <w:color w:val="231F20"/>
        </w:rPr>
        <w:t>foro</w:t>
      </w:r>
      <w:r>
        <w:rPr>
          <w:color w:val="231F20"/>
          <w:spacing w:val="-17"/>
        </w:rPr>
        <w:t> </w:t>
      </w:r>
      <w:r>
        <w:rPr>
          <w:color w:val="231F20"/>
        </w:rPr>
        <w:t>automotriz</w:t>
      </w:r>
      <w:r>
        <w:rPr>
          <w:color w:val="231F20"/>
          <w:spacing w:val="-17"/>
        </w:rPr>
        <w:t> </w:t>
      </w:r>
      <w:r>
        <w:rPr>
          <w:color w:val="231F20"/>
        </w:rPr>
        <w:t>que</w:t>
      </w:r>
      <w:r>
        <w:rPr>
          <w:color w:val="231F20"/>
          <w:spacing w:val="-17"/>
        </w:rPr>
        <w:t> </w:t>
      </w:r>
      <w:r>
        <w:rPr>
          <w:color w:val="231F20"/>
        </w:rPr>
        <w:t>se</w:t>
      </w:r>
      <w:r>
        <w:rPr>
          <w:color w:val="231F20"/>
          <w:spacing w:val="-17"/>
        </w:rPr>
        <w:t> </w:t>
      </w:r>
      <w:r>
        <w:rPr>
          <w:color w:val="231F20"/>
        </w:rPr>
        <w:t>realiza</w:t>
      </w:r>
      <w:r>
        <w:rPr>
          <w:color w:val="231F20"/>
          <w:spacing w:val="-17"/>
        </w:rPr>
        <w:t> </w:t>
      </w:r>
      <w:r>
        <w:rPr>
          <w:color w:val="231F20"/>
        </w:rPr>
        <w:t>en</w:t>
      </w:r>
      <w:r>
        <w:rPr>
          <w:color w:val="231F20"/>
          <w:spacing w:val="-17"/>
        </w:rPr>
        <w:t> </w:t>
      </w:r>
      <w:r>
        <w:rPr>
          <w:color w:val="231F20"/>
        </w:rPr>
        <w:t>Tlaxcala</w:t>
      </w:r>
      <w:r>
        <w:rPr>
          <w:color w:val="231F20"/>
          <w:spacing w:val="-17"/>
        </w:rPr>
        <w:t> </w:t>
      </w:r>
      <w:r>
        <w:rPr>
          <w:color w:val="231F20"/>
        </w:rPr>
        <w:t>y</w:t>
      </w:r>
      <w:r>
        <w:rPr>
          <w:color w:val="231F20"/>
          <w:spacing w:val="-17"/>
        </w:rPr>
        <w:t> </w:t>
      </w:r>
      <w:r>
        <w:rPr>
          <w:color w:val="231F20"/>
        </w:rPr>
        <w:t>eventos</w:t>
      </w:r>
      <w:r>
        <w:rPr>
          <w:color w:val="231F20"/>
          <w:spacing w:val="-17"/>
        </w:rPr>
        <w:t> </w:t>
      </w:r>
      <w:r>
        <w:rPr>
          <w:color w:val="231F20"/>
        </w:rPr>
        <w:t>organizados</w:t>
      </w:r>
      <w:r>
        <w:rPr>
          <w:color w:val="231F20"/>
          <w:spacing w:val="-17"/>
        </w:rPr>
        <w:t> </w:t>
      </w:r>
      <w:r>
        <w:rPr>
          <w:color w:val="231F20"/>
        </w:rPr>
        <w:t>por el</w:t>
      </w:r>
      <w:r>
        <w:rPr>
          <w:color w:val="231F20"/>
          <w:spacing w:val="-8"/>
        </w:rPr>
        <w:t> </w:t>
      </w:r>
      <w:r>
        <w:rPr>
          <w:color w:val="231F20"/>
        </w:rPr>
        <w:t>Centro</w:t>
      </w:r>
      <w:r>
        <w:rPr>
          <w:color w:val="231F20"/>
          <w:spacing w:val="-8"/>
        </w:rPr>
        <w:t> </w:t>
      </w:r>
      <w:r>
        <w:rPr>
          <w:color w:val="231F20"/>
        </w:rPr>
        <w:t>de</w:t>
      </w:r>
      <w:r>
        <w:rPr>
          <w:color w:val="231F20"/>
          <w:spacing w:val="-8"/>
        </w:rPr>
        <w:t> </w:t>
      </w:r>
      <w:r>
        <w:rPr>
          <w:color w:val="231F20"/>
        </w:rPr>
        <w:t>Estudios</w:t>
      </w:r>
      <w:r>
        <w:rPr>
          <w:color w:val="231F20"/>
          <w:spacing w:val="-8"/>
        </w:rPr>
        <w:t> </w:t>
      </w:r>
      <w:r>
        <w:rPr>
          <w:color w:val="231F20"/>
        </w:rPr>
        <w:t>China-México</w:t>
      </w:r>
      <w:r>
        <w:rPr>
          <w:color w:val="231F20"/>
          <w:spacing w:val="-8"/>
        </w:rPr>
        <w:t> </w:t>
      </w:r>
      <w:r>
        <w:rPr>
          <w:color w:val="231F20"/>
        </w:rPr>
        <w:t>(Cechimex)</w:t>
      </w:r>
      <w:r>
        <w:rPr>
          <w:color w:val="231F20"/>
          <w:spacing w:val="-8"/>
        </w:rPr>
        <w:t> </w:t>
      </w:r>
      <w:r>
        <w:rPr>
          <w:color w:val="231F20"/>
        </w:rPr>
        <w:t>con</w:t>
      </w:r>
      <w:r>
        <w:rPr>
          <w:color w:val="231F20"/>
          <w:spacing w:val="-8"/>
        </w:rPr>
        <w:t> </w:t>
      </w:r>
      <w:r>
        <w:rPr>
          <w:color w:val="231F20"/>
        </w:rPr>
        <w:t>especialistas</w:t>
      </w:r>
      <w:r>
        <w:rPr>
          <w:color w:val="231F20"/>
          <w:spacing w:val="-8"/>
        </w:rPr>
        <w:t> </w:t>
      </w:r>
      <w:r>
        <w:rPr>
          <w:color w:val="231F20"/>
        </w:rPr>
        <w:t>del</w:t>
      </w:r>
      <w:r>
        <w:rPr>
          <w:color w:val="231F20"/>
          <w:spacing w:val="-8"/>
        </w:rPr>
        <w:t> </w:t>
      </w:r>
      <w:r>
        <w:rPr>
          <w:color w:val="231F20"/>
          <w:spacing w:val="-3"/>
        </w:rPr>
        <w:t>sector,</w:t>
      </w:r>
      <w:r>
        <w:rPr>
          <w:color w:val="231F20"/>
          <w:spacing w:val="-8"/>
        </w:rPr>
        <w:t> </w:t>
      </w:r>
      <w:r>
        <w:rPr>
          <w:color w:val="231F20"/>
        </w:rPr>
        <w:t>donde</w:t>
      </w:r>
      <w:r>
        <w:rPr>
          <w:color w:val="231F20"/>
          <w:spacing w:val="-8"/>
        </w:rPr>
        <w:t> </w:t>
      </w:r>
      <w:r>
        <w:rPr>
          <w:color w:val="231F20"/>
        </w:rPr>
        <w:t>se dio una interrelación </w:t>
      </w:r>
      <w:r>
        <w:rPr>
          <w:color w:val="231F20"/>
          <w:spacing w:val="-2"/>
        </w:rPr>
        <w:t>muy</w:t>
      </w:r>
      <w:r>
        <w:rPr>
          <w:color w:val="231F20"/>
          <w:spacing w:val="36"/>
        </w:rPr>
        <w:t> </w:t>
      </w:r>
      <w:r>
        <w:rPr>
          <w:color w:val="231F20"/>
        </w:rPr>
        <w:t>importante.</w:t>
      </w:r>
    </w:p>
    <w:p>
      <w:pPr>
        <w:spacing w:after="0" w:line="278" w:lineRule="auto"/>
        <w:jc w:val="both"/>
        <w:sectPr>
          <w:pgSz w:w="9640" w:h="13040"/>
          <w:pgMar w:header="580" w:footer="654" w:top="780" w:bottom="840" w:left="1200" w:right="480"/>
        </w:sectPr>
      </w:pPr>
    </w:p>
    <w:p>
      <w:pPr>
        <w:pStyle w:val="BodyText"/>
        <w:spacing w:before="4"/>
        <w:rPr>
          <w:sz w:val="17"/>
        </w:rPr>
      </w:pPr>
    </w:p>
    <w:p>
      <w:pPr>
        <w:spacing w:after="0"/>
        <w:rPr>
          <w:sz w:val="17"/>
        </w:rPr>
        <w:sectPr>
          <w:headerReference w:type="even" r:id="rId23"/>
          <w:footerReference w:type="even" r:id="rId24"/>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left="1055" w:firstLine="4249"/>
      </w:pPr>
      <w:r>
        <w:rPr/>
        <w:pict>
          <v:group style="position:absolute;margin-left:64.696899pt;margin-top:-62.737774pt;width:417.7pt;height:221.85pt;mso-position-horizontal-relative:page;mso-position-vertical-relative:paragraph;z-index:-614032" coordorigin="1294,-1255" coordsize="8354,4437">
            <v:line style="position:absolute" from="1304,3171" to="9638,3171" stroked="true" strokeweight="1pt" strokecolor="#58595b"/>
            <v:rect style="position:absolute;left:9194;top:-1255;width:444;height:4427" filled="true" fillcolor="#58595b" stroked="false">
              <v:fill type="solid"/>
            </v:rect>
            <w10:wrap type="none"/>
          </v:group>
        </w:pict>
      </w:r>
      <w:r>
        <w:rPr>
          <w:color w:val="231F20"/>
          <w:w w:val="110"/>
        </w:rPr>
        <w:t>Capítulo I</w:t>
      </w:r>
    </w:p>
    <w:p>
      <w:pPr>
        <w:pStyle w:val="BodyText"/>
        <w:rPr>
          <w:rFonts w:ascii="Palatino Linotype"/>
          <w:b/>
          <w:sz w:val="41"/>
        </w:rPr>
      </w:pPr>
    </w:p>
    <w:p>
      <w:pPr>
        <w:pStyle w:val="Heading2"/>
        <w:ind w:left="1055" w:right="0"/>
      </w:pPr>
      <w:r>
        <w:rPr>
          <w:color w:val="231F20"/>
          <w:w w:val="120"/>
        </w:rPr>
        <w:t>Las</w:t>
      </w:r>
      <w:r>
        <w:rPr>
          <w:color w:val="231F20"/>
          <w:spacing w:val="-74"/>
          <w:w w:val="120"/>
        </w:rPr>
        <w:t> </w:t>
      </w:r>
      <w:r>
        <w:rPr>
          <w:color w:val="231F20"/>
          <w:spacing w:val="-3"/>
          <w:w w:val="120"/>
        </w:rPr>
        <w:t>cadenas</w:t>
      </w:r>
      <w:r>
        <w:rPr>
          <w:color w:val="231F20"/>
          <w:spacing w:val="-74"/>
          <w:w w:val="120"/>
        </w:rPr>
        <w:t> </w:t>
      </w:r>
      <w:r>
        <w:rPr>
          <w:color w:val="231F20"/>
          <w:w w:val="120"/>
        </w:rPr>
        <w:t>mercantiles</w:t>
      </w:r>
      <w:r>
        <w:rPr>
          <w:color w:val="231F20"/>
          <w:spacing w:val="-74"/>
          <w:w w:val="120"/>
        </w:rPr>
        <w:t> </w:t>
      </w:r>
      <w:r>
        <w:rPr>
          <w:color w:val="231F20"/>
          <w:w w:val="120"/>
        </w:rPr>
        <w:t>globales.</w:t>
      </w:r>
    </w:p>
    <w:p>
      <w:pPr>
        <w:spacing w:line="249" w:lineRule="auto" w:before="20"/>
        <w:ind w:left="2514" w:right="1118" w:firstLine="1009"/>
        <w:jc w:val="left"/>
        <w:rPr>
          <w:sz w:val="40"/>
        </w:rPr>
      </w:pPr>
      <w:r>
        <w:rPr>
          <w:color w:val="231F20"/>
          <w:spacing w:val="-9"/>
          <w:w w:val="120"/>
          <w:sz w:val="40"/>
        </w:rPr>
        <w:t>Un</w:t>
      </w:r>
      <w:r>
        <w:rPr>
          <w:color w:val="231F20"/>
          <w:spacing w:val="-74"/>
          <w:w w:val="120"/>
          <w:sz w:val="40"/>
        </w:rPr>
        <w:t> </w:t>
      </w:r>
      <w:r>
        <w:rPr>
          <w:color w:val="231F20"/>
          <w:w w:val="120"/>
          <w:sz w:val="40"/>
        </w:rPr>
        <w:t>marco</w:t>
      </w:r>
      <w:r>
        <w:rPr>
          <w:color w:val="231F20"/>
          <w:spacing w:val="-74"/>
          <w:w w:val="120"/>
          <w:sz w:val="40"/>
        </w:rPr>
        <w:t> </w:t>
      </w:r>
      <w:r>
        <w:rPr>
          <w:color w:val="231F20"/>
          <w:w w:val="120"/>
          <w:sz w:val="40"/>
        </w:rPr>
        <w:t>de</w:t>
      </w:r>
      <w:r>
        <w:rPr>
          <w:color w:val="231F20"/>
          <w:spacing w:val="-74"/>
          <w:w w:val="120"/>
          <w:sz w:val="40"/>
        </w:rPr>
        <w:t> </w:t>
      </w:r>
      <w:r>
        <w:rPr>
          <w:color w:val="231F20"/>
          <w:w w:val="120"/>
          <w:sz w:val="40"/>
        </w:rPr>
        <w:t>análisis </w:t>
      </w:r>
      <w:r>
        <w:rPr>
          <w:color w:val="231F20"/>
          <w:spacing w:val="-7"/>
          <w:w w:val="125"/>
          <w:sz w:val="40"/>
        </w:rPr>
        <w:t>para </w:t>
      </w:r>
      <w:r>
        <w:rPr>
          <w:color w:val="231F20"/>
          <w:w w:val="125"/>
          <w:sz w:val="40"/>
        </w:rPr>
        <w:t>el sector</w:t>
      </w:r>
      <w:r>
        <w:rPr>
          <w:color w:val="231F20"/>
          <w:spacing w:val="-79"/>
          <w:w w:val="125"/>
          <w:sz w:val="40"/>
        </w:rPr>
        <w:t> </w:t>
      </w:r>
      <w:r>
        <w:rPr>
          <w:color w:val="231F20"/>
          <w:spacing w:val="-4"/>
          <w:w w:val="125"/>
          <w:sz w:val="40"/>
        </w:rPr>
        <w:t>automotriz</w:t>
      </w:r>
    </w:p>
    <w:p>
      <w:pPr>
        <w:pStyle w:val="BodyText"/>
        <w:rPr>
          <w:sz w:val="40"/>
        </w:rPr>
      </w:pPr>
    </w:p>
    <w:p>
      <w:pPr>
        <w:pStyle w:val="BodyText"/>
        <w:rPr>
          <w:sz w:val="40"/>
        </w:rPr>
      </w:pPr>
    </w:p>
    <w:p>
      <w:pPr>
        <w:pStyle w:val="BodyText"/>
        <w:spacing w:before="10"/>
        <w:rPr>
          <w:sz w:val="33"/>
        </w:rPr>
      </w:pPr>
    </w:p>
    <w:p>
      <w:pPr>
        <w:pStyle w:val="BodyText"/>
        <w:spacing w:line="271" w:lineRule="auto" w:before="1"/>
        <w:ind w:left="123" w:right="1130"/>
        <w:jc w:val="both"/>
      </w:pPr>
      <w:r>
        <w:rPr>
          <w:color w:val="231F20"/>
        </w:rPr>
        <w:t>Este capítulo tiene como objetivo establecer de manera breve algunos conceptos que permiten conocer la organización y el funcionamiento de la cadena automotriz-auto- partes</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global</w:t>
      </w:r>
      <w:r>
        <w:rPr>
          <w:color w:val="231F20"/>
          <w:spacing w:val="-10"/>
        </w:rPr>
        <w:t> </w:t>
      </w:r>
      <w:r>
        <w:rPr>
          <w:color w:val="231F20"/>
        </w:rPr>
        <w:t>y</w:t>
      </w:r>
      <w:r>
        <w:rPr>
          <w:color w:val="231F20"/>
          <w:spacing w:val="-10"/>
        </w:rPr>
        <w:t> </w:t>
      </w:r>
      <w:r>
        <w:rPr>
          <w:color w:val="231F20"/>
        </w:rPr>
        <w:t>local.</w:t>
      </w:r>
      <w:r>
        <w:rPr>
          <w:color w:val="231F20"/>
          <w:spacing w:val="-10"/>
        </w:rPr>
        <w:t> </w:t>
      </w:r>
      <w:r>
        <w:rPr>
          <w:color w:val="231F20"/>
        </w:rPr>
        <w:t>Se</w:t>
      </w:r>
      <w:r>
        <w:rPr>
          <w:color w:val="231F20"/>
          <w:spacing w:val="-10"/>
        </w:rPr>
        <w:t> </w:t>
      </w:r>
      <w:r>
        <w:rPr>
          <w:color w:val="231F20"/>
        </w:rPr>
        <w:t>divide</w:t>
      </w:r>
      <w:r>
        <w:rPr>
          <w:color w:val="231F20"/>
          <w:spacing w:val="-10"/>
        </w:rPr>
        <w:t> </w:t>
      </w:r>
      <w:r>
        <w:rPr>
          <w:color w:val="231F20"/>
        </w:rPr>
        <w:t>en</w:t>
      </w:r>
      <w:r>
        <w:rPr>
          <w:color w:val="231F20"/>
          <w:spacing w:val="-10"/>
        </w:rPr>
        <w:t> </w:t>
      </w:r>
      <w:r>
        <w:rPr>
          <w:color w:val="231F20"/>
        </w:rPr>
        <w:t>tres</w:t>
      </w:r>
      <w:r>
        <w:rPr>
          <w:color w:val="231F20"/>
          <w:spacing w:val="-10"/>
        </w:rPr>
        <w:t> </w:t>
      </w:r>
      <w:r>
        <w:rPr>
          <w:color w:val="231F20"/>
        </w:rPr>
        <w:t>apartados.</w:t>
      </w:r>
      <w:r>
        <w:rPr>
          <w:color w:val="231F20"/>
          <w:spacing w:val="-10"/>
        </w:rPr>
        <w:t> </w:t>
      </w:r>
      <w:r>
        <w:rPr>
          <w:color w:val="231F20"/>
        </w:rPr>
        <w:t>Primero,</w:t>
      </w:r>
      <w:r>
        <w:rPr>
          <w:color w:val="231F20"/>
          <w:spacing w:val="-10"/>
        </w:rPr>
        <w:t> </w:t>
      </w:r>
      <w:r>
        <w:rPr>
          <w:color w:val="231F20"/>
        </w:rPr>
        <w:t>se</w:t>
      </w:r>
      <w:r>
        <w:rPr>
          <w:color w:val="231F20"/>
          <w:spacing w:val="-10"/>
        </w:rPr>
        <w:t> </w:t>
      </w:r>
      <w:r>
        <w:rPr>
          <w:color w:val="231F20"/>
        </w:rPr>
        <w:t>parte</w:t>
      </w:r>
      <w:r>
        <w:rPr>
          <w:color w:val="231F20"/>
          <w:spacing w:val="-10"/>
        </w:rPr>
        <w:t> </w:t>
      </w:r>
      <w:r>
        <w:rPr>
          <w:color w:val="231F20"/>
        </w:rPr>
        <w:t>del</w:t>
      </w:r>
      <w:r>
        <w:rPr>
          <w:color w:val="231F20"/>
          <w:spacing w:val="-10"/>
        </w:rPr>
        <w:t> </w:t>
      </w:r>
      <w:r>
        <w:rPr>
          <w:color w:val="231F20"/>
        </w:rPr>
        <w:t>concepto de cadenas mercantiles globales (</w:t>
      </w:r>
      <w:r>
        <w:rPr>
          <w:rFonts w:ascii="Palatino Linotype" w:hAnsi="Palatino Linotype"/>
          <w:i/>
          <w:color w:val="231F20"/>
        </w:rPr>
        <w:t>Global Commodity Chains</w:t>
      </w:r>
      <w:r>
        <w:rPr>
          <w:color w:val="231F20"/>
        </w:rPr>
        <w:t>), argumento que acerca al lector al funcionamiento actual de las estructuras económicas y productivas a nivel mundial, incluidas aquellas relacionadas con la cadena automotriz-autopartes. En un segundo punto, se presentan algunos elementos que describen el funcionamiento de  la cadena de valor de la industria automotriz. Finalmente, se plantean algunas conclu- siones del</w:t>
      </w:r>
      <w:r>
        <w:rPr>
          <w:color w:val="231F20"/>
          <w:spacing w:val="-20"/>
        </w:rPr>
        <w:t> </w:t>
      </w:r>
      <w:r>
        <w:rPr>
          <w:color w:val="231F20"/>
        </w:rPr>
        <w:t>capítulo.</w:t>
      </w:r>
    </w:p>
    <w:p>
      <w:pPr>
        <w:pStyle w:val="Heading3"/>
        <w:numPr>
          <w:ilvl w:val="1"/>
          <w:numId w:val="10"/>
        </w:numPr>
        <w:tabs>
          <w:tab w:pos="538" w:val="left" w:leader="none"/>
        </w:tabs>
        <w:spacing w:line="240" w:lineRule="auto" w:before="179" w:after="0"/>
        <w:ind w:left="537" w:right="0" w:hanging="414"/>
        <w:jc w:val="both"/>
      </w:pPr>
      <w:r>
        <w:rPr>
          <w:color w:val="231F20"/>
          <w:w w:val="90"/>
        </w:rPr>
        <w:t>Las cadenas mercantiles</w:t>
      </w:r>
      <w:r>
        <w:rPr>
          <w:color w:val="231F20"/>
          <w:spacing w:val="29"/>
          <w:w w:val="90"/>
        </w:rPr>
        <w:t> </w:t>
      </w:r>
      <w:r>
        <w:rPr>
          <w:color w:val="231F20"/>
          <w:w w:val="90"/>
        </w:rPr>
        <w:t>globales</w:t>
      </w:r>
    </w:p>
    <w:p>
      <w:pPr>
        <w:pStyle w:val="BodyText"/>
        <w:spacing w:line="278" w:lineRule="auto" w:before="125"/>
        <w:ind w:left="123" w:right="1131"/>
        <w:jc w:val="both"/>
      </w:pPr>
      <w:r>
        <w:rPr>
          <w:color w:val="231F20"/>
        </w:rPr>
        <w:t>Los</w:t>
      </w:r>
      <w:r>
        <w:rPr>
          <w:color w:val="231F20"/>
          <w:spacing w:val="-5"/>
        </w:rPr>
        <w:t> </w:t>
      </w:r>
      <w:r>
        <w:rPr>
          <w:color w:val="231F20"/>
        </w:rPr>
        <w:t>nuevos</w:t>
      </w:r>
      <w:r>
        <w:rPr>
          <w:color w:val="231F20"/>
          <w:spacing w:val="-5"/>
        </w:rPr>
        <w:t> </w:t>
      </w:r>
      <w:r>
        <w:rPr>
          <w:color w:val="231F20"/>
        </w:rPr>
        <w:t>patrones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organización</w:t>
      </w:r>
      <w:r>
        <w:rPr>
          <w:color w:val="231F20"/>
          <w:spacing w:val="-5"/>
        </w:rPr>
        <w:t> </w:t>
      </w:r>
      <w:r>
        <w:rPr>
          <w:color w:val="231F20"/>
        </w:rPr>
        <w:t>económica</w:t>
      </w:r>
      <w:r>
        <w:rPr>
          <w:color w:val="231F20"/>
          <w:spacing w:val="-5"/>
        </w:rPr>
        <w:t> </w:t>
      </w:r>
      <w:r>
        <w:rPr>
          <w:color w:val="231F20"/>
        </w:rPr>
        <w:t>mundial,</w:t>
      </w:r>
      <w:r>
        <w:rPr>
          <w:color w:val="231F20"/>
          <w:spacing w:val="-5"/>
        </w:rPr>
        <w:t> </w:t>
      </w:r>
      <w:r>
        <w:rPr>
          <w:color w:val="231F20"/>
        </w:rPr>
        <w:t>surgidos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actual</w:t>
      </w:r>
      <w:r>
        <w:rPr>
          <w:color w:val="231F20"/>
          <w:spacing w:val="-5"/>
        </w:rPr>
        <w:t> </w:t>
      </w:r>
      <w:r>
        <w:rPr>
          <w:color w:val="231F20"/>
        </w:rPr>
        <w:t>fase de globalización, han tenido como base la reconfiguración de las relaciones entre em- presas</w:t>
      </w:r>
      <w:r>
        <w:rPr>
          <w:color w:val="231F20"/>
          <w:spacing w:val="-6"/>
        </w:rPr>
        <w:t> </w:t>
      </w:r>
      <w:r>
        <w:rPr>
          <w:color w:val="231F20"/>
        </w:rPr>
        <w:t>y</w:t>
      </w:r>
      <w:r>
        <w:rPr>
          <w:color w:val="231F20"/>
          <w:spacing w:val="-6"/>
        </w:rPr>
        <w:t> </w:t>
      </w:r>
      <w:r>
        <w:rPr>
          <w:color w:val="231F20"/>
        </w:rPr>
        <w:t>entre</w:t>
      </w:r>
      <w:r>
        <w:rPr>
          <w:color w:val="231F20"/>
          <w:spacing w:val="-6"/>
        </w:rPr>
        <w:t> </w:t>
      </w:r>
      <w:r>
        <w:rPr>
          <w:color w:val="231F20"/>
        </w:rPr>
        <w:t>territorios,</w:t>
      </w:r>
      <w:r>
        <w:rPr>
          <w:color w:val="231F20"/>
          <w:spacing w:val="-6"/>
        </w:rPr>
        <w:t> </w:t>
      </w:r>
      <w:r>
        <w:rPr>
          <w:color w:val="231F20"/>
        </w:rPr>
        <w:t>donde</w:t>
      </w:r>
      <w:r>
        <w:rPr>
          <w:color w:val="231F20"/>
          <w:spacing w:val="-6"/>
        </w:rPr>
        <w:t> </w:t>
      </w:r>
      <w:r>
        <w:rPr>
          <w:color w:val="231F20"/>
        </w:rPr>
        <w:t>las</w:t>
      </w:r>
      <w:r>
        <w:rPr>
          <w:color w:val="231F20"/>
          <w:spacing w:val="-6"/>
        </w:rPr>
        <w:t> </w:t>
      </w:r>
      <w:r>
        <w:rPr>
          <w:color w:val="231F20"/>
        </w:rPr>
        <w:t>cadenas</w:t>
      </w:r>
      <w:r>
        <w:rPr>
          <w:color w:val="231F20"/>
          <w:spacing w:val="-6"/>
        </w:rPr>
        <w:t> </w:t>
      </w:r>
      <w:r>
        <w:rPr>
          <w:color w:val="231F20"/>
        </w:rPr>
        <w:t>globales</w:t>
      </w:r>
      <w:r>
        <w:rPr>
          <w:color w:val="231F20"/>
          <w:spacing w:val="-6"/>
        </w:rPr>
        <w:t> </w:t>
      </w:r>
      <w:r>
        <w:rPr>
          <w:color w:val="231F20"/>
        </w:rPr>
        <w:t>de</w:t>
      </w:r>
      <w:r>
        <w:rPr>
          <w:color w:val="231F20"/>
          <w:spacing w:val="-6"/>
        </w:rPr>
        <w:t> </w:t>
      </w:r>
      <w:r>
        <w:rPr>
          <w:color w:val="231F20"/>
        </w:rPr>
        <w:t>producción,</w:t>
      </w:r>
      <w:r>
        <w:rPr>
          <w:color w:val="231F20"/>
          <w:spacing w:val="-6"/>
        </w:rPr>
        <w:t> </w:t>
      </w:r>
      <w:r>
        <w:rPr>
          <w:color w:val="231F20"/>
        </w:rPr>
        <w:t>distribución</w:t>
      </w:r>
      <w:r>
        <w:rPr>
          <w:color w:val="231F20"/>
          <w:spacing w:val="-6"/>
        </w:rPr>
        <w:t> </w:t>
      </w:r>
      <w:r>
        <w:rPr>
          <w:color w:val="231F20"/>
        </w:rPr>
        <w:t>y</w:t>
      </w:r>
      <w:r>
        <w:rPr>
          <w:color w:val="231F20"/>
          <w:spacing w:val="-6"/>
        </w:rPr>
        <w:t> </w:t>
      </w:r>
      <w:r>
        <w:rPr>
          <w:color w:val="231F20"/>
        </w:rPr>
        <w:t>co- mercialización se han convertido en elementos cruciales de la competitividad (Dussel Peters,</w:t>
      </w:r>
      <w:r>
        <w:rPr>
          <w:color w:val="231F20"/>
          <w:spacing w:val="-14"/>
        </w:rPr>
        <w:t> </w:t>
      </w:r>
      <w:r>
        <w:rPr>
          <w:color w:val="231F20"/>
        </w:rPr>
        <w:t>2004;</w:t>
      </w:r>
      <w:r>
        <w:rPr>
          <w:color w:val="231F20"/>
          <w:spacing w:val="-14"/>
        </w:rPr>
        <w:t> </w:t>
      </w:r>
      <w:r>
        <w:rPr>
          <w:color w:val="231F20"/>
          <w:spacing w:val="-3"/>
        </w:rPr>
        <w:t>Humphrey</w:t>
      </w:r>
      <w:r>
        <w:rPr>
          <w:color w:val="231F20"/>
          <w:spacing w:val="-14"/>
        </w:rPr>
        <w:t> </w:t>
      </w:r>
      <w:r>
        <w:rPr>
          <w:color w:val="231F20"/>
        </w:rPr>
        <w:t>y</w:t>
      </w:r>
      <w:r>
        <w:rPr>
          <w:color w:val="231F20"/>
          <w:spacing w:val="-14"/>
        </w:rPr>
        <w:t> </w:t>
      </w:r>
      <w:r>
        <w:rPr>
          <w:color w:val="231F20"/>
        </w:rPr>
        <w:t>Schmitz,</w:t>
      </w:r>
      <w:r>
        <w:rPr>
          <w:color w:val="231F20"/>
          <w:spacing w:val="-14"/>
        </w:rPr>
        <w:t> </w:t>
      </w:r>
      <w:r>
        <w:rPr>
          <w:color w:val="231F20"/>
        </w:rPr>
        <w:t>2003).</w:t>
      </w:r>
    </w:p>
    <w:p>
      <w:pPr>
        <w:pStyle w:val="BodyText"/>
        <w:spacing w:line="278" w:lineRule="auto" w:before="1"/>
        <w:ind w:left="123" w:right="1130" w:firstLine="396"/>
        <w:jc w:val="both"/>
      </w:pPr>
      <w:r>
        <w:rPr>
          <w:color w:val="231F20"/>
        </w:rPr>
        <w:t>Hasta la década de los setenta las grandes corporaciones dominaban la economía global</w:t>
      </w:r>
      <w:r>
        <w:rPr>
          <w:color w:val="231F20"/>
          <w:spacing w:val="-22"/>
        </w:rPr>
        <w:t> </w:t>
      </w:r>
      <w:r>
        <w:rPr>
          <w:color w:val="231F20"/>
        </w:rPr>
        <w:t>y</w:t>
      </w:r>
      <w:r>
        <w:rPr>
          <w:color w:val="231F20"/>
          <w:spacing w:val="-22"/>
        </w:rPr>
        <w:t> </w:t>
      </w:r>
      <w:r>
        <w:rPr>
          <w:color w:val="231F20"/>
        </w:rPr>
        <w:t>mantenían</w:t>
      </w:r>
      <w:r>
        <w:rPr>
          <w:color w:val="231F20"/>
          <w:spacing w:val="-22"/>
        </w:rPr>
        <w:t> </w:t>
      </w:r>
      <w:r>
        <w:rPr>
          <w:color w:val="231F20"/>
        </w:rPr>
        <w:t>el</w:t>
      </w:r>
      <w:r>
        <w:rPr>
          <w:color w:val="231F20"/>
          <w:spacing w:val="-22"/>
        </w:rPr>
        <w:t> </w:t>
      </w:r>
      <w:r>
        <w:rPr>
          <w:color w:val="231F20"/>
        </w:rPr>
        <w:t>control</w:t>
      </w:r>
      <w:r>
        <w:rPr>
          <w:color w:val="231F20"/>
          <w:spacing w:val="-22"/>
        </w:rPr>
        <w:t> </w:t>
      </w:r>
      <w:r>
        <w:rPr>
          <w:color w:val="231F20"/>
        </w:rPr>
        <w:t>del</w:t>
      </w:r>
      <w:r>
        <w:rPr>
          <w:color w:val="231F20"/>
          <w:spacing w:val="-22"/>
        </w:rPr>
        <w:t> </w:t>
      </w:r>
      <w:r>
        <w:rPr>
          <w:color w:val="231F20"/>
        </w:rPr>
        <w:t>capital,</w:t>
      </w:r>
      <w:r>
        <w:rPr>
          <w:color w:val="231F20"/>
          <w:spacing w:val="-22"/>
        </w:rPr>
        <w:t> </w:t>
      </w:r>
      <w:r>
        <w:rPr>
          <w:color w:val="231F20"/>
        </w:rPr>
        <w:t>el</w:t>
      </w:r>
      <w:r>
        <w:rPr>
          <w:color w:val="231F20"/>
          <w:spacing w:val="-22"/>
        </w:rPr>
        <w:t> </w:t>
      </w:r>
      <w:r>
        <w:rPr>
          <w:color w:val="231F20"/>
        </w:rPr>
        <w:t>mercado</w:t>
      </w:r>
      <w:r>
        <w:rPr>
          <w:color w:val="231F20"/>
          <w:spacing w:val="-22"/>
        </w:rPr>
        <w:t> </w:t>
      </w:r>
      <w:r>
        <w:rPr>
          <w:color w:val="231F20"/>
        </w:rPr>
        <w:t>y</w:t>
      </w:r>
      <w:r>
        <w:rPr>
          <w:color w:val="231F20"/>
          <w:spacing w:val="-22"/>
        </w:rPr>
        <w:t> </w:t>
      </w:r>
      <w:r>
        <w:rPr>
          <w:color w:val="231F20"/>
        </w:rPr>
        <w:t>los</w:t>
      </w:r>
      <w:r>
        <w:rPr>
          <w:color w:val="231F20"/>
          <w:spacing w:val="-22"/>
        </w:rPr>
        <w:t> </w:t>
      </w:r>
      <w:r>
        <w:rPr>
          <w:color w:val="231F20"/>
        </w:rPr>
        <w:t>flujos</w:t>
      </w:r>
      <w:r>
        <w:rPr>
          <w:color w:val="231F20"/>
          <w:spacing w:val="-22"/>
        </w:rPr>
        <w:t> </w:t>
      </w:r>
      <w:r>
        <w:rPr>
          <w:color w:val="231F20"/>
        </w:rPr>
        <w:t>de</w:t>
      </w:r>
      <w:r>
        <w:rPr>
          <w:color w:val="231F20"/>
          <w:spacing w:val="-22"/>
        </w:rPr>
        <w:t> </w:t>
      </w:r>
      <w:r>
        <w:rPr>
          <w:color w:val="231F20"/>
        </w:rPr>
        <w:t>materias</w:t>
      </w:r>
      <w:r>
        <w:rPr>
          <w:color w:val="231F20"/>
          <w:spacing w:val="-22"/>
        </w:rPr>
        <w:t> </w:t>
      </w:r>
      <w:r>
        <w:rPr>
          <w:color w:val="231F20"/>
        </w:rPr>
        <w:t>primas.</w:t>
      </w:r>
      <w:r>
        <w:rPr>
          <w:color w:val="231F20"/>
          <w:spacing w:val="-22"/>
        </w:rPr>
        <w:t> </w:t>
      </w:r>
      <w:r>
        <w:rPr>
          <w:color w:val="231F20"/>
        </w:rPr>
        <w:t>Este dominio se basaba en una estructura organizativa verticalmente integrada (Chandler, 1978; Arrighi, 1994). Las pioneras en este modelo fueron las grandes empresas esta- dounidenses,</w:t>
      </w:r>
      <w:r>
        <w:rPr>
          <w:color w:val="231F20"/>
          <w:spacing w:val="-9"/>
        </w:rPr>
        <w:t> </w:t>
      </w:r>
      <w:r>
        <w:rPr>
          <w:color w:val="231F20"/>
        </w:rPr>
        <w:t>las</w:t>
      </w:r>
      <w:r>
        <w:rPr>
          <w:color w:val="231F20"/>
          <w:spacing w:val="-9"/>
        </w:rPr>
        <w:t> </w:t>
      </w:r>
      <w:r>
        <w:rPr>
          <w:color w:val="231F20"/>
        </w:rPr>
        <w:t>cuales</w:t>
      </w:r>
      <w:r>
        <w:rPr>
          <w:color w:val="231F20"/>
          <w:spacing w:val="-9"/>
        </w:rPr>
        <w:t> </w:t>
      </w:r>
      <w:r>
        <w:rPr>
          <w:color w:val="231F20"/>
        </w:rPr>
        <w:t>mantenían</w:t>
      </w:r>
      <w:r>
        <w:rPr>
          <w:color w:val="231F20"/>
          <w:spacing w:val="-9"/>
        </w:rPr>
        <w:t> </w:t>
      </w:r>
      <w:r>
        <w:rPr>
          <w:color w:val="231F20"/>
        </w:rPr>
        <w:t>el</w:t>
      </w:r>
      <w:r>
        <w:rPr>
          <w:color w:val="231F20"/>
          <w:spacing w:val="-9"/>
        </w:rPr>
        <w:t> </w:t>
      </w:r>
      <w:r>
        <w:rPr>
          <w:color w:val="231F20"/>
        </w:rPr>
        <w:t>control</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precios,</w:t>
      </w:r>
      <w:r>
        <w:rPr>
          <w:color w:val="231F20"/>
          <w:spacing w:val="-9"/>
        </w:rPr>
        <w:t> </w:t>
      </w:r>
      <w:r>
        <w:rPr>
          <w:color w:val="231F20"/>
        </w:rPr>
        <w:t>el</w:t>
      </w:r>
      <w:r>
        <w:rPr>
          <w:color w:val="231F20"/>
          <w:spacing w:val="-9"/>
        </w:rPr>
        <w:t> </w:t>
      </w:r>
      <w:r>
        <w:rPr>
          <w:color w:val="231F20"/>
        </w:rPr>
        <w:t>flujo</w:t>
      </w:r>
      <w:r>
        <w:rPr>
          <w:color w:val="231F20"/>
          <w:spacing w:val="-9"/>
        </w:rPr>
        <w:t> </w:t>
      </w:r>
      <w:r>
        <w:rPr>
          <w:color w:val="231F20"/>
        </w:rPr>
        <w:t>de</w:t>
      </w:r>
      <w:r>
        <w:rPr>
          <w:color w:val="231F20"/>
          <w:spacing w:val="-9"/>
        </w:rPr>
        <w:t> </w:t>
      </w:r>
      <w:r>
        <w:rPr>
          <w:color w:val="231F20"/>
        </w:rPr>
        <w:t>materias</w:t>
      </w:r>
      <w:r>
        <w:rPr>
          <w:color w:val="231F20"/>
          <w:spacing w:val="-9"/>
        </w:rPr>
        <w:t> </w:t>
      </w:r>
      <w:r>
        <w:rPr>
          <w:color w:val="231F20"/>
        </w:rPr>
        <w:t>primas y</w:t>
      </w:r>
      <w:r>
        <w:rPr>
          <w:color w:val="231F20"/>
          <w:spacing w:val="-5"/>
        </w:rPr>
        <w:t> </w:t>
      </w:r>
      <w:r>
        <w:rPr>
          <w:color w:val="231F20"/>
        </w:rPr>
        <w:t>la</w:t>
      </w:r>
      <w:r>
        <w:rPr>
          <w:color w:val="231F20"/>
          <w:spacing w:val="-5"/>
        </w:rPr>
        <w:t> </w:t>
      </w:r>
      <w:r>
        <w:rPr>
          <w:color w:val="231F20"/>
        </w:rPr>
        <w:t>planeación</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(Williamson,</w:t>
      </w:r>
      <w:r>
        <w:rPr>
          <w:color w:val="231F20"/>
          <w:spacing w:val="-5"/>
        </w:rPr>
        <w:t> </w:t>
      </w:r>
      <w:r>
        <w:rPr>
          <w:color w:val="231F20"/>
        </w:rPr>
        <w:t>1985</w:t>
      </w:r>
      <w:r>
        <w:rPr>
          <w:color w:val="231F20"/>
          <w:spacing w:val="-5"/>
        </w:rPr>
        <w:t> </w:t>
      </w:r>
      <w:r>
        <w:rPr>
          <w:color w:val="231F20"/>
        </w:rPr>
        <w:t>y</w:t>
      </w:r>
      <w:r>
        <w:rPr>
          <w:color w:val="231F20"/>
          <w:spacing w:val="-5"/>
        </w:rPr>
        <w:t> </w:t>
      </w:r>
      <w:r>
        <w:rPr>
          <w:color w:val="231F20"/>
        </w:rPr>
        <w:t>1971).</w:t>
      </w:r>
      <w:r>
        <w:rPr>
          <w:color w:val="231F20"/>
          <w:spacing w:val="-5"/>
        </w:rPr>
        <w:t> </w:t>
      </w:r>
      <w:r>
        <w:rPr>
          <w:color w:val="231F20"/>
        </w:rPr>
        <w:t>En</w:t>
      </w:r>
      <w:r>
        <w:rPr>
          <w:color w:val="231F20"/>
          <w:spacing w:val="-5"/>
        </w:rPr>
        <w:t> </w:t>
      </w:r>
      <w:r>
        <w:rPr>
          <w:color w:val="231F20"/>
        </w:rPr>
        <w:t>este</w:t>
      </w:r>
      <w:r>
        <w:rPr>
          <w:color w:val="231F20"/>
          <w:spacing w:val="-5"/>
        </w:rPr>
        <w:t> </w:t>
      </w:r>
      <w:r>
        <w:rPr>
          <w:color w:val="231F20"/>
        </w:rPr>
        <w:t>modelo,</w:t>
      </w:r>
      <w:r>
        <w:rPr>
          <w:color w:val="231F20"/>
          <w:spacing w:val="-5"/>
        </w:rPr>
        <w:t> </w:t>
      </w:r>
      <w:r>
        <w:rPr>
          <w:color w:val="231F20"/>
        </w:rPr>
        <w:t>la</w:t>
      </w:r>
      <w:r>
        <w:rPr>
          <w:color w:val="231F20"/>
          <w:spacing w:val="-5"/>
        </w:rPr>
        <w:t> </w:t>
      </w:r>
      <w:r>
        <w:rPr>
          <w:color w:val="231F20"/>
        </w:rPr>
        <w:t>renta- bilidad se basaba en los altos volúmenes de mercancías estandarizadas (la producción en</w:t>
      </w:r>
      <w:r>
        <w:rPr>
          <w:color w:val="231F20"/>
          <w:spacing w:val="-7"/>
        </w:rPr>
        <w:t> </w:t>
      </w:r>
      <w:r>
        <w:rPr>
          <w:color w:val="231F20"/>
        </w:rPr>
        <w:t>masa)</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estricta</w:t>
      </w:r>
      <w:r>
        <w:rPr>
          <w:color w:val="231F20"/>
          <w:spacing w:val="-7"/>
        </w:rPr>
        <w:t> </w:t>
      </w:r>
      <w:r>
        <w:rPr>
          <w:color w:val="231F20"/>
        </w:rPr>
        <w:t>división</w:t>
      </w:r>
      <w:r>
        <w:rPr>
          <w:color w:val="231F20"/>
          <w:spacing w:val="-7"/>
        </w:rPr>
        <w:t> </w:t>
      </w:r>
      <w:r>
        <w:rPr>
          <w:color w:val="231F20"/>
        </w:rPr>
        <w:t>del</w:t>
      </w:r>
      <w:r>
        <w:rPr>
          <w:color w:val="231F20"/>
          <w:spacing w:val="-7"/>
        </w:rPr>
        <w:t> </w:t>
      </w:r>
      <w:r>
        <w:rPr>
          <w:color w:val="231F20"/>
        </w:rPr>
        <w:t>trabajo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fábrica.</w:t>
      </w:r>
    </w:p>
    <w:p>
      <w:pPr>
        <w:spacing w:after="0" w:line="278" w:lineRule="auto"/>
        <w:jc w:val="both"/>
        <w:sectPr>
          <w:headerReference w:type="default" r:id="rId25"/>
          <w:footerReference w:type="default" r:id="rId26"/>
          <w:footerReference w:type="even" r:id="rId27"/>
          <w:pgSz w:w="9640" w:h="13040"/>
          <w:pgMar w:header="0" w:footer="654" w:top="0" w:bottom="840" w:left="1180" w:right="0"/>
          <w:pgNumType w:start="19"/>
        </w:sectPr>
      </w:pPr>
    </w:p>
    <w:p>
      <w:pPr>
        <w:pStyle w:val="BodyText"/>
        <w:rPr>
          <w:sz w:val="20"/>
        </w:rPr>
      </w:pPr>
    </w:p>
    <w:p>
      <w:pPr>
        <w:pStyle w:val="BodyText"/>
        <w:spacing w:before="6"/>
      </w:pPr>
    </w:p>
    <w:p>
      <w:pPr>
        <w:pStyle w:val="BodyText"/>
        <w:spacing w:line="278" w:lineRule="auto" w:before="58"/>
        <w:ind w:left="653" w:right="101" w:firstLine="396"/>
        <w:jc w:val="right"/>
      </w:pPr>
      <w:r>
        <w:rPr>
          <w:color w:val="231F20"/>
        </w:rPr>
        <w:t>A</w:t>
      </w:r>
      <w:r>
        <w:rPr>
          <w:color w:val="231F20"/>
          <w:spacing w:val="-8"/>
        </w:rPr>
        <w:t> </w:t>
      </w:r>
      <w:r>
        <w:rPr>
          <w:color w:val="231F20"/>
        </w:rPr>
        <w:t>finales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década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sesenta,</w:t>
      </w:r>
      <w:r>
        <w:rPr>
          <w:color w:val="231F20"/>
          <w:spacing w:val="-8"/>
        </w:rPr>
        <w:t> </w:t>
      </w:r>
      <w:r>
        <w:rPr>
          <w:color w:val="231F20"/>
        </w:rPr>
        <w:t>las</w:t>
      </w:r>
      <w:r>
        <w:rPr>
          <w:color w:val="231F20"/>
          <w:spacing w:val="-8"/>
        </w:rPr>
        <w:t> </w:t>
      </w:r>
      <w:r>
        <w:rPr>
          <w:color w:val="231F20"/>
          <w:spacing w:val="-3"/>
        </w:rPr>
        <w:t>empresas</w:t>
      </w:r>
      <w:r>
        <w:rPr>
          <w:color w:val="231F20"/>
          <w:spacing w:val="-8"/>
        </w:rPr>
        <w:t> </w:t>
      </w:r>
      <w:r>
        <w:rPr>
          <w:color w:val="231F20"/>
          <w:spacing w:val="-3"/>
        </w:rPr>
        <w:t>manufactureras</w:t>
      </w:r>
      <w:r>
        <w:rPr>
          <w:color w:val="231F20"/>
          <w:spacing w:val="-8"/>
        </w:rPr>
        <w:t> </w:t>
      </w:r>
      <w:r>
        <w:rPr>
          <w:color w:val="231F20"/>
        </w:rPr>
        <w:t>japonesas</w:t>
      </w:r>
      <w:r>
        <w:rPr>
          <w:color w:val="231F20"/>
          <w:spacing w:val="-8"/>
        </w:rPr>
        <w:t> </w:t>
      </w:r>
      <w:r>
        <w:rPr>
          <w:color w:val="231F20"/>
        </w:rPr>
        <w:t>y</w:t>
      </w:r>
      <w:r>
        <w:rPr>
          <w:color w:val="231F20"/>
          <w:spacing w:val="-8"/>
        </w:rPr>
        <w:t> </w:t>
      </w:r>
      <w:r>
        <w:rPr>
          <w:color w:val="231F20"/>
        </w:rPr>
        <w:t>eu-</w:t>
      </w:r>
      <w:r>
        <w:rPr>
          <w:color w:val="231F20"/>
          <w:w w:val="106"/>
        </w:rPr>
        <w:t> </w:t>
      </w:r>
      <w:r>
        <w:rPr>
          <w:color w:val="231F20"/>
        </w:rPr>
        <w:t>ropeas </w:t>
      </w:r>
      <w:r>
        <w:rPr>
          <w:color w:val="231F20"/>
          <w:spacing w:val="-3"/>
        </w:rPr>
        <w:t>introdujeron cambios </w:t>
      </w:r>
      <w:r>
        <w:rPr>
          <w:color w:val="231F20"/>
        </w:rPr>
        <w:t>en su forma de </w:t>
      </w:r>
      <w:r>
        <w:rPr>
          <w:color w:val="231F20"/>
          <w:spacing w:val="-3"/>
        </w:rPr>
        <w:t>organizar </w:t>
      </w:r>
      <w:r>
        <w:rPr>
          <w:color w:val="231F20"/>
        </w:rPr>
        <w:t>la </w:t>
      </w:r>
      <w:r>
        <w:rPr>
          <w:color w:val="231F20"/>
          <w:spacing w:val="-3"/>
        </w:rPr>
        <w:t>producción.</w:t>
      </w:r>
      <w:r>
        <w:rPr>
          <w:color w:val="231F20"/>
          <w:spacing w:val="-6"/>
        </w:rPr>
        <w:t> </w:t>
      </w:r>
      <w:r>
        <w:rPr>
          <w:color w:val="231F20"/>
        </w:rPr>
        <w:t>En</w:t>
      </w:r>
      <w:r>
        <w:rPr>
          <w:color w:val="231F20"/>
          <w:spacing w:val="-2"/>
        </w:rPr>
        <w:t> </w:t>
      </w:r>
      <w:r>
        <w:rPr>
          <w:color w:val="231F20"/>
        </w:rPr>
        <w:t>consecuencia,</w:t>
      </w:r>
      <w:r>
        <w:rPr>
          <w:color w:val="231F20"/>
          <w:spacing w:val="-2"/>
          <w:w w:val="96"/>
        </w:rPr>
        <w:t> </w:t>
      </w:r>
      <w:r>
        <w:rPr>
          <w:color w:val="231F20"/>
        </w:rPr>
        <w:t>el</w:t>
      </w:r>
      <w:r>
        <w:rPr>
          <w:color w:val="231F20"/>
          <w:spacing w:val="-8"/>
        </w:rPr>
        <w:t> </w:t>
      </w:r>
      <w:r>
        <w:rPr>
          <w:color w:val="231F20"/>
          <w:spacing w:val="-3"/>
        </w:rPr>
        <w:t>patrón</w:t>
      </w:r>
      <w:r>
        <w:rPr>
          <w:color w:val="231F20"/>
          <w:spacing w:val="-8"/>
        </w:rPr>
        <w:t> </w:t>
      </w:r>
      <w:r>
        <w:rPr>
          <w:color w:val="231F20"/>
        </w:rPr>
        <w:t>vertical</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spacing w:val="-2"/>
        </w:rPr>
        <w:t>transnacionales</w:t>
      </w:r>
      <w:r>
        <w:rPr>
          <w:color w:val="231F20"/>
          <w:spacing w:val="-8"/>
        </w:rPr>
        <w:t> </w:t>
      </w:r>
      <w:r>
        <w:rPr>
          <w:color w:val="231F20"/>
        </w:rPr>
        <w:t>estadounidenses,</w:t>
      </w:r>
      <w:r>
        <w:rPr>
          <w:color w:val="231F20"/>
          <w:spacing w:val="-8"/>
        </w:rPr>
        <w:t> </w:t>
      </w:r>
      <w:r>
        <w:rPr>
          <w:color w:val="231F20"/>
        </w:rPr>
        <w:t>diseñado</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spacing w:val="-3"/>
        </w:rPr>
        <w:t>pro-</w:t>
      </w:r>
      <w:r>
        <w:rPr>
          <w:color w:val="231F20"/>
          <w:w w:val="106"/>
        </w:rPr>
        <w:t> </w:t>
      </w:r>
      <w:r>
        <w:rPr>
          <w:color w:val="231F20"/>
          <w:spacing w:val="-3"/>
        </w:rPr>
        <w:t>ducción </w:t>
      </w:r>
      <w:r>
        <w:rPr>
          <w:color w:val="231F20"/>
        </w:rPr>
        <w:t>en masa de </w:t>
      </w:r>
      <w:r>
        <w:rPr>
          <w:color w:val="231F20"/>
          <w:spacing w:val="-3"/>
        </w:rPr>
        <w:t>productos </w:t>
      </w:r>
      <w:r>
        <w:rPr>
          <w:color w:val="231F20"/>
        </w:rPr>
        <w:t>estandarizados, </w:t>
      </w:r>
      <w:r>
        <w:rPr>
          <w:color w:val="231F20"/>
          <w:spacing w:val="-2"/>
        </w:rPr>
        <w:t>con </w:t>
      </w:r>
      <w:r>
        <w:rPr>
          <w:color w:val="231F20"/>
        </w:rPr>
        <w:t>grandes</w:t>
      </w:r>
      <w:r>
        <w:rPr>
          <w:color w:val="231F20"/>
          <w:spacing w:val="5"/>
        </w:rPr>
        <w:t> </w:t>
      </w:r>
      <w:r>
        <w:rPr>
          <w:color w:val="231F20"/>
        </w:rPr>
        <w:t>máquinas</w:t>
      </w:r>
      <w:r>
        <w:rPr>
          <w:color w:val="231F20"/>
          <w:spacing w:val="12"/>
        </w:rPr>
        <w:t> </w:t>
      </w:r>
      <w:r>
        <w:rPr>
          <w:color w:val="231F20"/>
        </w:rPr>
        <w:t>especializadas,</w:t>
      </w:r>
      <w:r>
        <w:rPr>
          <w:color w:val="231F20"/>
          <w:spacing w:val="-2"/>
          <w:w w:val="93"/>
        </w:rPr>
        <w:t> </w:t>
      </w:r>
      <w:r>
        <w:rPr>
          <w:color w:val="231F20"/>
          <w:spacing w:val="-3"/>
        </w:rPr>
        <w:t>producción</w:t>
      </w:r>
      <w:r>
        <w:rPr>
          <w:color w:val="231F20"/>
          <w:spacing w:val="-11"/>
        </w:rPr>
        <w:t> </w:t>
      </w:r>
      <w:r>
        <w:rPr>
          <w:color w:val="231F20"/>
        </w:rPr>
        <w:t>en</w:t>
      </w:r>
      <w:r>
        <w:rPr>
          <w:color w:val="231F20"/>
          <w:spacing w:val="-11"/>
        </w:rPr>
        <w:t> </w:t>
      </w:r>
      <w:r>
        <w:rPr>
          <w:color w:val="231F20"/>
        </w:rPr>
        <w:t>serie,</w:t>
      </w:r>
      <w:r>
        <w:rPr>
          <w:color w:val="231F20"/>
          <w:spacing w:val="-11"/>
        </w:rPr>
        <w:t> </w:t>
      </w:r>
      <w:r>
        <w:rPr>
          <w:color w:val="231F20"/>
        </w:rPr>
        <w:t>líneas</w:t>
      </w:r>
      <w:r>
        <w:rPr>
          <w:color w:val="231F20"/>
          <w:spacing w:val="-11"/>
        </w:rPr>
        <w:t> </w:t>
      </w:r>
      <w:r>
        <w:rPr>
          <w:color w:val="231F20"/>
        </w:rPr>
        <w:t>de</w:t>
      </w:r>
      <w:r>
        <w:rPr>
          <w:color w:val="231F20"/>
          <w:spacing w:val="-11"/>
        </w:rPr>
        <w:t> </w:t>
      </w:r>
      <w:r>
        <w:rPr>
          <w:color w:val="231F20"/>
          <w:spacing w:val="-3"/>
        </w:rPr>
        <w:t>ensamblaje</w:t>
      </w:r>
      <w:r>
        <w:rPr>
          <w:color w:val="231F20"/>
          <w:spacing w:val="-11"/>
        </w:rPr>
        <w:t> </w:t>
      </w:r>
      <w:r>
        <w:rPr>
          <w:color w:val="231F20"/>
        </w:rPr>
        <w:t>y</w:t>
      </w:r>
      <w:r>
        <w:rPr>
          <w:color w:val="231F20"/>
          <w:spacing w:val="-11"/>
        </w:rPr>
        <w:t> </w:t>
      </w:r>
      <w:r>
        <w:rPr>
          <w:color w:val="231F20"/>
          <w:spacing w:val="-3"/>
        </w:rPr>
        <w:t>trabajadores</w:t>
      </w:r>
      <w:r>
        <w:rPr>
          <w:color w:val="231F20"/>
          <w:spacing w:val="-11"/>
        </w:rPr>
        <w:t> </w:t>
      </w:r>
      <w:r>
        <w:rPr>
          <w:color w:val="231F20"/>
          <w:spacing w:val="-2"/>
        </w:rPr>
        <w:t>que</w:t>
      </w:r>
      <w:r>
        <w:rPr>
          <w:color w:val="231F20"/>
          <w:spacing w:val="-11"/>
        </w:rPr>
        <w:t> </w:t>
      </w:r>
      <w:r>
        <w:rPr>
          <w:color w:val="231F20"/>
        </w:rPr>
        <w:t>desempeñaban</w:t>
      </w:r>
      <w:r>
        <w:rPr>
          <w:color w:val="231F20"/>
          <w:spacing w:val="-11"/>
        </w:rPr>
        <w:t> </w:t>
      </w:r>
      <w:r>
        <w:rPr>
          <w:color w:val="231F20"/>
        </w:rPr>
        <w:t>una</w:t>
      </w:r>
      <w:r>
        <w:rPr>
          <w:color w:val="231F20"/>
          <w:spacing w:val="-11"/>
        </w:rPr>
        <w:t> </w:t>
      </w:r>
      <w:r>
        <w:rPr>
          <w:color w:val="231F20"/>
        </w:rPr>
        <w:t>sola</w:t>
      </w:r>
      <w:r>
        <w:rPr>
          <w:color w:val="231F20"/>
          <w:spacing w:val="-11"/>
        </w:rPr>
        <w:t> </w:t>
      </w:r>
      <w:r>
        <w:rPr>
          <w:color w:val="231F20"/>
        </w:rPr>
        <w:t>ta-</w:t>
      </w:r>
      <w:r>
        <w:rPr>
          <w:color w:val="231F20"/>
          <w:w w:val="106"/>
        </w:rPr>
        <w:t> </w:t>
      </w:r>
      <w:r>
        <w:rPr>
          <w:color w:val="231F20"/>
        </w:rPr>
        <w:t>rea,</w:t>
      </w:r>
      <w:r>
        <w:rPr>
          <w:color w:val="231F20"/>
          <w:spacing w:val="-13"/>
        </w:rPr>
        <w:t> </w:t>
      </w:r>
      <w:r>
        <w:rPr>
          <w:color w:val="231F20"/>
        </w:rPr>
        <w:t>resultaba</w:t>
      </w:r>
      <w:r>
        <w:rPr>
          <w:color w:val="231F20"/>
          <w:spacing w:val="-13"/>
        </w:rPr>
        <w:t> </w:t>
      </w:r>
      <w:r>
        <w:rPr>
          <w:color w:val="231F20"/>
          <w:spacing w:val="-3"/>
        </w:rPr>
        <w:t>incompatible</w:t>
      </w:r>
      <w:r>
        <w:rPr>
          <w:color w:val="231F20"/>
          <w:spacing w:val="-13"/>
        </w:rPr>
        <w:t> </w:t>
      </w:r>
      <w:r>
        <w:rPr>
          <w:color w:val="231F20"/>
          <w:spacing w:val="-2"/>
        </w:rPr>
        <w:t>con</w:t>
      </w:r>
      <w:r>
        <w:rPr>
          <w:color w:val="231F20"/>
          <w:spacing w:val="-13"/>
        </w:rPr>
        <w:t> </w:t>
      </w:r>
      <w:r>
        <w:rPr>
          <w:color w:val="231F20"/>
        </w:rPr>
        <w:t>el</w:t>
      </w:r>
      <w:r>
        <w:rPr>
          <w:color w:val="231F20"/>
          <w:spacing w:val="-13"/>
        </w:rPr>
        <w:t> </w:t>
      </w:r>
      <w:r>
        <w:rPr>
          <w:color w:val="231F20"/>
          <w:spacing w:val="-2"/>
        </w:rPr>
        <w:t>competido</w:t>
      </w:r>
      <w:r>
        <w:rPr>
          <w:color w:val="231F20"/>
          <w:spacing w:val="-13"/>
        </w:rPr>
        <w:t> </w:t>
      </w:r>
      <w:r>
        <w:rPr>
          <w:color w:val="231F20"/>
        </w:rPr>
        <w:t>y</w:t>
      </w:r>
      <w:r>
        <w:rPr>
          <w:color w:val="231F20"/>
          <w:spacing w:val="-13"/>
        </w:rPr>
        <w:t> </w:t>
      </w:r>
      <w:r>
        <w:rPr>
          <w:color w:val="231F20"/>
        </w:rPr>
        <w:t>diversificado</w:t>
      </w:r>
      <w:r>
        <w:rPr>
          <w:color w:val="231F20"/>
          <w:spacing w:val="-13"/>
        </w:rPr>
        <w:t> </w:t>
      </w:r>
      <w:r>
        <w:rPr>
          <w:color w:val="231F20"/>
        </w:rPr>
        <w:t>mercado</w:t>
      </w:r>
      <w:r>
        <w:rPr>
          <w:color w:val="231F20"/>
          <w:spacing w:val="-13"/>
        </w:rPr>
        <w:t> </w:t>
      </w:r>
      <w:r>
        <w:rPr>
          <w:color w:val="231F20"/>
          <w:spacing w:val="-3"/>
        </w:rPr>
        <w:t>internacional.</w:t>
      </w:r>
      <w:r>
        <w:rPr>
          <w:color w:val="231F20"/>
          <w:spacing w:val="-13"/>
        </w:rPr>
        <w:t> </w:t>
      </w:r>
      <w:r>
        <w:rPr>
          <w:color w:val="231F20"/>
          <w:spacing w:val="-4"/>
        </w:rPr>
        <w:t>Por</w:t>
      </w:r>
      <w:r>
        <w:rPr>
          <w:color w:val="231F20"/>
          <w:w w:val="111"/>
        </w:rPr>
        <w:t> </w:t>
      </w:r>
      <w:r>
        <w:rPr>
          <w:color w:val="231F20"/>
        </w:rPr>
        <w:t>esta razón, las </w:t>
      </w:r>
      <w:r>
        <w:rPr>
          <w:color w:val="231F20"/>
          <w:spacing w:val="-3"/>
        </w:rPr>
        <w:t>empresas </w:t>
      </w:r>
      <w:r>
        <w:rPr>
          <w:color w:val="231F20"/>
        </w:rPr>
        <w:t>estadounidenses </w:t>
      </w:r>
      <w:r>
        <w:rPr>
          <w:color w:val="231F20"/>
          <w:spacing w:val="-3"/>
        </w:rPr>
        <w:t>tuvieron </w:t>
      </w:r>
      <w:r>
        <w:rPr>
          <w:color w:val="231F20"/>
          <w:spacing w:val="-2"/>
        </w:rPr>
        <w:t>que </w:t>
      </w:r>
      <w:r>
        <w:rPr>
          <w:color w:val="231F20"/>
          <w:spacing w:val="-3"/>
        </w:rPr>
        <w:t>volverse mucho</w:t>
      </w:r>
      <w:r>
        <w:rPr>
          <w:color w:val="231F20"/>
          <w:spacing w:val="21"/>
        </w:rPr>
        <w:t> </w:t>
      </w:r>
      <w:r>
        <w:rPr>
          <w:color w:val="231F20"/>
        </w:rPr>
        <w:t>más</w:t>
      </w:r>
      <w:r>
        <w:rPr>
          <w:color w:val="231F20"/>
          <w:spacing w:val="12"/>
        </w:rPr>
        <w:t> </w:t>
      </w:r>
      <w:r>
        <w:rPr>
          <w:color w:val="231F20"/>
          <w:spacing w:val="-3"/>
        </w:rPr>
        <w:t>flexibles:</w:t>
      </w:r>
      <w:r>
        <w:rPr>
          <w:color w:val="231F20"/>
          <w:spacing w:val="-2"/>
          <w:w w:val="91"/>
        </w:rPr>
        <w:t> </w:t>
      </w:r>
      <w:r>
        <w:rPr>
          <w:color w:val="231F20"/>
          <w:spacing w:val="-3"/>
        </w:rPr>
        <w:t>incorporaron </w:t>
      </w:r>
      <w:r>
        <w:rPr>
          <w:color w:val="231F20"/>
        </w:rPr>
        <w:t>sistemas de </w:t>
      </w:r>
      <w:r>
        <w:rPr>
          <w:color w:val="231F20"/>
          <w:spacing w:val="-3"/>
        </w:rPr>
        <w:t>control </w:t>
      </w:r>
      <w:r>
        <w:rPr>
          <w:color w:val="231F20"/>
        </w:rPr>
        <w:t>de calidad y desarrollaron equipos</w:t>
      </w:r>
      <w:r>
        <w:rPr>
          <w:color w:val="231F20"/>
          <w:spacing w:val="16"/>
        </w:rPr>
        <w:t> </w:t>
      </w:r>
      <w:r>
        <w:rPr>
          <w:color w:val="231F20"/>
        </w:rPr>
        <w:t>de</w:t>
      </w:r>
      <w:r>
        <w:rPr>
          <w:color w:val="231F20"/>
          <w:spacing w:val="23"/>
        </w:rPr>
        <w:t> </w:t>
      </w:r>
      <w:r>
        <w:rPr>
          <w:color w:val="231F20"/>
          <w:spacing w:val="-3"/>
        </w:rPr>
        <w:t>trabajadores</w:t>
      </w:r>
      <w:r>
        <w:rPr>
          <w:color w:val="231F20"/>
          <w:spacing w:val="-2"/>
          <w:w w:val="95"/>
        </w:rPr>
        <w:t> </w:t>
      </w:r>
      <w:r>
        <w:rPr>
          <w:color w:val="231F20"/>
        </w:rPr>
        <w:t>multicalificados</w:t>
      </w:r>
      <w:r>
        <w:rPr>
          <w:color w:val="231F20"/>
          <w:spacing w:val="-23"/>
        </w:rPr>
        <w:t> </w:t>
      </w:r>
      <w:r>
        <w:rPr>
          <w:color w:val="231F20"/>
          <w:spacing w:val="-3"/>
        </w:rPr>
        <w:t>ante</w:t>
      </w:r>
      <w:r>
        <w:rPr>
          <w:color w:val="231F20"/>
          <w:spacing w:val="-23"/>
        </w:rPr>
        <w:t> </w:t>
      </w:r>
      <w:r>
        <w:rPr>
          <w:color w:val="231F20"/>
        </w:rPr>
        <w:t>la</w:t>
      </w:r>
      <w:r>
        <w:rPr>
          <w:color w:val="231F20"/>
          <w:spacing w:val="-23"/>
        </w:rPr>
        <w:t> </w:t>
      </w:r>
      <w:r>
        <w:rPr>
          <w:color w:val="231F20"/>
        </w:rPr>
        <w:t>necesidad</w:t>
      </w:r>
      <w:r>
        <w:rPr>
          <w:color w:val="231F20"/>
          <w:spacing w:val="-23"/>
        </w:rPr>
        <w:t> </w:t>
      </w:r>
      <w:r>
        <w:rPr>
          <w:color w:val="231F20"/>
        </w:rPr>
        <w:t>de</w:t>
      </w:r>
      <w:r>
        <w:rPr>
          <w:color w:val="231F20"/>
          <w:spacing w:val="-23"/>
        </w:rPr>
        <w:t> </w:t>
      </w:r>
      <w:r>
        <w:rPr>
          <w:color w:val="231F20"/>
        </w:rPr>
        <w:t>reducir</w:t>
      </w:r>
      <w:r>
        <w:rPr>
          <w:color w:val="231F20"/>
          <w:spacing w:val="-23"/>
        </w:rPr>
        <w:t> </w:t>
      </w:r>
      <w:r>
        <w:rPr>
          <w:color w:val="231F20"/>
        </w:rPr>
        <w:t>costos,</w:t>
      </w:r>
      <w:r>
        <w:rPr>
          <w:color w:val="231F20"/>
          <w:spacing w:val="-23"/>
        </w:rPr>
        <w:t> </w:t>
      </w:r>
      <w:r>
        <w:rPr>
          <w:color w:val="231F20"/>
        </w:rPr>
        <w:t>eliminar</w:t>
      </w:r>
      <w:r>
        <w:rPr>
          <w:color w:val="231F20"/>
          <w:spacing w:val="-23"/>
        </w:rPr>
        <w:t> </w:t>
      </w:r>
      <w:r>
        <w:rPr>
          <w:color w:val="231F20"/>
        </w:rPr>
        <w:t>desperdicios</w:t>
      </w:r>
      <w:r>
        <w:rPr>
          <w:color w:val="231F20"/>
          <w:spacing w:val="-23"/>
        </w:rPr>
        <w:t> </w:t>
      </w:r>
      <w:r>
        <w:rPr>
          <w:color w:val="231F20"/>
        </w:rPr>
        <w:t>y</w:t>
      </w:r>
      <w:r>
        <w:rPr>
          <w:color w:val="231F20"/>
          <w:spacing w:val="-23"/>
        </w:rPr>
        <w:t> </w:t>
      </w:r>
      <w:r>
        <w:rPr>
          <w:color w:val="231F20"/>
          <w:spacing w:val="-3"/>
        </w:rPr>
        <w:t>optimizar</w:t>
      </w:r>
      <w:r>
        <w:rPr>
          <w:color w:val="231F20"/>
          <w:spacing w:val="-23"/>
        </w:rPr>
        <w:t> </w:t>
      </w:r>
      <w:r>
        <w:rPr>
          <w:color w:val="231F20"/>
        </w:rPr>
        <w:t>la</w:t>
      </w:r>
      <w:r>
        <w:rPr>
          <w:color w:val="231F20"/>
          <w:w w:val="98"/>
        </w:rPr>
        <w:t> </w:t>
      </w:r>
      <w:r>
        <w:rPr>
          <w:color w:val="231F20"/>
          <w:spacing w:val="-2"/>
        </w:rPr>
        <w:t>competitividad</w:t>
      </w:r>
      <w:r>
        <w:rPr>
          <w:color w:val="231F20"/>
          <w:spacing w:val="-13"/>
        </w:rPr>
        <w:t> </w:t>
      </w:r>
      <w:r>
        <w:rPr>
          <w:color w:val="231F20"/>
          <w:spacing w:val="-3"/>
        </w:rPr>
        <w:t>(Pozas,</w:t>
      </w:r>
      <w:r>
        <w:rPr>
          <w:color w:val="231F20"/>
          <w:spacing w:val="-13"/>
        </w:rPr>
        <w:t> </w:t>
      </w:r>
      <w:r>
        <w:rPr>
          <w:color w:val="231F20"/>
        </w:rPr>
        <w:t>2001),</w:t>
      </w:r>
      <w:r>
        <w:rPr>
          <w:color w:val="231F20"/>
          <w:spacing w:val="-13"/>
        </w:rPr>
        <w:t> </w:t>
      </w:r>
      <w:r>
        <w:rPr>
          <w:color w:val="231F20"/>
        </w:rPr>
        <w:t>aspectos</w:t>
      </w:r>
      <w:r>
        <w:rPr>
          <w:color w:val="231F20"/>
          <w:spacing w:val="-13"/>
        </w:rPr>
        <w:t> </w:t>
      </w:r>
      <w:r>
        <w:rPr>
          <w:color w:val="231F20"/>
          <w:spacing w:val="-3"/>
        </w:rPr>
        <w:t>presentes</w:t>
      </w:r>
      <w:r>
        <w:rPr>
          <w:color w:val="231F20"/>
          <w:spacing w:val="-13"/>
        </w:rPr>
        <w:t> </w:t>
      </w:r>
      <w:r>
        <w:rPr>
          <w:color w:val="231F20"/>
        </w:rPr>
        <w:t>en</w:t>
      </w:r>
      <w:r>
        <w:rPr>
          <w:color w:val="231F20"/>
          <w:spacing w:val="-13"/>
        </w:rPr>
        <w:t> </w:t>
      </w:r>
      <w:r>
        <w:rPr>
          <w:color w:val="231F20"/>
        </w:rPr>
        <w:t>las</w:t>
      </w:r>
      <w:r>
        <w:rPr>
          <w:color w:val="231F20"/>
          <w:spacing w:val="-13"/>
        </w:rPr>
        <w:t> </w:t>
      </w:r>
      <w:r>
        <w:rPr>
          <w:color w:val="231F20"/>
          <w:spacing w:val="-3"/>
        </w:rPr>
        <w:t>empresas</w:t>
      </w:r>
      <w:r>
        <w:rPr>
          <w:color w:val="231F20"/>
          <w:spacing w:val="-13"/>
        </w:rPr>
        <w:t> </w:t>
      </w:r>
      <w:r>
        <w:rPr>
          <w:color w:val="231F20"/>
        </w:rPr>
        <w:t>japonesas</w:t>
      </w:r>
      <w:r>
        <w:rPr>
          <w:color w:val="231F20"/>
          <w:spacing w:val="-13"/>
        </w:rPr>
        <w:t> </w:t>
      </w:r>
      <w:r>
        <w:rPr>
          <w:color w:val="231F20"/>
        </w:rPr>
        <w:t>y</w:t>
      </w:r>
      <w:r>
        <w:rPr>
          <w:color w:val="231F20"/>
          <w:spacing w:val="-13"/>
        </w:rPr>
        <w:t> </w:t>
      </w:r>
      <w:r>
        <w:rPr>
          <w:color w:val="231F20"/>
          <w:spacing w:val="-2"/>
        </w:rPr>
        <w:t>europeas.</w:t>
      </w:r>
      <w:r>
        <w:rPr>
          <w:color w:val="231F20"/>
          <w:spacing w:val="-2"/>
          <w:w w:val="93"/>
        </w:rPr>
        <w:t> </w:t>
      </w:r>
      <w:r>
        <w:rPr>
          <w:color w:val="231F20"/>
          <w:spacing w:val="-3"/>
        </w:rPr>
        <w:t>Bajo</w:t>
      </w:r>
      <w:r>
        <w:rPr>
          <w:color w:val="231F20"/>
          <w:spacing w:val="-13"/>
        </w:rPr>
        <w:t> </w:t>
      </w:r>
      <w:r>
        <w:rPr>
          <w:color w:val="231F20"/>
          <w:spacing w:val="-3"/>
        </w:rPr>
        <w:t>este</w:t>
      </w:r>
      <w:r>
        <w:rPr>
          <w:color w:val="231F20"/>
          <w:spacing w:val="-13"/>
        </w:rPr>
        <w:t> </w:t>
      </w:r>
      <w:r>
        <w:rPr>
          <w:color w:val="231F20"/>
          <w:spacing w:val="-5"/>
        </w:rPr>
        <w:t>contexto,</w:t>
      </w:r>
      <w:r>
        <w:rPr>
          <w:color w:val="231F20"/>
          <w:spacing w:val="-13"/>
        </w:rPr>
        <w:t> </w:t>
      </w:r>
      <w:r>
        <w:rPr>
          <w:color w:val="231F20"/>
          <w:spacing w:val="-3"/>
        </w:rPr>
        <w:t>surge</w:t>
      </w:r>
      <w:r>
        <w:rPr>
          <w:color w:val="231F20"/>
          <w:spacing w:val="-13"/>
        </w:rPr>
        <w:t> </w:t>
      </w:r>
      <w:r>
        <w:rPr>
          <w:color w:val="231F20"/>
        </w:rPr>
        <w:t>un</w:t>
      </w:r>
      <w:r>
        <w:rPr>
          <w:color w:val="231F20"/>
          <w:spacing w:val="-13"/>
        </w:rPr>
        <w:t> </w:t>
      </w:r>
      <w:r>
        <w:rPr>
          <w:color w:val="231F20"/>
          <w:spacing w:val="-3"/>
        </w:rPr>
        <w:t>nuevo</w:t>
      </w:r>
      <w:r>
        <w:rPr>
          <w:color w:val="231F20"/>
          <w:spacing w:val="-13"/>
        </w:rPr>
        <w:t> </w:t>
      </w:r>
      <w:r>
        <w:rPr>
          <w:color w:val="231F20"/>
        </w:rPr>
        <w:t>tipo</w:t>
      </w:r>
      <w:r>
        <w:rPr>
          <w:color w:val="231F20"/>
          <w:spacing w:val="-13"/>
        </w:rPr>
        <w:t> </w:t>
      </w:r>
      <w:r>
        <w:rPr>
          <w:color w:val="231F20"/>
        </w:rPr>
        <w:t>de</w:t>
      </w:r>
      <w:r>
        <w:rPr>
          <w:color w:val="231F20"/>
          <w:spacing w:val="-13"/>
        </w:rPr>
        <w:t> </w:t>
      </w:r>
      <w:r>
        <w:rPr>
          <w:color w:val="231F20"/>
          <w:spacing w:val="-4"/>
        </w:rPr>
        <w:t>organización</w:t>
      </w:r>
      <w:r>
        <w:rPr>
          <w:color w:val="231F20"/>
          <w:spacing w:val="-13"/>
        </w:rPr>
        <w:t> </w:t>
      </w:r>
      <w:r>
        <w:rPr>
          <w:color w:val="231F20"/>
          <w:spacing w:val="-4"/>
        </w:rPr>
        <w:t>empresarial,</w:t>
      </w:r>
      <w:r>
        <w:rPr>
          <w:color w:val="231F20"/>
          <w:spacing w:val="-13"/>
        </w:rPr>
        <w:t> </w:t>
      </w:r>
      <w:r>
        <w:rPr>
          <w:color w:val="231F20"/>
          <w:spacing w:val="-3"/>
        </w:rPr>
        <w:t>con</w:t>
      </w:r>
      <w:r>
        <w:rPr>
          <w:color w:val="231F20"/>
          <w:spacing w:val="-13"/>
        </w:rPr>
        <w:t> </w:t>
      </w:r>
      <w:r>
        <w:rPr>
          <w:color w:val="231F20"/>
        </w:rPr>
        <w:t>la</w:t>
      </w:r>
      <w:r>
        <w:rPr>
          <w:color w:val="231F20"/>
          <w:spacing w:val="-13"/>
        </w:rPr>
        <w:t> </w:t>
      </w:r>
      <w:r>
        <w:rPr>
          <w:color w:val="231F20"/>
          <w:spacing w:val="-3"/>
        </w:rPr>
        <w:t>principal</w:t>
      </w:r>
      <w:r>
        <w:rPr>
          <w:color w:val="231F20"/>
          <w:w w:val="91"/>
        </w:rPr>
        <w:t> </w:t>
      </w:r>
      <w:r>
        <w:rPr>
          <w:color w:val="231F20"/>
          <w:spacing w:val="-3"/>
        </w:rPr>
        <w:t>característica </w:t>
      </w:r>
      <w:r>
        <w:rPr>
          <w:color w:val="231F20"/>
        </w:rPr>
        <w:t>de </w:t>
      </w:r>
      <w:r>
        <w:rPr>
          <w:color w:val="231F20"/>
          <w:spacing w:val="-4"/>
        </w:rPr>
        <w:t>contar </w:t>
      </w:r>
      <w:r>
        <w:rPr>
          <w:color w:val="231F20"/>
          <w:spacing w:val="-3"/>
        </w:rPr>
        <w:t>con estructuras </w:t>
      </w:r>
      <w:r>
        <w:rPr>
          <w:color w:val="231F20"/>
          <w:spacing w:val="-4"/>
        </w:rPr>
        <w:t>mucho </w:t>
      </w:r>
      <w:r>
        <w:rPr>
          <w:color w:val="231F20"/>
        </w:rPr>
        <w:t>más </w:t>
      </w:r>
      <w:r>
        <w:rPr>
          <w:color w:val="231F20"/>
          <w:spacing w:val="-3"/>
        </w:rPr>
        <w:t>descentralizadas </w:t>
      </w:r>
      <w:r>
        <w:rPr>
          <w:color w:val="231F20"/>
        </w:rPr>
        <w:t>de</w:t>
      </w:r>
      <w:r>
        <w:rPr>
          <w:color w:val="231F20"/>
          <w:spacing w:val="27"/>
        </w:rPr>
        <w:t> </w:t>
      </w:r>
      <w:r>
        <w:rPr>
          <w:color w:val="231F20"/>
        </w:rPr>
        <w:t>las</w:t>
      </w:r>
      <w:r>
        <w:rPr>
          <w:color w:val="231F20"/>
          <w:spacing w:val="12"/>
        </w:rPr>
        <w:t> </w:t>
      </w:r>
      <w:r>
        <w:rPr>
          <w:color w:val="231F20"/>
          <w:spacing w:val="-3"/>
        </w:rPr>
        <w:t>actividades</w:t>
      </w:r>
      <w:r>
        <w:rPr>
          <w:color w:val="231F20"/>
          <w:spacing w:val="-3"/>
          <w:w w:val="98"/>
        </w:rPr>
        <w:t> </w:t>
      </w:r>
      <w:r>
        <w:rPr>
          <w:color w:val="231F20"/>
        </w:rPr>
        <w:t>de </w:t>
      </w:r>
      <w:r>
        <w:rPr>
          <w:color w:val="231F20"/>
          <w:spacing w:val="-4"/>
        </w:rPr>
        <w:t>producción, </w:t>
      </w:r>
      <w:r>
        <w:rPr>
          <w:color w:val="231F20"/>
        </w:rPr>
        <w:t>a </w:t>
      </w:r>
      <w:r>
        <w:rPr>
          <w:color w:val="231F20"/>
          <w:spacing w:val="-3"/>
        </w:rPr>
        <w:t>través </w:t>
      </w:r>
      <w:r>
        <w:rPr>
          <w:color w:val="231F20"/>
        </w:rPr>
        <w:t>de la </w:t>
      </w:r>
      <w:r>
        <w:rPr>
          <w:color w:val="231F20"/>
          <w:spacing w:val="-3"/>
        </w:rPr>
        <w:t>creación </w:t>
      </w:r>
      <w:r>
        <w:rPr>
          <w:color w:val="231F20"/>
        </w:rPr>
        <w:t>de </w:t>
      </w:r>
      <w:r>
        <w:rPr>
          <w:color w:val="231F20"/>
          <w:spacing w:val="-3"/>
        </w:rPr>
        <w:t>redes </w:t>
      </w:r>
      <w:r>
        <w:rPr>
          <w:color w:val="231F20"/>
        </w:rPr>
        <w:t>de </w:t>
      </w:r>
      <w:r>
        <w:rPr>
          <w:color w:val="231F20"/>
          <w:spacing w:val="-4"/>
        </w:rPr>
        <w:t>subcontratación, </w:t>
      </w:r>
      <w:r>
        <w:rPr>
          <w:color w:val="231F20"/>
          <w:spacing w:val="-3"/>
        </w:rPr>
        <w:t>que</w:t>
      </w:r>
      <w:r>
        <w:rPr>
          <w:color w:val="231F20"/>
          <w:spacing w:val="17"/>
        </w:rPr>
        <w:t> </w:t>
      </w:r>
      <w:r>
        <w:rPr>
          <w:color w:val="231F20"/>
          <w:spacing w:val="-3"/>
        </w:rPr>
        <w:t>funcionan</w:t>
      </w:r>
      <w:r>
        <w:rPr>
          <w:color w:val="231F20"/>
        </w:rPr>
        <w:t> </w:t>
      </w:r>
      <w:r>
        <w:rPr>
          <w:color w:val="231F20"/>
          <w:spacing w:val="-3"/>
        </w:rPr>
        <w:t>como</w:t>
      </w:r>
      <w:r>
        <w:rPr>
          <w:color w:val="231F20"/>
          <w:w w:val="102"/>
        </w:rPr>
        <w:t> </w:t>
      </w:r>
      <w:r>
        <w:rPr>
          <w:color w:val="231F20"/>
          <w:spacing w:val="-3"/>
        </w:rPr>
        <w:t>efectivos </w:t>
      </w:r>
      <w:r>
        <w:rPr>
          <w:color w:val="231F20"/>
        </w:rPr>
        <w:t>y </w:t>
      </w:r>
      <w:r>
        <w:rPr>
          <w:color w:val="231F20"/>
          <w:spacing w:val="-3"/>
        </w:rPr>
        <w:t>estables </w:t>
      </w:r>
      <w:r>
        <w:rPr>
          <w:color w:val="231F20"/>
          <w:spacing w:val="-4"/>
        </w:rPr>
        <w:t>instrumentos </w:t>
      </w:r>
      <w:r>
        <w:rPr>
          <w:color w:val="231F20"/>
        </w:rPr>
        <w:t>de </w:t>
      </w:r>
      <w:r>
        <w:rPr>
          <w:color w:val="231F20"/>
          <w:spacing w:val="-3"/>
        </w:rPr>
        <w:t>cooperación vertical </w:t>
      </w:r>
      <w:r>
        <w:rPr>
          <w:color w:val="231F20"/>
        </w:rPr>
        <w:t>y </w:t>
      </w:r>
      <w:r>
        <w:rPr>
          <w:color w:val="231F20"/>
          <w:spacing w:val="-3"/>
        </w:rPr>
        <w:t>horizontal </w:t>
      </w:r>
      <w:r>
        <w:rPr>
          <w:color w:val="231F20"/>
          <w:spacing w:val="-4"/>
        </w:rPr>
        <w:t>entre</w:t>
      </w:r>
      <w:r>
        <w:rPr>
          <w:color w:val="231F20"/>
          <w:spacing w:val="-22"/>
        </w:rPr>
        <w:t> </w:t>
      </w:r>
      <w:r>
        <w:rPr>
          <w:color w:val="231F20"/>
        </w:rPr>
        <w:t>las</w:t>
      </w:r>
      <w:r>
        <w:rPr>
          <w:color w:val="231F20"/>
          <w:spacing w:val="-5"/>
        </w:rPr>
        <w:t> </w:t>
      </w:r>
      <w:r>
        <w:rPr>
          <w:color w:val="231F20"/>
          <w:spacing w:val="-4"/>
        </w:rPr>
        <w:t>empresas</w:t>
      </w:r>
      <w:r>
        <w:rPr>
          <w:color w:val="231F20"/>
          <w:w w:val="94"/>
        </w:rPr>
        <w:t> </w:t>
      </w:r>
      <w:r>
        <w:rPr>
          <w:color w:val="231F20"/>
          <w:spacing w:val="-3"/>
        </w:rPr>
        <w:t>(Sabel,</w:t>
      </w:r>
      <w:r>
        <w:rPr>
          <w:color w:val="231F20"/>
          <w:spacing w:val="-11"/>
        </w:rPr>
        <w:t> </w:t>
      </w:r>
      <w:r>
        <w:rPr>
          <w:color w:val="231F20"/>
          <w:spacing w:val="-3"/>
        </w:rPr>
        <w:t>1988;</w:t>
      </w:r>
      <w:r>
        <w:rPr>
          <w:color w:val="231F20"/>
          <w:spacing w:val="-11"/>
        </w:rPr>
        <w:t> </w:t>
      </w:r>
      <w:r>
        <w:rPr>
          <w:color w:val="231F20"/>
          <w:spacing w:val="-3"/>
        </w:rPr>
        <w:t>Fruin</w:t>
      </w:r>
      <w:r>
        <w:rPr>
          <w:color w:val="231F20"/>
          <w:spacing w:val="-11"/>
        </w:rPr>
        <w:t> </w:t>
      </w:r>
      <w:r>
        <w:rPr>
          <w:color w:val="231F20"/>
        </w:rPr>
        <w:t>y</w:t>
      </w:r>
      <w:r>
        <w:rPr>
          <w:color w:val="231F20"/>
          <w:spacing w:val="-11"/>
        </w:rPr>
        <w:t> </w:t>
      </w:r>
      <w:r>
        <w:rPr>
          <w:color w:val="231F20"/>
          <w:spacing w:val="-4"/>
        </w:rPr>
        <w:t>Nishiguchi,</w:t>
      </w:r>
      <w:r>
        <w:rPr>
          <w:color w:val="231F20"/>
          <w:spacing w:val="-11"/>
        </w:rPr>
        <w:t> </w:t>
      </w:r>
      <w:r>
        <w:rPr>
          <w:color w:val="231F20"/>
          <w:spacing w:val="-3"/>
        </w:rPr>
        <w:t>1993;</w:t>
      </w:r>
      <w:r>
        <w:rPr>
          <w:color w:val="231F20"/>
          <w:spacing w:val="-11"/>
        </w:rPr>
        <w:t> </w:t>
      </w:r>
      <w:r>
        <w:rPr>
          <w:color w:val="231F20"/>
        </w:rPr>
        <w:t>Arrighi,</w:t>
      </w:r>
      <w:r>
        <w:rPr>
          <w:color w:val="231F20"/>
          <w:spacing w:val="-11"/>
        </w:rPr>
        <w:t> </w:t>
      </w:r>
      <w:r>
        <w:rPr>
          <w:color w:val="231F20"/>
          <w:spacing w:val="-3"/>
        </w:rPr>
        <w:t>1994).</w:t>
      </w:r>
      <w:r>
        <w:rPr>
          <w:color w:val="231F20"/>
          <w:spacing w:val="-11"/>
        </w:rPr>
        <w:t> </w:t>
      </w:r>
      <w:r>
        <w:rPr>
          <w:color w:val="231F20"/>
          <w:spacing w:val="-3"/>
        </w:rPr>
        <w:t>Así</w:t>
      </w:r>
      <w:r>
        <w:rPr>
          <w:color w:val="231F20"/>
          <w:spacing w:val="-11"/>
        </w:rPr>
        <w:t> </w:t>
      </w:r>
      <w:r>
        <w:rPr>
          <w:color w:val="231F20"/>
          <w:spacing w:val="-3"/>
        </w:rPr>
        <w:t>surgen</w:t>
      </w:r>
      <w:r>
        <w:rPr>
          <w:color w:val="231F20"/>
          <w:spacing w:val="-11"/>
        </w:rPr>
        <w:t> </w:t>
      </w:r>
      <w:r>
        <w:rPr>
          <w:color w:val="231F20"/>
        </w:rPr>
        <w:t>las</w:t>
      </w:r>
      <w:r>
        <w:rPr>
          <w:color w:val="231F20"/>
          <w:spacing w:val="-11"/>
        </w:rPr>
        <w:t> </w:t>
      </w:r>
      <w:r>
        <w:rPr>
          <w:color w:val="231F20"/>
          <w:spacing w:val="-3"/>
        </w:rPr>
        <w:t>grandes</w:t>
      </w:r>
      <w:r>
        <w:rPr>
          <w:color w:val="231F20"/>
          <w:spacing w:val="-11"/>
        </w:rPr>
        <w:t> </w:t>
      </w:r>
      <w:r>
        <w:rPr>
          <w:color w:val="231F20"/>
          <w:spacing w:val="-4"/>
        </w:rPr>
        <w:t>empresas,</w:t>
      </w:r>
      <w:r>
        <w:rPr>
          <w:color w:val="231F20"/>
          <w:spacing w:val="-3"/>
          <w:w w:val="93"/>
        </w:rPr>
        <w:t> </w:t>
      </w:r>
      <w:r>
        <w:rPr>
          <w:color w:val="231F20"/>
          <w:spacing w:val="-3"/>
        </w:rPr>
        <w:t>que </w:t>
      </w:r>
      <w:r>
        <w:rPr>
          <w:color w:val="231F20"/>
        </w:rPr>
        <w:t>se </w:t>
      </w:r>
      <w:r>
        <w:rPr>
          <w:color w:val="231F20"/>
          <w:spacing w:val="-3"/>
        </w:rPr>
        <w:t>vinculan </w:t>
      </w:r>
      <w:r>
        <w:rPr>
          <w:color w:val="231F20"/>
          <w:spacing w:val="-4"/>
        </w:rPr>
        <w:t>estrechamente </w:t>
      </w:r>
      <w:r>
        <w:rPr>
          <w:color w:val="231F20"/>
          <w:spacing w:val="-3"/>
        </w:rPr>
        <w:t>con sus </w:t>
      </w:r>
      <w:r>
        <w:rPr>
          <w:color w:val="231F20"/>
          <w:spacing w:val="-4"/>
        </w:rPr>
        <w:t>proveedores </w:t>
      </w:r>
      <w:r>
        <w:rPr>
          <w:color w:val="231F20"/>
        </w:rPr>
        <w:t>y </w:t>
      </w:r>
      <w:r>
        <w:rPr>
          <w:color w:val="231F20"/>
          <w:spacing w:val="-4"/>
        </w:rPr>
        <w:t>subcontratistas,</w:t>
      </w:r>
      <w:r>
        <w:rPr>
          <w:color w:val="231F20"/>
          <w:spacing w:val="41"/>
        </w:rPr>
        <w:t> </w:t>
      </w:r>
      <w:r>
        <w:rPr>
          <w:color w:val="231F20"/>
          <w:spacing w:val="-3"/>
        </w:rPr>
        <w:t>compartiendo</w:t>
      </w:r>
      <w:r>
        <w:rPr>
          <w:color w:val="231F20"/>
          <w:spacing w:val="2"/>
        </w:rPr>
        <w:t> </w:t>
      </w:r>
      <w:r>
        <w:rPr>
          <w:color w:val="231F20"/>
          <w:spacing w:val="-3"/>
        </w:rPr>
        <w:t>con</w:t>
      </w:r>
      <w:r>
        <w:rPr>
          <w:color w:val="231F20"/>
          <w:w w:val="109"/>
        </w:rPr>
        <w:t> </w:t>
      </w:r>
      <w:r>
        <w:rPr>
          <w:color w:val="231F20"/>
          <w:spacing w:val="-3"/>
        </w:rPr>
        <w:t>ellos </w:t>
      </w:r>
      <w:r>
        <w:rPr>
          <w:color w:val="231F20"/>
        </w:rPr>
        <w:t>el peso del </w:t>
      </w:r>
      <w:r>
        <w:rPr>
          <w:color w:val="231F20"/>
          <w:spacing w:val="-3"/>
        </w:rPr>
        <w:t>diseño </w:t>
      </w:r>
      <w:r>
        <w:rPr>
          <w:color w:val="231F20"/>
        </w:rPr>
        <w:t>de </w:t>
      </w:r>
      <w:r>
        <w:rPr>
          <w:color w:val="231F20"/>
          <w:spacing w:val="-3"/>
        </w:rPr>
        <w:t>partes </w:t>
      </w:r>
      <w:r>
        <w:rPr>
          <w:color w:val="231F20"/>
        </w:rPr>
        <w:t>y </w:t>
      </w:r>
      <w:r>
        <w:rPr>
          <w:color w:val="231F20"/>
          <w:spacing w:val="-4"/>
        </w:rPr>
        <w:t>componentes </w:t>
      </w:r>
      <w:r>
        <w:rPr>
          <w:color w:val="231F20"/>
        </w:rPr>
        <w:t>y la </w:t>
      </w:r>
      <w:r>
        <w:rPr>
          <w:color w:val="231F20"/>
          <w:spacing w:val="-4"/>
        </w:rPr>
        <w:t>garantía </w:t>
      </w:r>
      <w:r>
        <w:rPr>
          <w:color w:val="231F20"/>
        </w:rPr>
        <w:t>en el </w:t>
      </w:r>
      <w:r>
        <w:rPr>
          <w:color w:val="231F20"/>
          <w:spacing w:val="-3"/>
        </w:rPr>
        <w:t>envío</w:t>
      </w:r>
      <w:r>
        <w:rPr>
          <w:color w:val="231F20"/>
          <w:spacing w:val="37"/>
        </w:rPr>
        <w:t> </w:t>
      </w:r>
      <w:r>
        <w:rPr>
          <w:color w:val="231F20"/>
        </w:rPr>
        <w:t>de</w:t>
      </w:r>
      <w:r>
        <w:rPr>
          <w:color w:val="231F20"/>
          <w:spacing w:val="4"/>
        </w:rPr>
        <w:t> </w:t>
      </w:r>
      <w:r>
        <w:rPr>
          <w:color w:val="231F20"/>
          <w:spacing w:val="-4"/>
        </w:rPr>
        <w:t>productos</w:t>
      </w:r>
      <w:r>
        <w:rPr>
          <w:color w:val="231F20"/>
          <w:spacing w:val="-3"/>
          <w:w w:val="98"/>
        </w:rPr>
        <w:t> </w:t>
      </w:r>
      <w:r>
        <w:rPr>
          <w:color w:val="231F20"/>
          <w:spacing w:val="-4"/>
        </w:rPr>
        <w:t>libres</w:t>
      </w:r>
      <w:r>
        <w:rPr>
          <w:color w:val="231F20"/>
          <w:spacing w:val="-15"/>
        </w:rPr>
        <w:t> </w:t>
      </w:r>
      <w:r>
        <w:rPr>
          <w:color w:val="231F20"/>
        </w:rPr>
        <w:t>de</w:t>
      </w:r>
      <w:r>
        <w:rPr>
          <w:color w:val="231F20"/>
          <w:spacing w:val="-15"/>
        </w:rPr>
        <w:t> </w:t>
      </w:r>
      <w:r>
        <w:rPr>
          <w:color w:val="231F20"/>
          <w:spacing w:val="-3"/>
        </w:rPr>
        <w:t>defectos;</w:t>
      </w:r>
      <w:r>
        <w:rPr>
          <w:color w:val="231F20"/>
          <w:spacing w:val="-15"/>
        </w:rPr>
        <w:t> </w:t>
      </w:r>
      <w:r>
        <w:rPr>
          <w:color w:val="231F20"/>
        </w:rPr>
        <w:t>es</w:t>
      </w:r>
      <w:r>
        <w:rPr>
          <w:color w:val="231F20"/>
          <w:spacing w:val="-15"/>
        </w:rPr>
        <w:t> </w:t>
      </w:r>
      <w:r>
        <w:rPr>
          <w:color w:val="231F20"/>
          <w:spacing w:val="-5"/>
        </w:rPr>
        <w:t>decir,</w:t>
      </w:r>
      <w:r>
        <w:rPr>
          <w:color w:val="231F20"/>
          <w:spacing w:val="-15"/>
        </w:rPr>
        <w:t> </w:t>
      </w:r>
      <w:r>
        <w:rPr>
          <w:color w:val="231F20"/>
        </w:rPr>
        <w:t>se</w:t>
      </w:r>
      <w:r>
        <w:rPr>
          <w:color w:val="231F20"/>
          <w:spacing w:val="-15"/>
        </w:rPr>
        <w:t> </w:t>
      </w:r>
      <w:r>
        <w:rPr>
          <w:color w:val="231F20"/>
          <w:spacing w:val="-4"/>
        </w:rPr>
        <w:t>comparten</w:t>
      </w:r>
      <w:r>
        <w:rPr>
          <w:color w:val="231F20"/>
          <w:spacing w:val="-15"/>
        </w:rPr>
        <w:t> </w:t>
      </w:r>
      <w:r>
        <w:rPr>
          <w:color w:val="231F20"/>
        </w:rPr>
        <w:t>los</w:t>
      </w:r>
      <w:r>
        <w:rPr>
          <w:color w:val="231F20"/>
          <w:spacing w:val="-15"/>
        </w:rPr>
        <w:t> </w:t>
      </w:r>
      <w:r>
        <w:rPr>
          <w:color w:val="231F20"/>
          <w:spacing w:val="-3"/>
        </w:rPr>
        <w:t>riesgos</w:t>
      </w:r>
      <w:r>
        <w:rPr>
          <w:color w:val="231F20"/>
          <w:spacing w:val="-15"/>
        </w:rPr>
        <w:t> </w:t>
      </w:r>
      <w:r>
        <w:rPr>
          <w:color w:val="231F20"/>
        </w:rPr>
        <w:t>a</w:t>
      </w:r>
      <w:r>
        <w:rPr>
          <w:color w:val="231F20"/>
          <w:spacing w:val="-15"/>
        </w:rPr>
        <w:t> </w:t>
      </w:r>
      <w:r>
        <w:rPr>
          <w:color w:val="231F20"/>
        </w:rPr>
        <w:t>lo</w:t>
      </w:r>
      <w:r>
        <w:rPr>
          <w:color w:val="231F20"/>
          <w:spacing w:val="-15"/>
        </w:rPr>
        <w:t> </w:t>
      </w:r>
      <w:r>
        <w:rPr>
          <w:color w:val="231F20"/>
          <w:spacing w:val="-3"/>
        </w:rPr>
        <w:t>largo</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spacing w:val="-3"/>
        </w:rPr>
        <w:t>cadena</w:t>
      </w:r>
      <w:r>
        <w:rPr>
          <w:color w:val="231F20"/>
          <w:spacing w:val="-15"/>
        </w:rPr>
        <w:t> </w:t>
      </w:r>
      <w:r>
        <w:rPr>
          <w:color w:val="231F20"/>
          <w:spacing w:val="-3"/>
        </w:rPr>
        <w:t>(Sabel,</w:t>
      </w:r>
      <w:r>
        <w:rPr>
          <w:color w:val="231F20"/>
          <w:spacing w:val="-15"/>
        </w:rPr>
        <w:t> </w:t>
      </w:r>
      <w:r>
        <w:rPr>
          <w:color w:val="231F20"/>
          <w:spacing w:val="-3"/>
        </w:rPr>
        <w:t>1999).</w:t>
      </w:r>
    </w:p>
    <w:p>
      <w:pPr>
        <w:pStyle w:val="BodyText"/>
        <w:spacing w:line="278" w:lineRule="auto" w:before="1"/>
        <w:ind w:left="653" w:right="100" w:firstLine="396"/>
        <w:jc w:val="both"/>
      </w:pPr>
      <w:r>
        <w:rPr>
          <w:color w:val="231F20"/>
        </w:rPr>
        <w:t>En</w:t>
      </w:r>
      <w:r>
        <w:rPr>
          <w:color w:val="231F20"/>
          <w:spacing w:val="-15"/>
        </w:rPr>
        <w:t> </w:t>
      </w:r>
      <w:r>
        <w:rPr>
          <w:color w:val="231F20"/>
        </w:rPr>
        <w:t>este</w:t>
      </w:r>
      <w:r>
        <w:rPr>
          <w:color w:val="231F20"/>
          <w:spacing w:val="-15"/>
        </w:rPr>
        <w:t> </w:t>
      </w:r>
      <w:r>
        <w:rPr>
          <w:color w:val="231F20"/>
        </w:rPr>
        <w:t>mismo</w:t>
      </w:r>
      <w:r>
        <w:rPr>
          <w:color w:val="231F20"/>
          <w:spacing w:val="-15"/>
        </w:rPr>
        <w:t> </w:t>
      </w:r>
      <w:r>
        <w:rPr>
          <w:color w:val="231F20"/>
        </w:rPr>
        <w:t>sentido,</w:t>
      </w:r>
      <w:r>
        <w:rPr>
          <w:color w:val="231F20"/>
          <w:spacing w:val="-15"/>
        </w:rPr>
        <w:t> </w:t>
      </w:r>
      <w:r>
        <w:rPr>
          <w:color w:val="231F20"/>
        </w:rPr>
        <w:t>Sabel</w:t>
      </w:r>
      <w:r>
        <w:rPr>
          <w:color w:val="231F20"/>
          <w:spacing w:val="-15"/>
        </w:rPr>
        <w:t> </w:t>
      </w:r>
      <w:r>
        <w:rPr>
          <w:color w:val="231F20"/>
        </w:rPr>
        <w:t>(1999)</w:t>
      </w:r>
      <w:r>
        <w:rPr>
          <w:color w:val="231F20"/>
          <w:spacing w:val="-15"/>
        </w:rPr>
        <w:t> </w:t>
      </w:r>
      <w:r>
        <w:rPr>
          <w:color w:val="231F20"/>
        </w:rPr>
        <w:t>señala</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unidades</w:t>
      </w:r>
      <w:r>
        <w:rPr>
          <w:color w:val="231F20"/>
          <w:spacing w:val="-15"/>
        </w:rPr>
        <w:t> </w:t>
      </w:r>
      <w:r>
        <w:rPr>
          <w:color w:val="231F20"/>
        </w:rPr>
        <w:t>operativas</w:t>
      </w:r>
      <w:r>
        <w:rPr>
          <w:color w:val="231F20"/>
          <w:spacing w:val="-15"/>
        </w:rPr>
        <w:t> </w:t>
      </w:r>
      <w:r>
        <w:rPr>
          <w:color w:val="231F20"/>
        </w:rPr>
        <w:t>comparten los costos con los subcontratistas, sin asumir la responsabilidad final por la supervi- vencia de estos últimos. Las grandes empresas concentran su experiencia en coordi- nar el diseño y el montaje del producto final, y en promover unas cuantas tecnologías clave; desarrollan piezas complementarias, productos y procesos en colaboración con subcontratistas seleccionados, favoreciendo la creación de redes de producción entre industrias, a partir de la relación de un proveedor con diferentes grandes empresas de diversas</w:t>
      </w:r>
      <w:r>
        <w:rPr>
          <w:color w:val="231F20"/>
          <w:spacing w:val="-11"/>
        </w:rPr>
        <w:t> </w:t>
      </w:r>
      <w:r>
        <w:rPr>
          <w:color w:val="231F20"/>
        </w:rPr>
        <w:t>industrias.</w:t>
      </w:r>
    </w:p>
    <w:p>
      <w:pPr>
        <w:pStyle w:val="BodyText"/>
        <w:spacing w:line="278" w:lineRule="auto" w:before="1"/>
        <w:ind w:left="653" w:right="101" w:firstLine="396"/>
        <w:jc w:val="both"/>
      </w:pPr>
      <w:r>
        <w:rPr>
          <w:color w:val="231F20"/>
        </w:rPr>
        <w:t>Así, los subcontratistas, en este modelo flexible, juegan un rol que puede llegar a estar</w:t>
      </w:r>
      <w:r>
        <w:rPr>
          <w:color w:val="231F20"/>
          <w:spacing w:val="-6"/>
        </w:rPr>
        <w:t> </w:t>
      </w:r>
      <w:r>
        <w:rPr>
          <w:color w:val="231F20"/>
        </w:rPr>
        <w:t>mucho</w:t>
      </w:r>
      <w:r>
        <w:rPr>
          <w:color w:val="231F20"/>
          <w:spacing w:val="-6"/>
        </w:rPr>
        <w:t> </w:t>
      </w:r>
      <w:r>
        <w:rPr>
          <w:color w:val="231F20"/>
        </w:rPr>
        <w:t>más</w:t>
      </w:r>
      <w:r>
        <w:rPr>
          <w:color w:val="231F20"/>
          <w:spacing w:val="-6"/>
        </w:rPr>
        <w:t> </w:t>
      </w:r>
      <w:r>
        <w:rPr>
          <w:color w:val="231F20"/>
        </w:rPr>
        <w:t>integrado</w:t>
      </w:r>
      <w:r>
        <w:rPr>
          <w:color w:val="231F20"/>
          <w:spacing w:val="-6"/>
        </w:rPr>
        <w:t> </w:t>
      </w:r>
      <w:r>
        <w:rPr>
          <w:color w:val="231F20"/>
        </w:rPr>
        <w:t>con</w:t>
      </w:r>
      <w:r>
        <w:rPr>
          <w:color w:val="231F20"/>
          <w:spacing w:val="-6"/>
        </w:rPr>
        <w:t> </w:t>
      </w:r>
      <w:r>
        <w:rPr>
          <w:color w:val="231F20"/>
        </w:rPr>
        <w:t>las</w:t>
      </w:r>
      <w:r>
        <w:rPr>
          <w:color w:val="231F20"/>
          <w:spacing w:val="-6"/>
        </w:rPr>
        <w:t> </w:t>
      </w:r>
      <w:r>
        <w:rPr>
          <w:color w:val="231F20"/>
        </w:rPr>
        <w:t>empresas</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proveen,</w:t>
      </w:r>
      <w:r>
        <w:rPr>
          <w:color w:val="231F20"/>
          <w:spacing w:val="-6"/>
        </w:rPr>
        <w:t> </w:t>
      </w:r>
      <w:r>
        <w:rPr>
          <w:color w:val="231F20"/>
        </w:rPr>
        <w:t>si</w:t>
      </w:r>
      <w:r>
        <w:rPr>
          <w:color w:val="231F20"/>
          <w:spacing w:val="-6"/>
        </w:rPr>
        <w:t> </w:t>
      </w:r>
      <w:r>
        <w:rPr>
          <w:color w:val="231F20"/>
        </w:rPr>
        <w:t>se</w:t>
      </w:r>
      <w:r>
        <w:rPr>
          <w:color w:val="231F20"/>
          <w:spacing w:val="-6"/>
        </w:rPr>
        <w:t> </w:t>
      </w:r>
      <w:r>
        <w:rPr>
          <w:color w:val="231F20"/>
        </w:rPr>
        <w:t>comparte</w:t>
      </w:r>
      <w:r>
        <w:rPr>
          <w:color w:val="231F20"/>
          <w:spacing w:val="-6"/>
        </w:rPr>
        <w:t> </w:t>
      </w:r>
      <w:r>
        <w:rPr>
          <w:color w:val="231F20"/>
        </w:rPr>
        <w:t>la</w:t>
      </w:r>
      <w:r>
        <w:rPr>
          <w:color w:val="231F20"/>
          <w:spacing w:val="-6"/>
        </w:rPr>
        <w:t> </w:t>
      </w:r>
      <w:r>
        <w:rPr>
          <w:color w:val="231F20"/>
        </w:rPr>
        <w:t>carga del diseño de piezas y componentes y se adoptan estrategias de trabajo que</w:t>
      </w:r>
      <w:r>
        <w:rPr>
          <w:color w:val="231F20"/>
          <w:spacing w:val="-29"/>
        </w:rPr>
        <w:t> </w:t>
      </w:r>
      <w:r>
        <w:rPr>
          <w:color w:val="231F20"/>
        </w:rPr>
        <w:t>garanticen la proveeduría de partes y componentes en tiempo y forma. Además, para que en este nuevo panorama las empresas sean competitivas internacionalmente, se consideran como ventajas de primer orden: la propiedad de la tecnología, la diferenciación del producto,</w:t>
      </w:r>
      <w:r>
        <w:rPr>
          <w:color w:val="231F20"/>
          <w:spacing w:val="-17"/>
        </w:rPr>
        <w:t> </w:t>
      </w:r>
      <w:r>
        <w:rPr>
          <w:color w:val="231F20"/>
        </w:rPr>
        <w:t>el</w:t>
      </w:r>
      <w:r>
        <w:rPr>
          <w:color w:val="231F20"/>
          <w:spacing w:val="-17"/>
        </w:rPr>
        <w:t> </w:t>
      </w:r>
      <w:r>
        <w:rPr>
          <w:color w:val="231F20"/>
        </w:rPr>
        <w:t>prestigio</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marca</w:t>
      </w:r>
      <w:r>
        <w:rPr>
          <w:color w:val="231F20"/>
          <w:spacing w:val="-17"/>
        </w:rPr>
        <w:t> </w:t>
      </w:r>
      <w:r>
        <w:rPr>
          <w:color w:val="231F20"/>
        </w:rPr>
        <w:t>y</w:t>
      </w:r>
      <w:r>
        <w:rPr>
          <w:color w:val="231F20"/>
          <w:spacing w:val="-17"/>
        </w:rPr>
        <w:t> </w:t>
      </w:r>
      <w:r>
        <w:rPr>
          <w:color w:val="231F20"/>
        </w:rPr>
        <w:t>las</w:t>
      </w:r>
      <w:r>
        <w:rPr>
          <w:color w:val="231F20"/>
          <w:spacing w:val="-17"/>
        </w:rPr>
        <w:t> </w:t>
      </w:r>
      <w:r>
        <w:rPr>
          <w:color w:val="231F20"/>
        </w:rPr>
        <w:t>relaciones</w:t>
      </w:r>
      <w:r>
        <w:rPr>
          <w:color w:val="231F20"/>
          <w:spacing w:val="-17"/>
        </w:rPr>
        <w:t> </w:t>
      </w:r>
      <w:r>
        <w:rPr>
          <w:color w:val="231F20"/>
        </w:rPr>
        <w:t>con</w:t>
      </w:r>
      <w:r>
        <w:rPr>
          <w:color w:val="231F20"/>
          <w:spacing w:val="-17"/>
        </w:rPr>
        <w:t> </w:t>
      </w:r>
      <w:r>
        <w:rPr>
          <w:color w:val="231F20"/>
        </w:rPr>
        <w:t>los</w:t>
      </w:r>
      <w:r>
        <w:rPr>
          <w:color w:val="231F20"/>
          <w:spacing w:val="-17"/>
        </w:rPr>
        <w:t> </w:t>
      </w:r>
      <w:r>
        <w:rPr>
          <w:color w:val="231F20"/>
        </w:rPr>
        <w:t>clientes</w:t>
      </w:r>
      <w:r>
        <w:rPr>
          <w:color w:val="231F20"/>
          <w:spacing w:val="-17"/>
        </w:rPr>
        <w:t> </w:t>
      </w:r>
      <w:r>
        <w:rPr>
          <w:color w:val="231F20"/>
          <w:spacing w:val="-3"/>
        </w:rPr>
        <w:t>(Porter,</w:t>
      </w:r>
      <w:r>
        <w:rPr>
          <w:color w:val="231F20"/>
          <w:spacing w:val="-17"/>
        </w:rPr>
        <w:t> </w:t>
      </w:r>
      <w:r>
        <w:rPr>
          <w:color w:val="231F20"/>
        </w:rPr>
        <w:t>1990;</w:t>
      </w:r>
      <w:r>
        <w:rPr>
          <w:color w:val="231F20"/>
          <w:spacing w:val="-17"/>
        </w:rPr>
        <w:t> </w:t>
      </w:r>
      <w:r>
        <w:rPr>
          <w:color w:val="231F20"/>
        </w:rPr>
        <w:t>Gereffi, 1994).</w:t>
      </w:r>
      <w:r>
        <w:rPr>
          <w:color w:val="231F20"/>
          <w:spacing w:val="-23"/>
        </w:rPr>
        <w:t> </w:t>
      </w:r>
      <w:r>
        <w:rPr>
          <w:color w:val="231F20"/>
        </w:rPr>
        <w:t>En</w:t>
      </w:r>
      <w:r>
        <w:rPr>
          <w:color w:val="231F20"/>
          <w:spacing w:val="-23"/>
        </w:rPr>
        <w:t> </w:t>
      </w:r>
      <w:r>
        <w:rPr>
          <w:color w:val="231F20"/>
        </w:rPr>
        <w:t>síntesis,</w:t>
      </w:r>
      <w:r>
        <w:rPr>
          <w:color w:val="231F20"/>
          <w:spacing w:val="-23"/>
        </w:rPr>
        <w:t> </w:t>
      </w:r>
      <w:r>
        <w:rPr>
          <w:color w:val="231F20"/>
        </w:rPr>
        <w:t>Pozas</w:t>
      </w:r>
      <w:r>
        <w:rPr>
          <w:color w:val="231F20"/>
          <w:spacing w:val="-23"/>
        </w:rPr>
        <w:t> </w:t>
      </w:r>
      <w:r>
        <w:rPr>
          <w:color w:val="231F20"/>
        </w:rPr>
        <w:t>(2001:</w:t>
      </w:r>
      <w:r>
        <w:rPr>
          <w:color w:val="231F20"/>
          <w:spacing w:val="-23"/>
        </w:rPr>
        <w:t> </w:t>
      </w:r>
      <w:r>
        <w:rPr>
          <w:color w:val="231F20"/>
        </w:rPr>
        <w:t>188)</w:t>
      </w:r>
      <w:r>
        <w:rPr>
          <w:color w:val="231F20"/>
          <w:spacing w:val="-23"/>
        </w:rPr>
        <w:t> </w:t>
      </w:r>
      <w:r>
        <w:rPr>
          <w:color w:val="231F20"/>
        </w:rPr>
        <w:t>señala:</w:t>
      </w:r>
    </w:p>
    <w:p>
      <w:pPr>
        <w:pStyle w:val="BodyText"/>
        <w:spacing w:before="6"/>
        <w:rPr>
          <w:sz w:val="24"/>
        </w:rPr>
      </w:pPr>
    </w:p>
    <w:p>
      <w:pPr>
        <w:spacing w:line="285" w:lineRule="auto" w:before="0"/>
        <w:ind w:left="1050" w:right="430" w:firstLine="0"/>
        <w:jc w:val="left"/>
        <w:rPr>
          <w:sz w:val="19"/>
        </w:rPr>
      </w:pPr>
      <w:r>
        <w:rPr>
          <w:color w:val="231F20"/>
          <w:sz w:val="19"/>
        </w:rPr>
        <w:t>[…] el nuevo modelo de producción implica un doble proceso: </w:t>
      </w:r>
      <w:r>
        <w:rPr>
          <w:color w:val="231F20"/>
          <w:spacing w:val="-3"/>
          <w:sz w:val="19"/>
        </w:rPr>
        <w:t>favorece </w:t>
      </w:r>
      <w:r>
        <w:rPr>
          <w:color w:val="231F20"/>
          <w:sz w:val="19"/>
        </w:rPr>
        <w:t>por un lado la</w:t>
      </w:r>
      <w:r>
        <w:rPr>
          <w:color w:val="231F20"/>
          <w:spacing w:val="-12"/>
          <w:sz w:val="19"/>
        </w:rPr>
        <w:t> </w:t>
      </w:r>
      <w:r>
        <w:rPr>
          <w:color w:val="231F20"/>
          <w:sz w:val="19"/>
        </w:rPr>
        <w:t>concentración</w:t>
      </w:r>
      <w:r>
        <w:rPr>
          <w:color w:val="231F20"/>
          <w:spacing w:val="-12"/>
          <w:sz w:val="19"/>
        </w:rPr>
        <w:t> </w:t>
      </w:r>
      <w:r>
        <w:rPr>
          <w:color w:val="231F20"/>
          <w:sz w:val="19"/>
        </w:rPr>
        <w:t>del</w:t>
      </w:r>
      <w:r>
        <w:rPr>
          <w:color w:val="231F20"/>
          <w:spacing w:val="-12"/>
          <w:sz w:val="19"/>
        </w:rPr>
        <w:t> </w:t>
      </w:r>
      <w:r>
        <w:rPr>
          <w:color w:val="231F20"/>
          <w:sz w:val="19"/>
        </w:rPr>
        <w:t>capital</w:t>
      </w:r>
      <w:r>
        <w:rPr>
          <w:color w:val="231F20"/>
          <w:spacing w:val="-12"/>
          <w:sz w:val="19"/>
        </w:rPr>
        <w:t> </w:t>
      </w:r>
      <w:r>
        <w:rPr>
          <w:color w:val="231F20"/>
          <w:sz w:val="19"/>
        </w:rPr>
        <w:t>y</w:t>
      </w:r>
      <w:r>
        <w:rPr>
          <w:color w:val="231F20"/>
          <w:spacing w:val="-12"/>
          <w:sz w:val="19"/>
        </w:rPr>
        <w:t> </w:t>
      </w:r>
      <w:r>
        <w:rPr>
          <w:color w:val="231F20"/>
          <w:sz w:val="19"/>
        </w:rPr>
        <w:t>la</w:t>
      </w:r>
      <w:r>
        <w:rPr>
          <w:color w:val="231F20"/>
          <w:spacing w:val="-12"/>
          <w:sz w:val="19"/>
        </w:rPr>
        <w:t> </w:t>
      </w:r>
      <w:r>
        <w:rPr>
          <w:color w:val="231F20"/>
          <w:sz w:val="19"/>
        </w:rPr>
        <w:t>creación</w:t>
      </w:r>
      <w:r>
        <w:rPr>
          <w:color w:val="231F20"/>
          <w:spacing w:val="-12"/>
          <w:sz w:val="19"/>
        </w:rPr>
        <w:t> </w:t>
      </w:r>
      <w:r>
        <w:rPr>
          <w:color w:val="231F20"/>
          <w:sz w:val="19"/>
        </w:rPr>
        <w:t>de</w:t>
      </w:r>
      <w:r>
        <w:rPr>
          <w:color w:val="231F20"/>
          <w:spacing w:val="-12"/>
          <w:sz w:val="19"/>
        </w:rPr>
        <w:t> </w:t>
      </w:r>
      <w:r>
        <w:rPr>
          <w:color w:val="231F20"/>
          <w:sz w:val="19"/>
        </w:rPr>
        <w:t>grandes</w:t>
      </w:r>
      <w:r>
        <w:rPr>
          <w:color w:val="231F20"/>
          <w:spacing w:val="-12"/>
          <w:sz w:val="19"/>
        </w:rPr>
        <w:t> </w:t>
      </w:r>
      <w:r>
        <w:rPr>
          <w:color w:val="231F20"/>
          <w:sz w:val="19"/>
        </w:rPr>
        <w:t>y</w:t>
      </w:r>
      <w:r>
        <w:rPr>
          <w:color w:val="231F20"/>
          <w:spacing w:val="-12"/>
          <w:sz w:val="19"/>
        </w:rPr>
        <w:t> </w:t>
      </w:r>
      <w:r>
        <w:rPr>
          <w:color w:val="231F20"/>
          <w:sz w:val="19"/>
        </w:rPr>
        <w:t>poderosas</w:t>
      </w:r>
      <w:r>
        <w:rPr>
          <w:color w:val="231F20"/>
          <w:spacing w:val="-12"/>
          <w:sz w:val="19"/>
        </w:rPr>
        <w:t> </w:t>
      </w:r>
      <w:r>
        <w:rPr>
          <w:color w:val="231F20"/>
          <w:spacing w:val="-3"/>
          <w:sz w:val="19"/>
        </w:rPr>
        <w:t>empresas</w:t>
      </w:r>
      <w:r>
        <w:rPr>
          <w:color w:val="231F20"/>
          <w:spacing w:val="-12"/>
          <w:sz w:val="19"/>
        </w:rPr>
        <w:t> </w:t>
      </w:r>
      <w:r>
        <w:rPr>
          <w:color w:val="231F20"/>
          <w:sz w:val="19"/>
        </w:rPr>
        <w:t>globales;</w:t>
      </w:r>
      <w:r>
        <w:rPr>
          <w:color w:val="231F20"/>
          <w:spacing w:val="-12"/>
          <w:sz w:val="19"/>
        </w:rPr>
        <w:t> </w:t>
      </w:r>
      <w:r>
        <w:rPr>
          <w:color w:val="231F20"/>
          <w:sz w:val="19"/>
        </w:rPr>
        <w:t>y</w:t>
      </w:r>
    </w:p>
    <w:p>
      <w:pPr>
        <w:spacing w:after="0" w:line="285" w:lineRule="auto"/>
        <w:jc w:val="left"/>
        <w:rPr>
          <w:sz w:val="19"/>
        </w:rPr>
        <w:sectPr>
          <w:headerReference w:type="even" r:id="rId28"/>
          <w:headerReference w:type="default" r:id="rId29"/>
          <w:pgSz w:w="9640" w:h="13040"/>
          <w:pgMar w:header="581" w:footer="654" w:top="780" w:bottom="840" w:left="480" w:right="1200"/>
        </w:sectPr>
      </w:pPr>
    </w:p>
    <w:p>
      <w:pPr>
        <w:pStyle w:val="BodyText"/>
        <w:rPr>
          <w:sz w:val="20"/>
        </w:rPr>
      </w:pPr>
    </w:p>
    <w:p>
      <w:pPr>
        <w:pStyle w:val="BodyText"/>
        <w:spacing w:before="6"/>
      </w:pPr>
    </w:p>
    <w:p>
      <w:pPr>
        <w:spacing w:line="285" w:lineRule="auto" w:before="62"/>
        <w:ind w:left="500" w:right="1048" w:firstLine="0"/>
        <w:jc w:val="both"/>
        <w:rPr>
          <w:sz w:val="19"/>
        </w:rPr>
      </w:pPr>
      <w:r>
        <w:rPr>
          <w:color w:val="231F20"/>
          <w:sz w:val="19"/>
        </w:rPr>
        <w:t>por el otro incorpora un </w:t>
      </w:r>
      <w:r>
        <w:rPr>
          <w:color w:val="231F20"/>
          <w:spacing w:val="-3"/>
          <w:sz w:val="19"/>
        </w:rPr>
        <w:t>mayor número </w:t>
      </w:r>
      <w:r>
        <w:rPr>
          <w:color w:val="231F20"/>
          <w:sz w:val="19"/>
        </w:rPr>
        <w:t>de unidades productivas más pequeñas y au- </w:t>
      </w:r>
      <w:r>
        <w:rPr>
          <w:color w:val="231F20"/>
          <w:spacing w:val="-3"/>
          <w:sz w:val="19"/>
        </w:rPr>
        <w:t>tónomas </w:t>
      </w:r>
      <w:r>
        <w:rPr>
          <w:color w:val="231F20"/>
          <w:sz w:val="19"/>
        </w:rPr>
        <w:t>a un complejo sistema de subcontratación internacional. La permanencia</w:t>
      </w:r>
      <w:r>
        <w:rPr>
          <w:color w:val="231F20"/>
          <w:spacing w:val="-33"/>
          <w:sz w:val="19"/>
        </w:rPr>
        <w:t> </w:t>
      </w:r>
      <w:r>
        <w:rPr>
          <w:color w:val="231F20"/>
          <w:sz w:val="19"/>
        </w:rPr>
        <w:t>de las</w:t>
      </w:r>
      <w:r>
        <w:rPr>
          <w:color w:val="231F20"/>
          <w:spacing w:val="-17"/>
          <w:sz w:val="19"/>
        </w:rPr>
        <w:t> </w:t>
      </w:r>
      <w:r>
        <w:rPr>
          <w:color w:val="231F20"/>
          <w:spacing w:val="-3"/>
          <w:sz w:val="19"/>
        </w:rPr>
        <w:t>empresas</w:t>
      </w:r>
      <w:r>
        <w:rPr>
          <w:color w:val="231F20"/>
          <w:spacing w:val="-17"/>
          <w:sz w:val="19"/>
        </w:rPr>
        <w:t> </w:t>
      </w:r>
      <w:r>
        <w:rPr>
          <w:color w:val="231F20"/>
          <w:sz w:val="19"/>
        </w:rPr>
        <w:t>depende</w:t>
      </w:r>
      <w:r>
        <w:rPr>
          <w:color w:val="231F20"/>
          <w:spacing w:val="-17"/>
          <w:sz w:val="19"/>
        </w:rPr>
        <w:t> </w:t>
      </w:r>
      <w:r>
        <w:rPr>
          <w:color w:val="231F20"/>
          <w:sz w:val="19"/>
        </w:rPr>
        <w:t>no</w:t>
      </w:r>
      <w:r>
        <w:rPr>
          <w:color w:val="231F20"/>
          <w:spacing w:val="-17"/>
          <w:sz w:val="19"/>
        </w:rPr>
        <w:t> </w:t>
      </w:r>
      <w:r>
        <w:rPr>
          <w:color w:val="231F20"/>
          <w:sz w:val="19"/>
        </w:rPr>
        <w:t>sólo</w:t>
      </w:r>
      <w:r>
        <w:rPr>
          <w:color w:val="231F20"/>
          <w:spacing w:val="-17"/>
          <w:sz w:val="19"/>
        </w:rPr>
        <w:t> </w:t>
      </w:r>
      <w:r>
        <w:rPr>
          <w:color w:val="231F20"/>
          <w:sz w:val="19"/>
        </w:rPr>
        <w:t>de</w:t>
      </w:r>
      <w:r>
        <w:rPr>
          <w:color w:val="231F20"/>
          <w:spacing w:val="-17"/>
          <w:sz w:val="19"/>
        </w:rPr>
        <w:t> </w:t>
      </w:r>
      <w:r>
        <w:rPr>
          <w:color w:val="231F20"/>
          <w:sz w:val="19"/>
        </w:rPr>
        <w:t>su</w:t>
      </w:r>
      <w:r>
        <w:rPr>
          <w:color w:val="231F20"/>
          <w:spacing w:val="-17"/>
          <w:sz w:val="19"/>
        </w:rPr>
        <w:t> </w:t>
      </w:r>
      <w:r>
        <w:rPr>
          <w:color w:val="231F20"/>
          <w:sz w:val="19"/>
        </w:rPr>
        <w:t>capacidad</w:t>
      </w:r>
      <w:r>
        <w:rPr>
          <w:color w:val="231F20"/>
          <w:spacing w:val="-17"/>
          <w:sz w:val="19"/>
        </w:rPr>
        <w:t> </w:t>
      </w:r>
      <w:r>
        <w:rPr>
          <w:color w:val="231F20"/>
          <w:sz w:val="19"/>
        </w:rPr>
        <w:t>para</w:t>
      </w:r>
      <w:r>
        <w:rPr>
          <w:color w:val="231F20"/>
          <w:spacing w:val="-17"/>
          <w:sz w:val="19"/>
        </w:rPr>
        <w:t> </w:t>
      </w:r>
      <w:r>
        <w:rPr>
          <w:color w:val="231F20"/>
          <w:sz w:val="19"/>
        </w:rPr>
        <w:t>integrarse</w:t>
      </w:r>
      <w:r>
        <w:rPr>
          <w:color w:val="231F20"/>
          <w:spacing w:val="-17"/>
          <w:sz w:val="19"/>
        </w:rPr>
        <w:t> </w:t>
      </w:r>
      <w:r>
        <w:rPr>
          <w:color w:val="231F20"/>
          <w:sz w:val="19"/>
        </w:rPr>
        <w:t>al</w:t>
      </w:r>
      <w:r>
        <w:rPr>
          <w:color w:val="231F20"/>
          <w:spacing w:val="-17"/>
          <w:sz w:val="19"/>
        </w:rPr>
        <w:t> </w:t>
      </w:r>
      <w:r>
        <w:rPr>
          <w:color w:val="231F20"/>
          <w:sz w:val="19"/>
        </w:rPr>
        <w:t>sistema</w:t>
      </w:r>
      <w:r>
        <w:rPr>
          <w:color w:val="231F20"/>
          <w:spacing w:val="-17"/>
          <w:sz w:val="19"/>
        </w:rPr>
        <w:t> </w:t>
      </w:r>
      <w:r>
        <w:rPr>
          <w:color w:val="231F20"/>
          <w:sz w:val="19"/>
        </w:rPr>
        <w:t>abasteciendo</w:t>
      </w:r>
      <w:r>
        <w:rPr>
          <w:color w:val="231F20"/>
          <w:spacing w:val="-17"/>
          <w:sz w:val="19"/>
        </w:rPr>
        <w:t> </w:t>
      </w:r>
      <w:r>
        <w:rPr>
          <w:color w:val="231F20"/>
          <w:sz w:val="19"/>
        </w:rPr>
        <w:t>a un</w:t>
      </w:r>
      <w:r>
        <w:rPr>
          <w:color w:val="231F20"/>
          <w:spacing w:val="-11"/>
          <w:sz w:val="19"/>
        </w:rPr>
        <w:t> </w:t>
      </w:r>
      <w:r>
        <w:rPr>
          <w:color w:val="231F20"/>
          <w:sz w:val="19"/>
        </w:rPr>
        <w:t>cliente</w:t>
      </w:r>
      <w:r>
        <w:rPr>
          <w:color w:val="231F20"/>
          <w:spacing w:val="-11"/>
          <w:sz w:val="19"/>
        </w:rPr>
        <w:t> </w:t>
      </w:r>
      <w:r>
        <w:rPr>
          <w:color w:val="231F20"/>
          <w:spacing w:val="-3"/>
          <w:sz w:val="19"/>
        </w:rPr>
        <w:t>importante,</w:t>
      </w:r>
      <w:r>
        <w:rPr>
          <w:color w:val="231F20"/>
          <w:spacing w:val="-11"/>
          <w:sz w:val="19"/>
        </w:rPr>
        <w:t> </w:t>
      </w:r>
      <w:r>
        <w:rPr>
          <w:color w:val="231F20"/>
          <w:sz w:val="19"/>
        </w:rPr>
        <w:t>sino</w:t>
      </w:r>
      <w:r>
        <w:rPr>
          <w:color w:val="231F20"/>
          <w:spacing w:val="-11"/>
          <w:sz w:val="19"/>
        </w:rPr>
        <w:t> </w:t>
      </w:r>
      <w:r>
        <w:rPr>
          <w:color w:val="231F20"/>
          <w:sz w:val="19"/>
        </w:rPr>
        <w:t>también</w:t>
      </w:r>
      <w:r>
        <w:rPr>
          <w:color w:val="231F20"/>
          <w:spacing w:val="-11"/>
          <w:sz w:val="19"/>
        </w:rPr>
        <w:t> </w:t>
      </w:r>
      <w:r>
        <w:rPr>
          <w:color w:val="231F20"/>
          <w:sz w:val="19"/>
        </w:rPr>
        <w:t>de</w:t>
      </w:r>
      <w:r>
        <w:rPr>
          <w:color w:val="231F20"/>
          <w:spacing w:val="-11"/>
          <w:sz w:val="19"/>
        </w:rPr>
        <w:t> </w:t>
      </w:r>
      <w:r>
        <w:rPr>
          <w:color w:val="231F20"/>
          <w:sz w:val="19"/>
        </w:rPr>
        <w:t>su</w:t>
      </w:r>
      <w:r>
        <w:rPr>
          <w:color w:val="231F20"/>
          <w:spacing w:val="-11"/>
          <w:sz w:val="19"/>
        </w:rPr>
        <w:t> </w:t>
      </w:r>
      <w:r>
        <w:rPr>
          <w:color w:val="231F20"/>
          <w:sz w:val="19"/>
        </w:rPr>
        <w:t>flexibilidad</w:t>
      </w:r>
      <w:r>
        <w:rPr>
          <w:color w:val="231F20"/>
          <w:spacing w:val="-11"/>
          <w:sz w:val="19"/>
        </w:rPr>
        <w:t> </w:t>
      </w:r>
      <w:r>
        <w:rPr>
          <w:color w:val="231F20"/>
          <w:sz w:val="19"/>
        </w:rPr>
        <w:t>para</w:t>
      </w:r>
      <w:r>
        <w:rPr>
          <w:color w:val="231F20"/>
          <w:spacing w:val="-11"/>
          <w:sz w:val="19"/>
        </w:rPr>
        <w:t> </w:t>
      </w:r>
      <w:r>
        <w:rPr>
          <w:color w:val="231F20"/>
          <w:spacing w:val="-3"/>
          <w:sz w:val="19"/>
        </w:rPr>
        <w:t>cambiar</w:t>
      </w:r>
      <w:r>
        <w:rPr>
          <w:color w:val="231F20"/>
          <w:spacing w:val="-11"/>
          <w:sz w:val="19"/>
        </w:rPr>
        <w:t> </w:t>
      </w:r>
      <w:r>
        <w:rPr>
          <w:color w:val="231F20"/>
          <w:sz w:val="19"/>
        </w:rPr>
        <w:t>de</w:t>
      </w:r>
      <w:r>
        <w:rPr>
          <w:color w:val="231F20"/>
          <w:spacing w:val="-11"/>
          <w:sz w:val="19"/>
        </w:rPr>
        <w:t> </w:t>
      </w:r>
      <w:r>
        <w:rPr>
          <w:color w:val="231F20"/>
          <w:sz w:val="19"/>
        </w:rPr>
        <w:t>un</w:t>
      </w:r>
      <w:r>
        <w:rPr>
          <w:color w:val="231F20"/>
          <w:spacing w:val="-11"/>
          <w:sz w:val="19"/>
        </w:rPr>
        <w:t> </w:t>
      </w:r>
      <w:r>
        <w:rPr>
          <w:color w:val="231F20"/>
          <w:sz w:val="19"/>
        </w:rPr>
        <w:t>cliente</w:t>
      </w:r>
      <w:r>
        <w:rPr>
          <w:color w:val="231F20"/>
          <w:spacing w:val="-11"/>
          <w:sz w:val="19"/>
        </w:rPr>
        <w:t> </w:t>
      </w:r>
      <w:r>
        <w:rPr>
          <w:color w:val="231F20"/>
          <w:sz w:val="19"/>
        </w:rPr>
        <w:t>a</w:t>
      </w:r>
      <w:r>
        <w:rPr>
          <w:color w:val="231F20"/>
          <w:spacing w:val="-11"/>
          <w:sz w:val="19"/>
        </w:rPr>
        <w:t> </w:t>
      </w:r>
      <w:r>
        <w:rPr>
          <w:color w:val="231F20"/>
          <w:sz w:val="19"/>
        </w:rPr>
        <w:t>otro con</w:t>
      </w:r>
      <w:r>
        <w:rPr>
          <w:color w:val="231F20"/>
          <w:spacing w:val="-5"/>
          <w:sz w:val="19"/>
        </w:rPr>
        <w:t> </w:t>
      </w:r>
      <w:r>
        <w:rPr>
          <w:color w:val="231F20"/>
          <w:sz w:val="19"/>
        </w:rPr>
        <w:t>facilidad.</w:t>
      </w:r>
      <w:r>
        <w:rPr>
          <w:color w:val="231F20"/>
          <w:spacing w:val="-5"/>
          <w:sz w:val="19"/>
        </w:rPr>
        <w:t> </w:t>
      </w:r>
      <w:r>
        <w:rPr>
          <w:color w:val="231F20"/>
          <w:sz w:val="19"/>
        </w:rPr>
        <w:t>En</w:t>
      </w:r>
      <w:r>
        <w:rPr>
          <w:color w:val="231F20"/>
          <w:spacing w:val="-5"/>
          <w:sz w:val="19"/>
        </w:rPr>
        <w:t> </w:t>
      </w:r>
      <w:r>
        <w:rPr>
          <w:color w:val="231F20"/>
          <w:sz w:val="19"/>
        </w:rPr>
        <w:t>este</w:t>
      </w:r>
      <w:r>
        <w:rPr>
          <w:color w:val="231F20"/>
          <w:spacing w:val="-5"/>
          <w:sz w:val="19"/>
        </w:rPr>
        <w:t> </w:t>
      </w:r>
      <w:r>
        <w:rPr>
          <w:color w:val="231F20"/>
          <w:spacing w:val="-3"/>
          <w:sz w:val="19"/>
        </w:rPr>
        <w:t>contexto,</w:t>
      </w:r>
      <w:r>
        <w:rPr>
          <w:color w:val="231F20"/>
          <w:spacing w:val="-5"/>
          <w:sz w:val="19"/>
        </w:rPr>
        <w:t> </w:t>
      </w:r>
      <w:r>
        <w:rPr>
          <w:color w:val="231F20"/>
          <w:sz w:val="19"/>
        </w:rPr>
        <w:t>la</w:t>
      </w:r>
      <w:r>
        <w:rPr>
          <w:color w:val="231F20"/>
          <w:spacing w:val="-5"/>
          <w:sz w:val="19"/>
        </w:rPr>
        <w:t> </w:t>
      </w:r>
      <w:r>
        <w:rPr>
          <w:color w:val="231F20"/>
          <w:sz w:val="19"/>
        </w:rPr>
        <w:t>calidad</w:t>
      </w:r>
      <w:r>
        <w:rPr>
          <w:color w:val="231F20"/>
          <w:spacing w:val="-5"/>
          <w:sz w:val="19"/>
        </w:rPr>
        <w:t> </w:t>
      </w:r>
      <w:r>
        <w:rPr>
          <w:color w:val="231F20"/>
          <w:sz w:val="19"/>
        </w:rPr>
        <w:t>y</w:t>
      </w:r>
      <w:r>
        <w:rPr>
          <w:color w:val="231F20"/>
          <w:spacing w:val="-5"/>
          <w:sz w:val="19"/>
        </w:rPr>
        <w:t> </w:t>
      </w:r>
      <w:r>
        <w:rPr>
          <w:color w:val="231F20"/>
          <w:sz w:val="19"/>
        </w:rPr>
        <w:t>el</w:t>
      </w:r>
      <w:r>
        <w:rPr>
          <w:color w:val="231F20"/>
          <w:spacing w:val="-5"/>
          <w:sz w:val="19"/>
        </w:rPr>
        <w:t> </w:t>
      </w:r>
      <w:r>
        <w:rPr>
          <w:color w:val="231F20"/>
          <w:sz w:val="19"/>
        </w:rPr>
        <w:t>tamaño</w:t>
      </w:r>
      <w:r>
        <w:rPr>
          <w:color w:val="231F20"/>
          <w:spacing w:val="-5"/>
          <w:sz w:val="19"/>
        </w:rPr>
        <w:t> </w:t>
      </w:r>
      <w:r>
        <w:rPr>
          <w:color w:val="231F20"/>
          <w:sz w:val="19"/>
        </w:rPr>
        <w:t>de</w:t>
      </w:r>
      <w:r>
        <w:rPr>
          <w:color w:val="231F20"/>
          <w:spacing w:val="-5"/>
          <w:sz w:val="19"/>
        </w:rPr>
        <w:t> </w:t>
      </w:r>
      <w:r>
        <w:rPr>
          <w:color w:val="231F20"/>
          <w:sz w:val="19"/>
        </w:rPr>
        <w:t>las</w:t>
      </w:r>
      <w:r>
        <w:rPr>
          <w:color w:val="231F20"/>
          <w:spacing w:val="-5"/>
          <w:sz w:val="19"/>
        </w:rPr>
        <w:t> </w:t>
      </w:r>
      <w:r>
        <w:rPr>
          <w:color w:val="231F20"/>
          <w:sz w:val="19"/>
        </w:rPr>
        <w:t>redes</w:t>
      </w:r>
      <w:r>
        <w:rPr>
          <w:color w:val="231F20"/>
          <w:spacing w:val="-5"/>
          <w:sz w:val="19"/>
        </w:rPr>
        <w:t> </w:t>
      </w:r>
      <w:r>
        <w:rPr>
          <w:color w:val="231F20"/>
          <w:sz w:val="19"/>
        </w:rPr>
        <w:t>sociales</w:t>
      </w:r>
      <w:r>
        <w:rPr>
          <w:color w:val="231F20"/>
          <w:spacing w:val="-5"/>
          <w:sz w:val="19"/>
        </w:rPr>
        <w:t> </w:t>
      </w:r>
      <w:r>
        <w:rPr>
          <w:color w:val="231F20"/>
          <w:sz w:val="19"/>
        </w:rPr>
        <w:t>adquieren importancia fundamental para el buen funcionamiento del sistema</w:t>
      </w:r>
      <w:r>
        <w:rPr>
          <w:color w:val="231F20"/>
          <w:spacing w:val="-26"/>
          <w:sz w:val="19"/>
        </w:rPr>
        <w:t> </w:t>
      </w:r>
      <w:r>
        <w:rPr>
          <w:color w:val="231F20"/>
          <w:spacing w:val="-3"/>
          <w:sz w:val="19"/>
        </w:rPr>
        <w:t>productivo.</w:t>
      </w:r>
    </w:p>
    <w:p>
      <w:pPr>
        <w:pStyle w:val="BodyText"/>
        <w:rPr>
          <w:sz w:val="18"/>
        </w:rPr>
      </w:pPr>
    </w:p>
    <w:p>
      <w:pPr>
        <w:pStyle w:val="BodyText"/>
        <w:spacing w:line="271" w:lineRule="auto" w:before="133"/>
        <w:ind w:left="103" w:right="650"/>
        <w:jc w:val="both"/>
      </w:pPr>
      <w:r>
        <w:rPr>
          <w:color w:val="231F20"/>
        </w:rPr>
        <w:t>En este contexto, toma gran importancia el estudio de las cadenas productivas y las cadenas</w:t>
      </w:r>
      <w:r>
        <w:rPr>
          <w:color w:val="231F20"/>
          <w:spacing w:val="-17"/>
        </w:rPr>
        <w:t> </w:t>
      </w:r>
      <w:r>
        <w:rPr>
          <w:color w:val="231F20"/>
        </w:rPr>
        <w:t>mercantiles</w:t>
      </w:r>
      <w:r>
        <w:rPr>
          <w:color w:val="231F20"/>
          <w:spacing w:val="-17"/>
        </w:rPr>
        <w:t> </w:t>
      </w:r>
      <w:r>
        <w:rPr>
          <w:color w:val="231F20"/>
        </w:rPr>
        <w:t>globales.</w:t>
      </w:r>
      <w:r>
        <w:rPr>
          <w:color w:val="231F20"/>
          <w:spacing w:val="-17"/>
        </w:rPr>
        <w:t> </w:t>
      </w:r>
      <w:r>
        <w:rPr>
          <w:color w:val="231F20"/>
        </w:rPr>
        <w:t>Gereffi</w:t>
      </w:r>
      <w:r>
        <w:rPr>
          <w:color w:val="231F20"/>
          <w:spacing w:val="-17"/>
        </w:rPr>
        <w:t> </w:t>
      </w:r>
      <w:r>
        <w:rPr>
          <w:color w:val="231F20"/>
        </w:rPr>
        <w:t>y</w:t>
      </w:r>
      <w:r>
        <w:rPr>
          <w:color w:val="231F20"/>
          <w:spacing w:val="-17"/>
        </w:rPr>
        <w:t> </w:t>
      </w:r>
      <w:r>
        <w:rPr>
          <w:color w:val="231F20"/>
        </w:rPr>
        <w:t>Korzeniewicz</w:t>
      </w:r>
      <w:r>
        <w:rPr>
          <w:color w:val="231F20"/>
          <w:spacing w:val="-17"/>
        </w:rPr>
        <w:t> </w:t>
      </w:r>
      <w:r>
        <w:rPr>
          <w:color w:val="231F20"/>
        </w:rPr>
        <w:t>(1994)</w:t>
      </w:r>
      <w:r>
        <w:rPr>
          <w:color w:val="231F20"/>
          <w:spacing w:val="-17"/>
        </w:rPr>
        <w:t> </w:t>
      </w:r>
      <w:r>
        <w:rPr>
          <w:color w:val="231F20"/>
        </w:rPr>
        <w:t>hacen</w:t>
      </w:r>
      <w:r>
        <w:rPr>
          <w:color w:val="231F20"/>
          <w:spacing w:val="-17"/>
        </w:rPr>
        <w:t> </w:t>
      </w:r>
      <w:r>
        <w:rPr>
          <w:color w:val="231F20"/>
        </w:rPr>
        <w:t>una</w:t>
      </w:r>
      <w:r>
        <w:rPr>
          <w:color w:val="231F20"/>
          <w:spacing w:val="-17"/>
        </w:rPr>
        <w:t> </w:t>
      </w:r>
      <w:r>
        <w:rPr>
          <w:color w:val="231F20"/>
        </w:rPr>
        <w:t>aportación</w:t>
      </w:r>
      <w:r>
        <w:rPr>
          <w:color w:val="231F20"/>
          <w:spacing w:val="-17"/>
        </w:rPr>
        <w:t> </w:t>
      </w:r>
      <w:r>
        <w:rPr>
          <w:color w:val="231F20"/>
        </w:rPr>
        <w:t>teó- rica</w:t>
      </w:r>
      <w:r>
        <w:rPr>
          <w:color w:val="231F20"/>
          <w:spacing w:val="-11"/>
        </w:rPr>
        <w:t> </w:t>
      </w:r>
      <w:r>
        <w:rPr>
          <w:color w:val="231F20"/>
        </w:rPr>
        <w:t>importante</w:t>
      </w:r>
      <w:r>
        <w:rPr>
          <w:color w:val="231F20"/>
          <w:spacing w:val="-11"/>
        </w:rPr>
        <w:t> </w:t>
      </w:r>
      <w:r>
        <w:rPr>
          <w:color w:val="231F20"/>
        </w:rPr>
        <w:t>que</w:t>
      </w:r>
      <w:r>
        <w:rPr>
          <w:color w:val="231F20"/>
          <w:spacing w:val="-11"/>
        </w:rPr>
        <w:t> </w:t>
      </w:r>
      <w:r>
        <w:rPr>
          <w:color w:val="231F20"/>
        </w:rPr>
        <w:t>ha</w:t>
      </w:r>
      <w:r>
        <w:rPr>
          <w:color w:val="231F20"/>
          <w:spacing w:val="-11"/>
        </w:rPr>
        <w:t> </w:t>
      </w:r>
      <w:r>
        <w:rPr>
          <w:color w:val="231F20"/>
        </w:rPr>
        <w:t>servido</w:t>
      </w:r>
      <w:r>
        <w:rPr>
          <w:color w:val="231F20"/>
          <w:spacing w:val="-11"/>
        </w:rPr>
        <w:t> </w:t>
      </w:r>
      <w:r>
        <w:rPr>
          <w:color w:val="231F20"/>
        </w:rPr>
        <w:t>de</w:t>
      </w:r>
      <w:r>
        <w:rPr>
          <w:color w:val="231F20"/>
          <w:spacing w:val="-11"/>
        </w:rPr>
        <w:t> </w:t>
      </w:r>
      <w:r>
        <w:rPr>
          <w:color w:val="231F20"/>
        </w:rPr>
        <w:t>referencia</w:t>
      </w:r>
      <w:r>
        <w:rPr>
          <w:color w:val="231F20"/>
          <w:spacing w:val="-11"/>
        </w:rPr>
        <w:t> </w:t>
      </w:r>
      <w:r>
        <w:rPr>
          <w:color w:val="231F20"/>
        </w:rPr>
        <w:t>para</w:t>
      </w:r>
      <w:r>
        <w:rPr>
          <w:color w:val="231F20"/>
          <w:spacing w:val="-11"/>
        </w:rPr>
        <w:t> </w:t>
      </w:r>
      <w:r>
        <w:rPr>
          <w:color w:val="231F20"/>
        </w:rPr>
        <w:t>muchos</w:t>
      </w:r>
      <w:r>
        <w:rPr>
          <w:color w:val="231F20"/>
          <w:spacing w:val="-11"/>
        </w:rPr>
        <w:t> </w:t>
      </w:r>
      <w:r>
        <w:rPr>
          <w:color w:val="231F20"/>
        </w:rPr>
        <w:t>estudios.</w:t>
      </w:r>
      <w:r>
        <w:rPr>
          <w:color w:val="231F20"/>
          <w:spacing w:val="-11"/>
        </w:rPr>
        <w:t> </w:t>
      </w:r>
      <w:r>
        <w:rPr>
          <w:color w:val="231F20"/>
        </w:rPr>
        <w:t>Los</w:t>
      </w:r>
      <w:r>
        <w:rPr>
          <w:color w:val="231F20"/>
          <w:spacing w:val="-11"/>
        </w:rPr>
        <w:t> </w:t>
      </w:r>
      <w:r>
        <w:rPr>
          <w:color w:val="231F20"/>
          <w:spacing w:val="-3"/>
        </w:rPr>
        <w:t>autores</w:t>
      </w:r>
      <w:r>
        <w:rPr>
          <w:color w:val="231F20"/>
          <w:spacing w:val="-11"/>
        </w:rPr>
        <w:t> </w:t>
      </w:r>
      <w:r>
        <w:rPr>
          <w:color w:val="231F20"/>
        </w:rPr>
        <w:t>definen la</w:t>
      </w:r>
      <w:r>
        <w:rPr>
          <w:color w:val="231F20"/>
          <w:spacing w:val="-10"/>
        </w:rPr>
        <w:t> </w:t>
      </w:r>
      <w:r>
        <w:rPr>
          <w:color w:val="231F20"/>
        </w:rPr>
        <w:t>cadena</w:t>
      </w:r>
      <w:r>
        <w:rPr>
          <w:color w:val="231F20"/>
          <w:spacing w:val="-10"/>
        </w:rPr>
        <w:t> </w:t>
      </w:r>
      <w:r>
        <w:rPr>
          <w:color w:val="231F20"/>
        </w:rPr>
        <w:t>mercantil</w:t>
      </w:r>
      <w:r>
        <w:rPr>
          <w:color w:val="231F20"/>
          <w:spacing w:val="-10"/>
        </w:rPr>
        <w:t> </w:t>
      </w:r>
      <w:r>
        <w:rPr>
          <w:color w:val="231F20"/>
        </w:rPr>
        <w:t>global</w:t>
      </w:r>
      <w:r>
        <w:rPr>
          <w:color w:val="231F20"/>
          <w:spacing w:val="-10"/>
        </w:rPr>
        <w:t> </w:t>
      </w:r>
      <w:r>
        <w:rPr>
          <w:color w:val="231F20"/>
        </w:rPr>
        <w:t>(</w:t>
      </w:r>
      <w:r>
        <w:rPr>
          <w:rFonts w:ascii="Palatino Linotype" w:hAnsi="Palatino Linotype"/>
          <w:i/>
          <w:color w:val="231F20"/>
        </w:rPr>
        <w:t>Global</w:t>
      </w:r>
      <w:r>
        <w:rPr>
          <w:rFonts w:ascii="Palatino Linotype" w:hAnsi="Palatino Linotype"/>
          <w:i/>
          <w:color w:val="231F20"/>
          <w:spacing w:val="-9"/>
        </w:rPr>
        <w:t> </w:t>
      </w:r>
      <w:r>
        <w:rPr>
          <w:rFonts w:ascii="Palatino Linotype" w:hAnsi="Palatino Linotype"/>
          <w:i/>
          <w:color w:val="231F20"/>
        </w:rPr>
        <w:t>Commodity</w:t>
      </w:r>
      <w:r>
        <w:rPr>
          <w:rFonts w:ascii="Palatino Linotype" w:hAnsi="Palatino Linotype"/>
          <w:i/>
          <w:color w:val="231F20"/>
          <w:spacing w:val="-9"/>
        </w:rPr>
        <w:t> </w:t>
      </w:r>
      <w:r>
        <w:rPr>
          <w:rFonts w:ascii="Palatino Linotype" w:hAnsi="Palatino Linotype"/>
          <w:i/>
          <w:color w:val="231F20"/>
        </w:rPr>
        <w:t>Chain</w:t>
      </w:r>
      <w:r>
        <w:rPr>
          <w:color w:val="231F20"/>
        </w:rPr>
        <w:t>)</w:t>
      </w:r>
      <w:r>
        <w:rPr>
          <w:color w:val="231F20"/>
          <w:spacing w:val="-10"/>
        </w:rPr>
        <w:t> </w:t>
      </w:r>
      <w:r>
        <w:rPr>
          <w:color w:val="231F20"/>
        </w:rPr>
        <w:t>como</w:t>
      </w:r>
      <w:r>
        <w:rPr>
          <w:color w:val="231F20"/>
          <w:spacing w:val="-10"/>
        </w:rPr>
        <w:t> </w:t>
      </w:r>
      <w:r>
        <w:rPr>
          <w:color w:val="231F20"/>
        </w:rPr>
        <w:t>un</w:t>
      </w:r>
      <w:r>
        <w:rPr>
          <w:color w:val="231F20"/>
          <w:spacing w:val="-10"/>
        </w:rPr>
        <w:t> </w:t>
      </w:r>
      <w:r>
        <w:rPr>
          <w:color w:val="231F20"/>
        </w:rPr>
        <w:t>sistema</w:t>
      </w:r>
      <w:r>
        <w:rPr>
          <w:color w:val="231F20"/>
          <w:spacing w:val="-10"/>
        </w:rPr>
        <w:t> </w:t>
      </w:r>
      <w:r>
        <w:rPr>
          <w:color w:val="231F20"/>
        </w:rPr>
        <w:t>de</w:t>
      </w:r>
      <w:r>
        <w:rPr>
          <w:color w:val="231F20"/>
          <w:spacing w:val="-10"/>
        </w:rPr>
        <w:t> </w:t>
      </w:r>
      <w:r>
        <w:rPr>
          <w:color w:val="231F20"/>
        </w:rPr>
        <w:t>producción integrado</w:t>
      </w:r>
      <w:r>
        <w:rPr>
          <w:color w:val="231F20"/>
          <w:spacing w:val="-13"/>
        </w:rPr>
        <w:t> </w:t>
      </w:r>
      <w:r>
        <w:rPr>
          <w:color w:val="231F20"/>
        </w:rPr>
        <w:t>que</w:t>
      </w:r>
      <w:r>
        <w:rPr>
          <w:color w:val="231F20"/>
          <w:spacing w:val="-13"/>
        </w:rPr>
        <w:t> </w:t>
      </w:r>
      <w:r>
        <w:rPr>
          <w:color w:val="231F20"/>
        </w:rPr>
        <w:t>vincula</w:t>
      </w:r>
      <w:r>
        <w:rPr>
          <w:color w:val="231F20"/>
          <w:spacing w:val="-13"/>
        </w:rPr>
        <w:t> </w:t>
      </w:r>
      <w:r>
        <w:rPr>
          <w:color w:val="231F20"/>
        </w:rPr>
        <w:t>las</w:t>
      </w:r>
      <w:r>
        <w:rPr>
          <w:color w:val="231F20"/>
          <w:spacing w:val="-13"/>
        </w:rPr>
        <w:t> </w:t>
      </w:r>
      <w:r>
        <w:rPr>
          <w:color w:val="231F20"/>
        </w:rPr>
        <w:t>actividades</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empresas</w:t>
      </w:r>
      <w:r>
        <w:rPr>
          <w:color w:val="231F20"/>
          <w:spacing w:val="-13"/>
        </w:rPr>
        <w:t> </w:t>
      </w:r>
      <w:r>
        <w:rPr>
          <w:color w:val="231F20"/>
        </w:rPr>
        <w:t>con</w:t>
      </w:r>
      <w:r>
        <w:rPr>
          <w:color w:val="231F20"/>
          <w:spacing w:val="-13"/>
        </w:rPr>
        <w:t> </w:t>
      </w:r>
      <w:r>
        <w:rPr>
          <w:color w:val="231F20"/>
        </w:rPr>
        <w:t>redes</w:t>
      </w:r>
      <w:r>
        <w:rPr>
          <w:color w:val="231F20"/>
          <w:spacing w:val="-13"/>
        </w:rPr>
        <w:t> </w:t>
      </w:r>
      <w:r>
        <w:rPr>
          <w:color w:val="231F20"/>
        </w:rPr>
        <w:t>tecnológicas,</w:t>
      </w:r>
      <w:r>
        <w:rPr>
          <w:color w:val="231F20"/>
          <w:spacing w:val="-13"/>
        </w:rPr>
        <w:t> </w:t>
      </w:r>
      <w:r>
        <w:rPr>
          <w:color w:val="231F20"/>
        </w:rPr>
        <w:t>organiza- cionales e institucionales, que son utilizadas para desarrollar, fabricar y comercializar productos específicos. Estas redes vinculan a productores y empresas alrededor de un producto dentro de una economía global, involucrando la adquisición y la organiza- ción de insumos, fuerza de trabajo, transporte, distribución y</w:t>
      </w:r>
      <w:r>
        <w:rPr>
          <w:color w:val="231F20"/>
          <w:spacing w:val="-9"/>
        </w:rPr>
        <w:t> </w:t>
      </w:r>
      <w:r>
        <w:rPr>
          <w:color w:val="231F20"/>
        </w:rPr>
        <w:t>consumo.</w:t>
      </w:r>
    </w:p>
    <w:p>
      <w:pPr>
        <w:pStyle w:val="BodyText"/>
        <w:spacing w:line="265" w:lineRule="exact"/>
        <w:ind w:left="103" w:firstLine="396"/>
        <w:jc w:val="both"/>
      </w:pPr>
      <w:r>
        <w:rPr>
          <w:color w:val="231F20"/>
        </w:rPr>
        <w:t>Gereffi </w:t>
      </w:r>
      <w:r>
        <w:rPr>
          <w:rFonts w:ascii="Palatino Linotype"/>
          <w:i/>
          <w:color w:val="231F20"/>
        </w:rPr>
        <w:t>et al. </w:t>
      </w:r>
      <w:r>
        <w:rPr>
          <w:color w:val="231F20"/>
        </w:rPr>
        <w:t>(2001) identifican cuatro dimensiones en las cadenas mercantiles glo-</w:t>
      </w:r>
    </w:p>
    <w:p>
      <w:pPr>
        <w:pStyle w:val="BodyText"/>
        <w:spacing w:line="252" w:lineRule="auto"/>
        <w:ind w:left="103" w:right="651"/>
        <w:jc w:val="both"/>
      </w:pPr>
      <w:r>
        <w:rPr>
          <w:color w:val="231F20"/>
        </w:rPr>
        <w:t>bales:</w:t>
      </w:r>
      <w:r>
        <w:rPr>
          <w:color w:val="231F20"/>
          <w:spacing w:val="-5"/>
        </w:rPr>
        <w:t> </w:t>
      </w:r>
      <w:r>
        <w:rPr>
          <w:rFonts w:ascii="Palatino Linotype" w:hAnsi="Palatino Linotype"/>
          <w:i/>
          <w:color w:val="231F20"/>
        </w:rPr>
        <w:t>a)</w:t>
      </w:r>
      <w:r>
        <w:rPr>
          <w:rFonts w:ascii="Palatino Linotype" w:hAnsi="Palatino Linotype"/>
          <w:i/>
          <w:color w:val="231F20"/>
          <w:spacing w:val="-5"/>
        </w:rPr>
        <w:t> </w:t>
      </w:r>
      <w:r>
        <w:rPr>
          <w:color w:val="231F20"/>
        </w:rPr>
        <w:t>la</w:t>
      </w:r>
      <w:r>
        <w:rPr>
          <w:color w:val="231F20"/>
          <w:spacing w:val="-5"/>
        </w:rPr>
        <w:t> </w:t>
      </w:r>
      <w:r>
        <w:rPr>
          <w:color w:val="231F20"/>
        </w:rPr>
        <w:t>estructura</w:t>
      </w:r>
      <w:r>
        <w:rPr>
          <w:color w:val="231F20"/>
          <w:spacing w:val="-5"/>
        </w:rPr>
        <w:t> </w:t>
      </w:r>
      <w:r>
        <w:rPr>
          <w:color w:val="231F20"/>
        </w:rPr>
        <w:t>del</w:t>
      </w:r>
      <w:r>
        <w:rPr>
          <w:color w:val="231F20"/>
          <w:spacing w:val="-5"/>
        </w:rPr>
        <w:t> </w:t>
      </w:r>
      <w:r>
        <w:rPr>
          <w:color w:val="231F20"/>
        </w:rPr>
        <w:t>insumo-producto,</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se</w:t>
      </w:r>
      <w:r>
        <w:rPr>
          <w:color w:val="231F20"/>
          <w:spacing w:val="-5"/>
        </w:rPr>
        <w:t> </w:t>
      </w:r>
      <w:r>
        <w:rPr>
          <w:color w:val="231F20"/>
        </w:rPr>
        <w:t>vinculan</w:t>
      </w:r>
      <w:r>
        <w:rPr>
          <w:color w:val="231F20"/>
          <w:spacing w:val="-5"/>
        </w:rPr>
        <w:t> </w:t>
      </w:r>
      <w:r>
        <w:rPr>
          <w:color w:val="231F20"/>
        </w:rPr>
        <w:t>las</w:t>
      </w:r>
      <w:r>
        <w:rPr>
          <w:color w:val="231F20"/>
          <w:spacing w:val="-5"/>
        </w:rPr>
        <w:t> </w:t>
      </w:r>
      <w:r>
        <w:rPr>
          <w:color w:val="231F20"/>
        </w:rPr>
        <w:t>materias</w:t>
      </w:r>
      <w:r>
        <w:rPr>
          <w:color w:val="231F20"/>
          <w:spacing w:val="-5"/>
        </w:rPr>
        <w:t> </w:t>
      </w:r>
      <w:r>
        <w:rPr>
          <w:color w:val="231F20"/>
        </w:rPr>
        <w:t>primas, el conocimiento y los factores productivos y de servicios, a través de una industria    o industrias relacionadas; </w:t>
      </w:r>
      <w:r>
        <w:rPr>
          <w:rFonts w:ascii="Palatino Linotype" w:hAnsi="Palatino Linotype"/>
          <w:i/>
          <w:color w:val="231F20"/>
        </w:rPr>
        <w:t>b) </w:t>
      </w:r>
      <w:r>
        <w:rPr>
          <w:color w:val="231F20"/>
        </w:rPr>
        <w:t>la dimensión de territorialidad, que se relaciona con el patrón espacial de las actividades de la cadena; </w:t>
      </w:r>
      <w:r>
        <w:rPr>
          <w:rFonts w:ascii="Palatino Linotype" w:hAnsi="Palatino Linotype"/>
          <w:i/>
          <w:color w:val="231F20"/>
        </w:rPr>
        <w:t>c) </w:t>
      </w:r>
      <w:r>
        <w:rPr>
          <w:color w:val="231F20"/>
        </w:rPr>
        <w:t>la estructura de gobernabilidad,</w:t>
      </w:r>
      <w:r>
        <w:rPr>
          <w:color w:val="231F20"/>
          <w:spacing w:val="-34"/>
        </w:rPr>
        <w:t> </w:t>
      </w:r>
      <w:r>
        <w:rPr>
          <w:color w:val="231F20"/>
        </w:rPr>
        <w:t>que se refiere a las relaciones de poder dentro de la cadena y entre las mismas empresas integrantes</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cadena;</w:t>
      </w:r>
      <w:r>
        <w:rPr>
          <w:color w:val="231F20"/>
          <w:spacing w:val="-13"/>
        </w:rPr>
        <w:t> </w:t>
      </w:r>
      <w:r>
        <w:rPr>
          <w:rFonts w:ascii="Palatino Linotype" w:hAnsi="Palatino Linotype"/>
          <w:i/>
          <w:color w:val="231F20"/>
        </w:rPr>
        <w:t>d)</w:t>
      </w:r>
      <w:r>
        <w:rPr>
          <w:rFonts w:ascii="Palatino Linotype" w:hAnsi="Palatino Linotype"/>
          <w:i/>
          <w:color w:val="231F20"/>
          <w:spacing w:val="-13"/>
        </w:rPr>
        <w:t> </w:t>
      </w:r>
      <w:r>
        <w:rPr>
          <w:color w:val="231F20"/>
        </w:rPr>
        <w:t>el</w:t>
      </w:r>
      <w:r>
        <w:rPr>
          <w:color w:val="231F20"/>
          <w:spacing w:val="-13"/>
        </w:rPr>
        <w:t> </w:t>
      </w:r>
      <w:r>
        <w:rPr>
          <w:color w:val="231F20"/>
        </w:rPr>
        <w:t>marco</w:t>
      </w:r>
      <w:r>
        <w:rPr>
          <w:color w:val="231F20"/>
          <w:spacing w:val="-13"/>
        </w:rPr>
        <w:t> </w:t>
      </w:r>
      <w:r>
        <w:rPr>
          <w:color w:val="231F20"/>
        </w:rPr>
        <w:t>institucional,</w:t>
      </w:r>
      <w:r>
        <w:rPr>
          <w:color w:val="231F20"/>
          <w:spacing w:val="-13"/>
        </w:rPr>
        <w:t> </w:t>
      </w:r>
      <w:r>
        <w:rPr>
          <w:color w:val="231F20"/>
        </w:rPr>
        <w:t>que</w:t>
      </w:r>
      <w:r>
        <w:rPr>
          <w:color w:val="231F20"/>
          <w:spacing w:val="-13"/>
        </w:rPr>
        <w:t> </w:t>
      </w:r>
      <w:r>
        <w:rPr>
          <w:color w:val="231F20"/>
        </w:rPr>
        <w:t>provee</w:t>
      </w:r>
      <w:r>
        <w:rPr>
          <w:color w:val="231F20"/>
          <w:spacing w:val="-13"/>
        </w:rPr>
        <w:t> </w:t>
      </w:r>
      <w:r>
        <w:rPr>
          <w:color w:val="231F20"/>
        </w:rPr>
        <w:t>el</w:t>
      </w:r>
      <w:r>
        <w:rPr>
          <w:color w:val="231F20"/>
          <w:spacing w:val="-13"/>
        </w:rPr>
        <w:t> </w:t>
      </w:r>
      <w:r>
        <w:rPr>
          <w:color w:val="231F20"/>
        </w:rPr>
        <w:t>contexto</w:t>
      </w:r>
      <w:r>
        <w:rPr>
          <w:color w:val="231F20"/>
          <w:spacing w:val="-13"/>
        </w:rPr>
        <w:t> </w:t>
      </w:r>
      <w:r>
        <w:rPr>
          <w:color w:val="231F20"/>
        </w:rPr>
        <w:t>internacional y</w:t>
      </w:r>
      <w:r>
        <w:rPr>
          <w:color w:val="231F20"/>
          <w:spacing w:val="-6"/>
        </w:rPr>
        <w:t> </w:t>
      </w:r>
      <w:r>
        <w:rPr>
          <w:color w:val="231F20"/>
        </w:rPr>
        <w:t>el</w:t>
      </w:r>
      <w:r>
        <w:rPr>
          <w:color w:val="231F20"/>
          <w:spacing w:val="-6"/>
        </w:rPr>
        <w:t> </w:t>
      </w:r>
      <w:r>
        <w:rPr>
          <w:color w:val="231F20"/>
        </w:rPr>
        <w:t>nacional</w:t>
      </w:r>
      <w:r>
        <w:rPr>
          <w:color w:val="231F20"/>
          <w:spacing w:val="-6"/>
        </w:rPr>
        <w:t> </w:t>
      </w:r>
      <w:r>
        <w:rPr>
          <w:color w:val="231F20"/>
        </w:rPr>
        <w:t>que</w:t>
      </w:r>
      <w:r>
        <w:rPr>
          <w:color w:val="231F20"/>
          <w:spacing w:val="-6"/>
        </w:rPr>
        <w:t> </w:t>
      </w:r>
      <w:r>
        <w:rPr>
          <w:color w:val="231F20"/>
        </w:rPr>
        <w:t>afectan</w:t>
      </w:r>
      <w:r>
        <w:rPr>
          <w:color w:val="231F20"/>
          <w:spacing w:val="-6"/>
        </w:rPr>
        <w:t> </w:t>
      </w:r>
      <w:r>
        <w:rPr>
          <w:color w:val="231F20"/>
        </w:rPr>
        <w:t>la</w:t>
      </w:r>
      <w:r>
        <w:rPr>
          <w:color w:val="231F20"/>
          <w:spacing w:val="-6"/>
        </w:rPr>
        <w:t> </w:t>
      </w:r>
      <w:r>
        <w:rPr>
          <w:color w:val="231F20"/>
        </w:rPr>
        <w:t>estructura</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dinámica</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cadena.</w:t>
      </w:r>
    </w:p>
    <w:p>
      <w:pPr>
        <w:pStyle w:val="BodyText"/>
        <w:spacing w:line="278" w:lineRule="auto" w:before="27"/>
        <w:ind w:left="103" w:right="650" w:firstLine="396"/>
        <w:jc w:val="both"/>
      </w:pPr>
      <w:r>
        <w:rPr>
          <w:color w:val="231F20"/>
        </w:rPr>
        <w:t>En estas cadenas de producción se presentan relaciones de poder y autoridad, lo que</w:t>
      </w:r>
      <w:r>
        <w:rPr>
          <w:color w:val="231F20"/>
          <w:spacing w:val="-12"/>
        </w:rPr>
        <w:t> </w:t>
      </w:r>
      <w:r>
        <w:rPr>
          <w:color w:val="231F20"/>
        </w:rPr>
        <w:t>permite</w:t>
      </w:r>
      <w:r>
        <w:rPr>
          <w:color w:val="231F20"/>
          <w:spacing w:val="-12"/>
        </w:rPr>
        <w:t> </w:t>
      </w:r>
      <w:r>
        <w:rPr>
          <w:color w:val="231F20"/>
        </w:rPr>
        <w:t>el</w:t>
      </w:r>
      <w:r>
        <w:rPr>
          <w:color w:val="231F20"/>
          <w:spacing w:val="-12"/>
        </w:rPr>
        <w:t> </w:t>
      </w:r>
      <w:r>
        <w:rPr>
          <w:color w:val="231F20"/>
        </w:rPr>
        <w:t>control</w:t>
      </w:r>
      <w:r>
        <w:rPr>
          <w:color w:val="231F20"/>
          <w:spacing w:val="-12"/>
        </w:rPr>
        <w:t> </w:t>
      </w:r>
      <w:r>
        <w:rPr>
          <w:color w:val="231F20"/>
        </w:rPr>
        <w:t>de</w:t>
      </w:r>
      <w:r>
        <w:rPr>
          <w:color w:val="231F20"/>
          <w:spacing w:val="-12"/>
        </w:rPr>
        <w:t> </w:t>
      </w:r>
      <w:r>
        <w:rPr>
          <w:color w:val="231F20"/>
        </w:rPr>
        <w:t>mercados</w:t>
      </w:r>
      <w:r>
        <w:rPr>
          <w:color w:val="231F20"/>
          <w:spacing w:val="-12"/>
        </w:rPr>
        <w:t> </w:t>
      </w:r>
      <w:r>
        <w:rPr>
          <w:color w:val="231F20"/>
        </w:rPr>
        <w:t>y</w:t>
      </w:r>
      <w:r>
        <w:rPr>
          <w:color w:val="231F20"/>
          <w:spacing w:val="-12"/>
        </w:rPr>
        <w:t> </w:t>
      </w:r>
      <w:r>
        <w:rPr>
          <w:color w:val="231F20"/>
        </w:rPr>
        <w:t>precios.</w:t>
      </w:r>
      <w:r>
        <w:rPr>
          <w:color w:val="231F20"/>
          <w:spacing w:val="-12"/>
        </w:rPr>
        <w:t> </w:t>
      </w:r>
      <w:r>
        <w:rPr>
          <w:color w:val="231F20"/>
        </w:rPr>
        <w:t>De</w:t>
      </w:r>
      <w:r>
        <w:rPr>
          <w:color w:val="231F20"/>
          <w:spacing w:val="-12"/>
        </w:rPr>
        <w:t> </w:t>
      </w:r>
      <w:r>
        <w:rPr>
          <w:color w:val="231F20"/>
        </w:rPr>
        <w:t>acuerdo</w:t>
      </w:r>
      <w:r>
        <w:rPr>
          <w:color w:val="231F20"/>
          <w:spacing w:val="-12"/>
        </w:rPr>
        <w:t> </w:t>
      </w:r>
      <w:r>
        <w:rPr>
          <w:color w:val="231F20"/>
        </w:rPr>
        <w:t>con</w:t>
      </w:r>
      <w:r>
        <w:rPr>
          <w:color w:val="231F20"/>
          <w:spacing w:val="-12"/>
        </w:rPr>
        <w:t> </w:t>
      </w:r>
      <w:r>
        <w:rPr>
          <w:color w:val="231F20"/>
        </w:rPr>
        <w:t>Gereffi</w:t>
      </w:r>
      <w:r>
        <w:rPr>
          <w:color w:val="231F20"/>
          <w:spacing w:val="-12"/>
        </w:rPr>
        <w:t> </w:t>
      </w:r>
      <w:r>
        <w:rPr>
          <w:color w:val="231F20"/>
        </w:rPr>
        <w:t>(1994),</w:t>
      </w:r>
      <w:r>
        <w:rPr>
          <w:color w:val="231F20"/>
          <w:spacing w:val="-12"/>
        </w:rPr>
        <w:t> </w:t>
      </w:r>
      <w:r>
        <w:rPr>
          <w:color w:val="231F20"/>
        </w:rPr>
        <w:t>la</w:t>
      </w:r>
      <w:r>
        <w:rPr>
          <w:color w:val="231F20"/>
          <w:spacing w:val="-12"/>
        </w:rPr>
        <w:t> </w:t>
      </w:r>
      <w:r>
        <w:rPr>
          <w:color w:val="231F20"/>
        </w:rPr>
        <w:t>estruc- tura de gobierno se define a través de la empresa más poderosa de cada cadena global de producción, la que desempeña el rol central en la coordinación de las redes, hacia adelante y hacia atrás de la cadena productiva; en este sentido, identifica dos tipos de estructura de gobierno para las cadenas globales de</w:t>
      </w:r>
      <w:r>
        <w:rPr>
          <w:color w:val="231F20"/>
          <w:spacing w:val="-25"/>
        </w:rPr>
        <w:t> </w:t>
      </w:r>
      <w:r>
        <w:rPr>
          <w:color w:val="231F20"/>
        </w:rPr>
        <w:t>producción:</w:t>
      </w:r>
    </w:p>
    <w:p>
      <w:pPr>
        <w:pStyle w:val="ListParagraph"/>
        <w:numPr>
          <w:ilvl w:val="2"/>
          <w:numId w:val="10"/>
        </w:numPr>
        <w:tabs>
          <w:tab w:pos="501" w:val="left" w:leader="none"/>
        </w:tabs>
        <w:spacing w:line="273" w:lineRule="auto" w:before="90" w:after="0"/>
        <w:ind w:left="500" w:right="650" w:hanging="278"/>
        <w:jc w:val="both"/>
        <w:rPr>
          <w:sz w:val="21"/>
        </w:rPr>
      </w:pPr>
      <w:r>
        <w:rPr>
          <w:color w:val="231F20"/>
          <w:sz w:val="21"/>
        </w:rPr>
        <w:t>Cadenas productivas dirigidas por los productores (</w:t>
      </w:r>
      <w:r>
        <w:rPr>
          <w:rFonts w:ascii="Palatino Linotype" w:hAnsi="Palatino Linotype"/>
          <w:i/>
          <w:color w:val="231F20"/>
          <w:sz w:val="21"/>
        </w:rPr>
        <w:t>producer driven</w:t>
      </w:r>
      <w:r>
        <w:rPr>
          <w:color w:val="231F20"/>
          <w:sz w:val="21"/>
        </w:rPr>
        <w:t>): son carac- terísticas de industrias intensivas en capital y tecnología, como la aeronáutica, la automotriz, la de semiconductores y maquinaria eléctrica, y la de computadoras y maquinaria pesada. Los grandes fabricantes, comúnmente transnacionales, son los</w:t>
      </w:r>
      <w:r>
        <w:rPr>
          <w:color w:val="231F20"/>
          <w:spacing w:val="-11"/>
          <w:sz w:val="21"/>
        </w:rPr>
        <w:t> </w:t>
      </w:r>
      <w:r>
        <w:rPr>
          <w:color w:val="231F20"/>
          <w:sz w:val="21"/>
        </w:rPr>
        <w:t>que</w:t>
      </w:r>
      <w:r>
        <w:rPr>
          <w:color w:val="231F20"/>
          <w:spacing w:val="-11"/>
          <w:sz w:val="21"/>
        </w:rPr>
        <w:t> </w:t>
      </w:r>
      <w:r>
        <w:rPr>
          <w:color w:val="231F20"/>
          <w:sz w:val="21"/>
        </w:rPr>
        <w:t>juegan</w:t>
      </w:r>
      <w:r>
        <w:rPr>
          <w:color w:val="231F20"/>
          <w:spacing w:val="-11"/>
          <w:sz w:val="21"/>
        </w:rPr>
        <w:t> </w:t>
      </w:r>
      <w:r>
        <w:rPr>
          <w:color w:val="231F20"/>
          <w:sz w:val="21"/>
        </w:rPr>
        <w:t>los</w:t>
      </w:r>
      <w:r>
        <w:rPr>
          <w:color w:val="231F20"/>
          <w:spacing w:val="-11"/>
          <w:sz w:val="21"/>
        </w:rPr>
        <w:t> </w:t>
      </w:r>
      <w:r>
        <w:rPr>
          <w:color w:val="231F20"/>
          <w:sz w:val="21"/>
        </w:rPr>
        <w:t>papeles</w:t>
      </w:r>
      <w:r>
        <w:rPr>
          <w:color w:val="231F20"/>
          <w:spacing w:val="-11"/>
          <w:sz w:val="21"/>
        </w:rPr>
        <w:t> </w:t>
      </w:r>
      <w:r>
        <w:rPr>
          <w:color w:val="231F20"/>
          <w:sz w:val="21"/>
        </w:rPr>
        <w:t>centrales</w:t>
      </w:r>
      <w:r>
        <w:rPr>
          <w:color w:val="231F20"/>
          <w:spacing w:val="-11"/>
          <w:sz w:val="21"/>
        </w:rPr>
        <w:t> </w:t>
      </w:r>
      <w:r>
        <w:rPr>
          <w:color w:val="231F20"/>
          <w:sz w:val="21"/>
        </w:rPr>
        <w:t>en</w:t>
      </w:r>
      <w:r>
        <w:rPr>
          <w:color w:val="231F20"/>
          <w:spacing w:val="-11"/>
          <w:sz w:val="21"/>
        </w:rPr>
        <w:t> </w:t>
      </w:r>
      <w:r>
        <w:rPr>
          <w:color w:val="231F20"/>
          <w:sz w:val="21"/>
        </w:rPr>
        <w:t>la</w:t>
      </w:r>
      <w:r>
        <w:rPr>
          <w:color w:val="231F20"/>
          <w:spacing w:val="-11"/>
          <w:sz w:val="21"/>
        </w:rPr>
        <w:t> </w:t>
      </w:r>
      <w:r>
        <w:rPr>
          <w:color w:val="231F20"/>
          <w:sz w:val="21"/>
        </w:rPr>
        <w:t>coordinación</w:t>
      </w:r>
      <w:r>
        <w:rPr>
          <w:color w:val="231F20"/>
          <w:spacing w:val="-11"/>
          <w:sz w:val="21"/>
        </w:rPr>
        <w:t> </w:t>
      </w:r>
      <w:r>
        <w:rPr>
          <w:color w:val="231F20"/>
          <w:sz w:val="21"/>
        </w:rPr>
        <w:t>de</w:t>
      </w:r>
      <w:r>
        <w:rPr>
          <w:color w:val="231F20"/>
          <w:spacing w:val="-11"/>
          <w:sz w:val="21"/>
        </w:rPr>
        <w:t> </w:t>
      </w:r>
      <w:r>
        <w:rPr>
          <w:color w:val="231F20"/>
          <w:sz w:val="21"/>
        </w:rPr>
        <w:t>las</w:t>
      </w:r>
      <w:r>
        <w:rPr>
          <w:color w:val="231F20"/>
          <w:spacing w:val="-11"/>
          <w:sz w:val="21"/>
        </w:rPr>
        <w:t> </w:t>
      </w:r>
      <w:r>
        <w:rPr>
          <w:color w:val="231F20"/>
          <w:sz w:val="21"/>
        </w:rPr>
        <w:t>redes</w:t>
      </w:r>
      <w:r>
        <w:rPr>
          <w:color w:val="231F20"/>
          <w:spacing w:val="-11"/>
          <w:sz w:val="21"/>
        </w:rPr>
        <w:t> </w:t>
      </w:r>
      <w:r>
        <w:rPr>
          <w:color w:val="231F20"/>
          <w:sz w:val="21"/>
        </w:rPr>
        <w:t>de</w:t>
      </w:r>
      <w:r>
        <w:rPr>
          <w:color w:val="231F20"/>
          <w:spacing w:val="-11"/>
          <w:sz w:val="21"/>
        </w:rPr>
        <w:t> </w:t>
      </w:r>
      <w:r>
        <w:rPr>
          <w:color w:val="231F20"/>
          <w:sz w:val="21"/>
        </w:rPr>
        <w:t>producción. Ejemplo de ello pueden ser las ensambladoras automotrices (Gereffi, 2001), que controlan</w:t>
      </w:r>
      <w:r>
        <w:rPr>
          <w:color w:val="231F20"/>
          <w:spacing w:val="-5"/>
          <w:sz w:val="21"/>
        </w:rPr>
        <w:t> </w:t>
      </w:r>
      <w:r>
        <w:rPr>
          <w:color w:val="231F20"/>
          <w:sz w:val="21"/>
        </w:rPr>
        <w:t>y</w:t>
      </w:r>
      <w:r>
        <w:rPr>
          <w:color w:val="231F20"/>
          <w:spacing w:val="-5"/>
          <w:sz w:val="21"/>
        </w:rPr>
        <w:t> </w:t>
      </w:r>
      <w:r>
        <w:rPr>
          <w:color w:val="231F20"/>
          <w:sz w:val="21"/>
        </w:rPr>
        <w:t>organizan</w:t>
      </w:r>
      <w:r>
        <w:rPr>
          <w:color w:val="231F20"/>
          <w:spacing w:val="-5"/>
          <w:sz w:val="21"/>
        </w:rPr>
        <w:t> </w:t>
      </w:r>
      <w:r>
        <w:rPr>
          <w:color w:val="231F20"/>
          <w:sz w:val="21"/>
        </w:rPr>
        <w:t>la</w:t>
      </w:r>
      <w:r>
        <w:rPr>
          <w:color w:val="231F20"/>
          <w:spacing w:val="-5"/>
          <w:sz w:val="21"/>
        </w:rPr>
        <w:t> </w:t>
      </w:r>
      <w:r>
        <w:rPr>
          <w:color w:val="231F20"/>
          <w:sz w:val="21"/>
        </w:rPr>
        <w:t>producción,</w:t>
      </w:r>
      <w:r>
        <w:rPr>
          <w:color w:val="231F20"/>
          <w:spacing w:val="-5"/>
          <w:sz w:val="21"/>
        </w:rPr>
        <w:t> </w:t>
      </w:r>
      <w:r>
        <w:rPr>
          <w:color w:val="231F20"/>
          <w:sz w:val="21"/>
        </w:rPr>
        <w:t>coordinan</w:t>
      </w:r>
      <w:r>
        <w:rPr>
          <w:color w:val="231F20"/>
          <w:spacing w:val="-5"/>
          <w:sz w:val="21"/>
        </w:rPr>
        <w:t> </w:t>
      </w:r>
      <w:r>
        <w:rPr>
          <w:color w:val="231F20"/>
          <w:sz w:val="21"/>
        </w:rPr>
        <w:t>los</w:t>
      </w:r>
      <w:r>
        <w:rPr>
          <w:color w:val="231F20"/>
          <w:spacing w:val="-5"/>
          <w:sz w:val="21"/>
        </w:rPr>
        <w:t> </w:t>
      </w:r>
      <w:r>
        <w:rPr>
          <w:color w:val="231F20"/>
          <w:sz w:val="21"/>
        </w:rPr>
        <w:t>eslabonamientos</w:t>
      </w:r>
      <w:r>
        <w:rPr>
          <w:color w:val="231F20"/>
          <w:spacing w:val="-5"/>
          <w:sz w:val="21"/>
        </w:rPr>
        <w:t> </w:t>
      </w:r>
      <w:r>
        <w:rPr>
          <w:color w:val="231F20"/>
          <w:sz w:val="21"/>
        </w:rPr>
        <w:t>hacia</w:t>
      </w:r>
      <w:r>
        <w:rPr>
          <w:color w:val="231F20"/>
          <w:spacing w:val="-5"/>
          <w:sz w:val="21"/>
        </w:rPr>
        <w:t> </w:t>
      </w:r>
      <w:r>
        <w:rPr>
          <w:color w:val="231F20"/>
          <w:sz w:val="21"/>
        </w:rPr>
        <w:t>atrás</w:t>
      </w:r>
      <w:r>
        <w:rPr>
          <w:color w:val="231F20"/>
          <w:spacing w:val="-5"/>
          <w:sz w:val="21"/>
        </w:rPr>
        <w:t> </w:t>
      </w:r>
      <w:r>
        <w:rPr>
          <w:color w:val="231F20"/>
          <w:sz w:val="21"/>
        </w:rPr>
        <w:t>y</w:t>
      </w:r>
    </w:p>
    <w:p>
      <w:pPr>
        <w:spacing w:after="0" w:line="273" w:lineRule="auto"/>
        <w:jc w:val="both"/>
        <w:rPr>
          <w:sz w:val="21"/>
        </w:rPr>
        <w:sectPr>
          <w:footerReference w:type="default" r:id="rId30"/>
          <w:footerReference w:type="even" r:id="rId31"/>
          <w:pgSz w:w="9640" w:h="13040"/>
          <w:pgMar w:footer="654" w:header="581" w:top="780" w:bottom="840" w:left="1200" w:right="480"/>
        </w:sectPr>
      </w:pPr>
    </w:p>
    <w:p>
      <w:pPr>
        <w:pStyle w:val="BodyText"/>
        <w:rPr>
          <w:sz w:val="20"/>
        </w:rPr>
      </w:pPr>
    </w:p>
    <w:p>
      <w:pPr>
        <w:pStyle w:val="BodyText"/>
        <w:spacing w:before="6"/>
      </w:pPr>
    </w:p>
    <w:p>
      <w:pPr>
        <w:pStyle w:val="BodyText"/>
        <w:spacing w:line="266" w:lineRule="auto" w:before="58"/>
        <w:ind w:left="1050" w:right="101"/>
        <w:jc w:val="both"/>
        <w:rPr>
          <w:rFonts w:ascii="Palatino Linotype" w:hAnsi="Palatino Linotype"/>
          <w:i/>
        </w:rPr>
      </w:pPr>
      <w:r>
        <w:rPr>
          <w:color w:val="231F20"/>
        </w:rPr>
        <w:t>hacia delante, organizan la cadena de proveedores y determinan el precio, la</w:t>
      </w:r>
      <w:r>
        <w:rPr>
          <w:color w:val="231F20"/>
          <w:spacing w:val="-23"/>
        </w:rPr>
        <w:t> </w:t>
      </w:r>
      <w:r>
        <w:rPr>
          <w:color w:val="231F20"/>
        </w:rPr>
        <w:t>can- tidad</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calidad</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mercancías</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componentes</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producen</w:t>
      </w:r>
      <w:r>
        <w:rPr>
          <w:color w:val="231F20"/>
          <w:spacing w:val="-8"/>
        </w:rPr>
        <w:t> </w:t>
      </w:r>
      <w:r>
        <w:rPr>
          <w:color w:val="231F20"/>
        </w:rPr>
        <w:t>y</w:t>
      </w:r>
      <w:r>
        <w:rPr>
          <w:color w:val="231F20"/>
          <w:spacing w:val="-8"/>
        </w:rPr>
        <w:t> </w:t>
      </w:r>
      <w:r>
        <w:rPr>
          <w:color w:val="231F20"/>
        </w:rPr>
        <w:t>circulan a</w:t>
      </w:r>
      <w:r>
        <w:rPr>
          <w:color w:val="231F20"/>
          <w:spacing w:val="-9"/>
        </w:rPr>
        <w:t> </w:t>
      </w:r>
      <w:r>
        <w:rPr>
          <w:color w:val="231F20"/>
        </w:rPr>
        <w:t>lo</w:t>
      </w:r>
      <w:r>
        <w:rPr>
          <w:color w:val="231F20"/>
          <w:spacing w:val="-9"/>
        </w:rPr>
        <w:t> </w:t>
      </w:r>
      <w:r>
        <w:rPr>
          <w:color w:val="231F20"/>
        </w:rPr>
        <w:t>largo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cadena</w:t>
      </w:r>
      <w:r>
        <w:rPr>
          <w:rFonts w:ascii="Palatino Linotype" w:hAnsi="Palatino Linotype"/>
          <w:i/>
          <w:color w:val="231F20"/>
        </w:rPr>
        <w:t>.</w:t>
      </w:r>
    </w:p>
    <w:p>
      <w:pPr>
        <w:pStyle w:val="ListParagraph"/>
        <w:numPr>
          <w:ilvl w:val="2"/>
          <w:numId w:val="10"/>
        </w:numPr>
        <w:tabs>
          <w:tab w:pos="1051" w:val="left" w:leader="none"/>
        </w:tabs>
        <w:spacing w:line="276" w:lineRule="auto" w:before="79" w:after="0"/>
        <w:ind w:left="1050" w:right="100" w:hanging="293"/>
        <w:jc w:val="both"/>
        <w:rPr>
          <w:sz w:val="21"/>
        </w:rPr>
      </w:pPr>
      <w:r>
        <w:rPr>
          <w:color w:val="231F20"/>
          <w:sz w:val="21"/>
        </w:rPr>
        <w:t>Cadenas</w:t>
      </w:r>
      <w:r>
        <w:rPr>
          <w:color w:val="231F20"/>
          <w:spacing w:val="-18"/>
          <w:sz w:val="21"/>
        </w:rPr>
        <w:t> </w:t>
      </w:r>
      <w:r>
        <w:rPr>
          <w:color w:val="231F20"/>
          <w:sz w:val="21"/>
        </w:rPr>
        <w:t>productivas</w:t>
      </w:r>
      <w:r>
        <w:rPr>
          <w:color w:val="231F20"/>
          <w:spacing w:val="-18"/>
          <w:sz w:val="21"/>
        </w:rPr>
        <w:t> </w:t>
      </w:r>
      <w:r>
        <w:rPr>
          <w:color w:val="231F20"/>
          <w:sz w:val="21"/>
        </w:rPr>
        <w:t>dirigidas</w:t>
      </w:r>
      <w:r>
        <w:rPr>
          <w:color w:val="231F20"/>
          <w:spacing w:val="-18"/>
          <w:sz w:val="21"/>
        </w:rPr>
        <w:t> </w:t>
      </w:r>
      <w:r>
        <w:rPr>
          <w:color w:val="231F20"/>
          <w:sz w:val="21"/>
        </w:rPr>
        <w:t>por</w:t>
      </w:r>
      <w:r>
        <w:rPr>
          <w:color w:val="231F20"/>
          <w:spacing w:val="-18"/>
          <w:sz w:val="21"/>
        </w:rPr>
        <w:t> </w:t>
      </w:r>
      <w:r>
        <w:rPr>
          <w:color w:val="231F20"/>
          <w:spacing w:val="-3"/>
          <w:sz w:val="21"/>
        </w:rPr>
        <w:t>compradores</w:t>
      </w:r>
      <w:r>
        <w:rPr>
          <w:color w:val="231F20"/>
          <w:spacing w:val="-18"/>
          <w:sz w:val="21"/>
        </w:rPr>
        <w:t> </w:t>
      </w:r>
      <w:r>
        <w:rPr>
          <w:color w:val="231F20"/>
          <w:spacing w:val="-3"/>
          <w:sz w:val="21"/>
        </w:rPr>
        <w:t>(</w:t>
      </w:r>
      <w:r>
        <w:rPr>
          <w:rFonts w:ascii="Palatino Linotype" w:hAnsi="Palatino Linotype"/>
          <w:i/>
          <w:color w:val="231F20"/>
          <w:spacing w:val="-3"/>
          <w:sz w:val="21"/>
        </w:rPr>
        <w:t>buyer</w:t>
      </w:r>
      <w:r>
        <w:rPr>
          <w:rFonts w:ascii="Palatino Linotype" w:hAnsi="Palatino Linotype"/>
          <w:i/>
          <w:color w:val="231F20"/>
          <w:spacing w:val="-18"/>
          <w:sz w:val="21"/>
        </w:rPr>
        <w:t> </w:t>
      </w:r>
      <w:r>
        <w:rPr>
          <w:rFonts w:ascii="Palatino Linotype" w:hAnsi="Palatino Linotype"/>
          <w:i/>
          <w:color w:val="231F20"/>
          <w:spacing w:val="-3"/>
          <w:sz w:val="21"/>
        </w:rPr>
        <w:t>driven</w:t>
      </w:r>
      <w:r>
        <w:rPr>
          <w:color w:val="231F20"/>
          <w:spacing w:val="-3"/>
          <w:sz w:val="21"/>
        </w:rPr>
        <w:t>):</w:t>
      </w:r>
      <w:r>
        <w:rPr>
          <w:color w:val="231F20"/>
          <w:spacing w:val="-18"/>
          <w:sz w:val="21"/>
        </w:rPr>
        <w:t> </w:t>
      </w:r>
      <w:r>
        <w:rPr>
          <w:color w:val="231F20"/>
          <w:sz w:val="21"/>
        </w:rPr>
        <w:t>son</w:t>
      </w:r>
      <w:r>
        <w:rPr>
          <w:color w:val="231F20"/>
          <w:spacing w:val="-18"/>
          <w:sz w:val="21"/>
        </w:rPr>
        <w:t> </w:t>
      </w:r>
      <w:r>
        <w:rPr>
          <w:color w:val="231F20"/>
          <w:sz w:val="21"/>
        </w:rPr>
        <w:t>aquellas</w:t>
      </w:r>
      <w:r>
        <w:rPr>
          <w:color w:val="231F20"/>
          <w:spacing w:val="-18"/>
          <w:sz w:val="21"/>
        </w:rPr>
        <w:t> </w:t>
      </w:r>
      <w:r>
        <w:rPr>
          <w:color w:val="231F20"/>
          <w:sz w:val="21"/>
        </w:rPr>
        <w:t>indus- trias en las </w:t>
      </w:r>
      <w:r>
        <w:rPr>
          <w:color w:val="231F20"/>
          <w:spacing w:val="-2"/>
          <w:sz w:val="21"/>
        </w:rPr>
        <w:t>que </w:t>
      </w:r>
      <w:r>
        <w:rPr>
          <w:color w:val="231F20"/>
          <w:sz w:val="21"/>
        </w:rPr>
        <w:t>los grandes detallistas, </w:t>
      </w:r>
      <w:r>
        <w:rPr>
          <w:color w:val="231F20"/>
          <w:spacing w:val="-3"/>
          <w:sz w:val="21"/>
        </w:rPr>
        <w:t>comercializadores </w:t>
      </w:r>
      <w:r>
        <w:rPr>
          <w:color w:val="231F20"/>
          <w:sz w:val="21"/>
        </w:rPr>
        <w:t>y </w:t>
      </w:r>
      <w:r>
        <w:rPr>
          <w:color w:val="231F20"/>
          <w:spacing w:val="-3"/>
          <w:sz w:val="21"/>
        </w:rPr>
        <w:t>fabricantes </w:t>
      </w:r>
      <w:r>
        <w:rPr>
          <w:color w:val="231F20"/>
          <w:sz w:val="21"/>
        </w:rPr>
        <w:t>de marcas </w:t>
      </w:r>
      <w:r>
        <w:rPr>
          <w:color w:val="231F20"/>
          <w:spacing w:val="-3"/>
          <w:sz w:val="21"/>
        </w:rPr>
        <w:t>juegan </w:t>
      </w:r>
      <w:r>
        <w:rPr>
          <w:color w:val="231F20"/>
          <w:sz w:val="21"/>
        </w:rPr>
        <w:t>papeles centrales en el </w:t>
      </w:r>
      <w:r>
        <w:rPr>
          <w:color w:val="231F20"/>
          <w:spacing w:val="-3"/>
          <w:sz w:val="21"/>
        </w:rPr>
        <w:t>establecimiento </w:t>
      </w:r>
      <w:r>
        <w:rPr>
          <w:color w:val="231F20"/>
          <w:sz w:val="21"/>
        </w:rPr>
        <w:t>de redes de </w:t>
      </w:r>
      <w:r>
        <w:rPr>
          <w:color w:val="231F20"/>
          <w:spacing w:val="-3"/>
          <w:sz w:val="21"/>
        </w:rPr>
        <w:t>producción </w:t>
      </w:r>
      <w:r>
        <w:rPr>
          <w:color w:val="231F20"/>
          <w:sz w:val="21"/>
        </w:rPr>
        <w:t>descentrali- zada </w:t>
      </w:r>
      <w:r>
        <w:rPr>
          <w:color w:val="231F20"/>
          <w:spacing w:val="-3"/>
          <w:sz w:val="21"/>
        </w:rPr>
        <w:t>dentro </w:t>
      </w:r>
      <w:r>
        <w:rPr>
          <w:color w:val="231F20"/>
          <w:sz w:val="21"/>
        </w:rPr>
        <w:t>de una variedad de países exportadores, </w:t>
      </w:r>
      <w:r>
        <w:rPr>
          <w:color w:val="231F20"/>
          <w:spacing w:val="-3"/>
          <w:sz w:val="21"/>
        </w:rPr>
        <w:t>comúnmente </w:t>
      </w:r>
      <w:r>
        <w:rPr>
          <w:color w:val="231F20"/>
          <w:sz w:val="21"/>
        </w:rPr>
        <w:t>localizados en el</w:t>
      </w:r>
      <w:r>
        <w:rPr>
          <w:color w:val="231F20"/>
          <w:spacing w:val="-11"/>
          <w:sz w:val="21"/>
        </w:rPr>
        <w:t> </w:t>
      </w:r>
      <w:r>
        <w:rPr>
          <w:color w:val="231F20"/>
          <w:spacing w:val="-6"/>
          <w:sz w:val="21"/>
        </w:rPr>
        <w:t>Tercer</w:t>
      </w:r>
      <w:r>
        <w:rPr>
          <w:color w:val="231F20"/>
          <w:spacing w:val="-11"/>
          <w:sz w:val="21"/>
        </w:rPr>
        <w:t> </w:t>
      </w:r>
      <w:r>
        <w:rPr>
          <w:color w:val="231F20"/>
          <w:spacing w:val="-3"/>
          <w:sz w:val="21"/>
        </w:rPr>
        <w:t>Mundo</w:t>
      </w:r>
      <w:r>
        <w:rPr>
          <w:color w:val="231F20"/>
          <w:spacing w:val="-11"/>
          <w:sz w:val="21"/>
        </w:rPr>
        <w:t> </w:t>
      </w:r>
      <w:r>
        <w:rPr>
          <w:color w:val="231F20"/>
          <w:sz w:val="21"/>
        </w:rPr>
        <w:t>(Gereffi,</w:t>
      </w:r>
      <w:r>
        <w:rPr>
          <w:color w:val="231F20"/>
          <w:spacing w:val="-11"/>
          <w:sz w:val="21"/>
        </w:rPr>
        <w:t> </w:t>
      </w:r>
      <w:r>
        <w:rPr>
          <w:color w:val="231F20"/>
          <w:sz w:val="21"/>
        </w:rPr>
        <w:t>2001).</w:t>
      </w:r>
      <w:r>
        <w:rPr>
          <w:color w:val="231F20"/>
          <w:spacing w:val="-11"/>
          <w:sz w:val="21"/>
        </w:rPr>
        <w:t> </w:t>
      </w:r>
      <w:r>
        <w:rPr>
          <w:color w:val="231F20"/>
          <w:sz w:val="21"/>
        </w:rPr>
        <w:t>Son</w:t>
      </w:r>
      <w:r>
        <w:rPr>
          <w:color w:val="231F20"/>
          <w:spacing w:val="-11"/>
          <w:sz w:val="21"/>
        </w:rPr>
        <w:t> </w:t>
      </w:r>
      <w:r>
        <w:rPr>
          <w:color w:val="231F20"/>
          <w:spacing w:val="-3"/>
          <w:sz w:val="21"/>
        </w:rPr>
        <w:t>generalmente</w:t>
      </w:r>
      <w:r>
        <w:rPr>
          <w:color w:val="231F20"/>
          <w:spacing w:val="-11"/>
          <w:sz w:val="21"/>
        </w:rPr>
        <w:t> </w:t>
      </w:r>
      <w:r>
        <w:rPr>
          <w:color w:val="231F20"/>
          <w:sz w:val="21"/>
        </w:rPr>
        <w:t>características</w:t>
      </w:r>
      <w:r>
        <w:rPr>
          <w:color w:val="231F20"/>
          <w:spacing w:val="-11"/>
          <w:sz w:val="21"/>
        </w:rPr>
        <w:t> </w:t>
      </w:r>
      <w:r>
        <w:rPr>
          <w:color w:val="231F20"/>
          <w:sz w:val="21"/>
        </w:rPr>
        <w:t>de</w:t>
      </w:r>
      <w:r>
        <w:rPr>
          <w:color w:val="231F20"/>
          <w:spacing w:val="-11"/>
          <w:sz w:val="21"/>
        </w:rPr>
        <w:t> </w:t>
      </w:r>
      <w:r>
        <w:rPr>
          <w:color w:val="231F20"/>
          <w:sz w:val="21"/>
        </w:rPr>
        <w:t>industrias</w:t>
      </w:r>
      <w:r>
        <w:rPr>
          <w:color w:val="231F20"/>
          <w:spacing w:val="-11"/>
          <w:sz w:val="21"/>
        </w:rPr>
        <w:t> </w:t>
      </w:r>
      <w:r>
        <w:rPr>
          <w:color w:val="231F20"/>
          <w:sz w:val="21"/>
        </w:rPr>
        <w:t>de bienes de </w:t>
      </w:r>
      <w:r>
        <w:rPr>
          <w:color w:val="231F20"/>
          <w:spacing w:val="-3"/>
          <w:sz w:val="21"/>
        </w:rPr>
        <w:t>consumo intensivos </w:t>
      </w:r>
      <w:r>
        <w:rPr>
          <w:color w:val="231F20"/>
          <w:sz w:val="21"/>
        </w:rPr>
        <w:t>en fuerza de trabajo (como la industria del </w:t>
      </w:r>
      <w:r>
        <w:rPr>
          <w:color w:val="231F20"/>
          <w:spacing w:val="-3"/>
          <w:sz w:val="21"/>
        </w:rPr>
        <w:t>vestido, </w:t>
      </w:r>
      <w:r>
        <w:rPr>
          <w:color w:val="231F20"/>
          <w:sz w:val="21"/>
        </w:rPr>
        <w:t>de</w:t>
      </w:r>
      <w:r>
        <w:rPr>
          <w:color w:val="231F20"/>
          <w:spacing w:val="-10"/>
          <w:sz w:val="21"/>
        </w:rPr>
        <w:t> </w:t>
      </w:r>
      <w:r>
        <w:rPr>
          <w:color w:val="231F20"/>
          <w:spacing w:val="-3"/>
          <w:sz w:val="21"/>
        </w:rPr>
        <w:t>zapatos,</w:t>
      </w:r>
      <w:r>
        <w:rPr>
          <w:color w:val="231F20"/>
          <w:spacing w:val="-10"/>
          <w:sz w:val="21"/>
        </w:rPr>
        <w:t> </w:t>
      </w:r>
      <w:r>
        <w:rPr>
          <w:color w:val="231F20"/>
          <w:sz w:val="21"/>
        </w:rPr>
        <w:t>de</w:t>
      </w:r>
      <w:r>
        <w:rPr>
          <w:color w:val="231F20"/>
          <w:spacing w:val="-10"/>
          <w:sz w:val="21"/>
        </w:rPr>
        <w:t> </w:t>
      </w:r>
      <w:r>
        <w:rPr>
          <w:color w:val="231F20"/>
          <w:spacing w:val="-3"/>
          <w:sz w:val="21"/>
        </w:rPr>
        <w:t>juguetes,</w:t>
      </w:r>
      <w:r>
        <w:rPr>
          <w:color w:val="231F20"/>
          <w:spacing w:val="-10"/>
          <w:sz w:val="21"/>
        </w:rPr>
        <w:t> </w:t>
      </w:r>
      <w:r>
        <w:rPr>
          <w:color w:val="231F20"/>
          <w:sz w:val="21"/>
        </w:rPr>
        <w:t>de</w:t>
      </w:r>
      <w:r>
        <w:rPr>
          <w:color w:val="231F20"/>
          <w:spacing w:val="-10"/>
          <w:sz w:val="21"/>
        </w:rPr>
        <w:t> </w:t>
      </w:r>
      <w:r>
        <w:rPr>
          <w:color w:val="231F20"/>
          <w:sz w:val="21"/>
        </w:rPr>
        <w:t>artículos</w:t>
      </w:r>
      <w:r>
        <w:rPr>
          <w:color w:val="231F20"/>
          <w:spacing w:val="-10"/>
          <w:sz w:val="21"/>
        </w:rPr>
        <w:t> </w:t>
      </w:r>
      <w:r>
        <w:rPr>
          <w:color w:val="231F20"/>
          <w:sz w:val="21"/>
        </w:rPr>
        <w:t>para</w:t>
      </w:r>
      <w:r>
        <w:rPr>
          <w:color w:val="231F20"/>
          <w:spacing w:val="-10"/>
          <w:sz w:val="21"/>
        </w:rPr>
        <w:t> </w:t>
      </w:r>
      <w:r>
        <w:rPr>
          <w:color w:val="231F20"/>
          <w:sz w:val="21"/>
        </w:rPr>
        <w:t>el</w:t>
      </w:r>
      <w:r>
        <w:rPr>
          <w:color w:val="231F20"/>
          <w:spacing w:val="-10"/>
          <w:sz w:val="21"/>
        </w:rPr>
        <w:t> </w:t>
      </w:r>
      <w:r>
        <w:rPr>
          <w:color w:val="231F20"/>
          <w:spacing w:val="-4"/>
          <w:sz w:val="21"/>
        </w:rPr>
        <w:t>hogar,</w:t>
      </w:r>
      <w:r>
        <w:rPr>
          <w:color w:val="231F20"/>
          <w:spacing w:val="-10"/>
          <w:sz w:val="21"/>
        </w:rPr>
        <w:t> </w:t>
      </w:r>
      <w:r>
        <w:rPr>
          <w:color w:val="231F20"/>
          <w:sz w:val="21"/>
        </w:rPr>
        <w:t>electrónica</w:t>
      </w:r>
      <w:r>
        <w:rPr>
          <w:color w:val="231F20"/>
          <w:spacing w:val="-10"/>
          <w:sz w:val="21"/>
        </w:rPr>
        <w:t> </w:t>
      </w:r>
      <w:r>
        <w:rPr>
          <w:color w:val="231F20"/>
          <w:sz w:val="21"/>
        </w:rPr>
        <w:t>y</w:t>
      </w:r>
      <w:r>
        <w:rPr>
          <w:color w:val="231F20"/>
          <w:spacing w:val="-10"/>
          <w:sz w:val="21"/>
        </w:rPr>
        <w:t> </w:t>
      </w:r>
      <w:r>
        <w:rPr>
          <w:color w:val="231F20"/>
          <w:sz w:val="21"/>
        </w:rPr>
        <w:t>de</w:t>
      </w:r>
      <w:r>
        <w:rPr>
          <w:color w:val="231F20"/>
          <w:spacing w:val="-10"/>
          <w:sz w:val="21"/>
        </w:rPr>
        <w:t> </w:t>
      </w:r>
      <w:r>
        <w:rPr>
          <w:color w:val="231F20"/>
          <w:sz w:val="21"/>
        </w:rPr>
        <w:t>una</w:t>
      </w:r>
      <w:r>
        <w:rPr>
          <w:color w:val="231F20"/>
          <w:spacing w:val="-10"/>
          <w:sz w:val="21"/>
        </w:rPr>
        <w:t> </w:t>
      </w:r>
      <w:r>
        <w:rPr>
          <w:color w:val="231F20"/>
          <w:sz w:val="21"/>
        </w:rPr>
        <w:t>variedad</w:t>
      </w:r>
      <w:r>
        <w:rPr>
          <w:color w:val="231F20"/>
          <w:spacing w:val="-10"/>
          <w:sz w:val="21"/>
        </w:rPr>
        <w:t> </w:t>
      </w:r>
      <w:r>
        <w:rPr>
          <w:color w:val="231F20"/>
          <w:sz w:val="21"/>
        </w:rPr>
        <w:t>de artesanías).</w:t>
      </w:r>
      <w:r>
        <w:rPr>
          <w:color w:val="231F20"/>
          <w:spacing w:val="-5"/>
          <w:sz w:val="21"/>
        </w:rPr>
        <w:t> </w:t>
      </w:r>
      <w:r>
        <w:rPr>
          <w:color w:val="231F20"/>
          <w:sz w:val="21"/>
        </w:rPr>
        <w:t>En</w:t>
      </w:r>
      <w:r>
        <w:rPr>
          <w:color w:val="231F20"/>
          <w:spacing w:val="-5"/>
          <w:sz w:val="21"/>
        </w:rPr>
        <w:t> </w:t>
      </w:r>
      <w:r>
        <w:rPr>
          <w:color w:val="231F20"/>
          <w:sz w:val="21"/>
        </w:rPr>
        <w:t>este</w:t>
      </w:r>
      <w:r>
        <w:rPr>
          <w:color w:val="231F20"/>
          <w:spacing w:val="-5"/>
          <w:sz w:val="21"/>
        </w:rPr>
        <w:t> </w:t>
      </w:r>
      <w:r>
        <w:rPr>
          <w:color w:val="231F20"/>
          <w:sz w:val="21"/>
        </w:rPr>
        <w:t>tipo</w:t>
      </w:r>
      <w:r>
        <w:rPr>
          <w:color w:val="231F20"/>
          <w:spacing w:val="-5"/>
          <w:sz w:val="21"/>
        </w:rPr>
        <w:t> </w:t>
      </w:r>
      <w:r>
        <w:rPr>
          <w:color w:val="231F20"/>
          <w:sz w:val="21"/>
        </w:rPr>
        <w:t>de</w:t>
      </w:r>
      <w:r>
        <w:rPr>
          <w:color w:val="231F20"/>
          <w:spacing w:val="-5"/>
          <w:sz w:val="21"/>
        </w:rPr>
        <w:t> </w:t>
      </w:r>
      <w:r>
        <w:rPr>
          <w:color w:val="231F20"/>
          <w:sz w:val="21"/>
        </w:rPr>
        <w:t>cadenas,</w:t>
      </w:r>
      <w:r>
        <w:rPr>
          <w:color w:val="231F20"/>
          <w:spacing w:val="-5"/>
          <w:sz w:val="21"/>
        </w:rPr>
        <w:t> </w:t>
      </w:r>
      <w:r>
        <w:rPr>
          <w:color w:val="231F20"/>
          <w:sz w:val="21"/>
        </w:rPr>
        <w:t>por</w:t>
      </w:r>
      <w:r>
        <w:rPr>
          <w:color w:val="231F20"/>
          <w:spacing w:val="-5"/>
          <w:sz w:val="21"/>
        </w:rPr>
        <w:t> </w:t>
      </w:r>
      <w:r>
        <w:rPr>
          <w:color w:val="231F20"/>
          <w:sz w:val="21"/>
        </w:rPr>
        <w:t>lo</w:t>
      </w:r>
      <w:r>
        <w:rPr>
          <w:color w:val="231F20"/>
          <w:spacing w:val="-5"/>
          <w:sz w:val="21"/>
        </w:rPr>
        <w:t> </w:t>
      </w:r>
      <w:r>
        <w:rPr>
          <w:color w:val="231F20"/>
          <w:sz w:val="21"/>
        </w:rPr>
        <w:t>general</w:t>
      </w:r>
      <w:r>
        <w:rPr>
          <w:color w:val="231F20"/>
          <w:spacing w:val="-5"/>
          <w:sz w:val="21"/>
        </w:rPr>
        <w:t> </w:t>
      </w:r>
      <w:r>
        <w:rPr>
          <w:color w:val="231F20"/>
          <w:sz w:val="21"/>
        </w:rPr>
        <w:t>redes</w:t>
      </w:r>
      <w:r>
        <w:rPr>
          <w:color w:val="231F20"/>
          <w:spacing w:val="-5"/>
          <w:sz w:val="21"/>
        </w:rPr>
        <w:t> </w:t>
      </w:r>
      <w:r>
        <w:rPr>
          <w:color w:val="231F20"/>
          <w:sz w:val="21"/>
        </w:rPr>
        <w:t>de</w:t>
      </w:r>
      <w:r>
        <w:rPr>
          <w:color w:val="231F20"/>
          <w:spacing w:val="-5"/>
          <w:sz w:val="21"/>
        </w:rPr>
        <w:t> </w:t>
      </w:r>
      <w:r>
        <w:rPr>
          <w:color w:val="231F20"/>
          <w:spacing w:val="-3"/>
          <w:sz w:val="21"/>
        </w:rPr>
        <w:t>contratistas</w:t>
      </w:r>
      <w:r>
        <w:rPr>
          <w:color w:val="231F20"/>
          <w:spacing w:val="-5"/>
          <w:sz w:val="21"/>
        </w:rPr>
        <w:t> </w:t>
      </w:r>
      <w:r>
        <w:rPr>
          <w:color w:val="231F20"/>
          <w:sz w:val="21"/>
        </w:rPr>
        <w:t>del</w:t>
      </w:r>
      <w:r>
        <w:rPr>
          <w:color w:val="231F20"/>
          <w:spacing w:val="-5"/>
          <w:sz w:val="21"/>
        </w:rPr>
        <w:t> </w:t>
      </w:r>
      <w:r>
        <w:rPr>
          <w:color w:val="231F20"/>
          <w:spacing w:val="-6"/>
          <w:sz w:val="21"/>
        </w:rPr>
        <w:t>Tercer </w:t>
      </w:r>
      <w:r>
        <w:rPr>
          <w:color w:val="231F20"/>
          <w:spacing w:val="-4"/>
          <w:sz w:val="21"/>
        </w:rPr>
        <w:t>Mundo, </w:t>
      </w:r>
      <w:r>
        <w:rPr>
          <w:color w:val="231F20"/>
          <w:spacing w:val="-2"/>
          <w:sz w:val="21"/>
        </w:rPr>
        <w:t>que </w:t>
      </w:r>
      <w:r>
        <w:rPr>
          <w:color w:val="231F20"/>
          <w:sz w:val="21"/>
        </w:rPr>
        <w:t>realizan artículos terminados para </w:t>
      </w:r>
      <w:r>
        <w:rPr>
          <w:color w:val="231F20"/>
          <w:spacing w:val="-3"/>
          <w:sz w:val="21"/>
        </w:rPr>
        <w:t>compradores extranjeros, </w:t>
      </w:r>
      <w:r>
        <w:rPr>
          <w:color w:val="231F20"/>
          <w:sz w:val="21"/>
        </w:rPr>
        <w:t>llevan a cabo la </w:t>
      </w:r>
      <w:r>
        <w:rPr>
          <w:color w:val="231F20"/>
          <w:spacing w:val="-3"/>
          <w:sz w:val="21"/>
        </w:rPr>
        <w:t>producción. </w:t>
      </w:r>
      <w:r>
        <w:rPr>
          <w:color w:val="231F20"/>
          <w:spacing w:val="-5"/>
          <w:sz w:val="21"/>
        </w:rPr>
        <w:t>Una </w:t>
      </w:r>
      <w:r>
        <w:rPr>
          <w:color w:val="231F20"/>
          <w:sz w:val="21"/>
        </w:rPr>
        <w:t>de las características principales de las </w:t>
      </w:r>
      <w:r>
        <w:rPr>
          <w:color w:val="231F20"/>
          <w:spacing w:val="-3"/>
          <w:sz w:val="21"/>
        </w:rPr>
        <w:t>empresas </w:t>
      </w:r>
      <w:r>
        <w:rPr>
          <w:color w:val="231F20"/>
          <w:spacing w:val="-2"/>
          <w:sz w:val="21"/>
        </w:rPr>
        <w:t>que </w:t>
      </w:r>
      <w:r>
        <w:rPr>
          <w:color w:val="231F20"/>
          <w:sz w:val="21"/>
        </w:rPr>
        <w:t>se </w:t>
      </w:r>
      <w:r>
        <w:rPr>
          <w:color w:val="231F20"/>
          <w:spacing w:val="-3"/>
          <w:sz w:val="21"/>
        </w:rPr>
        <w:t>ajustan</w:t>
      </w:r>
      <w:r>
        <w:rPr>
          <w:color w:val="231F20"/>
          <w:spacing w:val="-11"/>
          <w:sz w:val="21"/>
        </w:rPr>
        <w:t> </w:t>
      </w:r>
      <w:r>
        <w:rPr>
          <w:color w:val="231F20"/>
          <w:sz w:val="21"/>
        </w:rPr>
        <w:t>a</w:t>
      </w:r>
      <w:r>
        <w:rPr>
          <w:color w:val="231F20"/>
          <w:spacing w:val="-11"/>
          <w:sz w:val="21"/>
        </w:rPr>
        <w:t> </w:t>
      </w:r>
      <w:r>
        <w:rPr>
          <w:color w:val="231F20"/>
          <w:sz w:val="21"/>
        </w:rPr>
        <w:t>este</w:t>
      </w:r>
      <w:r>
        <w:rPr>
          <w:color w:val="231F20"/>
          <w:spacing w:val="-11"/>
          <w:sz w:val="21"/>
        </w:rPr>
        <w:t> </w:t>
      </w:r>
      <w:r>
        <w:rPr>
          <w:color w:val="231F20"/>
          <w:sz w:val="21"/>
        </w:rPr>
        <w:t>modelo</w:t>
      </w:r>
      <w:r>
        <w:rPr>
          <w:color w:val="231F20"/>
          <w:spacing w:val="-11"/>
          <w:sz w:val="21"/>
        </w:rPr>
        <w:t> </w:t>
      </w:r>
      <w:r>
        <w:rPr>
          <w:color w:val="231F20"/>
          <w:sz w:val="21"/>
        </w:rPr>
        <w:t>es</w:t>
      </w:r>
      <w:r>
        <w:rPr>
          <w:color w:val="231F20"/>
          <w:spacing w:val="-11"/>
          <w:sz w:val="21"/>
        </w:rPr>
        <w:t> </w:t>
      </w:r>
      <w:r>
        <w:rPr>
          <w:color w:val="231F20"/>
          <w:spacing w:val="-2"/>
          <w:sz w:val="21"/>
        </w:rPr>
        <w:t>que</w:t>
      </w:r>
      <w:r>
        <w:rPr>
          <w:color w:val="231F20"/>
          <w:spacing w:val="-11"/>
          <w:sz w:val="21"/>
        </w:rPr>
        <w:t> </w:t>
      </w:r>
      <w:r>
        <w:rPr>
          <w:color w:val="231F20"/>
          <w:sz w:val="21"/>
        </w:rPr>
        <w:t>diseñan</w:t>
      </w:r>
      <w:r>
        <w:rPr>
          <w:color w:val="231F20"/>
          <w:spacing w:val="-11"/>
          <w:sz w:val="21"/>
        </w:rPr>
        <w:t> </w:t>
      </w:r>
      <w:r>
        <w:rPr>
          <w:color w:val="231F20"/>
          <w:sz w:val="21"/>
        </w:rPr>
        <w:t>o</w:t>
      </w:r>
      <w:r>
        <w:rPr>
          <w:color w:val="231F20"/>
          <w:spacing w:val="-11"/>
          <w:sz w:val="21"/>
        </w:rPr>
        <w:t> </w:t>
      </w:r>
      <w:r>
        <w:rPr>
          <w:color w:val="231F20"/>
          <w:sz w:val="21"/>
        </w:rPr>
        <w:t>comercializan,</w:t>
      </w:r>
      <w:r>
        <w:rPr>
          <w:color w:val="231F20"/>
          <w:spacing w:val="-11"/>
          <w:sz w:val="21"/>
        </w:rPr>
        <w:t> </w:t>
      </w:r>
      <w:r>
        <w:rPr>
          <w:color w:val="231F20"/>
          <w:sz w:val="21"/>
        </w:rPr>
        <w:t>pero</w:t>
      </w:r>
      <w:r>
        <w:rPr>
          <w:color w:val="231F20"/>
          <w:spacing w:val="-11"/>
          <w:sz w:val="21"/>
        </w:rPr>
        <w:t> </w:t>
      </w:r>
      <w:r>
        <w:rPr>
          <w:color w:val="231F20"/>
          <w:sz w:val="21"/>
        </w:rPr>
        <w:t>no</w:t>
      </w:r>
      <w:r>
        <w:rPr>
          <w:color w:val="231F20"/>
          <w:spacing w:val="-11"/>
          <w:sz w:val="21"/>
        </w:rPr>
        <w:t> </w:t>
      </w:r>
      <w:r>
        <w:rPr>
          <w:color w:val="231F20"/>
          <w:sz w:val="21"/>
        </w:rPr>
        <w:t>fabrican</w:t>
      </w:r>
      <w:r>
        <w:rPr>
          <w:color w:val="231F20"/>
          <w:spacing w:val="-11"/>
          <w:sz w:val="21"/>
        </w:rPr>
        <w:t> </w:t>
      </w:r>
      <w:r>
        <w:rPr>
          <w:color w:val="231F20"/>
          <w:sz w:val="21"/>
        </w:rPr>
        <w:t>los</w:t>
      </w:r>
      <w:r>
        <w:rPr>
          <w:color w:val="231F20"/>
          <w:spacing w:val="-11"/>
          <w:sz w:val="21"/>
        </w:rPr>
        <w:t> </w:t>
      </w:r>
      <w:r>
        <w:rPr>
          <w:color w:val="231F20"/>
          <w:spacing w:val="-3"/>
          <w:sz w:val="21"/>
        </w:rPr>
        <w:t>produc- </w:t>
      </w:r>
      <w:r>
        <w:rPr>
          <w:color w:val="231F20"/>
          <w:sz w:val="21"/>
        </w:rPr>
        <w:t>tos</w:t>
      </w:r>
      <w:r>
        <w:rPr>
          <w:color w:val="231F20"/>
          <w:spacing w:val="-13"/>
          <w:sz w:val="21"/>
        </w:rPr>
        <w:t> </w:t>
      </w:r>
      <w:r>
        <w:rPr>
          <w:color w:val="231F20"/>
          <w:sz w:val="21"/>
        </w:rPr>
        <w:t>de</w:t>
      </w:r>
      <w:r>
        <w:rPr>
          <w:color w:val="231F20"/>
          <w:spacing w:val="-13"/>
          <w:sz w:val="21"/>
        </w:rPr>
        <w:t> </w:t>
      </w:r>
      <w:r>
        <w:rPr>
          <w:color w:val="231F20"/>
          <w:sz w:val="21"/>
        </w:rPr>
        <w:t>marca</w:t>
      </w:r>
      <w:r>
        <w:rPr>
          <w:color w:val="231F20"/>
          <w:spacing w:val="-13"/>
          <w:sz w:val="21"/>
        </w:rPr>
        <w:t> </w:t>
      </w:r>
      <w:r>
        <w:rPr>
          <w:color w:val="231F20"/>
          <w:spacing w:val="-2"/>
          <w:sz w:val="21"/>
        </w:rPr>
        <w:t>que</w:t>
      </w:r>
      <w:r>
        <w:rPr>
          <w:color w:val="231F20"/>
          <w:spacing w:val="-13"/>
          <w:sz w:val="21"/>
        </w:rPr>
        <w:t> </w:t>
      </w:r>
      <w:r>
        <w:rPr>
          <w:color w:val="231F20"/>
          <w:spacing w:val="-3"/>
          <w:sz w:val="21"/>
        </w:rPr>
        <w:t>ordenan.</w:t>
      </w:r>
      <w:r>
        <w:rPr>
          <w:color w:val="231F20"/>
          <w:spacing w:val="-13"/>
          <w:sz w:val="21"/>
        </w:rPr>
        <w:t> </w:t>
      </w:r>
      <w:r>
        <w:rPr>
          <w:color w:val="231F20"/>
          <w:sz w:val="21"/>
        </w:rPr>
        <w:t>En</w:t>
      </w:r>
      <w:r>
        <w:rPr>
          <w:color w:val="231F20"/>
          <w:spacing w:val="-13"/>
          <w:sz w:val="21"/>
        </w:rPr>
        <w:t> </w:t>
      </w:r>
      <w:r>
        <w:rPr>
          <w:color w:val="231F20"/>
          <w:sz w:val="21"/>
        </w:rPr>
        <w:t>palabras</w:t>
      </w:r>
      <w:r>
        <w:rPr>
          <w:color w:val="231F20"/>
          <w:spacing w:val="-13"/>
          <w:sz w:val="21"/>
        </w:rPr>
        <w:t> </w:t>
      </w:r>
      <w:r>
        <w:rPr>
          <w:color w:val="231F20"/>
          <w:sz w:val="21"/>
        </w:rPr>
        <w:t>de</w:t>
      </w:r>
      <w:r>
        <w:rPr>
          <w:color w:val="231F20"/>
          <w:spacing w:val="-13"/>
          <w:sz w:val="21"/>
        </w:rPr>
        <w:t> </w:t>
      </w:r>
      <w:r>
        <w:rPr>
          <w:color w:val="231F20"/>
          <w:sz w:val="21"/>
        </w:rPr>
        <w:t>Gereffi</w:t>
      </w:r>
      <w:r>
        <w:rPr>
          <w:color w:val="231F20"/>
          <w:spacing w:val="-13"/>
          <w:sz w:val="21"/>
        </w:rPr>
        <w:t> </w:t>
      </w:r>
      <w:r>
        <w:rPr>
          <w:color w:val="231F20"/>
          <w:sz w:val="21"/>
        </w:rPr>
        <w:t>(2001),</w:t>
      </w:r>
      <w:r>
        <w:rPr>
          <w:color w:val="231F20"/>
          <w:spacing w:val="-13"/>
          <w:sz w:val="21"/>
        </w:rPr>
        <w:t> </w:t>
      </w:r>
      <w:r>
        <w:rPr>
          <w:color w:val="231F20"/>
          <w:sz w:val="21"/>
        </w:rPr>
        <w:t>forman</w:t>
      </w:r>
      <w:r>
        <w:rPr>
          <w:color w:val="231F20"/>
          <w:spacing w:val="-13"/>
          <w:sz w:val="21"/>
        </w:rPr>
        <w:t> </w:t>
      </w:r>
      <w:r>
        <w:rPr>
          <w:color w:val="231F20"/>
          <w:sz w:val="21"/>
        </w:rPr>
        <w:t>parte</w:t>
      </w:r>
      <w:r>
        <w:rPr>
          <w:color w:val="231F20"/>
          <w:spacing w:val="-13"/>
          <w:sz w:val="21"/>
        </w:rPr>
        <w:t> </w:t>
      </w:r>
      <w:r>
        <w:rPr>
          <w:color w:val="231F20"/>
          <w:sz w:val="21"/>
        </w:rPr>
        <w:t>de</w:t>
      </w:r>
      <w:r>
        <w:rPr>
          <w:color w:val="231F20"/>
          <w:spacing w:val="-13"/>
          <w:sz w:val="21"/>
        </w:rPr>
        <w:t> </w:t>
      </w:r>
      <w:r>
        <w:rPr>
          <w:color w:val="231F20"/>
          <w:sz w:val="21"/>
        </w:rPr>
        <w:t>una</w:t>
      </w:r>
      <w:r>
        <w:rPr>
          <w:color w:val="231F20"/>
          <w:spacing w:val="-13"/>
          <w:sz w:val="21"/>
        </w:rPr>
        <w:t> </w:t>
      </w:r>
      <w:r>
        <w:rPr>
          <w:color w:val="231F20"/>
          <w:spacing w:val="-3"/>
          <w:sz w:val="21"/>
        </w:rPr>
        <w:t>nue- </w:t>
      </w:r>
      <w:r>
        <w:rPr>
          <w:color w:val="231F20"/>
          <w:sz w:val="21"/>
        </w:rPr>
        <w:t>va clase de </w:t>
      </w:r>
      <w:r>
        <w:rPr>
          <w:color w:val="231F20"/>
          <w:spacing w:val="-3"/>
          <w:sz w:val="21"/>
        </w:rPr>
        <w:t>fabricantes </w:t>
      </w:r>
      <w:r>
        <w:rPr>
          <w:color w:val="231F20"/>
          <w:sz w:val="21"/>
        </w:rPr>
        <w:t>sin fábrica. Pueden </w:t>
      </w:r>
      <w:r>
        <w:rPr>
          <w:color w:val="231F20"/>
          <w:spacing w:val="-3"/>
          <w:sz w:val="21"/>
        </w:rPr>
        <w:t>incluirse, </w:t>
      </w:r>
      <w:r>
        <w:rPr>
          <w:color w:val="231F20"/>
          <w:sz w:val="21"/>
        </w:rPr>
        <w:t>como </w:t>
      </w:r>
      <w:r>
        <w:rPr>
          <w:color w:val="231F20"/>
          <w:spacing w:val="-3"/>
          <w:sz w:val="21"/>
        </w:rPr>
        <w:t>ejemplos, </w:t>
      </w:r>
      <w:r>
        <w:rPr>
          <w:color w:val="231F20"/>
          <w:sz w:val="21"/>
        </w:rPr>
        <w:t>a detallistas como</w:t>
      </w:r>
      <w:r>
        <w:rPr>
          <w:color w:val="231F20"/>
          <w:spacing w:val="-13"/>
          <w:sz w:val="21"/>
        </w:rPr>
        <w:t> </w:t>
      </w:r>
      <w:r>
        <w:rPr>
          <w:color w:val="231F20"/>
          <w:spacing w:val="-4"/>
          <w:sz w:val="21"/>
        </w:rPr>
        <w:t>Walmart,</w:t>
      </w:r>
      <w:r>
        <w:rPr>
          <w:color w:val="231F20"/>
          <w:spacing w:val="-13"/>
          <w:sz w:val="21"/>
        </w:rPr>
        <w:t> </w:t>
      </w:r>
      <w:r>
        <w:rPr>
          <w:color w:val="231F20"/>
          <w:sz w:val="21"/>
        </w:rPr>
        <w:t>Sears</w:t>
      </w:r>
      <w:r>
        <w:rPr>
          <w:color w:val="231F20"/>
          <w:spacing w:val="-13"/>
          <w:sz w:val="21"/>
        </w:rPr>
        <w:t> </w:t>
      </w:r>
      <w:r>
        <w:rPr>
          <w:color w:val="231F20"/>
          <w:sz w:val="21"/>
        </w:rPr>
        <w:t>Roebuck</w:t>
      </w:r>
      <w:r>
        <w:rPr>
          <w:color w:val="231F20"/>
          <w:spacing w:val="-13"/>
          <w:sz w:val="21"/>
        </w:rPr>
        <w:t> </w:t>
      </w:r>
      <w:r>
        <w:rPr>
          <w:color w:val="231F20"/>
          <w:sz w:val="21"/>
        </w:rPr>
        <w:t>y</w:t>
      </w:r>
      <w:r>
        <w:rPr>
          <w:color w:val="231F20"/>
          <w:spacing w:val="-13"/>
          <w:sz w:val="21"/>
        </w:rPr>
        <w:t> </w:t>
      </w:r>
      <w:r>
        <w:rPr>
          <w:color w:val="231F20"/>
          <w:spacing w:val="-5"/>
          <w:sz w:val="21"/>
        </w:rPr>
        <w:t>J.</w:t>
      </w:r>
      <w:r>
        <w:rPr>
          <w:color w:val="231F20"/>
          <w:spacing w:val="-13"/>
          <w:sz w:val="21"/>
        </w:rPr>
        <w:t> </w:t>
      </w:r>
      <w:r>
        <w:rPr>
          <w:color w:val="231F20"/>
          <w:sz w:val="21"/>
        </w:rPr>
        <w:t>C.</w:t>
      </w:r>
      <w:r>
        <w:rPr>
          <w:color w:val="231F20"/>
          <w:spacing w:val="-13"/>
          <w:sz w:val="21"/>
        </w:rPr>
        <w:t> </w:t>
      </w:r>
      <w:r>
        <w:rPr>
          <w:color w:val="231F20"/>
          <w:sz w:val="21"/>
        </w:rPr>
        <w:t>Penney;</w:t>
      </w:r>
      <w:r>
        <w:rPr>
          <w:color w:val="231F20"/>
          <w:spacing w:val="-13"/>
          <w:sz w:val="21"/>
        </w:rPr>
        <w:t> </w:t>
      </w:r>
      <w:r>
        <w:rPr>
          <w:color w:val="231F20"/>
          <w:sz w:val="21"/>
        </w:rPr>
        <w:t>fábricas</w:t>
      </w:r>
      <w:r>
        <w:rPr>
          <w:color w:val="231F20"/>
          <w:spacing w:val="-13"/>
          <w:sz w:val="21"/>
        </w:rPr>
        <w:t> </w:t>
      </w:r>
      <w:r>
        <w:rPr>
          <w:color w:val="231F20"/>
          <w:sz w:val="21"/>
        </w:rPr>
        <w:t>de</w:t>
      </w:r>
      <w:r>
        <w:rPr>
          <w:color w:val="231F20"/>
          <w:spacing w:val="-13"/>
          <w:sz w:val="21"/>
        </w:rPr>
        <w:t> </w:t>
      </w:r>
      <w:r>
        <w:rPr>
          <w:color w:val="231F20"/>
          <w:sz w:val="21"/>
        </w:rPr>
        <w:t>calzado</w:t>
      </w:r>
      <w:r>
        <w:rPr>
          <w:color w:val="231F20"/>
          <w:spacing w:val="-13"/>
          <w:sz w:val="21"/>
        </w:rPr>
        <w:t> </w:t>
      </w:r>
      <w:r>
        <w:rPr>
          <w:color w:val="231F20"/>
          <w:sz w:val="21"/>
        </w:rPr>
        <w:t>deportivo</w:t>
      </w:r>
      <w:r>
        <w:rPr>
          <w:color w:val="231F20"/>
          <w:spacing w:val="-13"/>
          <w:sz w:val="21"/>
        </w:rPr>
        <w:t> </w:t>
      </w:r>
      <w:r>
        <w:rPr>
          <w:color w:val="231F20"/>
          <w:sz w:val="21"/>
        </w:rPr>
        <w:t>como </w:t>
      </w:r>
      <w:r>
        <w:rPr>
          <w:color w:val="231F20"/>
          <w:spacing w:val="-3"/>
          <w:sz w:val="21"/>
        </w:rPr>
        <w:t>Nike</w:t>
      </w:r>
      <w:r>
        <w:rPr>
          <w:color w:val="231F20"/>
          <w:spacing w:val="-23"/>
          <w:sz w:val="21"/>
        </w:rPr>
        <w:t> </w:t>
      </w:r>
      <w:r>
        <w:rPr>
          <w:color w:val="231F20"/>
          <w:sz w:val="21"/>
        </w:rPr>
        <w:t>o</w:t>
      </w:r>
      <w:r>
        <w:rPr>
          <w:color w:val="231F20"/>
          <w:spacing w:val="-23"/>
          <w:sz w:val="21"/>
        </w:rPr>
        <w:t> </w:t>
      </w:r>
      <w:r>
        <w:rPr>
          <w:color w:val="231F20"/>
          <w:sz w:val="21"/>
        </w:rPr>
        <w:t>Reebok;</w:t>
      </w:r>
      <w:r>
        <w:rPr>
          <w:color w:val="231F20"/>
          <w:spacing w:val="-23"/>
          <w:sz w:val="21"/>
        </w:rPr>
        <w:t> </w:t>
      </w:r>
      <w:r>
        <w:rPr>
          <w:color w:val="231F20"/>
          <w:sz w:val="21"/>
        </w:rPr>
        <w:t>y</w:t>
      </w:r>
      <w:r>
        <w:rPr>
          <w:color w:val="231F20"/>
          <w:spacing w:val="-23"/>
          <w:sz w:val="21"/>
        </w:rPr>
        <w:t> </w:t>
      </w:r>
      <w:r>
        <w:rPr>
          <w:color w:val="231F20"/>
          <w:spacing w:val="-3"/>
          <w:sz w:val="21"/>
        </w:rPr>
        <w:t>empresas</w:t>
      </w:r>
      <w:r>
        <w:rPr>
          <w:color w:val="231F20"/>
          <w:spacing w:val="-23"/>
          <w:sz w:val="21"/>
        </w:rPr>
        <w:t> </w:t>
      </w:r>
      <w:r>
        <w:rPr>
          <w:color w:val="231F20"/>
          <w:sz w:val="21"/>
        </w:rPr>
        <w:t>de</w:t>
      </w:r>
      <w:r>
        <w:rPr>
          <w:color w:val="231F20"/>
          <w:spacing w:val="-23"/>
          <w:sz w:val="21"/>
        </w:rPr>
        <w:t> </w:t>
      </w:r>
      <w:r>
        <w:rPr>
          <w:color w:val="231F20"/>
          <w:sz w:val="21"/>
        </w:rPr>
        <w:t>la</w:t>
      </w:r>
      <w:r>
        <w:rPr>
          <w:color w:val="231F20"/>
          <w:spacing w:val="-23"/>
          <w:sz w:val="21"/>
        </w:rPr>
        <w:t> </w:t>
      </w:r>
      <w:r>
        <w:rPr>
          <w:color w:val="231F20"/>
          <w:sz w:val="21"/>
        </w:rPr>
        <w:t>moda</w:t>
      </w:r>
      <w:r>
        <w:rPr>
          <w:color w:val="231F20"/>
          <w:spacing w:val="-23"/>
          <w:sz w:val="21"/>
        </w:rPr>
        <w:t> </w:t>
      </w:r>
      <w:r>
        <w:rPr>
          <w:color w:val="231F20"/>
          <w:sz w:val="21"/>
        </w:rPr>
        <w:t>como</w:t>
      </w:r>
      <w:r>
        <w:rPr>
          <w:color w:val="231F20"/>
          <w:spacing w:val="-23"/>
          <w:sz w:val="21"/>
        </w:rPr>
        <w:t> </w:t>
      </w:r>
      <w:r>
        <w:rPr>
          <w:color w:val="231F20"/>
          <w:sz w:val="21"/>
        </w:rPr>
        <w:t>Liz</w:t>
      </w:r>
      <w:r>
        <w:rPr>
          <w:color w:val="231F20"/>
          <w:spacing w:val="-23"/>
          <w:sz w:val="21"/>
        </w:rPr>
        <w:t> </w:t>
      </w:r>
      <w:r>
        <w:rPr>
          <w:color w:val="231F20"/>
          <w:sz w:val="21"/>
        </w:rPr>
        <w:t>Claiborne,</w:t>
      </w:r>
      <w:r>
        <w:rPr>
          <w:color w:val="231F20"/>
          <w:spacing w:val="-23"/>
          <w:sz w:val="21"/>
        </w:rPr>
        <w:t> </w:t>
      </w:r>
      <w:r>
        <w:rPr>
          <w:color w:val="231F20"/>
          <w:sz w:val="21"/>
        </w:rPr>
        <w:t>The</w:t>
      </w:r>
      <w:r>
        <w:rPr>
          <w:color w:val="231F20"/>
          <w:spacing w:val="-23"/>
          <w:sz w:val="21"/>
        </w:rPr>
        <w:t> </w:t>
      </w:r>
      <w:r>
        <w:rPr>
          <w:color w:val="231F20"/>
          <w:spacing w:val="-3"/>
          <w:sz w:val="21"/>
        </w:rPr>
        <w:t>Gap</w:t>
      </w:r>
      <w:r>
        <w:rPr>
          <w:color w:val="231F20"/>
          <w:spacing w:val="-23"/>
          <w:sz w:val="21"/>
        </w:rPr>
        <w:t> </w:t>
      </w:r>
      <w:r>
        <w:rPr>
          <w:color w:val="231F20"/>
          <w:sz w:val="21"/>
        </w:rPr>
        <w:t>y</w:t>
      </w:r>
      <w:r>
        <w:rPr>
          <w:color w:val="231F20"/>
          <w:spacing w:val="-23"/>
          <w:sz w:val="21"/>
        </w:rPr>
        <w:t> </w:t>
      </w:r>
      <w:r>
        <w:rPr>
          <w:color w:val="231F20"/>
          <w:sz w:val="21"/>
        </w:rPr>
        <w:t>The</w:t>
      </w:r>
      <w:r>
        <w:rPr>
          <w:color w:val="231F20"/>
          <w:spacing w:val="-23"/>
          <w:sz w:val="21"/>
        </w:rPr>
        <w:t> </w:t>
      </w:r>
      <w:r>
        <w:rPr>
          <w:color w:val="231F20"/>
          <w:sz w:val="21"/>
        </w:rPr>
        <w:t>Limited.</w:t>
      </w:r>
    </w:p>
    <w:p>
      <w:pPr>
        <w:pStyle w:val="BodyText"/>
        <w:spacing w:line="273" w:lineRule="auto" w:before="117"/>
        <w:ind w:left="653" w:right="101"/>
        <w:jc w:val="both"/>
      </w:pPr>
      <w:r>
        <w:rPr>
          <w:color w:val="231F20"/>
        </w:rPr>
        <w:t>Dentro</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cadenas</w:t>
      </w:r>
      <w:r>
        <w:rPr>
          <w:color w:val="231F20"/>
          <w:spacing w:val="-8"/>
        </w:rPr>
        <w:t> </w:t>
      </w:r>
      <w:r>
        <w:rPr>
          <w:color w:val="231F20"/>
        </w:rPr>
        <w:t>globales,</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empresas</w:t>
      </w:r>
      <w:r>
        <w:rPr>
          <w:color w:val="231F20"/>
          <w:spacing w:val="-8"/>
        </w:rPr>
        <w:t> </w:t>
      </w:r>
      <w:r>
        <w:rPr>
          <w:color w:val="231F20"/>
        </w:rPr>
        <w:t>nacionales</w:t>
      </w:r>
      <w:r>
        <w:rPr>
          <w:color w:val="231F20"/>
          <w:spacing w:val="-8"/>
        </w:rPr>
        <w:t> </w:t>
      </w:r>
      <w:r>
        <w:rPr>
          <w:color w:val="231F20"/>
        </w:rPr>
        <w:t>con</w:t>
      </w:r>
      <w:r>
        <w:rPr>
          <w:color w:val="231F20"/>
          <w:spacing w:val="-8"/>
        </w:rPr>
        <w:t> </w:t>
      </w:r>
      <w:r>
        <w:rPr>
          <w:color w:val="231F20"/>
        </w:rPr>
        <w:t>una</w:t>
      </w:r>
      <w:r>
        <w:rPr>
          <w:color w:val="231F20"/>
          <w:spacing w:val="-8"/>
        </w:rPr>
        <w:t> </w:t>
      </w:r>
      <w:r>
        <w:rPr>
          <w:color w:val="231F20"/>
        </w:rPr>
        <w:t>participación importante en el mercado doméstico juegan un papel primordial. Potencialmente, son los socios naturales de las transnacionales y ofrecen a sus aliados extranjeros un pro- fundo conocimiento de los mercados locales, redes propias de clientes y proveedores, contactos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gubernamental</w:t>
      </w:r>
      <w:r>
        <w:rPr>
          <w:color w:val="231F20"/>
          <w:spacing w:val="-6"/>
        </w:rPr>
        <w:t> </w:t>
      </w:r>
      <w:r>
        <w:rPr>
          <w:color w:val="231F20"/>
        </w:rPr>
        <w:t>y</w:t>
      </w:r>
      <w:r>
        <w:rPr>
          <w:color w:val="231F20"/>
          <w:spacing w:val="-6"/>
        </w:rPr>
        <w:t> </w:t>
      </w:r>
      <w:r>
        <w:rPr>
          <w:color w:val="231F20"/>
        </w:rPr>
        <w:t>conocimiento</w:t>
      </w:r>
      <w:r>
        <w:rPr>
          <w:color w:val="231F20"/>
          <w:spacing w:val="-6"/>
        </w:rPr>
        <w:t> </w:t>
      </w:r>
      <w:r>
        <w:rPr>
          <w:color w:val="231F20"/>
        </w:rPr>
        <w:t>del</w:t>
      </w:r>
      <w:r>
        <w:rPr>
          <w:color w:val="231F20"/>
          <w:spacing w:val="-6"/>
        </w:rPr>
        <w:t> </w:t>
      </w:r>
      <w:r>
        <w:rPr>
          <w:color w:val="231F20"/>
        </w:rPr>
        <w:t>sistema</w:t>
      </w:r>
      <w:r>
        <w:rPr>
          <w:color w:val="231F20"/>
          <w:spacing w:val="-6"/>
        </w:rPr>
        <w:t> </w:t>
      </w:r>
      <w:r>
        <w:rPr>
          <w:color w:val="231F20"/>
        </w:rPr>
        <w:t>de</w:t>
      </w:r>
      <w:r>
        <w:rPr>
          <w:color w:val="231F20"/>
          <w:spacing w:val="-6"/>
        </w:rPr>
        <w:t> </w:t>
      </w:r>
      <w:r>
        <w:rPr>
          <w:color w:val="231F20"/>
        </w:rPr>
        <w:t>relaciones</w:t>
      </w:r>
      <w:r>
        <w:rPr>
          <w:color w:val="231F20"/>
          <w:spacing w:val="-6"/>
        </w:rPr>
        <w:t> </w:t>
      </w:r>
      <w:r>
        <w:rPr>
          <w:color w:val="231F20"/>
        </w:rPr>
        <w:t>labora- les,</w:t>
      </w:r>
      <w:r>
        <w:rPr>
          <w:color w:val="231F20"/>
          <w:spacing w:val="-10"/>
        </w:rPr>
        <w:t> </w:t>
      </w:r>
      <w:r>
        <w:rPr>
          <w:color w:val="231F20"/>
        </w:rPr>
        <w:t>además</w:t>
      </w:r>
      <w:r>
        <w:rPr>
          <w:color w:val="231F20"/>
          <w:spacing w:val="-10"/>
        </w:rPr>
        <w:t> </w:t>
      </w:r>
      <w:r>
        <w:rPr>
          <w:color w:val="231F20"/>
        </w:rPr>
        <w:t>de</w:t>
      </w:r>
      <w:r>
        <w:rPr>
          <w:color w:val="231F20"/>
          <w:spacing w:val="-10"/>
        </w:rPr>
        <w:t> </w:t>
      </w:r>
      <w:r>
        <w:rPr>
          <w:color w:val="231F20"/>
        </w:rPr>
        <w:t>capital</w:t>
      </w:r>
      <w:r>
        <w:rPr>
          <w:color w:val="231F20"/>
          <w:spacing w:val="-10"/>
        </w:rPr>
        <w:t> </w:t>
      </w:r>
      <w:r>
        <w:rPr>
          <w:color w:val="231F20"/>
          <w:spacing w:val="-3"/>
        </w:rPr>
        <w:t>humano,</w:t>
      </w:r>
      <w:r>
        <w:rPr>
          <w:color w:val="231F20"/>
          <w:spacing w:val="-10"/>
        </w:rPr>
        <w:t> </w:t>
      </w:r>
      <w:r>
        <w:rPr>
          <w:color w:val="231F20"/>
        </w:rPr>
        <w:t>experiencia</w:t>
      </w:r>
      <w:r>
        <w:rPr>
          <w:color w:val="231F20"/>
          <w:spacing w:val="-10"/>
        </w:rPr>
        <w:t> </w:t>
      </w:r>
      <w:r>
        <w:rPr>
          <w:color w:val="231F20"/>
        </w:rPr>
        <w:t>en</w:t>
      </w:r>
      <w:r>
        <w:rPr>
          <w:color w:val="231F20"/>
          <w:spacing w:val="-10"/>
        </w:rPr>
        <w:t> </w:t>
      </w:r>
      <w:r>
        <w:rPr>
          <w:color w:val="231F20"/>
        </w:rPr>
        <w:t>administración</w:t>
      </w:r>
      <w:r>
        <w:rPr>
          <w:color w:val="231F20"/>
          <w:spacing w:val="-10"/>
        </w:rPr>
        <w:t> </w:t>
      </w:r>
      <w:r>
        <w:rPr>
          <w:color w:val="231F20"/>
        </w:rPr>
        <w:t>y</w:t>
      </w:r>
      <w:r>
        <w:rPr>
          <w:color w:val="231F20"/>
          <w:spacing w:val="-10"/>
        </w:rPr>
        <w:t> </w:t>
      </w:r>
      <w:r>
        <w:rPr>
          <w:color w:val="231F20"/>
        </w:rPr>
        <w:t>profesionistas</w:t>
      </w:r>
      <w:r>
        <w:rPr>
          <w:color w:val="231F20"/>
          <w:spacing w:val="-10"/>
        </w:rPr>
        <w:t> </w:t>
      </w:r>
      <w:r>
        <w:rPr>
          <w:color w:val="231F20"/>
        </w:rPr>
        <w:t>califica- dos.</w:t>
      </w:r>
      <w:r>
        <w:rPr>
          <w:color w:val="231F20"/>
          <w:spacing w:val="-12"/>
        </w:rPr>
        <w:t> </w:t>
      </w:r>
      <w:r>
        <w:rPr>
          <w:color w:val="231F20"/>
          <w:spacing w:val="-4"/>
        </w:rPr>
        <w:t>Por</w:t>
      </w:r>
      <w:r>
        <w:rPr>
          <w:color w:val="231F20"/>
          <w:spacing w:val="-12"/>
        </w:rPr>
        <w:t> </w:t>
      </w:r>
      <w:r>
        <w:rPr>
          <w:color w:val="231F20"/>
        </w:rPr>
        <w:t>su</w:t>
      </w:r>
      <w:r>
        <w:rPr>
          <w:color w:val="231F20"/>
          <w:spacing w:val="-12"/>
        </w:rPr>
        <w:t> </w:t>
      </w:r>
      <w:r>
        <w:rPr>
          <w:color w:val="231F20"/>
        </w:rPr>
        <w:t>parte,</w:t>
      </w:r>
      <w:r>
        <w:rPr>
          <w:color w:val="231F20"/>
          <w:spacing w:val="-12"/>
        </w:rPr>
        <w:t> </w:t>
      </w:r>
      <w:r>
        <w:rPr>
          <w:color w:val="231F20"/>
        </w:rPr>
        <w:t>las</w:t>
      </w:r>
      <w:r>
        <w:rPr>
          <w:color w:val="231F20"/>
          <w:spacing w:val="-12"/>
        </w:rPr>
        <w:t> </w:t>
      </w:r>
      <w:r>
        <w:rPr>
          <w:color w:val="231F20"/>
        </w:rPr>
        <w:t>empresas</w:t>
      </w:r>
      <w:r>
        <w:rPr>
          <w:color w:val="231F20"/>
          <w:spacing w:val="-12"/>
        </w:rPr>
        <w:t> </w:t>
      </w:r>
      <w:r>
        <w:rPr>
          <w:color w:val="231F20"/>
        </w:rPr>
        <w:t>nacionales</w:t>
      </w:r>
      <w:r>
        <w:rPr>
          <w:color w:val="231F20"/>
          <w:spacing w:val="-12"/>
        </w:rPr>
        <w:t> </w:t>
      </w:r>
      <w:r>
        <w:rPr>
          <w:color w:val="231F20"/>
        </w:rPr>
        <w:t>reciben</w:t>
      </w:r>
      <w:r>
        <w:rPr>
          <w:color w:val="231F20"/>
          <w:spacing w:val="-12"/>
        </w:rPr>
        <w:t> </w:t>
      </w:r>
      <w:r>
        <w:rPr>
          <w:color w:val="231F20"/>
        </w:rPr>
        <w:t>capital</w:t>
      </w:r>
      <w:r>
        <w:rPr>
          <w:color w:val="231F20"/>
          <w:spacing w:val="-12"/>
        </w:rPr>
        <w:t> </w:t>
      </w:r>
      <w:r>
        <w:rPr>
          <w:color w:val="231F20"/>
        </w:rPr>
        <w:t>extranjero</w:t>
      </w:r>
      <w:r>
        <w:rPr>
          <w:color w:val="231F20"/>
          <w:spacing w:val="-12"/>
        </w:rPr>
        <w:t> </w:t>
      </w:r>
      <w:r>
        <w:rPr>
          <w:color w:val="231F20"/>
        </w:rPr>
        <w:t>y</w:t>
      </w:r>
      <w:r>
        <w:rPr>
          <w:color w:val="231F20"/>
          <w:spacing w:val="-12"/>
        </w:rPr>
        <w:t> </w:t>
      </w:r>
      <w:r>
        <w:rPr>
          <w:color w:val="231F20"/>
        </w:rPr>
        <w:t>transferencias</w:t>
      </w:r>
      <w:r>
        <w:rPr>
          <w:color w:val="231F20"/>
          <w:spacing w:val="-12"/>
        </w:rPr>
        <w:t> </w:t>
      </w:r>
      <w:r>
        <w:rPr>
          <w:color w:val="231F20"/>
        </w:rPr>
        <w:t>de tecnología</w:t>
      </w:r>
      <w:r>
        <w:rPr>
          <w:color w:val="231F20"/>
          <w:spacing w:val="-7"/>
        </w:rPr>
        <w:t> </w:t>
      </w:r>
      <w:r>
        <w:rPr>
          <w:color w:val="231F20"/>
        </w:rPr>
        <w:t>y</w:t>
      </w:r>
      <w:r>
        <w:rPr>
          <w:color w:val="231F20"/>
          <w:spacing w:val="-7"/>
        </w:rPr>
        <w:t> </w:t>
      </w:r>
      <w:r>
        <w:rPr>
          <w:color w:val="231F20"/>
        </w:rPr>
        <w:t>técnicas</w:t>
      </w:r>
      <w:r>
        <w:rPr>
          <w:color w:val="231F20"/>
          <w:spacing w:val="-7"/>
        </w:rPr>
        <w:t> </w:t>
      </w:r>
      <w:r>
        <w:rPr>
          <w:color w:val="231F20"/>
        </w:rPr>
        <w:t>administrativas,</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el</w:t>
      </w:r>
      <w:r>
        <w:rPr>
          <w:color w:val="231F20"/>
          <w:spacing w:val="-7"/>
        </w:rPr>
        <w:t> </w:t>
      </w:r>
      <w:r>
        <w:rPr>
          <w:rFonts w:ascii="Palatino Linotype" w:hAnsi="Palatino Linotype"/>
          <w:i/>
          <w:color w:val="231F20"/>
          <w:spacing w:val="-3"/>
        </w:rPr>
        <w:t>know</w:t>
      </w:r>
      <w:r>
        <w:rPr>
          <w:rFonts w:ascii="Palatino Linotype" w:hAnsi="Palatino Linotype"/>
          <w:i/>
          <w:color w:val="231F20"/>
          <w:spacing w:val="-7"/>
        </w:rPr>
        <w:t> </w:t>
      </w:r>
      <w:r>
        <w:rPr>
          <w:rFonts w:ascii="Palatino Linotype" w:hAnsi="Palatino Linotype"/>
          <w:i/>
          <w:color w:val="231F20"/>
        </w:rPr>
        <w:t>how</w:t>
      </w:r>
      <w:r>
        <w:rPr>
          <w:rFonts w:ascii="Palatino Linotype" w:hAnsi="Palatino Linotype"/>
          <w:i/>
          <w:color w:val="231F20"/>
          <w:spacing w:val="-7"/>
        </w:rPr>
        <w:t> </w:t>
      </w:r>
      <w:r>
        <w:rPr>
          <w:color w:val="231F20"/>
        </w:rPr>
        <w:t>que</w:t>
      </w:r>
      <w:r>
        <w:rPr>
          <w:color w:val="231F20"/>
          <w:spacing w:val="-7"/>
        </w:rPr>
        <w:t> </w:t>
      </w:r>
      <w:r>
        <w:rPr>
          <w:color w:val="231F20"/>
        </w:rPr>
        <w:t>requieren</w:t>
      </w:r>
      <w:r>
        <w:rPr>
          <w:color w:val="231F20"/>
          <w:spacing w:val="-7"/>
        </w:rPr>
        <w:t> </w:t>
      </w:r>
      <w:r>
        <w:rPr>
          <w:color w:val="231F20"/>
        </w:rPr>
        <w:t>para</w:t>
      </w:r>
      <w:r>
        <w:rPr>
          <w:color w:val="231F20"/>
          <w:spacing w:val="-7"/>
        </w:rPr>
        <w:t> </w:t>
      </w:r>
      <w:r>
        <w:rPr>
          <w:color w:val="231F20"/>
        </w:rPr>
        <w:t>operar el equipo; además, sus aliados extranjeros contribuyen a extender sus mercados en el exterior</w:t>
      </w:r>
      <w:r>
        <w:rPr>
          <w:color w:val="231F20"/>
          <w:spacing w:val="-11"/>
        </w:rPr>
        <w:t> </w:t>
      </w:r>
      <w:r>
        <w:rPr>
          <w:color w:val="231F20"/>
        </w:rPr>
        <w:t>y</w:t>
      </w:r>
      <w:r>
        <w:rPr>
          <w:color w:val="231F20"/>
          <w:spacing w:val="-11"/>
        </w:rPr>
        <w:t> </w:t>
      </w:r>
      <w:r>
        <w:rPr>
          <w:color w:val="231F20"/>
        </w:rPr>
        <w:t>constituyen</w:t>
      </w:r>
      <w:r>
        <w:rPr>
          <w:color w:val="231F20"/>
          <w:spacing w:val="-11"/>
        </w:rPr>
        <w:t> </w:t>
      </w:r>
      <w:r>
        <w:rPr>
          <w:color w:val="231F20"/>
        </w:rPr>
        <w:t>vías</w:t>
      </w:r>
      <w:r>
        <w:rPr>
          <w:color w:val="231F20"/>
          <w:spacing w:val="-11"/>
        </w:rPr>
        <w:t> </w:t>
      </w:r>
      <w:r>
        <w:rPr>
          <w:color w:val="231F20"/>
        </w:rPr>
        <w:t>para</w:t>
      </w:r>
      <w:r>
        <w:rPr>
          <w:color w:val="231F20"/>
          <w:spacing w:val="-11"/>
        </w:rPr>
        <w:t> </w:t>
      </w:r>
      <w:r>
        <w:rPr>
          <w:color w:val="231F20"/>
        </w:rPr>
        <w:t>la</w:t>
      </w:r>
      <w:r>
        <w:rPr>
          <w:color w:val="231F20"/>
          <w:spacing w:val="-11"/>
        </w:rPr>
        <w:t> </w:t>
      </w:r>
      <w:r>
        <w:rPr>
          <w:color w:val="231F20"/>
        </w:rPr>
        <w:t>exportación</w:t>
      </w:r>
      <w:r>
        <w:rPr>
          <w:color w:val="231F20"/>
          <w:spacing w:val="-11"/>
        </w:rPr>
        <w:t> </w:t>
      </w:r>
      <w:r>
        <w:rPr>
          <w:color w:val="231F20"/>
        </w:rPr>
        <w:t>(Pozas,</w:t>
      </w:r>
      <w:r>
        <w:rPr>
          <w:color w:val="231F20"/>
          <w:spacing w:val="-11"/>
        </w:rPr>
        <w:t> </w:t>
      </w:r>
      <w:r>
        <w:rPr>
          <w:color w:val="231F20"/>
        </w:rPr>
        <w:t>2001).</w:t>
      </w:r>
    </w:p>
    <w:p>
      <w:pPr>
        <w:pStyle w:val="BodyText"/>
        <w:spacing w:line="256" w:lineRule="auto" w:before="6"/>
        <w:ind w:left="653" w:right="101" w:firstLine="396"/>
        <w:jc w:val="both"/>
      </w:pPr>
      <w:r>
        <w:rPr>
          <w:color w:val="231F20"/>
          <w:spacing w:val="-5"/>
        </w:rPr>
        <w:t>Un </w:t>
      </w:r>
      <w:r>
        <w:rPr>
          <w:color w:val="231F20"/>
        </w:rPr>
        <w:t>análisis de cadena de valor debe considerar todos los aspectos de producción, distribución</w:t>
      </w:r>
      <w:r>
        <w:rPr>
          <w:color w:val="231F20"/>
          <w:spacing w:val="-8"/>
        </w:rPr>
        <w:t> </w:t>
      </w:r>
      <w:r>
        <w:rPr>
          <w:color w:val="231F20"/>
        </w:rPr>
        <w:t>y</w:t>
      </w:r>
      <w:r>
        <w:rPr>
          <w:color w:val="231F20"/>
          <w:spacing w:val="-8"/>
        </w:rPr>
        <w:t> </w:t>
      </w:r>
      <w:r>
        <w:rPr>
          <w:rFonts w:ascii="Palatino Linotype" w:hAnsi="Palatino Linotype"/>
          <w:i/>
          <w:color w:val="231F20"/>
          <w:spacing w:val="-3"/>
        </w:rPr>
        <w:t>marketing</w:t>
      </w:r>
      <w:r>
        <w:rPr>
          <w:rFonts w:ascii="Palatino Linotype" w:hAnsi="Palatino Linotype"/>
          <w:i/>
          <w:color w:val="231F20"/>
          <w:spacing w:val="-8"/>
        </w:rPr>
        <w:t> </w:t>
      </w:r>
      <w:r>
        <w:rPr>
          <w:color w:val="231F20"/>
        </w:rPr>
        <w:t>hasta</w:t>
      </w:r>
      <w:r>
        <w:rPr>
          <w:color w:val="231F20"/>
          <w:spacing w:val="-8"/>
        </w:rPr>
        <w:t> </w:t>
      </w:r>
      <w:r>
        <w:rPr>
          <w:color w:val="231F20"/>
        </w:rPr>
        <w:t>el</w:t>
      </w:r>
      <w:r>
        <w:rPr>
          <w:color w:val="231F20"/>
          <w:spacing w:val="-8"/>
        </w:rPr>
        <w:t> </w:t>
      </w:r>
      <w:r>
        <w:rPr>
          <w:color w:val="231F20"/>
        </w:rPr>
        <w:t>consumidor</w:t>
      </w:r>
      <w:r>
        <w:rPr>
          <w:color w:val="231F20"/>
          <w:spacing w:val="-8"/>
        </w:rPr>
        <w:t> </w:t>
      </w:r>
      <w:r>
        <w:rPr>
          <w:color w:val="231F20"/>
        </w:rPr>
        <w:t>final,</w:t>
      </w:r>
      <w:r>
        <w:rPr>
          <w:color w:val="231F20"/>
          <w:spacing w:val="-8"/>
        </w:rPr>
        <w:t> </w:t>
      </w:r>
      <w:r>
        <w:rPr>
          <w:color w:val="231F20"/>
        </w:rPr>
        <w:t>tomando</w:t>
      </w:r>
      <w:r>
        <w:rPr>
          <w:color w:val="231F20"/>
          <w:spacing w:val="-8"/>
        </w:rPr>
        <w:t> </w:t>
      </w:r>
      <w:r>
        <w:rPr>
          <w:color w:val="231F20"/>
        </w:rPr>
        <w:t>en</w:t>
      </w:r>
      <w:r>
        <w:rPr>
          <w:color w:val="231F20"/>
          <w:spacing w:val="-8"/>
        </w:rPr>
        <w:t> </w:t>
      </w:r>
      <w:r>
        <w:rPr>
          <w:color w:val="231F20"/>
        </w:rPr>
        <w:t>cuenta</w:t>
      </w:r>
      <w:r>
        <w:rPr>
          <w:color w:val="231F20"/>
          <w:spacing w:val="-8"/>
        </w:rPr>
        <w:t> </w:t>
      </w:r>
      <w:r>
        <w:rPr>
          <w:color w:val="231F20"/>
        </w:rPr>
        <w:t>la</w:t>
      </w:r>
      <w:r>
        <w:rPr>
          <w:color w:val="231F20"/>
          <w:spacing w:val="-8"/>
        </w:rPr>
        <w:t> </w:t>
      </w:r>
      <w:r>
        <w:rPr>
          <w:color w:val="231F20"/>
        </w:rPr>
        <w:t>forma</w:t>
      </w:r>
      <w:r>
        <w:rPr>
          <w:color w:val="231F20"/>
          <w:spacing w:val="-8"/>
        </w:rPr>
        <w:t> </w:t>
      </w:r>
      <w:r>
        <w:rPr>
          <w:color w:val="231F20"/>
        </w:rPr>
        <w:t>en</w:t>
      </w:r>
      <w:r>
        <w:rPr>
          <w:color w:val="231F20"/>
          <w:spacing w:val="-8"/>
        </w:rPr>
        <w:t> </w:t>
      </w:r>
      <w:r>
        <w:rPr>
          <w:color w:val="231F20"/>
        </w:rPr>
        <w:t>que se</w:t>
      </w:r>
      <w:r>
        <w:rPr>
          <w:color w:val="231F20"/>
          <w:spacing w:val="-18"/>
        </w:rPr>
        <w:t> </w:t>
      </w:r>
      <w:r>
        <w:rPr>
          <w:color w:val="231F20"/>
        </w:rPr>
        <w:t>vinculan</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mercado</w:t>
      </w:r>
      <w:r>
        <w:rPr>
          <w:color w:val="231F20"/>
          <w:spacing w:val="-18"/>
        </w:rPr>
        <w:t> </w:t>
      </w:r>
      <w:r>
        <w:rPr>
          <w:color w:val="231F20"/>
        </w:rPr>
        <w:t>global.</w:t>
      </w:r>
      <w:r>
        <w:rPr>
          <w:color w:val="231F20"/>
          <w:spacing w:val="-18"/>
        </w:rPr>
        <w:t> </w:t>
      </w:r>
      <w:r>
        <w:rPr>
          <w:color w:val="231F20"/>
        </w:rPr>
        <w:t>Gereffi</w:t>
      </w:r>
      <w:r>
        <w:rPr>
          <w:color w:val="231F20"/>
          <w:spacing w:val="-18"/>
        </w:rPr>
        <w:t> </w:t>
      </w:r>
      <w:r>
        <w:rPr>
          <w:rFonts w:ascii="Palatino Linotype" w:hAnsi="Palatino Linotype"/>
          <w:i/>
          <w:color w:val="231F20"/>
        </w:rPr>
        <w:t>et</w:t>
      </w:r>
      <w:r>
        <w:rPr>
          <w:rFonts w:ascii="Palatino Linotype" w:hAnsi="Palatino Linotype"/>
          <w:i/>
          <w:color w:val="231F20"/>
          <w:spacing w:val="-18"/>
        </w:rPr>
        <w:t> </w:t>
      </w:r>
      <w:r>
        <w:rPr>
          <w:rFonts w:ascii="Palatino Linotype" w:hAnsi="Palatino Linotype"/>
          <w:i/>
          <w:color w:val="231F20"/>
        </w:rPr>
        <w:t>al</w:t>
      </w:r>
      <w:r>
        <w:rPr>
          <w:color w:val="231F20"/>
        </w:rPr>
        <w:t>.</w:t>
      </w:r>
      <w:r>
        <w:rPr>
          <w:color w:val="231F20"/>
          <w:spacing w:val="-18"/>
        </w:rPr>
        <w:t> </w:t>
      </w:r>
      <w:r>
        <w:rPr>
          <w:color w:val="231F20"/>
        </w:rPr>
        <w:t>(2001)</w:t>
      </w:r>
      <w:r>
        <w:rPr>
          <w:color w:val="231F20"/>
          <w:spacing w:val="-18"/>
        </w:rPr>
        <w:t> </w:t>
      </w:r>
      <w:r>
        <w:rPr>
          <w:color w:val="231F20"/>
        </w:rPr>
        <w:t>identifican</w:t>
      </w:r>
      <w:r>
        <w:rPr>
          <w:color w:val="231F20"/>
          <w:spacing w:val="-18"/>
        </w:rPr>
        <w:t> </w:t>
      </w:r>
      <w:r>
        <w:rPr>
          <w:color w:val="231F20"/>
        </w:rPr>
        <w:t>cinco</w:t>
      </w:r>
      <w:r>
        <w:rPr>
          <w:color w:val="231F20"/>
          <w:spacing w:val="-18"/>
        </w:rPr>
        <w:t> </w:t>
      </w:r>
      <w:r>
        <w:rPr>
          <w:color w:val="231F20"/>
        </w:rPr>
        <w:t>etapas</w:t>
      </w:r>
      <w:r>
        <w:rPr>
          <w:color w:val="231F20"/>
          <w:spacing w:val="-18"/>
        </w:rPr>
        <w:t> </w:t>
      </w:r>
      <w:r>
        <w:rPr>
          <w:color w:val="231F20"/>
        </w:rPr>
        <w:t>sucesivas en una cadena mercantil global: adquisición de insumos, manufactura, distribución, comercialización y consumo. Cada una de estas etapas considera cuatro</w:t>
      </w:r>
      <w:r>
        <w:rPr>
          <w:color w:val="231F20"/>
          <w:spacing w:val="36"/>
        </w:rPr>
        <w:t> </w:t>
      </w:r>
      <w:r>
        <w:rPr>
          <w:color w:val="231F20"/>
        </w:rPr>
        <w:t>propiedades:</w:t>
      </w:r>
    </w:p>
    <w:p>
      <w:pPr>
        <w:pStyle w:val="BodyText"/>
        <w:spacing w:line="278" w:lineRule="auto" w:before="22"/>
        <w:ind w:left="653" w:right="101"/>
        <w:jc w:val="both"/>
      </w:pPr>
      <w:r>
        <w:rPr>
          <w:color w:val="231F20"/>
        </w:rPr>
        <w:t>la relación de los flujos entre una etapa y otra; las relaciones de la producción y las características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laboral</w:t>
      </w:r>
      <w:r>
        <w:rPr>
          <w:color w:val="231F20"/>
          <w:spacing w:val="-7"/>
        </w:rPr>
        <w:t> </w:t>
      </w:r>
      <w:r>
        <w:rPr>
          <w:color w:val="231F20"/>
        </w:rPr>
        <w:t>empleada;</w:t>
      </w:r>
      <w:r>
        <w:rPr>
          <w:color w:val="231F20"/>
          <w:spacing w:val="-7"/>
        </w:rPr>
        <w:t> </w:t>
      </w:r>
      <w:r>
        <w:rPr>
          <w:color w:val="231F20"/>
        </w:rPr>
        <w:t>la</w:t>
      </w:r>
      <w:r>
        <w:rPr>
          <w:color w:val="231F20"/>
          <w:spacing w:val="-7"/>
        </w:rPr>
        <w:t> </w:t>
      </w:r>
      <w:r>
        <w:rPr>
          <w:color w:val="231F20"/>
        </w:rPr>
        <w:t>organización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y</w:t>
      </w:r>
      <w:r>
        <w:rPr>
          <w:color w:val="231F20"/>
          <w:spacing w:val="-7"/>
        </w:rPr>
        <w:t> </w:t>
      </w:r>
      <w:r>
        <w:rPr>
          <w:color w:val="231F20"/>
        </w:rPr>
        <w:t>la</w:t>
      </w:r>
      <w:r>
        <w:rPr>
          <w:color w:val="231F20"/>
          <w:spacing w:val="-7"/>
        </w:rPr>
        <w:t> </w:t>
      </w:r>
      <w:r>
        <w:rPr>
          <w:color w:val="231F20"/>
        </w:rPr>
        <w:t>lo- calización</w:t>
      </w:r>
      <w:r>
        <w:rPr>
          <w:color w:val="231F20"/>
          <w:spacing w:val="-14"/>
        </w:rPr>
        <w:t> </w:t>
      </w:r>
      <w:r>
        <w:rPr>
          <w:color w:val="231F20"/>
        </w:rPr>
        <w:t>geográfica</w:t>
      </w:r>
      <w:r>
        <w:rPr>
          <w:color w:val="231F20"/>
          <w:spacing w:val="-14"/>
        </w:rPr>
        <w:t> </w:t>
      </w:r>
      <w:r>
        <w:rPr>
          <w:color w:val="231F20"/>
        </w:rPr>
        <w:t>de</w:t>
      </w:r>
      <w:r>
        <w:rPr>
          <w:color w:val="231F20"/>
          <w:spacing w:val="-14"/>
        </w:rPr>
        <w:t> </w:t>
      </w:r>
      <w:r>
        <w:rPr>
          <w:color w:val="231F20"/>
        </w:rPr>
        <w:t>cada</w:t>
      </w:r>
      <w:r>
        <w:rPr>
          <w:color w:val="231F20"/>
          <w:spacing w:val="-14"/>
        </w:rPr>
        <w:t> </w:t>
      </w:r>
      <w:r>
        <w:rPr>
          <w:color w:val="231F20"/>
        </w:rPr>
        <w:t>etapa.</w:t>
      </w:r>
      <w:r>
        <w:rPr>
          <w:color w:val="231F20"/>
          <w:spacing w:val="-14"/>
        </w:rPr>
        <w:t> </w:t>
      </w:r>
      <w:r>
        <w:rPr>
          <w:color w:val="231F20"/>
        </w:rPr>
        <w:t>La</w:t>
      </w:r>
      <w:r>
        <w:rPr>
          <w:color w:val="231F20"/>
          <w:spacing w:val="-14"/>
        </w:rPr>
        <w:t> </w:t>
      </w:r>
      <w:r>
        <w:rPr>
          <w:color w:val="231F20"/>
        </w:rPr>
        <w:t>meta</w:t>
      </w:r>
      <w:r>
        <w:rPr>
          <w:color w:val="231F20"/>
          <w:spacing w:val="-14"/>
        </w:rPr>
        <w:t> </w:t>
      </w:r>
      <w:r>
        <w:rPr>
          <w:color w:val="231F20"/>
        </w:rPr>
        <w:t>principal</w:t>
      </w:r>
      <w:r>
        <w:rPr>
          <w:color w:val="231F20"/>
          <w:spacing w:val="-14"/>
        </w:rPr>
        <w:t> </w:t>
      </w:r>
      <w:r>
        <w:rPr>
          <w:color w:val="231F20"/>
        </w:rPr>
        <w:t>del</w:t>
      </w:r>
      <w:r>
        <w:rPr>
          <w:color w:val="231F20"/>
          <w:spacing w:val="-14"/>
        </w:rPr>
        <w:t> </w:t>
      </w:r>
      <w:r>
        <w:rPr>
          <w:color w:val="231F20"/>
        </w:rPr>
        <w:t>análisis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cadena</w:t>
      </w:r>
      <w:r>
        <w:rPr>
          <w:color w:val="231F20"/>
          <w:spacing w:val="-14"/>
        </w:rPr>
        <w:t> </w:t>
      </w:r>
      <w:r>
        <w:rPr>
          <w:color w:val="231F20"/>
        </w:rPr>
        <w:t>de</w:t>
      </w:r>
      <w:r>
        <w:rPr>
          <w:color w:val="231F20"/>
          <w:spacing w:val="-14"/>
        </w:rPr>
        <w:t> </w:t>
      </w:r>
      <w:r>
        <w:rPr>
          <w:color w:val="231F20"/>
        </w:rPr>
        <w:t>valor es</w:t>
      </w:r>
      <w:r>
        <w:rPr>
          <w:color w:val="231F20"/>
          <w:spacing w:val="-11"/>
        </w:rPr>
        <w:t> </w:t>
      </w:r>
      <w:r>
        <w:rPr>
          <w:color w:val="231F20"/>
        </w:rPr>
        <w:t>determinar</w:t>
      </w:r>
      <w:r>
        <w:rPr>
          <w:color w:val="231F20"/>
          <w:spacing w:val="-11"/>
        </w:rPr>
        <w:t> </w:t>
      </w:r>
      <w:r>
        <w:rPr>
          <w:color w:val="231F20"/>
        </w:rPr>
        <w:t>la</w:t>
      </w:r>
      <w:r>
        <w:rPr>
          <w:color w:val="231F20"/>
          <w:spacing w:val="-11"/>
        </w:rPr>
        <w:t> </w:t>
      </w:r>
      <w:r>
        <w:rPr>
          <w:color w:val="231F20"/>
        </w:rPr>
        <w:t>distribución</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excedentes</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trabajo</w:t>
      </w:r>
      <w:r>
        <w:rPr>
          <w:color w:val="231F20"/>
          <w:spacing w:val="-11"/>
        </w:rPr>
        <w:t> </w:t>
      </w:r>
      <w:r>
        <w:rPr>
          <w:color w:val="231F20"/>
        </w:rPr>
        <w:t>entre</w:t>
      </w:r>
      <w:r>
        <w:rPr>
          <w:color w:val="231F20"/>
          <w:spacing w:val="-11"/>
        </w:rPr>
        <w:t> </w:t>
      </w:r>
      <w:r>
        <w:rPr>
          <w:color w:val="231F20"/>
        </w:rPr>
        <w:t>cada</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etapas.</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4"/>
      </w:pPr>
    </w:p>
    <w:p>
      <w:pPr>
        <w:pStyle w:val="Heading3"/>
        <w:numPr>
          <w:ilvl w:val="1"/>
          <w:numId w:val="10"/>
        </w:numPr>
        <w:tabs>
          <w:tab w:pos="538" w:val="left" w:leader="none"/>
        </w:tabs>
        <w:spacing w:line="240" w:lineRule="auto" w:before="26" w:after="0"/>
        <w:ind w:left="537" w:right="0" w:hanging="414"/>
        <w:jc w:val="both"/>
      </w:pPr>
      <w:r>
        <w:rPr>
          <w:color w:val="231F20"/>
          <w:w w:val="95"/>
        </w:rPr>
        <w:t>Cadena</w:t>
      </w:r>
      <w:r>
        <w:rPr>
          <w:color w:val="231F20"/>
          <w:spacing w:val="-29"/>
          <w:w w:val="95"/>
        </w:rPr>
        <w:t> </w:t>
      </w:r>
      <w:r>
        <w:rPr>
          <w:color w:val="231F20"/>
          <w:w w:val="95"/>
        </w:rPr>
        <w:t>de</w:t>
      </w:r>
      <w:r>
        <w:rPr>
          <w:color w:val="231F20"/>
          <w:spacing w:val="-29"/>
          <w:w w:val="95"/>
        </w:rPr>
        <w:t> </w:t>
      </w:r>
      <w:r>
        <w:rPr>
          <w:color w:val="231F20"/>
          <w:w w:val="95"/>
        </w:rPr>
        <w:t>valor</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industria</w:t>
      </w:r>
      <w:r>
        <w:rPr>
          <w:color w:val="231F20"/>
          <w:spacing w:val="-29"/>
          <w:w w:val="95"/>
        </w:rPr>
        <w:t> </w:t>
      </w:r>
      <w:r>
        <w:rPr>
          <w:color w:val="231F20"/>
          <w:w w:val="95"/>
        </w:rPr>
        <w:t>automotriz</w:t>
      </w:r>
    </w:p>
    <w:p>
      <w:pPr>
        <w:pStyle w:val="BodyText"/>
        <w:spacing w:line="278" w:lineRule="auto" w:before="125"/>
        <w:ind w:left="123" w:right="652"/>
        <w:jc w:val="both"/>
      </w:pPr>
      <w:r>
        <w:rPr>
          <w:color w:val="231F20"/>
        </w:rPr>
        <w:t>La cadena de suministros de la industria automotriz es una de las más amplias y di- versificadas a nivel mundial; por ello es también una de las más complicadas cuando se trata de analizar las relaciones que se presentan entre las empresas ensambladoras y las proveedoras de autopartes. Brunnermeier y Martin (1999) señalan que en la ac- tualidad</w:t>
      </w:r>
      <w:r>
        <w:rPr>
          <w:color w:val="231F20"/>
          <w:spacing w:val="-8"/>
        </w:rPr>
        <w:t> </w:t>
      </w:r>
      <w:r>
        <w:rPr>
          <w:color w:val="231F20"/>
        </w:rPr>
        <w:t>un</w:t>
      </w:r>
      <w:r>
        <w:rPr>
          <w:color w:val="231F20"/>
          <w:spacing w:val="-8"/>
        </w:rPr>
        <w:t> </w:t>
      </w:r>
      <w:r>
        <w:rPr>
          <w:color w:val="231F20"/>
        </w:rPr>
        <w:t>automóvil</w:t>
      </w:r>
      <w:r>
        <w:rPr>
          <w:color w:val="231F20"/>
          <w:spacing w:val="-8"/>
        </w:rPr>
        <w:t> </w:t>
      </w:r>
      <w:r>
        <w:rPr>
          <w:color w:val="231F20"/>
        </w:rPr>
        <w:t>se</w:t>
      </w:r>
      <w:r>
        <w:rPr>
          <w:color w:val="231F20"/>
          <w:spacing w:val="-8"/>
        </w:rPr>
        <w:t> </w:t>
      </w:r>
      <w:r>
        <w:rPr>
          <w:color w:val="231F20"/>
        </w:rPr>
        <w:t>compone</w:t>
      </w:r>
      <w:r>
        <w:rPr>
          <w:color w:val="231F20"/>
          <w:spacing w:val="-8"/>
        </w:rPr>
        <w:t> </w:t>
      </w:r>
      <w:r>
        <w:rPr>
          <w:color w:val="231F20"/>
        </w:rPr>
        <w:t>de</w:t>
      </w:r>
      <w:r>
        <w:rPr>
          <w:color w:val="231F20"/>
          <w:spacing w:val="-8"/>
        </w:rPr>
        <w:t> </w:t>
      </w:r>
      <w:r>
        <w:rPr>
          <w:color w:val="231F20"/>
        </w:rPr>
        <w:t>aproximadamente</w:t>
      </w:r>
      <w:r>
        <w:rPr>
          <w:color w:val="231F20"/>
          <w:spacing w:val="-8"/>
        </w:rPr>
        <w:t> </w:t>
      </w:r>
      <w:r>
        <w:rPr>
          <w:color w:val="231F20"/>
        </w:rPr>
        <w:t>15</w:t>
      </w:r>
      <w:r>
        <w:rPr>
          <w:color w:val="231F20"/>
          <w:spacing w:val="-8"/>
        </w:rPr>
        <w:t> </w:t>
      </w:r>
      <w:r>
        <w:rPr>
          <w:color w:val="231F20"/>
        </w:rPr>
        <w:t>mil</w:t>
      </w:r>
      <w:r>
        <w:rPr>
          <w:color w:val="231F20"/>
          <w:spacing w:val="-8"/>
        </w:rPr>
        <w:t> </w:t>
      </w:r>
      <w:r>
        <w:rPr>
          <w:color w:val="231F20"/>
        </w:rPr>
        <w:t>partes,</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cuales</w:t>
      </w:r>
      <w:r>
        <w:rPr>
          <w:color w:val="231F20"/>
          <w:spacing w:val="-8"/>
        </w:rPr>
        <w:t> </w:t>
      </w:r>
      <w:r>
        <w:rPr>
          <w:color w:val="231F20"/>
        </w:rPr>
        <w:t>un fabricante</w:t>
      </w:r>
      <w:r>
        <w:rPr>
          <w:color w:val="231F20"/>
          <w:spacing w:val="-14"/>
        </w:rPr>
        <w:t> </w:t>
      </w:r>
      <w:r>
        <w:rPr>
          <w:color w:val="231F20"/>
        </w:rPr>
        <w:t>de</w:t>
      </w:r>
      <w:r>
        <w:rPr>
          <w:color w:val="231F20"/>
          <w:spacing w:val="-14"/>
        </w:rPr>
        <w:t> </w:t>
      </w:r>
      <w:r>
        <w:rPr>
          <w:color w:val="231F20"/>
        </w:rPr>
        <w:t>automóviles</w:t>
      </w:r>
      <w:r>
        <w:rPr>
          <w:color w:val="231F20"/>
          <w:spacing w:val="-14"/>
        </w:rPr>
        <w:t> </w:t>
      </w:r>
      <w:r>
        <w:rPr>
          <w:color w:val="231F20"/>
        </w:rPr>
        <w:t>normalmente</w:t>
      </w:r>
      <w:r>
        <w:rPr>
          <w:color w:val="231F20"/>
          <w:spacing w:val="-14"/>
        </w:rPr>
        <w:t> </w:t>
      </w:r>
      <w:r>
        <w:rPr>
          <w:color w:val="231F20"/>
        </w:rPr>
        <w:t>diseña</w:t>
      </w:r>
      <w:r>
        <w:rPr>
          <w:color w:val="231F20"/>
          <w:spacing w:val="-14"/>
        </w:rPr>
        <w:t> </w:t>
      </w:r>
      <w:r>
        <w:rPr>
          <w:color w:val="231F20"/>
        </w:rPr>
        <w:t>y</w:t>
      </w:r>
      <w:r>
        <w:rPr>
          <w:color w:val="231F20"/>
          <w:spacing w:val="-14"/>
        </w:rPr>
        <w:t> </w:t>
      </w:r>
      <w:r>
        <w:rPr>
          <w:color w:val="231F20"/>
        </w:rPr>
        <w:t>produce</w:t>
      </w:r>
      <w:r>
        <w:rPr>
          <w:color w:val="231F20"/>
          <w:spacing w:val="-14"/>
        </w:rPr>
        <w:t> </w:t>
      </w:r>
      <w:r>
        <w:rPr>
          <w:color w:val="231F20"/>
        </w:rPr>
        <w:t>sólo</w:t>
      </w:r>
      <w:r>
        <w:rPr>
          <w:color w:val="231F20"/>
          <w:spacing w:val="-14"/>
        </w:rPr>
        <w:t> </w:t>
      </w:r>
      <w:r>
        <w:rPr>
          <w:color w:val="231F20"/>
        </w:rPr>
        <w:t>algunas;</w:t>
      </w:r>
      <w:r>
        <w:rPr>
          <w:color w:val="231F20"/>
          <w:spacing w:val="-14"/>
        </w:rPr>
        <w:t> </w:t>
      </w:r>
      <w:r>
        <w:rPr>
          <w:color w:val="231F20"/>
        </w:rPr>
        <w:t>la</w:t>
      </w:r>
      <w:r>
        <w:rPr>
          <w:color w:val="231F20"/>
          <w:spacing w:val="-14"/>
        </w:rPr>
        <w:t> </w:t>
      </w:r>
      <w:r>
        <w:rPr>
          <w:color w:val="231F20"/>
        </w:rPr>
        <w:t>gran</w:t>
      </w:r>
      <w:r>
        <w:rPr>
          <w:color w:val="231F20"/>
          <w:spacing w:val="-14"/>
        </w:rPr>
        <w:t> </w:t>
      </w:r>
      <w:r>
        <w:rPr>
          <w:color w:val="231F20"/>
        </w:rPr>
        <w:t>mayoría son</w:t>
      </w:r>
      <w:r>
        <w:rPr>
          <w:color w:val="231F20"/>
          <w:spacing w:val="-10"/>
        </w:rPr>
        <w:t> </w:t>
      </w:r>
      <w:r>
        <w:rPr>
          <w:color w:val="231F20"/>
        </w:rPr>
        <w:t>suministradas</w:t>
      </w:r>
      <w:r>
        <w:rPr>
          <w:color w:val="231F20"/>
          <w:spacing w:val="-10"/>
        </w:rPr>
        <w:t> </w:t>
      </w:r>
      <w:r>
        <w:rPr>
          <w:color w:val="231F20"/>
        </w:rPr>
        <w:t>por</w:t>
      </w:r>
      <w:r>
        <w:rPr>
          <w:color w:val="231F20"/>
          <w:spacing w:val="-10"/>
        </w:rPr>
        <w:t> </w:t>
      </w:r>
      <w:r>
        <w:rPr>
          <w:color w:val="231F20"/>
        </w:rPr>
        <w:t>sus</w:t>
      </w:r>
      <w:r>
        <w:rPr>
          <w:color w:val="231F20"/>
          <w:spacing w:val="-10"/>
        </w:rPr>
        <w:t> </w:t>
      </w:r>
      <w:r>
        <w:rPr>
          <w:color w:val="231F20"/>
        </w:rPr>
        <w:t>proveedores</w:t>
      </w:r>
      <w:r>
        <w:rPr>
          <w:color w:val="231F20"/>
          <w:spacing w:val="-10"/>
        </w:rPr>
        <w:t> </w:t>
      </w:r>
      <w:r>
        <w:rPr>
          <w:color w:val="231F20"/>
        </w:rPr>
        <w:t>directos,</w:t>
      </w:r>
      <w:r>
        <w:rPr>
          <w:color w:val="231F20"/>
          <w:spacing w:val="-10"/>
        </w:rPr>
        <w:t> </w:t>
      </w:r>
      <w:r>
        <w:rPr>
          <w:color w:val="231F20"/>
        </w:rPr>
        <w:t>los</w:t>
      </w:r>
      <w:r>
        <w:rPr>
          <w:color w:val="231F20"/>
          <w:spacing w:val="-10"/>
        </w:rPr>
        <w:t> </w:t>
      </w:r>
      <w:r>
        <w:rPr>
          <w:color w:val="231F20"/>
        </w:rPr>
        <w:t>cuales</w:t>
      </w:r>
      <w:r>
        <w:rPr>
          <w:color w:val="231F20"/>
          <w:spacing w:val="-10"/>
        </w:rPr>
        <w:t> </w:t>
      </w:r>
      <w:r>
        <w:rPr>
          <w:color w:val="231F20"/>
        </w:rPr>
        <w:t>a</w:t>
      </w:r>
      <w:r>
        <w:rPr>
          <w:color w:val="231F20"/>
          <w:spacing w:val="-10"/>
        </w:rPr>
        <w:t> </w:t>
      </w:r>
      <w:r>
        <w:rPr>
          <w:color w:val="231F20"/>
        </w:rPr>
        <w:t>su</w:t>
      </w:r>
      <w:r>
        <w:rPr>
          <w:color w:val="231F20"/>
          <w:spacing w:val="-10"/>
        </w:rPr>
        <w:t> </w:t>
      </w:r>
      <w:r>
        <w:rPr>
          <w:color w:val="231F20"/>
        </w:rPr>
        <w:t>vez</w:t>
      </w:r>
      <w:r>
        <w:rPr>
          <w:color w:val="231F20"/>
          <w:spacing w:val="-10"/>
        </w:rPr>
        <w:t> </w:t>
      </w:r>
      <w:r>
        <w:rPr>
          <w:color w:val="231F20"/>
        </w:rPr>
        <w:t>son</w:t>
      </w:r>
      <w:r>
        <w:rPr>
          <w:color w:val="231F20"/>
          <w:spacing w:val="-10"/>
        </w:rPr>
        <w:t> </w:t>
      </w:r>
      <w:r>
        <w:rPr>
          <w:color w:val="231F20"/>
        </w:rPr>
        <w:t>abastecidos</w:t>
      </w:r>
      <w:r>
        <w:rPr>
          <w:color w:val="231F20"/>
          <w:spacing w:val="-10"/>
        </w:rPr>
        <w:t> </w:t>
      </w:r>
      <w:r>
        <w:rPr>
          <w:color w:val="231F20"/>
        </w:rPr>
        <w:t>por otros</w:t>
      </w:r>
      <w:r>
        <w:rPr>
          <w:color w:val="231F20"/>
          <w:spacing w:val="-18"/>
        </w:rPr>
        <w:t> </w:t>
      </w:r>
      <w:r>
        <w:rPr>
          <w:color w:val="231F20"/>
        </w:rPr>
        <w:t>subproveedores,</w:t>
      </w:r>
      <w:r>
        <w:rPr>
          <w:color w:val="231F20"/>
          <w:spacing w:val="-18"/>
        </w:rPr>
        <w:t> </w:t>
      </w:r>
      <w:r>
        <w:rPr>
          <w:color w:val="231F20"/>
        </w:rPr>
        <w:t>y</w:t>
      </w:r>
      <w:r>
        <w:rPr>
          <w:color w:val="231F20"/>
          <w:spacing w:val="-18"/>
        </w:rPr>
        <w:t> </w:t>
      </w:r>
      <w:r>
        <w:rPr>
          <w:color w:val="231F20"/>
        </w:rPr>
        <w:t>así</w:t>
      </w:r>
      <w:r>
        <w:rPr>
          <w:color w:val="231F20"/>
          <w:spacing w:val="-18"/>
        </w:rPr>
        <w:t> </w:t>
      </w:r>
      <w:r>
        <w:rPr>
          <w:color w:val="231F20"/>
        </w:rPr>
        <w:t>sucesivamente.</w:t>
      </w:r>
    </w:p>
    <w:p>
      <w:pPr>
        <w:pStyle w:val="BodyText"/>
        <w:spacing w:line="278" w:lineRule="auto" w:before="1"/>
        <w:ind w:left="123" w:right="652" w:firstLine="396"/>
        <w:jc w:val="both"/>
      </w:pPr>
      <w:r>
        <w:rPr>
          <w:color w:val="231F20"/>
        </w:rPr>
        <w:t>La</w:t>
      </w:r>
      <w:r>
        <w:rPr>
          <w:color w:val="231F20"/>
          <w:spacing w:val="-15"/>
        </w:rPr>
        <w:t> </w:t>
      </w:r>
      <w:r>
        <w:rPr>
          <w:color w:val="231F20"/>
        </w:rPr>
        <w:t>cadena</w:t>
      </w:r>
      <w:r>
        <w:rPr>
          <w:color w:val="231F20"/>
          <w:spacing w:val="-15"/>
        </w:rPr>
        <w:t> </w:t>
      </w:r>
      <w:r>
        <w:rPr>
          <w:color w:val="231F20"/>
        </w:rPr>
        <w:t>automotriz-autopartes</w:t>
      </w:r>
      <w:r>
        <w:rPr>
          <w:color w:val="231F20"/>
          <w:spacing w:val="-15"/>
        </w:rPr>
        <w:t> </w:t>
      </w:r>
      <w:r>
        <w:rPr>
          <w:color w:val="231F20"/>
        </w:rPr>
        <w:t>se</w:t>
      </w:r>
      <w:r>
        <w:rPr>
          <w:color w:val="231F20"/>
          <w:spacing w:val="-15"/>
        </w:rPr>
        <w:t> </w:t>
      </w:r>
      <w:r>
        <w:rPr>
          <w:color w:val="231F20"/>
        </w:rPr>
        <w:t>enmarca</w:t>
      </w:r>
      <w:r>
        <w:rPr>
          <w:color w:val="231F20"/>
          <w:spacing w:val="-15"/>
        </w:rPr>
        <w:t> </w:t>
      </w:r>
      <w:r>
        <w:rPr>
          <w:color w:val="231F20"/>
        </w:rPr>
        <w:t>dentro</w:t>
      </w:r>
      <w:r>
        <w:rPr>
          <w:color w:val="231F20"/>
          <w:spacing w:val="-15"/>
        </w:rPr>
        <w:t> </w:t>
      </w:r>
      <w:r>
        <w:rPr>
          <w:color w:val="231F20"/>
        </w:rPr>
        <w:t>de</w:t>
      </w:r>
      <w:r>
        <w:rPr>
          <w:color w:val="231F20"/>
          <w:spacing w:val="-15"/>
        </w:rPr>
        <w:t> </w:t>
      </w:r>
      <w:r>
        <w:rPr>
          <w:color w:val="231F20"/>
        </w:rPr>
        <w:t>lo</w:t>
      </w:r>
      <w:r>
        <w:rPr>
          <w:color w:val="231F20"/>
          <w:spacing w:val="-15"/>
        </w:rPr>
        <w:t> </w:t>
      </w:r>
      <w:r>
        <w:rPr>
          <w:color w:val="231F20"/>
        </w:rPr>
        <w:t>que</w:t>
      </w:r>
      <w:r>
        <w:rPr>
          <w:color w:val="231F20"/>
          <w:spacing w:val="-15"/>
        </w:rPr>
        <w:t> </w:t>
      </w:r>
      <w:r>
        <w:rPr>
          <w:color w:val="231F20"/>
        </w:rPr>
        <w:t>Gereffi</w:t>
      </w:r>
      <w:r>
        <w:rPr>
          <w:color w:val="231F20"/>
          <w:spacing w:val="-15"/>
        </w:rPr>
        <w:t> </w:t>
      </w:r>
      <w:r>
        <w:rPr>
          <w:color w:val="231F20"/>
        </w:rPr>
        <w:t>(1999)</w:t>
      </w:r>
      <w:r>
        <w:rPr>
          <w:color w:val="231F20"/>
          <w:spacing w:val="-15"/>
        </w:rPr>
        <w:t> </w:t>
      </w:r>
      <w:r>
        <w:rPr>
          <w:color w:val="231F20"/>
        </w:rPr>
        <w:t>llama cadenas productivas dirigidas por los productores. Las grandes ensambladoras trans- nacionales</w:t>
      </w:r>
      <w:r>
        <w:rPr>
          <w:color w:val="231F20"/>
          <w:spacing w:val="-4"/>
        </w:rPr>
        <w:t> </w:t>
      </w:r>
      <w:r>
        <w:rPr>
          <w:color w:val="231F20"/>
        </w:rPr>
        <w:t>juegan</w:t>
      </w:r>
      <w:r>
        <w:rPr>
          <w:color w:val="231F20"/>
          <w:spacing w:val="-4"/>
        </w:rPr>
        <w:t> </w:t>
      </w:r>
      <w:r>
        <w:rPr>
          <w:color w:val="231F20"/>
        </w:rPr>
        <w:t>los</w:t>
      </w:r>
      <w:r>
        <w:rPr>
          <w:color w:val="231F20"/>
          <w:spacing w:val="-4"/>
        </w:rPr>
        <w:t> </w:t>
      </w:r>
      <w:r>
        <w:rPr>
          <w:color w:val="231F20"/>
        </w:rPr>
        <w:t>papeles</w:t>
      </w:r>
      <w:r>
        <w:rPr>
          <w:color w:val="231F20"/>
          <w:spacing w:val="-4"/>
        </w:rPr>
        <w:t> </w:t>
      </w:r>
      <w:r>
        <w:rPr>
          <w:color w:val="231F20"/>
        </w:rPr>
        <w:t>centrales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coordinación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redes</w:t>
      </w:r>
      <w:r>
        <w:rPr>
          <w:color w:val="231F20"/>
          <w:spacing w:val="-4"/>
        </w:rPr>
        <w:t> </w:t>
      </w:r>
      <w:r>
        <w:rPr>
          <w:color w:val="231F20"/>
        </w:rPr>
        <w:t>de</w:t>
      </w:r>
      <w:r>
        <w:rPr>
          <w:color w:val="231F20"/>
          <w:spacing w:val="-4"/>
        </w:rPr>
        <w:t> </w:t>
      </w:r>
      <w:r>
        <w:rPr>
          <w:color w:val="231F20"/>
        </w:rPr>
        <w:t>producción; dirigen la cadena y coordinan los eslabonamientos hacia atrás y hacia delante; orga- nizan la cadena de proveedores; y determinan el precio, la cantidad y la calidad de las mercancías</w:t>
      </w:r>
      <w:r>
        <w:rPr>
          <w:color w:val="231F20"/>
          <w:spacing w:val="-10"/>
        </w:rPr>
        <w:t> </w:t>
      </w:r>
      <w:r>
        <w:rPr>
          <w:color w:val="231F20"/>
        </w:rPr>
        <w:t>y</w:t>
      </w:r>
      <w:r>
        <w:rPr>
          <w:color w:val="231F20"/>
          <w:spacing w:val="-10"/>
        </w:rPr>
        <w:t> </w:t>
      </w:r>
      <w:r>
        <w:rPr>
          <w:color w:val="231F20"/>
        </w:rPr>
        <w:t>componentes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producen</w:t>
      </w:r>
      <w:r>
        <w:rPr>
          <w:color w:val="231F20"/>
          <w:spacing w:val="-10"/>
        </w:rPr>
        <w:t> </w:t>
      </w:r>
      <w:r>
        <w:rPr>
          <w:color w:val="231F20"/>
        </w:rPr>
        <w:t>y</w:t>
      </w:r>
      <w:r>
        <w:rPr>
          <w:color w:val="231F20"/>
          <w:spacing w:val="-10"/>
        </w:rPr>
        <w:t> </w:t>
      </w:r>
      <w:r>
        <w:rPr>
          <w:color w:val="231F20"/>
        </w:rPr>
        <w:t>circulan</w:t>
      </w:r>
      <w:r>
        <w:rPr>
          <w:color w:val="231F20"/>
          <w:spacing w:val="-10"/>
        </w:rPr>
        <w:t> </w:t>
      </w:r>
      <w:r>
        <w:rPr>
          <w:color w:val="231F20"/>
        </w:rPr>
        <w:t>a</w:t>
      </w:r>
      <w:r>
        <w:rPr>
          <w:color w:val="231F20"/>
          <w:spacing w:val="-10"/>
        </w:rPr>
        <w:t> </w:t>
      </w:r>
      <w:r>
        <w:rPr>
          <w:color w:val="231F20"/>
        </w:rPr>
        <w:t>lo</w:t>
      </w:r>
      <w:r>
        <w:rPr>
          <w:color w:val="231F20"/>
          <w:spacing w:val="-10"/>
        </w:rPr>
        <w:t> </w:t>
      </w:r>
      <w:r>
        <w:rPr>
          <w:color w:val="231F20"/>
        </w:rPr>
        <w:t>largo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cadena.</w:t>
      </w:r>
      <w:r>
        <w:rPr>
          <w:color w:val="231F20"/>
          <w:spacing w:val="-10"/>
        </w:rPr>
        <w:t> </w:t>
      </w:r>
      <w:r>
        <w:rPr>
          <w:color w:val="231F20"/>
        </w:rPr>
        <w:t>Es</w:t>
      </w:r>
      <w:r>
        <w:rPr>
          <w:color w:val="231F20"/>
          <w:spacing w:val="-10"/>
        </w:rPr>
        <w:t> </w:t>
      </w:r>
      <w:r>
        <w:rPr>
          <w:color w:val="231F20"/>
          <w:spacing w:val="-3"/>
        </w:rPr>
        <w:t>decir, </w:t>
      </w:r>
      <w:r>
        <w:rPr>
          <w:color w:val="231F20"/>
        </w:rPr>
        <w:t>gobiernan la cadena productiva, junto con algunas empresas productoras de partes de primer</w:t>
      </w:r>
      <w:r>
        <w:rPr>
          <w:color w:val="231F20"/>
          <w:spacing w:val="-6"/>
        </w:rPr>
        <w:t> </w:t>
      </w:r>
      <w:r>
        <w:rPr>
          <w:color w:val="231F20"/>
        </w:rPr>
        <w:t>nivel.</w:t>
      </w:r>
    </w:p>
    <w:p>
      <w:pPr>
        <w:pStyle w:val="BodyText"/>
        <w:spacing w:line="278" w:lineRule="auto" w:before="1"/>
        <w:ind w:left="123" w:right="650" w:firstLine="396"/>
        <w:jc w:val="both"/>
      </w:pPr>
      <w:r>
        <w:rPr>
          <w:color w:val="231F20"/>
        </w:rPr>
        <w:t>En</w:t>
      </w:r>
      <w:r>
        <w:rPr>
          <w:color w:val="231F20"/>
          <w:spacing w:val="-19"/>
        </w:rPr>
        <w:t> </w:t>
      </w:r>
      <w:r>
        <w:rPr>
          <w:color w:val="231F20"/>
        </w:rPr>
        <w:t>este</w:t>
      </w:r>
      <w:r>
        <w:rPr>
          <w:color w:val="231F20"/>
          <w:spacing w:val="-19"/>
        </w:rPr>
        <w:t> </w:t>
      </w:r>
      <w:r>
        <w:rPr>
          <w:color w:val="231F20"/>
        </w:rPr>
        <w:t>sentido,</w:t>
      </w:r>
      <w:r>
        <w:rPr>
          <w:color w:val="231F20"/>
          <w:spacing w:val="-19"/>
        </w:rPr>
        <w:t> </w:t>
      </w:r>
      <w:r>
        <w:rPr>
          <w:color w:val="231F20"/>
        </w:rPr>
        <w:t>Álvarez</w:t>
      </w:r>
      <w:r>
        <w:rPr>
          <w:color w:val="231F20"/>
          <w:spacing w:val="-19"/>
        </w:rPr>
        <w:t> </w:t>
      </w:r>
      <w:r>
        <w:rPr>
          <w:color w:val="231F20"/>
        </w:rPr>
        <w:t>(2011)</w:t>
      </w:r>
      <w:r>
        <w:rPr>
          <w:color w:val="231F20"/>
          <w:spacing w:val="-19"/>
        </w:rPr>
        <w:t> </w:t>
      </w:r>
      <w:r>
        <w:rPr>
          <w:color w:val="231F20"/>
        </w:rPr>
        <w:t>señala</w:t>
      </w:r>
      <w:r>
        <w:rPr>
          <w:color w:val="231F20"/>
          <w:spacing w:val="-19"/>
        </w:rPr>
        <w:t> </w:t>
      </w:r>
      <w:r>
        <w:rPr>
          <w:color w:val="231F20"/>
        </w:rPr>
        <w:t>que</w:t>
      </w:r>
      <w:r>
        <w:rPr>
          <w:color w:val="231F20"/>
          <w:spacing w:val="-19"/>
        </w:rPr>
        <w:t> </w:t>
      </w:r>
      <w:r>
        <w:rPr>
          <w:color w:val="231F20"/>
        </w:rPr>
        <w:t>las</w:t>
      </w:r>
      <w:r>
        <w:rPr>
          <w:color w:val="231F20"/>
          <w:spacing w:val="-19"/>
        </w:rPr>
        <w:t> </w:t>
      </w:r>
      <w:r>
        <w:rPr>
          <w:color w:val="231F20"/>
        </w:rPr>
        <w:t>cadenas</w:t>
      </w:r>
      <w:r>
        <w:rPr>
          <w:color w:val="231F20"/>
          <w:spacing w:val="-19"/>
        </w:rPr>
        <w:t> </w:t>
      </w:r>
      <w:r>
        <w:rPr>
          <w:color w:val="231F20"/>
        </w:rPr>
        <w:t>de</w:t>
      </w:r>
      <w:r>
        <w:rPr>
          <w:color w:val="231F20"/>
          <w:spacing w:val="-19"/>
        </w:rPr>
        <w:t> </w:t>
      </w:r>
      <w:r>
        <w:rPr>
          <w:color w:val="231F20"/>
        </w:rPr>
        <w:t>valor</w:t>
      </w:r>
      <w:r>
        <w:rPr>
          <w:color w:val="231F20"/>
          <w:spacing w:val="-19"/>
        </w:rPr>
        <w:t> </w:t>
      </w:r>
      <w:r>
        <w:rPr>
          <w:color w:val="231F20"/>
        </w:rPr>
        <w:t>de</w:t>
      </w:r>
      <w:r>
        <w:rPr>
          <w:color w:val="231F20"/>
          <w:spacing w:val="-19"/>
        </w:rPr>
        <w:t> </w:t>
      </w:r>
      <w:r>
        <w:rPr>
          <w:color w:val="231F20"/>
        </w:rPr>
        <w:t>este</w:t>
      </w:r>
      <w:r>
        <w:rPr>
          <w:color w:val="231F20"/>
          <w:spacing w:val="-19"/>
        </w:rPr>
        <w:t> </w:t>
      </w:r>
      <w:r>
        <w:rPr>
          <w:color w:val="231F20"/>
        </w:rPr>
        <w:t>tipo</w:t>
      </w:r>
      <w:r>
        <w:rPr>
          <w:color w:val="231F20"/>
          <w:spacing w:val="-19"/>
        </w:rPr>
        <w:t> </w:t>
      </w:r>
      <w:r>
        <w:rPr>
          <w:color w:val="231F20"/>
        </w:rPr>
        <w:t>cuentan con actores clave que rigen los avances tecnológicos clave del sector y coordinan las relaciones</w:t>
      </w:r>
      <w:r>
        <w:rPr>
          <w:color w:val="231F20"/>
          <w:spacing w:val="-9"/>
        </w:rPr>
        <w:t> </w:t>
      </w:r>
      <w:r>
        <w:rPr>
          <w:color w:val="231F20"/>
        </w:rPr>
        <w:t>entre</w:t>
      </w:r>
      <w:r>
        <w:rPr>
          <w:color w:val="231F20"/>
          <w:spacing w:val="-9"/>
        </w:rPr>
        <w:t> </w:t>
      </w:r>
      <w:r>
        <w:rPr>
          <w:color w:val="231F20"/>
        </w:rPr>
        <w:t>empresas;</w:t>
      </w:r>
      <w:r>
        <w:rPr>
          <w:color w:val="231F20"/>
          <w:spacing w:val="-9"/>
        </w:rPr>
        <w:t> </w:t>
      </w:r>
      <w:r>
        <w:rPr>
          <w:color w:val="231F20"/>
        </w:rPr>
        <w:t>además,</w:t>
      </w:r>
      <w:r>
        <w:rPr>
          <w:color w:val="231F20"/>
          <w:spacing w:val="-9"/>
        </w:rPr>
        <w:t> </w:t>
      </w:r>
      <w:r>
        <w:rPr>
          <w:color w:val="231F20"/>
        </w:rPr>
        <w:t>los</w:t>
      </w:r>
      <w:r>
        <w:rPr>
          <w:color w:val="231F20"/>
          <w:spacing w:val="-9"/>
        </w:rPr>
        <w:t> </w:t>
      </w:r>
      <w:r>
        <w:rPr>
          <w:color w:val="231F20"/>
        </w:rPr>
        <w:t>productores,</w:t>
      </w:r>
      <w:r>
        <w:rPr>
          <w:color w:val="231F20"/>
          <w:spacing w:val="-9"/>
        </w:rPr>
        <w:t> </w:t>
      </w:r>
      <w:r>
        <w:rPr>
          <w:color w:val="231F20"/>
        </w:rPr>
        <w:t>que</w:t>
      </w:r>
      <w:r>
        <w:rPr>
          <w:color w:val="231F20"/>
          <w:spacing w:val="-9"/>
        </w:rPr>
        <w:t> </w:t>
      </w:r>
      <w:r>
        <w:rPr>
          <w:color w:val="231F20"/>
        </w:rPr>
        <w:t>están</w:t>
      </w:r>
      <w:r>
        <w:rPr>
          <w:color w:val="231F20"/>
          <w:spacing w:val="-9"/>
        </w:rPr>
        <w:t> </w:t>
      </w:r>
      <w:r>
        <w:rPr>
          <w:color w:val="231F20"/>
        </w:rPr>
        <w:t>generalmente</w:t>
      </w:r>
      <w:r>
        <w:rPr>
          <w:color w:val="231F20"/>
          <w:spacing w:val="-9"/>
        </w:rPr>
        <w:t> </w:t>
      </w:r>
      <w:r>
        <w:rPr>
          <w:color w:val="231F20"/>
        </w:rPr>
        <w:t>relaciona- dos con la inversión extranjera directa en la manufactura, toman la responsabilidad</w:t>
      </w:r>
      <w:r>
        <w:rPr>
          <w:color w:val="231F20"/>
          <w:spacing w:val="-29"/>
        </w:rPr>
        <w:t> </w:t>
      </w:r>
      <w:r>
        <w:rPr>
          <w:color w:val="231F20"/>
        </w:rPr>
        <w:t>de mejorar</w:t>
      </w:r>
      <w:r>
        <w:rPr>
          <w:color w:val="231F20"/>
          <w:spacing w:val="-11"/>
        </w:rPr>
        <w:t> </w:t>
      </w:r>
      <w:r>
        <w:rPr>
          <w:color w:val="231F20"/>
        </w:rPr>
        <w:t>la</w:t>
      </w:r>
      <w:r>
        <w:rPr>
          <w:color w:val="231F20"/>
          <w:spacing w:val="-11"/>
        </w:rPr>
        <w:t> </w:t>
      </w:r>
      <w:r>
        <w:rPr>
          <w:color w:val="231F20"/>
        </w:rPr>
        <w:t>eficiencia</w:t>
      </w:r>
      <w:r>
        <w:rPr>
          <w:color w:val="231F20"/>
          <w:spacing w:val="-11"/>
        </w:rPr>
        <w:t> </w:t>
      </w:r>
      <w:r>
        <w:rPr>
          <w:color w:val="231F20"/>
        </w:rPr>
        <w:t>de</w:t>
      </w:r>
      <w:r>
        <w:rPr>
          <w:color w:val="231F20"/>
          <w:spacing w:val="-11"/>
        </w:rPr>
        <w:t> </w:t>
      </w:r>
      <w:r>
        <w:rPr>
          <w:color w:val="231F20"/>
        </w:rPr>
        <w:t>proveedores</w:t>
      </w:r>
      <w:r>
        <w:rPr>
          <w:color w:val="231F20"/>
          <w:spacing w:val="-11"/>
        </w:rPr>
        <w:t> </w:t>
      </w:r>
      <w:r>
        <w:rPr>
          <w:color w:val="231F20"/>
        </w:rPr>
        <w:t>y</w:t>
      </w:r>
      <w:r>
        <w:rPr>
          <w:color w:val="231F20"/>
          <w:spacing w:val="-11"/>
        </w:rPr>
        <w:t> </w:t>
      </w:r>
      <w:r>
        <w:rPr>
          <w:color w:val="231F20"/>
        </w:rPr>
        <w:t>consumidores.</w:t>
      </w:r>
    </w:p>
    <w:p>
      <w:pPr>
        <w:pStyle w:val="BodyText"/>
        <w:spacing w:line="244" w:lineRule="auto" w:before="1"/>
        <w:ind w:left="123" w:right="651" w:firstLine="396"/>
        <w:jc w:val="both"/>
      </w:pPr>
      <w:r>
        <w:rPr>
          <w:color w:val="231F20"/>
        </w:rPr>
        <w:t>La cadena automotriz-autopartes se integra por diferentes segmentos; de manera general se pueden identificar: </w:t>
      </w:r>
      <w:r>
        <w:rPr>
          <w:rFonts w:ascii="Palatino Linotype" w:hAnsi="Palatino Linotype"/>
          <w:i/>
          <w:color w:val="231F20"/>
        </w:rPr>
        <w:t>a) </w:t>
      </w:r>
      <w:r>
        <w:rPr>
          <w:color w:val="231F20"/>
        </w:rPr>
        <w:t>materias primas (aceros, plásticos, pinturas); </w:t>
      </w:r>
      <w:r>
        <w:rPr>
          <w:rFonts w:ascii="Palatino Linotype" w:hAnsi="Palatino Linotype"/>
          <w:i/>
          <w:color w:val="231F20"/>
        </w:rPr>
        <w:t>b) </w:t>
      </w:r>
      <w:r>
        <w:rPr>
          <w:color w:val="231F20"/>
        </w:rPr>
        <w:t>au- topartes (estampados, piezas fundidas); </w:t>
      </w:r>
      <w:r>
        <w:rPr>
          <w:rFonts w:ascii="Palatino Linotype" w:hAnsi="Palatino Linotype"/>
          <w:i/>
          <w:color w:val="231F20"/>
        </w:rPr>
        <w:t>c) </w:t>
      </w:r>
      <w:r>
        <w:rPr>
          <w:color w:val="231F20"/>
        </w:rPr>
        <w:t>componentes (cinturones, indicadores); </w:t>
      </w:r>
      <w:r>
        <w:rPr>
          <w:rFonts w:ascii="Palatino Linotype" w:hAnsi="Palatino Linotype"/>
          <w:i/>
          <w:color w:val="231F20"/>
        </w:rPr>
        <w:t>d) </w:t>
      </w:r>
      <w:r>
        <w:rPr>
          <w:color w:val="231F20"/>
        </w:rPr>
        <w:t>sistemas</w:t>
      </w:r>
      <w:r>
        <w:rPr>
          <w:color w:val="231F20"/>
          <w:spacing w:val="-15"/>
        </w:rPr>
        <w:t> </w:t>
      </w:r>
      <w:r>
        <w:rPr>
          <w:color w:val="231F20"/>
        </w:rPr>
        <w:t>y</w:t>
      </w:r>
      <w:r>
        <w:rPr>
          <w:color w:val="231F20"/>
          <w:spacing w:val="-15"/>
        </w:rPr>
        <w:t> </w:t>
      </w:r>
      <w:r>
        <w:rPr>
          <w:color w:val="231F20"/>
        </w:rPr>
        <w:t>módulos</w:t>
      </w:r>
      <w:r>
        <w:rPr>
          <w:color w:val="231F20"/>
          <w:spacing w:val="-15"/>
        </w:rPr>
        <w:t> </w:t>
      </w:r>
      <w:r>
        <w:rPr>
          <w:color w:val="231F20"/>
        </w:rPr>
        <w:t>(asientos,</w:t>
      </w:r>
      <w:r>
        <w:rPr>
          <w:color w:val="231F20"/>
          <w:spacing w:val="-15"/>
        </w:rPr>
        <w:t> </w:t>
      </w:r>
      <w:r>
        <w:rPr>
          <w:color w:val="231F20"/>
        </w:rPr>
        <w:t>tableros,</w:t>
      </w:r>
      <w:r>
        <w:rPr>
          <w:color w:val="231F20"/>
          <w:spacing w:val="-15"/>
        </w:rPr>
        <w:t> </w:t>
      </w:r>
      <w:r>
        <w:rPr>
          <w:color w:val="231F20"/>
        </w:rPr>
        <w:t>puertas,</w:t>
      </w:r>
      <w:r>
        <w:rPr>
          <w:color w:val="231F20"/>
          <w:spacing w:val="-15"/>
        </w:rPr>
        <w:t> </w:t>
      </w:r>
      <w:r>
        <w:rPr>
          <w:color w:val="231F20"/>
        </w:rPr>
        <w:t>motores,</w:t>
      </w:r>
      <w:r>
        <w:rPr>
          <w:color w:val="231F20"/>
          <w:spacing w:val="-15"/>
        </w:rPr>
        <w:t> </w:t>
      </w:r>
      <w:r>
        <w:rPr>
          <w:color w:val="231F20"/>
        </w:rPr>
        <w:t>sistemas</w:t>
      </w:r>
      <w:r>
        <w:rPr>
          <w:color w:val="231F20"/>
          <w:spacing w:val="-15"/>
        </w:rPr>
        <w:t> </w:t>
      </w:r>
      <w:r>
        <w:rPr>
          <w:color w:val="231F20"/>
        </w:rPr>
        <w:t>de</w:t>
      </w:r>
      <w:r>
        <w:rPr>
          <w:color w:val="231F20"/>
          <w:spacing w:val="-15"/>
        </w:rPr>
        <w:t> </w:t>
      </w:r>
      <w:r>
        <w:rPr>
          <w:color w:val="231F20"/>
        </w:rPr>
        <w:t>frenos);</w:t>
      </w:r>
      <w:r>
        <w:rPr>
          <w:color w:val="231F20"/>
          <w:spacing w:val="-15"/>
        </w:rPr>
        <w:t> </w:t>
      </w:r>
      <w:r>
        <w:rPr>
          <w:rFonts w:ascii="Palatino Linotype" w:hAnsi="Palatino Linotype"/>
          <w:i/>
          <w:color w:val="231F20"/>
        </w:rPr>
        <w:t>e)</w:t>
      </w:r>
      <w:r>
        <w:rPr>
          <w:rFonts w:ascii="Palatino Linotype" w:hAnsi="Palatino Linotype"/>
          <w:i/>
          <w:color w:val="231F20"/>
          <w:spacing w:val="-15"/>
        </w:rPr>
        <w:t> </w:t>
      </w:r>
      <w:r>
        <w:rPr>
          <w:color w:val="231F20"/>
        </w:rPr>
        <w:t>ensam- bladoras</w:t>
      </w:r>
      <w:r>
        <w:rPr>
          <w:color w:val="231F20"/>
          <w:spacing w:val="-16"/>
        </w:rPr>
        <w:t> </w:t>
      </w:r>
      <w:r>
        <w:rPr>
          <w:color w:val="231F20"/>
        </w:rPr>
        <w:t>de</w:t>
      </w:r>
      <w:r>
        <w:rPr>
          <w:color w:val="231F20"/>
          <w:spacing w:val="-16"/>
        </w:rPr>
        <w:t> </w:t>
      </w:r>
      <w:r>
        <w:rPr>
          <w:color w:val="231F20"/>
        </w:rPr>
        <w:t>vehículos</w:t>
      </w:r>
      <w:r>
        <w:rPr>
          <w:color w:val="231F20"/>
          <w:spacing w:val="-16"/>
        </w:rPr>
        <w:t> </w:t>
      </w:r>
      <w:r>
        <w:rPr>
          <w:color w:val="231F20"/>
        </w:rPr>
        <w:t>(ensamblado</w:t>
      </w:r>
      <w:r>
        <w:rPr>
          <w:color w:val="231F20"/>
          <w:spacing w:val="-16"/>
        </w:rPr>
        <w:t> </w:t>
      </w:r>
      <w:r>
        <w:rPr>
          <w:color w:val="231F20"/>
        </w:rPr>
        <w:t>completo);</w:t>
      </w:r>
      <w:r>
        <w:rPr>
          <w:color w:val="231F20"/>
          <w:spacing w:val="-16"/>
        </w:rPr>
        <w:t> </w:t>
      </w:r>
      <w:r>
        <w:rPr>
          <w:rFonts w:ascii="Palatino Linotype" w:hAnsi="Palatino Linotype"/>
          <w:i/>
          <w:color w:val="231F20"/>
          <w:spacing w:val="7"/>
        </w:rPr>
        <w:t>f)</w:t>
      </w:r>
      <w:r>
        <w:rPr>
          <w:rFonts w:ascii="Palatino Linotype" w:hAnsi="Palatino Linotype"/>
          <w:i/>
          <w:color w:val="231F20"/>
          <w:spacing w:val="-16"/>
        </w:rPr>
        <w:t> </w:t>
      </w:r>
      <w:r>
        <w:rPr>
          <w:color w:val="231F20"/>
        </w:rPr>
        <w:t>distribución</w:t>
      </w:r>
      <w:r>
        <w:rPr>
          <w:color w:val="231F20"/>
          <w:spacing w:val="-16"/>
        </w:rPr>
        <w:t> </w:t>
      </w:r>
      <w:r>
        <w:rPr>
          <w:color w:val="231F20"/>
        </w:rPr>
        <w:t>(venta</w:t>
      </w:r>
      <w:r>
        <w:rPr>
          <w:color w:val="231F20"/>
          <w:spacing w:val="-16"/>
        </w:rPr>
        <w:t> </w:t>
      </w:r>
      <w:r>
        <w:rPr>
          <w:color w:val="231F20"/>
        </w:rPr>
        <w:t>de</w:t>
      </w:r>
      <w:r>
        <w:rPr>
          <w:color w:val="231F20"/>
          <w:spacing w:val="-16"/>
        </w:rPr>
        <w:t> </w:t>
      </w:r>
      <w:r>
        <w:rPr>
          <w:color w:val="231F20"/>
        </w:rPr>
        <w:t>vehículos);</w:t>
      </w:r>
      <w:r>
        <w:rPr>
          <w:color w:val="231F20"/>
          <w:spacing w:val="-16"/>
        </w:rPr>
        <w:t> </w:t>
      </w:r>
      <w:r>
        <w:rPr>
          <w:color w:val="231F20"/>
        </w:rPr>
        <w:t>y</w:t>
      </w:r>
      <w:r>
        <w:rPr>
          <w:color w:val="231F20"/>
          <w:spacing w:val="-16"/>
        </w:rPr>
        <w:t> </w:t>
      </w:r>
      <w:r>
        <w:rPr>
          <w:rFonts w:ascii="Palatino Linotype" w:hAnsi="Palatino Linotype"/>
          <w:i/>
          <w:color w:val="231F20"/>
        </w:rPr>
        <w:t>g) </w:t>
      </w:r>
      <w:r>
        <w:rPr>
          <w:color w:val="231F20"/>
        </w:rPr>
        <w:t>servicios</w:t>
      </w:r>
      <w:r>
        <w:rPr>
          <w:color w:val="231F20"/>
          <w:spacing w:val="-7"/>
        </w:rPr>
        <w:t> </w:t>
      </w:r>
      <w:r>
        <w:rPr>
          <w:color w:val="231F20"/>
        </w:rPr>
        <w:t>de</w:t>
      </w:r>
      <w:r>
        <w:rPr>
          <w:color w:val="231F20"/>
          <w:spacing w:val="-7"/>
        </w:rPr>
        <w:t> </w:t>
      </w:r>
      <w:r>
        <w:rPr>
          <w:color w:val="231F20"/>
        </w:rPr>
        <w:t>posventa</w:t>
      </w:r>
      <w:r>
        <w:rPr>
          <w:color w:val="231F20"/>
          <w:spacing w:val="-7"/>
        </w:rPr>
        <w:t> </w:t>
      </w:r>
      <w:r>
        <w:rPr>
          <w:color w:val="231F20"/>
        </w:rPr>
        <w:t>(servicios</w:t>
      </w:r>
      <w:r>
        <w:rPr>
          <w:color w:val="231F20"/>
          <w:spacing w:val="-7"/>
        </w:rPr>
        <w:t> </w:t>
      </w:r>
      <w:r>
        <w:rPr>
          <w:color w:val="231F20"/>
        </w:rPr>
        <w:t>de</w:t>
      </w:r>
      <w:r>
        <w:rPr>
          <w:color w:val="231F20"/>
          <w:spacing w:val="-7"/>
        </w:rPr>
        <w:t> </w:t>
      </w:r>
      <w:r>
        <w:rPr>
          <w:color w:val="231F20"/>
        </w:rPr>
        <w:t>atención</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consumidores).</w:t>
      </w:r>
    </w:p>
    <w:p>
      <w:pPr>
        <w:pStyle w:val="BodyText"/>
        <w:spacing w:line="266" w:lineRule="auto" w:before="33"/>
        <w:ind w:left="123" w:right="650" w:firstLine="396"/>
        <w:jc w:val="both"/>
      </w:pPr>
      <w:r>
        <w:rPr>
          <w:color w:val="231F20"/>
        </w:rPr>
        <w:t>Las grandes ensambladoras transnacionales gobiernan la cadena de valor; aun- que también existen productoras de partes y componentes que participan en esta gobernanza de la cadena productiva; sobre todo aquellas consideradas megaprovee- dores, o </w:t>
      </w:r>
      <w:r>
        <w:rPr>
          <w:rFonts w:ascii="Palatino Linotype" w:hAnsi="Palatino Linotype"/>
          <w:i/>
          <w:color w:val="231F20"/>
        </w:rPr>
        <w:t>Tier 0.5</w:t>
      </w:r>
      <w:r>
        <w:rPr>
          <w:color w:val="231F20"/>
        </w:rPr>
        <w:t>,</w:t>
      </w:r>
      <w:r>
        <w:rPr>
          <w:color w:val="231F20"/>
          <w:position w:val="7"/>
          <w:sz w:val="12"/>
        </w:rPr>
        <w:t>1 </w:t>
      </w:r>
      <w:r>
        <w:rPr>
          <w:color w:val="231F20"/>
        </w:rPr>
        <w:t>y de primer nivel, o </w:t>
      </w:r>
      <w:r>
        <w:rPr>
          <w:rFonts w:ascii="Palatino Linotype" w:hAnsi="Palatino Linotype"/>
          <w:i/>
          <w:color w:val="231F20"/>
        </w:rPr>
        <w:t>Tier 1</w:t>
      </w:r>
      <w:r>
        <w:rPr>
          <w:color w:val="231F20"/>
        </w:rPr>
        <w:t>, que en general son las que tienen trato directo con las ensambladoras.</w:t>
      </w:r>
    </w:p>
    <w:p>
      <w:pPr>
        <w:pStyle w:val="BodyText"/>
        <w:rPr>
          <w:sz w:val="20"/>
        </w:rPr>
      </w:pPr>
    </w:p>
    <w:p>
      <w:pPr>
        <w:pStyle w:val="BodyText"/>
        <w:rPr>
          <w:sz w:val="10"/>
        </w:rPr>
      </w:pPr>
      <w:r>
        <w:rPr/>
        <w:pict>
          <v:line style="position:absolute;mso-position-horizontal-relative:page;mso-position-vertical-relative:paragraph;z-index:5584;mso-wrap-distance-left:0;mso-wrap-distance-right:0" from="65.1968pt,7.962666pt" to="206.9288pt,7.962666pt" stroked="true" strokeweight=".5pt" strokecolor="#231f20">
            <w10:wrap type="topAndBottom"/>
          </v:line>
        </w:pict>
      </w:r>
    </w:p>
    <w:p>
      <w:pPr>
        <w:spacing w:line="276" w:lineRule="auto" w:before="25"/>
        <w:ind w:left="293" w:right="652" w:hanging="171"/>
        <w:jc w:val="both"/>
        <w:rPr>
          <w:sz w:val="16"/>
        </w:rPr>
      </w:pPr>
      <w:r>
        <w:rPr>
          <w:color w:val="231F20"/>
          <w:position w:val="5"/>
          <w:sz w:val="9"/>
        </w:rPr>
        <w:t>1</w:t>
      </w:r>
      <w:r>
        <w:rPr>
          <w:color w:val="231F20"/>
          <w:spacing w:val="3"/>
          <w:position w:val="5"/>
          <w:sz w:val="9"/>
        </w:rPr>
        <w:t> </w:t>
      </w:r>
      <w:r>
        <w:rPr>
          <w:color w:val="231F20"/>
          <w:sz w:val="16"/>
        </w:rPr>
        <w:t>Los</w:t>
      </w:r>
      <w:r>
        <w:rPr>
          <w:color w:val="231F20"/>
          <w:spacing w:val="-10"/>
          <w:sz w:val="16"/>
        </w:rPr>
        <w:t> </w:t>
      </w:r>
      <w:r>
        <w:rPr>
          <w:color w:val="231F20"/>
          <w:sz w:val="16"/>
        </w:rPr>
        <w:t>megaproveedores</w:t>
      </w:r>
      <w:r>
        <w:rPr>
          <w:color w:val="231F20"/>
          <w:spacing w:val="-10"/>
          <w:sz w:val="16"/>
        </w:rPr>
        <w:t> </w:t>
      </w:r>
      <w:r>
        <w:rPr>
          <w:color w:val="231F20"/>
          <w:sz w:val="16"/>
        </w:rPr>
        <w:t>o</w:t>
      </w:r>
      <w:r>
        <w:rPr>
          <w:color w:val="231F20"/>
          <w:spacing w:val="-10"/>
          <w:sz w:val="16"/>
        </w:rPr>
        <w:t> </w:t>
      </w:r>
      <w:r>
        <w:rPr>
          <w:rFonts w:ascii="Palatino Linotype" w:hAnsi="Palatino Linotype"/>
          <w:i/>
          <w:color w:val="231F20"/>
          <w:spacing w:val="-3"/>
          <w:sz w:val="16"/>
        </w:rPr>
        <w:t>Tier</w:t>
      </w:r>
      <w:r>
        <w:rPr>
          <w:rFonts w:ascii="Palatino Linotype" w:hAnsi="Palatino Linotype"/>
          <w:i/>
          <w:color w:val="231F20"/>
          <w:spacing w:val="-9"/>
          <w:sz w:val="16"/>
        </w:rPr>
        <w:t> </w:t>
      </w:r>
      <w:r>
        <w:rPr>
          <w:rFonts w:ascii="Palatino Linotype" w:hAnsi="Palatino Linotype"/>
          <w:i/>
          <w:color w:val="231F20"/>
          <w:sz w:val="16"/>
        </w:rPr>
        <w:t>0.5</w:t>
      </w:r>
      <w:r>
        <w:rPr>
          <w:rFonts w:ascii="Palatino Linotype" w:hAnsi="Palatino Linotype"/>
          <w:i/>
          <w:color w:val="231F20"/>
          <w:spacing w:val="-10"/>
          <w:sz w:val="16"/>
        </w:rPr>
        <w:t> </w:t>
      </w:r>
      <w:r>
        <w:rPr>
          <w:color w:val="231F20"/>
          <w:sz w:val="16"/>
        </w:rPr>
        <w:t>suministran</w:t>
      </w:r>
      <w:r>
        <w:rPr>
          <w:color w:val="231F20"/>
          <w:spacing w:val="-10"/>
          <w:sz w:val="16"/>
        </w:rPr>
        <w:t> </w:t>
      </w:r>
      <w:r>
        <w:rPr>
          <w:color w:val="231F20"/>
          <w:sz w:val="16"/>
        </w:rPr>
        <w:t>sistemas</w:t>
      </w:r>
      <w:r>
        <w:rPr>
          <w:color w:val="231F20"/>
          <w:spacing w:val="-10"/>
          <w:sz w:val="16"/>
        </w:rPr>
        <w:t> </w:t>
      </w:r>
      <w:r>
        <w:rPr>
          <w:color w:val="231F20"/>
          <w:sz w:val="16"/>
        </w:rPr>
        <w:t>complejos</w:t>
      </w:r>
      <w:r>
        <w:rPr>
          <w:color w:val="231F20"/>
          <w:spacing w:val="-10"/>
          <w:sz w:val="16"/>
        </w:rPr>
        <w:t> </w:t>
      </w:r>
      <w:r>
        <w:rPr>
          <w:color w:val="231F20"/>
          <w:sz w:val="16"/>
        </w:rPr>
        <w:t>e</w:t>
      </w:r>
      <w:r>
        <w:rPr>
          <w:color w:val="231F20"/>
          <w:spacing w:val="-10"/>
          <w:sz w:val="16"/>
        </w:rPr>
        <w:t> </w:t>
      </w:r>
      <w:r>
        <w:rPr>
          <w:color w:val="231F20"/>
          <w:sz w:val="16"/>
        </w:rPr>
        <w:t>integrados</w:t>
      </w:r>
      <w:r>
        <w:rPr>
          <w:color w:val="231F20"/>
          <w:spacing w:val="-10"/>
          <w:sz w:val="16"/>
        </w:rPr>
        <w:t> </w:t>
      </w:r>
      <w:r>
        <w:rPr>
          <w:color w:val="231F20"/>
          <w:sz w:val="16"/>
        </w:rPr>
        <w:t>a</w:t>
      </w:r>
      <w:r>
        <w:rPr>
          <w:color w:val="231F20"/>
          <w:spacing w:val="-10"/>
          <w:sz w:val="16"/>
        </w:rPr>
        <w:t> </w:t>
      </w:r>
      <w:r>
        <w:rPr>
          <w:color w:val="231F20"/>
          <w:sz w:val="16"/>
        </w:rPr>
        <w:t>las</w:t>
      </w:r>
      <w:r>
        <w:rPr>
          <w:color w:val="231F20"/>
          <w:spacing w:val="-10"/>
          <w:sz w:val="16"/>
        </w:rPr>
        <w:t> </w:t>
      </w:r>
      <w:r>
        <w:rPr>
          <w:color w:val="231F20"/>
          <w:sz w:val="16"/>
        </w:rPr>
        <w:t>armadoras;</w:t>
      </w:r>
      <w:r>
        <w:rPr>
          <w:color w:val="231F20"/>
          <w:spacing w:val="-10"/>
          <w:sz w:val="16"/>
        </w:rPr>
        <w:t> </w:t>
      </w:r>
      <w:r>
        <w:rPr>
          <w:color w:val="231F20"/>
          <w:sz w:val="16"/>
        </w:rPr>
        <w:t>se</w:t>
      </w:r>
      <w:r>
        <w:rPr>
          <w:color w:val="231F20"/>
          <w:spacing w:val="-10"/>
          <w:sz w:val="16"/>
        </w:rPr>
        <w:t> </w:t>
      </w:r>
      <w:r>
        <w:rPr>
          <w:color w:val="231F20"/>
          <w:sz w:val="16"/>
        </w:rPr>
        <w:t>llaman</w:t>
      </w:r>
      <w:r>
        <w:rPr>
          <w:color w:val="231F20"/>
          <w:spacing w:val="-10"/>
          <w:sz w:val="16"/>
        </w:rPr>
        <w:t> </w:t>
      </w:r>
      <w:r>
        <w:rPr>
          <w:color w:val="231F20"/>
          <w:sz w:val="16"/>
        </w:rPr>
        <w:t>de</w:t>
      </w:r>
      <w:r>
        <w:rPr>
          <w:color w:val="231F20"/>
          <w:spacing w:val="-10"/>
          <w:sz w:val="16"/>
        </w:rPr>
        <w:t> </w:t>
      </w:r>
      <w:r>
        <w:rPr>
          <w:color w:val="231F20"/>
          <w:sz w:val="16"/>
        </w:rPr>
        <w:t>esta forma por considerar que tienen una capacidad de proveeduría superior a la de otros proveedores de primer nivel.</w:t>
      </w:r>
      <w:r>
        <w:rPr>
          <w:color w:val="231F20"/>
          <w:spacing w:val="-6"/>
          <w:sz w:val="16"/>
        </w:rPr>
        <w:t> </w:t>
      </w:r>
      <w:r>
        <w:rPr>
          <w:color w:val="231F20"/>
          <w:sz w:val="16"/>
        </w:rPr>
        <w:t>La</w:t>
      </w:r>
      <w:r>
        <w:rPr>
          <w:color w:val="231F20"/>
          <w:spacing w:val="-6"/>
          <w:sz w:val="16"/>
        </w:rPr>
        <w:t> </w:t>
      </w:r>
      <w:r>
        <w:rPr>
          <w:color w:val="231F20"/>
          <w:sz w:val="16"/>
        </w:rPr>
        <w:t>empresa</w:t>
      </w:r>
      <w:r>
        <w:rPr>
          <w:color w:val="231F20"/>
          <w:spacing w:val="-6"/>
          <w:sz w:val="16"/>
        </w:rPr>
        <w:t> </w:t>
      </w:r>
      <w:r>
        <w:rPr>
          <w:color w:val="231F20"/>
          <w:sz w:val="16"/>
        </w:rPr>
        <w:t>Magna</w:t>
      </w:r>
      <w:r>
        <w:rPr>
          <w:color w:val="231F20"/>
          <w:spacing w:val="-6"/>
          <w:sz w:val="16"/>
        </w:rPr>
        <w:t> </w:t>
      </w:r>
      <w:r>
        <w:rPr>
          <w:color w:val="231F20"/>
          <w:sz w:val="16"/>
        </w:rPr>
        <w:t>Internacional</w:t>
      </w:r>
      <w:r>
        <w:rPr>
          <w:color w:val="231F20"/>
          <w:spacing w:val="-6"/>
          <w:sz w:val="16"/>
        </w:rPr>
        <w:t> </w:t>
      </w:r>
      <w:r>
        <w:rPr>
          <w:color w:val="231F20"/>
          <w:sz w:val="16"/>
        </w:rPr>
        <w:t>usó</w:t>
      </w:r>
      <w:r>
        <w:rPr>
          <w:color w:val="231F20"/>
          <w:spacing w:val="-6"/>
          <w:sz w:val="16"/>
        </w:rPr>
        <w:t> </w:t>
      </w:r>
      <w:r>
        <w:rPr>
          <w:color w:val="231F20"/>
          <w:sz w:val="16"/>
        </w:rPr>
        <w:t>el</w:t>
      </w:r>
      <w:r>
        <w:rPr>
          <w:color w:val="231F20"/>
          <w:spacing w:val="-6"/>
          <w:sz w:val="16"/>
        </w:rPr>
        <w:t> </w:t>
      </w:r>
      <w:r>
        <w:rPr>
          <w:color w:val="231F20"/>
          <w:sz w:val="16"/>
        </w:rPr>
        <w:t>término</w:t>
      </w:r>
      <w:r>
        <w:rPr>
          <w:color w:val="231F20"/>
          <w:spacing w:val="-6"/>
          <w:sz w:val="16"/>
        </w:rPr>
        <w:t> </w:t>
      </w:r>
      <w:r>
        <w:rPr>
          <w:color w:val="231F20"/>
          <w:sz w:val="16"/>
        </w:rPr>
        <w:t>por</w:t>
      </w:r>
      <w:r>
        <w:rPr>
          <w:color w:val="231F20"/>
          <w:spacing w:val="-6"/>
          <w:sz w:val="16"/>
        </w:rPr>
        <w:t> </w:t>
      </w:r>
      <w:r>
        <w:rPr>
          <w:color w:val="231F20"/>
          <w:sz w:val="16"/>
        </w:rPr>
        <w:t>primera</w:t>
      </w:r>
      <w:r>
        <w:rPr>
          <w:color w:val="231F20"/>
          <w:spacing w:val="-6"/>
          <w:sz w:val="16"/>
        </w:rPr>
        <w:t> </w:t>
      </w:r>
      <w:r>
        <w:rPr>
          <w:color w:val="231F20"/>
          <w:sz w:val="16"/>
        </w:rPr>
        <w:t>vez</w:t>
      </w:r>
      <w:r>
        <w:rPr>
          <w:color w:val="231F20"/>
          <w:spacing w:val="-6"/>
          <w:sz w:val="16"/>
        </w:rPr>
        <w:t> </w:t>
      </w:r>
      <w:r>
        <w:rPr>
          <w:color w:val="231F20"/>
          <w:sz w:val="16"/>
        </w:rPr>
        <w:t>(Romero,</w:t>
      </w:r>
      <w:r>
        <w:rPr>
          <w:color w:val="231F20"/>
          <w:spacing w:val="-6"/>
          <w:sz w:val="16"/>
        </w:rPr>
        <w:t> </w:t>
      </w:r>
      <w:r>
        <w:rPr>
          <w:color w:val="231F20"/>
          <w:sz w:val="16"/>
        </w:rPr>
        <w:t>2011).</w:t>
      </w:r>
    </w:p>
    <w:p>
      <w:pPr>
        <w:spacing w:after="0" w:line="276" w:lineRule="auto"/>
        <w:jc w:val="both"/>
        <w:rPr>
          <w:sz w:val="16"/>
        </w:rPr>
        <w:sectPr>
          <w:footerReference w:type="default" r:id="rId32"/>
          <w:footerReference w:type="even" r:id="rId33"/>
          <w:pgSz w:w="9640" w:h="13040"/>
          <w:pgMar w:footer="654" w:header="581" w:top="780" w:bottom="840" w:left="1180" w:right="480"/>
          <w:pgNumType w:start="23"/>
        </w:sectPr>
      </w:pPr>
    </w:p>
    <w:p>
      <w:pPr>
        <w:pStyle w:val="BodyText"/>
        <w:rPr>
          <w:sz w:val="20"/>
        </w:rPr>
      </w:pPr>
    </w:p>
    <w:p>
      <w:pPr>
        <w:pStyle w:val="BodyText"/>
        <w:spacing w:before="6"/>
      </w:pPr>
    </w:p>
    <w:p>
      <w:pPr>
        <w:pStyle w:val="BodyText"/>
        <w:spacing w:line="278" w:lineRule="auto" w:before="58"/>
        <w:ind w:left="653" w:right="101" w:firstLine="396"/>
        <w:jc w:val="both"/>
      </w:pPr>
      <w:r>
        <w:rPr>
          <w:color w:val="231F20"/>
        </w:rPr>
        <w:t>Lambert (2001) desarrolló un marco conceptual que permite delimitar la cadena de</w:t>
      </w:r>
      <w:r>
        <w:rPr>
          <w:color w:val="231F20"/>
          <w:spacing w:val="-10"/>
        </w:rPr>
        <w:t> </w:t>
      </w:r>
      <w:r>
        <w:rPr>
          <w:color w:val="231F20"/>
        </w:rPr>
        <w:t>suministro</w:t>
      </w:r>
      <w:r>
        <w:rPr>
          <w:color w:val="231F20"/>
          <w:spacing w:val="-10"/>
        </w:rPr>
        <w:t> </w:t>
      </w:r>
      <w:r>
        <w:rPr>
          <w:color w:val="231F20"/>
        </w:rPr>
        <w:t>del</w:t>
      </w:r>
      <w:r>
        <w:rPr>
          <w:color w:val="231F20"/>
          <w:spacing w:val="-10"/>
        </w:rPr>
        <w:t> </w:t>
      </w:r>
      <w:r>
        <w:rPr>
          <w:color w:val="231F20"/>
        </w:rPr>
        <w:t>sector</w:t>
      </w:r>
      <w:r>
        <w:rPr>
          <w:color w:val="231F20"/>
          <w:spacing w:val="-10"/>
        </w:rPr>
        <w:t> </w:t>
      </w:r>
      <w:r>
        <w:rPr>
          <w:color w:val="231F20"/>
        </w:rPr>
        <w:t>automotriz.</w:t>
      </w:r>
      <w:r>
        <w:rPr>
          <w:color w:val="231F20"/>
          <w:spacing w:val="-10"/>
        </w:rPr>
        <w:t> </w:t>
      </w:r>
      <w:r>
        <w:rPr>
          <w:color w:val="231F20"/>
        </w:rPr>
        <w:t>Identifica</w:t>
      </w:r>
      <w:r>
        <w:rPr>
          <w:color w:val="231F20"/>
          <w:spacing w:val="-10"/>
        </w:rPr>
        <w:t> </w:t>
      </w:r>
      <w:r>
        <w:rPr>
          <w:color w:val="231F20"/>
        </w:rPr>
        <w:t>tres</w:t>
      </w:r>
      <w:r>
        <w:rPr>
          <w:color w:val="231F20"/>
          <w:spacing w:val="-10"/>
        </w:rPr>
        <w:t> </w:t>
      </w:r>
      <w:r>
        <w:rPr>
          <w:color w:val="231F20"/>
        </w:rPr>
        <w:t>elementos</w:t>
      </w:r>
      <w:r>
        <w:rPr>
          <w:color w:val="231F20"/>
          <w:spacing w:val="-10"/>
        </w:rPr>
        <w:t> </w:t>
      </w:r>
      <w:r>
        <w:rPr>
          <w:color w:val="231F20"/>
        </w:rPr>
        <w:t>clave</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interrelacio- nan</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diversos</w:t>
      </w:r>
      <w:r>
        <w:rPr>
          <w:color w:val="231F20"/>
          <w:spacing w:val="-9"/>
        </w:rPr>
        <w:t> </w:t>
      </w:r>
      <w:r>
        <w:rPr>
          <w:color w:val="231F20"/>
        </w:rPr>
        <w:t>eslabones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cadena:</w:t>
      </w:r>
    </w:p>
    <w:p>
      <w:pPr>
        <w:pStyle w:val="ListParagraph"/>
        <w:numPr>
          <w:ilvl w:val="2"/>
          <w:numId w:val="10"/>
        </w:numPr>
        <w:tabs>
          <w:tab w:pos="1051" w:val="left" w:leader="none"/>
        </w:tabs>
        <w:spacing w:line="278" w:lineRule="auto" w:before="114" w:after="0"/>
        <w:ind w:left="1050" w:right="101" w:hanging="278"/>
        <w:jc w:val="both"/>
        <w:rPr>
          <w:sz w:val="21"/>
        </w:rPr>
      </w:pPr>
      <w:r>
        <w:rPr>
          <w:color w:val="231F20"/>
          <w:sz w:val="21"/>
        </w:rPr>
        <w:t>Estructura de la cadena de suministro: consiste en la red que forman las diver- sas empresas que participan en una secuencia de producción y servicios, desde el abasto</w:t>
      </w:r>
      <w:r>
        <w:rPr>
          <w:color w:val="231F20"/>
          <w:spacing w:val="-7"/>
          <w:sz w:val="21"/>
        </w:rPr>
        <w:t> </w:t>
      </w:r>
      <w:r>
        <w:rPr>
          <w:color w:val="231F20"/>
          <w:sz w:val="21"/>
        </w:rPr>
        <w:t>de</w:t>
      </w:r>
      <w:r>
        <w:rPr>
          <w:color w:val="231F20"/>
          <w:spacing w:val="-7"/>
          <w:sz w:val="21"/>
        </w:rPr>
        <w:t> </w:t>
      </w:r>
      <w:r>
        <w:rPr>
          <w:color w:val="231F20"/>
          <w:sz w:val="21"/>
        </w:rPr>
        <w:t>materias</w:t>
      </w:r>
      <w:r>
        <w:rPr>
          <w:color w:val="231F20"/>
          <w:spacing w:val="-7"/>
          <w:sz w:val="21"/>
        </w:rPr>
        <w:t> </w:t>
      </w:r>
      <w:r>
        <w:rPr>
          <w:color w:val="231F20"/>
          <w:sz w:val="21"/>
        </w:rPr>
        <w:t>primas</w:t>
      </w:r>
      <w:r>
        <w:rPr>
          <w:color w:val="231F20"/>
          <w:spacing w:val="-7"/>
          <w:sz w:val="21"/>
        </w:rPr>
        <w:t> </w:t>
      </w:r>
      <w:r>
        <w:rPr>
          <w:color w:val="231F20"/>
          <w:sz w:val="21"/>
        </w:rPr>
        <w:t>hasta</w:t>
      </w:r>
      <w:r>
        <w:rPr>
          <w:color w:val="231F20"/>
          <w:spacing w:val="-7"/>
          <w:sz w:val="21"/>
        </w:rPr>
        <w:t> </w:t>
      </w:r>
      <w:r>
        <w:rPr>
          <w:color w:val="231F20"/>
          <w:sz w:val="21"/>
        </w:rPr>
        <w:t>la</w:t>
      </w:r>
      <w:r>
        <w:rPr>
          <w:color w:val="231F20"/>
          <w:spacing w:val="-7"/>
          <w:sz w:val="21"/>
        </w:rPr>
        <w:t> </w:t>
      </w:r>
      <w:r>
        <w:rPr>
          <w:color w:val="231F20"/>
          <w:sz w:val="21"/>
        </w:rPr>
        <w:t>entrega</w:t>
      </w:r>
      <w:r>
        <w:rPr>
          <w:color w:val="231F20"/>
          <w:spacing w:val="-7"/>
          <w:sz w:val="21"/>
        </w:rPr>
        <w:t> </w:t>
      </w:r>
      <w:r>
        <w:rPr>
          <w:color w:val="231F20"/>
          <w:sz w:val="21"/>
        </w:rPr>
        <w:t>del</w:t>
      </w:r>
      <w:r>
        <w:rPr>
          <w:color w:val="231F20"/>
          <w:spacing w:val="-7"/>
          <w:sz w:val="21"/>
        </w:rPr>
        <w:t> </w:t>
      </w:r>
      <w:r>
        <w:rPr>
          <w:color w:val="231F20"/>
          <w:sz w:val="21"/>
        </w:rPr>
        <w:t>producto</w:t>
      </w:r>
      <w:r>
        <w:rPr>
          <w:color w:val="231F20"/>
          <w:spacing w:val="-7"/>
          <w:sz w:val="21"/>
        </w:rPr>
        <w:t> </w:t>
      </w:r>
      <w:r>
        <w:rPr>
          <w:color w:val="231F20"/>
          <w:sz w:val="21"/>
        </w:rPr>
        <w:t>final,</w:t>
      </w:r>
      <w:r>
        <w:rPr>
          <w:color w:val="231F20"/>
          <w:spacing w:val="-7"/>
          <w:sz w:val="21"/>
        </w:rPr>
        <w:t> </w:t>
      </w:r>
      <w:r>
        <w:rPr>
          <w:color w:val="231F20"/>
          <w:sz w:val="21"/>
        </w:rPr>
        <w:t>el</w:t>
      </w:r>
      <w:r>
        <w:rPr>
          <w:color w:val="231F20"/>
          <w:spacing w:val="-7"/>
          <w:sz w:val="21"/>
        </w:rPr>
        <w:t> </w:t>
      </w:r>
      <w:r>
        <w:rPr>
          <w:color w:val="231F20"/>
          <w:sz w:val="21"/>
        </w:rPr>
        <w:t>automóvil.</w:t>
      </w:r>
    </w:p>
    <w:p>
      <w:pPr>
        <w:pStyle w:val="ListParagraph"/>
        <w:numPr>
          <w:ilvl w:val="2"/>
          <w:numId w:val="10"/>
        </w:numPr>
        <w:tabs>
          <w:tab w:pos="1051" w:val="left" w:leader="none"/>
        </w:tabs>
        <w:spacing w:line="278" w:lineRule="auto" w:before="114" w:after="0"/>
        <w:ind w:left="1050" w:right="100" w:hanging="293"/>
        <w:jc w:val="both"/>
        <w:rPr>
          <w:sz w:val="21"/>
        </w:rPr>
      </w:pPr>
      <w:r>
        <w:rPr>
          <w:color w:val="231F20"/>
          <w:sz w:val="21"/>
        </w:rPr>
        <w:t>Dimensiones estructurales de la red: la estructura y el largo de la cadena estarán definidos por el número de proveedores y clientes en cada nivel y por la</w:t>
      </w:r>
      <w:r>
        <w:rPr>
          <w:color w:val="231F20"/>
          <w:spacing w:val="-30"/>
          <w:sz w:val="21"/>
        </w:rPr>
        <w:t> </w:t>
      </w:r>
      <w:r>
        <w:rPr>
          <w:color w:val="231F20"/>
          <w:sz w:val="21"/>
        </w:rPr>
        <w:t>posición que ocupa una compañía en la</w:t>
      </w:r>
      <w:r>
        <w:rPr>
          <w:color w:val="231F20"/>
          <w:spacing w:val="3"/>
          <w:sz w:val="21"/>
        </w:rPr>
        <w:t> </w:t>
      </w:r>
      <w:r>
        <w:rPr>
          <w:color w:val="231F20"/>
          <w:sz w:val="21"/>
        </w:rPr>
        <w:t>cadena.</w:t>
      </w:r>
    </w:p>
    <w:p>
      <w:pPr>
        <w:pStyle w:val="ListParagraph"/>
        <w:numPr>
          <w:ilvl w:val="2"/>
          <w:numId w:val="10"/>
        </w:numPr>
        <w:tabs>
          <w:tab w:pos="1051" w:val="left" w:leader="none"/>
        </w:tabs>
        <w:spacing w:line="278" w:lineRule="auto" w:before="114" w:after="0"/>
        <w:ind w:left="1050" w:right="101" w:hanging="275"/>
        <w:jc w:val="both"/>
        <w:rPr>
          <w:sz w:val="21"/>
        </w:rPr>
      </w:pPr>
      <w:r>
        <w:rPr>
          <w:color w:val="231F20"/>
          <w:sz w:val="21"/>
        </w:rPr>
        <w:t>Identificación de los miembros de la cadena de suministro: se identifican por la función y la participación en la integración del automóvil, y se clasifican por la manera en que interactúan con los ensambladores de automóviles (empresa cen- tral), ya sea directa o</w:t>
      </w:r>
      <w:r>
        <w:rPr>
          <w:color w:val="231F20"/>
          <w:spacing w:val="-9"/>
          <w:sz w:val="21"/>
        </w:rPr>
        <w:t> </w:t>
      </w:r>
      <w:r>
        <w:rPr>
          <w:color w:val="231F20"/>
          <w:sz w:val="21"/>
        </w:rPr>
        <w:t>indirectamente.</w:t>
      </w:r>
    </w:p>
    <w:p>
      <w:pPr>
        <w:pStyle w:val="BodyText"/>
        <w:spacing w:line="278" w:lineRule="auto" w:before="114"/>
        <w:ind w:left="653" w:right="101"/>
        <w:jc w:val="both"/>
      </w:pPr>
      <w:r>
        <w:rPr>
          <w:color w:val="231F20"/>
        </w:rPr>
        <w:t>Las compañías que forman la cadena pueden clasificarse como miembros primarios (directos), que comprenden todas aquellas compañías </w:t>
      </w:r>
      <w:r>
        <w:rPr>
          <w:color w:val="231F20"/>
          <w:spacing w:val="-2"/>
        </w:rPr>
        <w:t>autónomas </w:t>
      </w:r>
      <w:r>
        <w:rPr>
          <w:color w:val="231F20"/>
        </w:rPr>
        <w:t>o unidades comer- ciales</w:t>
      </w:r>
      <w:r>
        <w:rPr>
          <w:color w:val="231F20"/>
          <w:spacing w:val="-14"/>
        </w:rPr>
        <w:t> </w:t>
      </w:r>
      <w:r>
        <w:rPr>
          <w:color w:val="231F20"/>
        </w:rPr>
        <w:t>estratégicas</w:t>
      </w:r>
      <w:r>
        <w:rPr>
          <w:color w:val="231F20"/>
          <w:spacing w:val="-14"/>
        </w:rPr>
        <w:t> </w:t>
      </w:r>
      <w:r>
        <w:rPr>
          <w:color w:val="231F20"/>
        </w:rPr>
        <w:t>que</w:t>
      </w:r>
      <w:r>
        <w:rPr>
          <w:color w:val="231F20"/>
          <w:spacing w:val="-14"/>
        </w:rPr>
        <w:t> </w:t>
      </w:r>
      <w:r>
        <w:rPr>
          <w:color w:val="231F20"/>
        </w:rPr>
        <w:t>llevan</w:t>
      </w:r>
      <w:r>
        <w:rPr>
          <w:color w:val="231F20"/>
          <w:spacing w:val="-14"/>
        </w:rPr>
        <w:t> </w:t>
      </w:r>
      <w:r>
        <w:rPr>
          <w:color w:val="231F20"/>
        </w:rPr>
        <w:t>a</w:t>
      </w:r>
      <w:r>
        <w:rPr>
          <w:color w:val="231F20"/>
          <w:spacing w:val="-14"/>
        </w:rPr>
        <w:t> </w:t>
      </w:r>
      <w:r>
        <w:rPr>
          <w:color w:val="231F20"/>
        </w:rPr>
        <w:t>cabo</w:t>
      </w:r>
      <w:r>
        <w:rPr>
          <w:color w:val="231F20"/>
          <w:spacing w:val="-14"/>
        </w:rPr>
        <w:t> </w:t>
      </w:r>
      <w:r>
        <w:rPr>
          <w:color w:val="231F20"/>
        </w:rPr>
        <w:t>actividades</w:t>
      </w:r>
      <w:r>
        <w:rPr>
          <w:color w:val="231F20"/>
          <w:spacing w:val="-14"/>
        </w:rPr>
        <w:t> </w:t>
      </w:r>
      <w:r>
        <w:rPr>
          <w:color w:val="231F20"/>
        </w:rPr>
        <w:t>de</w:t>
      </w:r>
      <w:r>
        <w:rPr>
          <w:color w:val="231F20"/>
          <w:spacing w:val="-14"/>
        </w:rPr>
        <w:t> </w:t>
      </w:r>
      <w:r>
        <w:rPr>
          <w:color w:val="231F20"/>
        </w:rPr>
        <w:t>valor</w:t>
      </w:r>
      <w:r>
        <w:rPr>
          <w:color w:val="231F20"/>
          <w:spacing w:val="-14"/>
        </w:rPr>
        <w:t> </w:t>
      </w:r>
      <w:r>
        <w:rPr>
          <w:color w:val="231F20"/>
        </w:rPr>
        <w:t>agregado,</w:t>
      </w:r>
      <w:r>
        <w:rPr>
          <w:color w:val="231F20"/>
          <w:spacing w:val="-14"/>
        </w:rPr>
        <w:t> </w:t>
      </w:r>
      <w:r>
        <w:rPr>
          <w:color w:val="231F20"/>
        </w:rPr>
        <w:t>operativas</w:t>
      </w:r>
      <w:r>
        <w:rPr>
          <w:color w:val="231F20"/>
          <w:spacing w:val="-14"/>
        </w:rPr>
        <w:t> </w:t>
      </w:r>
      <w:r>
        <w:rPr>
          <w:color w:val="231F20"/>
        </w:rPr>
        <w:t>o</w:t>
      </w:r>
      <w:r>
        <w:rPr>
          <w:color w:val="231F20"/>
          <w:spacing w:val="-14"/>
        </w:rPr>
        <w:t> </w:t>
      </w:r>
      <w:r>
        <w:rPr>
          <w:color w:val="231F20"/>
        </w:rPr>
        <w:t>de</w:t>
      </w:r>
      <w:r>
        <w:rPr>
          <w:color w:val="231F20"/>
          <w:spacing w:val="-14"/>
        </w:rPr>
        <w:t> </w:t>
      </w:r>
      <w:r>
        <w:rPr>
          <w:color w:val="231F20"/>
        </w:rPr>
        <w:t>ges- tión</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procesos</w:t>
      </w:r>
      <w:r>
        <w:rPr>
          <w:color w:val="231F20"/>
          <w:spacing w:val="-4"/>
        </w:rPr>
        <w:t> </w:t>
      </w:r>
      <w:r>
        <w:rPr>
          <w:color w:val="231F20"/>
        </w:rPr>
        <w:t>comerciales,</w:t>
      </w:r>
      <w:r>
        <w:rPr>
          <w:color w:val="231F20"/>
          <w:spacing w:val="-4"/>
        </w:rPr>
        <w:t> </w:t>
      </w:r>
      <w:r>
        <w:rPr>
          <w:color w:val="231F20"/>
        </w:rPr>
        <w:t>generando</w:t>
      </w:r>
      <w:r>
        <w:rPr>
          <w:color w:val="231F20"/>
          <w:spacing w:val="-4"/>
        </w:rPr>
        <w:t> </w:t>
      </w:r>
      <w:r>
        <w:rPr>
          <w:color w:val="231F20"/>
        </w:rPr>
        <w:t>un</w:t>
      </w:r>
      <w:r>
        <w:rPr>
          <w:color w:val="231F20"/>
          <w:spacing w:val="-4"/>
        </w:rPr>
        <w:t> </w:t>
      </w:r>
      <w:r>
        <w:rPr>
          <w:color w:val="231F20"/>
        </w:rPr>
        <w:t>rendimiento</w:t>
      </w:r>
      <w:r>
        <w:rPr>
          <w:color w:val="231F20"/>
          <w:spacing w:val="-4"/>
        </w:rPr>
        <w:t> </w:t>
      </w:r>
      <w:r>
        <w:rPr>
          <w:color w:val="231F20"/>
        </w:rPr>
        <w:t>específico</w:t>
      </w:r>
      <w:r>
        <w:rPr>
          <w:color w:val="231F20"/>
          <w:spacing w:val="-4"/>
        </w:rPr>
        <w:t> </w:t>
      </w:r>
      <w:r>
        <w:rPr>
          <w:color w:val="231F20"/>
        </w:rPr>
        <w:t>para</w:t>
      </w:r>
      <w:r>
        <w:rPr>
          <w:color w:val="231F20"/>
          <w:spacing w:val="-4"/>
        </w:rPr>
        <w:t> </w:t>
      </w:r>
      <w:r>
        <w:rPr>
          <w:color w:val="231F20"/>
        </w:rPr>
        <w:t>un</w:t>
      </w:r>
      <w:r>
        <w:rPr>
          <w:color w:val="231F20"/>
          <w:spacing w:val="-4"/>
        </w:rPr>
        <w:t> </w:t>
      </w:r>
      <w:r>
        <w:rPr>
          <w:color w:val="231F20"/>
        </w:rPr>
        <w:t>cliente en</w:t>
      </w:r>
      <w:r>
        <w:rPr>
          <w:color w:val="231F20"/>
          <w:spacing w:val="-6"/>
        </w:rPr>
        <w:t> </w:t>
      </w:r>
      <w:r>
        <w:rPr>
          <w:color w:val="231F20"/>
        </w:rPr>
        <w:t>particular</w:t>
      </w:r>
      <w:r>
        <w:rPr>
          <w:color w:val="231F20"/>
          <w:spacing w:val="-6"/>
        </w:rPr>
        <w:t> </w:t>
      </w:r>
      <w:r>
        <w:rPr>
          <w:color w:val="231F20"/>
        </w:rPr>
        <w:t>o</w:t>
      </w:r>
      <w:r>
        <w:rPr>
          <w:color w:val="231F20"/>
          <w:spacing w:val="-6"/>
        </w:rPr>
        <w:t> </w:t>
      </w:r>
      <w:r>
        <w:rPr>
          <w:color w:val="231F20"/>
        </w:rPr>
        <w:t>un</w:t>
      </w:r>
      <w:r>
        <w:rPr>
          <w:color w:val="231F20"/>
          <w:spacing w:val="-6"/>
        </w:rPr>
        <w:t> </w:t>
      </w:r>
      <w:r>
        <w:rPr>
          <w:color w:val="231F20"/>
        </w:rPr>
        <w:t>mercado;</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apoyo</w:t>
      </w:r>
      <w:r>
        <w:rPr>
          <w:color w:val="231F20"/>
          <w:spacing w:val="-6"/>
        </w:rPr>
        <w:t> </w:t>
      </w:r>
      <w:r>
        <w:rPr>
          <w:color w:val="231F20"/>
        </w:rPr>
        <w:t>(indirectos),</w:t>
      </w:r>
      <w:r>
        <w:rPr>
          <w:color w:val="231F20"/>
          <w:spacing w:val="-6"/>
        </w:rPr>
        <w:t> </w:t>
      </w:r>
      <w:r>
        <w:rPr>
          <w:color w:val="231F20"/>
        </w:rPr>
        <w:t>que</w:t>
      </w:r>
      <w:r>
        <w:rPr>
          <w:color w:val="231F20"/>
          <w:spacing w:val="-6"/>
        </w:rPr>
        <w:t> </w:t>
      </w:r>
      <w:r>
        <w:rPr>
          <w:color w:val="231F20"/>
        </w:rPr>
        <w:t>comprenden</w:t>
      </w:r>
      <w:r>
        <w:rPr>
          <w:color w:val="231F20"/>
          <w:spacing w:val="-6"/>
        </w:rPr>
        <w:t> </w:t>
      </w:r>
      <w:r>
        <w:rPr>
          <w:color w:val="231F20"/>
        </w:rPr>
        <w:t>a</w:t>
      </w:r>
      <w:r>
        <w:rPr>
          <w:color w:val="231F20"/>
          <w:spacing w:val="-6"/>
        </w:rPr>
        <w:t> </w:t>
      </w:r>
      <w:r>
        <w:rPr>
          <w:color w:val="231F20"/>
        </w:rPr>
        <w:t>compañías</w:t>
      </w:r>
      <w:r>
        <w:rPr>
          <w:color w:val="231F20"/>
          <w:spacing w:val="-6"/>
        </w:rPr>
        <w:t> </w:t>
      </w:r>
      <w:r>
        <w:rPr>
          <w:color w:val="231F20"/>
        </w:rPr>
        <w:t>que simplemente proveen los recursos, los conocimientos y las utilidades para los miem- bros primarios de la cadena de suministro (Lambert,</w:t>
      </w:r>
      <w:r>
        <w:rPr>
          <w:color w:val="231F20"/>
          <w:spacing w:val="-15"/>
        </w:rPr>
        <w:t> </w:t>
      </w:r>
      <w:r>
        <w:rPr>
          <w:color w:val="231F20"/>
        </w:rPr>
        <w:t>2001).</w:t>
      </w:r>
    </w:p>
    <w:p>
      <w:pPr>
        <w:pStyle w:val="BodyText"/>
        <w:spacing w:line="260" w:lineRule="exact"/>
        <w:ind w:left="653" w:firstLine="396"/>
        <w:jc w:val="both"/>
      </w:pPr>
      <w:r>
        <w:rPr>
          <w:color w:val="231F20"/>
        </w:rPr>
        <w:t>Los proveedores de la industria automotriz son reconocidos por “niveles” (</w:t>
      </w:r>
      <w:r>
        <w:rPr>
          <w:rFonts w:ascii="Palatino Linotype" w:hAnsi="Palatino Linotype"/>
          <w:i/>
          <w:color w:val="231F20"/>
        </w:rPr>
        <w:t>Tiers</w:t>
      </w:r>
      <w:r>
        <w:rPr>
          <w:color w:val="231F20"/>
        </w:rPr>
        <w:t>),</w:t>
      </w:r>
    </w:p>
    <w:p>
      <w:pPr>
        <w:pStyle w:val="BodyText"/>
        <w:spacing w:line="278" w:lineRule="auto" w:before="21"/>
        <w:ind w:left="653" w:right="101"/>
        <w:jc w:val="both"/>
      </w:pPr>
      <w:r>
        <w:rPr>
          <w:color w:val="231F20"/>
        </w:rPr>
        <w:t>diferenciados</w:t>
      </w:r>
      <w:r>
        <w:rPr>
          <w:color w:val="231F20"/>
          <w:spacing w:val="-6"/>
        </w:rPr>
        <w:t> </w:t>
      </w:r>
      <w:r>
        <w:rPr>
          <w:color w:val="231F20"/>
        </w:rPr>
        <w:t>por</w:t>
      </w:r>
      <w:r>
        <w:rPr>
          <w:color w:val="231F20"/>
          <w:spacing w:val="-6"/>
        </w:rPr>
        <w:t> </w:t>
      </w:r>
      <w:r>
        <w:rPr>
          <w:color w:val="231F20"/>
        </w:rPr>
        <w:t>la</w:t>
      </w:r>
      <w:r>
        <w:rPr>
          <w:color w:val="231F20"/>
          <w:spacing w:val="-6"/>
        </w:rPr>
        <w:t> </w:t>
      </w:r>
      <w:r>
        <w:rPr>
          <w:color w:val="231F20"/>
        </w:rPr>
        <w:t>naturaleza</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relación</w:t>
      </w:r>
      <w:r>
        <w:rPr>
          <w:color w:val="231F20"/>
          <w:spacing w:val="-6"/>
        </w:rPr>
        <w:t> </w:t>
      </w:r>
      <w:r>
        <w:rPr>
          <w:color w:val="231F20"/>
        </w:rPr>
        <w:t>de</w:t>
      </w:r>
      <w:r>
        <w:rPr>
          <w:color w:val="231F20"/>
          <w:spacing w:val="-6"/>
        </w:rPr>
        <w:t> </w:t>
      </w:r>
      <w:r>
        <w:rPr>
          <w:color w:val="231F20"/>
        </w:rPr>
        <w:t>suministro</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cliente,</w:t>
      </w:r>
      <w:r>
        <w:rPr>
          <w:color w:val="231F20"/>
          <w:spacing w:val="-6"/>
        </w:rPr>
        <w:t> </w:t>
      </w:r>
      <w:r>
        <w:rPr>
          <w:color w:val="231F20"/>
        </w:rPr>
        <w:t>el</w:t>
      </w:r>
      <w:r>
        <w:rPr>
          <w:color w:val="231F20"/>
          <w:spacing w:val="-6"/>
        </w:rPr>
        <w:t> </w:t>
      </w:r>
      <w:r>
        <w:rPr>
          <w:color w:val="231F20"/>
        </w:rPr>
        <w:t>nivel</w:t>
      </w:r>
      <w:r>
        <w:rPr>
          <w:color w:val="231F20"/>
          <w:spacing w:val="-6"/>
        </w:rPr>
        <w:t> </w:t>
      </w:r>
      <w:r>
        <w:rPr>
          <w:color w:val="231F20"/>
        </w:rPr>
        <w:t>tec- nológico del producto que abastecen, la complejidad de la producción y las funciones de suministro que controlen o coordinen (Lamming, 1993); pueden ser proveedores de</w:t>
      </w:r>
      <w:r>
        <w:rPr>
          <w:color w:val="231F20"/>
          <w:spacing w:val="-13"/>
        </w:rPr>
        <w:t> </w:t>
      </w:r>
      <w:r>
        <w:rPr>
          <w:color w:val="231F20"/>
        </w:rPr>
        <w:t>primer</w:t>
      </w:r>
      <w:r>
        <w:rPr>
          <w:color w:val="231F20"/>
          <w:spacing w:val="-13"/>
        </w:rPr>
        <w:t> </w:t>
      </w:r>
      <w:r>
        <w:rPr>
          <w:color w:val="231F20"/>
        </w:rPr>
        <w:t>nivel</w:t>
      </w:r>
      <w:r>
        <w:rPr>
          <w:color w:val="231F20"/>
          <w:spacing w:val="-13"/>
        </w:rPr>
        <w:t> </w:t>
      </w:r>
      <w:r>
        <w:rPr>
          <w:color w:val="231F20"/>
        </w:rPr>
        <w:t>(directos),</w:t>
      </w:r>
      <w:r>
        <w:rPr>
          <w:color w:val="231F20"/>
          <w:spacing w:val="-13"/>
        </w:rPr>
        <w:t> </w:t>
      </w:r>
      <w:r>
        <w:rPr>
          <w:color w:val="231F20"/>
        </w:rPr>
        <w:t>segundo</w:t>
      </w:r>
      <w:r>
        <w:rPr>
          <w:color w:val="231F20"/>
          <w:spacing w:val="-13"/>
        </w:rPr>
        <w:t> </w:t>
      </w:r>
      <w:r>
        <w:rPr>
          <w:color w:val="231F20"/>
        </w:rPr>
        <w:t>nivel,</w:t>
      </w:r>
      <w:r>
        <w:rPr>
          <w:color w:val="231F20"/>
          <w:spacing w:val="-13"/>
        </w:rPr>
        <w:t> </w:t>
      </w:r>
      <w:r>
        <w:rPr>
          <w:color w:val="231F20"/>
        </w:rPr>
        <w:t>tercer</w:t>
      </w:r>
      <w:r>
        <w:rPr>
          <w:color w:val="231F20"/>
          <w:spacing w:val="-13"/>
        </w:rPr>
        <w:t> </w:t>
      </w:r>
      <w:r>
        <w:rPr>
          <w:color w:val="231F20"/>
        </w:rPr>
        <w:t>nivel,</w:t>
      </w:r>
      <w:r>
        <w:rPr>
          <w:color w:val="231F20"/>
          <w:spacing w:val="-13"/>
        </w:rPr>
        <w:t> </w:t>
      </w:r>
      <w:r>
        <w:rPr>
          <w:color w:val="231F20"/>
        </w:rPr>
        <w:t>y</w:t>
      </w:r>
      <w:r>
        <w:rPr>
          <w:color w:val="231F20"/>
          <w:spacing w:val="-13"/>
        </w:rPr>
        <w:t> </w:t>
      </w:r>
      <w:r>
        <w:rPr>
          <w:color w:val="231F20"/>
        </w:rPr>
        <w:t>así</w:t>
      </w:r>
      <w:r>
        <w:rPr>
          <w:color w:val="231F20"/>
          <w:spacing w:val="-13"/>
        </w:rPr>
        <w:t> </w:t>
      </w:r>
      <w:r>
        <w:rPr>
          <w:color w:val="231F20"/>
        </w:rPr>
        <w:t>sucesivamente</w:t>
      </w:r>
      <w:r>
        <w:rPr>
          <w:color w:val="231F20"/>
          <w:spacing w:val="-13"/>
        </w:rPr>
        <w:t> </w:t>
      </w:r>
      <w:r>
        <w:rPr>
          <w:color w:val="231F20"/>
        </w:rPr>
        <w:t>(indirectos), que</w:t>
      </w:r>
      <w:r>
        <w:rPr>
          <w:color w:val="231F20"/>
          <w:spacing w:val="-7"/>
        </w:rPr>
        <w:t> </w:t>
      </w:r>
      <w:r>
        <w:rPr>
          <w:color w:val="231F20"/>
        </w:rPr>
        <w:t>abastecen</w:t>
      </w:r>
      <w:r>
        <w:rPr>
          <w:color w:val="231F20"/>
          <w:spacing w:val="-7"/>
        </w:rPr>
        <w:t> </w:t>
      </w:r>
      <w:r>
        <w:rPr>
          <w:color w:val="231F20"/>
        </w:rPr>
        <w:t>productos</w:t>
      </w:r>
      <w:r>
        <w:rPr>
          <w:color w:val="231F20"/>
          <w:spacing w:val="-7"/>
        </w:rPr>
        <w:t> </w:t>
      </w:r>
      <w:r>
        <w:rPr>
          <w:color w:val="231F20"/>
        </w:rPr>
        <w:t>cada</w:t>
      </w:r>
      <w:r>
        <w:rPr>
          <w:color w:val="231F20"/>
          <w:spacing w:val="-7"/>
        </w:rPr>
        <w:t> </w:t>
      </w:r>
      <w:r>
        <w:rPr>
          <w:color w:val="231F20"/>
        </w:rPr>
        <w:t>vez</w:t>
      </w:r>
      <w:r>
        <w:rPr>
          <w:color w:val="231F20"/>
          <w:spacing w:val="-7"/>
        </w:rPr>
        <w:t> </w:t>
      </w:r>
      <w:r>
        <w:rPr>
          <w:color w:val="231F20"/>
        </w:rPr>
        <w:t>de</w:t>
      </w:r>
      <w:r>
        <w:rPr>
          <w:color w:val="231F20"/>
          <w:spacing w:val="-7"/>
        </w:rPr>
        <w:t> </w:t>
      </w:r>
      <w:r>
        <w:rPr>
          <w:color w:val="231F20"/>
        </w:rPr>
        <w:t>menor</w:t>
      </w:r>
      <w:r>
        <w:rPr>
          <w:color w:val="231F20"/>
          <w:spacing w:val="-7"/>
        </w:rPr>
        <w:t> </w:t>
      </w:r>
      <w:r>
        <w:rPr>
          <w:color w:val="231F20"/>
        </w:rPr>
        <w:t>valor</w:t>
      </w:r>
      <w:r>
        <w:rPr>
          <w:color w:val="231F20"/>
          <w:spacing w:val="-7"/>
        </w:rPr>
        <w:t> </w:t>
      </w:r>
      <w:r>
        <w:rPr>
          <w:color w:val="231F20"/>
        </w:rPr>
        <w:t>agregado.</w:t>
      </w:r>
    </w:p>
    <w:p>
      <w:pPr>
        <w:pStyle w:val="BodyText"/>
        <w:spacing w:line="278" w:lineRule="auto" w:before="1"/>
        <w:ind w:left="653" w:right="101" w:firstLine="396"/>
        <w:jc w:val="both"/>
      </w:pPr>
      <w:r>
        <w:rPr>
          <w:color w:val="231F20"/>
        </w:rPr>
        <w:t>Sachon</w:t>
      </w:r>
      <w:r>
        <w:rPr>
          <w:color w:val="231F20"/>
          <w:spacing w:val="-10"/>
        </w:rPr>
        <w:t> </w:t>
      </w:r>
      <w:r>
        <w:rPr>
          <w:color w:val="231F20"/>
        </w:rPr>
        <w:t>y</w:t>
      </w:r>
      <w:r>
        <w:rPr>
          <w:color w:val="231F20"/>
          <w:spacing w:val="-10"/>
        </w:rPr>
        <w:t> </w:t>
      </w:r>
      <w:r>
        <w:rPr>
          <w:color w:val="231F20"/>
        </w:rPr>
        <w:t>Albiñana</w:t>
      </w:r>
      <w:r>
        <w:rPr>
          <w:color w:val="231F20"/>
          <w:spacing w:val="-10"/>
        </w:rPr>
        <w:t> </w:t>
      </w:r>
      <w:r>
        <w:rPr>
          <w:color w:val="231F20"/>
        </w:rPr>
        <w:t>(2004)</w:t>
      </w:r>
      <w:r>
        <w:rPr>
          <w:color w:val="231F20"/>
          <w:spacing w:val="-10"/>
        </w:rPr>
        <w:t> </w:t>
      </w:r>
      <w:r>
        <w:rPr>
          <w:color w:val="231F20"/>
        </w:rPr>
        <w:t>señalan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proveedores</w:t>
      </w:r>
      <w:r>
        <w:rPr>
          <w:color w:val="231F20"/>
          <w:spacing w:val="-10"/>
        </w:rPr>
        <w:t> </w:t>
      </w:r>
      <w:r>
        <w:rPr>
          <w:color w:val="231F20"/>
        </w:rPr>
        <w:t>del</w:t>
      </w:r>
      <w:r>
        <w:rPr>
          <w:color w:val="231F20"/>
          <w:spacing w:val="-10"/>
        </w:rPr>
        <w:t> </w:t>
      </w:r>
      <w:r>
        <w:rPr>
          <w:color w:val="231F20"/>
        </w:rPr>
        <w:t>primer</w:t>
      </w:r>
      <w:r>
        <w:rPr>
          <w:color w:val="231F20"/>
          <w:spacing w:val="-10"/>
        </w:rPr>
        <w:t> </w:t>
      </w:r>
      <w:r>
        <w:rPr>
          <w:color w:val="231F20"/>
        </w:rPr>
        <w:t>nivel</w:t>
      </w:r>
      <w:r>
        <w:rPr>
          <w:color w:val="231F20"/>
          <w:spacing w:val="-10"/>
        </w:rPr>
        <w:t> </w:t>
      </w:r>
      <w:r>
        <w:rPr>
          <w:color w:val="231F20"/>
        </w:rPr>
        <w:t>se</w:t>
      </w:r>
      <w:r>
        <w:rPr>
          <w:color w:val="231F20"/>
          <w:spacing w:val="-10"/>
        </w:rPr>
        <w:t> </w:t>
      </w:r>
      <w:r>
        <w:rPr>
          <w:color w:val="231F20"/>
        </w:rPr>
        <w:t>ocupan de la integración de sistemas para abastecer módulos ya ensamblados directamente    a la cadena de montaje del </w:t>
      </w:r>
      <w:r>
        <w:rPr>
          <w:color w:val="231F20"/>
          <w:spacing w:val="-3"/>
        </w:rPr>
        <w:t>ensamblador. </w:t>
      </w:r>
      <w:r>
        <w:rPr>
          <w:color w:val="231F20"/>
        </w:rPr>
        <w:t>El proveedor depende de su tamaño y su diversidad; puede abastecer desde una parte hasta alguno de los sistemas principales del automóvil (Brunnermeier y Martin, 1999). En este nivel se sitúan empresas como Bosch,</w:t>
      </w:r>
      <w:r>
        <w:rPr>
          <w:color w:val="231F20"/>
          <w:spacing w:val="-5"/>
        </w:rPr>
        <w:t> </w:t>
      </w:r>
      <w:r>
        <w:rPr>
          <w:color w:val="231F20"/>
        </w:rPr>
        <w:t>Dana,</w:t>
      </w:r>
      <w:r>
        <w:rPr>
          <w:color w:val="231F20"/>
          <w:spacing w:val="-5"/>
        </w:rPr>
        <w:t> </w:t>
      </w:r>
      <w:r>
        <w:rPr>
          <w:color w:val="231F20"/>
        </w:rPr>
        <w:t>Delphi</w:t>
      </w:r>
      <w:r>
        <w:rPr>
          <w:color w:val="231F20"/>
          <w:spacing w:val="-5"/>
        </w:rPr>
        <w:t> </w:t>
      </w:r>
      <w:r>
        <w:rPr>
          <w:color w:val="231F20"/>
          <w:spacing w:val="-3"/>
        </w:rPr>
        <w:t>Automotive,</w:t>
      </w:r>
      <w:r>
        <w:rPr>
          <w:color w:val="231F20"/>
          <w:spacing w:val="-5"/>
        </w:rPr>
        <w:t> </w:t>
      </w:r>
      <w:r>
        <w:rPr>
          <w:color w:val="231F20"/>
        </w:rPr>
        <w:t>Johnson</w:t>
      </w:r>
      <w:r>
        <w:rPr>
          <w:color w:val="231F20"/>
          <w:spacing w:val="-5"/>
        </w:rPr>
        <w:t> </w:t>
      </w:r>
      <w:r>
        <w:rPr>
          <w:color w:val="231F20"/>
        </w:rPr>
        <w:t>Controls</w:t>
      </w:r>
      <w:r>
        <w:rPr>
          <w:color w:val="231F20"/>
          <w:spacing w:val="-5"/>
        </w:rPr>
        <w:t> </w:t>
      </w:r>
      <w:r>
        <w:rPr>
          <w:color w:val="231F20"/>
        </w:rPr>
        <w:t>Inc.</w:t>
      </w:r>
      <w:r>
        <w:rPr>
          <w:color w:val="231F20"/>
          <w:spacing w:val="-5"/>
        </w:rPr>
        <w:t> </w:t>
      </w:r>
      <w:r>
        <w:rPr>
          <w:color w:val="231F20"/>
        </w:rPr>
        <w:t>y</w:t>
      </w:r>
      <w:r>
        <w:rPr>
          <w:color w:val="231F20"/>
          <w:spacing w:val="-5"/>
        </w:rPr>
        <w:t> </w:t>
      </w:r>
      <w:r>
        <w:rPr>
          <w:color w:val="231F20"/>
        </w:rPr>
        <w:t>Lear</w:t>
      </w:r>
      <w:r>
        <w:rPr>
          <w:color w:val="231F20"/>
          <w:spacing w:val="-5"/>
        </w:rPr>
        <w:t> </w:t>
      </w:r>
      <w:r>
        <w:rPr>
          <w:color w:val="231F20"/>
        </w:rPr>
        <w:t>Corporation,</w:t>
      </w:r>
      <w:r>
        <w:rPr>
          <w:color w:val="231F20"/>
          <w:spacing w:val="-5"/>
        </w:rPr>
        <w:t> </w:t>
      </w:r>
      <w:r>
        <w:rPr>
          <w:color w:val="231F20"/>
        </w:rPr>
        <w:t>cada</w:t>
      </w:r>
      <w:r>
        <w:rPr>
          <w:color w:val="231F20"/>
          <w:spacing w:val="-5"/>
        </w:rPr>
        <w:t> </w:t>
      </w:r>
      <w:r>
        <w:rPr>
          <w:color w:val="231F20"/>
        </w:rPr>
        <w:t>una con ventas de miles de millones de dólares. Las empresas pertenecientes a este grupo generalmente</w:t>
      </w:r>
      <w:r>
        <w:rPr>
          <w:color w:val="231F20"/>
          <w:spacing w:val="-8"/>
        </w:rPr>
        <w:t> </w:t>
      </w:r>
      <w:r>
        <w:rPr>
          <w:color w:val="231F20"/>
        </w:rPr>
        <w:t>utilizan</w:t>
      </w:r>
      <w:r>
        <w:rPr>
          <w:color w:val="231F20"/>
          <w:spacing w:val="-8"/>
        </w:rPr>
        <w:t> </w:t>
      </w:r>
      <w:r>
        <w:rPr>
          <w:color w:val="231F20"/>
        </w:rPr>
        <w:t>la</w:t>
      </w:r>
      <w:r>
        <w:rPr>
          <w:color w:val="231F20"/>
          <w:spacing w:val="-8"/>
        </w:rPr>
        <w:t> </w:t>
      </w:r>
      <w:r>
        <w:rPr>
          <w:color w:val="231F20"/>
        </w:rPr>
        <w:t>estrategia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modelos</w:t>
      </w:r>
      <w:r>
        <w:rPr>
          <w:color w:val="231F20"/>
          <w:spacing w:val="-8"/>
        </w:rPr>
        <w:t> </w:t>
      </w:r>
      <w:r>
        <w:rPr>
          <w:color w:val="231F20"/>
        </w:rPr>
        <w:t>“justo</w:t>
      </w:r>
      <w:r>
        <w:rPr>
          <w:color w:val="231F20"/>
          <w:spacing w:val="-8"/>
        </w:rPr>
        <w:t> </w:t>
      </w:r>
      <w:r>
        <w:rPr>
          <w:color w:val="231F20"/>
        </w:rPr>
        <w:t>a</w:t>
      </w:r>
      <w:r>
        <w:rPr>
          <w:color w:val="231F20"/>
          <w:spacing w:val="-8"/>
        </w:rPr>
        <w:t> </w:t>
      </w:r>
      <w:r>
        <w:rPr>
          <w:color w:val="231F20"/>
          <w:spacing w:val="-3"/>
        </w:rPr>
        <w:t>tiempo”</w:t>
      </w:r>
      <w:r>
        <w:rPr>
          <w:color w:val="231F20"/>
          <w:spacing w:val="-8"/>
        </w:rPr>
        <w:t> </w:t>
      </w:r>
      <w:r>
        <w:rPr>
          <w:color w:val="231F20"/>
        </w:rPr>
        <w:t>y</w:t>
      </w:r>
      <w:r>
        <w:rPr>
          <w:color w:val="231F20"/>
          <w:spacing w:val="-8"/>
        </w:rPr>
        <w:t> </w:t>
      </w:r>
      <w:r>
        <w:rPr>
          <w:color w:val="231F20"/>
          <w:spacing w:val="-3"/>
        </w:rPr>
        <w:t>“calidad</w:t>
      </w:r>
      <w:r>
        <w:rPr>
          <w:color w:val="231F20"/>
          <w:spacing w:val="-8"/>
        </w:rPr>
        <w:t> </w:t>
      </w:r>
      <w:r>
        <w:rPr>
          <w:color w:val="231F20"/>
          <w:spacing w:val="-7"/>
        </w:rPr>
        <w:t>total”.</w:t>
      </w:r>
    </w:p>
    <w:p>
      <w:pPr>
        <w:pStyle w:val="BodyText"/>
        <w:spacing w:line="278" w:lineRule="auto" w:before="1"/>
        <w:ind w:left="653" w:right="102" w:firstLine="396"/>
        <w:jc w:val="both"/>
      </w:pPr>
      <w:r>
        <w:rPr>
          <w:color w:val="231F20"/>
        </w:rPr>
        <w:t>Los subproveedores de segundo nivel y de aquellos niveles más alejados se en- frentan a un mercado más competido, debido a que lo constituyen miles de  pequeñas</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6"/>
      </w:pPr>
    </w:p>
    <w:p>
      <w:pPr>
        <w:pStyle w:val="BodyText"/>
        <w:spacing w:line="271" w:lineRule="auto" w:before="58"/>
        <w:ind w:left="103" w:right="650"/>
        <w:jc w:val="both"/>
      </w:pPr>
      <w:r>
        <w:rPr>
          <w:color w:val="231F20"/>
        </w:rPr>
        <w:t>empresas que se caracterizan por surtir componentes especializados. </w:t>
      </w:r>
      <w:r>
        <w:rPr>
          <w:color w:val="231F20"/>
          <w:spacing w:val="-3"/>
        </w:rPr>
        <w:t>Veloso </w:t>
      </w:r>
      <w:r>
        <w:rPr>
          <w:color w:val="231F20"/>
        </w:rPr>
        <w:t>y Kumar (2002) dividen estas empresas en dos categorías: </w:t>
      </w:r>
      <w:r>
        <w:rPr>
          <w:rFonts w:ascii="Palatino Linotype" w:hAnsi="Palatino Linotype"/>
          <w:i/>
          <w:color w:val="231F20"/>
        </w:rPr>
        <w:t>a) </w:t>
      </w:r>
      <w:r>
        <w:rPr>
          <w:color w:val="231F20"/>
        </w:rPr>
        <w:t>fabricantes de componentes: con frecuencia</w:t>
      </w:r>
      <w:r>
        <w:rPr>
          <w:color w:val="231F20"/>
          <w:spacing w:val="-6"/>
        </w:rPr>
        <w:t> </w:t>
      </w:r>
      <w:r>
        <w:rPr>
          <w:color w:val="231F20"/>
        </w:rPr>
        <w:t>estas</w:t>
      </w:r>
      <w:r>
        <w:rPr>
          <w:color w:val="231F20"/>
          <w:spacing w:val="-6"/>
        </w:rPr>
        <w:t> </w:t>
      </w:r>
      <w:r>
        <w:rPr>
          <w:color w:val="231F20"/>
        </w:rPr>
        <w:t>empresas</w:t>
      </w:r>
      <w:r>
        <w:rPr>
          <w:color w:val="231F20"/>
          <w:spacing w:val="-6"/>
        </w:rPr>
        <w:t> </w:t>
      </w:r>
      <w:r>
        <w:rPr>
          <w:color w:val="231F20"/>
        </w:rPr>
        <w:t>tienen</w:t>
      </w:r>
      <w:r>
        <w:rPr>
          <w:color w:val="231F20"/>
          <w:spacing w:val="-6"/>
        </w:rPr>
        <w:t> </w:t>
      </w:r>
      <w:r>
        <w:rPr>
          <w:color w:val="231F20"/>
        </w:rPr>
        <w:t>la</w:t>
      </w:r>
      <w:r>
        <w:rPr>
          <w:color w:val="231F20"/>
          <w:spacing w:val="-6"/>
        </w:rPr>
        <w:t> </w:t>
      </w:r>
      <w:r>
        <w:rPr>
          <w:color w:val="231F20"/>
        </w:rPr>
        <w:t>responsabilidad</w:t>
      </w:r>
      <w:r>
        <w:rPr>
          <w:color w:val="231F20"/>
          <w:spacing w:val="-6"/>
        </w:rPr>
        <w:t> </w:t>
      </w:r>
      <w:r>
        <w:rPr>
          <w:color w:val="231F20"/>
        </w:rPr>
        <w:t>de</w:t>
      </w:r>
      <w:r>
        <w:rPr>
          <w:color w:val="231F20"/>
          <w:spacing w:val="-6"/>
        </w:rPr>
        <w:t> </w:t>
      </w:r>
      <w:r>
        <w:rPr>
          <w:color w:val="231F20"/>
        </w:rPr>
        <w:t>diseñar</w:t>
      </w:r>
      <w:r>
        <w:rPr>
          <w:color w:val="231F20"/>
          <w:spacing w:val="-6"/>
        </w:rPr>
        <w:t> </w:t>
      </w:r>
      <w:r>
        <w:rPr>
          <w:color w:val="231F20"/>
        </w:rPr>
        <w:t>y</w:t>
      </w:r>
      <w:r>
        <w:rPr>
          <w:color w:val="231F20"/>
          <w:spacing w:val="-6"/>
        </w:rPr>
        <w:t> </w:t>
      </w:r>
      <w:r>
        <w:rPr>
          <w:color w:val="231F20"/>
        </w:rPr>
        <w:t>probar</w:t>
      </w:r>
      <w:r>
        <w:rPr>
          <w:color w:val="231F20"/>
          <w:spacing w:val="-6"/>
        </w:rPr>
        <w:t> </w:t>
      </w:r>
      <w:r>
        <w:rPr>
          <w:color w:val="231F20"/>
        </w:rPr>
        <w:t>sus</w:t>
      </w:r>
      <w:r>
        <w:rPr>
          <w:color w:val="231F20"/>
          <w:spacing w:val="-6"/>
        </w:rPr>
        <w:t> </w:t>
      </w:r>
      <w:r>
        <w:rPr>
          <w:color w:val="231F20"/>
        </w:rPr>
        <w:t>productos; en</w:t>
      </w:r>
      <w:r>
        <w:rPr>
          <w:color w:val="231F20"/>
          <w:spacing w:val="-7"/>
        </w:rPr>
        <w:t> </w:t>
      </w:r>
      <w:r>
        <w:rPr>
          <w:color w:val="231F20"/>
        </w:rPr>
        <w:t>la</w:t>
      </w:r>
      <w:r>
        <w:rPr>
          <w:color w:val="231F20"/>
          <w:spacing w:val="-7"/>
        </w:rPr>
        <w:t> </w:t>
      </w:r>
      <w:r>
        <w:rPr>
          <w:color w:val="231F20"/>
        </w:rPr>
        <w:t>mayoría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casos</w:t>
      </w:r>
      <w:r>
        <w:rPr>
          <w:color w:val="231F20"/>
          <w:spacing w:val="-7"/>
        </w:rPr>
        <w:t> </w:t>
      </w:r>
      <w:r>
        <w:rPr>
          <w:color w:val="231F20"/>
        </w:rPr>
        <w:t>estas</w:t>
      </w:r>
      <w:r>
        <w:rPr>
          <w:color w:val="231F20"/>
          <w:spacing w:val="-7"/>
        </w:rPr>
        <w:t> </w:t>
      </w:r>
      <w:r>
        <w:rPr>
          <w:color w:val="231F20"/>
        </w:rPr>
        <w:t>empresas</w:t>
      </w:r>
      <w:r>
        <w:rPr>
          <w:color w:val="231F20"/>
          <w:spacing w:val="-7"/>
        </w:rPr>
        <w:t> </w:t>
      </w:r>
      <w:r>
        <w:rPr>
          <w:color w:val="231F20"/>
        </w:rPr>
        <w:t>son</w:t>
      </w:r>
      <w:r>
        <w:rPr>
          <w:color w:val="231F20"/>
          <w:spacing w:val="-7"/>
        </w:rPr>
        <w:t> </w:t>
      </w:r>
      <w:r>
        <w:rPr>
          <w:color w:val="231F20"/>
        </w:rPr>
        <w:t>un</w:t>
      </w:r>
      <w:r>
        <w:rPr>
          <w:color w:val="231F20"/>
          <w:spacing w:val="-7"/>
        </w:rPr>
        <w:t> </w:t>
      </w:r>
      <w:r>
        <w:rPr>
          <w:color w:val="231F20"/>
        </w:rPr>
        <w:t>proveedor</w:t>
      </w:r>
      <w:r>
        <w:rPr>
          <w:color w:val="231F20"/>
          <w:spacing w:val="-7"/>
        </w:rPr>
        <w:t> </w:t>
      </w:r>
      <w:r>
        <w:rPr>
          <w:color w:val="231F20"/>
        </w:rPr>
        <w:t>indirecto</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ensambla- dores</w:t>
      </w:r>
      <w:r>
        <w:rPr>
          <w:color w:val="231F20"/>
          <w:spacing w:val="-11"/>
        </w:rPr>
        <w:t> </w:t>
      </w:r>
      <w:r>
        <w:rPr>
          <w:color w:val="231F20"/>
        </w:rPr>
        <w:t>de</w:t>
      </w:r>
      <w:r>
        <w:rPr>
          <w:color w:val="231F20"/>
          <w:spacing w:val="-11"/>
        </w:rPr>
        <w:t> </w:t>
      </w:r>
      <w:r>
        <w:rPr>
          <w:color w:val="231F20"/>
        </w:rPr>
        <w:t>automóviles</w:t>
      </w:r>
      <w:r>
        <w:rPr>
          <w:color w:val="231F20"/>
          <w:spacing w:val="-11"/>
        </w:rPr>
        <w:t> </w:t>
      </w:r>
      <w:r>
        <w:rPr>
          <w:color w:val="231F20"/>
        </w:rPr>
        <w:t>y</w:t>
      </w:r>
      <w:r>
        <w:rPr>
          <w:color w:val="231F20"/>
          <w:spacing w:val="-11"/>
        </w:rPr>
        <w:t> </w:t>
      </w:r>
      <w:r>
        <w:rPr>
          <w:color w:val="231F20"/>
        </w:rPr>
        <w:t>sus</w:t>
      </w:r>
      <w:r>
        <w:rPr>
          <w:color w:val="231F20"/>
          <w:spacing w:val="-11"/>
        </w:rPr>
        <w:t> </w:t>
      </w:r>
      <w:r>
        <w:rPr>
          <w:color w:val="231F20"/>
        </w:rPr>
        <w:t>clientes</w:t>
      </w:r>
      <w:r>
        <w:rPr>
          <w:color w:val="231F20"/>
          <w:spacing w:val="-11"/>
        </w:rPr>
        <w:t> </w:t>
      </w:r>
      <w:r>
        <w:rPr>
          <w:color w:val="231F20"/>
        </w:rPr>
        <w:t>directos</w:t>
      </w:r>
      <w:r>
        <w:rPr>
          <w:color w:val="231F20"/>
          <w:spacing w:val="-11"/>
        </w:rPr>
        <w:t> </w:t>
      </w:r>
      <w:r>
        <w:rPr>
          <w:color w:val="231F20"/>
        </w:rPr>
        <w:t>son</w:t>
      </w:r>
      <w:r>
        <w:rPr>
          <w:color w:val="231F20"/>
          <w:spacing w:val="-11"/>
        </w:rPr>
        <w:t> </w:t>
      </w:r>
      <w:r>
        <w:rPr>
          <w:color w:val="231F20"/>
        </w:rPr>
        <w:t>otros</w:t>
      </w:r>
      <w:r>
        <w:rPr>
          <w:color w:val="231F20"/>
          <w:spacing w:val="-11"/>
        </w:rPr>
        <w:t> </w:t>
      </w:r>
      <w:r>
        <w:rPr>
          <w:color w:val="231F20"/>
        </w:rPr>
        <w:t>proveedores</w:t>
      </w:r>
      <w:r>
        <w:rPr>
          <w:color w:val="231F20"/>
          <w:spacing w:val="-11"/>
        </w:rPr>
        <w:t> </w:t>
      </w:r>
      <w:r>
        <w:rPr>
          <w:color w:val="231F20"/>
        </w:rPr>
        <w:t>que</w:t>
      </w:r>
      <w:r>
        <w:rPr>
          <w:color w:val="231F20"/>
          <w:spacing w:val="-11"/>
        </w:rPr>
        <w:t> </w:t>
      </w:r>
      <w:r>
        <w:rPr>
          <w:color w:val="231F20"/>
        </w:rPr>
        <w:t>están</w:t>
      </w:r>
      <w:r>
        <w:rPr>
          <w:color w:val="231F20"/>
          <w:spacing w:val="-11"/>
        </w:rPr>
        <w:t> </w:t>
      </w:r>
      <w:r>
        <w:rPr>
          <w:color w:val="231F20"/>
        </w:rPr>
        <w:t>colocados en niveles más altos de la cadena de suministro; </w:t>
      </w:r>
      <w:r>
        <w:rPr>
          <w:rFonts w:ascii="Palatino Linotype" w:hAnsi="Palatino Linotype"/>
          <w:i/>
          <w:color w:val="231F20"/>
        </w:rPr>
        <w:t>b) </w:t>
      </w:r>
      <w:r>
        <w:rPr>
          <w:color w:val="231F20"/>
        </w:rPr>
        <w:t>fabricantes de subensambles: son firmas especializadas con capacidad de ensamblar, integrar y diseñar un proceso; por ejemplo, la plataforma de la dirección, un sistema de pedales u otros (Juárez, 2005). La mayoría de las empresas del segundo nivel se enfocan en un pequeño proceso; desarrollan productos de bajo valor agregado en pequeñas instalaciones y en una sola ubicación</w:t>
      </w:r>
      <w:r>
        <w:rPr>
          <w:color w:val="231F20"/>
          <w:spacing w:val="-11"/>
        </w:rPr>
        <w:t> </w:t>
      </w:r>
      <w:r>
        <w:rPr>
          <w:color w:val="231F20"/>
        </w:rPr>
        <w:t>con</w:t>
      </w:r>
      <w:r>
        <w:rPr>
          <w:color w:val="231F20"/>
          <w:spacing w:val="-11"/>
        </w:rPr>
        <w:t> </w:t>
      </w:r>
      <w:r>
        <w:rPr>
          <w:color w:val="231F20"/>
        </w:rPr>
        <w:t>cierta</w:t>
      </w:r>
      <w:r>
        <w:rPr>
          <w:color w:val="231F20"/>
          <w:spacing w:val="-11"/>
        </w:rPr>
        <w:t> </w:t>
      </w:r>
      <w:r>
        <w:rPr>
          <w:color w:val="231F20"/>
        </w:rPr>
        <w:t>eficiencia;</w:t>
      </w:r>
      <w:r>
        <w:rPr>
          <w:color w:val="231F20"/>
          <w:spacing w:val="-11"/>
        </w:rPr>
        <w:t> </w:t>
      </w:r>
      <w:r>
        <w:rPr>
          <w:color w:val="231F20"/>
        </w:rPr>
        <w:t>o</w:t>
      </w:r>
      <w:r>
        <w:rPr>
          <w:color w:val="231F20"/>
          <w:spacing w:val="-11"/>
        </w:rPr>
        <w:t> </w:t>
      </w:r>
      <w:r>
        <w:rPr>
          <w:color w:val="231F20"/>
        </w:rPr>
        <w:t>incluso,</w:t>
      </w:r>
      <w:r>
        <w:rPr>
          <w:color w:val="231F20"/>
          <w:spacing w:val="-11"/>
        </w:rPr>
        <w:t> </w:t>
      </w:r>
      <w:r>
        <w:rPr>
          <w:color w:val="231F20"/>
        </w:rPr>
        <w:t>con</w:t>
      </w:r>
      <w:r>
        <w:rPr>
          <w:color w:val="231F20"/>
          <w:spacing w:val="-11"/>
        </w:rPr>
        <w:t> </w:t>
      </w:r>
      <w:r>
        <w:rPr>
          <w:color w:val="231F20"/>
        </w:rPr>
        <w:t>deficiencias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proceso</w:t>
      </w:r>
      <w:r>
        <w:rPr>
          <w:color w:val="231F20"/>
          <w:spacing w:val="-11"/>
        </w:rPr>
        <w:t> </w:t>
      </w:r>
      <w:r>
        <w:rPr>
          <w:color w:val="231F20"/>
        </w:rPr>
        <w:t>de</w:t>
      </w:r>
      <w:r>
        <w:rPr>
          <w:color w:val="231F20"/>
          <w:spacing w:val="-11"/>
        </w:rPr>
        <w:t> </w:t>
      </w:r>
      <w:r>
        <w:rPr>
          <w:color w:val="231F20"/>
        </w:rPr>
        <w:t>fabricación y bajo una estructura de negocios ajustados con limitado desarrollo de ingeniería. Algunas de las compañías importantes que pertenecen a este grupo son: Nypro Inc., Ganto Technologies, Lectra System Inc., ITW-Deltar, Brush Research</w:t>
      </w:r>
      <w:r>
        <w:rPr>
          <w:color w:val="231F20"/>
          <w:spacing w:val="-27"/>
        </w:rPr>
        <w:t> </w:t>
      </w:r>
      <w:r>
        <w:rPr>
          <w:color w:val="231F20"/>
        </w:rPr>
        <w:t>Manufacturing Co. (Juárez,</w:t>
      </w:r>
      <w:r>
        <w:rPr>
          <w:color w:val="231F20"/>
          <w:spacing w:val="-35"/>
        </w:rPr>
        <w:t> </w:t>
      </w:r>
      <w:r>
        <w:rPr>
          <w:color w:val="231F20"/>
        </w:rPr>
        <w:t>2005).</w:t>
      </w:r>
    </w:p>
    <w:p>
      <w:pPr>
        <w:pStyle w:val="BodyText"/>
        <w:spacing w:line="278" w:lineRule="auto" w:before="8"/>
        <w:ind w:left="103" w:right="651" w:firstLine="396"/>
        <w:jc w:val="both"/>
      </w:pPr>
      <w:r>
        <w:rPr>
          <w:color w:val="231F20"/>
        </w:rPr>
        <w:t>De</w:t>
      </w:r>
      <w:r>
        <w:rPr>
          <w:color w:val="231F20"/>
          <w:spacing w:val="-15"/>
        </w:rPr>
        <w:t> </w:t>
      </w:r>
      <w:r>
        <w:rPr>
          <w:color w:val="231F20"/>
        </w:rPr>
        <w:t>acuerdo</w:t>
      </w:r>
      <w:r>
        <w:rPr>
          <w:color w:val="231F20"/>
          <w:spacing w:val="-15"/>
        </w:rPr>
        <w:t> </w:t>
      </w:r>
      <w:r>
        <w:rPr>
          <w:color w:val="231F20"/>
        </w:rPr>
        <w:t>con</w:t>
      </w:r>
      <w:r>
        <w:rPr>
          <w:color w:val="231F20"/>
          <w:spacing w:val="-15"/>
        </w:rPr>
        <w:t> </w:t>
      </w:r>
      <w:r>
        <w:rPr>
          <w:color w:val="231F20"/>
        </w:rPr>
        <w:t>Mortimore</w:t>
      </w:r>
      <w:r>
        <w:rPr>
          <w:color w:val="231F20"/>
          <w:spacing w:val="-15"/>
        </w:rPr>
        <w:t> </w:t>
      </w:r>
      <w:r>
        <w:rPr>
          <w:color w:val="231F20"/>
        </w:rPr>
        <w:t>y</w:t>
      </w:r>
      <w:r>
        <w:rPr>
          <w:color w:val="231F20"/>
          <w:spacing w:val="-15"/>
        </w:rPr>
        <w:t> </w:t>
      </w:r>
      <w:r>
        <w:rPr>
          <w:color w:val="231F20"/>
        </w:rPr>
        <w:t>Barron</w:t>
      </w:r>
      <w:r>
        <w:rPr>
          <w:color w:val="231F20"/>
          <w:spacing w:val="-15"/>
        </w:rPr>
        <w:t> </w:t>
      </w:r>
      <w:r>
        <w:rPr>
          <w:color w:val="231F20"/>
        </w:rPr>
        <w:t>(2005),</w:t>
      </w:r>
      <w:r>
        <w:rPr>
          <w:color w:val="231F20"/>
          <w:spacing w:val="-15"/>
        </w:rPr>
        <w:t> </w:t>
      </w:r>
      <w:r>
        <w:rPr>
          <w:color w:val="231F20"/>
        </w:rPr>
        <w:t>las</w:t>
      </w:r>
      <w:r>
        <w:rPr>
          <w:color w:val="231F20"/>
          <w:spacing w:val="-15"/>
        </w:rPr>
        <w:t> </w:t>
      </w:r>
      <w:r>
        <w:rPr>
          <w:color w:val="231F20"/>
        </w:rPr>
        <w:t>nuevas</w:t>
      </w:r>
      <w:r>
        <w:rPr>
          <w:color w:val="231F20"/>
          <w:spacing w:val="-15"/>
        </w:rPr>
        <w:t> </w:t>
      </w:r>
      <w:r>
        <w:rPr>
          <w:color w:val="231F20"/>
        </w:rPr>
        <w:t>políticas</w:t>
      </w:r>
      <w:r>
        <w:rPr>
          <w:color w:val="231F20"/>
          <w:spacing w:val="-15"/>
        </w:rPr>
        <w:t> </w:t>
      </w:r>
      <w:r>
        <w:rPr>
          <w:color w:val="231F20"/>
        </w:rPr>
        <w:t>de</w:t>
      </w:r>
      <w:r>
        <w:rPr>
          <w:color w:val="231F20"/>
          <w:spacing w:val="-15"/>
        </w:rPr>
        <w:t> </w:t>
      </w:r>
      <w:r>
        <w:rPr>
          <w:color w:val="231F20"/>
        </w:rPr>
        <w:t>compras</w:t>
      </w:r>
      <w:r>
        <w:rPr>
          <w:color w:val="231F20"/>
          <w:spacing w:val="-15"/>
        </w:rPr>
        <w:t> </w:t>
      </w:r>
      <w:r>
        <w:rPr>
          <w:color w:val="231F20"/>
        </w:rPr>
        <w:t>de</w:t>
      </w:r>
      <w:r>
        <w:rPr>
          <w:color w:val="231F20"/>
          <w:spacing w:val="-15"/>
        </w:rPr>
        <w:t> </w:t>
      </w:r>
      <w:r>
        <w:rPr>
          <w:color w:val="231F20"/>
        </w:rPr>
        <w:t>las ensambladoras, que implican no sólo mayor subcontratación sino también la transfe- rencia</w:t>
      </w:r>
      <w:r>
        <w:rPr>
          <w:color w:val="231F20"/>
          <w:spacing w:val="-4"/>
        </w:rPr>
        <w:t> </w:t>
      </w:r>
      <w:r>
        <w:rPr>
          <w:color w:val="231F20"/>
        </w:rPr>
        <w:t>de</w:t>
      </w:r>
      <w:r>
        <w:rPr>
          <w:color w:val="231F20"/>
          <w:spacing w:val="-4"/>
        </w:rPr>
        <w:t> </w:t>
      </w:r>
      <w:r>
        <w:rPr>
          <w:color w:val="231F20"/>
        </w:rPr>
        <w:t>más</w:t>
      </w:r>
      <w:r>
        <w:rPr>
          <w:color w:val="231F20"/>
          <w:spacing w:val="-4"/>
        </w:rPr>
        <w:t> </w:t>
      </w:r>
      <w:r>
        <w:rPr>
          <w:color w:val="231F20"/>
        </w:rPr>
        <w:t>actividades</w:t>
      </w:r>
      <w:r>
        <w:rPr>
          <w:color w:val="231F20"/>
          <w:spacing w:val="-4"/>
        </w:rPr>
        <w:t> </w:t>
      </w:r>
      <w:r>
        <w:rPr>
          <w:color w:val="231F20"/>
        </w:rPr>
        <w:t>propias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fabricantes</w:t>
      </w:r>
      <w:r>
        <w:rPr>
          <w:color w:val="231F20"/>
          <w:spacing w:val="-4"/>
        </w:rPr>
        <w:t> </w:t>
      </w:r>
      <w:r>
        <w:rPr>
          <w:color w:val="231F20"/>
        </w:rPr>
        <w:t>de</w:t>
      </w:r>
      <w:r>
        <w:rPr>
          <w:color w:val="231F20"/>
          <w:spacing w:val="-4"/>
        </w:rPr>
        <w:t> </w:t>
      </w:r>
      <w:r>
        <w:rPr>
          <w:color w:val="231F20"/>
        </w:rPr>
        <w:t>autopartes,</w:t>
      </w:r>
      <w:r>
        <w:rPr>
          <w:color w:val="231F20"/>
          <w:spacing w:val="-4"/>
        </w:rPr>
        <w:t> </w:t>
      </w:r>
      <w:r>
        <w:rPr>
          <w:color w:val="231F20"/>
        </w:rPr>
        <w:t>están</w:t>
      </w:r>
      <w:r>
        <w:rPr>
          <w:color w:val="231F20"/>
          <w:spacing w:val="-4"/>
        </w:rPr>
        <w:t> </w:t>
      </w:r>
      <w:r>
        <w:rPr>
          <w:color w:val="231F20"/>
        </w:rPr>
        <w:t>transformando la industria a tal velocidad que algunos de los conceptos básicos han perdido signifi- cado;</w:t>
      </w:r>
      <w:r>
        <w:rPr>
          <w:color w:val="231F20"/>
          <w:spacing w:val="-14"/>
        </w:rPr>
        <w:t> </w:t>
      </w:r>
      <w:r>
        <w:rPr>
          <w:color w:val="231F20"/>
        </w:rPr>
        <w:t>surge,</w:t>
      </w:r>
      <w:r>
        <w:rPr>
          <w:color w:val="231F20"/>
          <w:spacing w:val="-14"/>
        </w:rPr>
        <w:t> </w:t>
      </w:r>
      <w:r>
        <w:rPr>
          <w:color w:val="231F20"/>
        </w:rPr>
        <w:t>así,</w:t>
      </w:r>
      <w:r>
        <w:rPr>
          <w:color w:val="231F20"/>
          <w:spacing w:val="-14"/>
        </w:rPr>
        <w:t> </w:t>
      </w:r>
      <w:r>
        <w:rPr>
          <w:color w:val="231F20"/>
        </w:rPr>
        <w:t>una</w:t>
      </w:r>
      <w:r>
        <w:rPr>
          <w:color w:val="231F20"/>
          <w:spacing w:val="-14"/>
        </w:rPr>
        <w:t> </w:t>
      </w:r>
      <w:r>
        <w:rPr>
          <w:color w:val="231F20"/>
        </w:rPr>
        <w:t>nueva</w:t>
      </w:r>
      <w:r>
        <w:rPr>
          <w:color w:val="231F20"/>
          <w:spacing w:val="-14"/>
        </w:rPr>
        <w:t> </w:t>
      </w:r>
      <w:r>
        <w:rPr>
          <w:color w:val="231F20"/>
        </w:rPr>
        <w:t>estratificación</w:t>
      </w:r>
      <w:r>
        <w:rPr>
          <w:color w:val="231F20"/>
          <w:spacing w:val="-14"/>
        </w:rPr>
        <w:t> </w:t>
      </w:r>
      <w:r>
        <w:rPr>
          <w:color w:val="231F20"/>
        </w:rPr>
        <w:t>de</w:t>
      </w:r>
      <w:r>
        <w:rPr>
          <w:color w:val="231F20"/>
          <w:spacing w:val="-14"/>
        </w:rPr>
        <w:t> </w:t>
      </w:r>
      <w:r>
        <w:rPr>
          <w:color w:val="231F20"/>
        </w:rPr>
        <w:t>proveedores</w:t>
      </w:r>
      <w:r>
        <w:rPr>
          <w:color w:val="231F20"/>
          <w:spacing w:val="-14"/>
        </w:rPr>
        <w:t> </w:t>
      </w:r>
      <w:r>
        <w:rPr>
          <w:color w:val="231F20"/>
        </w:rPr>
        <w:t>con</w:t>
      </w:r>
      <w:r>
        <w:rPr>
          <w:color w:val="231F20"/>
          <w:spacing w:val="-14"/>
        </w:rPr>
        <w:t> </w:t>
      </w:r>
      <w:r>
        <w:rPr>
          <w:color w:val="231F20"/>
        </w:rPr>
        <w:t>las</w:t>
      </w:r>
      <w:r>
        <w:rPr>
          <w:color w:val="231F20"/>
          <w:spacing w:val="-14"/>
        </w:rPr>
        <w:t> </w:t>
      </w:r>
      <w:r>
        <w:rPr>
          <w:color w:val="231F20"/>
        </w:rPr>
        <w:t>siguientes</w:t>
      </w:r>
      <w:r>
        <w:rPr>
          <w:color w:val="231F20"/>
          <w:spacing w:val="-14"/>
        </w:rPr>
        <w:t> </w:t>
      </w:r>
      <w:r>
        <w:rPr>
          <w:color w:val="231F20"/>
        </w:rPr>
        <w:t>categorías:</w:t>
      </w:r>
    </w:p>
    <w:p>
      <w:pPr>
        <w:pStyle w:val="ListParagraph"/>
        <w:numPr>
          <w:ilvl w:val="0"/>
          <w:numId w:val="11"/>
        </w:numPr>
        <w:tabs>
          <w:tab w:pos="501" w:val="left" w:leader="none"/>
        </w:tabs>
        <w:spacing w:line="278" w:lineRule="auto" w:before="114" w:after="0"/>
        <w:ind w:left="500" w:right="651" w:hanging="278"/>
        <w:jc w:val="both"/>
        <w:rPr>
          <w:sz w:val="21"/>
        </w:rPr>
      </w:pPr>
      <w:r>
        <w:rPr>
          <w:color w:val="231F20"/>
          <w:sz w:val="21"/>
        </w:rPr>
        <w:t>Proveedores integrados: ofrecen a las ensambladoras un amplio espectro de ser- vicios. Entre los productos típicos se incluyen los paneles de instrumentos inte- grados. El éxito depende de su experiencia y su capacidad de integración física y funcional;</w:t>
      </w:r>
      <w:r>
        <w:rPr>
          <w:color w:val="231F20"/>
          <w:spacing w:val="-10"/>
          <w:sz w:val="21"/>
        </w:rPr>
        <w:t> </w:t>
      </w:r>
      <w:r>
        <w:rPr>
          <w:color w:val="231F20"/>
          <w:sz w:val="21"/>
        </w:rPr>
        <w:t>el</w:t>
      </w:r>
      <w:r>
        <w:rPr>
          <w:color w:val="231F20"/>
          <w:spacing w:val="-10"/>
          <w:sz w:val="21"/>
        </w:rPr>
        <w:t> </w:t>
      </w:r>
      <w:r>
        <w:rPr>
          <w:color w:val="231F20"/>
          <w:sz w:val="21"/>
        </w:rPr>
        <w:t>alto</w:t>
      </w:r>
      <w:r>
        <w:rPr>
          <w:color w:val="231F20"/>
          <w:spacing w:val="-10"/>
          <w:sz w:val="21"/>
        </w:rPr>
        <w:t> </w:t>
      </w:r>
      <w:r>
        <w:rPr>
          <w:color w:val="231F20"/>
          <w:sz w:val="21"/>
        </w:rPr>
        <w:t>grado</w:t>
      </w:r>
      <w:r>
        <w:rPr>
          <w:color w:val="231F20"/>
          <w:spacing w:val="-10"/>
          <w:sz w:val="21"/>
        </w:rPr>
        <w:t> </w:t>
      </w:r>
      <w:r>
        <w:rPr>
          <w:color w:val="231F20"/>
          <w:sz w:val="21"/>
        </w:rPr>
        <w:t>de</w:t>
      </w:r>
      <w:r>
        <w:rPr>
          <w:color w:val="231F20"/>
          <w:spacing w:val="-10"/>
          <w:sz w:val="21"/>
        </w:rPr>
        <w:t> </w:t>
      </w:r>
      <w:r>
        <w:rPr>
          <w:color w:val="231F20"/>
          <w:sz w:val="21"/>
        </w:rPr>
        <w:t>eficiencia</w:t>
      </w:r>
      <w:r>
        <w:rPr>
          <w:color w:val="231F20"/>
          <w:spacing w:val="-10"/>
          <w:sz w:val="21"/>
        </w:rPr>
        <w:t> </w:t>
      </w:r>
      <w:r>
        <w:rPr>
          <w:color w:val="231F20"/>
          <w:sz w:val="21"/>
        </w:rPr>
        <w:t>en</w:t>
      </w:r>
      <w:r>
        <w:rPr>
          <w:color w:val="231F20"/>
          <w:spacing w:val="-10"/>
          <w:sz w:val="21"/>
        </w:rPr>
        <w:t> </w:t>
      </w:r>
      <w:r>
        <w:rPr>
          <w:color w:val="231F20"/>
          <w:sz w:val="21"/>
        </w:rPr>
        <w:t>componentes</w:t>
      </w:r>
      <w:r>
        <w:rPr>
          <w:color w:val="231F20"/>
          <w:spacing w:val="-10"/>
          <w:sz w:val="21"/>
        </w:rPr>
        <w:t> </w:t>
      </w:r>
      <w:r>
        <w:rPr>
          <w:color w:val="231F20"/>
          <w:sz w:val="21"/>
        </w:rPr>
        <w:t>principales;</w:t>
      </w:r>
      <w:r>
        <w:rPr>
          <w:color w:val="231F20"/>
          <w:spacing w:val="-10"/>
          <w:sz w:val="21"/>
        </w:rPr>
        <w:t> </w:t>
      </w:r>
      <w:r>
        <w:rPr>
          <w:color w:val="231F20"/>
          <w:sz w:val="21"/>
        </w:rPr>
        <w:t>el</w:t>
      </w:r>
      <w:r>
        <w:rPr>
          <w:color w:val="231F20"/>
          <w:spacing w:val="-10"/>
          <w:sz w:val="21"/>
        </w:rPr>
        <w:t> </w:t>
      </w:r>
      <w:r>
        <w:rPr>
          <w:color w:val="231F20"/>
          <w:sz w:val="21"/>
        </w:rPr>
        <w:t>manejo</w:t>
      </w:r>
      <w:r>
        <w:rPr>
          <w:color w:val="231F20"/>
          <w:spacing w:val="-10"/>
          <w:sz w:val="21"/>
        </w:rPr>
        <w:t> </w:t>
      </w:r>
      <w:r>
        <w:rPr>
          <w:color w:val="231F20"/>
          <w:sz w:val="21"/>
        </w:rPr>
        <w:t>firme de cadena de proveedores; un amplio conocimiento de consumidores y su sólido entendimiento del vehículo como</w:t>
      </w:r>
      <w:r>
        <w:rPr>
          <w:color w:val="231F20"/>
          <w:spacing w:val="18"/>
          <w:sz w:val="21"/>
        </w:rPr>
        <w:t> </w:t>
      </w:r>
      <w:r>
        <w:rPr>
          <w:color w:val="231F20"/>
          <w:sz w:val="21"/>
        </w:rPr>
        <w:t>unidad.</w:t>
      </w:r>
    </w:p>
    <w:p>
      <w:pPr>
        <w:pStyle w:val="ListParagraph"/>
        <w:numPr>
          <w:ilvl w:val="0"/>
          <w:numId w:val="11"/>
        </w:numPr>
        <w:tabs>
          <w:tab w:pos="501" w:val="left" w:leader="none"/>
        </w:tabs>
        <w:spacing w:line="278" w:lineRule="auto" w:before="114" w:after="0"/>
        <w:ind w:left="500" w:right="650" w:hanging="292"/>
        <w:jc w:val="both"/>
        <w:rPr>
          <w:sz w:val="21"/>
        </w:rPr>
      </w:pPr>
      <w:r>
        <w:rPr>
          <w:color w:val="231F20"/>
          <w:sz w:val="21"/>
        </w:rPr>
        <w:t>Proveedores de sistemas: ofrecen experiencia en planeación y diseño de sistemas totales conformados por múltiples componentes, para darles una mayor funcio- nalidad conjunta. Productos característicos son los sistemas de frenos. El éxito depende de su habilidad para desarrollar la integración funcional de los sistemas totales y para profundizar en la competencia de sistemas de componentes más importantes; el entendimiento de los usos y requerimientos finales del consumi- dor; el buen manejo de proveedores propios; y cierto entendimiento del vehículo como</w:t>
      </w:r>
      <w:r>
        <w:rPr>
          <w:color w:val="231F20"/>
          <w:spacing w:val="28"/>
          <w:sz w:val="21"/>
        </w:rPr>
        <w:t> </w:t>
      </w:r>
      <w:r>
        <w:rPr>
          <w:color w:val="231F20"/>
          <w:sz w:val="21"/>
        </w:rPr>
        <w:t>unidad.</w:t>
      </w:r>
    </w:p>
    <w:p>
      <w:pPr>
        <w:pStyle w:val="ListParagraph"/>
        <w:numPr>
          <w:ilvl w:val="0"/>
          <w:numId w:val="11"/>
        </w:numPr>
        <w:tabs>
          <w:tab w:pos="501" w:val="left" w:leader="none"/>
        </w:tabs>
        <w:spacing w:line="254" w:lineRule="auto" w:before="114" w:after="0"/>
        <w:ind w:left="500" w:right="651" w:hanging="275"/>
        <w:jc w:val="both"/>
        <w:rPr>
          <w:sz w:val="21"/>
        </w:rPr>
      </w:pPr>
      <w:r>
        <w:rPr>
          <w:color w:val="231F20"/>
          <w:sz w:val="21"/>
        </w:rPr>
        <w:t>Proveedores de componentes: proveedor de funciones críticas y componentes intensivos en </w:t>
      </w:r>
      <w:r>
        <w:rPr>
          <w:rFonts w:ascii="Palatino Linotype" w:hAnsi="Palatino Linotype"/>
          <w:i/>
          <w:color w:val="231F20"/>
          <w:spacing w:val="-3"/>
          <w:sz w:val="21"/>
        </w:rPr>
        <w:t>know </w:t>
      </w:r>
      <w:r>
        <w:rPr>
          <w:rFonts w:ascii="Palatino Linotype" w:hAnsi="Palatino Linotype"/>
          <w:i/>
          <w:color w:val="231F20"/>
          <w:sz w:val="21"/>
        </w:rPr>
        <w:t>how </w:t>
      </w:r>
      <w:r>
        <w:rPr>
          <w:color w:val="231F20"/>
          <w:sz w:val="21"/>
        </w:rPr>
        <w:t>con fuerte capacidad de ingeniería. Entre los  </w:t>
      </w:r>
      <w:r>
        <w:rPr>
          <w:color w:val="231F20"/>
          <w:spacing w:val="9"/>
          <w:sz w:val="21"/>
        </w:rPr>
        <w:t> </w:t>
      </w:r>
      <w:r>
        <w:rPr>
          <w:color w:val="231F20"/>
          <w:sz w:val="21"/>
        </w:rPr>
        <w:t>productos</w:t>
      </w:r>
    </w:p>
    <w:p>
      <w:pPr>
        <w:spacing w:after="0" w:line="254" w:lineRule="auto"/>
        <w:jc w:val="both"/>
        <w:rPr>
          <w:sz w:val="21"/>
        </w:rPr>
        <w:sectPr>
          <w:pgSz w:w="9640" w:h="13040"/>
          <w:pgMar w:header="581" w:footer="654" w:top="780" w:bottom="840" w:left="1200" w:right="480"/>
        </w:sectPr>
      </w:pPr>
    </w:p>
    <w:p>
      <w:pPr>
        <w:pStyle w:val="BodyText"/>
        <w:rPr>
          <w:sz w:val="20"/>
        </w:rPr>
      </w:pPr>
    </w:p>
    <w:p>
      <w:pPr>
        <w:pStyle w:val="BodyText"/>
        <w:spacing w:before="6"/>
      </w:pPr>
    </w:p>
    <w:p>
      <w:pPr>
        <w:pStyle w:val="BodyText"/>
        <w:spacing w:line="266" w:lineRule="auto" w:before="58"/>
        <w:ind w:left="1050" w:right="101"/>
        <w:jc w:val="both"/>
      </w:pPr>
      <w:r>
        <w:rPr>
          <w:color w:val="231F20"/>
        </w:rPr>
        <w:t>que abastecen se incluyen motores auxiliares, cigüeñales y compresores. El éxito depende</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eficiencia</w:t>
      </w:r>
      <w:r>
        <w:rPr>
          <w:color w:val="231F20"/>
          <w:spacing w:val="-7"/>
        </w:rPr>
        <w:t> </w:t>
      </w:r>
      <w:r>
        <w:rPr>
          <w:color w:val="231F20"/>
        </w:rPr>
        <w:t>operacional,</w:t>
      </w:r>
      <w:r>
        <w:rPr>
          <w:color w:val="231F20"/>
          <w:spacing w:val="-7"/>
        </w:rPr>
        <w:t> </w:t>
      </w:r>
      <w:r>
        <w:rPr>
          <w:color w:val="231F20"/>
        </w:rPr>
        <w:t>las</w:t>
      </w:r>
      <w:r>
        <w:rPr>
          <w:color w:val="231F20"/>
          <w:spacing w:val="-7"/>
        </w:rPr>
        <w:t> </w:t>
      </w:r>
      <w:r>
        <w:rPr>
          <w:color w:val="231F20"/>
        </w:rPr>
        <w:t>economías</w:t>
      </w:r>
      <w:r>
        <w:rPr>
          <w:color w:val="231F20"/>
          <w:spacing w:val="-7"/>
        </w:rPr>
        <w:t> </w:t>
      </w:r>
      <w:r>
        <w:rPr>
          <w:color w:val="231F20"/>
        </w:rPr>
        <w:t>de</w:t>
      </w:r>
      <w:r>
        <w:rPr>
          <w:color w:val="231F20"/>
          <w:spacing w:val="-7"/>
        </w:rPr>
        <w:t> </w:t>
      </w:r>
      <w:r>
        <w:rPr>
          <w:color w:val="231F20"/>
        </w:rPr>
        <w:t>escala,</w:t>
      </w:r>
      <w:r>
        <w:rPr>
          <w:color w:val="231F20"/>
          <w:spacing w:val="-7"/>
        </w:rPr>
        <w:t> </w:t>
      </w:r>
      <w:r>
        <w:rPr>
          <w:color w:val="231F20"/>
        </w:rPr>
        <w:t>el</w:t>
      </w:r>
      <w:r>
        <w:rPr>
          <w:color w:val="231F20"/>
          <w:spacing w:val="-7"/>
        </w:rPr>
        <w:t> </w:t>
      </w:r>
      <w:r>
        <w:rPr>
          <w:color w:val="231F20"/>
        </w:rPr>
        <w:t>bajo</w:t>
      </w:r>
      <w:r>
        <w:rPr>
          <w:color w:val="231F20"/>
          <w:spacing w:val="-7"/>
        </w:rPr>
        <w:t> </w:t>
      </w:r>
      <w:r>
        <w:rPr>
          <w:color w:val="231F20"/>
        </w:rPr>
        <w:t>costo</w:t>
      </w:r>
      <w:r>
        <w:rPr>
          <w:color w:val="231F20"/>
          <w:spacing w:val="-7"/>
        </w:rPr>
        <w:t> </w:t>
      </w:r>
      <w:r>
        <w:rPr>
          <w:color w:val="231F20"/>
        </w:rPr>
        <w:t>de</w:t>
      </w:r>
      <w:r>
        <w:rPr>
          <w:color w:val="231F20"/>
          <w:spacing w:val="-7"/>
        </w:rPr>
        <w:t> </w:t>
      </w:r>
      <w:r>
        <w:rPr>
          <w:color w:val="231F20"/>
        </w:rPr>
        <w:t>in- sumos,</w:t>
      </w:r>
      <w:r>
        <w:rPr>
          <w:color w:val="231F20"/>
          <w:spacing w:val="-18"/>
        </w:rPr>
        <w:t> </w:t>
      </w:r>
      <w:r>
        <w:rPr>
          <w:color w:val="231F20"/>
        </w:rPr>
        <w:t>las</w:t>
      </w:r>
      <w:r>
        <w:rPr>
          <w:color w:val="231F20"/>
          <w:spacing w:val="-18"/>
        </w:rPr>
        <w:t> </w:t>
      </w:r>
      <w:r>
        <w:rPr>
          <w:color w:val="231F20"/>
        </w:rPr>
        <w:t>habilidades</w:t>
      </w:r>
      <w:r>
        <w:rPr>
          <w:color w:val="231F20"/>
          <w:spacing w:val="-18"/>
        </w:rPr>
        <w:t> </w:t>
      </w:r>
      <w:r>
        <w:rPr>
          <w:color w:val="231F20"/>
        </w:rPr>
        <w:t>en</w:t>
      </w:r>
      <w:r>
        <w:rPr>
          <w:color w:val="231F20"/>
          <w:spacing w:val="-18"/>
        </w:rPr>
        <w:t> </w:t>
      </w:r>
      <w:r>
        <w:rPr>
          <w:rFonts w:ascii="Palatino Linotype" w:hAnsi="Palatino Linotype"/>
          <w:i/>
          <w:color w:val="231F20"/>
        </w:rPr>
        <w:t>design-to-cost</w:t>
      </w:r>
      <w:r>
        <w:rPr>
          <w:color w:val="231F20"/>
        </w:rPr>
        <w:t>,</w:t>
      </w:r>
      <w:r>
        <w:rPr>
          <w:color w:val="231F20"/>
          <w:spacing w:val="-18"/>
        </w:rPr>
        <w:t> </w:t>
      </w:r>
      <w:r>
        <w:rPr>
          <w:color w:val="231F20"/>
        </w:rPr>
        <w:t>la</w:t>
      </w:r>
      <w:r>
        <w:rPr>
          <w:color w:val="231F20"/>
          <w:spacing w:val="-18"/>
        </w:rPr>
        <w:t> </w:t>
      </w:r>
      <w:r>
        <w:rPr>
          <w:color w:val="231F20"/>
        </w:rPr>
        <w:t>adecuada</w:t>
      </w:r>
      <w:r>
        <w:rPr>
          <w:color w:val="231F20"/>
          <w:spacing w:val="-18"/>
        </w:rPr>
        <w:t> </w:t>
      </w:r>
      <w:r>
        <w:rPr>
          <w:color w:val="231F20"/>
        </w:rPr>
        <w:t>administración</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comple- jidad operacional, las innovaciones tecnológicas y la identificación de valor para los</w:t>
      </w:r>
      <w:r>
        <w:rPr>
          <w:color w:val="231F20"/>
          <w:spacing w:val="-7"/>
        </w:rPr>
        <w:t> </w:t>
      </w:r>
      <w:r>
        <w:rPr>
          <w:color w:val="231F20"/>
        </w:rPr>
        <w:t>consumidores.</w:t>
      </w:r>
    </w:p>
    <w:p>
      <w:pPr>
        <w:pStyle w:val="ListParagraph"/>
        <w:numPr>
          <w:ilvl w:val="0"/>
          <w:numId w:val="11"/>
        </w:numPr>
        <w:tabs>
          <w:tab w:pos="1051" w:val="left" w:leader="none"/>
        </w:tabs>
        <w:spacing w:line="278" w:lineRule="auto" w:before="126" w:after="0"/>
        <w:ind w:left="1050" w:right="101" w:hanging="297"/>
        <w:jc w:val="both"/>
        <w:rPr>
          <w:sz w:val="21"/>
        </w:rPr>
      </w:pPr>
      <w:r>
        <w:rPr>
          <w:color w:val="231F20"/>
          <w:spacing w:val="-3"/>
          <w:sz w:val="21"/>
        </w:rPr>
        <w:t>Proveedores</w:t>
      </w:r>
      <w:r>
        <w:rPr>
          <w:color w:val="231F20"/>
          <w:spacing w:val="-10"/>
          <w:sz w:val="21"/>
        </w:rPr>
        <w:t> </w:t>
      </w:r>
      <w:r>
        <w:rPr>
          <w:color w:val="231F20"/>
          <w:sz w:val="21"/>
        </w:rPr>
        <w:t>de</w:t>
      </w:r>
      <w:r>
        <w:rPr>
          <w:color w:val="231F20"/>
          <w:spacing w:val="-10"/>
          <w:sz w:val="21"/>
        </w:rPr>
        <w:t> </w:t>
      </w:r>
      <w:r>
        <w:rPr>
          <w:color w:val="231F20"/>
          <w:spacing w:val="-3"/>
          <w:sz w:val="21"/>
        </w:rPr>
        <w:t>productos</w:t>
      </w:r>
      <w:r>
        <w:rPr>
          <w:color w:val="231F20"/>
          <w:spacing w:val="-10"/>
          <w:sz w:val="21"/>
        </w:rPr>
        <w:t> </w:t>
      </w:r>
      <w:r>
        <w:rPr>
          <w:color w:val="231F20"/>
          <w:sz w:val="21"/>
        </w:rPr>
        <w:t>estandarizados:</w:t>
      </w:r>
      <w:r>
        <w:rPr>
          <w:color w:val="231F20"/>
          <w:spacing w:val="-10"/>
          <w:sz w:val="21"/>
        </w:rPr>
        <w:t> </w:t>
      </w:r>
      <w:r>
        <w:rPr>
          <w:color w:val="231F20"/>
          <w:spacing w:val="-3"/>
          <w:sz w:val="21"/>
        </w:rPr>
        <w:t>empresa</w:t>
      </w:r>
      <w:r>
        <w:rPr>
          <w:color w:val="231F20"/>
          <w:spacing w:val="-10"/>
          <w:sz w:val="21"/>
        </w:rPr>
        <w:t> </w:t>
      </w:r>
      <w:r>
        <w:rPr>
          <w:color w:val="231F20"/>
          <w:sz w:val="21"/>
        </w:rPr>
        <w:t>tradicional.</w:t>
      </w:r>
      <w:r>
        <w:rPr>
          <w:color w:val="231F20"/>
          <w:spacing w:val="-10"/>
          <w:sz w:val="21"/>
        </w:rPr>
        <w:t> </w:t>
      </w:r>
      <w:r>
        <w:rPr>
          <w:color w:val="231F20"/>
          <w:spacing w:val="-3"/>
          <w:sz w:val="21"/>
        </w:rPr>
        <w:t>Entre</w:t>
      </w:r>
      <w:r>
        <w:rPr>
          <w:color w:val="231F20"/>
          <w:spacing w:val="-10"/>
          <w:sz w:val="21"/>
        </w:rPr>
        <w:t> </w:t>
      </w:r>
      <w:r>
        <w:rPr>
          <w:color w:val="231F20"/>
          <w:sz w:val="21"/>
        </w:rPr>
        <w:t>los</w:t>
      </w:r>
      <w:r>
        <w:rPr>
          <w:color w:val="231F20"/>
          <w:spacing w:val="-10"/>
          <w:sz w:val="21"/>
        </w:rPr>
        <w:t> </w:t>
      </w:r>
      <w:r>
        <w:rPr>
          <w:color w:val="231F20"/>
          <w:spacing w:val="-3"/>
          <w:sz w:val="21"/>
        </w:rPr>
        <w:t>productos </w:t>
      </w:r>
      <w:r>
        <w:rPr>
          <w:color w:val="231F20"/>
          <w:spacing w:val="-2"/>
          <w:sz w:val="21"/>
        </w:rPr>
        <w:t>que </w:t>
      </w:r>
      <w:r>
        <w:rPr>
          <w:color w:val="231F20"/>
          <w:sz w:val="21"/>
        </w:rPr>
        <w:t>fabrican se </w:t>
      </w:r>
      <w:r>
        <w:rPr>
          <w:color w:val="231F20"/>
          <w:spacing w:val="-3"/>
          <w:sz w:val="21"/>
        </w:rPr>
        <w:t>incluyen </w:t>
      </w:r>
      <w:r>
        <w:rPr>
          <w:color w:val="231F20"/>
          <w:sz w:val="21"/>
        </w:rPr>
        <w:t>partes estandarizadas, piezas metálicas y </w:t>
      </w:r>
      <w:r>
        <w:rPr>
          <w:color w:val="231F20"/>
          <w:spacing w:val="-3"/>
          <w:sz w:val="21"/>
        </w:rPr>
        <w:t>conectores. </w:t>
      </w:r>
      <w:r>
        <w:rPr>
          <w:color w:val="231F20"/>
          <w:sz w:val="21"/>
        </w:rPr>
        <w:t>La madurez de </w:t>
      </w:r>
      <w:r>
        <w:rPr>
          <w:color w:val="231F20"/>
          <w:spacing w:val="-3"/>
          <w:sz w:val="21"/>
        </w:rPr>
        <w:t>productos </w:t>
      </w:r>
      <w:r>
        <w:rPr>
          <w:color w:val="231F20"/>
          <w:sz w:val="21"/>
        </w:rPr>
        <w:t>da poca oportunidad para la </w:t>
      </w:r>
      <w:r>
        <w:rPr>
          <w:color w:val="231F20"/>
          <w:spacing w:val="-3"/>
          <w:sz w:val="21"/>
        </w:rPr>
        <w:t>diferenciación. </w:t>
      </w:r>
      <w:r>
        <w:rPr>
          <w:color w:val="231F20"/>
          <w:sz w:val="21"/>
        </w:rPr>
        <w:t>El </w:t>
      </w:r>
      <w:r>
        <w:rPr>
          <w:color w:val="231F20"/>
          <w:spacing w:val="-3"/>
          <w:sz w:val="21"/>
        </w:rPr>
        <w:t>éxito </w:t>
      </w:r>
      <w:r>
        <w:rPr>
          <w:color w:val="231F20"/>
          <w:sz w:val="21"/>
        </w:rPr>
        <w:t>depen- de</w:t>
      </w:r>
      <w:r>
        <w:rPr>
          <w:color w:val="231F20"/>
          <w:spacing w:val="-18"/>
          <w:sz w:val="21"/>
        </w:rPr>
        <w:t> </w:t>
      </w:r>
      <w:r>
        <w:rPr>
          <w:color w:val="231F20"/>
          <w:sz w:val="21"/>
        </w:rPr>
        <w:t>de</w:t>
      </w:r>
      <w:r>
        <w:rPr>
          <w:color w:val="231F20"/>
          <w:spacing w:val="-18"/>
          <w:sz w:val="21"/>
        </w:rPr>
        <w:t> </w:t>
      </w:r>
      <w:r>
        <w:rPr>
          <w:color w:val="231F20"/>
          <w:sz w:val="21"/>
        </w:rPr>
        <w:t>la</w:t>
      </w:r>
      <w:r>
        <w:rPr>
          <w:color w:val="231F20"/>
          <w:spacing w:val="-18"/>
          <w:sz w:val="21"/>
        </w:rPr>
        <w:t> </w:t>
      </w:r>
      <w:r>
        <w:rPr>
          <w:color w:val="231F20"/>
          <w:sz w:val="21"/>
        </w:rPr>
        <w:t>eficiencia</w:t>
      </w:r>
      <w:r>
        <w:rPr>
          <w:color w:val="231F20"/>
          <w:spacing w:val="-18"/>
          <w:sz w:val="21"/>
        </w:rPr>
        <w:t> </w:t>
      </w:r>
      <w:r>
        <w:rPr>
          <w:color w:val="231F20"/>
          <w:sz w:val="21"/>
        </w:rPr>
        <w:t>operacional,</w:t>
      </w:r>
      <w:r>
        <w:rPr>
          <w:color w:val="231F20"/>
          <w:spacing w:val="-18"/>
          <w:sz w:val="21"/>
        </w:rPr>
        <w:t> </w:t>
      </w:r>
      <w:r>
        <w:rPr>
          <w:color w:val="231F20"/>
          <w:sz w:val="21"/>
        </w:rPr>
        <w:t>las</w:t>
      </w:r>
      <w:r>
        <w:rPr>
          <w:color w:val="231F20"/>
          <w:spacing w:val="-18"/>
          <w:sz w:val="21"/>
        </w:rPr>
        <w:t> </w:t>
      </w:r>
      <w:r>
        <w:rPr>
          <w:color w:val="231F20"/>
          <w:spacing w:val="-2"/>
          <w:sz w:val="21"/>
        </w:rPr>
        <w:t>economías</w:t>
      </w:r>
      <w:r>
        <w:rPr>
          <w:color w:val="231F20"/>
          <w:spacing w:val="-18"/>
          <w:sz w:val="21"/>
        </w:rPr>
        <w:t> </w:t>
      </w:r>
      <w:r>
        <w:rPr>
          <w:color w:val="231F20"/>
          <w:sz w:val="21"/>
        </w:rPr>
        <w:t>de</w:t>
      </w:r>
      <w:r>
        <w:rPr>
          <w:color w:val="231F20"/>
          <w:spacing w:val="-18"/>
          <w:sz w:val="21"/>
        </w:rPr>
        <w:t> </w:t>
      </w:r>
      <w:r>
        <w:rPr>
          <w:color w:val="231F20"/>
          <w:sz w:val="21"/>
        </w:rPr>
        <w:t>escala</w:t>
      </w:r>
      <w:r>
        <w:rPr>
          <w:color w:val="231F20"/>
          <w:spacing w:val="-18"/>
          <w:sz w:val="21"/>
        </w:rPr>
        <w:t> </w:t>
      </w:r>
      <w:r>
        <w:rPr>
          <w:color w:val="231F20"/>
          <w:sz w:val="21"/>
        </w:rPr>
        <w:t>y</w:t>
      </w:r>
      <w:r>
        <w:rPr>
          <w:color w:val="231F20"/>
          <w:spacing w:val="-18"/>
          <w:sz w:val="21"/>
        </w:rPr>
        <w:t> </w:t>
      </w:r>
      <w:r>
        <w:rPr>
          <w:color w:val="231F20"/>
          <w:sz w:val="21"/>
        </w:rPr>
        <w:t>el</w:t>
      </w:r>
      <w:r>
        <w:rPr>
          <w:color w:val="231F20"/>
          <w:spacing w:val="-18"/>
          <w:sz w:val="21"/>
        </w:rPr>
        <w:t> </w:t>
      </w:r>
      <w:r>
        <w:rPr>
          <w:color w:val="231F20"/>
          <w:sz w:val="21"/>
        </w:rPr>
        <w:t>bajo</w:t>
      </w:r>
      <w:r>
        <w:rPr>
          <w:color w:val="231F20"/>
          <w:spacing w:val="-18"/>
          <w:sz w:val="21"/>
        </w:rPr>
        <w:t> </w:t>
      </w:r>
      <w:r>
        <w:rPr>
          <w:color w:val="231F20"/>
          <w:sz w:val="21"/>
        </w:rPr>
        <w:t>costo</w:t>
      </w:r>
      <w:r>
        <w:rPr>
          <w:color w:val="231F20"/>
          <w:spacing w:val="-18"/>
          <w:sz w:val="21"/>
        </w:rPr>
        <w:t> </w:t>
      </w:r>
      <w:r>
        <w:rPr>
          <w:color w:val="231F20"/>
          <w:sz w:val="21"/>
        </w:rPr>
        <w:t>de</w:t>
      </w:r>
      <w:r>
        <w:rPr>
          <w:color w:val="231F20"/>
          <w:spacing w:val="-18"/>
          <w:sz w:val="21"/>
        </w:rPr>
        <w:t> </w:t>
      </w:r>
      <w:r>
        <w:rPr>
          <w:color w:val="231F20"/>
          <w:spacing w:val="-3"/>
          <w:sz w:val="21"/>
        </w:rPr>
        <w:t>factores.</w:t>
      </w:r>
    </w:p>
    <w:p>
      <w:pPr>
        <w:pStyle w:val="BodyText"/>
        <w:spacing w:line="271" w:lineRule="auto" w:before="114"/>
        <w:ind w:left="653" w:right="101"/>
        <w:jc w:val="both"/>
      </w:pPr>
      <w:r>
        <w:rPr>
          <w:color w:val="231F20"/>
        </w:rPr>
        <w:t>Respecto a la renta en la cadena, Álvarez (2011) menciona que se obtiene a partir de tecnologías de proceso y producto, habilidades de diseño, manufactura, mercadotec- nia</w:t>
      </w:r>
      <w:r>
        <w:rPr>
          <w:color w:val="231F20"/>
          <w:spacing w:val="-5"/>
        </w:rPr>
        <w:t> </w:t>
      </w:r>
      <w:r>
        <w:rPr>
          <w:color w:val="231F20"/>
        </w:rPr>
        <w:t>y</w:t>
      </w:r>
      <w:r>
        <w:rPr>
          <w:color w:val="231F20"/>
          <w:spacing w:val="-5"/>
        </w:rPr>
        <w:t> </w:t>
      </w:r>
      <w:r>
        <w:rPr>
          <w:color w:val="231F20"/>
        </w:rPr>
        <w:t>nuevas</w:t>
      </w:r>
      <w:r>
        <w:rPr>
          <w:color w:val="231F20"/>
          <w:spacing w:val="-5"/>
        </w:rPr>
        <w:t> </w:t>
      </w:r>
      <w:r>
        <w:rPr>
          <w:color w:val="231F20"/>
        </w:rPr>
        <w:t>formas</w:t>
      </w:r>
      <w:r>
        <w:rPr>
          <w:color w:val="231F20"/>
          <w:spacing w:val="-5"/>
        </w:rPr>
        <w:t> </w:t>
      </w:r>
      <w:r>
        <w:rPr>
          <w:color w:val="231F20"/>
        </w:rPr>
        <w:t>de</w:t>
      </w:r>
      <w:r>
        <w:rPr>
          <w:color w:val="231F20"/>
          <w:spacing w:val="-5"/>
        </w:rPr>
        <w:t> </w:t>
      </w:r>
      <w:r>
        <w:rPr>
          <w:color w:val="231F20"/>
        </w:rPr>
        <w:t>organización,</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manejo</w:t>
      </w:r>
      <w:r>
        <w:rPr>
          <w:color w:val="231F20"/>
          <w:spacing w:val="-5"/>
        </w:rPr>
        <w:t> </w:t>
      </w:r>
      <w:r>
        <w:rPr>
          <w:color w:val="231F20"/>
        </w:rPr>
        <w:t>de</w:t>
      </w:r>
      <w:r>
        <w:rPr>
          <w:color w:val="231F20"/>
          <w:spacing w:val="-5"/>
        </w:rPr>
        <w:t> </w:t>
      </w:r>
      <w:r>
        <w:rPr>
          <w:color w:val="231F20"/>
        </w:rPr>
        <w:t>redes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logística,</w:t>
      </w:r>
      <w:r>
        <w:rPr>
          <w:color w:val="231F20"/>
          <w:spacing w:val="-5"/>
        </w:rPr>
        <w:t> </w:t>
      </w:r>
      <w:r>
        <w:rPr>
          <w:color w:val="231F20"/>
        </w:rPr>
        <w:t>y</w:t>
      </w:r>
      <w:r>
        <w:rPr>
          <w:color w:val="231F20"/>
          <w:spacing w:val="-5"/>
        </w:rPr>
        <w:t> </w:t>
      </w:r>
      <w:r>
        <w:rPr>
          <w:color w:val="231F20"/>
        </w:rPr>
        <w:t>que</w:t>
      </w:r>
      <w:r>
        <w:rPr>
          <w:color w:val="231F20"/>
          <w:spacing w:val="-5"/>
        </w:rPr>
        <w:t> </w:t>
      </w:r>
      <w:r>
        <w:rPr>
          <w:color w:val="231F20"/>
        </w:rPr>
        <w:t>las barreras de entrada se establecen con base en estas actividades y son conocidas como patentes,</w:t>
      </w:r>
      <w:r>
        <w:rPr>
          <w:color w:val="231F20"/>
          <w:spacing w:val="-12"/>
        </w:rPr>
        <w:t> </w:t>
      </w:r>
      <w:r>
        <w:rPr>
          <w:color w:val="231F20"/>
        </w:rPr>
        <w:t>derechos</w:t>
      </w:r>
      <w:r>
        <w:rPr>
          <w:color w:val="231F20"/>
          <w:spacing w:val="-12"/>
        </w:rPr>
        <w:t> </w:t>
      </w:r>
      <w:r>
        <w:rPr>
          <w:color w:val="231F20"/>
        </w:rPr>
        <w:t>de</w:t>
      </w:r>
      <w:r>
        <w:rPr>
          <w:color w:val="231F20"/>
          <w:spacing w:val="-12"/>
        </w:rPr>
        <w:t> </w:t>
      </w:r>
      <w:r>
        <w:rPr>
          <w:color w:val="231F20"/>
        </w:rPr>
        <w:t>propiedad,</w:t>
      </w:r>
      <w:r>
        <w:rPr>
          <w:color w:val="231F20"/>
          <w:spacing w:val="-12"/>
        </w:rPr>
        <w:t> </w:t>
      </w:r>
      <w:r>
        <w:rPr>
          <w:color w:val="231F20"/>
        </w:rPr>
        <w:t>procedimientos,</w:t>
      </w:r>
      <w:r>
        <w:rPr>
          <w:color w:val="231F20"/>
          <w:spacing w:val="-12"/>
        </w:rPr>
        <w:t> </w:t>
      </w:r>
      <w:r>
        <w:rPr>
          <w:color w:val="231F20"/>
        </w:rPr>
        <w:t>secretos</w:t>
      </w:r>
      <w:r>
        <w:rPr>
          <w:color w:val="231F20"/>
          <w:spacing w:val="-12"/>
        </w:rPr>
        <w:t> </w:t>
      </w:r>
      <w:r>
        <w:rPr>
          <w:color w:val="231F20"/>
        </w:rPr>
        <w:t>industriales</w:t>
      </w:r>
      <w:r>
        <w:rPr>
          <w:color w:val="231F20"/>
          <w:spacing w:val="-12"/>
        </w:rPr>
        <w:t> </w:t>
      </w:r>
      <w:r>
        <w:rPr>
          <w:color w:val="231F20"/>
        </w:rPr>
        <w:t>y</w:t>
      </w:r>
      <w:r>
        <w:rPr>
          <w:color w:val="231F20"/>
          <w:spacing w:val="-12"/>
        </w:rPr>
        <w:t> </w:t>
      </w:r>
      <w:r>
        <w:rPr>
          <w:rFonts w:ascii="Palatino Linotype" w:hAnsi="Palatino Linotype"/>
          <w:i/>
          <w:color w:val="231F20"/>
          <w:spacing w:val="-3"/>
        </w:rPr>
        <w:t>know</w:t>
      </w:r>
      <w:r>
        <w:rPr>
          <w:rFonts w:ascii="Palatino Linotype" w:hAnsi="Palatino Linotype"/>
          <w:i/>
          <w:color w:val="231F20"/>
          <w:spacing w:val="-12"/>
        </w:rPr>
        <w:t> </w:t>
      </w:r>
      <w:r>
        <w:rPr>
          <w:rFonts w:ascii="Palatino Linotype" w:hAnsi="Palatino Linotype"/>
          <w:i/>
          <w:color w:val="231F20"/>
        </w:rPr>
        <w:t>how</w:t>
      </w:r>
      <w:r>
        <w:rPr>
          <w:color w:val="231F20"/>
        </w:rPr>
        <w:t>.</w:t>
      </w:r>
    </w:p>
    <w:p>
      <w:pPr>
        <w:pStyle w:val="BodyText"/>
        <w:spacing w:line="226" w:lineRule="exact"/>
        <w:ind w:left="653" w:firstLine="396"/>
      </w:pPr>
      <w:r>
        <w:rPr>
          <w:color w:val="231F20"/>
        </w:rPr>
        <w:t>Esta misma </w:t>
      </w:r>
      <w:r>
        <w:rPr>
          <w:color w:val="231F20"/>
          <w:spacing w:val="-4"/>
        </w:rPr>
        <w:t>autora </w:t>
      </w:r>
      <w:r>
        <w:rPr>
          <w:color w:val="231F20"/>
        </w:rPr>
        <w:t>señala </w:t>
      </w:r>
      <w:r>
        <w:rPr>
          <w:color w:val="231F20"/>
          <w:spacing w:val="-2"/>
        </w:rPr>
        <w:t>que </w:t>
      </w:r>
      <w:r>
        <w:rPr>
          <w:color w:val="231F20"/>
        </w:rPr>
        <w:t>la cadena </w:t>
      </w:r>
      <w:r>
        <w:rPr>
          <w:color w:val="231F20"/>
          <w:spacing w:val="-3"/>
        </w:rPr>
        <w:t>automotriz-autopartes </w:t>
      </w:r>
      <w:r>
        <w:rPr>
          <w:color w:val="231F20"/>
        </w:rPr>
        <w:t>está sujeta a </w:t>
      </w:r>
      <w:r>
        <w:rPr>
          <w:color w:val="231F20"/>
          <w:spacing w:val="-3"/>
        </w:rPr>
        <w:t>diferen-</w:t>
      </w:r>
    </w:p>
    <w:p>
      <w:pPr>
        <w:pStyle w:val="BodyText"/>
        <w:spacing w:line="256" w:lineRule="auto" w:before="14"/>
        <w:ind w:left="653" w:right="101"/>
        <w:jc w:val="both"/>
      </w:pPr>
      <w:r>
        <w:rPr>
          <w:color w:val="231F20"/>
        </w:rPr>
        <w:t>tes </w:t>
      </w:r>
      <w:r>
        <w:rPr>
          <w:color w:val="231F20"/>
          <w:spacing w:val="-3"/>
        </w:rPr>
        <w:t>instituciones </w:t>
      </w:r>
      <w:r>
        <w:rPr>
          <w:color w:val="231F20"/>
        </w:rPr>
        <w:t>y </w:t>
      </w:r>
      <w:r>
        <w:rPr>
          <w:color w:val="231F20"/>
          <w:spacing w:val="-3"/>
        </w:rPr>
        <w:t>condiciones </w:t>
      </w:r>
      <w:r>
        <w:rPr>
          <w:color w:val="231F20"/>
        </w:rPr>
        <w:t>de los </w:t>
      </w:r>
      <w:r>
        <w:rPr>
          <w:color w:val="231F20"/>
          <w:spacing w:val="-3"/>
        </w:rPr>
        <w:t>factores; entre </w:t>
      </w:r>
      <w:r>
        <w:rPr>
          <w:color w:val="231F20"/>
        </w:rPr>
        <w:t>ellos: </w:t>
      </w:r>
      <w:r>
        <w:rPr>
          <w:rFonts w:ascii="Palatino Linotype" w:hAnsi="Palatino Linotype"/>
          <w:i/>
          <w:color w:val="231F20"/>
        </w:rPr>
        <w:t>a) </w:t>
      </w:r>
      <w:r>
        <w:rPr>
          <w:color w:val="231F20"/>
        </w:rPr>
        <w:t>la regulación, relacionada </w:t>
      </w:r>
      <w:r>
        <w:rPr>
          <w:color w:val="231F20"/>
          <w:spacing w:val="-2"/>
        </w:rPr>
        <w:t>con</w:t>
      </w:r>
      <w:r>
        <w:rPr>
          <w:color w:val="231F20"/>
          <w:spacing w:val="-8"/>
        </w:rPr>
        <w:t> </w:t>
      </w:r>
      <w:r>
        <w:rPr>
          <w:color w:val="231F20"/>
        </w:rPr>
        <w:t>los</w:t>
      </w:r>
      <w:r>
        <w:rPr>
          <w:color w:val="231F20"/>
          <w:spacing w:val="-8"/>
        </w:rPr>
        <w:t> </w:t>
      </w:r>
      <w:r>
        <w:rPr>
          <w:color w:val="231F20"/>
          <w:spacing w:val="-3"/>
        </w:rPr>
        <w:t>requerimientos</w:t>
      </w:r>
      <w:r>
        <w:rPr>
          <w:color w:val="231F20"/>
          <w:spacing w:val="-8"/>
        </w:rPr>
        <w:t> </w:t>
      </w:r>
      <w:r>
        <w:rPr>
          <w:color w:val="231F20"/>
        </w:rPr>
        <w:t>de</w:t>
      </w:r>
      <w:r>
        <w:rPr>
          <w:color w:val="231F20"/>
          <w:spacing w:val="-8"/>
        </w:rPr>
        <w:t> </w:t>
      </w:r>
      <w:r>
        <w:rPr>
          <w:color w:val="231F20"/>
          <w:spacing w:val="-3"/>
        </w:rPr>
        <w:t>contenido</w:t>
      </w:r>
      <w:r>
        <w:rPr>
          <w:color w:val="231F20"/>
          <w:spacing w:val="-8"/>
        </w:rPr>
        <w:t> </w:t>
      </w:r>
      <w:r>
        <w:rPr>
          <w:color w:val="231F20"/>
        </w:rPr>
        <w:t>local,</w:t>
      </w:r>
      <w:r>
        <w:rPr>
          <w:color w:val="231F20"/>
          <w:spacing w:val="-8"/>
        </w:rPr>
        <w:t> </w:t>
      </w:r>
      <w:r>
        <w:rPr>
          <w:color w:val="231F20"/>
        </w:rPr>
        <w:t>balanza</w:t>
      </w:r>
      <w:r>
        <w:rPr>
          <w:color w:val="231F20"/>
          <w:spacing w:val="-8"/>
        </w:rPr>
        <w:t> </w:t>
      </w:r>
      <w:r>
        <w:rPr>
          <w:color w:val="231F20"/>
        </w:rPr>
        <w:t>comercial,</w:t>
      </w:r>
      <w:r>
        <w:rPr>
          <w:color w:val="231F20"/>
          <w:spacing w:val="-8"/>
        </w:rPr>
        <w:t> </w:t>
      </w:r>
      <w:r>
        <w:rPr>
          <w:color w:val="231F20"/>
        </w:rPr>
        <w:t>regulación</w:t>
      </w:r>
      <w:r>
        <w:rPr>
          <w:color w:val="231F20"/>
          <w:spacing w:val="-8"/>
        </w:rPr>
        <w:t> </w:t>
      </w:r>
      <w:r>
        <w:rPr>
          <w:color w:val="231F20"/>
          <w:spacing w:val="-3"/>
        </w:rPr>
        <w:t>ambiental,</w:t>
      </w:r>
      <w:r>
        <w:rPr>
          <w:color w:val="231F20"/>
          <w:spacing w:val="-8"/>
        </w:rPr>
        <w:t> </w:t>
      </w:r>
      <w:r>
        <w:rPr>
          <w:color w:val="231F20"/>
          <w:spacing w:val="-2"/>
        </w:rPr>
        <w:t>re- </w:t>
      </w:r>
      <w:r>
        <w:rPr>
          <w:color w:val="231F20"/>
        </w:rPr>
        <w:t>gulación </w:t>
      </w:r>
      <w:r>
        <w:rPr>
          <w:color w:val="231F20"/>
          <w:spacing w:val="-3"/>
        </w:rPr>
        <w:t>sobre </w:t>
      </w:r>
      <w:r>
        <w:rPr>
          <w:color w:val="231F20"/>
        </w:rPr>
        <w:t>seguridad, </w:t>
      </w:r>
      <w:r>
        <w:rPr>
          <w:color w:val="231F20"/>
          <w:spacing w:val="-3"/>
        </w:rPr>
        <w:t>requerimientos </w:t>
      </w:r>
      <w:r>
        <w:rPr>
          <w:color w:val="231F20"/>
        </w:rPr>
        <w:t>fiscales, </w:t>
      </w:r>
      <w:r>
        <w:rPr>
          <w:color w:val="231F20"/>
          <w:spacing w:val="-3"/>
        </w:rPr>
        <w:t>entre </w:t>
      </w:r>
      <w:r>
        <w:rPr>
          <w:color w:val="231F20"/>
          <w:spacing w:val="-2"/>
        </w:rPr>
        <w:t>otros; </w:t>
      </w:r>
      <w:r>
        <w:rPr>
          <w:rFonts w:ascii="Palatino Linotype" w:hAnsi="Palatino Linotype"/>
          <w:i/>
          <w:color w:val="231F20"/>
        </w:rPr>
        <w:t>b) </w:t>
      </w:r>
      <w:r>
        <w:rPr>
          <w:color w:val="231F20"/>
        </w:rPr>
        <w:t>infraestructura, como carreteras,</w:t>
      </w:r>
      <w:r>
        <w:rPr>
          <w:color w:val="231F20"/>
          <w:spacing w:val="-7"/>
        </w:rPr>
        <w:t> </w:t>
      </w:r>
      <w:r>
        <w:rPr>
          <w:color w:val="231F20"/>
        </w:rPr>
        <w:t>transporte</w:t>
      </w:r>
      <w:r>
        <w:rPr>
          <w:color w:val="231F20"/>
          <w:spacing w:val="-7"/>
        </w:rPr>
        <w:t> </w:t>
      </w:r>
      <w:r>
        <w:rPr>
          <w:color w:val="231F20"/>
        </w:rPr>
        <w:t>y</w:t>
      </w:r>
      <w:r>
        <w:rPr>
          <w:color w:val="231F20"/>
          <w:spacing w:val="-7"/>
        </w:rPr>
        <w:t> </w:t>
      </w:r>
      <w:r>
        <w:rPr>
          <w:color w:val="231F20"/>
        </w:rPr>
        <w:t>servicios;</w:t>
      </w:r>
      <w:r>
        <w:rPr>
          <w:color w:val="231F20"/>
          <w:spacing w:val="-7"/>
        </w:rPr>
        <w:t> </w:t>
      </w:r>
      <w:r>
        <w:rPr>
          <w:rFonts w:ascii="Palatino Linotype" w:hAnsi="Palatino Linotype"/>
          <w:i/>
          <w:color w:val="231F20"/>
        </w:rPr>
        <w:t>c)</w:t>
      </w:r>
      <w:r>
        <w:rPr>
          <w:rFonts w:ascii="Palatino Linotype" w:hAnsi="Palatino Linotype"/>
          <w:i/>
          <w:color w:val="231F20"/>
          <w:spacing w:val="-7"/>
        </w:rPr>
        <w:t> </w:t>
      </w:r>
      <w:r>
        <w:rPr>
          <w:color w:val="231F20"/>
        </w:rPr>
        <w:t>tecnología,</w:t>
      </w:r>
      <w:r>
        <w:rPr>
          <w:color w:val="231F20"/>
          <w:spacing w:val="-7"/>
        </w:rPr>
        <w:t> </w:t>
      </w:r>
      <w:r>
        <w:rPr>
          <w:color w:val="231F20"/>
        </w:rPr>
        <w:t>donde</w:t>
      </w:r>
      <w:r>
        <w:rPr>
          <w:color w:val="231F20"/>
          <w:spacing w:val="-7"/>
        </w:rPr>
        <w:t> </w:t>
      </w:r>
      <w:r>
        <w:rPr>
          <w:color w:val="231F20"/>
        </w:rPr>
        <w:t>destacan</w:t>
      </w:r>
      <w:r>
        <w:rPr>
          <w:color w:val="231F20"/>
          <w:spacing w:val="-7"/>
        </w:rPr>
        <w:t> </w:t>
      </w:r>
      <w:r>
        <w:rPr>
          <w:color w:val="231F20"/>
        </w:rPr>
        <w:t>capacidades</w:t>
      </w:r>
      <w:r>
        <w:rPr>
          <w:color w:val="231F20"/>
          <w:spacing w:val="-7"/>
        </w:rPr>
        <w:t> </w:t>
      </w:r>
      <w:r>
        <w:rPr>
          <w:color w:val="231F20"/>
        </w:rPr>
        <w:t>de</w:t>
      </w:r>
      <w:r>
        <w:rPr>
          <w:color w:val="231F20"/>
          <w:spacing w:val="-7"/>
        </w:rPr>
        <w:t> </w:t>
      </w:r>
      <w:r>
        <w:rPr>
          <w:color w:val="231F20"/>
        </w:rPr>
        <w:t>diseño y de </w:t>
      </w:r>
      <w:r>
        <w:rPr>
          <w:color w:val="231F20"/>
          <w:spacing w:val="-3"/>
        </w:rPr>
        <w:t>manufactura, laboratorios </w:t>
      </w:r>
      <w:r>
        <w:rPr>
          <w:color w:val="231F20"/>
        </w:rPr>
        <w:t>de </w:t>
      </w:r>
      <w:r>
        <w:rPr>
          <w:color w:val="231F20"/>
          <w:spacing w:val="-3"/>
        </w:rPr>
        <w:t>prototipo </w:t>
      </w:r>
      <w:r>
        <w:rPr>
          <w:color w:val="231F20"/>
        </w:rPr>
        <w:t>y prueba, </w:t>
      </w:r>
      <w:r>
        <w:rPr>
          <w:color w:val="231F20"/>
          <w:spacing w:val="-3"/>
        </w:rPr>
        <w:t>laboratorios </w:t>
      </w:r>
      <w:r>
        <w:rPr>
          <w:color w:val="231F20"/>
        </w:rPr>
        <w:t>de metrología y em- presas</w:t>
      </w:r>
      <w:r>
        <w:rPr>
          <w:color w:val="231F20"/>
          <w:spacing w:val="-13"/>
        </w:rPr>
        <w:t> </w:t>
      </w:r>
      <w:r>
        <w:rPr>
          <w:color w:val="231F20"/>
        </w:rPr>
        <w:t>certificadoras,</w:t>
      </w:r>
      <w:r>
        <w:rPr>
          <w:color w:val="231F20"/>
          <w:spacing w:val="-13"/>
        </w:rPr>
        <w:t> </w:t>
      </w:r>
      <w:r>
        <w:rPr>
          <w:color w:val="231F20"/>
        </w:rPr>
        <w:t>por</w:t>
      </w:r>
      <w:r>
        <w:rPr>
          <w:color w:val="231F20"/>
          <w:spacing w:val="-13"/>
        </w:rPr>
        <w:t> </w:t>
      </w:r>
      <w:r>
        <w:rPr>
          <w:color w:val="231F20"/>
          <w:spacing w:val="-3"/>
        </w:rPr>
        <w:t>mencionar</w:t>
      </w:r>
      <w:r>
        <w:rPr>
          <w:color w:val="231F20"/>
          <w:spacing w:val="-13"/>
        </w:rPr>
        <w:t> </w:t>
      </w:r>
      <w:r>
        <w:rPr>
          <w:color w:val="231F20"/>
        </w:rPr>
        <w:t>algunos.</w:t>
      </w:r>
    </w:p>
    <w:p>
      <w:pPr>
        <w:pStyle w:val="BodyText"/>
        <w:spacing w:before="10"/>
        <w:rPr>
          <w:sz w:val="16"/>
        </w:rPr>
      </w:pPr>
    </w:p>
    <w:p>
      <w:pPr>
        <w:pStyle w:val="Heading3"/>
        <w:numPr>
          <w:ilvl w:val="1"/>
          <w:numId w:val="10"/>
        </w:numPr>
        <w:tabs>
          <w:tab w:pos="1068" w:val="left" w:leader="none"/>
        </w:tabs>
        <w:spacing w:line="240" w:lineRule="auto" w:before="0" w:after="0"/>
        <w:ind w:left="1067" w:right="0" w:hanging="414"/>
        <w:jc w:val="both"/>
      </w:pPr>
      <w:r>
        <w:rPr>
          <w:color w:val="231F20"/>
          <w:w w:val="90"/>
        </w:rPr>
        <w:t>Conclusiones del</w:t>
      </w:r>
      <w:r>
        <w:rPr>
          <w:color w:val="231F20"/>
          <w:spacing w:val="9"/>
          <w:w w:val="90"/>
        </w:rPr>
        <w:t> </w:t>
      </w:r>
      <w:r>
        <w:rPr>
          <w:color w:val="231F20"/>
          <w:w w:val="90"/>
        </w:rPr>
        <w:t>capítulo</w:t>
      </w:r>
    </w:p>
    <w:p>
      <w:pPr>
        <w:pStyle w:val="BodyText"/>
        <w:spacing w:line="271" w:lineRule="auto" w:before="125"/>
        <w:ind w:left="653" w:right="101"/>
        <w:jc w:val="both"/>
      </w:pPr>
      <w:r>
        <w:rPr>
          <w:color w:val="231F20"/>
        </w:rPr>
        <w:t>La industria automotriz tiene una connotación global, es </w:t>
      </w:r>
      <w:r>
        <w:rPr>
          <w:color w:val="231F20"/>
          <w:spacing w:val="-3"/>
        </w:rPr>
        <w:t>decir, </w:t>
      </w:r>
      <w:r>
        <w:rPr>
          <w:color w:val="231F20"/>
        </w:rPr>
        <w:t>es una industria com- puesta por grandes transnacionales, tanto por el lado de las ensambladoras como por el</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autopartes;</w:t>
      </w:r>
      <w:r>
        <w:rPr>
          <w:color w:val="231F20"/>
          <w:spacing w:val="-4"/>
        </w:rPr>
        <w:t> </w:t>
      </w:r>
      <w:r>
        <w:rPr>
          <w:color w:val="231F20"/>
        </w:rPr>
        <w:t>además</w:t>
      </w:r>
      <w:r>
        <w:rPr>
          <w:color w:val="231F20"/>
          <w:spacing w:val="-4"/>
        </w:rPr>
        <w:t> </w:t>
      </w:r>
      <w:r>
        <w:rPr>
          <w:color w:val="231F20"/>
        </w:rPr>
        <w:t>de</w:t>
      </w:r>
      <w:r>
        <w:rPr>
          <w:color w:val="231F20"/>
          <w:spacing w:val="-4"/>
        </w:rPr>
        <w:t> </w:t>
      </w:r>
      <w:r>
        <w:rPr>
          <w:color w:val="231F20"/>
        </w:rPr>
        <w:t>que</w:t>
      </w:r>
      <w:r>
        <w:rPr>
          <w:color w:val="231F20"/>
          <w:spacing w:val="-4"/>
        </w:rPr>
        <w:t> </w:t>
      </w:r>
      <w:r>
        <w:rPr>
          <w:color w:val="231F20"/>
        </w:rPr>
        <w:t>prácticamente</w:t>
      </w:r>
      <w:r>
        <w:rPr>
          <w:color w:val="231F20"/>
          <w:spacing w:val="-4"/>
        </w:rPr>
        <w:t> </w:t>
      </w:r>
      <w:r>
        <w:rPr>
          <w:color w:val="231F20"/>
        </w:rPr>
        <w:t>son</w:t>
      </w:r>
      <w:r>
        <w:rPr>
          <w:color w:val="231F20"/>
          <w:spacing w:val="-4"/>
        </w:rPr>
        <w:t> </w:t>
      </w:r>
      <w:r>
        <w:rPr>
          <w:color w:val="231F20"/>
        </w:rPr>
        <w:t>las</w:t>
      </w:r>
      <w:r>
        <w:rPr>
          <w:color w:val="231F20"/>
          <w:spacing w:val="-4"/>
        </w:rPr>
        <w:t> </w:t>
      </w:r>
      <w:r>
        <w:rPr>
          <w:color w:val="231F20"/>
        </w:rPr>
        <w:t>mismas</w:t>
      </w:r>
      <w:r>
        <w:rPr>
          <w:color w:val="231F20"/>
          <w:spacing w:val="-4"/>
        </w:rPr>
        <w:t> </w:t>
      </w:r>
      <w:r>
        <w:rPr>
          <w:color w:val="231F20"/>
        </w:rPr>
        <w:t>firmas</w:t>
      </w:r>
      <w:r>
        <w:rPr>
          <w:color w:val="231F20"/>
          <w:spacing w:val="-4"/>
        </w:rPr>
        <w:t> </w:t>
      </w:r>
      <w:r>
        <w:rPr>
          <w:color w:val="231F20"/>
        </w:rPr>
        <w:t>las</w:t>
      </w:r>
      <w:r>
        <w:rPr>
          <w:color w:val="231F20"/>
          <w:spacing w:val="-4"/>
        </w:rPr>
        <w:t> </w:t>
      </w:r>
      <w:r>
        <w:rPr>
          <w:color w:val="231F20"/>
        </w:rPr>
        <w:t>que</w:t>
      </w:r>
      <w:r>
        <w:rPr>
          <w:color w:val="231F20"/>
          <w:spacing w:val="-4"/>
        </w:rPr>
        <w:t> </w:t>
      </w:r>
      <w:r>
        <w:rPr>
          <w:color w:val="231F20"/>
        </w:rPr>
        <w:t>están presentes en todos los países, como productores de vehículos y de las mismas auto- partes,</w:t>
      </w:r>
      <w:r>
        <w:rPr>
          <w:color w:val="231F20"/>
          <w:spacing w:val="-14"/>
        </w:rPr>
        <w:t> </w:t>
      </w:r>
      <w:r>
        <w:rPr>
          <w:color w:val="231F20"/>
        </w:rPr>
        <w:t>que</w:t>
      </w:r>
      <w:r>
        <w:rPr>
          <w:color w:val="231F20"/>
          <w:spacing w:val="-14"/>
        </w:rPr>
        <w:t> </w:t>
      </w:r>
      <w:r>
        <w:rPr>
          <w:color w:val="231F20"/>
        </w:rPr>
        <w:t>claramente</w:t>
      </w:r>
      <w:r>
        <w:rPr>
          <w:color w:val="231F20"/>
          <w:spacing w:val="-14"/>
        </w:rPr>
        <w:t> </w:t>
      </w:r>
      <w:r>
        <w:rPr>
          <w:color w:val="231F20"/>
        </w:rPr>
        <w:t>se</w:t>
      </w:r>
      <w:r>
        <w:rPr>
          <w:color w:val="231F20"/>
          <w:spacing w:val="-14"/>
        </w:rPr>
        <w:t> </w:t>
      </w:r>
      <w:r>
        <w:rPr>
          <w:color w:val="231F20"/>
        </w:rPr>
        <w:t>identifica</w:t>
      </w:r>
      <w:r>
        <w:rPr>
          <w:color w:val="231F20"/>
          <w:spacing w:val="-14"/>
        </w:rPr>
        <w:t> </w:t>
      </w:r>
      <w:r>
        <w:rPr>
          <w:color w:val="231F20"/>
        </w:rPr>
        <w:t>con</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Gereffi</w:t>
      </w:r>
      <w:r>
        <w:rPr>
          <w:color w:val="231F20"/>
          <w:spacing w:val="-14"/>
        </w:rPr>
        <w:t> </w:t>
      </w:r>
      <w:r>
        <w:rPr>
          <w:color w:val="231F20"/>
        </w:rPr>
        <w:t>(2001)</w:t>
      </w:r>
      <w:r>
        <w:rPr>
          <w:color w:val="231F20"/>
          <w:spacing w:val="-14"/>
        </w:rPr>
        <w:t> </w:t>
      </w:r>
      <w:r>
        <w:rPr>
          <w:color w:val="231F20"/>
        </w:rPr>
        <w:t>llama</w:t>
      </w:r>
      <w:r>
        <w:rPr>
          <w:color w:val="231F20"/>
          <w:spacing w:val="-14"/>
        </w:rPr>
        <w:t> </w:t>
      </w:r>
      <w:r>
        <w:rPr>
          <w:rFonts w:ascii="Palatino Linotype" w:hAnsi="Palatino Linotype"/>
          <w:i/>
          <w:color w:val="231F20"/>
        </w:rPr>
        <w:t>producer</w:t>
      </w:r>
      <w:r>
        <w:rPr>
          <w:rFonts w:ascii="Palatino Linotype" w:hAnsi="Palatino Linotype"/>
          <w:i/>
          <w:color w:val="231F20"/>
          <w:spacing w:val="-13"/>
        </w:rPr>
        <w:t> </w:t>
      </w:r>
      <w:r>
        <w:rPr>
          <w:rFonts w:ascii="Palatino Linotype" w:hAnsi="Palatino Linotype"/>
          <w:i/>
          <w:color w:val="231F20"/>
        </w:rPr>
        <w:t>driven</w:t>
      </w:r>
      <w:r>
        <w:rPr>
          <w:color w:val="231F20"/>
        </w:rPr>
        <w:t>,</w:t>
      </w:r>
      <w:r>
        <w:rPr>
          <w:color w:val="231F20"/>
          <w:spacing w:val="-14"/>
        </w:rPr>
        <w:t> </w:t>
      </w:r>
      <w:r>
        <w:rPr>
          <w:color w:val="231F20"/>
        </w:rPr>
        <w:t>es </w:t>
      </w:r>
      <w:r>
        <w:rPr>
          <w:color w:val="231F20"/>
          <w:spacing w:val="-3"/>
        </w:rPr>
        <w:t>decir,</w:t>
      </w:r>
      <w:r>
        <w:rPr>
          <w:color w:val="231F20"/>
          <w:spacing w:val="-7"/>
        </w:rPr>
        <w:t> </w:t>
      </w:r>
      <w:r>
        <w:rPr>
          <w:color w:val="231F20"/>
        </w:rPr>
        <w:t>intensiva</w:t>
      </w:r>
      <w:r>
        <w:rPr>
          <w:color w:val="231F20"/>
          <w:spacing w:val="-7"/>
        </w:rPr>
        <w:t> </w:t>
      </w:r>
      <w:r>
        <w:rPr>
          <w:color w:val="231F20"/>
        </w:rPr>
        <w:t>en</w:t>
      </w:r>
      <w:r>
        <w:rPr>
          <w:color w:val="231F20"/>
          <w:spacing w:val="-7"/>
        </w:rPr>
        <w:t> </w:t>
      </w:r>
      <w:r>
        <w:rPr>
          <w:color w:val="231F20"/>
        </w:rPr>
        <w:t>capital</w:t>
      </w:r>
      <w:r>
        <w:rPr>
          <w:color w:val="231F20"/>
          <w:spacing w:val="-7"/>
        </w:rPr>
        <w:t> </w:t>
      </w:r>
      <w:r>
        <w:rPr>
          <w:color w:val="231F20"/>
        </w:rPr>
        <w:t>y</w:t>
      </w:r>
      <w:r>
        <w:rPr>
          <w:color w:val="231F20"/>
          <w:spacing w:val="-7"/>
        </w:rPr>
        <w:t> </w:t>
      </w:r>
      <w:r>
        <w:rPr>
          <w:color w:val="231F20"/>
        </w:rPr>
        <w:t>tecnología</w:t>
      </w:r>
      <w:r>
        <w:rPr>
          <w:color w:val="231F20"/>
          <w:spacing w:val="-7"/>
        </w:rPr>
        <w:t> </w:t>
      </w:r>
      <w:r>
        <w:rPr>
          <w:color w:val="231F20"/>
        </w:rPr>
        <w:t>y</w:t>
      </w:r>
      <w:r>
        <w:rPr>
          <w:color w:val="231F20"/>
          <w:spacing w:val="-7"/>
        </w:rPr>
        <w:t> </w:t>
      </w:r>
      <w:r>
        <w:rPr>
          <w:color w:val="231F20"/>
        </w:rPr>
        <w:t>liderada</w:t>
      </w:r>
      <w:r>
        <w:rPr>
          <w:color w:val="231F20"/>
          <w:spacing w:val="-7"/>
        </w:rPr>
        <w:t> </w:t>
      </w:r>
      <w:r>
        <w:rPr>
          <w:color w:val="231F20"/>
        </w:rPr>
        <w:t>por</w:t>
      </w:r>
      <w:r>
        <w:rPr>
          <w:color w:val="231F20"/>
          <w:spacing w:val="-7"/>
        </w:rPr>
        <w:t> </w:t>
      </w:r>
      <w:r>
        <w:rPr>
          <w:color w:val="231F20"/>
        </w:rPr>
        <w:t>las</w:t>
      </w:r>
      <w:r>
        <w:rPr>
          <w:color w:val="231F20"/>
          <w:spacing w:val="-7"/>
        </w:rPr>
        <w:t> </w:t>
      </w:r>
      <w:r>
        <w:rPr>
          <w:color w:val="231F20"/>
        </w:rPr>
        <w:t>transnacionales</w:t>
      </w:r>
      <w:r>
        <w:rPr>
          <w:color w:val="231F20"/>
          <w:spacing w:val="-7"/>
        </w:rPr>
        <w:t> </w:t>
      </w:r>
      <w:r>
        <w:rPr>
          <w:color w:val="231F20"/>
        </w:rPr>
        <w:t>automotrices. Estas</w:t>
      </w:r>
      <w:r>
        <w:rPr>
          <w:color w:val="231F20"/>
          <w:spacing w:val="-16"/>
        </w:rPr>
        <w:t> </w:t>
      </w:r>
      <w:r>
        <w:rPr>
          <w:color w:val="231F20"/>
        </w:rPr>
        <w:t>firmas</w:t>
      </w:r>
      <w:r>
        <w:rPr>
          <w:color w:val="231F20"/>
          <w:spacing w:val="-16"/>
        </w:rPr>
        <w:t> </w:t>
      </w:r>
      <w:r>
        <w:rPr>
          <w:color w:val="231F20"/>
        </w:rPr>
        <w:t>no</w:t>
      </w:r>
      <w:r>
        <w:rPr>
          <w:color w:val="231F20"/>
          <w:spacing w:val="-16"/>
        </w:rPr>
        <w:t> </w:t>
      </w:r>
      <w:r>
        <w:rPr>
          <w:color w:val="231F20"/>
        </w:rPr>
        <w:t>sólo</w:t>
      </w:r>
      <w:r>
        <w:rPr>
          <w:color w:val="231F20"/>
          <w:spacing w:val="-16"/>
        </w:rPr>
        <w:t> </w:t>
      </w:r>
      <w:r>
        <w:rPr>
          <w:color w:val="231F20"/>
        </w:rPr>
        <w:t>coordinan</w:t>
      </w:r>
      <w:r>
        <w:rPr>
          <w:color w:val="231F20"/>
          <w:spacing w:val="-16"/>
        </w:rPr>
        <w:t> </w:t>
      </w:r>
      <w:r>
        <w:rPr>
          <w:color w:val="231F20"/>
        </w:rPr>
        <w:t>las</w:t>
      </w:r>
      <w:r>
        <w:rPr>
          <w:color w:val="231F20"/>
          <w:spacing w:val="-16"/>
        </w:rPr>
        <w:t> </w:t>
      </w:r>
      <w:r>
        <w:rPr>
          <w:color w:val="231F20"/>
        </w:rPr>
        <w:t>redes</w:t>
      </w:r>
      <w:r>
        <w:rPr>
          <w:color w:val="231F20"/>
          <w:spacing w:val="-16"/>
        </w:rPr>
        <w:t> </w:t>
      </w:r>
      <w:r>
        <w:rPr>
          <w:color w:val="231F20"/>
        </w:rPr>
        <w:t>de</w:t>
      </w:r>
      <w:r>
        <w:rPr>
          <w:color w:val="231F20"/>
          <w:spacing w:val="-16"/>
        </w:rPr>
        <w:t> </w:t>
      </w:r>
      <w:r>
        <w:rPr>
          <w:color w:val="231F20"/>
        </w:rPr>
        <w:t>producción,</w:t>
      </w:r>
      <w:r>
        <w:rPr>
          <w:color w:val="231F20"/>
          <w:spacing w:val="-16"/>
        </w:rPr>
        <w:t> </w:t>
      </w:r>
      <w:r>
        <w:rPr>
          <w:color w:val="231F20"/>
        </w:rPr>
        <w:t>los</w:t>
      </w:r>
      <w:r>
        <w:rPr>
          <w:color w:val="231F20"/>
          <w:spacing w:val="-16"/>
        </w:rPr>
        <w:t> </w:t>
      </w:r>
      <w:r>
        <w:rPr>
          <w:color w:val="231F20"/>
        </w:rPr>
        <w:t>eslabonamientos</w:t>
      </w:r>
      <w:r>
        <w:rPr>
          <w:color w:val="231F20"/>
          <w:spacing w:val="-16"/>
        </w:rPr>
        <w:t> </w:t>
      </w:r>
      <w:r>
        <w:rPr>
          <w:color w:val="231F20"/>
        </w:rPr>
        <w:t>hacia</w:t>
      </w:r>
      <w:r>
        <w:rPr>
          <w:color w:val="231F20"/>
          <w:spacing w:val="-16"/>
        </w:rPr>
        <w:t> </w:t>
      </w:r>
      <w:r>
        <w:rPr>
          <w:color w:val="231F20"/>
        </w:rPr>
        <w:t>atrás y</w:t>
      </w:r>
      <w:r>
        <w:rPr>
          <w:color w:val="231F20"/>
          <w:spacing w:val="-10"/>
        </w:rPr>
        <w:t> </w:t>
      </w:r>
      <w:r>
        <w:rPr>
          <w:color w:val="231F20"/>
        </w:rPr>
        <w:t>hacia</w:t>
      </w:r>
      <w:r>
        <w:rPr>
          <w:color w:val="231F20"/>
          <w:spacing w:val="-10"/>
        </w:rPr>
        <w:t> </w:t>
      </w:r>
      <w:r>
        <w:rPr>
          <w:color w:val="231F20"/>
        </w:rPr>
        <w:t>delante</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cadena</w:t>
      </w:r>
      <w:r>
        <w:rPr>
          <w:color w:val="231F20"/>
          <w:spacing w:val="-10"/>
        </w:rPr>
        <w:t> </w:t>
      </w:r>
      <w:r>
        <w:rPr>
          <w:color w:val="231F20"/>
        </w:rPr>
        <w:t>de</w:t>
      </w:r>
      <w:r>
        <w:rPr>
          <w:color w:val="231F20"/>
          <w:spacing w:val="-10"/>
        </w:rPr>
        <w:t> </w:t>
      </w:r>
      <w:r>
        <w:rPr>
          <w:color w:val="231F20"/>
        </w:rPr>
        <w:t>proveedores;</w:t>
      </w:r>
      <w:r>
        <w:rPr>
          <w:color w:val="231F20"/>
          <w:spacing w:val="-10"/>
        </w:rPr>
        <w:t> </w:t>
      </w:r>
      <w:r>
        <w:rPr>
          <w:color w:val="231F20"/>
        </w:rPr>
        <w:t>sino</w:t>
      </w:r>
      <w:r>
        <w:rPr>
          <w:color w:val="231F20"/>
          <w:spacing w:val="-10"/>
        </w:rPr>
        <w:t> </w:t>
      </w:r>
      <w:r>
        <w:rPr>
          <w:color w:val="231F20"/>
        </w:rPr>
        <w:t>también</w:t>
      </w:r>
      <w:r>
        <w:rPr>
          <w:color w:val="231F20"/>
          <w:spacing w:val="-10"/>
        </w:rPr>
        <w:t> </w:t>
      </w:r>
      <w:r>
        <w:rPr>
          <w:color w:val="231F20"/>
        </w:rPr>
        <w:t>deciden</w:t>
      </w:r>
      <w:r>
        <w:rPr>
          <w:color w:val="231F20"/>
          <w:spacing w:val="-10"/>
        </w:rPr>
        <w:t> </w:t>
      </w:r>
      <w:r>
        <w:rPr>
          <w:color w:val="231F20"/>
        </w:rPr>
        <w:t>quién</w:t>
      </w:r>
      <w:r>
        <w:rPr>
          <w:color w:val="231F20"/>
          <w:spacing w:val="-10"/>
        </w:rPr>
        <w:t> </w:t>
      </w:r>
      <w:r>
        <w:rPr>
          <w:color w:val="231F20"/>
        </w:rPr>
        <w:t>entra</w:t>
      </w:r>
      <w:r>
        <w:rPr>
          <w:color w:val="231F20"/>
          <w:spacing w:val="-10"/>
        </w:rPr>
        <w:t> </w:t>
      </w:r>
      <w:r>
        <w:rPr>
          <w:color w:val="231F20"/>
        </w:rPr>
        <w:t>y</w:t>
      </w:r>
      <w:r>
        <w:rPr>
          <w:color w:val="231F20"/>
          <w:spacing w:val="-10"/>
        </w:rPr>
        <w:t> </w:t>
      </w:r>
      <w:r>
        <w:rPr>
          <w:color w:val="231F20"/>
        </w:rPr>
        <w:t>sale</w:t>
      </w:r>
      <w:r>
        <w:rPr>
          <w:color w:val="231F20"/>
          <w:spacing w:val="-10"/>
        </w:rPr>
        <w:t> </w:t>
      </w:r>
      <w:r>
        <w:rPr>
          <w:color w:val="231F20"/>
        </w:rPr>
        <w:t>del mercado y a qué segmentos de la cadena pueden incorporarse productores</w:t>
      </w:r>
      <w:r>
        <w:rPr>
          <w:color w:val="231F20"/>
          <w:spacing w:val="-27"/>
        </w:rPr>
        <w:t> </w:t>
      </w:r>
      <w:r>
        <w:rPr>
          <w:color w:val="231F20"/>
        </w:rPr>
        <w:t>locales.</w:t>
      </w:r>
    </w:p>
    <w:p>
      <w:pPr>
        <w:spacing w:after="0" w:line="271" w:lineRule="auto"/>
        <w:jc w:val="both"/>
        <w:sectPr>
          <w:pgSz w:w="9640" w:h="13040"/>
          <w:pgMar w:header="581" w:footer="654" w:top="780" w:bottom="840" w:left="48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right="1131"/>
        <w:jc w:val="right"/>
      </w:pPr>
      <w:r>
        <w:rPr/>
        <w:pict>
          <v:group style="position:absolute;margin-left:64.696899pt;margin-top:-62.737774pt;width:417.7pt;height:245.5pt;mso-position-horizontal-relative:page;mso-position-vertical-relative:paragraph;z-index:-613984" coordorigin="1294,-1255" coordsize="8354,4910">
            <v:line style="position:absolute" from="1304,3645" to="9638,3645" stroked="true" strokeweight="1pt" strokecolor="#58595b"/>
            <v:rect style="position:absolute;left:9194;top:-1255;width:444;height:4900" filled="true" fillcolor="#58595b" stroked="false">
              <v:fill type="solid"/>
            </v:rect>
            <w10:wrap type="none"/>
          </v:group>
        </w:pict>
      </w:r>
      <w:r>
        <w:rPr>
          <w:color w:val="231F20"/>
          <w:w w:val="110"/>
        </w:rPr>
        <w:t>Capítulo II</w:t>
      </w:r>
    </w:p>
    <w:p>
      <w:pPr>
        <w:pStyle w:val="BodyText"/>
        <w:rPr>
          <w:rFonts w:ascii="Palatino Linotype"/>
          <w:b/>
          <w:sz w:val="41"/>
        </w:rPr>
      </w:pPr>
    </w:p>
    <w:p>
      <w:pPr>
        <w:pStyle w:val="Heading2"/>
        <w:spacing w:line="249" w:lineRule="auto"/>
        <w:ind w:left="927" w:hanging="466"/>
        <w:jc w:val="right"/>
      </w:pPr>
      <w:r>
        <w:rPr>
          <w:color w:val="231F20"/>
          <w:spacing w:val="5"/>
          <w:w w:val="120"/>
        </w:rPr>
        <w:t>La</w:t>
      </w:r>
      <w:r>
        <w:rPr>
          <w:color w:val="231F20"/>
          <w:spacing w:val="-48"/>
          <w:w w:val="120"/>
        </w:rPr>
        <w:t> </w:t>
      </w:r>
      <w:r>
        <w:rPr>
          <w:color w:val="231F20"/>
          <w:w w:val="120"/>
        </w:rPr>
        <w:t>industria</w:t>
      </w:r>
      <w:r>
        <w:rPr>
          <w:color w:val="231F20"/>
          <w:spacing w:val="-48"/>
          <w:w w:val="120"/>
        </w:rPr>
        <w:t> </w:t>
      </w:r>
      <w:r>
        <w:rPr>
          <w:color w:val="231F20"/>
          <w:spacing w:val="-4"/>
          <w:w w:val="120"/>
        </w:rPr>
        <w:t>automotriz</w:t>
      </w:r>
      <w:r>
        <w:rPr>
          <w:color w:val="231F20"/>
          <w:spacing w:val="-48"/>
          <w:w w:val="120"/>
        </w:rPr>
        <w:t> </w:t>
      </w:r>
      <w:r>
        <w:rPr>
          <w:color w:val="231F20"/>
          <w:w w:val="120"/>
        </w:rPr>
        <w:t>en</w:t>
      </w:r>
      <w:r>
        <w:rPr>
          <w:color w:val="231F20"/>
          <w:spacing w:val="-48"/>
          <w:w w:val="120"/>
        </w:rPr>
        <w:t> </w:t>
      </w:r>
      <w:r>
        <w:rPr>
          <w:color w:val="231F20"/>
          <w:w w:val="120"/>
        </w:rPr>
        <w:t>el</w:t>
      </w:r>
      <w:r>
        <w:rPr>
          <w:color w:val="231F20"/>
          <w:spacing w:val="-48"/>
          <w:w w:val="120"/>
        </w:rPr>
        <w:t> </w:t>
      </w:r>
      <w:r>
        <w:rPr>
          <w:color w:val="231F20"/>
          <w:w w:val="120"/>
        </w:rPr>
        <w:t>mundo.</w:t>
      </w:r>
      <w:r>
        <w:rPr>
          <w:color w:val="231F20"/>
          <w:w w:val="91"/>
        </w:rPr>
        <w:t> </w:t>
      </w:r>
      <w:r>
        <w:rPr>
          <w:color w:val="231F20"/>
          <w:spacing w:val="-7"/>
          <w:w w:val="120"/>
        </w:rPr>
        <w:t>Innovación</w:t>
      </w:r>
      <w:r>
        <w:rPr>
          <w:color w:val="231F20"/>
          <w:spacing w:val="-81"/>
          <w:w w:val="120"/>
        </w:rPr>
        <w:t> </w:t>
      </w:r>
      <w:r>
        <w:rPr>
          <w:color w:val="231F20"/>
          <w:w w:val="120"/>
        </w:rPr>
        <w:t>tecnológica,</w:t>
      </w:r>
      <w:r>
        <w:rPr>
          <w:color w:val="231F20"/>
          <w:spacing w:val="-81"/>
          <w:w w:val="120"/>
        </w:rPr>
        <w:t> </w:t>
      </w:r>
      <w:r>
        <w:rPr>
          <w:color w:val="231F20"/>
          <w:w w:val="120"/>
        </w:rPr>
        <w:t>procesos</w:t>
      </w:r>
      <w:r>
        <w:rPr>
          <w:color w:val="231F20"/>
          <w:w w:val="111"/>
        </w:rPr>
        <w:t> </w:t>
      </w:r>
      <w:r>
        <w:rPr>
          <w:color w:val="231F20"/>
          <w:spacing w:val="-3"/>
          <w:w w:val="120"/>
        </w:rPr>
        <w:t>productivos </w:t>
      </w:r>
      <w:r>
        <w:rPr>
          <w:color w:val="231F20"/>
          <w:w w:val="120"/>
        </w:rPr>
        <w:t>y</w:t>
      </w:r>
      <w:r>
        <w:rPr>
          <w:color w:val="231F20"/>
          <w:spacing w:val="-43"/>
          <w:w w:val="120"/>
        </w:rPr>
        <w:t> </w:t>
      </w:r>
      <w:r>
        <w:rPr>
          <w:color w:val="231F20"/>
          <w:w w:val="120"/>
        </w:rPr>
        <w:t>reconfiguración</w:t>
      </w:r>
      <w:r>
        <w:rPr>
          <w:color w:val="231F20"/>
          <w:spacing w:val="-23"/>
          <w:w w:val="120"/>
        </w:rPr>
        <w:t> </w:t>
      </w:r>
      <w:r>
        <w:rPr>
          <w:color w:val="231F20"/>
          <w:w w:val="120"/>
        </w:rPr>
        <w:t>del</w:t>
      </w:r>
      <w:r>
        <w:rPr>
          <w:color w:val="231F20"/>
          <w:w w:val="130"/>
        </w:rPr>
        <w:t> </w:t>
      </w:r>
      <w:r>
        <w:rPr>
          <w:color w:val="231F20"/>
          <w:w w:val="120"/>
        </w:rPr>
        <w:t>mercado</w:t>
      </w:r>
      <w:r>
        <w:rPr>
          <w:color w:val="231F20"/>
          <w:spacing w:val="-89"/>
          <w:w w:val="120"/>
        </w:rPr>
        <w:t> </w:t>
      </w:r>
      <w:r>
        <w:rPr>
          <w:color w:val="231F20"/>
          <w:w w:val="120"/>
        </w:rPr>
        <w:t>mundial</w:t>
      </w:r>
      <w:r>
        <w:rPr>
          <w:color w:val="231F20"/>
          <w:spacing w:val="-89"/>
          <w:w w:val="120"/>
        </w:rPr>
        <w:t> </w:t>
      </w:r>
      <w:r>
        <w:rPr>
          <w:color w:val="231F20"/>
          <w:w w:val="120"/>
        </w:rPr>
        <w:t>de</w:t>
      </w:r>
      <w:r>
        <w:rPr>
          <w:color w:val="231F20"/>
          <w:spacing w:val="-89"/>
          <w:w w:val="120"/>
        </w:rPr>
        <w:t> </w:t>
      </w:r>
      <w:r>
        <w:rPr>
          <w:color w:val="231F20"/>
          <w:w w:val="120"/>
        </w:rPr>
        <w:t>vehículos</w:t>
      </w:r>
    </w:p>
    <w:p>
      <w:pPr>
        <w:pStyle w:val="BodyText"/>
        <w:rPr>
          <w:sz w:val="40"/>
        </w:rPr>
      </w:pPr>
    </w:p>
    <w:p>
      <w:pPr>
        <w:pStyle w:val="BodyText"/>
        <w:rPr>
          <w:sz w:val="40"/>
        </w:rPr>
      </w:pPr>
    </w:p>
    <w:p>
      <w:pPr>
        <w:pStyle w:val="BodyText"/>
        <w:spacing w:before="10"/>
        <w:rPr>
          <w:sz w:val="33"/>
        </w:rPr>
      </w:pPr>
    </w:p>
    <w:p>
      <w:pPr>
        <w:pStyle w:val="BodyText"/>
        <w:spacing w:line="278" w:lineRule="auto" w:before="1"/>
        <w:ind w:left="123" w:right="1131"/>
        <w:jc w:val="both"/>
      </w:pPr>
      <w:r>
        <w:rPr>
          <w:color w:val="231F20"/>
        </w:rPr>
        <w:t>El objetivo de este capítulo es presentar un panorama del sector automotriz a nivel mundial, que permita conocer la importancia y la evolución de esta industria en tér- minos de producción y ventas, así como de empresas, países y regiones; además de conocer</w:t>
      </w:r>
      <w:r>
        <w:rPr>
          <w:color w:val="231F20"/>
          <w:spacing w:val="-8"/>
        </w:rPr>
        <w:t> </w:t>
      </w:r>
      <w:r>
        <w:rPr>
          <w:color w:val="231F20"/>
        </w:rPr>
        <w:t>la</w:t>
      </w:r>
      <w:r>
        <w:rPr>
          <w:color w:val="231F20"/>
          <w:spacing w:val="-8"/>
        </w:rPr>
        <w:t> </w:t>
      </w:r>
      <w:r>
        <w:rPr>
          <w:color w:val="231F20"/>
        </w:rPr>
        <w:t>situación</w:t>
      </w:r>
      <w:r>
        <w:rPr>
          <w:color w:val="231F20"/>
          <w:spacing w:val="-8"/>
        </w:rPr>
        <w:t> </w:t>
      </w:r>
      <w:r>
        <w:rPr>
          <w:color w:val="231F20"/>
        </w:rPr>
        <w:t>actual</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e</w:t>
      </w:r>
      <w:r>
        <w:rPr>
          <w:color w:val="231F20"/>
          <w:spacing w:val="-8"/>
        </w:rPr>
        <w:t> </w:t>
      </w:r>
      <w:r>
        <w:rPr>
          <w:color w:val="231F20"/>
        </w:rPr>
        <w:t>identificar</w:t>
      </w:r>
      <w:r>
        <w:rPr>
          <w:color w:val="231F20"/>
          <w:spacing w:val="-8"/>
        </w:rPr>
        <w:t> </w:t>
      </w:r>
      <w:r>
        <w:rPr>
          <w:color w:val="231F20"/>
        </w:rPr>
        <w:t>los</w:t>
      </w:r>
      <w:r>
        <w:rPr>
          <w:color w:val="231F20"/>
          <w:spacing w:val="-8"/>
        </w:rPr>
        <w:t> </w:t>
      </w:r>
      <w:r>
        <w:rPr>
          <w:color w:val="231F20"/>
        </w:rPr>
        <w:t>motores</w:t>
      </w:r>
      <w:r>
        <w:rPr>
          <w:color w:val="231F20"/>
          <w:spacing w:val="-8"/>
        </w:rPr>
        <w:t> </w:t>
      </w:r>
      <w:r>
        <w:rPr>
          <w:color w:val="231F20"/>
        </w:rPr>
        <w:t>que</w:t>
      </w:r>
      <w:r>
        <w:rPr>
          <w:color w:val="231F20"/>
          <w:spacing w:val="-8"/>
        </w:rPr>
        <w:t> </w:t>
      </w:r>
      <w:r>
        <w:rPr>
          <w:color w:val="231F20"/>
        </w:rPr>
        <w:t>lo</w:t>
      </w:r>
      <w:r>
        <w:rPr>
          <w:color w:val="231F20"/>
          <w:spacing w:val="-8"/>
        </w:rPr>
        <w:t> </w:t>
      </w:r>
      <w:r>
        <w:rPr>
          <w:color w:val="231F20"/>
        </w:rPr>
        <w:t>están</w:t>
      </w:r>
      <w:r>
        <w:rPr>
          <w:color w:val="231F20"/>
          <w:spacing w:val="-8"/>
        </w:rPr>
        <w:t> </w:t>
      </w:r>
      <w:r>
        <w:rPr>
          <w:color w:val="231F20"/>
        </w:rPr>
        <w:t>impulsando a</w:t>
      </w:r>
      <w:r>
        <w:rPr>
          <w:color w:val="231F20"/>
          <w:spacing w:val="-23"/>
        </w:rPr>
        <w:t> </w:t>
      </w:r>
      <w:r>
        <w:rPr>
          <w:color w:val="231F20"/>
        </w:rPr>
        <w:t>nivel</w:t>
      </w:r>
      <w:r>
        <w:rPr>
          <w:color w:val="231F20"/>
          <w:spacing w:val="-23"/>
        </w:rPr>
        <w:t> </w:t>
      </w:r>
      <w:r>
        <w:rPr>
          <w:color w:val="231F20"/>
        </w:rPr>
        <w:t>global.</w:t>
      </w:r>
    </w:p>
    <w:p>
      <w:pPr>
        <w:pStyle w:val="BodyText"/>
        <w:spacing w:line="278" w:lineRule="auto" w:before="1"/>
        <w:ind w:left="123" w:right="1130" w:firstLine="396"/>
        <w:jc w:val="both"/>
      </w:pPr>
      <w:r>
        <w:rPr>
          <w:color w:val="231F20"/>
        </w:rPr>
        <w:t>El</w:t>
      </w:r>
      <w:r>
        <w:rPr>
          <w:color w:val="231F20"/>
          <w:spacing w:val="-7"/>
        </w:rPr>
        <w:t> </w:t>
      </w:r>
      <w:r>
        <w:rPr>
          <w:color w:val="231F20"/>
        </w:rPr>
        <w:t>sector</w:t>
      </w:r>
      <w:r>
        <w:rPr>
          <w:color w:val="231F20"/>
          <w:spacing w:val="-7"/>
        </w:rPr>
        <w:t> </w:t>
      </w:r>
      <w:r>
        <w:rPr>
          <w:color w:val="231F20"/>
        </w:rPr>
        <w:t>automotriz</w:t>
      </w:r>
      <w:r>
        <w:rPr>
          <w:color w:val="231F20"/>
          <w:spacing w:val="-7"/>
        </w:rPr>
        <w:t> </w:t>
      </w:r>
      <w:r>
        <w:rPr>
          <w:color w:val="231F20"/>
        </w:rPr>
        <w:t>a</w:t>
      </w:r>
      <w:r>
        <w:rPr>
          <w:color w:val="231F20"/>
          <w:spacing w:val="-7"/>
        </w:rPr>
        <w:t> </w:t>
      </w:r>
      <w:r>
        <w:rPr>
          <w:color w:val="231F20"/>
        </w:rPr>
        <w:t>nivel</w:t>
      </w:r>
      <w:r>
        <w:rPr>
          <w:color w:val="231F20"/>
          <w:spacing w:val="-7"/>
        </w:rPr>
        <w:t> </w:t>
      </w:r>
      <w:r>
        <w:rPr>
          <w:color w:val="231F20"/>
        </w:rPr>
        <w:t>mundial</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caracterizado</w:t>
      </w:r>
      <w:r>
        <w:rPr>
          <w:color w:val="231F20"/>
          <w:spacing w:val="-7"/>
        </w:rPr>
        <w:t> </w:t>
      </w:r>
      <w:r>
        <w:rPr>
          <w:color w:val="231F20"/>
        </w:rPr>
        <w:t>por</w:t>
      </w:r>
      <w:r>
        <w:rPr>
          <w:color w:val="231F20"/>
          <w:spacing w:val="-7"/>
        </w:rPr>
        <w:t> </w:t>
      </w:r>
      <w:r>
        <w:rPr>
          <w:color w:val="231F20"/>
        </w:rPr>
        <w:t>un</w:t>
      </w:r>
      <w:r>
        <w:rPr>
          <w:color w:val="231F20"/>
          <w:spacing w:val="-7"/>
        </w:rPr>
        <w:t> </w:t>
      </w:r>
      <w:r>
        <w:rPr>
          <w:color w:val="231F20"/>
        </w:rPr>
        <w:t>constante</w:t>
      </w:r>
      <w:r>
        <w:rPr>
          <w:color w:val="231F20"/>
          <w:spacing w:val="-7"/>
        </w:rPr>
        <w:t> </w:t>
      </w:r>
      <w:r>
        <w:rPr>
          <w:color w:val="231F20"/>
        </w:rPr>
        <w:t>proceso de reestructuración, sobre todo durante las últimas décadas, con lo que se ha </w:t>
      </w:r>
      <w:r>
        <w:rPr>
          <w:color w:val="231F20"/>
          <w:spacing w:val="-3"/>
        </w:rPr>
        <w:t>conver- </w:t>
      </w:r>
      <w:r>
        <w:rPr>
          <w:color w:val="231F20"/>
        </w:rPr>
        <w:t>tido en una de las industrias más dinámicas de la era moderna, generadora de im- portantes efectos en las distintas economías en términos de productividad, desarrollo tecnológico y competitividad. Las empresas integrantes del sector han estado siempre en busca de innovaciones que les permitan fortalecer y hacer más competitivos sus procesos</w:t>
      </w:r>
      <w:r>
        <w:rPr>
          <w:color w:val="231F20"/>
          <w:spacing w:val="-16"/>
        </w:rPr>
        <w:t> </w:t>
      </w:r>
      <w:r>
        <w:rPr>
          <w:color w:val="231F20"/>
        </w:rPr>
        <w:t>productivos</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organización,</w:t>
      </w:r>
      <w:r>
        <w:rPr>
          <w:color w:val="231F20"/>
          <w:spacing w:val="-16"/>
        </w:rPr>
        <w:t> </w:t>
      </w:r>
      <w:r>
        <w:rPr>
          <w:color w:val="231F20"/>
        </w:rPr>
        <w:t>con</w:t>
      </w:r>
      <w:r>
        <w:rPr>
          <w:color w:val="231F20"/>
          <w:spacing w:val="-16"/>
        </w:rPr>
        <w:t> </w:t>
      </w:r>
      <w:r>
        <w:rPr>
          <w:color w:val="231F20"/>
        </w:rPr>
        <w:t>la</w:t>
      </w:r>
      <w:r>
        <w:rPr>
          <w:color w:val="231F20"/>
          <w:spacing w:val="-16"/>
        </w:rPr>
        <w:t> </w:t>
      </w:r>
      <w:r>
        <w:rPr>
          <w:color w:val="231F20"/>
        </w:rPr>
        <w:t>finalidad</w:t>
      </w:r>
      <w:r>
        <w:rPr>
          <w:color w:val="231F20"/>
          <w:spacing w:val="-16"/>
        </w:rPr>
        <w:t> </w:t>
      </w:r>
      <w:r>
        <w:rPr>
          <w:color w:val="231F20"/>
        </w:rPr>
        <w:t>de</w:t>
      </w:r>
      <w:r>
        <w:rPr>
          <w:color w:val="231F20"/>
          <w:spacing w:val="-16"/>
        </w:rPr>
        <w:t> </w:t>
      </w:r>
      <w:r>
        <w:rPr>
          <w:color w:val="231F20"/>
        </w:rPr>
        <w:t>ocupar</w:t>
      </w:r>
      <w:r>
        <w:rPr>
          <w:color w:val="231F20"/>
          <w:spacing w:val="-16"/>
        </w:rPr>
        <w:t> </w:t>
      </w:r>
      <w:r>
        <w:rPr>
          <w:color w:val="231F20"/>
        </w:rPr>
        <w:t>los</w:t>
      </w:r>
      <w:r>
        <w:rPr>
          <w:color w:val="231F20"/>
          <w:spacing w:val="-16"/>
        </w:rPr>
        <w:t> </w:t>
      </w:r>
      <w:r>
        <w:rPr>
          <w:color w:val="231F20"/>
        </w:rPr>
        <w:t>primeros</w:t>
      </w:r>
      <w:r>
        <w:rPr>
          <w:color w:val="231F20"/>
          <w:spacing w:val="-16"/>
        </w:rPr>
        <w:t> </w:t>
      </w:r>
      <w:r>
        <w:rPr>
          <w:color w:val="231F20"/>
        </w:rPr>
        <w:t>lugares en producción y ventas de los mercados</w:t>
      </w:r>
      <w:r>
        <w:rPr>
          <w:color w:val="231F20"/>
          <w:spacing w:val="-22"/>
        </w:rPr>
        <w:t> </w:t>
      </w:r>
      <w:r>
        <w:rPr>
          <w:color w:val="231F20"/>
        </w:rPr>
        <w:t>mundiales.</w:t>
      </w:r>
    </w:p>
    <w:p>
      <w:pPr>
        <w:pStyle w:val="BodyText"/>
        <w:spacing w:line="278" w:lineRule="auto" w:before="1"/>
        <w:ind w:left="123" w:right="1131" w:firstLine="396"/>
        <w:jc w:val="both"/>
      </w:pPr>
      <w:r>
        <w:rPr>
          <w:color w:val="231F20"/>
        </w:rPr>
        <w:t>En este sentido, la reestructuración del sector automotriz debe analizarse a partir de</w:t>
      </w:r>
      <w:r>
        <w:rPr>
          <w:color w:val="231F20"/>
          <w:spacing w:val="-8"/>
        </w:rPr>
        <w:t> </w:t>
      </w:r>
      <w:r>
        <w:rPr>
          <w:color w:val="231F20"/>
        </w:rPr>
        <w:t>dos</w:t>
      </w:r>
      <w:r>
        <w:rPr>
          <w:color w:val="231F20"/>
          <w:spacing w:val="-8"/>
        </w:rPr>
        <w:t> </w:t>
      </w:r>
      <w:r>
        <w:rPr>
          <w:color w:val="231F20"/>
        </w:rPr>
        <w:t>ámbitos</w:t>
      </w:r>
      <w:r>
        <w:rPr>
          <w:color w:val="231F20"/>
          <w:spacing w:val="-8"/>
        </w:rPr>
        <w:t> </w:t>
      </w:r>
      <w:r>
        <w:rPr>
          <w:color w:val="231F20"/>
        </w:rPr>
        <w:t>distintos:</w:t>
      </w:r>
      <w:r>
        <w:rPr>
          <w:color w:val="231F20"/>
          <w:spacing w:val="-8"/>
        </w:rPr>
        <w:t> </w:t>
      </w:r>
      <w:r>
        <w:rPr>
          <w:color w:val="231F20"/>
        </w:rPr>
        <w:t>el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innovación</w:t>
      </w:r>
      <w:r>
        <w:rPr>
          <w:color w:val="231F20"/>
          <w:spacing w:val="-8"/>
        </w:rPr>
        <w:t> </w:t>
      </w:r>
      <w:r>
        <w:rPr>
          <w:color w:val="231F20"/>
        </w:rPr>
        <w:t>tecnológica</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procesos</w:t>
      </w:r>
      <w:r>
        <w:rPr>
          <w:color w:val="231F20"/>
          <w:spacing w:val="-8"/>
        </w:rPr>
        <w:t> </w:t>
      </w:r>
      <w:r>
        <w:rPr>
          <w:color w:val="231F20"/>
        </w:rPr>
        <w:t>productivos</w:t>
      </w:r>
      <w:r>
        <w:rPr>
          <w:color w:val="231F20"/>
          <w:spacing w:val="-8"/>
        </w:rPr>
        <w:t> </w:t>
      </w:r>
      <w:r>
        <w:rPr>
          <w:color w:val="231F20"/>
        </w:rPr>
        <w:t>y de</w:t>
      </w:r>
      <w:r>
        <w:rPr>
          <w:color w:val="231F20"/>
          <w:spacing w:val="-11"/>
        </w:rPr>
        <w:t> </w:t>
      </w:r>
      <w:r>
        <w:rPr>
          <w:color w:val="231F20"/>
        </w:rPr>
        <w:t>organización</w:t>
      </w:r>
      <w:r>
        <w:rPr>
          <w:color w:val="231F20"/>
          <w:spacing w:val="-11"/>
        </w:rPr>
        <w:t> </w:t>
      </w:r>
      <w:r>
        <w:rPr>
          <w:color w:val="231F20"/>
        </w:rPr>
        <w:t>laboral;</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reconfiguración</w:t>
      </w:r>
      <w:r>
        <w:rPr>
          <w:color w:val="231F20"/>
          <w:spacing w:val="-11"/>
        </w:rPr>
        <w:t> </w:t>
      </w:r>
      <w:r>
        <w:rPr>
          <w:color w:val="231F20"/>
        </w:rPr>
        <w:t>del</w:t>
      </w:r>
      <w:r>
        <w:rPr>
          <w:color w:val="231F20"/>
          <w:spacing w:val="-11"/>
        </w:rPr>
        <w:t> </w:t>
      </w:r>
      <w:r>
        <w:rPr>
          <w:color w:val="231F20"/>
        </w:rPr>
        <w:t>mercado,</w:t>
      </w:r>
      <w:r>
        <w:rPr>
          <w:color w:val="231F20"/>
          <w:spacing w:val="-11"/>
        </w:rPr>
        <w:t> </w:t>
      </w:r>
      <w:r>
        <w:rPr>
          <w:color w:val="231F20"/>
        </w:rPr>
        <w:t>es</w:t>
      </w:r>
      <w:r>
        <w:rPr>
          <w:color w:val="231F20"/>
          <w:spacing w:val="-11"/>
        </w:rPr>
        <w:t> </w:t>
      </w:r>
      <w:r>
        <w:rPr>
          <w:color w:val="231F20"/>
          <w:spacing w:val="-3"/>
        </w:rPr>
        <w:t>decir,</w:t>
      </w:r>
      <w:r>
        <w:rPr>
          <w:color w:val="231F20"/>
          <w:spacing w:val="-11"/>
        </w:rPr>
        <w:t> </w:t>
      </w:r>
      <w:r>
        <w:rPr>
          <w:color w:val="231F20"/>
        </w:rPr>
        <w:t>aquellos</w:t>
      </w:r>
      <w:r>
        <w:rPr>
          <w:color w:val="231F20"/>
          <w:spacing w:val="-11"/>
        </w:rPr>
        <w:t> </w:t>
      </w:r>
      <w:r>
        <w:rPr>
          <w:color w:val="231F20"/>
        </w:rPr>
        <w:t>cam- bios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dado</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que</w:t>
      </w:r>
      <w:r>
        <w:rPr>
          <w:color w:val="231F20"/>
          <w:spacing w:val="-7"/>
        </w:rPr>
        <w:t> </w:t>
      </w:r>
      <w:r>
        <w:rPr>
          <w:color w:val="231F20"/>
        </w:rPr>
        <w:t>las</w:t>
      </w:r>
      <w:r>
        <w:rPr>
          <w:color w:val="231F20"/>
          <w:spacing w:val="-7"/>
        </w:rPr>
        <w:t> </w:t>
      </w:r>
      <w:r>
        <w:rPr>
          <w:color w:val="231F20"/>
        </w:rPr>
        <w:t>grandes</w:t>
      </w:r>
      <w:r>
        <w:rPr>
          <w:color w:val="231F20"/>
          <w:spacing w:val="-7"/>
        </w:rPr>
        <w:t> </w:t>
      </w:r>
      <w:r>
        <w:rPr>
          <w:color w:val="231F20"/>
        </w:rPr>
        <w:t>empresas</w:t>
      </w:r>
      <w:r>
        <w:rPr>
          <w:color w:val="231F20"/>
          <w:spacing w:val="-7"/>
        </w:rPr>
        <w:t> </w:t>
      </w:r>
      <w:r>
        <w:rPr>
          <w:color w:val="231F20"/>
        </w:rPr>
        <w:t>líderes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últimas</w:t>
      </w:r>
      <w:r>
        <w:rPr>
          <w:color w:val="231F20"/>
          <w:spacing w:val="-7"/>
        </w:rPr>
        <w:t> </w:t>
      </w:r>
      <w:r>
        <w:rPr>
          <w:color w:val="231F20"/>
        </w:rPr>
        <w:t>décadas del</w:t>
      </w:r>
      <w:r>
        <w:rPr>
          <w:color w:val="231F20"/>
          <w:spacing w:val="-8"/>
        </w:rPr>
        <w:t> </w:t>
      </w:r>
      <w:r>
        <w:rPr>
          <w:color w:val="231F20"/>
        </w:rPr>
        <w:t>siglo</w:t>
      </w:r>
      <w:r>
        <w:rPr>
          <w:color w:val="231F20"/>
          <w:spacing w:val="-8"/>
        </w:rPr>
        <w:t> </w:t>
      </w:r>
      <w:r>
        <w:rPr>
          <w:color w:val="231F20"/>
        </w:rPr>
        <w:t>XX</w:t>
      </w:r>
      <w:r>
        <w:rPr>
          <w:color w:val="231F20"/>
          <w:spacing w:val="-8"/>
        </w:rPr>
        <w:t> </w:t>
      </w:r>
      <w:r>
        <w:rPr>
          <w:color w:val="231F20"/>
        </w:rPr>
        <w:t>(entiéndase</w:t>
      </w:r>
      <w:r>
        <w:rPr>
          <w:color w:val="231F20"/>
          <w:spacing w:val="-8"/>
        </w:rPr>
        <w:t> </w:t>
      </w:r>
      <w:r>
        <w:rPr>
          <w:color w:val="231F20"/>
        </w:rPr>
        <w:t>las</w:t>
      </w:r>
      <w:r>
        <w:rPr>
          <w:color w:val="231F20"/>
          <w:spacing w:val="-8"/>
        </w:rPr>
        <w:t> </w:t>
      </w:r>
      <w:r>
        <w:rPr>
          <w:color w:val="231F20"/>
        </w:rPr>
        <w:t>tres</w:t>
      </w:r>
      <w:r>
        <w:rPr>
          <w:color w:val="231F20"/>
          <w:spacing w:val="-8"/>
        </w:rPr>
        <w:t> </w:t>
      </w:r>
      <w:r>
        <w:rPr>
          <w:color w:val="231F20"/>
        </w:rPr>
        <w:t>grandes</w:t>
      </w:r>
      <w:r>
        <w:rPr>
          <w:color w:val="231F20"/>
          <w:spacing w:val="-8"/>
        </w:rPr>
        <w:t> </w:t>
      </w:r>
      <w:r>
        <w:rPr>
          <w:color w:val="231F20"/>
        </w:rPr>
        <w:t>norteamericanas:</w:t>
      </w:r>
      <w:r>
        <w:rPr>
          <w:color w:val="231F20"/>
          <w:spacing w:val="-8"/>
        </w:rPr>
        <w:t> </w:t>
      </w:r>
      <w:r>
        <w:rPr>
          <w:color w:val="231F20"/>
        </w:rPr>
        <w:t>General</w:t>
      </w:r>
      <w:r>
        <w:rPr>
          <w:color w:val="231F20"/>
          <w:spacing w:val="-8"/>
        </w:rPr>
        <w:t> </w:t>
      </w:r>
      <w:r>
        <w:rPr>
          <w:color w:val="231F20"/>
          <w:spacing w:val="-3"/>
        </w:rPr>
        <w:t>Motors,</w:t>
      </w:r>
      <w:r>
        <w:rPr>
          <w:color w:val="231F20"/>
          <w:spacing w:val="-8"/>
        </w:rPr>
        <w:t> </w:t>
      </w:r>
      <w:r>
        <w:rPr>
          <w:color w:val="231F20"/>
        </w:rPr>
        <w:t>Chrysler</w:t>
      </w:r>
      <w:r>
        <w:rPr>
          <w:color w:val="231F20"/>
          <w:spacing w:val="-8"/>
        </w:rPr>
        <w:t> </w:t>
      </w:r>
      <w:r>
        <w:rPr>
          <w:color w:val="231F20"/>
        </w:rPr>
        <w:t>y Ford) perdieron mercado ante la fuerte competencia de las empresas japonesas como </w:t>
      </w:r>
      <w:r>
        <w:rPr>
          <w:color w:val="231F20"/>
          <w:spacing w:val="-5"/>
        </w:rPr>
        <w:t>Toyota </w:t>
      </w:r>
      <w:r>
        <w:rPr>
          <w:color w:val="231F20"/>
        </w:rPr>
        <w:t>y Honda.</w:t>
      </w:r>
    </w:p>
    <w:p>
      <w:pPr>
        <w:pStyle w:val="BodyText"/>
        <w:spacing w:line="278" w:lineRule="auto" w:before="1"/>
        <w:ind w:left="123" w:right="1131" w:firstLine="396"/>
        <w:jc w:val="both"/>
      </w:pPr>
      <w:r>
        <w:rPr>
          <w:color w:val="231F20"/>
          <w:spacing w:val="-3"/>
        </w:rPr>
        <w:t>Justamente</w:t>
      </w:r>
      <w:r>
        <w:rPr>
          <w:color w:val="231F20"/>
          <w:spacing w:val="-12"/>
        </w:rPr>
        <w:t> </w:t>
      </w:r>
      <w:r>
        <w:rPr>
          <w:color w:val="231F20"/>
        </w:rPr>
        <w:t>en</w:t>
      </w:r>
      <w:r>
        <w:rPr>
          <w:color w:val="231F20"/>
          <w:spacing w:val="-12"/>
        </w:rPr>
        <w:t> </w:t>
      </w:r>
      <w:r>
        <w:rPr>
          <w:color w:val="231F20"/>
        </w:rPr>
        <w:t>este</w:t>
      </w:r>
      <w:r>
        <w:rPr>
          <w:color w:val="231F20"/>
          <w:spacing w:val="-12"/>
        </w:rPr>
        <w:t> </w:t>
      </w:r>
      <w:r>
        <w:rPr>
          <w:color w:val="231F20"/>
          <w:spacing w:val="-3"/>
        </w:rPr>
        <w:t>capítulo</w:t>
      </w:r>
      <w:r>
        <w:rPr>
          <w:color w:val="231F20"/>
          <w:spacing w:val="-12"/>
        </w:rPr>
        <w:t> </w:t>
      </w:r>
      <w:r>
        <w:rPr>
          <w:color w:val="231F20"/>
        </w:rPr>
        <w:t>se</w:t>
      </w:r>
      <w:r>
        <w:rPr>
          <w:color w:val="231F20"/>
          <w:spacing w:val="-12"/>
        </w:rPr>
        <w:t> </w:t>
      </w:r>
      <w:r>
        <w:rPr>
          <w:color w:val="231F20"/>
        </w:rPr>
        <w:t>realiza</w:t>
      </w:r>
      <w:r>
        <w:rPr>
          <w:color w:val="231F20"/>
          <w:spacing w:val="-12"/>
        </w:rPr>
        <w:t> </w:t>
      </w:r>
      <w:r>
        <w:rPr>
          <w:color w:val="231F20"/>
        </w:rPr>
        <w:t>un</w:t>
      </w:r>
      <w:r>
        <w:rPr>
          <w:color w:val="231F20"/>
          <w:spacing w:val="-12"/>
        </w:rPr>
        <w:t> </w:t>
      </w:r>
      <w:r>
        <w:rPr>
          <w:color w:val="231F20"/>
        </w:rPr>
        <w:t>análisis</w:t>
      </w:r>
      <w:r>
        <w:rPr>
          <w:color w:val="231F20"/>
          <w:spacing w:val="-12"/>
        </w:rPr>
        <w:t> </w:t>
      </w:r>
      <w:r>
        <w:rPr>
          <w:color w:val="231F20"/>
        </w:rPr>
        <w:t>del</w:t>
      </w:r>
      <w:r>
        <w:rPr>
          <w:color w:val="231F20"/>
          <w:spacing w:val="-12"/>
        </w:rPr>
        <w:t> </w:t>
      </w:r>
      <w:r>
        <w:rPr>
          <w:color w:val="231F20"/>
        </w:rPr>
        <w:t>sector</w:t>
      </w:r>
      <w:r>
        <w:rPr>
          <w:color w:val="231F20"/>
          <w:spacing w:val="-12"/>
        </w:rPr>
        <w:t> </w:t>
      </w:r>
      <w:r>
        <w:rPr>
          <w:color w:val="231F20"/>
          <w:spacing w:val="-3"/>
        </w:rPr>
        <w:t>automotriz</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spacing w:val="-3"/>
        </w:rPr>
        <w:t>mun- </w:t>
      </w:r>
      <w:r>
        <w:rPr>
          <w:color w:val="231F20"/>
        </w:rPr>
        <w:t>dial</w:t>
      </w:r>
      <w:r>
        <w:rPr>
          <w:color w:val="231F20"/>
          <w:spacing w:val="-16"/>
        </w:rPr>
        <w:t> </w:t>
      </w:r>
      <w:r>
        <w:rPr>
          <w:color w:val="231F20"/>
        </w:rPr>
        <w:t>en</w:t>
      </w:r>
      <w:r>
        <w:rPr>
          <w:color w:val="231F20"/>
          <w:spacing w:val="-16"/>
        </w:rPr>
        <w:t> </w:t>
      </w:r>
      <w:r>
        <w:rPr>
          <w:color w:val="231F20"/>
        </w:rPr>
        <w:t>estos</w:t>
      </w:r>
      <w:r>
        <w:rPr>
          <w:color w:val="231F20"/>
          <w:spacing w:val="-16"/>
        </w:rPr>
        <w:t> </w:t>
      </w:r>
      <w:r>
        <w:rPr>
          <w:color w:val="231F20"/>
        </w:rPr>
        <w:t>dos</w:t>
      </w:r>
      <w:r>
        <w:rPr>
          <w:color w:val="231F20"/>
          <w:spacing w:val="-16"/>
        </w:rPr>
        <w:t> </w:t>
      </w:r>
      <w:r>
        <w:rPr>
          <w:color w:val="231F20"/>
        </w:rPr>
        <w:t>sentidos;</w:t>
      </w:r>
      <w:r>
        <w:rPr>
          <w:color w:val="231F20"/>
          <w:spacing w:val="-16"/>
        </w:rPr>
        <w:t> </w:t>
      </w:r>
      <w:r>
        <w:rPr>
          <w:color w:val="231F20"/>
        </w:rPr>
        <w:t>para</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rPr>
        <w:t>divide</w:t>
      </w:r>
      <w:r>
        <w:rPr>
          <w:color w:val="231F20"/>
          <w:spacing w:val="-16"/>
        </w:rPr>
        <w:t> </w:t>
      </w:r>
      <w:r>
        <w:rPr>
          <w:color w:val="231F20"/>
        </w:rPr>
        <w:t>en</w:t>
      </w:r>
      <w:r>
        <w:rPr>
          <w:color w:val="231F20"/>
          <w:spacing w:val="-16"/>
        </w:rPr>
        <w:t> </w:t>
      </w:r>
      <w:r>
        <w:rPr>
          <w:color w:val="231F20"/>
        </w:rPr>
        <w:t>dos</w:t>
      </w:r>
      <w:r>
        <w:rPr>
          <w:color w:val="231F20"/>
          <w:spacing w:val="-16"/>
        </w:rPr>
        <w:t> </w:t>
      </w:r>
      <w:r>
        <w:rPr>
          <w:color w:val="231F20"/>
        </w:rPr>
        <w:t>grandes</w:t>
      </w:r>
      <w:r>
        <w:rPr>
          <w:color w:val="231F20"/>
          <w:spacing w:val="-16"/>
        </w:rPr>
        <w:t> </w:t>
      </w:r>
      <w:r>
        <w:rPr>
          <w:color w:val="231F20"/>
        </w:rPr>
        <w:t>apartados.</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primero</w:t>
      </w:r>
      <w:r>
        <w:rPr>
          <w:color w:val="231F20"/>
          <w:spacing w:val="-16"/>
        </w:rPr>
        <w:t> </w:t>
      </w:r>
      <w:r>
        <w:rPr>
          <w:color w:val="231F20"/>
        </w:rPr>
        <w:t>se</w:t>
      </w:r>
    </w:p>
    <w:p>
      <w:pPr>
        <w:spacing w:after="0" w:line="278" w:lineRule="auto"/>
        <w:jc w:val="both"/>
        <w:sectPr>
          <w:headerReference w:type="default" r:id="rId34"/>
          <w:footerReference w:type="default" r:id="rId35"/>
          <w:footerReference w:type="even" r:id="rId36"/>
          <w:pgSz w:w="9640" w:h="13040"/>
          <w:pgMar w:header="0" w:footer="654" w:top="0" w:bottom="840" w:left="1180" w:right="0"/>
          <w:pgNumType w:start="27"/>
        </w:sectPr>
      </w:pPr>
    </w:p>
    <w:p>
      <w:pPr>
        <w:pStyle w:val="BodyText"/>
        <w:rPr>
          <w:sz w:val="20"/>
        </w:rPr>
      </w:pPr>
    </w:p>
    <w:p>
      <w:pPr>
        <w:pStyle w:val="BodyText"/>
        <w:spacing w:before="6"/>
      </w:pPr>
    </w:p>
    <w:p>
      <w:pPr>
        <w:pStyle w:val="BodyText"/>
        <w:spacing w:line="278" w:lineRule="auto" w:before="58"/>
        <w:ind w:left="653" w:right="100"/>
        <w:jc w:val="both"/>
      </w:pPr>
      <w:r>
        <w:rPr>
          <w:color w:val="231F20"/>
        </w:rPr>
        <w:t>analiza</w:t>
      </w:r>
      <w:r>
        <w:rPr>
          <w:color w:val="231F20"/>
          <w:spacing w:val="-20"/>
        </w:rPr>
        <w:t> </w:t>
      </w:r>
      <w:r>
        <w:rPr>
          <w:color w:val="231F20"/>
        </w:rPr>
        <w:t>el</w:t>
      </w:r>
      <w:r>
        <w:rPr>
          <w:color w:val="231F20"/>
          <w:spacing w:val="-20"/>
        </w:rPr>
        <w:t> </w:t>
      </w:r>
      <w:r>
        <w:rPr>
          <w:color w:val="231F20"/>
        </w:rPr>
        <w:t>proceso</w:t>
      </w:r>
      <w:r>
        <w:rPr>
          <w:color w:val="231F20"/>
          <w:spacing w:val="-20"/>
        </w:rPr>
        <w:t> </w:t>
      </w:r>
      <w:r>
        <w:rPr>
          <w:color w:val="231F20"/>
        </w:rPr>
        <w:t>de</w:t>
      </w:r>
      <w:r>
        <w:rPr>
          <w:color w:val="231F20"/>
          <w:spacing w:val="-20"/>
        </w:rPr>
        <w:t> </w:t>
      </w:r>
      <w:r>
        <w:rPr>
          <w:color w:val="231F20"/>
        </w:rPr>
        <w:t>reestructuración</w:t>
      </w:r>
      <w:r>
        <w:rPr>
          <w:color w:val="231F20"/>
          <w:spacing w:val="-20"/>
        </w:rPr>
        <w:t> </w:t>
      </w:r>
      <w:r>
        <w:rPr>
          <w:color w:val="231F20"/>
        </w:rPr>
        <w:t>tecnológica</w:t>
      </w:r>
      <w:r>
        <w:rPr>
          <w:color w:val="231F20"/>
          <w:spacing w:val="-20"/>
        </w:rPr>
        <w:t> </w:t>
      </w:r>
      <w:r>
        <w:rPr>
          <w:color w:val="231F20"/>
        </w:rPr>
        <w:t>del</w:t>
      </w:r>
      <w:r>
        <w:rPr>
          <w:color w:val="231F20"/>
          <w:spacing w:val="-20"/>
        </w:rPr>
        <w:t> </w:t>
      </w:r>
      <w:r>
        <w:rPr>
          <w:color w:val="231F20"/>
        </w:rPr>
        <w:t>sector</w:t>
      </w:r>
      <w:r>
        <w:rPr>
          <w:color w:val="231F20"/>
          <w:spacing w:val="-20"/>
        </w:rPr>
        <w:t> </w:t>
      </w:r>
      <w:r>
        <w:rPr>
          <w:color w:val="231F20"/>
          <w:spacing w:val="-3"/>
        </w:rPr>
        <w:t>automotriz</w:t>
      </w:r>
      <w:r>
        <w:rPr>
          <w:color w:val="231F20"/>
          <w:spacing w:val="-20"/>
        </w:rPr>
        <w:t> </w:t>
      </w:r>
      <w:r>
        <w:rPr>
          <w:color w:val="231F20"/>
        </w:rPr>
        <w:t>a</w:t>
      </w:r>
      <w:r>
        <w:rPr>
          <w:color w:val="231F20"/>
          <w:spacing w:val="-20"/>
        </w:rPr>
        <w:t> </w:t>
      </w:r>
      <w:r>
        <w:rPr>
          <w:color w:val="231F20"/>
        </w:rPr>
        <w:t>nivel</w:t>
      </w:r>
      <w:r>
        <w:rPr>
          <w:color w:val="231F20"/>
          <w:spacing w:val="-20"/>
        </w:rPr>
        <w:t> </w:t>
      </w:r>
      <w:r>
        <w:rPr>
          <w:color w:val="231F20"/>
          <w:spacing w:val="-3"/>
        </w:rPr>
        <w:t>mundial; </w:t>
      </w:r>
      <w:r>
        <w:rPr>
          <w:color w:val="231F20"/>
        </w:rPr>
        <w:t>se desarrollan las principales características de los modelos de </w:t>
      </w:r>
      <w:r>
        <w:rPr>
          <w:color w:val="231F20"/>
          <w:spacing w:val="-3"/>
        </w:rPr>
        <w:t>producción fordista </w:t>
      </w:r>
      <w:r>
        <w:rPr>
          <w:color w:val="231F20"/>
        </w:rPr>
        <w:t>y </w:t>
      </w:r>
      <w:r>
        <w:rPr>
          <w:color w:val="231F20"/>
          <w:spacing w:val="-3"/>
        </w:rPr>
        <w:t>toyotismo </w:t>
      </w:r>
      <w:r>
        <w:rPr>
          <w:color w:val="231F20"/>
        </w:rPr>
        <w:t>y de la </w:t>
      </w:r>
      <w:r>
        <w:rPr>
          <w:color w:val="231F20"/>
          <w:spacing w:val="-3"/>
        </w:rPr>
        <w:t>producción </w:t>
      </w:r>
      <w:r>
        <w:rPr>
          <w:color w:val="231F20"/>
          <w:spacing w:val="-4"/>
        </w:rPr>
        <w:t>modular, </w:t>
      </w:r>
      <w:r>
        <w:rPr>
          <w:color w:val="231F20"/>
        </w:rPr>
        <w:t>aspectos </w:t>
      </w:r>
      <w:r>
        <w:rPr>
          <w:color w:val="231F20"/>
          <w:spacing w:val="-2"/>
        </w:rPr>
        <w:t>que </w:t>
      </w:r>
      <w:r>
        <w:rPr>
          <w:color w:val="231F20"/>
        </w:rPr>
        <w:t>permiten destacar la </w:t>
      </w:r>
      <w:r>
        <w:rPr>
          <w:color w:val="231F20"/>
          <w:spacing w:val="-3"/>
        </w:rPr>
        <w:t>creciente </w:t>
      </w:r>
      <w:r>
        <w:rPr>
          <w:color w:val="231F20"/>
        </w:rPr>
        <w:t>fle- xibilización</w:t>
      </w:r>
      <w:r>
        <w:rPr>
          <w:color w:val="231F20"/>
          <w:spacing w:val="-8"/>
        </w:rPr>
        <w:t> </w:t>
      </w:r>
      <w:r>
        <w:rPr>
          <w:color w:val="231F20"/>
          <w:spacing w:val="-3"/>
        </w:rPr>
        <w:t>tanto</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procesos</w:t>
      </w:r>
      <w:r>
        <w:rPr>
          <w:color w:val="231F20"/>
          <w:spacing w:val="-8"/>
        </w:rPr>
        <w:t> </w:t>
      </w:r>
      <w:r>
        <w:rPr>
          <w:color w:val="231F20"/>
        </w:rPr>
        <w:t>como</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spacing w:val="-3"/>
        </w:rPr>
        <w:t>organización</w:t>
      </w:r>
      <w:r>
        <w:rPr>
          <w:color w:val="231F20"/>
          <w:spacing w:val="-8"/>
        </w:rPr>
        <w:t> </w:t>
      </w:r>
      <w:r>
        <w:rPr>
          <w:color w:val="231F20"/>
        </w:rPr>
        <w:t>y</w:t>
      </w:r>
      <w:r>
        <w:rPr>
          <w:color w:val="231F20"/>
          <w:spacing w:val="-8"/>
        </w:rPr>
        <w:t> </w:t>
      </w:r>
      <w:r>
        <w:rPr>
          <w:color w:val="231F20"/>
        </w:rPr>
        <w:t>los</w:t>
      </w:r>
      <w:r>
        <w:rPr>
          <w:color w:val="231F20"/>
          <w:spacing w:val="-8"/>
        </w:rPr>
        <w:t> </w:t>
      </w:r>
      <w:r>
        <w:rPr>
          <w:color w:val="231F20"/>
        </w:rPr>
        <w:t>modelos</w:t>
      </w:r>
      <w:r>
        <w:rPr>
          <w:color w:val="231F20"/>
          <w:spacing w:val="-8"/>
        </w:rPr>
        <w:t> </w:t>
      </w:r>
      <w:r>
        <w:rPr>
          <w:color w:val="231F20"/>
          <w:spacing w:val="-2"/>
        </w:rPr>
        <w:t>“justo</w:t>
      </w:r>
      <w:r>
        <w:rPr>
          <w:color w:val="231F20"/>
          <w:spacing w:val="-8"/>
        </w:rPr>
        <w:t> </w:t>
      </w:r>
      <w:r>
        <w:rPr>
          <w:color w:val="231F20"/>
        </w:rPr>
        <w:t>a</w:t>
      </w:r>
      <w:r>
        <w:rPr>
          <w:color w:val="231F20"/>
          <w:spacing w:val="-8"/>
        </w:rPr>
        <w:t> </w:t>
      </w:r>
      <w:r>
        <w:rPr>
          <w:color w:val="231F20"/>
        </w:rPr>
        <w:t>tiem- </w:t>
      </w:r>
      <w:r>
        <w:rPr>
          <w:color w:val="231F20"/>
          <w:spacing w:val="-6"/>
        </w:rPr>
        <w:t>po” </w:t>
      </w:r>
      <w:r>
        <w:rPr>
          <w:color w:val="231F20"/>
        </w:rPr>
        <w:t>y </w:t>
      </w:r>
      <w:r>
        <w:rPr>
          <w:color w:val="231F20"/>
          <w:spacing w:val="-4"/>
        </w:rPr>
        <w:t>“calidad </w:t>
      </w:r>
      <w:r>
        <w:rPr>
          <w:color w:val="231F20"/>
          <w:spacing w:val="-3"/>
        </w:rPr>
        <w:t>total”; </w:t>
      </w:r>
      <w:r>
        <w:rPr>
          <w:color w:val="231F20"/>
        </w:rPr>
        <w:t>también se describen las principales características, tendencias y estrategias recientes que aplican las empresas ubicadas en el sector para responder a los nuevos requerimientos y necesidades de los mercados, lo que permite identificar las</w:t>
      </w:r>
      <w:r>
        <w:rPr>
          <w:color w:val="231F20"/>
          <w:spacing w:val="-6"/>
        </w:rPr>
        <w:t> </w:t>
      </w:r>
      <w:r>
        <w:rPr>
          <w:color w:val="231F20"/>
        </w:rPr>
        <w:t>principales</w:t>
      </w:r>
      <w:r>
        <w:rPr>
          <w:color w:val="231F20"/>
          <w:spacing w:val="-6"/>
        </w:rPr>
        <w:t> </w:t>
      </w:r>
      <w:r>
        <w:rPr>
          <w:color w:val="231F20"/>
        </w:rPr>
        <w:t>variables</w:t>
      </w:r>
      <w:r>
        <w:rPr>
          <w:color w:val="231F20"/>
          <w:spacing w:val="-6"/>
        </w:rPr>
        <w:t> </w:t>
      </w:r>
      <w:r>
        <w:rPr>
          <w:color w:val="231F20"/>
        </w:rPr>
        <w:t>que</w:t>
      </w:r>
      <w:r>
        <w:rPr>
          <w:color w:val="231F20"/>
          <w:spacing w:val="-6"/>
        </w:rPr>
        <w:t> </w:t>
      </w:r>
      <w:r>
        <w:rPr>
          <w:color w:val="231F20"/>
        </w:rPr>
        <w:t>afectan</w:t>
      </w:r>
      <w:r>
        <w:rPr>
          <w:color w:val="231F20"/>
          <w:spacing w:val="-6"/>
        </w:rPr>
        <w:t> </w:t>
      </w:r>
      <w:r>
        <w:rPr>
          <w:color w:val="231F20"/>
        </w:rPr>
        <w:t>al</w:t>
      </w:r>
      <w:r>
        <w:rPr>
          <w:color w:val="231F20"/>
          <w:spacing w:val="-6"/>
        </w:rPr>
        <w:t> </w:t>
      </w:r>
      <w:r>
        <w:rPr>
          <w:color w:val="231F20"/>
        </w:rPr>
        <w:t>sector</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mundo.</w:t>
      </w:r>
      <w:r>
        <w:rPr>
          <w:color w:val="231F20"/>
          <w:spacing w:val="-6"/>
        </w:rPr>
        <w:t> </w:t>
      </w:r>
      <w:r>
        <w:rPr>
          <w:color w:val="231F20"/>
        </w:rPr>
        <w:t>Se</w:t>
      </w:r>
      <w:r>
        <w:rPr>
          <w:color w:val="231F20"/>
          <w:spacing w:val="-6"/>
        </w:rPr>
        <w:t> </w:t>
      </w:r>
      <w:r>
        <w:rPr>
          <w:color w:val="231F20"/>
        </w:rPr>
        <w:t>destacan</w:t>
      </w:r>
      <w:r>
        <w:rPr>
          <w:color w:val="231F20"/>
          <w:spacing w:val="-6"/>
        </w:rPr>
        <w:t> </w:t>
      </w:r>
      <w:r>
        <w:rPr>
          <w:color w:val="231F20"/>
        </w:rPr>
        <w:t>las</w:t>
      </w:r>
      <w:r>
        <w:rPr>
          <w:color w:val="231F20"/>
          <w:spacing w:val="-6"/>
        </w:rPr>
        <w:t> </w:t>
      </w:r>
      <w:r>
        <w:rPr>
          <w:color w:val="231F20"/>
        </w:rPr>
        <w:t>grandes</w:t>
      </w:r>
      <w:r>
        <w:rPr>
          <w:color w:val="231F20"/>
          <w:spacing w:val="-6"/>
        </w:rPr>
        <w:t> </w:t>
      </w:r>
      <w:r>
        <w:rPr>
          <w:color w:val="231F20"/>
        </w:rPr>
        <w:t>in- versiones que las armadoras han realizado en el terreno de la I+D en busca de nuevas tecnologías híbridas y combustibles alternativos a las gasolinas, ya que este es uno de los motores fundamentales que están impulsando al sector en el mundo actualmente  </w:t>
      </w:r>
      <w:r>
        <w:rPr>
          <w:color w:val="231F20"/>
          <w:spacing w:val="-8"/>
        </w:rPr>
        <w:t>y, </w:t>
      </w:r>
      <w:r>
        <w:rPr>
          <w:color w:val="231F20"/>
        </w:rPr>
        <w:t>todo indica, es la base sobre la que se puede presentar una reestructuración del sec- tor a nivel</w:t>
      </w:r>
      <w:r>
        <w:rPr>
          <w:color w:val="231F20"/>
          <w:spacing w:val="11"/>
        </w:rPr>
        <w:t> </w:t>
      </w:r>
      <w:r>
        <w:rPr>
          <w:color w:val="231F20"/>
        </w:rPr>
        <w:t>mundial.</w:t>
      </w:r>
    </w:p>
    <w:p>
      <w:pPr>
        <w:pStyle w:val="BodyText"/>
        <w:spacing w:line="278" w:lineRule="auto" w:before="1"/>
        <w:ind w:left="653" w:right="100" w:firstLine="396"/>
        <w:jc w:val="both"/>
      </w:pPr>
      <w:r>
        <w:rPr>
          <w:color w:val="231F20"/>
        </w:rPr>
        <w:t>En el segundo apartado de este capítulo se abordan los aspectos relacionados</w:t>
      </w:r>
      <w:r>
        <w:rPr>
          <w:color w:val="231F20"/>
          <w:spacing w:val="-34"/>
        </w:rPr>
        <w:t> </w:t>
      </w:r>
      <w:r>
        <w:rPr>
          <w:color w:val="231F20"/>
        </w:rPr>
        <w:t>con la</w:t>
      </w:r>
      <w:r>
        <w:rPr>
          <w:color w:val="231F20"/>
          <w:spacing w:val="-6"/>
        </w:rPr>
        <w:t> </w:t>
      </w:r>
      <w:r>
        <w:rPr>
          <w:color w:val="231F20"/>
        </w:rPr>
        <w:t>reconfiguración</w:t>
      </w:r>
      <w:r>
        <w:rPr>
          <w:color w:val="231F20"/>
          <w:spacing w:val="-6"/>
        </w:rPr>
        <w:t> </w:t>
      </w:r>
      <w:r>
        <w:rPr>
          <w:color w:val="231F20"/>
        </w:rPr>
        <w:t>del</w:t>
      </w:r>
      <w:r>
        <w:rPr>
          <w:color w:val="231F20"/>
          <w:spacing w:val="-6"/>
        </w:rPr>
        <w:t> </w:t>
      </w:r>
      <w:r>
        <w:rPr>
          <w:color w:val="231F20"/>
        </w:rPr>
        <w:t>mercado:</w:t>
      </w:r>
      <w:r>
        <w:rPr>
          <w:color w:val="231F20"/>
          <w:spacing w:val="-6"/>
        </w:rPr>
        <w:t> </w:t>
      </w:r>
      <w:r>
        <w:rPr>
          <w:color w:val="231F20"/>
        </w:rPr>
        <w:t>se</w:t>
      </w:r>
      <w:r>
        <w:rPr>
          <w:color w:val="231F20"/>
          <w:spacing w:val="-6"/>
        </w:rPr>
        <w:t> </w:t>
      </w:r>
      <w:r>
        <w:rPr>
          <w:color w:val="231F20"/>
        </w:rPr>
        <w:t>presentan</w:t>
      </w:r>
      <w:r>
        <w:rPr>
          <w:color w:val="231F20"/>
          <w:spacing w:val="-6"/>
        </w:rPr>
        <w:t> </w:t>
      </w:r>
      <w:r>
        <w:rPr>
          <w:color w:val="231F20"/>
        </w:rPr>
        <w:t>datos</w:t>
      </w:r>
      <w:r>
        <w:rPr>
          <w:color w:val="231F20"/>
          <w:spacing w:val="-6"/>
        </w:rPr>
        <w:t> </w:t>
      </w:r>
      <w:r>
        <w:rPr>
          <w:color w:val="231F20"/>
        </w:rPr>
        <w:t>que</w:t>
      </w:r>
      <w:r>
        <w:rPr>
          <w:color w:val="231F20"/>
          <w:spacing w:val="-6"/>
        </w:rPr>
        <w:t> </w:t>
      </w:r>
      <w:r>
        <w:rPr>
          <w:color w:val="231F20"/>
        </w:rPr>
        <w:t>dejan</w:t>
      </w:r>
      <w:r>
        <w:rPr>
          <w:color w:val="231F20"/>
          <w:spacing w:val="-6"/>
        </w:rPr>
        <w:t> </w:t>
      </w:r>
      <w:r>
        <w:rPr>
          <w:color w:val="231F20"/>
        </w:rPr>
        <w:t>ver</w:t>
      </w:r>
      <w:r>
        <w:rPr>
          <w:color w:val="231F20"/>
          <w:spacing w:val="-6"/>
        </w:rPr>
        <w:t> </w:t>
      </w:r>
      <w:r>
        <w:rPr>
          <w:color w:val="231F20"/>
        </w:rPr>
        <w:t>cómo</w:t>
      </w:r>
      <w:r>
        <w:rPr>
          <w:color w:val="231F20"/>
          <w:spacing w:val="-6"/>
        </w:rPr>
        <w:t> </w:t>
      </w:r>
      <w:r>
        <w:rPr>
          <w:color w:val="231F20"/>
        </w:rPr>
        <w:t>ha</w:t>
      </w:r>
      <w:r>
        <w:rPr>
          <w:color w:val="231F20"/>
          <w:spacing w:val="-6"/>
        </w:rPr>
        <w:t> </w:t>
      </w:r>
      <w:r>
        <w:rPr>
          <w:color w:val="231F20"/>
        </w:rPr>
        <w:t>evoluciona- do la producción y la venta mundial de vehículos por países y regiones, y la forma en que ha cambiado la estructura del sector en los últimos años. </w:t>
      </w:r>
      <w:r>
        <w:rPr>
          <w:color w:val="231F20"/>
          <w:spacing w:val="-4"/>
        </w:rPr>
        <w:t>También </w:t>
      </w:r>
      <w:r>
        <w:rPr>
          <w:color w:val="231F20"/>
        </w:rPr>
        <w:t>se tocan algu- nos aspectos relacionados con la crisis por la que atravesó el sector automotriz desde mediados de 2008, como resultado de la Gran Recesión Económica, y finalmente se presentan algunas</w:t>
      </w:r>
      <w:r>
        <w:rPr>
          <w:color w:val="231F20"/>
          <w:spacing w:val="-16"/>
        </w:rPr>
        <w:t> </w:t>
      </w:r>
      <w:r>
        <w:rPr>
          <w:color w:val="231F20"/>
        </w:rPr>
        <w:t>conclusiones.</w:t>
      </w:r>
    </w:p>
    <w:p>
      <w:pPr>
        <w:pStyle w:val="Heading3"/>
        <w:numPr>
          <w:ilvl w:val="1"/>
          <w:numId w:val="12"/>
        </w:numPr>
        <w:tabs>
          <w:tab w:pos="1068" w:val="left" w:leader="none"/>
        </w:tabs>
        <w:spacing w:line="240" w:lineRule="auto" w:before="173" w:after="0"/>
        <w:ind w:left="1067" w:right="0" w:hanging="414"/>
        <w:jc w:val="both"/>
      </w:pPr>
      <w:r>
        <w:rPr>
          <w:color w:val="231F20"/>
          <w:w w:val="90"/>
        </w:rPr>
        <w:t>Innovación tecnológica y procesos </w:t>
      </w:r>
      <w:r>
        <w:rPr>
          <w:color w:val="231F20"/>
          <w:spacing w:val="22"/>
          <w:w w:val="90"/>
        </w:rPr>
        <w:t> </w:t>
      </w:r>
      <w:r>
        <w:rPr>
          <w:color w:val="231F20"/>
          <w:w w:val="90"/>
        </w:rPr>
        <w:t>productivos</w:t>
      </w:r>
    </w:p>
    <w:p>
      <w:pPr>
        <w:pStyle w:val="Heading4"/>
        <w:numPr>
          <w:ilvl w:val="2"/>
          <w:numId w:val="12"/>
        </w:numPr>
        <w:tabs>
          <w:tab w:pos="1175" w:val="left" w:leader="none"/>
        </w:tabs>
        <w:spacing w:line="240" w:lineRule="auto" w:before="214" w:after="0"/>
        <w:ind w:left="1174" w:right="0" w:hanging="521"/>
        <w:jc w:val="both"/>
      </w:pPr>
      <w:r>
        <w:rPr>
          <w:color w:val="231F20"/>
          <w:w w:val="95"/>
        </w:rPr>
        <w:t>Del</w:t>
      </w:r>
      <w:r>
        <w:rPr>
          <w:color w:val="231F20"/>
          <w:spacing w:val="-27"/>
          <w:w w:val="95"/>
        </w:rPr>
        <w:t> </w:t>
      </w:r>
      <w:r>
        <w:rPr>
          <w:color w:val="231F20"/>
          <w:w w:val="95"/>
        </w:rPr>
        <w:t>fordismo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producción</w:t>
      </w:r>
      <w:r>
        <w:rPr>
          <w:color w:val="231F20"/>
          <w:spacing w:val="-27"/>
          <w:w w:val="95"/>
        </w:rPr>
        <w:t> </w:t>
      </w:r>
      <w:r>
        <w:rPr>
          <w:color w:val="231F20"/>
          <w:w w:val="95"/>
        </w:rPr>
        <w:t>modular</w:t>
      </w:r>
    </w:p>
    <w:p>
      <w:pPr>
        <w:pStyle w:val="BodyText"/>
        <w:spacing w:before="7"/>
        <w:rPr>
          <w:rFonts w:ascii="Palatino Linotype"/>
          <w:b/>
          <w:sz w:val="16"/>
        </w:rPr>
      </w:pPr>
    </w:p>
    <w:p>
      <w:pPr>
        <w:spacing w:before="0"/>
        <w:ind w:left="653" w:right="0" w:firstLine="0"/>
        <w:jc w:val="both"/>
        <w:rPr>
          <w:rFonts w:ascii="Palatino Linotype"/>
          <w:i/>
          <w:sz w:val="21"/>
        </w:rPr>
      </w:pPr>
      <w:r>
        <w:rPr>
          <w:rFonts w:ascii="Palatino Linotype"/>
          <w:i/>
          <w:color w:val="231F20"/>
          <w:sz w:val="21"/>
        </w:rPr>
        <w:t>a) Fordismo y toyotismo</w:t>
      </w:r>
    </w:p>
    <w:p>
      <w:pPr>
        <w:pStyle w:val="BodyText"/>
        <w:spacing w:line="278" w:lineRule="auto" w:before="134"/>
        <w:ind w:left="653" w:right="101"/>
        <w:jc w:val="both"/>
      </w:pPr>
      <w:r>
        <w:rPr>
          <w:color w:val="231F20"/>
        </w:rPr>
        <w:t>En términos generales, la evolución de la industria automotriz tiene dos grandes mo- mentos, que se pueden considerar parteaguas en su historia. Primero, a principios del siglo pasado la empresa </w:t>
      </w:r>
      <w:r>
        <w:rPr>
          <w:color w:val="231F20"/>
          <w:spacing w:val="-3"/>
        </w:rPr>
        <w:t>Ford </w:t>
      </w:r>
      <w:r>
        <w:rPr>
          <w:color w:val="231F20"/>
        </w:rPr>
        <w:t>revolucionó la manufactura de vehículos con la utiliza- ción</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banda</w:t>
      </w:r>
      <w:r>
        <w:rPr>
          <w:color w:val="231F20"/>
          <w:spacing w:val="-7"/>
        </w:rPr>
        <w:t> </w:t>
      </w:r>
      <w:r>
        <w:rPr>
          <w:color w:val="231F20"/>
        </w:rPr>
        <w:t>móvil</w:t>
      </w:r>
      <w:r>
        <w:rPr>
          <w:color w:val="231F20"/>
          <w:spacing w:val="-7"/>
        </w:rPr>
        <w:t> </w:t>
      </w:r>
      <w:r>
        <w:rPr>
          <w:color w:val="231F20"/>
        </w:rPr>
        <w:t>o</w:t>
      </w:r>
      <w:r>
        <w:rPr>
          <w:color w:val="231F20"/>
          <w:spacing w:val="-7"/>
        </w:rPr>
        <w:t> </w:t>
      </w:r>
      <w:r>
        <w:rPr>
          <w:color w:val="231F20"/>
        </w:rPr>
        <w:t>línea</w:t>
      </w:r>
      <w:r>
        <w:rPr>
          <w:color w:val="231F20"/>
          <w:spacing w:val="-7"/>
        </w:rPr>
        <w:t> </w:t>
      </w:r>
      <w:r>
        <w:rPr>
          <w:color w:val="231F20"/>
        </w:rPr>
        <w:t>de</w:t>
      </w:r>
      <w:r>
        <w:rPr>
          <w:color w:val="231F20"/>
          <w:spacing w:val="-7"/>
        </w:rPr>
        <w:t> </w:t>
      </w:r>
      <w:r>
        <w:rPr>
          <w:color w:val="231F20"/>
        </w:rPr>
        <w:t>montaje;</w:t>
      </w:r>
      <w:r>
        <w:rPr>
          <w:color w:val="231F20"/>
          <w:spacing w:val="-7"/>
        </w:rPr>
        <w:t> </w:t>
      </w:r>
      <w:r>
        <w:rPr>
          <w:color w:val="231F20"/>
        </w:rPr>
        <w:t>con</w:t>
      </w:r>
      <w:r>
        <w:rPr>
          <w:color w:val="231F20"/>
          <w:spacing w:val="-7"/>
        </w:rPr>
        <w:t> </w:t>
      </w:r>
      <w:r>
        <w:rPr>
          <w:color w:val="231F20"/>
        </w:rPr>
        <w:t>esta</w:t>
      </w:r>
      <w:r>
        <w:rPr>
          <w:color w:val="231F20"/>
          <w:spacing w:val="-7"/>
        </w:rPr>
        <w:t> </w:t>
      </w:r>
      <w:r>
        <w:rPr>
          <w:color w:val="231F20"/>
        </w:rPr>
        <w:t>innovación,</w:t>
      </w:r>
      <w:r>
        <w:rPr>
          <w:color w:val="231F20"/>
          <w:spacing w:val="-7"/>
        </w:rPr>
        <w:t> </w:t>
      </w:r>
      <w:r>
        <w:rPr>
          <w:color w:val="231F20"/>
          <w:spacing w:val="-3"/>
        </w:rPr>
        <w:t>Ford</w:t>
      </w:r>
      <w:r>
        <w:rPr>
          <w:color w:val="231F20"/>
          <w:spacing w:val="-7"/>
        </w:rPr>
        <w:t> </w:t>
      </w:r>
      <w:r>
        <w:rPr>
          <w:color w:val="231F20"/>
        </w:rPr>
        <w:t>no</w:t>
      </w:r>
      <w:r>
        <w:rPr>
          <w:color w:val="231F20"/>
          <w:spacing w:val="-7"/>
        </w:rPr>
        <w:t> </w:t>
      </w:r>
      <w:r>
        <w:rPr>
          <w:color w:val="231F20"/>
        </w:rPr>
        <w:t>sólo</w:t>
      </w:r>
      <w:r>
        <w:rPr>
          <w:color w:val="231F20"/>
          <w:spacing w:val="-7"/>
        </w:rPr>
        <w:t> </w:t>
      </w:r>
      <w:r>
        <w:rPr>
          <w:color w:val="231F20"/>
        </w:rPr>
        <w:t>inició</w:t>
      </w:r>
      <w:r>
        <w:rPr>
          <w:color w:val="231F20"/>
          <w:spacing w:val="-7"/>
        </w:rPr>
        <w:t> </w:t>
      </w:r>
      <w:r>
        <w:rPr>
          <w:color w:val="231F20"/>
        </w:rPr>
        <w:t>los procesos de fabricación masiva de productos estandarizados, dejando atrás la fabrica- ción artesanal, sino que incrementó mucho los volúmenes de producción y redujo los costos unitarios de producción (Mortimore y Barron, 2005). Este sistema de produc- ción</w:t>
      </w:r>
      <w:r>
        <w:rPr>
          <w:color w:val="231F20"/>
          <w:spacing w:val="-9"/>
        </w:rPr>
        <w:t> </w:t>
      </w:r>
      <w:r>
        <w:rPr>
          <w:color w:val="231F20"/>
        </w:rPr>
        <w:t>sirve</w:t>
      </w:r>
      <w:r>
        <w:rPr>
          <w:color w:val="231F20"/>
          <w:spacing w:val="-9"/>
        </w:rPr>
        <w:t> </w:t>
      </w:r>
      <w:r>
        <w:rPr>
          <w:color w:val="231F20"/>
        </w:rPr>
        <w:t>de</w:t>
      </w:r>
      <w:r>
        <w:rPr>
          <w:color w:val="231F20"/>
          <w:spacing w:val="-9"/>
        </w:rPr>
        <w:t> </w:t>
      </w:r>
      <w:r>
        <w:rPr>
          <w:color w:val="231F20"/>
        </w:rPr>
        <w:t>base</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fordismo.</w:t>
      </w:r>
    </w:p>
    <w:p>
      <w:pPr>
        <w:pStyle w:val="BodyText"/>
        <w:spacing w:line="278" w:lineRule="auto" w:before="1"/>
        <w:ind w:left="653" w:right="102" w:firstLine="396"/>
        <w:jc w:val="both"/>
      </w:pPr>
      <w:r>
        <w:rPr>
          <w:color w:val="231F20"/>
        </w:rPr>
        <w:t>Algunas</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principales</w:t>
      </w:r>
      <w:r>
        <w:rPr>
          <w:color w:val="231F20"/>
          <w:spacing w:val="-14"/>
        </w:rPr>
        <w:t> </w:t>
      </w:r>
      <w:r>
        <w:rPr>
          <w:color w:val="231F20"/>
        </w:rPr>
        <w:t>características</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modelo</w:t>
      </w:r>
      <w:r>
        <w:rPr>
          <w:color w:val="231F20"/>
          <w:spacing w:val="-14"/>
        </w:rPr>
        <w:t> </w:t>
      </w:r>
      <w:r>
        <w:rPr>
          <w:color w:val="231F20"/>
        </w:rPr>
        <w:t>son</w:t>
      </w:r>
      <w:r>
        <w:rPr>
          <w:color w:val="231F20"/>
          <w:spacing w:val="-14"/>
        </w:rPr>
        <w:t> </w:t>
      </w:r>
      <w:r>
        <w:rPr>
          <w:color w:val="231F20"/>
          <w:spacing w:val="-3"/>
        </w:rPr>
        <w:t>(Swyngedouw,</w:t>
      </w:r>
      <w:r>
        <w:rPr>
          <w:color w:val="231F20"/>
          <w:spacing w:val="-14"/>
        </w:rPr>
        <w:t> </w:t>
      </w:r>
      <w:r>
        <w:rPr>
          <w:color w:val="231F20"/>
        </w:rPr>
        <w:t>1986, citado por </w:t>
      </w:r>
      <w:r>
        <w:rPr>
          <w:color w:val="231F20"/>
          <w:spacing w:val="-3"/>
        </w:rPr>
        <w:t>Harvey,</w:t>
      </w:r>
      <w:r>
        <w:rPr>
          <w:color w:val="231F20"/>
          <w:spacing w:val="-29"/>
        </w:rPr>
        <w:t> </w:t>
      </w:r>
      <w:r>
        <w:rPr>
          <w:color w:val="231F20"/>
        </w:rPr>
        <w:t>1988):</w:t>
      </w:r>
    </w:p>
    <w:p>
      <w:pPr>
        <w:spacing w:after="0" w:line="278" w:lineRule="auto"/>
        <w:jc w:val="both"/>
        <w:sectPr>
          <w:headerReference w:type="even" r:id="rId37"/>
          <w:headerReference w:type="default" r:id="rId38"/>
          <w:pgSz w:w="9640" w:h="13040"/>
          <w:pgMar w:header="581" w:footer="654" w:top="780" w:bottom="840" w:left="480" w:right="1200"/>
        </w:sectPr>
      </w:pPr>
    </w:p>
    <w:p>
      <w:pPr>
        <w:pStyle w:val="BodyText"/>
        <w:rPr>
          <w:sz w:val="20"/>
        </w:rPr>
      </w:pPr>
    </w:p>
    <w:p>
      <w:pPr>
        <w:pStyle w:val="BodyText"/>
        <w:spacing w:before="10"/>
        <w:rPr>
          <w:sz w:val="17"/>
        </w:rPr>
      </w:pPr>
    </w:p>
    <w:p>
      <w:pPr>
        <w:pStyle w:val="ListParagraph"/>
        <w:numPr>
          <w:ilvl w:val="0"/>
          <w:numId w:val="13"/>
        </w:numPr>
        <w:tabs>
          <w:tab w:pos="824" w:val="left" w:leader="none"/>
        </w:tabs>
        <w:spacing w:line="278" w:lineRule="auto" w:before="0" w:after="0"/>
        <w:ind w:left="823" w:right="651" w:hanging="323"/>
        <w:jc w:val="both"/>
        <w:rPr>
          <w:sz w:val="21"/>
        </w:rPr>
      </w:pPr>
      <w:r>
        <w:rPr>
          <w:color w:val="231F20"/>
          <w:sz w:val="21"/>
        </w:rPr>
        <w:t>En el proceso de producción: cadena de montaje, producción en masa de bienes homogéneos y estandarizados, stock e inventarios que amortigüen las variaciones de la demanda, control ex post de la calidad (los desperfectos y errores se detectan después), reducción de costos por el control de salarios y mediante economías de escala, insumos baratos, principalmente el petróleo como</w:t>
      </w:r>
      <w:r>
        <w:rPr>
          <w:color w:val="231F20"/>
          <w:spacing w:val="-18"/>
          <w:sz w:val="21"/>
        </w:rPr>
        <w:t> </w:t>
      </w:r>
      <w:r>
        <w:rPr>
          <w:color w:val="231F20"/>
          <w:sz w:val="21"/>
        </w:rPr>
        <w:t>factor</w:t>
      </w:r>
      <w:r>
        <w:rPr>
          <w:color w:val="231F20"/>
          <w:spacing w:val="-18"/>
          <w:sz w:val="21"/>
        </w:rPr>
        <w:t> </w:t>
      </w:r>
      <w:r>
        <w:rPr>
          <w:color w:val="231F20"/>
          <w:sz w:val="21"/>
        </w:rPr>
        <w:t>energético</w:t>
      </w:r>
      <w:r>
        <w:rPr>
          <w:color w:val="231F20"/>
          <w:spacing w:val="-18"/>
          <w:sz w:val="21"/>
        </w:rPr>
        <w:t> </w:t>
      </w:r>
      <w:r>
        <w:rPr>
          <w:color w:val="231F20"/>
          <w:sz w:val="21"/>
        </w:rPr>
        <w:t>clave.</w:t>
      </w:r>
    </w:p>
    <w:p>
      <w:pPr>
        <w:pStyle w:val="ListParagraph"/>
        <w:numPr>
          <w:ilvl w:val="0"/>
          <w:numId w:val="13"/>
        </w:numPr>
        <w:tabs>
          <w:tab w:pos="824" w:val="left" w:leader="none"/>
        </w:tabs>
        <w:spacing w:line="278" w:lineRule="auto" w:before="114" w:after="0"/>
        <w:ind w:left="823" w:right="648" w:hanging="323"/>
        <w:jc w:val="both"/>
        <w:rPr>
          <w:sz w:val="21"/>
        </w:rPr>
      </w:pPr>
      <w:r>
        <w:rPr>
          <w:color w:val="231F20"/>
          <w:sz w:val="21"/>
        </w:rPr>
        <w:t>En el trabajo: una sola tarea por obrero, pago por rendimientos (basado en   la definición de las tareas), alto grado de especialización y ninguna o esca-  sa formación en la tarea, no se hace experiencia del aprendizaje, fuerza de trabajo no calificada, énfasis en una aminorada responsabilidad del obrero, ausencia de seguridad en el empleo, fuerte división del trabajo y clara sepa- ración entre las labores de ejecución y concepción en el interior de la empre- sa (Organización Industrial </w:t>
      </w:r>
      <w:r>
        <w:rPr>
          <w:color w:val="231F20"/>
          <w:spacing w:val="3"/>
          <w:sz w:val="21"/>
        </w:rPr>
        <w:t> </w:t>
      </w:r>
      <w:r>
        <w:rPr>
          <w:color w:val="231F20"/>
          <w:sz w:val="21"/>
        </w:rPr>
        <w:t>Vertical).</w:t>
      </w:r>
    </w:p>
    <w:p>
      <w:pPr>
        <w:pStyle w:val="ListParagraph"/>
        <w:numPr>
          <w:ilvl w:val="0"/>
          <w:numId w:val="13"/>
        </w:numPr>
        <w:tabs>
          <w:tab w:pos="824" w:val="left" w:leader="none"/>
        </w:tabs>
        <w:spacing w:line="278" w:lineRule="auto" w:before="114" w:after="0"/>
        <w:ind w:left="823" w:right="651" w:hanging="323"/>
        <w:jc w:val="both"/>
        <w:rPr>
          <w:sz w:val="21"/>
        </w:rPr>
      </w:pPr>
      <w:r>
        <w:rPr>
          <w:color w:val="231F20"/>
          <w:sz w:val="21"/>
        </w:rPr>
        <w:t>En</w:t>
      </w:r>
      <w:r>
        <w:rPr>
          <w:color w:val="231F20"/>
          <w:spacing w:val="-7"/>
          <w:sz w:val="21"/>
        </w:rPr>
        <w:t> </w:t>
      </w:r>
      <w:r>
        <w:rPr>
          <w:color w:val="231F20"/>
          <w:sz w:val="21"/>
        </w:rPr>
        <w:t>el</w:t>
      </w:r>
      <w:r>
        <w:rPr>
          <w:color w:val="231F20"/>
          <w:spacing w:val="-7"/>
          <w:sz w:val="21"/>
        </w:rPr>
        <w:t> </w:t>
      </w:r>
      <w:r>
        <w:rPr>
          <w:color w:val="231F20"/>
          <w:sz w:val="21"/>
        </w:rPr>
        <w:t>Estado:</w:t>
      </w:r>
      <w:r>
        <w:rPr>
          <w:color w:val="231F20"/>
          <w:spacing w:val="-7"/>
          <w:sz w:val="21"/>
        </w:rPr>
        <w:t> </w:t>
      </w:r>
      <w:r>
        <w:rPr>
          <w:color w:val="231F20"/>
          <w:sz w:val="21"/>
        </w:rPr>
        <w:t>regulación,</w:t>
      </w:r>
      <w:r>
        <w:rPr>
          <w:color w:val="231F20"/>
          <w:spacing w:val="-7"/>
          <w:sz w:val="21"/>
        </w:rPr>
        <w:t> </w:t>
      </w:r>
      <w:r>
        <w:rPr>
          <w:color w:val="231F20"/>
          <w:sz w:val="21"/>
        </w:rPr>
        <w:t>rigidez,</w:t>
      </w:r>
      <w:r>
        <w:rPr>
          <w:color w:val="231F20"/>
          <w:spacing w:val="-7"/>
          <w:sz w:val="21"/>
        </w:rPr>
        <w:t> </w:t>
      </w:r>
      <w:r>
        <w:rPr>
          <w:color w:val="231F20"/>
          <w:sz w:val="21"/>
        </w:rPr>
        <w:t>negociación</w:t>
      </w:r>
      <w:r>
        <w:rPr>
          <w:color w:val="231F20"/>
          <w:spacing w:val="-7"/>
          <w:sz w:val="21"/>
        </w:rPr>
        <w:t> </w:t>
      </w:r>
      <w:r>
        <w:rPr>
          <w:color w:val="231F20"/>
          <w:sz w:val="21"/>
        </w:rPr>
        <w:t>colectiva,</w:t>
      </w:r>
      <w:r>
        <w:rPr>
          <w:color w:val="231F20"/>
          <w:spacing w:val="-7"/>
          <w:sz w:val="21"/>
        </w:rPr>
        <w:t> </w:t>
      </w:r>
      <w:r>
        <w:rPr>
          <w:color w:val="231F20"/>
          <w:sz w:val="21"/>
        </w:rPr>
        <w:t>centralización,</w:t>
      </w:r>
      <w:r>
        <w:rPr>
          <w:color w:val="231F20"/>
          <w:spacing w:val="-7"/>
          <w:sz w:val="21"/>
        </w:rPr>
        <w:t> </w:t>
      </w:r>
      <w:r>
        <w:rPr>
          <w:color w:val="231F20"/>
          <w:sz w:val="21"/>
        </w:rPr>
        <w:t>inter- vención indirecta en los mercados con políticas de ingresos y precios, finan- ciamiento</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investigación</w:t>
      </w:r>
      <w:r>
        <w:rPr>
          <w:color w:val="231F20"/>
          <w:spacing w:val="-14"/>
          <w:sz w:val="21"/>
        </w:rPr>
        <w:t> </w:t>
      </w:r>
      <w:r>
        <w:rPr>
          <w:color w:val="231F20"/>
          <w:sz w:val="21"/>
        </w:rPr>
        <w:t>y</w:t>
      </w:r>
      <w:r>
        <w:rPr>
          <w:color w:val="231F20"/>
          <w:spacing w:val="-14"/>
          <w:sz w:val="21"/>
        </w:rPr>
        <w:t> </w:t>
      </w:r>
      <w:r>
        <w:rPr>
          <w:color w:val="231F20"/>
          <w:sz w:val="21"/>
        </w:rPr>
        <w:t>el</w:t>
      </w:r>
      <w:r>
        <w:rPr>
          <w:color w:val="231F20"/>
          <w:spacing w:val="-14"/>
          <w:sz w:val="21"/>
        </w:rPr>
        <w:t> </w:t>
      </w:r>
      <w:r>
        <w:rPr>
          <w:color w:val="231F20"/>
          <w:sz w:val="21"/>
        </w:rPr>
        <w:t>desarrollo</w:t>
      </w:r>
      <w:r>
        <w:rPr>
          <w:color w:val="231F20"/>
          <w:spacing w:val="-14"/>
          <w:sz w:val="21"/>
        </w:rPr>
        <w:t> </w:t>
      </w:r>
      <w:r>
        <w:rPr>
          <w:color w:val="231F20"/>
          <w:sz w:val="21"/>
        </w:rPr>
        <w:t>por</w:t>
      </w:r>
      <w:r>
        <w:rPr>
          <w:color w:val="231F20"/>
          <w:spacing w:val="-14"/>
          <w:sz w:val="21"/>
        </w:rPr>
        <w:t> </w:t>
      </w:r>
      <w:r>
        <w:rPr>
          <w:color w:val="231F20"/>
          <w:sz w:val="21"/>
        </w:rPr>
        <w:t>parte</w:t>
      </w:r>
      <w:r>
        <w:rPr>
          <w:color w:val="231F20"/>
          <w:spacing w:val="-14"/>
          <w:sz w:val="21"/>
        </w:rPr>
        <w:t> </w:t>
      </w:r>
      <w:r>
        <w:rPr>
          <w:color w:val="231F20"/>
          <w:sz w:val="21"/>
        </w:rPr>
        <w:t>de</w:t>
      </w:r>
      <w:r>
        <w:rPr>
          <w:color w:val="231F20"/>
          <w:spacing w:val="-14"/>
          <w:sz w:val="21"/>
        </w:rPr>
        <w:t> </w:t>
      </w:r>
      <w:r>
        <w:rPr>
          <w:color w:val="231F20"/>
          <w:sz w:val="21"/>
        </w:rPr>
        <w:t>las</w:t>
      </w:r>
      <w:r>
        <w:rPr>
          <w:color w:val="231F20"/>
          <w:spacing w:val="-14"/>
          <w:sz w:val="21"/>
        </w:rPr>
        <w:t> </w:t>
      </w:r>
      <w:r>
        <w:rPr>
          <w:color w:val="231F20"/>
          <w:sz w:val="21"/>
        </w:rPr>
        <w:t>empresas</w:t>
      </w:r>
      <w:r>
        <w:rPr>
          <w:color w:val="231F20"/>
          <w:spacing w:val="-14"/>
          <w:sz w:val="21"/>
        </w:rPr>
        <w:t> </w:t>
      </w:r>
      <w:r>
        <w:rPr>
          <w:color w:val="231F20"/>
          <w:sz w:val="21"/>
        </w:rPr>
        <w:t>e</w:t>
      </w:r>
      <w:r>
        <w:rPr>
          <w:color w:val="231F20"/>
          <w:spacing w:val="-14"/>
          <w:sz w:val="21"/>
        </w:rPr>
        <w:t> </w:t>
      </w:r>
      <w:r>
        <w:rPr>
          <w:color w:val="231F20"/>
          <w:sz w:val="21"/>
        </w:rPr>
        <w:t>impul- so a la innovación por parte de la</w:t>
      </w:r>
      <w:r>
        <w:rPr>
          <w:color w:val="231F20"/>
          <w:spacing w:val="-3"/>
          <w:sz w:val="21"/>
        </w:rPr>
        <w:t> </w:t>
      </w:r>
      <w:r>
        <w:rPr>
          <w:color w:val="231F20"/>
          <w:sz w:val="21"/>
        </w:rPr>
        <w:t>industria.</w:t>
      </w:r>
    </w:p>
    <w:p>
      <w:pPr>
        <w:pStyle w:val="BodyText"/>
        <w:spacing w:line="278" w:lineRule="auto" w:before="114"/>
        <w:ind w:left="103" w:right="652"/>
        <w:jc w:val="both"/>
      </w:pPr>
      <w:r>
        <w:rPr>
          <w:color w:val="231F20"/>
          <w:spacing w:val="-4"/>
        </w:rPr>
        <w:t>Una</w:t>
      </w:r>
      <w:r>
        <w:rPr>
          <w:color w:val="231F20"/>
          <w:spacing w:val="-12"/>
        </w:rPr>
        <w:t> </w:t>
      </w:r>
      <w:r>
        <w:rPr>
          <w:color w:val="231F20"/>
        </w:rPr>
        <w:t>característica</w:t>
      </w:r>
      <w:r>
        <w:rPr>
          <w:color w:val="231F20"/>
          <w:spacing w:val="-12"/>
        </w:rPr>
        <w:t> </w:t>
      </w:r>
      <w:r>
        <w:rPr>
          <w:color w:val="231F20"/>
        </w:rPr>
        <w:t>fundamental</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modelo</w:t>
      </w:r>
      <w:r>
        <w:rPr>
          <w:color w:val="231F20"/>
          <w:spacing w:val="-12"/>
        </w:rPr>
        <w:t> </w:t>
      </w:r>
      <w:r>
        <w:rPr>
          <w:color w:val="231F20"/>
        </w:rPr>
        <w:t>era</w:t>
      </w:r>
      <w:r>
        <w:rPr>
          <w:color w:val="231F20"/>
          <w:spacing w:val="-12"/>
        </w:rPr>
        <w:t> </w:t>
      </w:r>
      <w:r>
        <w:rPr>
          <w:color w:val="231F20"/>
        </w:rPr>
        <w:t>el</w:t>
      </w:r>
      <w:r>
        <w:rPr>
          <w:color w:val="231F20"/>
          <w:spacing w:val="-12"/>
        </w:rPr>
        <w:t> </w:t>
      </w:r>
      <w:r>
        <w:rPr>
          <w:color w:val="231F20"/>
        </w:rPr>
        <w:t>crecimiento</w:t>
      </w:r>
      <w:r>
        <w:rPr>
          <w:color w:val="231F20"/>
          <w:spacing w:val="-12"/>
        </w:rPr>
        <w:t> </w:t>
      </w:r>
      <w:r>
        <w:rPr>
          <w:color w:val="231F20"/>
        </w:rPr>
        <w:t>a</w:t>
      </w:r>
      <w:r>
        <w:rPr>
          <w:color w:val="231F20"/>
          <w:spacing w:val="-12"/>
        </w:rPr>
        <w:t> </w:t>
      </w:r>
      <w:r>
        <w:rPr>
          <w:color w:val="231F20"/>
        </w:rPr>
        <w:t>ritmos</w:t>
      </w:r>
      <w:r>
        <w:rPr>
          <w:color w:val="231F20"/>
          <w:spacing w:val="-12"/>
        </w:rPr>
        <w:t> </w:t>
      </w:r>
      <w:r>
        <w:rPr>
          <w:color w:val="231F20"/>
        </w:rPr>
        <w:t>similares</w:t>
      </w:r>
      <w:r>
        <w:rPr>
          <w:color w:val="231F20"/>
          <w:spacing w:val="-12"/>
        </w:rPr>
        <w:t> </w:t>
      </w:r>
      <w:r>
        <w:rPr>
          <w:color w:val="231F20"/>
        </w:rPr>
        <w:t>del salario</w:t>
      </w:r>
      <w:r>
        <w:rPr>
          <w:color w:val="231F20"/>
          <w:spacing w:val="-10"/>
        </w:rPr>
        <w:t> </w:t>
      </w:r>
      <w:r>
        <w:rPr>
          <w:color w:val="231F20"/>
        </w:rPr>
        <w:t>medio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productividad</w:t>
      </w:r>
      <w:r>
        <w:rPr>
          <w:color w:val="231F20"/>
          <w:spacing w:val="-10"/>
        </w:rPr>
        <w:t> </w:t>
      </w:r>
      <w:r>
        <w:rPr>
          <w:color w:val="231F20"/>
        </w:rPr>
        <w:t>media</w:t>
      </w:r>
      <w:r>
        <w:rPr>
          <w:color w:val="231F20"/>
          <w:spacing w:val="-10"/>
        </w:rPr>
        <w:t> </w:t>
      </w:r>
      <w:r>
        <w:rPr>
          <w:color w:val="231F20"/>
        </w:rPr>
        <w:t>alcanzada</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fábrica,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implicaba</w:t>
      </w:r>
      <w:r>
        <w:rPr>
          <w:color w:val="231F20"/>
          <w:spacing w:val="-10"/>
        </w:rPr>
        <w:t> </w:t>
      </w:r>
      <w:r>
        <w:rPr>
          <w:color w:val="231F20"/>
        </w:rPr>
        <w:t>que</w:t>
      </w:r>
      <w:r>
        <w:rPr>
          <w:color w:val="231F20"/>
          <w:spacing w:val="-10"/>
        </w:rPr>
        <w:t> </w:t>
      </w:r>
      <w:r>
        <w:rPr>
          <w:color w:val="231F20"/>
        </w:rPr>
        <w:t>la producción en masa tuviera su correspondiente mercado de</w:t>
      </w:r>
      <w:r>
        <w:rPr>
          <w:color w:val="231F20"/>
          <w:spacing w:val="6"/>
        </w:rPr>
        <w:t> </w:t>
      </w:r>
      <w:r>
        <w:rPr>
          <w:color w:val="231F20"/>
        </w:rPr>
        <w:t>masas.</w:t>
      </w:r>
    </w:p>
    <w:p>
      <w:pPr>
        <w:pStyle w:val="BodyText"/>
        <w:spacing w:line="259" w:lineRule="auto" w:before="1"/>
        <w:ind w:left="103" w:right="648" w:firstLine="474"/>
        <w:jc w:val="both"/>
      </w:pPr>
      <w:r>
        <w:rPr>
          <w:color w:val="231F20"/>
        </w:rPr>
        <w:t>Un segundo parteaguas se presentó en Japón al finalizar la Segunda Guerra Mundial. La empresa Toyota rediseñó la forma de fabricación de vehículos y sus partes. A esta innovación se le conoce como Sistema de Producción Toyota o </w:t>
      </w:r>
      <w:r>
        <w:rPr>
          <w:rFonts w:ascii="Palatino Linotype" w:hAnsi="Palatino Linotype"/>
          <w:i/>
          <w:color w:val="231F20"/>
        </w:rPr>
        <w:t>Lean </w:t>
      </w:r>
      <w:r>
        <w:rPr>
          <w:rFonts w:ascii="Palatino Linotype" w:hAnsi="Palatino Linotype"/>
          <w:i/>
          <w:color w:val="231F20"/>
        </w:rPr>
        <w:t>Production </w:t>
      </w:r>
      <w:r>
        <w:rPr>
          <w:color w:val="231F20"/>
        </w:rPr>
        <w:t>(o producción ajustada). Este tipo de producción requiere de equipos de trabajadores multicalificados, que permitan realizar tareas de fabricación, supervi- sión y control de la calidad, así como de la utilización de maquinaria altamente flexi-</w:t>
      </w:r>
    </w:p>
    <w:p>
      <w:pPr>
        <w:pStyle w:val="BodyText"/>
        <w:spacing w:line="278" w:lineRule="auto" w:before="20"/>
        <w:ind w:left="103" w:right="648"/>
        <w:jc w:val="both"/>
      </w:pPr>
      <w:r>
        <w:rPr>
          <w:color w:val="231F20"/>
        </w:rPr>
        <w:t>ble que permita manufacturar de manera rentable grandes volúmenes de productos variados para satisfacer la demanda de los diferentes consumidores (Mortimore y Barron, 2005).</w:t>
      </w:r>
    </w:p>
    <w:p>
      <w:pPr>
        <w:pStyle w:val="BodyText"/>
        <w:spacing w:line="278" w:lineRule="auto" w:before="1"/>
        <w:ind w:left="103" w:right="650" w:firstLine="396"/>
        <w:jc w:val="both"/>
      </w:pPr>
      <w:r>
        <w:rPr>
          <w:color w:val="231F20"/>
        </w:rPr>
        <w:t>En este modelo se vuelven medulares los adelantos tecnológicos y la aplicación de la informática. El proceso de producción se concibe de manera integral como un compromiso a mediano y largo plazo entre la industria terminal y sus empleados, proveedores y distribuidores, para generar valor agregado a lo largo de toda la cadena productiva; con ello se enfatiza el trabajo en equipo y se limita la importancia de las jerarquías dentro de la línea de producción. Este esfuerzo colectivo, junto con una</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jc w:val="both"/>
      </w:pPr>
      <w:r>
        <w:rPr>
          <w:color w:val="231F20"/>
        </w:rPr>
        <w:t>mejor y más fluida comunicación entre los participantes, permite detectar y eliminar rápidamente las potenciales fuentes de ineficiencia en todas las fases de producción (Mortimore y Barron, 2005; CEPAL, 2003).</w:t>
      </w:r>
    </w:p>
    <w:p>
      <w:pPr>
        <w:pStyle w:val="BodyText"/>
        <w:spacing w:line="278" w:lineRule="auto" w:before="1"/>
        <w:ind w:left="653" w:right="15" w:firstLine="396"/>
      </w:pPr>
      <w:r>
        <w:rPr>
          <w:color w:val="231F20"/>
        </w:rPr>
        <w:t>El Sistema de Producción Toyota considera tres elementos fundamentales (Morti- more y Barron, 2005; CEPAL, 2003):</w:t>
      </w:r>
    </w:p>
    <w:p>
      <w:pPr>
        <w:pStyle w:val="ListParagraph"/>
        <w:numPr>
          <w:ilvl w:val="1"/>
          <w:numId w:val="13"/>
        </w:numPr>
        <w:tabs>
          <w:tab w:pos="1051" w:val="left" w:leader="none"/>
        </w:tabs>
        <w:spacing w:line="278" w:lineRule="auto" w:before="114" w:after="0"/>
        <w:ind w:left="1050" w:right="101" w:hanging="278"/>
        <w:jc w:val="both"/>
        <w:rPr>
          <w:sz w:val="21"/>
        </w:rPr>
      </w:pPr>
      <w:r>
        <w:rPr>
          <w:color w:val="231F20"/>
          <w:sz w:val="21"/>
        </w:rPr>
        <w:t>Organización</w:t>
      </w:r>
      <w:r>
        <w:rPr>
          <w:color w:val="231F20"/>
          <w:spacing w:val="-11"/>
          <w:sz w:val="21"/>
        </w:rPr>
        <w:t> </w:t>
      </w:r>
      <w:r>
        <w:rPr>
          <w:color w:val="231F20"/>
          <w:sz w:val="21"/>
        </w:rPr>
        <w:t>flexible</w:t>
      </w:r>
      <w:r>
        <w:rPr>
          <w:color w:val="231F20"/>
          <w:spacing w:val="-11"/>
          <w:sz w:val="21"/>
        </w:rPr>
        <w:t> </w:t>
      </w:r>
      <w:r>
        <w:rPr>
          <w:color w:val="231F20"/>
          <w:sz w:val="21"/>
        </w:rPr>
        <w:t>de</w:t>
      </w:r>
      <w:r>
        <w:rPr>
          <w:color w:val="231F20"/>
          <w:spacing w:val="-11"/>
          <w:sz w:val="21"/>
        </w:rPr>
        <w:t> </w:t>
      </w:r>
      <w:r>
        <w:rPr>
          <w:color w:val="231F20"/>
          <w:sz w:val="21"/>
        </w:rPr>
        <w:t>la</w:t>
      </w:r>
      <w:r>
        <w:rPr>
          <w:color w:val="231F20"/>
          <w:spacing w:val="-11"/>
          <w:sz w:val="21"/>
        </w:rPr>
        <w:t> </w:t>
      </w:r>
      <w:r>
        <w:rPr>
          <w:color w:val="231F20"/>
          <w:sz w:val="21"/>
        </w:rPr>
        <w:t>producción:</w:t>
      </w:r>
      <w:r>
        <w:rPr>
          <w:color w:val="231F20"/>
          <w:spacing w:val="-11"/>
          <w:sz w:val="21"/>
        </w:rPr>
        <w:t> </w:t>
      </w:r>
      <w:r>
        <w:rPr>
          <w:color w:val="231F20"/>
          <w:sz w:val="21"/>
        </w:rPr>
        <w:t>implica</w:t>
      </w:r>
      <w:r>
        <w:rPr>
          <w:color w:val="231F20"/>
          <w:spacing w:val="-11"/>
          <w:sz w:val="21"/>
        </w:rPr>
        <w:t> </w:t>
      </w:r>
      <w:r>
        <w:rPr>
          <w:color w:val="231F20"/>
          <w:sz w:val="21"/>
        </w:rPr>
        <w:t>una</w:t>
      </w:r>
      <w:r>
        <w:rPr>
          <w:color w:val="231F20"/>
          <w:spacing w:val="-11"/>
          <w:sz w:val="21"/>
        </w:rPr>
        <w:t> </w:t>
      </w:r>
      <w:r>
        <w:rPr>
          <w:color w:val="231F20"/>
          <w:sz w:val="21"/>
        </w:rPr>
        <w:t>capacitación</w:t>
      </w:r>
      <w:r>
        <w:rPr>
          <w:color w:val="231F20"/>
          <w:spacing w:val="-11"/>
          <w:sz w:val="21"/>
        </w:rPr>
        <w:t> </w:t>
      </w:r>
      <w:r>
        <w:rPr>
          <w:color w:val="231F20"/>
          <w:sz w:val="21"/>
        </w:rPr>
        <w:t>múltiple</w:t>
      </w:r>
      <w:r>
        <w:rPr>
          <w:color w:val="231F20"/>
          <w:spacing w:val="-11"/>
          <w:sz w:val="21"/>
        </w:rPr>
        <w:t> </w:t>
      </w:r>
      <w:r>
        <w:rPr>
          <w:color w:val="231F20"/>
          <w:sz w:val="21"/>
        </w:rPr>
        <w:t>a</w:t>
      </w:r>
      <w:r>
        <w:rPr>
          <w:color w:val="231F20"/>
          <w:spacing w:val="-11"/>
          <w:sz w:val="21"/>
        </w:rPr>
        <w:t> </w:t>
      </w:r>
      <w:r>
        <w:rPr>
          <w:color w:val="231F20"/>
          <w:sz w:val="21"/>
        </w:rPr>
        <w:t>fin</w:t>
      </w:r>
      <w:r>
        <w:rPr>
          <w:color w:val="231F20"/>
          <w:spacing w:val="-11"/>
          <w:sz w:val="21"/>
        </w:rPr>
        <w:t> </w:t>
      </w:r>
      <w:r>
        <w:rPr>
          <w:color w:val="231F20"/>
          <w:sz w:val="21"/>
        </w:rPr>
        <w:t>de que el trabajador pueda ejercer diferentes actividades en las áreas de producción, supervisión</w:t>
      </w:r>
      <w:r>
        <w:rPr>
          <w:color w:val="231F20"/>
          <w:spacing w:val="-4"/>
          <w:sz w:val="21"/>
        </w:rPr>
        <w:t> </w:t>
      </w:r>
      <w:r>
        <w:rPr>
          <w:color w:val="231F20"/>
          <w:sz w:val="21"/>
        </w:rPr>
        <w:t>y</w:t>
      </w:r>
      <w:r>
        <w:rPr>
          <w:color w:val="231F20"/>
          <w:spacing w:val="-4"/>
          <w:sz w:val="21"/>
        </w:rPr>
        <w:t> </w:t>
      </w:r>
      <w:r>
        <w:rPr>
          <w:color w:val="231F20"/>
          <w:sz w:val="21"/>
        </w:rPr>
        <w:t>control.</w:t>
      </w:r>
      <w:r>
        <w:rPr>
          <w:color w:val="231F20"/>
          <w:spacing w:val="-4"/>
          <w:sz w:val="21"/>
        </w:rPr>
        <w:t> Por </w:t>
      </w:r>
      <w:r>
        <w:rPr>
          <w:color w:val="231F20"/>
          <w:sz w:val="21"/>
        </w:rPr>
        <w:t>el</w:t>
      </w:r>
      <w:r>
        <w:rPr>
          <w:color w:val="231F20"/>
          <w:spacing w:val="-4"/>
          <w:sz w:val="21"/>
        </w:rPr>
        <w:t> </w:t>
      </w:r>
      <w:r>
        <w:rPr>
          <w:color w:val="231F20"/>
          <w:sz w:val="21"/>
        </w:rPr>
        <w:t>lado</w:t>
      </w:r>
      <w:r>
        <w:rPr>
          <w:color w:val="231F20"/>
          <w:spacing w:val="-4"/>
          <w:sz w:val="21"/>
        </w:rPr>
        <w:t> </w:t>
      </w:r>
      <w:r>
        <w:rPr>
          <w:color w:val="231F20"/>
          <w:sz w:val="21"/>
        </w:rPr>
        <w:t>de</w:t>
      </w:r>
      <w:r>
        <w:rPr>
          <w:color w:val="231F20"/>
          <w:spacing w:val="-4"/>
          <w:sz w:val="21"/>
        </w:rPr>
        <w:t> </w:t>
      </w:r>
      <w:r>
        <w:rPr>
          <w:color w:val="231F20"/>
          <w:sz w:val="21"/>
        </w:rPr>
        <w:t>los</w:t>
      </w:r>
      <w:r>
        <w:rPr>
          <w:color w:val="231F20"/>
          <w:spacing w:val="-4"/>
          <w:sz w:val="21"/>
        </w:rPr>
        <w:t> </w:t>
      </w:r>
      <w:r>
        <w:rPr>
          <w:color w:val="231F20"/>
          <w:sz w:val="21"/>
        </w:rPr>
        <w:t>bienes</w:t>
      </w:r>
      <w:r>
        <w:rPr>
          <w:color w:val="231F20"/>
          <w:spacing w:val="-4"/>
          <w:sz w:val="21"/>
        </w:rPr>
        <w:t> </w:t>
      </w:r>
      <w:r>
        <w:rPr>
          <w:color w:val="231F20"/>
          <w:sz w:val="21"/>
        </w:rPr>
        <w:t>de</w:t>
      </w:r>
      <w:r>
        <w:rPr>
          <w:color w:val="231F20"/>
          <w:spacing w:val="-4"/>
          <w:sz w:val="21"/>
        </w:rPr>
        <w:t> </w:t>
      </w:r>
      <w:r>
        <w:rPr>
          <w:color w:val="231F20"/>
          <w:sz w:val="21"/>
        </w:rPr>
        <w:t>capital</w:t>
      </w:r>
      <w:r>
        <w:rPr>
          <w:color w:val="231F20"/>
          <w:spacing w:val="-4"/>
          <w:sz w:val="21"/>
        </w:rPr>
        <w:t> </w:t>
      </w:r>
      <w:r>
        <w:rPr>
          <w:color w:val="231F20"/>
          <w:sz w:val="21"/>
        </w:rPr>
        <w:t>implica</w:t>
      </w:r>
      <w:r>
        <w:rPr>
          <w:color w:val="231F20"/>
          <w:spacing w:val="-4"/>
          <w:sz w:val="21"/>
        </w:rPr>
        <w:t> </w:t>
      </w:r>
      <w:r>
        <w:rPr>
          <w:color w:val="231F20"/>
          <w:sz w:val="21"/>
        </w:rPr>
        <w:t>que</w:t>
      </w:r>
      <w:r>
        <w:rPr>
          <w:color w:val="231F20"/>
          <w:spacing w:val="-4"/>
          <w:sz w:val="21"/>
        </w:rPr>
        <w:t> </w:t>
      </w:r>
      <w:r>
        <w:rPr>
          <w:color w:val="231F20"/>
          <w:sz w:val="21"/>
        </w:rPr>
        <w:t>en</w:t>
      </w:r>
      <w:r>
        <w:rPr>
          <w:color w:val="231F20"/>
          <w:spacing w:val="-4"/>
          <w:sz w:val="21"/>
        </w:rPr>
        <w:t> </w:t>
      </w:r>
      <w:r>
        <w:rPr>
          <w:color w:val="231F20"/>
          <w:sz w:val="21"/>
        </w:rPr>
        <w:t>la</w:t>
      </w:r>
      <w:r>
        <w:rPr>
          <w:color w:val="231F20"/>
          <w:spacing w:val="-4"/>
          <w:sz w:val="21"/>
        </w:rPr>
        <w:t> </w:t>
      </w:r>
      <w:r>
        <w:rPr>
          <w:color w:val="231F20"/>
          <w:sz w:val="21"/>
        </w:rPr>
        <w:t>planta se puedan manufacturar de manera rentable lotes de producción de un volumen relativamente bajo y rápidamente se puedan modificar algunas características del producto final, para así responder a cambios repentinos de la demanda, con lo que se atiende a las preferencias de la demanda y se satisfacen las necesidades</w:t>
      </w:r>
      <w:r>
        <w:rPr>
          <w:color w:val="231F20"/>
          <w:spacing w:val="-31"/>
          <w:sz w:val="21"/>
        </w:rPr>
        <w:t> </w:t>
      </w:r>
      <w:r>
        <w:rPr>
          <w:color w:val="231F20"/>
          <w:sz w:val="21"/>
        </w:rPr>
        <w:t>de nichos de mercado</w:t>
      </w:r>
      <w:r>
        <w:rPr>
          <w:color w:val="231F20"/>
          <w:spacing w:val="-6"/>
          <w:sz w:val="21"/>
        </w:rPr>
        <w:t> </w:t>
      </w:r>
      <w:r>
        <w:rPr>
          <w:color w:val="231F20"/>
          <w:sz w:val="21"/>
        </w:rPr>
        <w:t>diferenciados.</w:t>
      </w:r>
    </w:p>
    <w:p>
      <w:pPr>
        <w:pStyle w:val="ListParagraph"/>
        <w:numPr>
          <w:ilvl w:val="1"/>
          <w:numId w:val="13"/>
        </w:numPr>
        <w:tabs>
          <w:tab w:pos="1051" w:val="left" w:leader="none"/>
        </w:tabs>
        <w:spacing w:line="278" w:lineRule="auto" w:before="114" w:after="0"/>
        <w:ind w:left="1050" w:right="101" w:hanging="292"/>
        <w:jc w:val="both"/>
        <w:rPr>
          <w:sz w:val="21"/>
        </w:rPr>
      </w:pPr>
      <w:r>
        <w:rPr>
          <w:color w:val="231F20"/>
          <w:sz w:val="21"/>
        </w:rPr>
        <w:t>Énfasis</w:t>
      </w:r>
      <w:r>
        <w:rPr>
          <w:color w:val="231F20"/>
          <w:spacing w:val="-11"/>
          <w:sz w:val="21"/>
        </w:rPr>
        <w:t> </w:t>
      </w:r>
      <w:r>
        <w:rPr>
          <w:color w:val="231F20"/>
          <w:sz w:val="21"/>
        </w:rPr>
        <w:t>en</w:t>
      </w:r>
      <w:r>
        <w:rPr>
          <w:color w:val="231F20"/>
          <w:spacing w:val="-11"/>
          <w:sz w:val="21"/>
        </w:rPr>
        <w:t> </w:t>
      </w:r>
      <w:r>
        <w:rPr>
          <w:color w:val="231F20"/>
          <w:sz w:val="21"/>
        </w:rPr>
        <w:t>la</w:t>
      </w:r>
      <w:r>
        <w:rPr>
          <w:color w:val="231F20"/>
          <w:spacing w:val="-11"/>
          <w:sz w:val="21"/>
        </w:rPr>
        <w:t> </w:t>
      </w:r>
      <w:r>
        <w:rPr>
          <w:color w:val="231F20"/>
          <w:sz w:val="21"/>
        </w:rPr>
        <w:t>prevención</w:t>
      </w:r>
      <w:r>
        <w:rPr>
          <w:color w:val="231F20"/>
          <w:spacing w:val="-11"/>
          <w:sz w:val="21"/>
        </w:rPr>
        <w:t> </w:t>
      </w:r>
      <w:r>
        <w:rPr>
          <w:color w:val="231F20"/>
          <w:sz w:val="21"/>
        </w:rPr>
        <w:t>total</w:t>
      </w:r>
      <w:r>
        <w:rPr>
          <w:color w:val="231F20"/>
          <w:spacing w:val="-11"/>
          <w:sz w:val="21"/>
        </w:rPr>
        <w:t> </w:t>
      </w:r>
      <w:r>
        <w:rPr>
          <w:color w:val="231F20"/>
          <w:sz w:val="21"/>
        </w:rPr>
        <w:t>de</w:t>
      </w:r>
      <w:r>
        <w:rPr>
          <w:color w:val="231F20"/>
          <w:spacing w:val="-11"/>
          <w:sz w:val="21"/>
        </w:rPr>
        <w:t> </w:t>
      </w:r>
      <w:r>
        <w:rPr>
          <w:color w:val="231F20"/>
          <w:sz w:val="21"/>
        </w:rPr>
        <w:t>defectos</w:t>
      </w:r>
      <w:r>
        <w:rPr>
          <w:color w:val="231F20"/>
          <w:spacing w:val="-11"/>
          <w:sz w:val="21"/>
        </w:rPr>
        <w:t> </w:t>
      </w:r>
      <w:r>
        <w:rPr>
          <w:color w:val="231F20"/>
          <w:sz w:val="21"/>
        </w:rPr>
        <w:t>para</w:t>
      </w:r>
      <w:r>
        <w:rPr>
          <w:color w:val="231F20"/>
          <w:spacing w:val="-11"/>
          <w:sz w:val="21"/>
        </w:rPr>
        <w:t> </w:t>
      </w:r>
      <w:r>
        <w:rPr>
          <w:color w:val="231F20"/>
          <w:sz w:val="21"/>
        </w:rPr>
        <w:t>eliminar</w:t>
      </w:r>
      <w:r>
        <w:rPr>
          <w:color w:val="231F20"/>
          <w:spacing w:val="-11"/>
          <w:sz w:val="21"/>
        </w:rPr>
        <w:t> </w:t>
      </w:r>
      <w:r>
        <w:rPr>
          <w:color w:val="231F20"/>
          <w:sz w:val="21"/>
        </w:rPr>
        <w:t>los</w:t>
      </w:r>
      <w:r>
        <w:rPr>
          <w:color w:val="231F20"/>
          <w:spacing w:val="-11"/>
          <w:sz w:val="21"/>
        </w:rPr>
        <w:t> </w:t>
      </w:r>
      <w:r>
        <w:rPr>
          <w:color w:val="231F20"/>
          <w:sz w:val="21"/>
        </w:rPr>
        <w:t>costos</w:t>
      </w:r>
      <w:r>
        <w:rPr>
          <w:color w:val="231F20"/>
          <w:spacing w:val="-11"/>
          <w:sz w:val="21"/>
        </w:rPr>
        <w:t> </w:t>
      </w:r>
      <w:r>
        <w:rPr>
          <w:color w:val="231F20"/>
          <w:sz w:val="21"/>
        </w:rPr>
        <w:t>innecesarios:</w:t>
      </w:r>
      <w:r>
        <w:rPr>
          <w:color w:val="231F20"/>
          <w:spacing w:val="-11"/>
          <w:sz w:val="21"/>
        </w:rPr>
        <w:t> </w:t>
      </w:r>
      <w:r>
        <w:rPr>
          <w:color w:val="231F20"/>
          <w:sz w:val="21"/>
        </w:rPr>
        <w:t>se busca erradicar desde el origen las imperfecciones en el producto, con lo que se evitan</w:t>
      </w:r>
      <w:r>
        <w:rPr>
          <w:color w:val="231F20"/>
          <w:spacing w:val="-11"/>
          <w:sz w:val="21"/>
        </w:rPr>
        <w:t> </w:t>
      </w:r>
      <w:r>
        <w:rPr>
          <w:color w:val="231F20"/>
          <w:sz w:val="21"/>
        </w:rPr>
        <w:t>periodos</w:t>
      </w:r>
      <w:r>
        <w:rPr>
          <w:color w:val="231F20"/>
          <w:spacing w:val="-11"/>
          <w:sz w:val="21"/>
        </w:rPr>
        <w:t> </w:t>
      </w:r>
      <w:r>
        <w:rPr>
          <w:color w:val="231F20"/>
          <w:sz w:val="21"/>
        </w:rPr>
        <w:t>de</w:t>
      </w:r>
      <w:r>
        <w:rPr>
          <w:color w:val="231F20"/>
          <w:spacing w:val="-11"/>
          <w:sz w:val="21"/>
        </w:rPr>
        <w:t> </w:t>
      </w:r>
      <w:r>
        <w:rPr>
          <w:color w:val="231F20"/>
          <w:sz w:val="21"/>
        </w:rPr>
        <w:t>inactividad</w:t>
      </w:r>
      <w:r>
        <w:rPr>
          <w:color w:val="231F20"/>
          <w:spacing w:val="-11"/>
          <w:sz w:val="21"/>
        </w:rPr>
        <w:t> </w:t>
      </w:r>
      <w:r>
        <w:rPr>
          <w:color w:val="231F20"/>
          <w:sz w:val="21"/>
        </w:rPr>
        <w:t>y</w:t>
      </w:r>
      <w:r>
        <w:rPr>
          <w:color w:val="231F20"/>
          <w:spacing w:val="-11"/>
          <w:sz w:val="21"/>
        </w:rPr>
        <w:t> </w:t>
      </w:r>
      <w:r>
        <w:rPr>
          <w:color w:val="231F20"/>
          <w:sz w:val="21"/>
        </w:rPr>
        <w:t>de</w:t>
      </w:r>
      <w:r>
        <w:rPr>
          <w:color w:val="231F20"/>
          <w:spacing w:val="-11"/>
          <w:sz w:val="21"/>
        </w:rPr>
        <w:t> </w:t>
      </w:r>
      <w:r>
        <w:rPr>
          <w:color w:val="231F20"/>
          <w:sz w:val="21"/>
        </w:rPr>
        <w:t>interrupción</w:t>
      </w:r>
      <w:r>
        <w:rPr>
          <w:color w:val="231F20"/>
          <w:spacing w:val="-11"/>
          <w:sz w:val="21"/>
        </w:rPr>
        <w:t> </w:t>
      </w:r>
      <w:r>
        <w:rPr>
          <w:color w:val="231F20"/>
          <w:sz w:val="21"/>
        </w:rPr>
        <w:t>en</w:t>
      </w:r>
      <w:r>
        <w:rPr>
          <w:color w:val="231F20"/>
          <w:spacing w:val="-11"/>
          <w:sz w:val="21"/>
        </w:rPr>
        <w:t> </w:t>
      </w:r>
      <w:r>
        <w:rPr>
          <w:color w:val="231F20"/>
          <w:sz w:val="21"/>
        </w:rPr>
        <w:t>la</w:t>
      </w:r>
      <w:r>
        <w:rPr>
          <w:color w:val="231F20"/>
          <w:spacing w:val="-11"/>
          <w:sz w:val="21"/>
        </w:rPr>
        <w:t> </w:t>
      </w:r>
      <w:r>
        <w:rPr>
          <w:color w:val="231F20"/>
          <w:sz w:val="21"/>
        </w:rPr>
        <w:t>capacidad</w:t>
      </w:r>
      <w:r>
        <w:rPr>
          <w:color w:val="231F20"/>
          <w:spacing w:val="-11"/>
          <w:sz w:val="21"/>
        </w:rPr>
        <w:t> </w:t>
      </w:r>
      <w:r>
        <w:rPr>
          <w:color w:val="231F20"/>
          <w:sz w:val="21"/>
        </w:rPr>
        <w:t>instalada,</w:t>
      </w:r>
      <w:r>
        <w:rPr>
          <w:color w:val="231F20"/>
          <w:spacing w:val="-11"/>
          <w:sz w:val="21"/>
        </w:rPr>
        <w:t> </w:t>
      </w:r>
      <w:r>
        <w:rPr>
          <w:color w:val="231F20"/>
          <w:sz w:val="21"/>
        </w:rPr>
        <w:t>además de disminuir de manera considerable el porcentaje de unidades defectuosas y de reducir los costos de</w:t>
      </w:r>
      <w:r>
        <w:rPr>
          <w:color w:val="231F20"/>
          <w:spacing w:val="-15"/>
          <w:sz w:val="21"/>
        </w:rPr>
        <w:t> </w:t>
      </w:r>
      <w:r>
        <w:rPr>
          <w:color w:val="231F20"/>
          <w:sz w:val="21"/>
        </w:rPr>
        <w:t>operación.</w:t>
      </w:r>
    </w:p>
    <w:p>
      <w:pPr>
        <w:pStyle w:val="ListParagraph"/>
        <w:numPr>
          <w:ilvl w:val="1"/>
          <w:numId w:val="13"/>
        </w:numPr>
        <w:tabs>
          <w:tab w:pos="1051" w:val="left" w:leader="none"/>
        </w:tabs>
        <w:spacing w:line="271" w:lineRule="auto" w:before="114" w:after="0"/>
        <w:ind w:left="1050" w:right="101" w:hanging="275"/>
        <w:jc w:val="both"/>
        <w:rPr>
          <w:sz w:val="21"/>
        </w:rPr>
      </w:pPr>
      <w:r>
        <w:rPr>
          <w:color w:val="231F20"/>
          <w:sz w:val="21"/>
        </w:rPr>
        <w:t>Concepción integral del proceso de fabricación: busca el esfuerzo colectivo con- junto</w:t>
      </w:r>
      <w:r>
        <w:rPr>
          <w:color w:val="231F20"/>
          <w:spacing w:val="-5"/>
          <w:sz w:val="21"/>
        </w:rPr>
        <w:t> </w:t>
      </w:r>
      <w:r>
        <w:rPr>
          <w:color w:val="231F20"/>
          <w:sz w:val="21"/>
        </w:rPr>
        <w:t>para</w:t>
      </w:r>
      <w:r>
        <w:rPr>
          <w:color w:val="231F20"/>
          <w:spacing w:val="-5"/>
          <w:sz w:val="21"/>
        </w:rPr>
        <w:t> </w:t>
      </w:r>
      <w:r>
        <w:rPr>
          <w:color w:val="231F20"/>
          <w:sz w:val="21"/>
        </w:rPr>
        <w:t>generar</w:t>
      </w:r>
      <w:r>
        <w:rPr>
          <w:color w:val="231F20"/>
          <w:spacing w:val="-5"/>
          <w:sz w:val="21"/>
        </w:rPr>
        <w:t> </w:t>
      </w:r>
      <w:r>
        <w:rPr>
          <w:color w:val="231F20"/>
          <w:sz w:val="21"/>
        </w:rPr>
        <w:t>valor</w:t>
      </w:r>
      <w:r>
        <w:rPr>
          <w:color w:val="231F20"/>
          <w:spacing w:val="-5"/>
          <w:sz w:val="21"/>
        </w:rPr>
        <w:t> </w:t>
      </w:r>
      <w:r>
        <w:rPr>
          <w:color w:val="231F20"/>
          <w:sz w:val="21"/>
        </w:rPr>
        <w:t>agregado</w:t>
      </w:r>
      <w:r>
        <w:rPr>
          <w:color w:val="231F20"/>
          <w:spacing w:val="-5"/>
          <w:sz w:val="21"/>
        </w:rPr>
        <w:t> </w:t>
      </w:r>
      <w:r>
        <w:rPr>
          <w:color w:val="231F20"/>
          <w:sz w:val="21"/>
        </w:rPr>
        <w:t>a</w:t>
      </w:r>
      <w:r>
        <w:rPr>
          <w:color w:val="231F20"/>
          <w:spacing w:val="-5"/>
          <w:sz w:val="21"/>
        </w:rPr>
        <w:t> </w:t>
      </w:r>
      <w:r>
        <w:rPr>
          <w:color w:val="231F20"/>
          <w:sz w:val="21"/>
        </w:rPr>
        <w:t>lo</w:t>
      </w:r>
      <w:r>
        <w:rPr>
          <w:color w:val="231F20"/>
          <w:spacing w:val="-5"/>
          <w:sz w:val="21"/>
        </w:rPr>
        <w:t> </w:t>
      </w:r>
      <w:r>
        <w:rPr>
          <w:color w:val="231F20"/>
          <w:sz w:val="21"/>
        </w:rPr>
        <w:t>largo</w:t>
      </w:r>
      <w:r>
        <w:rPr>
          <w:color w:val="231F20"/>
          <w:spacing w:val="-5"/>
          <w:sz w:val="21"/>
        </w:rPr>
        <w:t> </w:t>
      </w:r>
      <w:r>
        <w:rPr>
          <w:color w:val="231F20"/>
          <w:sz w:val="21"/>
        </w:rPr>
        <w:t>de</w:t>
      </w:r>
      <w:r>
        <w:rPr>
          <w:color w:val="231F20"/>
          <w:spacing w:val="-5"/>
          <w:sz w:val="21"/>
        </w:rPr>
        <w:t> </w:t>
      </w:r>
      <w:r>
        <w:rPr>
          <w:color w:val="231F20"/>
          <w:sz w:val="21"/>
        </w:rPr>
        <w:t>toda</w:t>
      </w:r>
      <w:r>
        <w:rPr>
          <w:color w:val="231F20"/>
          <w:spacing w:val="-5"/>
          <w:sz w:val="21"/>
        </w:rPr>
        <w:t> </w:t>
      </w:r>
      <w:r>
        <w:rPr>
          <w:color w:val="231F20"/>
          <w:sz w:val="21"/>
        </w:rPr>
        <w:t>la</w:t>
      </w:r>
      <w:r>
        <w:rPr>
          <w:color w:val="231F20"/>
          <w:spacing w:val="-5"/>
          <w:sz w:val="21"/>
        </w:rPr>
        <w:t> </w:t>
      </w:r>
      <w:r>
        <w:rPr>
          <w:color w:val="231F20"/>
          <w:sz w:val="21"/>
        </w:rPr>
        <w:t>cadena,</w:t>
      </w:r>
      <w:r>
        <w:rPr>
          <w:color w:val="231F20"/>
          <w:spacing w:val="-5"/>
          <w:sz w:val="21"/>
        </w:rPr>
        <w:t> </w:t>
      </w:r>
      <w:r>
        <w:rPr>
          <w:color w:val="231F20"/>
          <w:sz w:val="21"/>
        </w:rPr>
        <w:t>industria</w:t>
      </w:r>
      <w:r>
        <w:rPr>
          <w:color w:val="231F20"/>
          <w:spacing w:val="-5"/>
          <w:sz w:val="21"/>
        </w:rPr>
        <w:t> </w:t>
      </w:r>
      <w:r>
        <w:rPr>
          <w:color w:val="231F20"/>
          <w:sz w:val="21"/>
        </w:rPr>
        <w:t>terminal, empleados, proveedores y distribuidores. Implica una comunicación mejor y</w:t>
      </w:r>
      <w:r>
        <w:rPr>
          <w:color w:val="231F20"/>
          <w:spacing w:val="-27"/>
          <w:sz w:val="21"/>
        </w:rPr>
        <w:t> </w:t>
      </w:r>
      <w:r>
        <w:rPr>
          <w:color w:val="231F20"/>
          <w:sz w:val="21"/>
        </w:rPr>
        <w:t>más fluida entre todos los participantes para detectar y eliminar las posibles fuentes de ineficiencia en toda la fase de producción. Esta característica además ha per- mitido el impulso del desarrollo de proveedores y de la subcontratación externa (</w:t>
      </w:r>
      <w:r>
        <w:rPr>
          <w:rFonts w:ascii="Palatino Linotype" w:hAnsi="Palatino Linotype"/>
          <w:i/>
          <w:color w:val="231F20"/>
          <w:sz w:val="21"/>
        </w:rPr>
        <w:t>outsourcing</w:t>
      </w:r>
      <w:r>
        <w:rPr>
          <w:color w:val="231F20"/>
          <w:sz w:val="21"/>
        </w:rPr>
        <w:t>),</w:t>
      </w:r>
      <w:r>
        <w:rPr>
          <w:color w:val="231F20"/>
          <w:position w:val="7"/>
          <w:sz w:val="12"/>
        </w:rPr>
        <w:t>1</w:t>
      </w:r>
      <w:r>
        <w:rPr>
          <w:color w:val="231F20"/>
          <w:spacing w:val="7"/>
          <w:position w:val="7"/>
          <w:sz w:val="12"/>
        </w:rPr>
        <w:t> </w:t>
      </w:r>
      <w:r>
        <w:rPr>
          <w:color w:val="231F20"/>
          <w:sz w:val="21"/>
        </w:rPr>
        <w:t>así</w:t>
      </w:r>
      <w:r>
        <w:rPr>
          <w:color w:val="231F20"/>
          <w:spacing w:val="-15"/>
          <w:sz w:val="21"/>
        </w:rPr>
        <w:t> </w:t>
      </w:r>
      <w:r>
        <w:rPr>
          <w:color w:val="231F20"/>
          <w:sz w:val="21"/>
        </w:rPr>
        <w:t>como</w:t>
      </w:r>
      <w:r>
        <w:rPr>
          <w:color w:val="231F20"/>
          <w:spacing w:val="-15"/>
          <w:sz w:val="21"/>
        </w:rPr>
        <w:t> </w:t>
      </w:r>
      <w:r>
        <w:rPr>
          <w:color w:val="231F20"/>
          <w:sz w:val="21"/>
        </w:rPr>
        <w:t>la</w:t>
      </w:r>
      <w:r>
        <w:rPr>
          <w:color w:val="231F20"/>
          <w:spacing w:val="-15"/>
          <w:sz w:val="21"/>
        </w:rPr>
        <w:t> </w:t>
      </w:r>
      <w:r>
        <w:rPr>
          <w:color w:val="231F20"/>
          <w:sz w:val="21"/>
        </w:rPr>
        <w:t>introducción</w:t>
      </w:r>
      <w:r>
        <w:rPr>
          <w:color w:val="231F20"/>
          <w:spacing w:val="-15"/>
          <w:sz w:val="21"/>
        </w:rPr>
        <w:t> </w:t>
      </w:r>
      <w:r>
        <w:rPr>
          <w:color w:val="231F20"/>
          <w:sz w:val="21"/>
        </w:rPr>
        <w:t>de</w:t>
      </w:r>
      <w:r>
        <w:rPr>
          <w:color w:val="231F20"/>
          <w:spacing w:val="-15"/>
          <w:sz w:val="21"/>
        </w:rPr>
        <w:t> </w:t>
      </w:r>
      <w:r>
        <w:rPr>
          <w:color w:val="231F20"/>
          <w:sz w:val="21"/>
        </w:rPr>
        <w:t>nuevas</w:t>
      </w:r>
      <w:r>
        <w:rPr>
          <w:color w:val="231F20"/>
          <w:spacing w:val="-15"/>
          <w:sz w:val="21"/>
        </w:rPr>
        <w:t> </w:t>
      </w:r>
      <w:r>
        <w:rPr>
          <w:color w:val="231F20"/>
          <w:sz w:val="21"/>
        </w:rPr>
        <w:t>técnicas</w:t>
      </w:r>
      <w:r>
        <w:rPr>
          <w:color w:val="231F20"/>
          <w:spacing w:val="-15"/>
          <w:sz w:val="21"/>
        </w:rPr>
        <w:t> </w:t>
      </w:r>
      <w:r>
        <w:rPr>
          <w:color w:val="231F20"/>
          <w:sz w:val="21"/>
        </w:rPr>
        <w:t>de</w:t>
      </w:r>
      <w:r>
        <w:rPr>
          <w:color w:val="231F20"/>
          <w:spacing w:val="-15"/>
          <w:sz w:val="21"/>
        </w:rPr>
        <w:t> </w:t>
      </w:r>
      <w:r>
        <w:rPr>
          <w:color w:val="231F20"/>
          <w:sz w:val="21"/>
        </w:rPr>
        <w:t>inventario,</w:t>
      </w:r>
      <w:r>
        <w:rPr>
          <w:color w:val="231F20"/>
          <w:spacing w:val="-15"/>
          <w:sz w:val="21"/>
        </w:rPr>
        <w:t> </w:t>
      </w:r>
      <w:r>
        <w:rPr>
          <w:color w:val="231F20"/>
          <w:sz w:val="21"/>
        </w:rPr>
        <w:t>pues</w:t>
      </w:r>
      <w:r>
        <w:rPr>
          <w:color w:val="231F20"/>
          <w:spacing w:val="-15"/>
          <w:sz w:val="21"/>
        </w:rPr>
        <w:t> </w:t>
      </w:r>
      <w:r>
        <w:rPr>
          <w:color w:val="231F20"/>
          <w:sz w:val="21"/>
        </w:rPr>
        <w:t>los proveedores</w:t>
      </w:r>
      <w:r>
        <w:rPr>
          <w:color w:val="231F20"/>
          <w:spacing w:val="-4"/>
          <w:sz w:val="21"/>
        </w:rPr>
        <w:t> </w:t>
      </w:r>
      <w:r>
        <w:rPr>
          <w:color w:val="231F20"/>
          <w:sz w:val="21"/>
        </w:rPr>
        <w:t>acuerdan</w:t>
      </w:r>
      <w:r>
        <w:rPr>
          <w:color w:val="231F20"/>
          <w:spacing w:val="-4"/>
          <w:sz w:val="21"/>
        </w:rPr>
        <w:t> </w:t>
      </w:r>
      <w:r>
        <w:rPr>
          <w:color w:val="231F20"/>
          <w:sz w:val="21"/>
        </w:rPr>
        <w:t>el</w:t>
      </w:r>
      <w:r>
        <w:rPr>
          <w:color w:val="231F20"/>
          <w:spacing w:val="-4"/>
          <w:sz w:val="21"/>
        </w:rPr>
        <w:t> </w:t>
      </w:r>
      <w:r>
        <w:rPr>
          <w:color w:val="231F20"/>
          <w:sz w:val="21"/>
        </w:rPr>
        <w:t>suministro</w:t>
      </w:r>
      <w:r>
        <w:rPr>
          <w:color w:val="231F20"/>
          <w:spacing w:val="-4"/>
          <w:sz w:val="21"/>
        </w:rPr>
        <w:t> </w:t>
      </w:r>
      <w:r>
        <w:rPr>
          <w:color w:val="231F20"/>
          <w:sz w:val="21"/>
        </w:rPr>
        <w:t>de</w:t>
      </w:r>
      <w:r>
        <w:rPr>
          <w:color w:val="231F20"/>
          <w:spacing w:val="-4"/>
          <w:sz w:val="21"/>
        </w:rPr>
        <w:t> </w:t>
      </w:r>
      <w:r>
        <w:rPr>
          <w:color w:val="231F20"/>
          <w:sz w:val="21"/>
        </w:rPr>
        <w:t>insumos</w:t>
      </w:r>
      <w:r>
        <w:rPr>
          <w:color w:val="231F20"/>
          <w:spacing w:val="-4"/>
          <w:sz w:val="21"/>
        </w:rPr>
        <w:t> </w:t>
      </w:r>
      <w:r>
        <w:rPr>
          <w:color w:val="231F20"/>
          <w:sz w:val="21"/>
        </w:rPr>
        <w:t>y</w:t>
      </w:r>
      <w:r>
        <w:rPr>
          <w:color w:val="231F20"/>
          <w:spacing w:val="-4"/>
          <w:sz w:val="21"/>
        </w:rPr>
        <w:t> </w:t>
      </w:r>
      <w:r>
        <w:rPr>
          <w:color w:val="231F20"/>
          <w:sz w:val="21"/>
        </w:rPr>
        <w:t>materias</w:t>
      </w:r>
      <w:r>
        <w:rPr>
          <w:color w:val="231F20"/>
          <w:spacing w:val="-4"/>
          <w:sz w:val="21"/>
        </w:rPr>
        <w:t> </w:t>
      </w:r>
      <w:r>
        <w:rPr>
          <w:color w:val="231F20"/>
          <w:sz w:val="21"/>
        </w:rPr>
        <w:t>primas</w:t>
      </w:r>
      <w:r>
        <w:rPr>
          <w:color w:val="231F20"/>
          <w:spacing w:val="-4"/>
          <w:sz w:val="21"/>
        </w:rPr>
        <w:t> </w:t>
      </w:r>
      <w:r>
        <w:rPr>
          <w:color w:val="231F20"/>
          <w:sz w:val="21"/>
        </w:rPr>
        <w:t>en</w:t>
      </w:r>
      <w:r>
        <w:rPr>
          <w:color w:val="231F20"/>
          <w:spacing w:val="-4"/>
          <w:sz w:val="21"/>
        </w:rPr>
        <w:t> </w:t>
      </w:r>
      <w:r>
        <w:rPr>
          <w:color w:val="231F20"/>
          <w:sz w:val="21"/>
        </w:rPr>
        <w:t>los</w:t>
      </w:r>
      <w:r>
        <w:rPr>
          <w:color w:val="231F20"/>
          <w:spacing w:val="-4"/>
          <w:sz w:val="21"/>
        </w:rPr>
        <w:t> </w:t>
      </w:r>
      <w:r>
        <w:rPr>
          <w:color w:val="231F20"/>
          <w:sz w:val="21"/>
        </w:rPr>
        <w:t>momen-</w:t>
      </w:r>
    </w:p>
    <w:p>
      <w:pPr>
        <w:pStyle w:val="BodyText"/>
        <w:rPr>
          <w:sz w:val="20"/>
        </w:rPr>
      </w:pPr>
    </w:p>
    <w:p>
      <w:pPr>
        <w:pStyle w:val="BodyText"/>
        <w:spacing w:before="6"/>
        <w:rPr>
          <w:sz w:val="13"/>
        </w:rPr>
      </w:pPr>
      <w:r>
        <w:rPr/>
        <w:pict>
          <v:line style="position:absolute;mso-position-horizontal-relative:page;mso-position-vertical-relative:paragraph;z-index:5632;mso-wrap-distance-left:0;mso-wrap-distance-right:0" from="56.692902pt,9.9779pt" to="198.424902pt,9.9779pt" stroked="true" strokeweight=".5pt" strokecolor="#231f20">
            <w10:wrap type="topAndBottom"/>
          </v:line>
        </w:pict>
      </w:r>
    </w:p>
    <w:p>
      <w:pPr>
        <w:spacing w:line="278" w:lineRule="auto" w:before="25"/>
        <w:ind w:left="823" w:right="98" w:hanging="171"/>
        <w:jc w:val="both"/>
        <w:rPr>
          <w:sz w:val="16"/>
        </w:rPr>
      </w:pPr>
      <w:r>
        <w:rPr>
          <w:color w:val="231F20"/>
          <w:position w:val="5"/>
          <w:sz w:val="9"/>
        </w:rPr>
        <w:t>1     </w:t>
      </w:r>
      <w:r>
        <w:rPr>
          <w:color w:val="231F20"/>
          <w:sz w:val="16"/>
        </w:rPr>
        <w:t>El </w:t>
      </w:r>
      <w:r>
        <w:rPr>
          <w:rFonts w:ascii="Palatino Linotype" w:hAnsi="Palatino Linotype"/>
          <w:i/>
          <w:color w:val="231F20"/>
          <w:sz w:val="16"/>
        </w:rPr>
        <w:t>outsourcing </w:t>
      </w:r>
      <w:r>
        <w:rPr>
          <w:color w:val="231F20"/>
          <w:sz w:val="16"/>
        </w:rPr>
        <w:t>se ha convertido en una práctica frecuente dentro de la cadena automotriz-autopartes, tanto   en la proveeduría de partes como en el interior de las plantas ensambladoras. Esta forma de trabajo se intensifica en la </w:t>
      </w:r>
      <w:r>
        <w:rPr>
          <w:color w:val="231F20"/>
          <w:spacing w:val="2"/>
          <w:sz w:val="16"/>
        </w:rPr>
        <w:t>década </w:t>
      </w:r>
      <w:r>
        <w:rPr>
          <w:color w:val="231F20"/>
          <w:sz w:val="16"/>
        </w:rPr>
        <w:t>de los noventa por parte de las empresas norteamericanas, como medida para competir con las japonesas y las coreanas, que incrementaron de manera considerable su presencia en el mercado mundial después de la adopción de los sistemas de producción de Toyota. </w:t>
      </w:r>
      <w:r>
        <w:rPr>
          <w:color w:val="231F20"/>
          <w:spacing w:val="2"/>
          <w:sz w:val="16"/>
        </w:rPr>
        <w:t>Las </w:t>
      </w:r>
      <w:r>
        <w:rPr>
          <w:color w:val="231F20"/>
          <w:sz w:val="16"/>
        </w:rPr>
        <w:t>norteamericanas        y las europeas  aumentaron  la  subcontratación  externa  (</w:t>
      </w:r>
      <w:r>
        <w:rPr>
          <w:rFonts w:ascii="Palatino Linotype" w:hAnsi="Palatino Linotype"/>
          <w:i/>
          <w:color w:val="231F20"/>
          <w:sz w:val="16"/>
        </w:rPr>
        <w:t>outsourcing</w:t>
      </w:r>
      <w:r>
        <w:rPr>
          <w:color w:val="231F20"/>
          <w:sz w:val="16"/>
        </w:rPr>
        <w:t>)  sobre  todo  a  </w:t>
      </w:r>
      <w:r>
        <w:rPr>
          <w:color w:val="231F20"/>
          <w:spacing w:val="2"/>
          <w:sz w:val="16"/>
        </w:rPr>
        <w:t>partir </w:t>
      </w:r>
      <w:r>
        <w:rPr>
          <w:color w:val="231F20"/>
          <w:sz w:val="16"/>
        </w:rPr>
        <w:t>de  la  creación de redes de producción modular y del empleo de plataformas comunes que permiten el </w:t>
      </w:r>
      <w:r>
        <w:rPr>
          <w:color w:val="231F20"/>
          <w:spacing w:val="2"/>
          <w:sz w:val="16"/>
        </w:rPr>
        <w:t>uso </w:t>
      </w:r>
      <w:r>
        <w:rPr>
          <w:color w:val="231F20"/>
          <w:sz w:val="16"/>
        </w:rPr>
        <w:t>de piezas y   partes en múltiples ensambles, con lo que, por una parte, se hace más rentable el </w:t>
      </w:r>
      <w:r>
        <w:rPr>
          <w:color w:val="231F20"/>
          <w:spacing w:val="2"/>
          <w:sz w:val="16"/>
        </w:rPr>
        <w:t>diseño </w:t>
      </w:r>
      <w:r>
        <w:rPr>
          <w:color w:val="231F20"/>
          <w:sz w:val="16"/>
        </w:rPr>
        <w:t>y la manufactura      de vehículos </w:t>
      </w:r>
      <w:r>
        <w:rPr>
          <w:color w:val="231F20"/>
          <w:spacing w:val="-5"/>
          <w:sz w:val="16"/>
        </w:rPr>
        <w:t>y, </w:t>
      </w:r>
      <w:r>
        <w:rPr>
          <w:color w:val="231F20"/>
          <w:sz w:val="16"/>
        </w:rPr>
        <w:t>por otra, se busca satisfacer las diferencias en los gustos y las necesidades de los diferentes mercados (CEPAL,</w:t>
      </w:r>
      <w:r>
        <w:rPr>
          <w:color w:val="231F20"/>
          <w:spacing w:val="-17"/>
          <w:sz w:val="16"/>
        </w:rPr>
        <w:t> </w:t>
      </w:r>
      <w:r>
        <w:rPr>
          <w:color w:val="231F20"/>
          <w:spacing w:val="2"/>
          <w:sz w:val="16"/>
        </w:rPr>
        <w:t>2009).</w:t>
      </w:r>
    </w:p>
    <w:p>
      <w:pPr>
        <w:spacing w:after="0" w:line="278" w:lineRule="auto"/>
        <w:jc w:val="both"/>
        <w:rPr>
          <w:sz w:val="16"/>
        </w:rPr>
        <w:sectPr>
          <w:footerReference w:type="even" r:id="rId39"/>
          <w:footerReference w:type="default" r:id="rId40"/>
          <w:pgSz w:w="9640" w:h="13040"/>
          <w:pgMar w:footer="654" w:header="581" w:top="780" w:bottom="840" w:left="480" w:right="1200"/>
        </w:sectPr>
      </w:pPr>
    </w:p>
    <w:p>
      <w:pPr>
        <w:pStyle w:val="BodyText"/>
        <w:rPr>
          <w:sz w:val="20"/>
        </w:rPr>
      </w:pPr>
    </w:p>
    <w:p>
      <w:pPr>
        <w:pStyle w:val="BodyText"/>
        <w:spacing w:before="10"/>
        <w:rPr>
          <w:sz w:val="17"/>
        </w:rPr>
      </w:pPr>
    </w:p>
    <w:p>
      <w:pPr>
        <w:pStyle w:val="BodyText"/>
        <w:spacing w:line="278" w:lineRule="auto"/>
        <w:ind w:left="520" w:right="646"/>
      </w:pPr>
      <w:r>
        <w:rPr>
          <w:color w:val="231F20"/>
        </w:rPr>
        <w:t>tos precisos y con las proporciones exactas que se requieren en las distintas fases de producción (“justo a tiempo”).</w:t>
      </w:r>
    </w:p>
    <w:p>
      <w:pPr>
        <w:pStyle w:val="BodyText"/>
        <w:spacing w:line="278" w:lineRule="auto" w:before="114"/>
        <w:ind w:left="123" w:right="650"/>
        <w:jc w:val="both"/>
      </w:pPr>
      <w:r>
        <w:rPr>
          <w:color w:val="231F20"/>
        </w:rPr>
        <w:t>De acuerdo con la </w:t>
      </w:r>
      <w:r>
        <w:rPr>
          <w:color w:val="231F20"/>
          <w:spacing w:val="-4"/>
        </w:rPr>
        <w:t>CEPAL </w:t>
      </w:r>
      <w:r>
        <w:rPr>
          <w:color w:val="231F20"/>
        </w:rPr>
        <w:t>(2003), el sistema de producción de </w:t>
      </w:r>
      <w:r>
        <w:rPr>
          <w:color w:val="231F20"/>
          <w:spacing w:val="-5"/>
        </w:rPr>
        <w:t>Toyota </w:t>
      </w:r>
      <w:r>
        <w:rPr>
          <w:color w:val="231F20"/>
        </w:rPr>
        <w:t>representa la práctica óptima respecto a la calidad de los automóviles. Con él se dan las mejores relaciones</w:t>
      </w:r>
      <w:r>
        <w:rPr>
          <w:color w:val="231F20"/>
          <w:spacing w:val="-7"/>
        </w:rPr>
        <w:t> </w:t>
      </w:r>
      <w:r>
        <w:rPr>
          <w:color w:val="231F20"/>
        </w:rPr>
        <w:t>a</w:t>
      </w:r>
      <w:r>
        <w:rPr>
          <w:color w:val="231F20"/>
          <w:spacing w:val="-7"/>
        </w:rPr>
        <w:t> </w:t>
      </w:r>
      <w:r>
        <w:rPr>
          <w:color w:val="231F20"/>
        </w:rPr>
        <w:t>largo</w:t>
      </w:r>
      <w:r>
        <w:rPr>
          <w:color w:val="231F20"/>
          <w:spacing w:val="-7"/>
        </w:rPr>
        <w:t> </w:t>
      </w:r>
      <w:r>
        <w:rPr>
          <w:color w:val="231F20"/>
        </w:rPr>
        <w:t>plazo</w:t>
      </w:r>
      <w:r>
        <w:rPr>
          <w:color w:val="231F20"/>
          <w:spacing w:val="-7"/>
        </w:rPr>
        <w:t> </w:t>
      </w:r>
      <w:r>
        <w:rPr>
          <w:color w:val="231F20"/>
        </w:rPr>
        <w:t>entre</w:t>
      </w:r>
      <w:r>
        <w:rPr>
          <w:color w:val="231F20"/>
          <w:spacing w:val="-7"/>
        </w:rPr>
        <w:t> </w:t>
      </w:r>
      <w:r>
        <w:rPr>
          <w:color w:val="231F20"/>
        </w:rPr>
        <w:t>productores,</w:t>
      </w:r>
      <w:r>
        <w:rPr>
          <w:color w:val="231F20"/>
          <w:spacing w:val="-7"/>
        </w:rPr>
        <w:t> </w:t>
      </w:r>
      <w:r>
        <w:rPr>
          <w:color w:val="231F20"/>
        </w:rPr>
        <w:t>proveedores</w:t>
      </w:r>
      <w:r>
        <w:rPr>
          <w:color w:val="231F20"/>
          <w:spacing w:val="-7"/>
        </w:rPr>
        <w:t> </w:t>
      </w:r>
      <w:r>
        <w:rPr>
          <w:color w:val="231F20"/>
        </w:rPr>
        <w:t>y</w:t>
      </w:r>
      <w:r>
        <w:rPr>
          <w:color w:val="231F20"/>
          <w:spacing w:val="-7"/>
        </w:rPr>
        <w:t> </w:t>
      </w:r>
      <w:r>
        <w:rPr>
          <w:color w:val="231F20"/>
        </w:rPr>
        <w:t>distribuidores,</w:t>
      </w:r>
      <w:r>
        <w:rPr>
          <w:color w:val="231F20"/>
          <w:spacing w:val="-7"/>
        </w:rPr>
        <w:t> </w:t>
      </w:r>
      <w:r>
        <w:rPr>
          <w:color w:val="231F20"/>
        </w:rPr>
        <w:t>y</w:t>
      </w:r>
      <w:r>
        <w:rPr>
          <w:color w:val="231F20"/>
          <w:spacing w:val="-7"/>
        </w:rPr>
        <w:t> </w:t>
      </w:r>
      <w:r>
        <w:rPr>
          <w:color w:val="231F20"/>
        </w:rPr>
        <w:t>una</w:t>
      </w:r>
      <w:r>
        <w:rPr>
          <w:color w:val="231F20"/>
          <w:spacing w:val="-7"/>
        </w:rPr>
        <w:t> </w:t>
      </w:r>
      <w:r>
        <w:rPr>
          <w:color w:val="231F20"/>
        </w:rPr>
        <w:t>enorme baja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costos</w:t>
      </w:r>
      <w:r>
        <w:rPr>
          <w:color w:val="231F20"/>
          <w:spacing w:val="-4"/>
        </w:rPr>
        <w:t> </w:t>
      </w:r>
      <w:r>
        <w:rPr>
          <w:color w:val="231F20"/>
        </w:rPr>
        <w:t>de</w:t>
      </w:r>
      <w:r>
        <w:rPr>
          <w:color w:val="231F20"/>
          <w:spacing w:val="-4"/>
        </w:rPr>
        <w:t> </w:t>
      </w:r>
      <w:r>
        <w:rPr>
          <w:color w:val="231F20"/>
        </w:rPr>
        <w:t>transacción</w:t>
      </w:r>
      <w:r>
        <w:rPr>
          <w:color w:val="231F20"/>
          <w:spacing w:val="-4"/>
        </w:rPr>
        <w:t> </w:t>
      </w:r>
      <w:r>
        <w:rPr>
          <w:color w:val="231F20"/>
        </w:rPr>
        <w:t>inherentes</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relaciones</w:t>
      </w:r>
      <w:r>
        <w:rPr>
          <w:color w:val="231F20"/>
          <w:spacing w:val="-4"/>
        </w:rPr>
        <w:t> </w:t>
      </w:r>
      <w:r>
        <w:rPr>
          <w:color w:val="231F20"/>
        </w:rPr>
        <w:t>comerciales</w:t>
      </w:r>
      <w:r>
        <w:rPr>
          <w:color w:val="231F20"/>
          <w:spacing w:val="-4"/>
        </w:rPr>
        <w:t> </w:t>
      </w:r>
      <w:r>
        <w:rPr>
          <w:color w:val="231F20"/>
        </w:rPr>
        <w:t>a</w:t>
      </w:r>
      <w:r>
        <w:rPr>
          <w:color w:val="231F20"/>
          <w:spacing w:val="-4"/>
        </w:rPr>
        <w:t> </w:t>
      </w:r>
      <w:r>
        <w:rPr>
          <w:color w:val="231F20"/>
        </w:rPr>
        <w:t>corto</w:t>
      </w:r>
      <w:r>
        <w:rPr>
          <w:color w:val="231F20"/>
          <w:spacing w:val="-4"/>
        </w:rPr>
        <w:t> </w:t>
      </w:r>
      <w:r>
        <w:rPr>
          <w:color w:val="231F20"/>
        </w:rPr>
        <w:t>plazo. Estas alianzas incluyen, entre otros mecanismos, programas de compra de varios</w:t>
      </w:r>
      <w:r>
        <w:rPr>
          <w:color w:val="231F20"/>
          <w:spacing w:val="-26"/>
        </w:rPr>
        <w:t> </w:t>
      </w:r>
      <w:r>
        <w:rPr>
          <w:color w:val="231F20"/>
        </w:rPr>
        <w:t>años de</w:t>
      </w:r>
      <w:r>
        <w:rPr>
          <w:color w:val="231F20"/>
          <w:spacing w:val="-8"/>
        </w:rPr>
        <w:t> </w:t>
      </w:r>
      <w:r>
        <w:rPr>
          <w:color w:val="231F20"/>
        </w:rPr>
        <w:t>duración</w:t>
      </w:r>
      <w:r>
        <w:rPr>
          <w:color w:val="231F20"/>
          <w:spacing w:val="-8"/>
        </w:rPr>
        <w:t> </w:t>
      </w:r>
      <w:r>
        <w:rPr>
          <w:color w:val="231F20"/>
        </w:rPr>
        <w:t>y</w:t>
      </w:r>
      <w:r>
        <w:rPr>
          <w:color w:val="231F20"/>
          <w:spacing w:val="-8"/>
        </w:rPr>
        <w:t> </w:t>
      </w:r>
      <w:r>
        <w:rPr>
          <w:color w:val="231F20"/>
        </w:rPr>
        <w:t>distribución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responsabilidad</w:t>
      </w:r>
      <w:r>
        <w:rPr>
          <w:color w:val="231F20"/>
          <w:spacing w:val="-8"/>
        </w:rPr>
        <w:t> </w:t>
      </w:r>
      <w:r>
        <w:rPr>
          <w:color w:val="231F20"/>
        </w:rPr>
        <w:t>del</w:t>
      </w:r>
      <w:r>
        <w:rPr>
          <w:color w:val="231F20"/>
          <w:spacing w:val="-8"/>
        </w:rPr>
        <w:t> </w:t>
      </w:r>
      <w:r>
        <w:rPr>
          <w:color w:val="231F20"/>
        </w:rPr>
        <w:t>diseño</w:t>
      </w:r>
      <w:r>
        <w:rPr>
          <w:color w:val="231F20"/>
          <w:spacing w:val="-8"/>
        </w:rPr>
        <w:t> </w:t>
      </w:r>
      <w:r>
        <w:rPr>
          <w:color w:val="231F20"/>
        </w:rPr>
        <w:t>de</w:t>
      </w:r>
      <w:r>
        <w:rPr>
          <w:color w:val="231F20"/>
          <w:spacing w:val="-8"/>
        </w:rPr>
        <w:t> </w:t>
      </w:r>
      <w:r>
        <w:rPr>
          <w:color w:val="231F20"/>
        </w:rPr>
        <w:t>piezas,</w:t>
      </w:r>
      <w:r>
        <w:rPr>
          <w:color w:val="231F20"/>
          <w:spacing w:val="-8"/>
        </w:rPr>
        <w:t> </w:t>
      </w:r>
      <w:r>
        <w:rPr>
          <w:color w:val="231F20"/>
        </w:rPr>
        <w:t>modelos</w:t>
      </w:r>
      <w:r>
        <w:rPr>
          <w:color w:val="231F20"/>
          <w:spacing w:val="-8"/>
        </w:rPr>
        <w:t> </w:t>
      </w:r>
      <w:r>
        <w:rPr>
          <w:color w:val="231F20"/>
        </w:rPr>
        <w:t>y</w:t>
      </w:r>
      <w:r>
        <w:rPr>
          <w:color w:val="231F20"/>
          <w:spacing w:val="-8"/>
        </w:rPr>
        <w:t> </w:t>
      </w:r>
      <w:r>
        <w:rPr>
          <w:color w:val="231F20"/>
        </w:rPr>
        <w:t>méto- dos</w:t>
      </w:r>
      <w:r>
        <w:rPr>
          <w:color w:val="231F20"/>
          <w:spacing w:val="-15"/>
        </w:rPr>
        <w:t> </w:t>
      </w:r>
      <w:r>
        <w:rPr>
          <w:color w:val="231F20"/>
        </w:rPr>
        <w:t>para</w:t>
      </w:r>
      <w:r>
        <w:rPr>
          <w:color w:val="231F20"/>
          <w:spacing w:val="-15"/>
        </w:rPr>
        <w:t> </w:t>
      </w:r>
      <w:r>
        <w:rPr>
          <w:color w:val="231F20"/>
        </w:rPr>
        <w:t>mejorar</w:t>
      </w:r>
      <w:r>
        <w:rPr>
          <w:color w:val="231F20"/>
          <w:spacing w:val="-15"/>
        </w:rPr>
        <w:t> </w:t>
      </w:r>
      <w:r>
        <w:rPr>
          <w:color w:val="231F20"/>
        </w:rPr>
        <w:t>la</w:t>
      </w:r>
      <w:r>
        <w:rPr>
          <w:color w:val="231F20"/>
          <w:spacing w:val="-15"/>
        </w:rPr>
        <w:t> </w:t>
      </w:r>
      <w:r>
        <w:rPr>
          <w:color w:val="231F20"/>
        </w:rPr>
        <w:t>calidad</w:t>
      </w:r>
      <w:r>
        <w:rPr>
          <w:color w:val="231F20"/>
          <w:spacing w:val="-15"/>
        </w:rPr>
        <w:t> </w:t>
      </w:r>
      <w:r>
        <w:rPr>
          <w:color w:val="231F20"/>
        </w:rPr>
        <w:t>o</w:t>
      </w:r>
      <w:r>
        <w:rPr>
          <w:color w:val="231F20"/>
          <w:spacing w:val="-15"/>
        </w:rPr>
        <w:t> </w:t>
      </w:r>
      <w:r>
        <w:rPr>
          <w:color w:val="231F20"/>
        </w:rPr>
        <w:t>reducir</w:t>
      </w:r>
      <w:r>
        <w:rPr>
          <w:color w:val="231F20"/>
          <w:spacing w:val="-15"/>
        </w:rPr>
        <w:t> </w:t>
      </w:r>
      <w:r>
        <w:rPr>
          <w:color w:val="231F20"/>
        </w:rPr>
        <w:t>el</w:t>
      </w:r>
      <w:r>
        <w:rPr>
          <w:color w:val="231F20"/>
          <w:spacing w:val="-15"/>
        </w:rPr>
        <w:t> </w:t>
      </w:r>
      <w:r>
        <w:rPr>
          <w:color w:val="231F20"/>
        </w:rPr>
        <w:t>costo.</w:t>
      </w:r>
      <w:r>
        <w:rPr>
          <w:color w:val="231F20"/>
          <w:position w:val="7"/>
          <w:sz w:val="12"/>
        </w:rPr>
        <w:t>2</w:t>
      </w:r>
      <w:r>
        <w:rPr>
          <w:color w:val="231F20"/>
          <w:spacing w:val="7"/>
          <w:position w:val="7"/>
          <w:sz w:val="12"/>
        </w:rPr>
        <w:t> </w:t>
      </w:r>
      <w:r>
        <w:rPr>
          <w:color w:val="231F20"/>
        </w:rPr>
        <w:t>Al</w:t>
      </w:r>
      <w:r>
        <w:rPr>
          <w:color w:val="231F20"/>
          <w:spacing w:val="-15"/>
        </w:rPr>
        <w:t> </w:t>
      </w:r>
      <w:r>
        <w:rPr>
          <w:color w:val="231F20"/>
        </w:rPr>
        <w:t>fomentar</w:t>
      </w:r>
      <w:r>
        <w:rPr>
          <w:color w:val="231F20"/>
          <w:spacing w:val="-15"/>
        </w:rPr>
        <w:t> </w:t>
      </w:r>
      <w:r>
        <w:rPr>
          <w:color w:val="231F20"/>
        </w:rPr>
        <w:t>las</w:t>
      </w:r>
      <w:r>
        <w:rPr>
          <w:color w:val="231F20"/>
          <w:spacing w:val="-15"/>
        </w:rPr>
        <w:t> </w:t>
      </w:r>
      <w:r>
        <w:rPr>
          <w:color w:val="231F20"/>
        </w:rPr>
        <w:t>relaciones</w:t>
      </w:r>
      <w:r>
        <w:rPr>
          <w:color w:val="231F20"/>
          <w:spacing w:val="-15"/>
        </w:rPr>
        <w:t> </w:t>
      </w:r>
      <w:r>
        <w:rPr>
          <w:color w:val="231F20"/>
        </w:rPr>
        <w:t>de</w:t>
      </w:r>
      <w:r>
        <w:rPr>
          <w:color w:val="231F20"/>
          <w:spacing w:val="-15"/>
        </w:rPr>
        <w:t> </w:t>
      </w:r>
      <w:r>
        <w:rPr>
          <w:color w:val="231F20"/>
        </w:rPr>
        <w:t>largo</w:t>
      </w:r>
      <w:r>
        <w:rPr>
          <w:color w:val="231F20"/>
          <w:spacing w:val="-15"/>
        </w:rPr>
        <w:t> </w:t>
      </w:r>
      <w:r>
        <w:rPr>
          <w:color w:val="231F20"/>
        </w:rPr>
        <w:t>plazo entre proveedores y productores de la industria terminal se ha dado mayor espacio e impulso</w:t>
      </w:r>
      <w:r>
        <w:rPr>
          <w:color w:val="231F20"/>
          <w:spacing w:val="-7"/>
        </w:rPr>
        <w:t> </w:t>
      </w:r>
      <w:r>
        <w:rPr>
          <w:color w:val="231F20"/>
        </w:rPr>
        <w:t>al</w:t>
      </w:r>
      <w:r>
        <w:rPr>
          <w:color w:val="231F20"/>
          <w:spacing w:val="-7"/>
        </w:rPr>
        <w:t> </w:t>
      </w:r>
      <w:r>
        <w:rPr>
          <w:color w:val="231F20"/>
        </w:rPr>
        <w:t>desarrollo</w:t>
      </w:r>
      <w:r>
        <w:rPr>
          <w:color w:val="231F20"/>
          <w:spacing w:val="-7"/>
        </w:rPr>
        <w:t> </w:t>
      </w:r>
      <w:r>
        <w:rPr>
          <w:color w:val="231F20"/>
        </w:rPr>
        <w:t>de</w:t>
      </w:r>
      <w:r>
        <w:rPr>
          <w:color w:val="231F20"/>
          <w:spacing w:val="-7"/>
        </w:rPr>
        <w:t> </w:t>
      </w:r>
      <w:r>
        <w:rPr>
          <w:color w:val="231F20"/>
        </w:rPr>
        <w:t>proveedores</w:t>
      </w:r>
      <w:r>
        <w:rPr>
          <w:color w:val="231F20"/>
          <w:spacing w:val="-7"/>
        </w:rPr>
        <w:t> </w:t>
      </w:r>
      <w:r>
        <w:rPr>
          <w:color w:val="231F20"/>
        </w:rPr>
        <w:t>y</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subcontratación</w:t>
      </w:r>
      <w:r>
        <w:rPr>
          <w:color w:val="231F20"/>
          <w:spacing w:val="-7"/>
        </w:rPr>
        <w:t> </w:t>
      </w:r>
      <w:r>
        <w:rPr>
          <w:color w:val="231F20"/>
        </w:rPr>
        <w:t>externa,</w:t>
      </w:r>
      <w:r>
        <w:rPr>
          <w:color w:val="231F20"/>
          <w:spacing w:val="-7"/>
        </w:rPr>
        <w:t> </w:t>
      </w:r>
      <w:r>
        <w:rPr>
          <w:color w:val="231F20"/>
        </w:rPr>
        <w:t>en</w:t>
      </w:r>
      <w:r>
        <w:rPr>
          <w:color w:val="231F20"/>
          <w:spacing w:val="-7"/>
        </w:rPr>
        <w:t> </w:t>
      </w:r>
      <w:r>
        <w:rPr>
          <w:color w:val="231F20"/>
        </w:rPr>
        <w:t>contraposición con</w:t>
      </w:r>
      <w:r>
        <w:rPr>
          <w:color w:val="231F20"/>
          <w:spacing w:val="-6"/>
        </w:rPr>
        <w:t> </w:t>
      </w:r>
      <w:r>
        <w:rPr>
          <w:color w:val="231F20"/>
        </w:rPr>
        <w:t>el</w:t>
      </w:r>
      <w:r>
        <w:rPr>
          <w:color w:val="231F20"/>
          <w:spacing w:val="-6"/>
        </w:rPr>
        <w:t> </w:t>
      </w:r>
      <w:r>
        <w:rPr>
          <w:color w:val="231F20"/>
        </w:rPr>
        <w:t>patrón</w:t>
      </w:r>
      <w:r>
        <w:rPr>
          <w:color w:val="231F20"/>
          <w:spacing w:val="-6"/>
        </w:rPr>
        <w:t> </w:t>
      </w:r>
      <w:r>
        <w:rPr>
          <w:color w:val="231F20"/>
        </w:rPr>
        <w:t>de</w:t>
      </w:r>
      <w:r>
        <w:rPr>
          <w:color w:val="231F20"/>
          <w:spacing w:val="-6"/>
        </w:rPr>
        <w:t> </w:t>
      </w:r>
      <w:r>
        <w:rPr>
          <w:color w:val="231F20"/>
        </w:rPr>
        <w:t>integración</w:t>
      </w:r>
      <w:r>
        <w:rPr>
          <w:color w:val="231F20"/>
          <w:spacing w:val="-6"/>
        </w:rPr>
        <w:t> </w:t>
      </w:r>
      <w:r>
        <w:rPr>
          <w:color w:val="231F20"/>
        </w:rPr>
        <w:t>vertical</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grandes</w:t>
      </w:r>
      <w:r>
        <w:rPr>
          <w:color w:val="231F20"/>
          <w:spacing w:val="-6"/>
        </w:rPr>
        <w:t> </w:t>
      </w:r>
      <w:r>
        <w:rPr>
          <w:color w:val="231F20"/>
        </w:rPr>
        <w:t>armadoras</w:t>
      </w:r>
      <w:r>
        <w:rPr>
          <w:color w:val="231F20"/>
          <w:spacing w:val="-6"/>
        </w:rPr>
        <w:t> </w:t>
      </w:r>
      <w:r>
        <w:rPr>
          <w:color w:val="231F20"/>
        </w:rPr>
        <w:t>de</w:t>
      </w:r>
      <w:r>
        <w:rPr>
          <w:color w:val="231F20"/>
          <w:spacing w:val="-6"/>
        </w:rPr>
        <w:t> </w:t>
      </w:r>
      <w:r>
        <w:rPr>
          <w:color w:val="231F20"/>
        </w:rPr>
        <w:t>vehículos</w:t>
      </w:r>
      <w:r>
        <w:rPr>
          <w:color w:val="231F20"/>
          <w:spacing w:val="-6"/>
        </w:rPr>
        <w:t> </w:t>
      </w:r>
      <w:r>
        <w:rPr>
          <w:color w:val="231F20"/>
        </w:rPr>
        <w:t>en</w:t>
      </w:r>
      <w:r>
        <w:rPr>
          <w:color w:val="231F20"/>
          <w:spacing w:val="-6"/>
        </w:rPr>
        <w:t> </w:t>
      </w:r>
      <w:r>
        <w:rPr>
          <w:color w:val="231F20"/>
        </w:rPr>
        <w:t>Estados Unidos. Además, se introdujeron nuevas técnicas de inventario, que se basaban en un acuerdo con los proveedores para el suministro de insumos y materias primas en los momentos precisos y con las proporciones exactas para cada fase de producción. Esta práctica de administración de inventarios se conoce como producción sincronizada con</w:t>
      </w:r>
      <w:r>
        <w:rPr>
          <w:color w:val="231F20"/>
          <w:spacing w:val="-13"/>
        </w:rPr>
        <w:t> </w:t>
      </w:r>
      <w:r>
        <w:rPr>
          <w:color w:val="231F20"/>
        </w:rPr>
        <w:t>la</w:t>
      </w:r>
      <w:r>
        <w:rPr>
          <w:color w:val="231F20"/>
          <w:spacing w:val="-13"/>
        </w:rPr>
        <w:t> </w:t>
      </w:r>
      <w:r>
        <w:rPr>
          <w:color w:val="231F20"/>
        </w:rPr>
        <w:t>demanda</w:t>
      </w:r>
      <w:r>
        <w:rPr>
          <w:color w:val="231F20"/>
          <w:spacing w:val="-13"/>
        </w:rPr>
        <w:t> </w:t>
      </w:r>
      <w:r>
        <w:rPr>
          <w:color w:val="231F20"/>
          <w:spacing w:val="-3"/>
        </w:rPr>
        <w:t>(CEPAL,</w:t>
      </w:r>
      <w:r>
        <w:rPr>
          <w:color w:val="231F20"/>
          <w:spacing w:val="-13"/>
        </w:rPr>
        <w:t> </w:t>
      </w:r>
      <w:r>
        <w:rPr>
          <w:color w:val="231F20"/>
        </w:rPr>
        <w:t>2003).</w:t>
      </w:r>
    </w:p>
    <w:p>
      <w:pPr>
        <w:pStyle w:val="BodyText"/>
        <w:spacing w:line="271" w:lineRule="auto" w:before="1"/>
        <w:ind w:left="123" w:right="651" w:firstLine="396"/>
        <w:jc w:val="both"/>
      </w:pPr>
      <w:r>
        <w:rPr>
          <w:color w:val="231F20"/>
        </w:rPr>
        <w:t>En síntesis, con la puesta en marcha de este modelo la industria automotriz japo- nesa elevó de manera extraordinaria su productividad, mejoró su calidad y consolidó su red de proveedores, convirtiéndose en uno de los competidores más importantes  en el mercado mundial, lo que obligó a las empresas estadounidenses a redefinir sus estrategias</w:t>
      </w:r>
      <w:r>
        <w:rPr>
          <w:color w:val="231F20"/>
          <w:spacing w:val="-11"/>
        </w:rPr>
        <w:t> </w:t>
      </w:r>
      <w:r>
        <w:rPr>
          <w:color w:val="231F20"/>
        </w:rPr>
        <w:t>globales</w:t>
      </w:r>
      <w:r>
        <w:rPr>
          <w:color w:val="231F20"/>
          <w:spacing w:val="-11"/>
        </w:rPr>
        <w:t> </w:t>
      </w:r>
      <w:r>
        <w:rPr>
          <w:color w:val="231F20"/>
          <w:spacing w:val="-4"/>
        </w:rPr>
        <w:t>(Womack</w:t>
      </w:r>
      <w:r>
        <w:rPr>
          <w:color w:val="231F20"/>
          <w:spacing w:val="-11"/>
        </w:rPr>
        <w:t> </w:t>
      </w:r>
      <w:r>
        <w:rPr>
          <w:rFonts w:ascii="Palatino Linotype" w:hAnsi="Palatino Linotype"/>
          <w:i/>
          <w:color w:val="231F20"/>
        </w:rPr>
        <w:t>et</w:t>
      </w:r>
      <w:r>
        <w:rPr>
          <w:rFonts w:ascii="Palatino Linotype" w:hAnsi="Palatino Linotype"/>
          <w:i/>
          <w:color w:val="231F20"/>
          <w:spacing w:val="-11"/>
        </w:rPr>
        <w:t> </w:t>
      </w:r>
      <w:r>
        <w:rPr>
          <w:rFonts w:ascii="Palatino Linotype" w:hAnsi="Palatino Linotype"/>
          <w:i/>
          <w:color w:val="231F20"/>
        </w:rPr>
        <w:t>al.</w:t>
      </w:r>
      <w:r>
        <w:rPr>
          <w:color w:val="231F20"/>
        </w:rPr>
        <w:t>,</w:t>
      </w:r>
      <w:r>
        <w:rPr>
          <w:color w:val="231F20"/>
          <w:spacing w:val="-11"/>
        </w:rPr>
        <w:t> </w:t>
      </w:r>
      <w:r>
        <w:rPr>
          <w:color w:val="231F20"/>
        </w:rPr>
        <w:t>1990;</w:t>
      </w:r>
      <w:r>
        <w:rPr>
          <w:color w:val="231F20"/>
          <w:spacing w:val="-11"/>
        </w:rPr>
        <w:t> </w:t>
      </w:r>
      <w:r>
        <w:rPr>
          <w:color w:val="231F20"/>
          <w:spacing w:val="-3"/>
        </w:rPr>
        <w:t>CEPAL,</w:t>
      </w:r>
      <w:r>
        <w:rPr>
          <w:color w:val="231F20"/>
          <w:spacing w:val="-11"/>
        </w:rPr>
        <w:t> </w:t>
      </w:r>
      <w:r>
        <w:rPr>
          <w:color w:val="231F20"/>
        </w:rPr>
        <w:t>2003).</w:t>
      </w:r>
      <w:r>
        <w:rPr>
          <w:color w:val="231F20"/>
          <w:spacing w:val="-11"/>
        </w:rPr>
        <w:t> </w:t>
      </w:r>
      <w:r>
        <w:rPr>
          <w:color w:val="231F20"/>
          <w:spacing w:val="-3"/>
        </w:rPr>
        <w:t>Japón</w:t>
      </w:r>
      <w:r>
        <w:rPr>
          <w:color w:val="231F20"/>
          <w:spacing w:val="-11"/>
        </w:rPr>
        <w:t> </w:t>
      </w:r>
      <w:r>
        <w:rPr>
          <w:color w:val="231F20"/>
        </w:rPr>
        <w:t>incrementó</w:t>
      </w:r>
      <w:r>
        <w:rPr>
          <w:color w:val="231F20"/>
          <w:spacing w:val="-11"/>
        </w:rPr>
        <w:t> </w:t>
      </w:r>
      <w:r>
        <w:rPr>
          <w:color w:val="231F20"/>
        </w:rPr>
        <w:t>su</w:t>
      </w:r>
      <w:r>
        <w:rPr>
          <w:color w:val="231F20"/>
          <w:spacing w:val="-11"/>
        </w:rPr>
        <w:t> </w:t>
      </w:r>
      <w:r>
        <w:rPr>
          <w:color w:val="231F20"/>
        </w:rPr>
        <w:t>partici- pación</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producción</w:t>
      </w:r>
      <w:r>
        <w:rPr>
          <w:color w:val="231F20"/>
          <w:spacing w:val="-13"/>
        </w:rPr>
        <w:t> </w:t>
      </w:r>
      <w:r>
        <w:rPr>
          <w:color w:val="231F20"/>
        </w:rPr>
        <w:t>mundial</w:t>
      </w:r>
      <w:r>
        <w:rPr>
          <w:color w:val="231F20"/>
          <w:spacing w:val="-13"/>
        </w:rPr>
        <w:t> </w:t>
      </w:r>
      <w:r>
        <w:rPr>
          <w:color w:val="231F20"/>
        </w:rPr>
        <w:t>de</w:t>
      </w:r>
      <w:r>
        <w:rPr>
          <w:color w:val="231F20"/>
          <w:spacing w:val="-13"/>
        </w:rPr>
        <w:t> </w:t>
      </w:r>
      <w:r>
        <w:rPr>
          <w:color w:val="231F20"/>
        </w:rPr>
        <w:t>vehículos</w:t>
      </w:r>
      <w:r>
        <w:rPr>
          <w:color w:val="231F20"/>
          <w:spacing w:val="-13"/>
        </w:rPr>
        <w:t> </w:t>
      </w:r>
      <w:r>
        <w:rPr>
          <w:color w:val="231F20"/>
        </w:rPr>
        <w:t>de</w:t>
      </w:r>
      <w:r>
        <w:rPr>
          <w:color w:val="231F20"/>
          <w:spacing w:val="-13"/>
        </w:rPr>
        <w:t> </w:t>
      </w:r>
      <w:r>
        <w:rPr>
          <w:color w:val="231F20"/>
        </w:rPr>
        <w:t>2.2%</w:t>
      </w:r>
      <w:r>
        <w:rPr>
          <w:color w:val="231F20"/>
          <w:spacing w:val="-13"/>
        </w:rPr>
        <w:t> </w:t>
      </w:r>
      <w:r>
        <w:rPr>
          <w:color w:val="231F20"/>
        </w:rPr>
        <w:t>en</w:t>
      </w:r>
      <w:r>
        <w:rPr>
          <w:color w:val="231F20"/>
          <w:spacing w:val="-13"/>
        </w:rPr>
        <w:t> </w:t>
      </w:r>
      <w:r>
        <w:rPr>
          <w:color w:val="231F20"/>
        </w:rPr>
        <w:t>1961</w:t>
      </w:r>
      <w:r>
        <w:rPr>
          <w:color w:val="231F20"/>
          <w:spacing w:val="-13"/>
        </w:rPr>
        <w:t> </w:t>
      </w:r>
      <w:r>
        <w:rPr>
          <w:color w:val="231F20"/>
        </w:rPr>
        <w:t>a</w:t>
      </w:r>
      <w:r>
        <w:rPr>
          <w:color w:val="231F20"/>
          <w:spacing w:val="-13"/>
        </w:rPr>
        <w:t> </w:t>
      </w:r>
      <w:r>
        <w:rPr>
          <w:color w:val="231F20"/>
        </w:rPr>
        <w:t>27.1%</w:t>
      </w:r>
      <w:r>
        <w:rPr>
          <w:color w:val="231F20"/>
          <w:spacing w:val="-13"/>
        </w:rPr>
        <w:t> </w:t>
      </w:r>
      <w:r>
        <w:rPr>
          <w:color w:val="231F20"/>
        </w:rPr>
        <w:t>en</w:t>
      </w:r>
      <w:r>
        <w:rPr>
          <w:color w:val="231F20"/>
          <w:spacing w:val="-13"/>
        </w:rPr>
        <w:t> </w:t>
      </w:r>
      <w:r>
        <w:rPr>
          <w:color w:val="231F20"/>
        </w:rPr>
        <w:t>1991;</w:t>
      </w:r>
      <w:r>
        <w:rPr>
          <w:color w:val="231F20"/>
          <w:spacing w:val="-13"/>
        </w:rPr>
        <w:t> </w:t>
      </w:r>
      <w:r>
        <w:rPr>
          <w:color w:val="231F20"/>
        </w:rPr>
        <w:t>desde entonces, la participación de este país ha disminuido gradualmente hasta llegar a 11% en</w:t>
      </w:r>
      <w:r>
        <w:rPr>
          <w:color w:val="231F20"/>
          <w:spacing w:val="-18"/>
        </w:rPr>
        <w:t> </w:t>
      </w:r>
      <w:r>
        <w:rPr>
          <w:color w:val="231F20"/>
        </w:rPr>
        <w:t>2013</w:t>
      </w:r>
      <w:r>
        <w:rPr>
          <w:color w:val="231F20"/>
          <w:spacing w:val="-18"/>
        </w:rPr>
        <w:t> </w:t>
      </w:r>
      <w:r>
        <w:rPr>
          <w:color w:val="231F20"/>
        </w:rPr>
        <w:t>(OICA,</w:t>
      </w:r>
      <w:r>
        <w:rPr>
          <w:color w:val="231F20"/>
          <w:spacing w:val="-18"/>
        </w:rPr>
        <w:t> </w:t>
      </w:r>
      <w:r>
        <w:rPr>
          <w:color w:val="231F20"/>
        </w:rPr>
        <w:t>2014).</w:t>
      </w:r>
    </w:p>
    <w:p>
      <w:pPr>
        <w:pStyle w:val="BodyText"/>
        <w:spacing w:line="278" w:lineRule="auto" w:before="8"/>
        <w:ind w:left="123" w:right="651" w:firstLine="396"/>
        <w:jc w:val="both"/>
      </w:pPr>
      <w:r>
        <w:rPr>
          <w:color w:val="231F20"/>
        </w:rPr>
        <w:t>En la actualidad </w:t>
      </w:r>
      <w:r>
        <w:rPr>
          <w:color w:val="231F20"/>
          <w:spacing w:val="-5"/>
        </w:rPr>
        <w:t>Toyota </w:t>
      </w:r>
      <w:r>
        <w:rPr>
          <w:color w:val="231F20"/>
        </w:rPr>
        <w:t>y Honda son consideradas en la categoría de actores glo- bales, pues mientras alrededor de la mitad de la producción de estas firmas se realiza fuera</w:t>
      </w:r>
      <w:r>
        <w:rPr>
          <w:color w:val="231F20"/>
          <w:spacing w:val="-7"/>
        </w:rPr>
        <w:t> </w:t>
      </w:r>
      <w:r>
        <w:rPr>
          <w:color w:val="231F20"/>
        </w:rPr>
        <w:t>de</w:t>
      </w:r>
      <w:r>
        <w:rPr>
          <w:color w:val="231F20"/>
          <w:spacing w:val="-7"/>
        </w:rPr>
        <w:t> </w:t>
      </w:r>
      <w:r>
        <w:rPr>
          <w:color w:val="231F20"/>
        </w:rPr>
        <w:t>su</w:t>
      </w:r>
      <w:r>
        <w:rPr>
          <w:color w:val="231F20"/>
          <w:spacing w:val="-7"/>
        </w:rPr>
        <w:t> </w:t>
      </w:r>
      <w:r>
        <w:rPr>
          <w:color w:val="231F20"/>
        </w:rPr>
        <w:t>país</w:t>
      </w:r>
      <w:r>
        <w:rPr>
          <w:color w:val="231F20"/>
          <w:spacing w:val="-7"/>
        </w:rPr>
        <w:t> </w:t>
      </w:r>
      <w:r>
        <w:rPr>
          <w:color w:val="231F20"/>
        </w:rPr>
        <w:t>de</w:t>
      </w:r>
      <w:r>
        <w:rPr>
          <w:color w:val="231F20"/>
          <w:spacing w:val="-7"/>
        </w:rPr>
        <w:t> </w:t>
      </w:r>
      <w:r>
        <w:rPr>
          <w:color w:val="231F20"/>
        </w:rPr>
        <w:t>origen,</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mitad</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ventas</w:t>
      </w:r>
      <w:r>
        <w:rPr>
          <w:color w:val="231F20"/>
          <w:spacing w:val="-7"/>
        </w:rPr>
        <w:t> </w:t>
      </w:r>
      <w:r>
        <w:rPr>
          <w:color w:val="231F20"/>
        </w:rPr>
        <w:t>totales</w:t>
      </w:r>
      <w:r>
        <w:rPr>
          <w:color w:val="231F20"/>
          <w:spacing w:val="-7"/>
        </w:rPr>
        <w:t> </w:t>
      </w:r>
      <w:r>
        <w:rPr>
          <w:color w:val="231F20"/>
        </w:rPr>
        <w:t>se</w:t>
      </w:r>
      <w:r>
        <w:rPr>
          <w:color w:val="231F20"/>
          <w:spacing w:val="-7"/>
        </w:rPr>
        <w:t> </w:t>
      </w:r>
      <w:r>
        <w:rPr>
          <w:color w:val="231F20"/>
        </w:rPr>
        <w:t>hacen</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exterior; a diferencia de las grandes empresas automotrices estadounidenses (General </w:t>
      </w:r>
      <w:r>
        <w:rPr>
          <w:color w:val="231F20"/>
          <w:spacing w:val="40"/>
        </w:rPr>
        <w:t> </w:t>
      </w:r>
      <w:r>
        <w:rPr>
          <w:color w:val="231F20"/>
          <w:spacing w:val="-3"/>
        </w:rPr>
        <w:t>Motors,</w:t>
      </w:r>
    </w:p>
    <w:p>
      <w:pPr>
        <w:pStyle w:val="BodyText"/>
        <w:spacing w:before="5"/>
        <w:rPr>
          <w:sz w:val="28"/>
        </w:rPr>
      </w:pPr>
      <w:r>
        <w:rPr/>
        <w:pict>
          <v:line style="position:absolute;mso-position-horizontal-relative:page;mso-position-vertical-relative:paragraph;z-index:5656;mso-wrap-distance-left:0;mso-wrap-distance-right:0" from="65.196899pt,18.572592pt" to="206.928899pt,18.572592pt" stroked="true" strokeweight=".5pt" strokecolor="#231f20">
            <w10:wrap type="topAndBottom"/>
          </v:line>
        </w:pict>
      </w:r>
    </w:p>
    <w:p>
      <w:pPr>
        <w:spacing w:line="288" w:lineRule="auto" w:before="43"/>
        <w:ind w:left="293" w:right="650" w:hanging="171"/>
        <w:jc w:val="both"/>
        <w:rPr>
          <w:sz w:val="16"/>
        </w:rPr>
      </w:pPr>
      <w:r>
        <w:rPr>
          <w:color w:val="231F20"/>
          <w:position w:val="5"/>
          <w:sz w:val="9"/>
        </w:rPr>
        <w:t>2 </w:t>
      </w:r>
      <w:r>
        <w:rPr>
          <w:color w:val="231F20"/>
          <w:sz w:val="16"/>
        </w:rPr>
        <w:t>En este mismo sentido, los fabricantes de vehículos estrechan su relación con los proveedores, principalmente los</w:t>
      </w:r>
      <w:r>
        <w:rPr>
          <w:color w:val="231F20"/>
          <w:spacing w:val="-7"/>
          <w:sz w:val="16"/>
        </w:rPr>
        <w:t> </w:t>
      </w:r>
      <w:r>
        <w:rPr>
          <w:color w:val="231F20"/>
          <w:sz w:val="16"/>
        </w:rPr>
        <w:t>de</w:t>
      </w:r>
      <w:r>
        <w:rPr>
          <w:color w:val="231F20"/>
          <w:spacing w:val="-7"/>
          <w:sz w:val="16"/>
        </w:rPr>
        <w:t> </w:t>
      </w:r>
      <w:r>
        <w:rPr>
          <w:color w:val="231F20"/>
          <w:sz w:val="16"/>
        </w:rPr>
        <w:t>primer</w:t>
      </w:r>
      <w:r>
        <w:rPr>
          <w:color w:val="231F20"/>
          <w:spacing w:val="-7"/>
          <w:sz w:val="16"/>
        </w:rPr>
        <w:t> </w:t>
      </w:r>
      <w:r>
        <w:rPr>
          <w:color w:val="231F20"/>
          <w:sz w:val="16"/>
        </w:rPr>
        <w:t>nivel,</w:t>
      </w:r>
      <w:r>
        <w:rPr>
          <w:color w:val="231F20"/>
          <w:spacing w:val="-7"/>
          <w:sz w:val="16"/>
        </w:rPr>
        <w:t> </w:t>
      </w:r>
      <w:r>
        <w:rPr>
          <w:color w:val="231F20"/>
          <w:sz w:val="16"/>
        </w:rPr>
        <w:t>que</w:t>
      </w:r>
      <w:r>
        <w:rPr>
          <w:color w:val="231F20"/>
          <w:spacing w:val="-7"/>
          <w:sz w:val="16"/>
        </w:rPr>
        <w:t> </w:t>
      </w:r>
      <w:r>
        <w:rPr>
          <w:color w:val="231F20"/>
          <w:sz w:val="16"/>
        </w:rPr>
        <w:t>son</w:t>
      </w:r>
      <w:r>
        <w:rPr>
          <w:color w:val="231F20"/>
          <w:spacing w:val="-7"/>
          <w:sz w:val="16"/>
        </w:rPr>
        <w:t> </w:t>
      </w:r>
      <w:r>
        <w:rPr>
          <w:color w:val="231F20"/>
          <w:sz w:val="16"/>
        </w:rPr>
        <w:t>las</w:t>
      </w:r>
      <w:r>
        <w:rPr>
          <w:color w:val="231F20"/>
          <w:spacing w:val="-7"/>
          <w:sz w:val="16"/>
        </w:rPr>
        <w:t> </w:t>
      </w:r>
      <w:r>
        <w:rPr>
          <w:color w:val="231F20"/>
          <w:sz w:val="16"/>
        </w:rPr>
        <w:t>empresas</w:t>
      </w:r>
      <w:r>
        <w:rPr>
          <w:color w:val="231F20"/>
          <w:spacing w:val="-7"/>
          <w:sz w:val="16"/>
        </w:rPr>
        <w:t> </w:t>
      </w:r>
      <w:r>
        <w:rPr>
          <w:color w:val="231F20"/>
          <w:sz w:val="16"/>
        </w:rPr>
        <w:t>de</w:t>
      </w:r>
      <w:r>
        <w:rPr>
          <w:color w:val="231F20"/>
          <w:spacing w:val="-7"/>
          <w:sz w:val="16"/>
        </w:rPr>
        <w:t> </w:t>
      </w:r>
      <w:r>
        <w:rPr>
          <w:color w:val="231F20"/>
          <w:sz w:val="16"/>
        </w:rPr>
        <w:t>mayor</w:t>
      </w:r>
      <w:r>
        <w:rPr>
          <w:color w:val="231F20"/>
          <w:spacing w:val="-7"/>
          <w:sz w:val="16"/>
        </w:rPr>
        <w:t> </w:t>
      </w:r>
      <w:r>
        <w:rPr>
          <w:color w:val="231F20"/>
          <w:sz w:val="16"/>
        </w:rPr>
        <w:t>tamaño</w:t>
      </w:r>
      <w:r>
        <w:rPr>
          <w:color w:val="231F20"/>
          <w:spacing w:val="-7"/>
          <w:sz w:val="16"/>
        </w:rPr>
        <w:t> </w:t>
      </w:r>
      <w:r>
        <w:rPr>
          <w:color w:val="231F20"/>
          <w:sz w:val="16"/>
        </w:rPr>
        <w:t>y</w:t>
      </w:r>
      <w:r>
        <w:rPr>
          <w:color w:val="231F20"/>
          <w:spacing w:val="-7"/>
          <w:sz w:val="16"/>
        </w:rPr>
        <w:t> </w:t>
      </w:r>
      <w:r>
        <w:rPr>
          <w:color w:val="231F20"/>
          <w:sz w:val="16"/>
        </w:rPr>
        <w:t>abastecen</w:t>
      </w:r>
      <w:r>
        <w:rPr>
          <w:color w:val="231F20"/>
          <w:spacing w:val="-7"/>
          <w:sz w:val="16"/>
        </w:rPr>
        <w:t> </w:t>
      </w:r>
      <w:r>
        <w:rPr>
          <w:color w:val="231F20"/>
          <w:sz w:val="16"/>
        </w:rPr>
        <w:t>directamente</w:t>
      </w:r>
      <w:r>
        <w:rPr>
          <w:color w:val="231F20"/>
          <w:spacing w:val="-7"/>
          <w:sz w:val="16"/>
        </w:rPr>
        <w:t> </w:t>
      </w:r>
      <w:r>
        <w:rPr>
          <w:color w:val="231F20"/>
          <w:sz w:val="16"/>
        </w:rPr>
        <w:t>a</w:t>
      </w:r>
      <w:r>
        <w:rPr>
          <w:color w:val="231F20"/>
          <w:spacing w:val="-7"/>
          <w:sz w:val="16"/>
        </w:rPr>
        <w:t> </w:t>
      </w:r>
      <w:r>
        <w:rPr>
          <w:color w:val="231F20"/>
          <w:sz w:val="16"/>
        </w:rPr>
        <w:t>las</w:t>
      </w:r>
      <w:r>
        <w:rPr>
          <w:color w:val="231F20"/>
          <w:spacing w:val="-7"/>
          <w:sz w:val="16"/>
        </w:rPr>
        <w:t> </w:t>
      </w:r>
      <w:r>
        <w:rPr>
          <w:color w:val="231F20"/>
          <w:sz w:val="16"/>
        </w:rPr>
        <w:t>armadoras,</w:t>
      </w:r>
      <w:r>
        <w:rPr>
          <w:color w:val="231F20"/>
          <w:spacing w:val="-7"/>
          <w:sz w:val="16"/>
        </w:rPr>
        <w:t> </w:t>
      </w:r>
      <w:r>
        <w:rPr>
          <w:color w:val="231F20"/>
          <w:sz w:val="16"/>
        </w:rPr>
        <w:t>pero</w:t>
      </w:r>
      <w:r>
        <w:rPr>
          <w:color w:val="231F20"/>
          <w:spacing w:val="-7"/>
          <w:sz w:val="16"/>
        </w:rPr>
        <w:t> </w:t>
      </w:r>
      <w:r>
        <w:rPr>
          <w:color w:val="231F20"/>
          <w:sz w:val="16"/>
        </w:rPr>
        <w:t>que a su vez también son consumidoras de insumos de proveedores del segundo y el tercer nivel, llegando a darse una subcontratación externa entre estos diferentes eslabones de la cadena, de tal forma que los fabricantes presionan a sus proveedores para que inviertan, adquieran equipo especializado, perfeccionen y desarrollen productos, e incluso den garantías a los consumidores, además de supervisar a los proveedores de niveles </w:t>
      </w:r>
      <w:r>
        <w:rPr>
          <w:color w:val="231F20"/>
          <w:w w:val="95"/>
          <w:sz w:val="16"/>
        </w:rPr>
        <w:t>inferiores (CEPAL,</w:t>
      </w:r>
      <w:r>
        <w:rPr>
          <w:color w:val="231F20"/>
          <w:spacing w:val="26"/>
          <w:w w:val="95"/>
          <w:sz w:val="16"/>
        </w:rPr>
        <w:t> </w:t>
      </w:r>
      <w:r>
        <w:rPr>
          <w:color w:val="231F20"/>
          <w:w w:val="95"/>
          <w:sz w:val="16"/>
        </w:rPr>
        <w:t>2009).</w:t>
      </w:r>
    </w:p>
    <w:p>
      <w:pPr>
        <w:spacing w:after="0" w:line="288" w:lineRule="auto"/>
        <w:jc w:val="both"/>
        <w:rPr>
          <w:sz w:val="16"/>
        </w:rPr>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653" w:right="100"/>
        <w:jc w:val="both"/>
      </w:pPr>
      <w:r>
        <w:rPr>
          <w:color w:val="231F20"/>
          <w:spacing w:val="-3"/>
        </w:rPr>
        <w:t>Ford,</w:t>
      </w:r>
      <w:r>
        <w:rPr>
          <w:color w:val="231F20"/>
          <w:spacing w:val="-18"/>
        </w:rPr>
        <w:t> </w:t>
      </w:r>
      <w:r>
        <w:rPr>
          <w:color w:val="231F20"/>
        </w:rPr>
        <w:t>Daimler</w:t>
      </w:r>
      <w:r>
        <w:rPr>
          <w:color w:val="231F20"/>
          <w:spacing w:val="-18"/>
        </w:rPr>
        <w:t> </w:t>
      </w:r>
      <w:r>
        <w:rPr>
          <w:color w:val="231F20"/>
        </w:rPr>
        <w:t>y</w:t>
      </w:r>
      <w:r>
        <w:rPr>
          <w:color w:val="231F20"/>
          <w:spacing w:val="-18"/>
        </w:rPr>
        <w:t> </w:t>
      </w:r>
      <w:r>
        <w:rPr>
          <w:color w:val="231F20"/>
        </w:rPr>
        <w:t>Chrysler)</w:t>
      </w:r>
      <w:r>
        <w:rPr>
          <w:color w:val="231F20"/>
          <w:spacing w:val="-18"/>
        </w:rPr>
        <w:t> </w:t>
      </w:r>
      <w:r>
        <w:rPr>
          <w:color w:val="231F20"/>
        </w:rPr>
        <w:t>y</w:t>
      </w:r>
      <w:r>
        <w:rPr>
          <w:color w:val="231F20"/>
          <w:spacing w:val="-18"/>
        </w:rPr>
        <w:t> </w:t>
      </w:r>
      <w:r>
        <w:rPr>
          <w:color w:val="231F20"/>
        </w:rPr>
        <w:t>europeas</w:t>
      </w:r>
      <w:r>
        <w:rPr>
          <w:color w:val="231F20"/>
          <w:spacing w:val="-18"/>
        </w:rPr>
        <w:t> </w:t>
      </w:r>
      <w:r>
        <w:rPr>
          <w:color w:val="231F20"/>
          <w:spacing w:val="-3"/>
        </w:rPr>
        <w:t>(Volkswagen,</w:t>
      </w:r>
      <w:r>
        <w:rPr>
          <w:color w:val="231F20"/>
          <w:spacing w:val="-18"/>
        </w:rPr>
        <w:t> </w:t>
      </w:r>
      <w:r>
        <w:rPr>
          <w:color w:val="231F20"/>
        </w:rPr>
        <w:t>Grupo</w:t>
      </w:r>
      <w:r>
        <w:rPr>
          <w:color w:val="231F20"/>
          <w:spacing w:val="-18"/>
        </w:rPr>
        <w:t> </w:t>
      </w:r>
      <w:r>
        <w:rPr>
          <w:color w:val="231F20"/>
        </w:rPr>
        <w:t>PSA,</w:t>
      </w:r>
      <w:r>
        <w:rPr>
          <w:color w:val="231F20"/>
          <w:spacing w:val="-18"/>
        </w:rPr>
        <w:t> </w:t>
      </w:r>
      <w:r>
        <w:rPr>
          <w:color w:val="231F20"/>
        </w:rPr>
        <w:t>Fiat,</w:t>
      </w:r>
      <w:r>
        <w:rPr>
          <w:color w:val="231F20"/>
          <w:spacing w:val="-18"/>
        </w:rPr>
        <w:t> </w:t>
      </w:r>
      <w:r>
        <w:rPr>
          <w:color w:val="231F20"/>
        </w:rPr>
        <w:t>BMW</w:t>
      </w:r>
      <w:r>
        <w:rPr>
          <w:color w:val="231F20"/>
          <w:spacing w:val="-18"/>
        </w:rPr>
        <w:t> </w:t>
      </w:r>
      <w:r>
        <w:rPr>
          <w:color w:val="231F20"/>
        </w:rPr>
        <w:t>y</w:t>
      </w:r>
      <w:r>
        <w:rPr>
          <w:color w:val="231F20"/>
          <w:spacing w:val="-18"/>
        </w:rPr>
        <w:t> </w:t>
      </w:r>
      <w:r>
        <w:rPr>
          <w:color w:val="231F20"/>
        </w:rPr>
        <w:t>Renault), las que se han constituido en importantes actores a nivel regional; esto puede verse</w:t>
      </w:r>
      <w:r>
        <w:rPr>
          <w:color w:val="231F20"/>
          <w:spacing w:val="-33"/>
        </w:rPr>
        <w:t> </w:t>
      </w:r>
      <w:r>
        <w:rPr>
          <w:color w:val="231F20"/>
        </w:rPr>
        <w:t>en el</w:t>
      </w:r>
      <w:r>
        <w:rPr>
          <w:color w:val="231F20"/>
          <w:spacing w:val="-6"/>
        </w:rPr>
        <w:t> </w:t>
      </w:r>
      <w:r>
        <w:rPr>
          <w:color w:val="231F20"/>
        </w:rPr>
        <w:t>hecho</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sus</w:t>
      </w:r>
      <w:r>
        <w:rPr>
          <w:color w:val="231F20"/>
          <w:spacing w:val="-6"/>
        </w:rPr>
        <w:t> </w:t>
      </w:r>
      <w:r>
        <w:rPr>
          <w:color w:val="231F20"/>
        </w:rPr>
        <w:t>ventas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exterior,</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fuera</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regiones de</w:t>
      </w:r>
      <w:r>
        <w:rPr>
          <w:color w:val="231F20"/>
          <w:spacing w:val="-6"/>
        </w:rPr>
        <w:t> </w:t>
      </w:r>
      <w:r>
        <w:rPr>
          <w:color w:val="231F20"/>
        </w:rPr>
        <w:t>origen,</w:t>
      </w:r>
      <w:r>
        <w:rPr>
          <w:color w:val="231F20"/>
          <w:spacing w:val="-6"/>
        </w:rPr>
        <w:t> </w:t>
      </w:r>
      <w:r>
        <w:rPr>
          <w:color w:val="231F20"/>
        </w:rPr>
        <w:t>no</w:t>
      </w:r>
      <w:r>
        <w:rPr>
          <w:color w:val="231F20"/>
          <w:spacing w:val="-6"/>
        </w:rPr>
        <w:t> </w:t>
      </w:r>
      <w:r>
        <w:rPr>
          <w:color w:val="231F20"/>
        </w:rPr>
        <w:t>alcanzan</w:t>
      </w:r>
      <w:r>
        <w:rPr>
          <w:color w:val="231F20"/>
          <w:spacing w:val="-6"/>
        </w:rPr>
        <w:t> </w:t>
      </w:r>
      <w:r>
        <w:rPr>
          <w:color w:val="231F20"/>
        </w:rPr>
        <w:t>la</w:t>
      </w:r>
      <w:r>
        <w:rPr>
          <w:color w:val="231F20"/>
          <w:spacing w:val="-6"/>
        </w:rPr>
        <w:t> </w:t>
      </w:r>
      <w:r>
        <w:rPr>
          <w:color w:val="231F20"/>
        </w:rPr>
        <w:t>mitad</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producido</w:t>
      </w:r>
      <w:r>
        <w:rPr>
          <w:color w:val="231F20"/>
          <w:spacing w:val="-6"/>
        </w:rPr>
        <w:t> </w:t>
      </w:r>
      <w:r>
        <w:rPr>
          <w:color w:val="231F20"/>
        </w:rPr>
        <w:t>por</w:t>
      </w:r>
      <w:r>
        <w:rPr>
          <w:color w:val="231F20"/>
          <w:spacing w:val="-6"/>
        </w:rPr>
        <w:t> </w:t>
      </w:r>
      <w:r>
        <w:rPr>
          <w:color w:val="231F20"/>
        </w:rPr>
        <w:t>Honda</w:t>
      </w:r>
      <w:r>
        <w:rPr>
          <w:color w:val="231F20"/>
          <w:spacing w:val="-6"/>
        </w:rPr>
        <w:t> </w:t>
      </w:r>
      <w:r>
        <w:rPr>
          <w:color w:val="231F20"/>
        </w:rPr>
        <w:t>o</w:t>
      </w:r>
      <w:r>
        <w:rPr>
          <w:color w:val="231F20"/>
          <w:spacing w:val="-6"/>
        </w:rPr>
        <w:t> </w:t>
      </w:r>
      <w:r>
        <w:rPr>
          <w:color w:val="231F20"/>
          <w:spacing w:val="-5"/>
        </w:rPr>
        <w:t>Toyota</w:t>
      </w:r>
      <w:r>
        <w:rPr>
          <w:color w:val="231F20"/>
          <w:spacing w:val="-6"/>
        </w:rPr>
        <w:t> </w:t>
      </w:r>
      <w:r>
        <w:rPr>
          <w:color w:val="231F20"/>
        </w:rPr>
        <w:t>en</w:t>
      </w:r>
      <w:r>
        <w:rPr>
          <w:color w:val="231F20"/>
          <w:spacing w:val="-6"/>
        </w:rPr>
        <w:t> </w:t>
      </w:r>
      <w:r>
        <w:rPr>
          <w:color w:val="231F20"/>
        </w:rPr>
        <w:t>ninguno</w:t>
      </w:r>
      <w:r>
        <w:rPr>
          <w:color w:val="231F20"/>
          <w:spacing w:val="-6"/>
        </w:rPr>
        <w:t> </w:t>
      </w:r>
      <w:r>
        <w:rPr>
          <w:color w:val="231F20"/>
        </w:rPr>
        <w:t>de</w:t>
      </w:r>
      <w:r>
        <w:rPr>
          <w:color w:val="231F20"/>
          <w:spacing w:val="-6"/>
        </w:rPr>
        <w:t> </w:t>
      </w:r>
      <w:r>
        <w:rPr>
          <w:color w:val="231F20"/>
        </w:rPr>
        <w:t>los dos</w:t>
      </w:r>
      <w:r>
        <w:rPr>
          <w:color w:val="231F20"/>
          <w:spacing w:val="-9"/>
        </w:rPr>
        <w:t> </w:t>
      </w:r>
      <w:r>
        <w:rPr>
          <w:color w:val="231F20"/>
        </w:rPr>
        <w:t>casos</w:t>
      </w:r>
      <w:r>
        <w:rPr>
          <w:color w:val="231F20"/>
          <w:spacing w:val="-9"/>
        </w:rPr>
        <w:t> </w:t>
      </w:r>
      <w:r>
        <w:rPr>
          <w:color w:val="231F20"/>
        </w:rPr>
        <w:t>(Mortimore</w:t>
      </w:r>
      <w:r>
        <w:rPr>
          <w:color w:val="231F20"/>
          <w:spacing w:val="-9"/>
        </w:rPr>
        <w:t> </w:t>
      </w:r>
      <w:r>
        <w:rPr>
          <w:color w:val="231F20"/>
        </w:rPr>
        <w:t>y</w:t>
      </w:r>
      <w:r>
        <w:rPr>
          <w:color w:val="231F20"/>
          <w:spacing w:val="-9"/>
        </w:rPr>
        <w:t> </w:t>
      </w:r>
      <w:r>
        <w:rPr>
          <w:color w:val="231F20"/>
        </w:rPr>
        <w:t>Barron,</w:t>
      </w:r>
      <w:r>
        <w:rPr>
          <w:color w:val="231F20"/>
          <w:spacing w:val="-9"/>
        </w:rPr>
        <w:t> </w:t>
      </w:r>
      <w:r>
        <w:rPr>
          <w:color w:val="231F20"/>
        </w:rPr>
        <w:t>2005).</w:t>
      </w:r>
    </w:p>
    <w:p>
      <w:pPr>
        <w:pStyle w:val="BodyText"/>
        <w:spacing w:line="278" w:lineRule="auto" w:before="1"/>
        <w:ind w:left="653" w:right="101" w:firstLine="396"/>
        <w:jc w:val="both"/>
      </w:pPr>
      <w:r>
        <w:rPr>
          <w:color w:val="231F20"/>
        </w:rPr>
        <w:t>El proceso de reestructuración de la industria automotriz a nivel mundial y el aumento de la competencia entre las grandes empresas automotrices han provocado una</w:t>
      </w:r>
      <w:r>
        <w:rPr>
          <w:color w:val="231F20"/>
          <w:spacing w:val="-4"/>
        </w:rPr>
        <w:t> </w:t>
      </w:r>
      <w:r>
        <w:rPr>
          <w:color w:val="231F20"/>
        </w:rPr>
        <w:t>fuerte</w:t>
      </w:r>
      <w:r>
        <w:rPr>
          <w:color w:val="231F20"/>
          <w:spacing w:val="-4"/>
        </w:rPr>
        <w:t> </w:t>
      </w:r>
      <w:r>
        <w:rPr>
          <w:color w:val="231F20"/>
        </w:rPr>
        <w:t>concentración</w:t>
      </w:r>
      <w:r>
        <w:rPr>
          <w:color w:val="231F20"/>
          <w:spacing w:val="-4"/>
        </w:rPr>
        <w:t> </w:t>
      </w:r>
      <w:r>
        <w:rPr>
          <w:color w:val="231F20"/>
        </w:rPr>
        <w:t>en</w:t>
      </w:r>
      <w:r>
        <w:rPr>
          <w:color w:val="231F20"/>
          <w:spacing w:val="-4"/>
        </w:rPr>
        <w:t> </w:t>
      </w:r>
      <w:r>
        <w:rPr>
          <w:color w:val="231F20"/>
        </w:rPr>
        <w:t>esta</w:t>
      </w:r>
      <w:r>
        <w:rPr>
          <w:color w:val="231F20"/>
          <w:spacing w:val="-4"/>
        </w:rPr>
        <w:t> </w:t>
      </w:r>
      <w:r>
        <w:rPr>
          <w:color w:val="231F20"/>
        </w:rPr>
        <w:t>rama</w:t>
      </w:r>
      <w:r>
        <w:rPr>
          <w:color w:val="231F20"/>
          <w:spacing w:val="-4"/>
        </w:rPr>
        <w:t> </w:t>
      </w:r>
      <w:r>
        <w:rPr>
          <w:color w:val="231F20"/>
        </w:rPr>
        <w:t>de</w:t>
      </w:r>
      <w:r>
        <w:rPr>
          <w:color w:val="231F20"/>
          <w:spacing w:val="-4"/>
        </w:rPr>
        <w:t> </w:t>
      </w:r>
      <w:r>
        <w:rPr>
          <w:color w:val="231F20"/>
        </w:rPr>
        <w:t>actividad,</w:t>
      </w:r>
      <w:r>
        <w:rPr>
          <w:color w:val="231F20"/>
          <w:spacing w:val="-4"/>
        </w:rPr>
        <w:t> </w:t>
      </w:r>
      <w:r>
        <w:rPr>
          <w:color w:val="231F20"/>
        </w:rPr>
        <w:t>por</w:t>
      </w:r>
      <w:r>
        <w:rPr>
          <w:color w:val="231F20"/>
          <w:spacing w:val="-4"/>
        </w:rPr>
        <w:t> </w:t>
      </w:r>
      <w:r>
        <w:rPr>
          <w:color w:val="231F20"/>
        </w:rPr>
        <w:t>lo</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generado</w:t>
      </w:r>
      <w:r>
        <w:rPr>
          <w:color w:val="231F20"/>
          <w:spacing w:val="-4"/>
        </w:rPr>
        <w:t> </w:t>
      </w:r>
      <w:r>
        <w:rPr>
          <w:color w:val="231F20"/>
          <w:spacing w:val="-2"/>
        </w:rPr>
        <w:t>impor- </w:t>
      </w:r>
      <w:r>
        <w:rPr>
          <w:color w:val="231F20"/>
        </w:rPr>
        <w:t>tantes</w:t>
      </w:r>
      <w:r>
        <w:rPr>
          <w:color w:val="231F20"/>
          <w:spacing w:val="-4"/>
        </w:rPr>
        <w:t> </w:t>
      </w:r>
      <w:r>
        <w:rPr>
          <w:color w:val="231F20"/>
        </w:rPr>
        <w:t>fusiones,</w:t>
      </w:r>
      <w:r>
        <w:rPr>
          <w:color w:val="231F20"/>
          <w:spacing w:val="-4"/>
        </w:rPr>
        <w:t> </w:t>
      </w:r>
      <w:r>
        <w:rPr>
          <w:color w:val="231F20"/>
        </w:rPr>
        <w:t>alianzas</w:t>
      </w:r>
      <w:r>
        <w:rPr>
          <w:color w:val="231F20"/>
          <w:spacing w:val="-4"/>
        </w:rPr>
        <w:t> </w:t>
      </w:r>
      <w:r>
        <w:rPr>
          <w:color w:val="231F20"/>
        </w:rPr>
        <w:t>y</w:t>
      </w:r>
      <w:r>
        <w:rPr>
          <w:color w:val="231F20"/>
          <w:spacing w:val="-4"/>
        </w:rPr>
        <w:t> </w:t>
      </w:r>
      <w:r>
        <w:rPr>
          <w:color w:val="231F20"/>
        </w:rPr>
        <w:t>adquisiciones</w:t>
      </w:r>
      <w:r>
        <w:rPr>
          <w:color w:val="231F20"/>
          <w:spacing w:val="-4"/>
        </w:rPr>
        <w:t> </w:t>
      </w:r>
      <w:r>
        <w:rPr>
          <w:color w:val="231F20"/>
        </w:rPr>
        <w:t>entre</w:t>
      </w:r>
      <w:r>
        <w:rPr>
          <w:color w:val="231F20"/>
          <w:spacing w:val="-4"/>
        </w:rPr>
        <w:t> </w:t>
      </w:r>
      <w:r>
        <w:rPr>
          <w:color w:val="231F20"/>
        </w:rPr>
        <w:t>empresas.</w:t>
      </w:r>
      <w:r>
        <w:rPr>
          <w:color w:val="231F20"/>
          <w:spacing w:val="-4"/>
        </w:rPr>
        <w:t> </w:t>
      </w:r>
      <w:r>
        <w:rPr>
          <w:color w:val="231F20"/>
        </w:rPr>
        <w:t>En</w:t>
      </w:r>
      <w:r>
        <w:rPr>
          <w:color w:val="231F20"/>
          <w:spacing w:val="-4"/>
        </w:rPr>
        <w:t> </w:t>
      </w:r>
      <w:r>
        <w:rPr>
          <w:color w:val="231F20"/>
        </w:rPr>
        <w:t>este</w:t>
      </w:r>
      <w:r>
        <w:rPr>
          <w:color w:val="231F20"/>
          <w:spacing w:val="-4"/>
        </w:rPr>
        <w:t> </w:t>
      </w:r>
      <w:r>
        <w:rPr>
          <w:color w:val="231F20"/>
        </w:rPr>
        <w:t>sentido,</w:t>
      </w:r>
      <w:r>
        <w:rPr>
          <w:color w:val="231F20"/>
          <w:spacing w:val="-4"/>
        </w:rPr>
        <w:t> </w:t>
      </w:r>
      <w:r>
        <w:rPr>
          <w:color w:val="231F20"/>
        </w:rPr>
        <w:t>las</w:t>
      </w:r>
      <w:r>
        <w:rPr>
          <w:color w:val="231F20"/>
          <w:spacing w:val="-4"/>
        </w:rPr>
        <w:t> </w:t>
      </w:r>
      <w:r>
        <w:rPr>
          <w:color w:val="231F20"/>
        </w:rPr>
        <w:t>empresas estadounidenses</w:t>
      </w:r>
      <w:r>
        <w:rPr>
          <w:color w:val="231F20"/>
          <w:spacing w:val="-14"/>
        </w:rPr>
        <w:t> </w:t>
      </w:r>
      <w:r>
        <w:rPr>
          <w:color w:val="231F20"/>
        </w:rPr>
        <w:t>y</w:t>
      </w:r>
      <w:r>
        <w:rPr>
          <w:color w:val="231F20"/>
          <w:spacing w:val="-14"/>
        </w:rPr>
        <w:t> </w:t>
      </w:r>
      <w:r>
        <w:rPr>
          <w:color w:val="231F20"/>
        </w:rPr>
        <w:t>europeas</w:t>
      </w:r>
      <w:r>
        <w:rPr>
          <w:color w:val="231F20"/>
          <w:spacing w:val="-14"/>
        </w:rPr>
        <w:t> </w:t>
      </w:r>
      <w:r>
        <w:rPr>
          <w:color w:val="231F20"/>
        </w:rPr>
        <w:t>se</w:t>
      </w:r>
      <w:r>
        <w:rPr>
          <w:color w:val="231F20"/>
          <w:spacing w:val="-14"/>
        </w:rPr>
        <w:t> </w:t>
      </w:r>
      <w:r>
        <w:rPr>
          <w:color w:val="231F20"/>
        </w:rPr>
        <w:t>inclinaron</w:t>
      </w:r>
      <w:r>
        <w:rPr>
          <w:color w:val="231F20"/>
          <w:spacing w:val="-14"/>
        </w:rPr>
        <w:t> </w:t>
      </w:r>
      <w:r>
        <w:rPr>
          <w:color w:val="231F20"/>
        </w:rPr>
        <w:t>hacia</w:t>
      </w:r>
      <w:r>
        <w:rPr>
          <w:color w:val="231F20"/>
          <w:spacing w:val="-14"/>
        </w:rPr>
        <w:t> </w:t>
      </w:r>
      <w:r>
        <w:rPr>
          <w:color w:val="231F20"/>
        </w:rPr>
        <w:t>la</w:t>
      </w:r>
      <w:r>
        <w:rPr>
          <w:color w:val="231F20"/>
          <w:spacing w:val="-14"/>
        </w:rPr>
        <w:t> </w:t>
      </w:r>
      <w:r>
        <w:rPr>
          <w:color w:val="231F20"/>
        </w:rPr>
        <w:t>compra</w:t>
      </w:r>
      <w:r>
        <w:rPr>
          <w:color w:val="231F20"/>
          <w:spacing w:val="-14"/>
        </w:rPr>
        <w:t> </w:t>
      </w:r>
      <w:r>
        <w:rPr>
          <w:color w:val="231F20"/>
        </w:rPr>
        <w:t>de</w:t>
      </w:r>
      <w:r>
        <w:rPr>
          <w:color w:val="231F20"/>
          <w:spacing w:val="-14"/>
        </w:rPr>
        <w:t> </w:t>
      </w:r>
      <w:r>
        <w:rPr>
          <w:color w:val="231F20"/>
        </w:rPr>
        <w:t>plantas</w:t>
      </w:r>
      <w:r>
        <w:rPr>
          <w:color w:val="231F20"/>
          <w:spacing w:val="-14"/>
        </w:rPr>
        <w:t> </w:t>
      </w:r>
      <w:r>
        <w:rPr>
          <w:color w:val="231F20"/>
        </w:rPr>
        <w:t>ya</w:t>
      </w:r>
      <w:r>
        <w:rPr>
          <w:color w:val="231F20"/>
          <w:spacing w:val="-14"/>
        </w:rPr>
        <w:t> </w:t>
      </w:r>
      <w:r>
        <w:rPr>
          <w:color w:val="231F20"/>
        </w:rPr>
        <w:t>existentes,</w:t>
      </w:r>
      <w:r>
        <w:rPr>
          <w:color w:val="231F20"/>
          <w:spacing w:val="-14"/>
        </w:rPr>
        <w:t> </w:t>
      </w:r>
      <w:r>
        <w:rPr>
          <w:color w:val="231F20"/>
        </w:rPr>
        <w:t>y</w:t>
      </w:r>
      <w:r>
        <w:rPr>
          <w:color w:val="231F20"/>
          <w:spacing w:val="-14"/>
        </w:rPr>
        <w:t> </w:t>
      </w:r>
      <w:r>
        <w:rPr>
          <w:color w:val="231F20"/>
        </w:rPr>
        <w:t>las japonesas</w:t>
      </w:r>
      <w:r>
        <w:rPr>
          <w:color w:val="231F20"/>
          <w:spacing w:val="-8"/>
        </w:rPr>
        <w:t> </w:t>
      </w:r>
      <w:r>
        <w:rPr>
          <w:color w:val="231F20"/>
        </w:rPr>
        <w:t>como</w:t>
      </w:r>
      <w:r>
        <w:rPr>
          <w:color w:val="231F20"/>
          <w:spacing w:val="-8"/>
        </w:rPr>
        <w:t> </w:t>
      </w:r>
      <w:r>
        <w:rPr>
          <w:color w:val="231F20"/>
          <w:spacing w:val="-5"/>
        </w:rPr>
        <w:t>Toyota</w:t>
      </w:r>
      <w:r>
        <w:rPr>
          <w:color w:val="231F20"/>
          <w:spacing w:val="-8"/>
        </w:rPr>
        <w:t> </w:t>
      </w:r>
      <w:r>
        <w:rPr>
          <w:color w:val="231F20"/>
        </w:rPr>
        <w:t>y</w:t>
      </w:r>
      <w:r>
        <w:rPr>
          <w:color w:val="231F20"/>
          <w:spacing w:val="-8"/>
        </w:rPr>
        <w:t> </w:t>
      </w:r>
      <w:r>
        <w:rPr>
          <w:color w:val="231F20"/>
        </w:rPr>
        <w:t>Honda</w:t>
      </w:r>
      <w:r>
        <w:rPr>
          <w:color w:val="231F20"/>
          <w:spacing w:val="-8"/>
        </w:rPr>
        <w:t> </w:t>
      </w:r>
      <w:r>
        <w:rPr>
          <w:color w:val="231F20"/>
        </w:rPr>
        <w:t>prefirieron</w:t>
      </w:r>
      <w:r>
        <w:rPr>
          <w:color w:val="231F20"/>
          <w:spacing w:val="-8"/>
        </w:rPr>
        <w:t> </w:t>
      </w:r>
      <w:r>
        <w:rPr>
          <w:color w:val="231F20"/>
        </w:rPr>
        <w:t>expandirse</w:t>
      </w:r>
      <w:r>
        <w:rPr>
          <w:color w:val="231F20"/>
          <w:spacing w:val="-8"/>
        </w:rPr>
        <w:t> </w:t>
      </w:r>
      <w:r>
        <w:rPr>
          <w:color w:val="231F20"/>
        </w:rPr>
        <w:t>internacionalmente</w:t>
      </w:r>
      <w:r>
        <w:rPr>
          <w:color w:val="231F20"/>
          <w:spacing w:val="-8"/>
        </w:rPr>
        <w:t> </w:t>
      </w:r>
      <w:r>
        <w:rPr>
          <w:color w:val="231F20"/>
        </w:rPr>
        <w:t>a</w:t>
      </w:r>
      <w:r>
        <w:rPr>
          <w:color w:val="231F20"/>
          <w:spacing w:val="-8"/>
        </w:rPr>
        <w:t> </w:t>
      </w:r>
      <w:r>
        <w:rPr>
          <w:color w:val="231F20"/>
        </w:rPr>
        <w:t>través</w:t>
      </w:r>
      <w:r>
        <w:rPr>
          <w:color w:val="231F20"/>
          <w:spacing w:val="-8"/>
        </w:rPr>
        <w:t> </w:t>
      </w:r>
      <w:r>
        <w:rPr>
          <w:color w:val="231F20"/>
        </w:rPr>
        <w:t>de inversiones en nuevas plantas, y así se consolidaron como empresas globales (Morti- more y Barron,</w:t>
      </w:r>
      <w:r>
        <w:rPr>
          <w:color w:val="231F20"/>
          <w:spacing w:val="-35"/>
        </w:rPr>
        <w:t> </w:t>
      </w:r>
      <w:r>
        <w:rPr>
          <w:color w:val="231F20"/>
        </w:rPr>
        <w:t>2005).</w:t>
      </w:r>
    </w:p>
    <w:p>
      <w:pPr>
        <w:pStyle w:val="BodyText"/>
        <w:spacing w:line="278" w:lineRule="auto" w:before="1"/>
        <w:ind w:left="653" w:right="101" w:firstLine="396"/>
        <w:jc w:val="both"/>
      </w:pPr>
      <w:r>
        <w:rPr>
          <w:color w:val="231F20"/>
        </w:rPr>
        <w:t>Actualmente,</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mitad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producción</w:t>
      </w:r>
      <w:r>
        <w:rPr>
          <w:color w:val="231F20"/>
          <w:spacing w:val="-12"/>
        </w:rPr>
        <w:t> </w:t>
      </w:r>
      <w:r>
        <w:rPr>
          <w:color w:val="231F20"/>
        </w:rPr>
        <w:t>y</w:t>
      </w:r>
      <w:r>
        <w:rPr>
          <w:color w:val="231F20"/>
          <w:spacing w:val="-12"/>
        </w:rPr>
        <w:t> </w:t>
      </w:r>
      <w:r>
        <w:rPr>
          <w:color w:val="231F20"/>
        </w:rPr>
        <w:t>las</w:t>
      </w:r>
      <w:r>
        <w:rPr>
          <w:color w:val="231F20"/>
          <w:spacing w:val="-12"/>
        </w:rPr>
        <w:t> </w:t>
      </w:r>
      <w:r>
        <w:rPr>
          <w:color w:val="231F20"/>
        </w:rPr>
        <w:t>ventas</w:t>
      </w:r>
      <w:r>
        <w:rPr>
          <w:color w:val="231F20"/>
          <w:spacing w:val="-12"/>
        </w:rPr>
        <w:t> </w:t>
      </w:r>
      <w:r>
        <w:rPr>
          <w:color w:val="231F20"/>
        </w:rPr>
        <w:t>globales</w:t>
      </w:r>
      <w:r>
        <w:rPr>
          <w:color w:val="231F20"/>
          <w:spacing w:val="-12"/>
        </w:rPr>
        <w:t> </w:t>
      </w:r>
      <w:r>
        <w:rPr>
          <w:color w:val="231F20"/>
        </w:rPr>
        <w:t>corresponden a las cinco mayores empresas ensambladoras: General </w:t>
      </w:r>
      <w:r>
        <w:rPr>
          <w:color w:val="231F20"/>
          <w:spacing w:val="-3"/>
        </w:rPr>
        <w:t>Motors, Ford, </w:t>
      </w:r>
      <w:r>
        <w:rPr>
          <w:color w:val="231F20"/>
        </w:rPr>
        <w:t>Chrysler, </w:t>
      </w:r>
      <w:r>
        <w:rPr>
          <w:color w:val="231F20"/>
          <w:spacing w:val="-5"/>
        </w:rPr>
        <w:t>Toyota </w:t>
      </w:r>
      <w:r>
        <w:rPr>
          <w:color w:val="231F20"/>
        </w:rPr>
        <w:t>y</w:t>
      </w:r>
      <w:r>
        <w:rPr>
          <w:color w:val="231F20"/>
          <w:spacing w:val="-34"/>
        </w:rPr>
        <w:t> </w:t>
      </w:r>
      <w:r>
        <w:rPr>
          <w:color w:val="231F20"/>
          <w:spacing w:val="-3"/>
        </w:rPr>
        <w:t>Volkswagen.</w:t>
      </w:r>
    </w:p>
    <w:p>
      <w:pPr>
        <w:pStyle w:val="BodyText"/>
        <w:spacing w:before="8"/>
        <w:rPr>
          <w:sz w:val="17"/>
        </w:rPr>
      </w:pPr>
    </w:p>
    <w:p>
      <w:pPr>
        <w:spacing w:before="0"/>
        <w:ind w:left="653" w:right="0" w:firstLine="0"/>
        <w:jc w:val="both"/>
        <w:rPr>
          <w:rFonts w:ascii="Palatino Linotype" w:hAnsi="Palatino Linotype"/>
          <w:i/>
          <w:sz w:val="21"/>
        </w:rPr>
      </w:pPr>
      <w:r>
        <w:rPr>
          <w:rFonts w:ascii="Palatino Linotype" w:hAnsi="Palatino Linotype"/>
          <w:i/>
          <w:color w:val="231F20"/>
          <w:sz w:val="21"/>
        </w:rPr>
        <w:t>b) Producción modular</w:t>
      </w:r>
    </w:p>
    <w:p>
      <w:pPr>
        <w:pStyle w:val="BodyText"/>
        <w:spacing w:line="278" w:lineRule="auto" w:before="134"/>
        <w:ind w:left="653" w:right="101"/>
        <w:jc w:val="both"/>
      </w:pPr>
      <w:r>
        <w:rPr>
          <w:color w:val="231F20"/>
        </w:rPr>
        <w:t>En</w:t>
      </w:r>
      <w:r>
        <w:rPr>
          <w:color w:val="231F20"/>
          <w:spacing w:val="-7"/>
        </w:rPr>
        <w:t> </w:t>
      </w:r>
      <w:r>
        <w:rPr>
          <w:color w:val="231F20"/>
        </w:rPr>
        <w:t>la</w:t>
      </w:r>
      <w:r>
        <w:rPr>
          <w:color w:val="231F20"/>
          <w:spacing w:val="-7"/>
        </w:rPr>
        <w:t> </w:t>
      </w:r>
      <w:r>
        <w:rPr>
          <w:color w:val="231F20"/>
        </w:rPr>
        <w:t>década</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noventa,</w:t>
      </w:r>
      <w:r>
        <w:rPr>
          <w:color w:val="231F20"/>
          <w:spacing w:val="-7"/>
        </w:rPr>
        <w:t> </w:t>
      </w:r>
      <w:r>
        <w:rPr>
          <w:color w:val="231F20"/>
        </w:rPr>
        <w:t>ante</w:t>
      </w:r>
      <w:r>
        <w:rPr>
          <w:color w:val="231F20"/>
          <w:spacing w:val="-7"/>
        </w:rPr>
        <w:t> </w:t>
      </w:r>
      <w:r>
        <w:rPr>
          <w:color w:val="231F20"/>
        </w:rPr>
        <w:t>la</w:t>
      </w:r>
      <w:r>
        <w:rPr>
          <w:color w:val="231F20"/>
          <w:spacing w:val="-7"/>
        </w:rPr>
        <w:t> </w:t>
      </w:r>
      <w:r>
        <w:rPr>
          <w:color w:val="231F20"/>
        </w:rPr>
        <w:t>necesidad</w:t>
      </w:r>
      <w:r>
        <w:rPr>
          <w:color w:val="231F20"/>
          <w:spacing w:val="-7"/>
        </w:rPr>
        <w:t> </w:t>
      </w:r>
      <w:r>
        <w:rPr>
          <w:color w:val="231F20"/>
        </w:rPr>
        <w:t>de</w:t>
      </w:r>
      <w:r>
        <w:rPr>
          <w:color w:val="231F20"/>
          <w:spacing w:val="-7"/>
        </w:rPr>
        <w:t> </w:t>
      </w:r>
      <w:r>
        <w:rPr>
          <w:color w:val="231F20"/>
        </w:rPr>
        <w:t>enfrentar</w:t>
      </w:r>
      <w:r>
        <w:rPr>
          <w:color w:val="231F20"/>
          <w:spacing w:val="-7"/>
        </w:rPr>
        <w:t> </w:t>
      </w:r>
      <w:r>
        <w:rPr>
          <w:color w:val="231F20"/>
        </w:rPr>
        <w:t>el</w:t>
      </w:r>
      <w:r>
        <w:rPr>
          <w:color w:val="231F20"/>
          <w:spacing w:val="-7"/>
        </w:rPr>
        <w:t> </w:t>
      </w:r>
      <w:r>
        <w:rPr>
          <w:color w:val="231F20"/>
        </w:rPr>
        <w:t>desafío</w:t>
      </w:r>
      <w:r>
        <w:rPr>
          <w:color w:val="231F20"/>
          <w:spacing w:val="-7"/>
        </w:rPr>
        <w:t> </w:t>
      </w:r>
      <w:r>
        <w:rPr>
          <w:color w:val="231F20"/>
        </w:rPr>
        <w:t>que</w:t>
      </w:r>
      <w:r>
        <w:rPr>
          <w:color w:val="231F20"/>
          <w:spacing w:val="-7"/>
        </w:rPr>
        <w:t> </w:t>
      </w:r>
      <w:r>
        <w:rPr>
          <w:color w:val="231F20"/>
        </w:rPr>
        <w:t>representaba </w:t>
      </w:r>
      <w:r>
        <w:rPr>
          <w:color w:val="231F20"/>
          <w:spacing w:val="-3"/>
        </w:rPr>
        <w:t>Japón </w:t>
      </w:r>
      <w:r>
        <w:rPr>
          <w:color w:val="231F20"/>
        </w:rPr>
        <w:t>para las empresas transnacionales automotrices</w:t>
      </w:r>
      <w:r>
        <w:rPr>
          <w:color w:val="231F20"/>
          <w:position w:val="7"/>
          <w:sz w:val="12"/>
        </w:rPr>
        <w:t>3 </w:t>
      </w:r>
      <w:r>
        <w:rPr>
          <w:color w:val="231F20"/>
        </w:rPr>
        <w:t>de Estados Unidos y Europa, surge</w:t>
      </w:r>
      <w:r>
        <w:rPr>
          <w:color w:val="231F20"/>
          <w:spacing w:val="-5"/>
        </w:rPr>
        <w:t> </w:t>
      </w:r>
      <w:r>
        <w:rPr>
          <w:color w:val="231F20"/>
        </w:rPr>
        <w:t>el</w:t>
      </w:r>
      <w:r>
        <w:rPr>
          <w:color w:val="231F20"/>
          <w:spacing w:val="-5"/>
        </w:rPr>
        <w:t> </w:t>
      </w:r>
      <w:r>
        <w:rPr>
          <w:color w:val="231F20"/>
        </w:rPr>
        <w:t>llamado</w:t>
      </w:r>
      <w:r>
        <w:rPr>
          <w:color w:val="231F20"/>
          <w:spacing w:val="-5"/>
        </w:rPr>
        <w:t> </w:t>
      </w:r>
      <w:r>
        <w:rPr>
          <w:color w:val="231F20"/>
        </w:rPr>
        <w:t>ensamblaje</w:t>
      </w:r>
      <w:r>
        <w:rPr>
          <w:color w:val="231F20"/>
          <w:spacing w:val="-5"/>
        </w:rPr>
        <w:t> </w:t>
      </w:r>
      <w:r>
        <w:rPr>
          <w:color w:val="231F20"/>
          <w:spacing w:val="-3"/>
        </w:rPr>
        <w:t>modular.</w:t>
      </w:r>
      <w:r>
        <w:rPr>
          <w:color w:val="231F20"/>
          <w:spacing w:val="-5"/>
        </w:rPr>
        <w:t> </w:t>
      </w:r>
      <w:r>
        <w:rPr>
          <w:color w:val="231F20"/>
        </w:rPr>
        <w:t>Este</w:t>
      </w:r>
      <w:r>
        <w:rPr>
          <w:color w:val="231F20"/>
          <w:spacing w:val="-5"/>
        </w:rPr>
        <w:t> </w:t>
      </w:r>
      <w:r>
        <w:rPr>
          <w:color w:val="231F20"/>
        </w:rPr>
        <w:t>modelo</w:t>
      </w:r>
      <w:r>
        <w:rPr>
          <w:color w:val="231F20"/>
          <w:spacing w:val="-5"/>
        </w:rPr>
        <w:t> </w:t>
      </w:r>
      <w:r>
        <w:rPr>
          <w:color w:val="231F20"/>
        </w:rPr>
        <w:t>busca</w:t>
      </w:r>
      <w:r>
        <w:rPr>
          <w:color w:val="231F20"/>
          <w:spacing w:val="-5"/>
        </w:rPr>
        <w:t> </w:t>
      </w:r>
      <w:r>
        <w:rPr>
          <w:color w:val="231F20"/>
        </w:rPr>
        <w:t>hacer</w:t>
      </w:r>
      <w:r>
        <w:rPr>
          <w:color w:val="231F20"/>
          <w:spacing w:val="-5"/>
        </w:rPr>
        <w:t> </w:t>
      </w:r>
      <w:r>
        <w:rPr>
          <w:color w:val="231F20"/>
        </w:rPr>
        <w:t>más</w:t>
      </w:r>
      <w:r>
        <w:rPr>
          <w:color w:val="231F20"/>
          <w:spacing w:val="-5"/>
        </w:rPr>
        <w:t> </w:t>
      </w:r>
      <w:r>
        <w:rPr>
          <w:color w:val="231F20"/>
        </w:rPr>
        <w:t>rentable</w:t>
      </w:r>
      <w:r>
        <w:rPr>
          <w:color w:val="231F20"/>
          <w:spacing w:val="-5"/>
        </w:rPr>
        <w:t> </w:t>
      </w:r>
      <w:r>
        <w:rPr>
          <w:color w:val="231F20"/>
        </w:rPr>
        <w:t>el</w:t>
      </w:r>
      <w:r>
        <w:rPr>
          <w:color w:val="231F20"/>
          <w:spacing w:val="-5"/>
        </w:rPr>
        <w:t> </w:t>
      </w:r>
      <w:r>
        <w:rPr>
          <w:color w:val="231F20"/>
        </w:rPr>
        <w:t>diseño y</w:t>
      </w:r>
      <w:r>
        <w:rPr>
          <w:color w:val="231F20"/>
          <w:spacing w:val="-13"/>
        </w:rPr>
        <w:t> </w:t>
      </w:r>
      <w:r>
        <w:rPr>
          <w:color w:val="231F20"/>
        </w:rPr>
        <w:t>la</w:t>
      </w:r>
      <w:r>
        <w:rPr>
          <w:color w:val="231F20"/>
          <w:spacing w:val="-13"/>
        </w:rPr>
        <w:t> </w:t>
      </w:r>
      <w:r>
        <w:rPr>
          <w:color w:val="231F20"/>
        </w:rPr>
        <w:t>manufactura</w:t>
      </w:r>
      <w:r>
        <w:rPr>
          <w:color w:val="231F20"/>
          <w:spacing w:val="-13"/>
        </w:rPr>
        <w:t> </w:t>
      </w:r>
      <w:r>
        <w:rPr>
          <w:color w:val="231F20"/>
        </w:rPr>
        <w:t>de</w:t>
      </w:r>
      <w:r>
        <w:rPr>
          <w:color w:val="231F20"/>
          <w:spacing w:val="-13"/>
        </w:rPr>
        <w:t> </w:t>
      </w:r>
      <w:r>
        <w:rPr>
          <w:color w:val="231F20"/>
        </w:rPr>
        <w:t>vehículos</w:t>
      </w:r>
      <w:r>
        <w:rPr>
          <w:color w:val="231F20"/>
          <w:spacing w:val="-13"/>
        </w:rPr>
        <w:t> </w:t>
      </w:r>
      <w:r>
        <w:rPr>
          <w:color w:val="231F20"/>
        </w:rPr>
        <w:t>mediante</w:t>
      </w:r>
      <w:r>
        <w:rPr>
          <w:color w:val="231F20"/>
          <w:spacing w:val="-13"/>
        </w:rPr>
        <w:t> </w:t>
      </w:r>
      <w:r>
        <w:rPr>
          <w:color w:val="231F20"/>
        </w:rPr>
        <w:t>el</w:t>
      </w:r>
      <w:r>
        <w:rPr>
          <w:color w:val="231F20"/>
          <w:spacing w:val="-13"/>
        </w:rPr>
        <w:t> </w:t>
      </w:r>
      <w:r>
        <w:rPr>
          <w:color w:val="231F20"/>
        </w:rPr>
        <w:t>empleo</w:t>
      </w:r>
      <w:r>
        <w:rPr>
          <w:color w:val="231F20"/>
          <w:spacing w:val="-13"/>
        </w:rPr>
        <w:t> </w:t>
      </w:r>
      <w:r>
        <w:rPr>
          <w:color w:val="231F20"/>
        </w:rPr>
        <w:t>de</w:t>
      </w:r>
      <w:r>
        <w:rPr>
          <w:color w:val="231F20"/>
          <w:spacing w:val="-13"/>
        </w:rPr>
        <w:t> </w:t>
      </w:r>
      <w:r>
        <w:rPr>
          <w:color w:val="231F20"/>
        </w:rPr>
        <w:t>plataformas</w:t>
      </w:r>
      <w:r>
        <w:rPr>
          <w:color w:val="231F20"/>
          <w:spacing w:val="-13"/>
        </w:rPr>
        <w:t> </w:t>
      </w:r>
      <w:r>
        <w:rPr>
          <w:color w:val="231F20"/>
        </w:rPr>
        <w:t>comunes,</w:t>
      </w:r>
      <w:r>
        <w:rPr>
          <w:color w:val="231F20"/>
          <w:spacing w:val="-13"/>
        </w:rPr>
        <w:t> </w:t>
      </w:r>
      <w:r>
        <w:rPr>
          <w:color w:val="231F20"/>
        </w:rPr>
        <w:t>que</w:t>
      </w:r>
      <w:r>
        <w:rPr>
          <w:color w:val="231F20"/>
          <w:spacing w:val="-13"/>
        </w:rPr>
        <w:t> </w:t>
      </w:r>
      <w:r>
        <w:rPr>
          <w:color w:val="231F20"/>
        </w:rPr>
        <w:t>permi- ten una mayor coordinación y un uso múltiple de las partes, mientras que se mantiene la habilidad para adaptar modelos específicos de vehículos a gustos y condiciones de manejo</w:t>
      </w:r>
      <w:r>
        <w:rPr>
          <w:color w:val="231F20"/>
          <w:spacing w:val="-12"/>
        </w:rPr>
        <w:t> </w:t>
      </w:r>
      <w:r>
        <w:rPr>
          <w:color w:val="231F20"/>
        </w:rPr>
        <w:t>locales.</w:t>
      </w:r>
      <w:r>
        <w:rPr>
          <w:color w:val="231F20"/>
          <w:spacing w:val="-12"/>
        </w:rPr>
        <w:t> </w:t>
      </w:r>
      <w:r>
        <w:rPr>
          <w:color w:val="231F20"/>
        </w:rPr>
        <w:t>Esta</w:t>
      </w:r>
      <w:r>
        <w:rPr>
          <w:color w:val="231F20"/>
          <w:spacing w:val="-12"/>
        </w:rPr>
        <w:t> </w:t>
      </w:r>
      <w:r>
        <w:rPr>
          <w:color w:val="231F20"/>
        </w:rPr>
        <w:t>estrategia</w:t>
      </w:r>
      <w:r>
        <w:rPr>
          <w:color w:val="231F20"/>
          <w:spacing w:val="-12"/>
        </w:rPr>
        <w:t> </w:t>
      </w:r>
      <w:r>
        <w:rPr>
          <w:color w:val="231F20"/>
        </w:rPr>
        <w:t>requirió</w:t>
      </w:r>
      <w:r>
        <w:rPr>
          <w:color w:val="231F20"/>
          <w:spacing w:val="-12"/>
        </w:rPr>
        <w:t> </w:t>
      </w:r>
      <w:r>
        <w:rPr>
          <w:color w:val="231F20"/>
        </w:rPr>
        <w:t>de</w:t>
      </w:r>
      <w:r>
        <w:rPr>
          <w:color w:val="231F20"/>
          <w:spacing w:val="-12"/>
        </w:rPr>
        <w:t> </w:t>
      </w:r>
      <w:r>
        <w:rPr>
          <w:color w:val="231F20"/>
        </w:rPr>
        <w:t>redes</w:t>
      </w:r>
      <w:r>
        <w:rPr>
          <w:color w:val="231F20"/>
          <w:spacing w:val="-12"/>
        </w:rPr>
        <w:t> </w:t>
      </w:r>
      <w:r>
        <w:rPr>
          <w:color w:val="231F20"/>
        </w:rPr>
        <w:t>de</w:t>
      </w:r>
      <w:r>
        <w:rPr>
          <w:color w:val="231F20"/>
          <w:spacing w:val="-12"/>
        </w:rPr>
        <w:t> </w:t>
      </w:r>
      <w:r>
        <w:rPr>
          <w:color w:val="231F20"/>
        </w:rPr>
        <w:t>proveedores</w:t>
      </w:r>
      <w:r>
        <w:rPr>
          <w:color w:val="231F20"/>
          <w:spacing w:val="-12"/>
        </w:rPr>
        <w:t> </w:t>
      </w:r>
      <w:r>
        <w:rPr>
          <w:color w:val="231F20"/>
        </w:rPr>
        <w:t>con</w:t>
      </w:r>
      <w:r>
        <w:rPr>
          <w:color w:val="231F20"/>
          <w:spacing w:val="-12"/>
        </w:rPr>
        <w:t> </w:t>
      </w:r>
      <w:r>
        <w:rPr>
          <w:color w:val="231F20"/>
        </w:rPr>
        <w:t>presencia</w:t>
      </w:r>
      <w:r>
        <w:rPr>
          <w:color w:val="231F20"/>
          <w:spacing w:val="-12"/>
        </w:rPr>
        <w:t> </w:t>
      </w:r>
      <w:r>
        <w:rPr>
          <w:color w:val="231F20"/>
        </w:rPr>
        <w:t>mundial y</w:t>
      </w:r>
      <w:r>
        <w:rPr>
          <w:color w:val="231F20"/>
          <w:spacing w:val="-5"/>
        </w:rPr>
        <w:t> </w:t>
      </w:r>
      <w:r>
        <w:rPr>
          <w:color w:val="231F20"/>
        </w:rPr>
        <w:t>una</w:t>
      </w:r>
      <w:r>
        <w:rPr>
          <w:color w:val="231F20"/>
          <w:spacing w:val="-5"/>
        </w:rPr>
        <w:t> </w:t>
      </w:r>
      <w:r>
        <w:rPr>
          <w:color w:val="231F20"/>
        </w:rPr>
        <w:t>mayor</w:t>
      </w:r>
      <w:r>
        <w:rPr>
          <w:color w:val="231F20"/>
          <w:spacing w:val="-5"/>
        </w:rPr>
        <w:t> </w:t>
      </w:r>
      <w:r>
        <w:rPr>
          <w:color w:val="231F20"/>
        </w:rPr>
        <w:t>coordinación</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esfuerzos</w:t>
      </w:r>
      <w:r>
        <w:rPr>
          <w:color w:val="231F20"/>
          <w:spacing w:val="-5"/>
        </w:rPr>
        <w:t> </w:t>
      </w:r>
      <w:r>
        <w:rPr>
          <w:color w:val="231F20"/>
        </w:rPr>
        <w:t>globales</w:t>
      </w:r>
      <w:r>
        <w:rPr>
          <w:color w:val="231F20"/>
          <w:spacing w:val="-5"/>
        </w:rPr>
        <w:t> </w:t>
      </w:r>
      <w:r>
        <w:rPr>
          <w:color w:val="231F20"/>
        </w:rPr>
        <w:t>de</w:t>
      </w:r>
      <w:r>
        <w:rPr>
          <w:color w:val="231F20"/>
          <w:spacing w:val="-5"/>
        </w:rPr>
        <w:t> </w:t>
      </w:r>
      <w:r>
        <w:rPr>
          <w:color w:val="231F20"/>
        </w:rPr>
        <w:t>diseño.</w:t>
      </w:r>
      <w:r>
        <w:rPr>
          <w:color w:val="231F20"/>
          <w:spacing w:val="-5"/>
        </w:rPr>
        <w:t> </w:t>
      </w:r>
      <w:r>
        <w:rPr>
          <w:color w:val="231F20"/>
        </w:rPr>
        <w:t>El</w:t>
      </w:r>
      <w:r>
        <w:rPr>
          <w:color w:val="231F20"/>
          <w:spacing w:val="-5"/>
        </w:rPr>
        <w:t> </w:t>
      </w:r>
      <w:r>
        <w:rPr>
          <w:color w:val="231F20"/>
        </w:rPr>
        <w:t>ensamblaje</w:t>
      </w:r>
      <w:r>
        <w:rPr>
          <w:color w:val="231F20"/>
          <w:spacing w:val="-5"/>
        </w:rPr>
        <w:t> </w:t>
      </w:r>
      <w:r>
        <w:rPr>
          <w:color w:val="231F20"/>
        </w:rPr>
        <w:t>modular es una tendencia que no se ha difundido ampliamente, no obstante que ha mostrado resultados positivos en algunas de las empresas que lo han incorporado a sus sistemas productivos</w:t>
      </w:r>
      <w:r>
        <w:rPr>
          <w:color w:val="231F20"/>
          <w:spacing w:val="-26"/>
        </w:rPr>
        <w:t> </w:t>
      </w:r>
      <w:r>
        <w:rPr>
          <w:color w:val="231F20"/>
          <w:spacing w:val="-3"/>
        </w:rPr>
        <w:t>(CEPAL,</w:t>
      </w:r>
      <w:r>
        <w:rPr>
          <w:color w:val="231F20"/>
          <w:spacing w:val="-26"/>
        </w:rPr>
        <w:t> </w:t>
      </w:r>
      <w:r>
        <w:rPr>
          <w:color w:val="231F20"/>
        </w:rPr>
        <w:t>2003).</w:t>
      </w:r>
    </w:p>
    <w:p>
      <w:pPr>
        <w:pStyle w:val="BodyText"/>
        <w:spacing w:line="278" w:lineRule="auto" w:before="1"/>
        <w:ind w:left="653" w:right="101" w:firstLine="396"/>
        <w:jc w:val="both"/>
      </w:pPr>
      <w:r>
        <w:rPr>
          <w:color w:val="231F20"/>
        </w:rPr>
        <w:t>En la manufactura de vehículos, actualmente los productores de Estados Unidos y</w:t>
      </w:r>
      <w:r>
        <w:rPr>
          <w:color w:val="231F20"/>
          <w:spacing w:val="-6"/>
        </w:rPr>
        <w:t> </w:t>
      </w:r>
      <w:r>
        <w:rPr>
          <w:color w:val="231F20"/>
        </w:rPr>
        <w:t>Europa</w:t>
      </w:r>
      <w:r>
        <w:rPr>
          <w:color w:val="231F20"/>
          <w:spacing w:val="-6"/>
        </w:rPr>
        <w:t> </w:t>
      </w:r>
      <w:r>
        <w:rPr>
          <w:color w:val="231F20"/>
        </w:rPr>
        <w:t>realizan</w:t>
      </w:r>
      <w:r>
        <w:rPr>
          <w:color w:val="231F20"/>
          <w:spacing w:val="-6"/>
        </w:rPr>
        <w:t> </w:t>
      </w:r>
      <w:r>
        <w:rPr>
          <w:color w:val="231F20"/>
        </w:rPr>
        <w:t>en</w:t>
      </w:r>
      <w:r>
        <w:rPr>
          <w:color w:val="231F20"/>
          <w:spacing w:val="-6"/>
        </w:rPr>
        <w:t> </w:t>
      </w:r>
      <w:r>
        <w:rPr>
          <w:color w:val="231F20"/>
        </w:rPr>
        <w:t>las</w:t>
      </w:r>
      <w:r>
        <w:rPr>
          <w:color w:val="231F20"/>
          <w:spacing w:val="-6"/>
        </w:rPr>
        <w:t> </w:t>
      </w:r>
      <w:r>
        <w:rPr>
          <w:color w:val="231F20"/>
        </w:rPr>
        <w:t>líneas</w:t>
      </w:r>
      <w:r>
        <w:rPr>
          <w:color w:val="231F20"/>
          <w:spacing w:val="-6"/>
        </w:rPr>
        <w:t> </w:t>
      </w:r>
      <w:r>
        <w:rPr>
          <w:color w:val="231F20"/>
        </w:rPr>
        <w:t>de</w:t>
      </w:r>
      <w:r>
        <w:rPr>
          <w:color w:val="231F20"/>
          <w:spacing w:val="-6"/>
        </w:rPr>
        <w:t> </w:t>
      </w:r>
      <w:r>
        <w:rPr>
          <w:color w:val="231F20"/>
        </w:rPr>
        <w:t>ensamblaje</w:t>
      </w:r>
      <w:r>
        <w:rPr>
          <w:color w:val="231F20"/>
          <w:spacing w:val="-6"/>
        </w:rPr>
        <w:t> </w:t>
      </w:r>
      <w:r>
        <w:rPr>
          <w:color w:val="231F20"/>
        </w:rPr>
        <w:t>de</w:t>
      </w:r>
      <w:r>
        <w:rPr>
          <w:color w:val="231F20"/>
          <w:spacing w:val="-6"/>
        </w:rPr>
        <w:t> </w:t>
      </w:r>
      <w:r>
        <w:rPr>
          <w:color w:val="231F20"/>
        </w:rPr>
        <w:t>sus</w:t>
      </w:r>
      <w:r>
        <w:rPr>
          <w:color w:val="231F20"/>
          <w:spacing w:val="-6"/>
        </w:rPr>
        <w:t> </w:t>
      </w:r>
      <w:r>
        <w:rPr>
          <w:color w:val="231F20"/>
        </w:rPr>
        <w:t>plantas</w:t>
      </w:r>
      <w:r>
        <w:rPr>
          <w:color w:val="231F20"/>
          <w:spacing w:val="-6"/>
        </w:rPr>
        <w:t> </w:t>
      </w:r>
      <w:r>
        <w:rPr>
          <w:color w:val="231F20"/>
        </w:rPr>
        <w:t>modulares</w:t>
      </w:r>
      <w:r>
        <w:rPr>
          <w:color w:val="231F20"/>
          <w:spacing w:val="-6"/>
        </w:rPr>
        <w:t> </w:t>
      </w:r>
      <w:r>
        <w:rPr>
          <w:color w:val="231F20"/>
        </w:rPr>
        <w:t>muchas</w:t>
      </w:r>
      <w:r>
        <w:rPr>
          <w:color w:val="231F20"/>
          <w:spacing w:val="-6"/>
        </w:rPr>
        <w:t> </w:t>
      </w:r>
      <w:r>
        <w:rPr>
          <w:color w:val="231F20"/>
        </w:rPr>
        <w:t>menos funciones</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pasado.</w:t>
      </w:r>
      <w:r>
        <w:rPr>
          <w:color w:val="231F20"/>
          <w:spacing w:val="-11"/>
        </w:rPr>
        <w:t> </w:t>
      </w:r>
      <w:r>
        <w:rPr>
          <w:color w:val="231F20"/>
        </w:rPr>
        <w:t>Así,</w:t>
      </w:r>
      <w:r>
        <w:rPr>
          <w:color w:val="231F20"/>
          <w:spacing w:val="-11"/>
        </w:rPr>
        <w:t> </w:t>
      </w:r>
      <w:r>
        <w:rPr>
          <w:color w:val="231F20"/>
        </w:rPr>
        <w:t>las</w:t>
      </w:r>
      <w:r>
        <w:rPr>
          <w:color w:val="231F20"/>
          <w:spacing w:val="-11"/>
        </w:rPr>
        <w:t> </w:t>
      </w:r>
      <w:r>
        <w:rPr>
          <w:color w:val="231F20"/>
        </w:rPr>
        <w:t>líneas</w:t>
      </w:r>
      <w:r>
        <w:rPr>
          <w:color w:val="231F20"/>
          <w:spacing w:val="-11"/>
        </w:rPr>
        <w:t> </w:t>
      </w:r>
      <w:r>
        <w:rPr>
          <w:color w:val="231F20"/>
        </w:rPr>
        <w:t>de</w:t>
      </w:r>
      <w:r>
        <w:rPr>
          <w:color w:val="231F20"/>
          <w:spacing w:val="-11"/>
        </w:rPr>
        <w:t> </w:t>
      </w:r>
      <w:r>
        <w:rPr>
          <w:color w:val="231F20"/>
        </w:rPr>
        <w:t>producción</w:t>
      </w:r>
      <w:r>
        <w:rPr>
          <w:color w:val="231F20"/>
          <w:spacing w:val="-11"/>
        </w:rPr>
        <w:t> </w:t>
      </w:r>
      <w:r>
        <w:rPr>
          <w:color w:val="231F20"/>
        </w:rPr>
        <w:t>se</w:t>
      </w:r>
      <w:r>
        <w:rPr>
          <w:color w:val="231F20"/>
          <w:spacing w:val="-11"/>
        </w:rPr>
        <w:t> </w:t>
      </w:r>
      <w:r>
        <w:rPr>
          <w:color w:val="231F20"/>
        </w:rPr>
        <w:t>coordinan</w:t>
      </w:r>
      <w:r>
        <w:rPr>
          <w:color w:val="231F20"/>
          <w:spacing w:val="-11"/>
        </w:rPr>
        <w:t> </w:t>
      </w:r>
      <w:r>
        <w:rPr>
          <w:color w:val="231F20"/>
        </w:rPr>
        <w:t>mejor</w:t>
      </w:r>
      <w:r>
        <w:rPr>
          <w:color w:val="231F20"/>
          <w:spacing w:val="-11"/>
        </w:rPr>
        <w:t> </w:t>
      </w:r>
      <w:r>
        <w:rPr>
          <w:color w:val="231F20"/>
        </w:rPr>
        <w:t>y</w:t>
      </w:r>
      <w:r>
        <w:rPr>
          <w:color w:val="231F20"/>
          <w:spacing w:val="-11"/>
        </w:rPr>
        <w:t> </w:t>
      </w:r>
      <w:r>
        <w:rPr>
          <w:color w:val="231F20"/>
        </w:rPr>
        <w:t>son</w:t>
      </w:r>
      <w:r>
        <w:rPr>
          <w:color w:val="231F20"/>
          <w:spacing w:val="-11"/>
        </w:rPr>
        <w:t> </w:t>
      </w:r>
      <w:r>
        <w:rPr>
          <w:color w:val="231F20"/>
        </w:rPr>
        <w:t>más eficientes. En estas nuevas plantas los trabajadores manejan módulos ya</w:t>
      </w:r>
      <w:r>
        <w:rPr>
          <w:color w:val="231F20"/>
          <w:spacing w:val="-6"/>
        </w:rPr>
        <w:t> </w:t>
      </w:r>
      <w:r>
        <w:rPr>
          <w:color w:val="231F20"/>
        </w:rPr>
        <w:t>ensamblados</w:t>
      </w:r>
    </w:p>
    <w:p>
      <w:pPr>
        <w:pStyle w:val="BodyText"/>
        <w:spacing w:before="5"/>
        <w:rPr>
          <w:sz w:val="29"/>
        </w:rPr>
      </w:pPr>
      <w:r>
        <w:rPr/>
        <w:pict>
          <v:line style="position:absolute;mso-position-horizontal-relative:page;mso-position-vertical-relative:paragraph;z-index:5680;mso-wrap-distance-left:0;mso-wrap-distance-right:0" from="56.692902pt,19.162193pt" to="198.424902pt,19.162193pt" stroked="true" strokeweight=".5pt" strokecolor="#231f20">
            <w10:wrap type="topAndBottom"/>
          </v:line>
        </w:pict>
      </w:r>
    </w:p>
    <w:p>
      <w:pPr>
        <w:spacing w:before="43"/>
        <w:ind w:left="653" w:right="673" w:firstLine="0"/>
        <w:jc w:val="left"/>
        <w:rPr>
          <w:sz w:val="16"/>
        </w:rPr>
      </w:pPr>
      <w:r>
        <w:rPr>
          <w:color w:val="231F20"/>
          <w:position w:val="5"/>
          <w:sz w:val="9"/>
        </w:rPr>
        <w:t>3    </w:t>
      </w:r>
      <w:r>
        <w:rPr>
          <w:color w:val="231F20"/>
          <w:sz w:val="16"/>
        </w:rPr>
        <w:t>El ensamblaje modular se desarrolla inicialmente en la industria electrónica (CEPAL, 2003).</w:t>
      </w:r>
    </w:p>
    <w:p>
      <w:pPr>
        <w:spacing w:after="0"/>
        <w:jc w:val="left"/>
        <w:rPr>
          <w:sz w:val="16"/>
        </w:rPr>
        <w:sectPr>
          <w:footerReference w:type="even" r:id="rId41"/>
          <w:footerReference w:type="default" r:id="rId42"/>
          <w:pgSz w:w="9640" w:h="13040"/>
          <w:pgMar w:footer="654" w:header="581" w:top="780" w:bottom="840" w:left="480" w:right="1200"/>
          <w:pgNumType w:start="32"/>
        </w:sectPr>
      </w:pPr>
    </w:p>
    <w:p>
      <w:pPr>
        <w:pStyle w:val="BodyText"/>
        <w:rPr>
          <w:sz w:val="20"/>
        </w:rPr>
      </w:pPr>
    </w:p>
    <w:p>
      <w:pPr>
        <w:pStyle w:val="BodyText"/>
        <w:spacing w:before="10"/>
        <w:rPr>
          <w:sz w:val="17"/>
        </w:rPr>
      </w:pPr>
    </w:p>
    <w:p>
      <w:pPr>
        <w:pStyle w:val="BodyText"/>
        <w:spacing w:line="278" w:lineRule="auto"/>
        <w:ind w:left="103" w:right="651"/>
        <w:jc w:val="both"/>
      </w:pPr>
      <w:r>
        <w:rPr>
          <w:color w:val="231F20"/>
        </w:rPr>
        <w:t>por los proveedores; los módulos quedan completamente armados en el área de re- cepción</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plantas</w:t>
      </w:r>
      <w:r>
        <w:rPr>
          <w:color w:val="231F20"/>
          <w:spacing w:val="-4"/>
        </w:rPr>
        <w:t> </w:t>
      </w:r>
      <w:r>
        <w:rPr>
          <w:color w:val="231F20"/>
        </w:rPr>
        <w:t>de</w:t>
      </w:r>
      <w:r>
        <w:rPr>
          <w:color w:val="231F20"/>
          <w:spacing w:val="-4"/>
        </w:rPr>
        <w:t> </w:t>
      </w:r>
      <w:r>
        <w:rPr>
          <w:color w:val="231F20"/>
        </w:rPr>
        <w:t>ensamblaje</w:t>
      </w:r>
      <w:r>
        <w:rPr>
          <w:color w:val="231F20"/>
          <w:spacing w:val="-4"/>
        </w:rPr>
        <w:t> </w:t>
      </w:r>
      <w:r>
        <w:rPr>
          <w:color w:val="231F20"/>
        </w:rPr>
        <w:t>final,</w:t>
      </w:r>
      <w:r>
        <w:rPr>
          <w:color w:val="231F20"/>
          <w:spacing w:val="-4"/>
        </w:rPr>
        <w:t> </w:t>
      </w:r>
      <w:r>
        <w:rPr>
          <w:color w:val="231F20"/>
        </w:rPr>
        <w:t>listos</w:t>
      </w:r>
      <w:r>
        <w:rPr>
          <w:color w:val="231F20"/>
          <w:spacing w:val="-4"/>
        </w:rPr>
        <w:t> </w:t>
      </w:r>
      <w:r>
        <w:rPr>
          <w:color w:val="231F20"/>
        </w:rPr>
        <w:t>para</w:t>
      </w:r>
      <w:r>
        <w:rPr>
          <w:color w:val="231F20"/>
          <w:spacing w:val="-4"/>
        </w:rPr>
        <w:t> </w:t>
      </w:r>
      <w:r>
        <w:rPr>
          <w:color w:val="231F20"/>
        </w:rPr>
        <w:t>ser</w:t>
      </w:r>
      <w:r>
        <w:rPr>
          <w:color w:val="231F20"/>
          <w:spacing w:val="-4"/>
        </w:rPr>
        <w:t> </w:t>
      </w:r>
      <w:r>
        <w:rPr>
          <w:color w:val="231F20"/>
        </w:rPr>
        <w:t>incorporados</w:t>
      </w:r>
      <w:r>
        <w:rPr>
          <w:color w:val="231F20"/>
          <w:spacing w:val="-4"/>
        </w:rPr>
        <w:t> </w:t>
      </w:r>
      <w:r>
        <w:rPr>
          <w:color w:val="231F20"/>
        </w:rPr>
        <w:t>a</w:t>
      </w:r>
      <w:r>
        <w:rPr>
          <w:color w:val="231F20"/>
          <w:spacing w:val="-4"/>
        </w:rPr>
        <w:t> </w:t>
      </w:r>
      <w:r>
        <w:rPr>
          <w:color w:val="231F20"/>
        </w:rPr>
        <w:t>los</w:t>
      </w:r>
      <w:r>
        <w:rPr>
          <w:color w:val="231F20"/>
          <w:spacing w:val="-4"/>
        </w:rPr>
        <w:t> </w:t>
      </w:r>
      <w:r>
        <w:rPr>
          <w:color w:val="231F20"/>
        </w:rPr>
        <w:t>vehículos </w:t>
      </w:r>
      <w:r>
        <w:rPr>
          <w:color w:val="231F20"/>
          <w:spacing w:val="-3"/>
          <w:w w:val="95"/>
        </w:rPr>
        <w:t>(CEPAL,</w:t>
      </w:r>
      <w:r>
        <w:rPr>
          <w:color w:val="231F20"/>
          <w:spacing w:val="16"/>
          <w:w w:val="95"/>
        </w:rPr>
        <w:t> </w:t>
      </w:r>
      <w:r>
        <w:rPr>
          <w:color w:val="231F20"/>
          <w:w w:val="95"/>
        </w:rPr>
        <w:t>2003).</w:t>
      </w:r>
    </w:p>
    <w:p>
      <w:pPr>
        <w:pStyle w:val="BodyText"/>
        <w:spacing w:line="278" w:lineRule="auto" w:before="1"/>
        <w:ind w:left="103" w:right="648" w:firstLine="396"/>
        <w:jc w:val="both"/>
      </w:pPr>
      <w:r>
        <w:rPr>
          <w:color w:val="231F20"/>
        </w:rPr>
        <w:t>A medida que los fabricantes de vehículos realizan menos actividades en las nuevas plantas de ensamblaje, los proveedores deben hacer cada vez más (Fourcade  y</w:t>
      </w:r>
      <w:r>
        <w:rPr>
          <w:color w:val="231F20"/>
          <w:spacing w:val="-4"/>
        </w:rPr>
        <w:t> </w:t>
      </w:r>
      <w:r>
        <w:rPr>
          <w:color w:val="231F20"/>
        </w:rPr>
        <w:t>Midler,</w:t>
      </w:r>
      <w:r>
        <w:rPr>
          <w:color w:val="231F20"/>
          <w:spacing w:val="-4"/>
        </w:rPr>
        <w:t> </w:t>
      </w:r>
      <w:r>
        <w:rPr>
          <w:color w:val="231F20"/>
        </w:rPr>
        <w:t>2003,</w:t>
      </w:r>
      <w:r>
        <w:rPr>
          <w:color w:val="231F20"/>
          <w:spacing w:val="-4"/>
        </w:rPr>
        <w:t> </w:t>
      </w:r>
      <w:r>
        <w:rPr>
          <w:color w:val="231F20"/>
        </w:rPr>
        <w:t>citado</w:t>
      </w:r>
      <w:r>
        <w:rPr>
          <w:color w:val="231F20"/>
          <w:spacing w:val="-4"/>
        </w:rPr>
        <w:t> </w:t>
      </w:r>
      <w:r>
        <w:rPr>
          <w:color w:val="231F20"/>
        </w:rPr>
        <w:t>por</w:t>
      </w:r>
      <w:r>
        <w:rPr>
          <w:color w:val="231F20"/>
          <w:spacing w:val="-4"/>
        </w:rPr>
        <w:t> </w:t>
      </w:r>
      <w:r>
        <w:rPr>
          <w:color w:val="231F20"/>
        </w:rPr>
        <w:t>CEPAL,</w:t>
      </w:r>
      <w:r>
        <w:rPr>
          <w:color w:val="231F20"/>
          <w:spacing w:val="-4"/>
        </w:rPr>
        <w:t> </w:t>
      </w:r>
      <w:r>
        <w:rPr>
          <w:color w:val="231F20"/>
        </w:rPr>
        <w:t>2003).</w:t>
      </w:r>
      <w:r>
        <w:rPr>
          <w:color w:val="231F20"/>
          <w:spacing w:val="-4"/>
        </w:rPr>
        <w:t> </w:t>
      </w:r>
      <w:r>
        <w:rPr>
          <w:color w:val="231F20"/>
        </w:rPr>
        <w:t>Algunas</w:t>
      </w:r>
      <w:r>
        <w:rPr>
          <w:color w:val="231F20"/>
          <w:spacing w:val="-4"/>
        </w:rPr>
        <w:t> </w:t>
      </w:r>
      <w:r>
        <w:rPr>
          <w:color w:val="231F20"/>
        </w:rPr>
        <w:t>estimaciones</w:t>
      </w:r>
      <w:r>
        <w:rPr>
          <w:color w:val="231F20"/>
          <w:spacing w:val="-4"/>
        </w:rPr>
        <w:t> </w:t>
      </w:r>
      <w:r>
        <w:rPr>
          <w:color w:val="231F20"/>
        </w:rPr>
        <w:t>sugieren</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spacing w:val="2"/>
        </w:rPr>
        <w:t>75% </w:t>
      </w:r>
      <w:r>
        <w:rPr>
          <w:color w:val="231F20"/>
        </w:rPr>
        <w:t>del valor del vehículo corresponde a sólo 15 módulos; entre los más importantes están: suspensión, puertas, techos de interiores (que pueden incorporar manillas, iluminación, conexiones </w:t>
      </w:r>
      <w:r>
        <w:rPr>
          <w:color w:val="231F20"/>
          <w:spacing w:val="2"/>
        </w:rPr>
        <w:t>eléctricas, </w:t>
      </w:r>
      <w:r>
        <w:rPr>
          <w:color w:val="231F20"/>
        </w:rPr>
        <w:t>un techo corredizo, viseras y terminaciones ya ensambladas), unidades de calefacción, ventilación y aire acondicionado, asientos, tableros de instrumentos, y el tren motor (es decir, </w:t>
      </w:r>
      <w:r>
        <w:rPr>
          <w:color w:val="231F20"/>
          <w:spacing w:val="-3"/>
        </w:rPr>
        <w:t>motor, </w:t>
      </w:r>
      <w:r>
        <w:rPr>
          <w:color w:val="231F20"/>
        </w:rPr>
        <w:t>transmisión y ejes). </w:t>
      </w:r>
      <w:r>
        <w:rPr>
          <w:color w:val="231F20"/>
          <w:spacing w:val="2"/>
        </w:rPr>
        <w:t>La</w:t>
      </w:r>
      <w:r>
        <w:rPr>
          <w:color w:val="231F20"/>
          <w:spacing w:val="56"/>
        </w:rPr>
        <w:t> </w:t>
      </w:r>
      <w:r>
        <w:rPr>
          <w:color w:val="231F20"/>
        </w:rPr>
        <w:t>tendencia al empleo de módulos se traduce en el trabajo con sistemas o grupos de módulos. En las plantas modulares más avanzadas, los principales proveedores son responsables de la parte del proceso de ensamblaje del vehículo donde se instalan sus respectivos</w:t>
      </w:r>
      <w:r>
        <w:rPr>
          <w:color w:val="231F20"/>
          <w:spacing w:val="-18"/>
        </w:rPr>
        <w:t> </w:t>
      </w:r>
      <w:r>
        <w:rPr>
          <w:color w:val="231F20"/>
        </w:rPr>
        <w:t>sistemas</w:t>
      </w:r>
      <w:r>
        <w:rPr>
          <w:color w:val="231F20"/>
          <w:spacing w:val="-18"/>
        </w:rPr>
        <w:t> </w:t>
      </w:r>
      <w:r>
        <w:rPr>
          <w:color w:val="231F20"/>
        </w:rPr>
        <w:t>(CEPAL,</w:t>
      </w:r>
      <w:r>
        <w:rPr>
          <w:color w:val="231F20"/>
          <w:spacing w:val="-18"/>
        </w:rPr>
        <w:t> </w:t>
      </w:r>
      <w:r>
        <w:rPr>
          <w:color w:val="231F20"/>
          <w:spacing w:val="2"/>
        </w:rPr>
        <w:t>2003).</w:t>
      </w:r>
    </w:p>
    <w:p>
      <w:pPr>
        <w:pStyle w:val="BodyText"/>
        <w:spacing w:line="278" w:lineRule="auto" w:before="1"/>
        <w:ind w:left="103" w:right="650" w:firstLine="396"/>
        <w:jc w:val="both"/>
      </w:pPr>
      <w:r>
        <w:rPr>
          <w:color w:val="231F20"/>
        </w:rPr>
        <w:t>La tendencia hacia la modularización o segmentación está ligada a la consolida- ción de la red de proveedores, en la medida que las empresas que venden insumos directamente</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ensambladoras</w:t>
      </w:r>
      <w:r>
        <w:rPr>
          <w:color w:val="231F20"/>
          <w:spacing w:val="-13"/>
        </w:rPr>
        <w:t> </w:t>
      </w:r>
      <w:r>
        <w:rPr>
          <w:color w:val="231F20"/>
        </w:rPr>
        <w:t>compran</w:t>
      </w:r>
      <w:r>
        <w:rPr>
          <w:color w:val="231F20"/>
          <w:spacing w:val="-13"/>
        </w:rPr>
        <w:t> </w:t>
      </w:r>
      <w:r>
        <w:rPr>
          <w:color w:val="231F20"/>
        </w:rPr>
        <w:t>aquellas</w:t>
      </w:r>
      <w:r>
        <w:rPr>
          <w:color w:val="231F20"/>
          <w:spacing w:val="-13"/>
        </w:rPr>
        <w:t> </w:t>
      </w:r>
      <w:r>
        <w:rPr>
          <w:color w:val="231F20"/>
        </w:rPr>
        <w:t>empresas</w:t>
      </w:r>
      <w:r>
        <w:rPr>
          <w:color w:val="231F20"/>
          <w:spacing w:val="-13"/>
        </w:rPr>
        <w:t> </w:t>
      </w:r>
      <w:r>
        <w:rPr>
          <w:color w:val="231F20"/>
        </w:rPr>
        <w:t>que</w:t>
      </w:r>
      <w:r>
        <w:rPr>
          <w:color w:val="231F20"/>
          <w:spacing w:val="-13"/>
        </w:rPr>
        <w:t> </w:t>
      </w:r>
      <w:r>
        <w:rPr>
          <w:color w:val="231F20"/>
        </w:rPr>
        <w:t>a</w:t>
      </w:r>
      <w:r>
        <w:rPr>
          <w:color w:val="231F20"/>
          <w:spacing w:val="-13"/>
        </w:rPr>
        <w:t> </w:t>
      </w:r>
      <w:r>
        <w:rPr>
          <w:color w:val="231F20"/>
        </w:rPr>
        <w:t>su</w:t>
      </w:r>
      <w:r>
        <w:rPr>
          <w:color w:val="231F20"/>
          <w:spacing w:val="-13"/>
        </w:rPr>
        <w:t> </w:t>
      </w:r>
      <w:r>
        <w:rPr>
          <w:color w:val="231F20"/>
        </w:rPr>
        <w:t>vez</w:t>
      </w:r>
      <w:r>
        <w:rPr>
          <w:color w:val="231F20"/>
          <w:spacing w:val="-13"/>
        </w:rPr>
        <w:t> </w:t>
      </w:r>
      <w:r>
        <w:rPr>
          <w:color w:val="231F20"/>
        </w:rPr>
        <w:t>las</w:t>
      </w:r>
      <w:r>
        <w:rPr>
          <w:color w:val="231F20"/>
          <w:spacing w:val="-13"/>
        </w:rPr>
        <w:t> </w:t>
      </w:r>
      <w:r>
        <w:rPr>
          <w:color w:val="231F20"/>
        </w:rPr>
        <w:t>proveen. Debido</w:t>
      </w:r>
      <w:r>
        <w:rPr>
          <w:color w:val="231F20"/>
          <w:spacing w:val="-3"/>
        </w:rPr>
        <w:t> </w:t>
      </w:r>
      <w:r>
        <w:rPr>
          <w:color w:val="231F20"/>
        </w:rPr>
        <w:t>a</w:t>
      </w:r>
      <w:r>
        <w:rPr>
          <w:color w:val="231F20"/>
          <w:spacing w:val="-3"/>
        </w:rPr>
        <w:t> </w:t>
      </w:r>
      <w:r>
        <w:rPr>
          <w:color w:val="231F20"/>
        </w:rPr>
        <w:t>que</w:t>
      </w:r>
      <w:r>
        <w:rPr>
          <w:color w:val="231F20"/>
          <w:spacing w:val="-3"/>
        </w:rPr>
        <w:t> </w:t>
      </w:r>
      <w:r>
        <w:rPr>
          <w:color w:val="231F20"/>
        </w:rPr>
        <w:t>los</w:t>
      </w:r>
      <w:r>
        <w:rPr>
          <w:color w:val="231F20"/>
          <w:spacing w:val="-3"/>
        </w:rPr>
        <w:t> </w:t>
      </w:r>
      <w:r>
        <w:rPr>
          <w:color w:val="231F20"/>
        </w:rPr>
        <w:t>módulos</w:t>
      </w:r>
      <w:r>
        <w:rPr>
          <w:color w:val="231F20"/>
          <w:spacing w:val="-3"/>
        </w:rPr>
        <w:t> </w:t>
      </w:r>
      <w:r>
        <w:rPr>
          <w:color w:val="231F20"/>
        </w:rPr>
        <w:t>más</w:t>
      </w:r>
      <w:r>
        <w:rPr>
          <w:color w:val="231F20"/>
          <w:spacing w:val="-3"/>
        </w:rPr>
        <w:t> </w:t>
      </w:r>
      <w:r>
        <w:rPr>
          <w:color w:val="231F20"/>
        </w:rPr>
        <w:t>grandes</w:t>
      </w:r>
      <w:r>
        <w:rPr>
          <w:color w:val="231F20"/>
          <w:spacing w:val="-3"/>
        </w:rPr>
        <w:t> </w:t>
      </w:r>
      <w:r>
        <w:rPr>
          <w:color w:val="231F20"/>
        </w:rPr>
        <w:t>son</w:t>
      </w:r>
      <w:r>
        <w:rPr>
          <w:color w:val="231F20"/>
          <w:spacing w:val="-3"/>
        </w:rPr>
        <w:t> </w:t>
      </w:r>
      <w:r>
        <w:rPr>
          <w:color w:val="231F20"/>
        </w:rPr>
        <w:t>más</w:t>
      </w:r>
      <w:r>
        <w:rPr>
          <w:color w:val="231F20"/>
          <w:spacing w:val="-3"/>
        </w:rPr>
        <w:t> </w:t>
      </w:r>
      <w:r>
        <w:rPr>
          <w:color w:val="231F20"/>
        </w:rPr>
        <w:t>difíciles</w:t>
      </w:r>
      <w:r>
        <w:rPr>
          <w:color w:val="231F20"/>
          <w:spacing w:val="-3"/>
        </w:rPr>
        <w:t> </w:t>
      </w:r>
      <w:r>
        <w:rPr>
          <w:color w:val="231F20"/>
        </w:rPr>
        <w:t>y</w:t>
      </w:r>
      <w:r>
        <w:rPr>
          <w:color w:val="231F20"/>
          <w:spacing w:val="-3"/>
        </w:rPr>
        <w:t> </w:t>
      </w:r>
      <w:r>
        <w:rPr>
          <w:color w:val="231F20"/>
        </w:rPr>
        <w:t>caros</w:t>
      </w:r>
      <w:r>
        <w:rPr>
          <w:color w:val="231F20"/>
          <w:spacing w:val="-3"/>
        </w:rPr>
        <w:t> </w:t>
      </w:r>
      <w:r>
        <w:rPr>
          <w:color w:val="231F20"/>
        </w:rPr>
        <w:t>de</w:t>
      </w:r>
      <w:r>
        <w:rPr>
          <w:color w:val="231F20"/>
          <w:spacing w:val="-3"/>
        </w:rPr>
        <w:t> </w:t>
      </w:r>
      <w:r>
        <w:rPr>
          <w:color w:val="231F20"/>
        </w:rPr>
        <w:t>trasladar,</w:t>
      </w:r>
      <w:r>
        <w:rPr>
          <w:color w:val="231F20"/>
          <w:spacing w:val="-3"/>
        </w:rPr>
        <w:t> </w:t>
      </w:r>
      <w:r>
        <w:rPr>
          <w:color w:val="231F20"/>
        </w:rPr>
        <w:t>la</w:t>
      </w:r>
      <w:r>
        <w:rPr>
          <w:color w:val="231F20"/>
          <w:spacing w:val="-3"/>
        </w:rPr>
        <w:t> </w:t>
      </w:r>
      <w:r>
        <w:rPr>
          <w:color w:val="231F20"/>
        </w:rPr>
        <w:t>adop- ción</w:t>
      </w:r>
      <w:r>
        <w:rPr>
          <w:color w:val="231F20"/>
          <w:spacing w:val="-15"/>
        </w:rPr>
        <w:t> </w:t>
      </w:r>
      <w:r>
        <w:rPr>
          <w:color w:val="231F20"/>
        </w:rPr>
        <w:t>del</w:t>
      </w:r>
      <w:r>
        <w:rPr>
          <w:color w:val="231F20"/>
          <w:spacing w:val="-15"/>
        </w:rPr>
        <w:t> </w:t>
      </w:r>
      <w:r>
        <w:rPr>
          <w:color w:val="231F20"/>
        </w:rPr>
        <w:t>proceso</w:t>
      </w:r>
      <w:r>
        <w:rPr>
          <w:color w:val="231F20"/>
          <w:spacing w:val="-15"/>
        </w:rPr>
        <w:t> </w:t>
      </w:r>
      <w:r>
        <w:rPr>
          <w:color w:val="231F20"/>
        </w:rPr>
        <w:t>de</w:t>
      </w:r>
      <w:r>
        <w:rPr>
          <w:color w:val="231F20"/>
          <w:spacing w:val="-15"/>
        </w:rPr>
        <w:t> </w:t>
      </w:r>
      <w:r>
        <w:rPr>
          <w:color w:val="231F20"/>
        </w:rPr>
        <w:t>ensamblaje</w:t>
      </w:r>
      <w:r>
        <w:rPr>
          <w:color w:val="231F20"/>
          <w:spacing w:val="-15"/>
        </w:rPr>
        <w:t> </w:t>
      </w:r>
      <w:r>
        <w:rPr>
          <w:color w:val="231F20"/>
        </w:rPr>
        <w:t>modular</w:t>
      </w:r>
      <w:r>
        <w:rPr>
          <w:color w:val="231F20"/>
          <w:spacing w:val="-15"/>
        </w:rPr>
        <w:t> </w:t>
      </w:r>
      <w:r>
        <w:rPr>
          <w:color w:val="231F20"/>
        </w:rPr>
        <w:t>está</w:t>
      </w:r>
      <w:r>
        <w:rPr>
          <w:color w:val="231F20"/>
          <w:spacing w:val="-15"/>
        </w:rPr>
        <w:t> </w:t>
      </w:r>
      <w:r>
        <w:rPr>
          <w:color w:val="231F20"/>
        </w:rPr>
        <w:t>vinculada</w:t>
      </w:r>
      <w:r>
        <w:rPr>
          <w:color w:val="231F20"/>
          <w:spacing w:val="-15"/>
        </w:rPr>
        <w:t> </w:t>
      </w:r>
      <w:r>
        <w:rPr>
          <w:color w:val="231F20"/>
        </w:rPr>
        <w:t>al</w:t>
      </w:r>
      <w:r>
        <w:rPr>
          <w:color w:val="231F20"/>
          <w:spacing w:val="-15"/>
        </w:rPr>
        <w:t> </w:t>
      </w:r>
      <w:r>
        <w:rPr>
          <w:color w:val="231F20"/>
        </w:rPr>
        <w:t>establecimiento</w:t>
      </w:r>
      <w:r>
        <w:rPr>
          <w:color w:val="231F20"/>
          <w:spacing w:val="-15"/>
        </w:rPr>
        <w:t> </w:t>
      </w:r>
      <w:r>
        <w:rPr>
          <w:color w:val="231F20"/>
        </w:rPr>
        <w:t>de</w:t>
      </w:r>
      <w:r>
        <w:rPr>
          <w:color w:val="231F20"/>
          <w:spacing w:val="-15"/>
        </w:rPr>
        <w:t> </w:t>
      </w:r>
      <w:r>
        <w:rPr>
          <w:color w:val="231F20"/>
        </w:rPr>
        <w:t>plantas</w:t>
      </w:r>
      <w:r>
        <w:rPr>
          <w:color w:val="231F20"/>
          <w:spacing w:val="-15"/>
        </w:rPr>
        <w:t> </w:t>
      </w:r>
      <w:r>
        <w:rPr>
          <w:color w:val="231F20"/>
        </w:rPr>
        <w:t>de ensamblaje</w:t>
      </w:r>
      <w:r>
        <w:rPr>
          <w:color w:val="231F20"/>
          <w:spacing w:val="-7"/>
        </w:rPr>
        <w:t> </w:t>
      </w:r>
      <w:r>
        <w:rPr>
          <w:color w:val="231F20"/>
        </w:rPr>
        <w:t>junto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plantas</w:t>
      </w:r>
      <w:r>
        <w:rPr>
          <w:color w:val="231F20"/>
          <w:spacing w:val="-7"/>
        </w:rPr>
        <w:t> </w:t>
      </w:r>
      <w:r>
        <w:rPr>
          <w:color w:val="231F20"/>
        </w:rPr>
        <w:t>de</w:t>
      </w:r>
      <w:r>
        <w:rPr>
          <w:color w:val="231F20"/>
          <w:spacing w:val="-7"/>
        </w:rPr>
        <w:t> </w:t>
      </w:r>
      <w:r>
        <w:rPr>
          <w:color w:val="231F20"/>
        </w:rPr>
        <w:t>los</w:t>
      </w:r>
      <w:r>
        <w:rPr>
          <w:color w:val="231F20"/>
          <w:spacing w:val="-7"/>
        </w:rPr>
        <w:t> </w:t>
      </w:r>
      <w:r>
        <w:rPr>
          <w:color w:val="231F20"/>
        </w:rPr>
        <w:t>proveedores.</w:t>
      </w:r>
      <w:r>
        <w:rPr>
          <w:color w:val="231F20"/>
          <w:spacing w:val="-7"/>
        </w:rPr>
        <w:t> </w:t>
      </w:r>
      <w:r>
        <w:rPr>
          <w:color w:val="231F20"/>
        </w:rPr>
        <w:t>Así,</w:t>
      </w:r>
      <w:r>
        <w:rPr>
          <w:color w:val="231F20"/>
          <w:spacing w:val="-7"/>
        </w:rPr>
        <w:t> </w:t>
      </w:r>
      <w:r>
        <w:rPr>
          <w:color w:val="231F20"/>
        </w:rPr>
        <w:t>la</w:t>
      </w:r>
      <w:r>
        <w:rPr>
          <w:color w:val="231F20"/>
          <w:spacing w:val="-7"/>
        </w:rPr>
        <w:t> </w:t>
      </w:r>
      <w:r>
        <w:rPr>
          <w:color w:val="231F20"/>
        </w:rPr>
        <w:t>entrega</w:t>
      </w:r>
      <w:r>
        <w:rPr>
          <w:color w:val="231F20"/>
          <w:spacing w:val="-7"/>
        </w:rPr>
        <w:t> </w:t>
      </w:r>
      <w:r>
        <w:rPr>
          <w:color w:val="231F20"/>
        </w:rPr>
        <w:t>de</w:t>
      </w:r>
      <w:r>
        <w:rPr>
          <w:color w:val="231F20"/>
          <w:spacing w:val="-8"/>
        </w:rPr>
        <w:t> </w:t>
      </w:r>
      <w:r>
        <w:rPr>
          <w:color w:val="231F20"/>
        </w:rPr>
        <w:t>partes</w:t>
      </w:r>
      <w:r>
        <w:rPr>
          <w:color w:val="231F20"/>
          <w:spacing w:val="-7"/>
        </w:rPr>
        <w:t> </w:t>
      </w:r>
      <w:r>
        <w:rPr>
          <w:color w:val="231F20"/>
        </w:rPr>
        <w:t>está</w:t>
      </w:r>
      <w:r>
        <w:rPr>
          <w:color w:val="231F20"/>
          <w:spacing w:val="-8"/>
        </w:rPr>
        <w:t> </w:t>
      </w:r>
      <w:r>
        <w:rPr>
          <w:color w:val="231F20"/>
        </w:rPr>
        <w:t>sincro- nizada</w:t>
      </w:r>
      <w:r>
        <w:rPr>
          <w:color w:val="231F20"/>
          <w:spacing w:val="-5"/>
        </w:rPr>
        <w:t> </w:t>
      </w:r>
      <w:r>
        <w:rPr>
          <w:color w:val="231F20"/>
        </w:rPr>
        <w:t>con</w:t>
      </w:r>
      <w:r>
        <w:rPr>
          <w:color w:val="231F20"/>
          <w:spacing w:val="-5"/>
        </w:rPr>
        <w:t> </w:t>
      </w:r>
      <w:r>
        <w:rPr>
          <w:color w:val="231F20"/>
        </w:rPr>
        <w:t>la</w:t>
      </w:r>
      <w:r>
        <w:rPr>
          <w:color w:val="231F20"/>
          <w:spacing w:val="-5"/>
        </w:rPr>
        <w:t> </w:t>
      </w:r>
      <w:r>
        <w:rPr>
          <w:color w:val="231F20"/>
        </w:rPr>
        <w:t>demanda</w:t>
      </w:r>
      <w:r>
        <w:rPr>
          <w:color w:val="231F20"/>
          <w:spacing w:val="-5"/>
        </w:rPr>
        <w:t> </w:t>
      </w:r>
      <w:r>
        <w:rPr>
          <w:color w:val="231F20"/>
        </w:rPr>
        <w:t>y</w:t>
      </w:r>
      <w:r>
        <w:rPr>
          <w:color w:val="231F20"/>
          <w:spacing w:val="-5"/>
        </w:rPr>
        <w:t> </w:t>
      </w:r>
      <w:r>
        <w:rPr>
          <w:color w:val="231F20"/>
        </w:rPr>
        <w:t>se</w:t>
      </w:r>
      <w:r>
        <w:rPr>
          <w:color w:val="231F20"/>
          <w:spacing w:val="-5"/>
        </w:rPr>
        <w:t> </w:t>
      </w:r>
      <w:r>
        <w:rPr>
          <w:color w:val="231F20"/>
        </w:rPr>
        <w:t>ajusta</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secuencia</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autos</w:t>
      </w:r>
      <w:r>
        <w:rPr>
          <w:color w:val="231F20"/>
          <w:spacing w:val="-5"/>
        </w:rPr>
        <w:t> </w:t>
      </w:r>
      <w:r>
        <w:rPr>
          <w:color w:val="231F20"/>
        </w:rPr>
        <w:t>en</w:t>
      </w:r>
      <w:r>
        <w:rPr>
          <w:color w:val="231F20"/>
          <w:spacing w:val="-5"/>
        </w:rPr>
        <w:t> </w:t>
      </w:r>
      <w:r>
        <w:rPr>
          <w:color w:val="231F20"/>
        </w:rPr>
        <w:t>la</w:t>
      </w:r>
      <w:r>
        <w:rPr>
          <w:color w:val="231F20"/>
          <w:spacing w:val="-5"/>
        </w:rPr>
        <w:t> </w:t>
      </w:r>
      <w:r>
        <w:rPr>
          <w:color w:val="231F20"/>
        </w:rPr>
        <w:t>línea</w:t>
      </w:r>
      <w:r>
        <w:rPr>
          <w:color w:val="231F20"/>
          <w:spacing w:val="-5"/>
        </w:rPr>
        <w:t> </w:t>
      </w:r>
      <w:r>
        <w:rPr>
          <w:color w:val="231F20"/>
        </w:rPr>
        <w:t>de</w:t>
      </w:r>
      <w:r>
        <w:rPr>
          <w:color w:val="231F20"/>
          <w:spacing w:val="-5"/>
        </w:rPr>
        <w:t> </w:t>
      </w:r>
      <w:r>
        <w:rPr>
          <w:color w:val="231F20"/>
        </w:rPr>
        <w:t>ensamblaje </w:t>
      </w:r>
      <w:r>
        <w:rPr>
          <w:color w:val="231F20"/>
          <w:spacing w:val="-3"/>
          <w:w w:val="95"/>
        </w:rPr>
        <w:t>(CEPAL,</w:t>
      </w:r>
      <w:r>
        <w:rPr>
          <w:color w:val="231F20"/>
          <w:spacing w:val="16"/>
          <w:w w:val="95"/>
        </w:rPr>
        <w:t> </w:t>
      </w:r>
      <w:r>
        <w:rPr>
          <w:color w:val="231F20"/>
          <w:w w:val="95"/>
        </w:rPr>
        <w:t>2003).</w:t>
      </w:r>
    </w:p>
    <w:p>
      <w:pPr>
        <w:pStyle w:val="BodyText"/>
        <w:spacing w:line="271" w:lineRule="auto" w:before="1"/>
        <w:ind w:left="103" w:right="648" w:firstLine="396"/>
        <w:jc w:val="both"/>
      </w:pPr>
      <w:r>
        <w:rPr>
          <w:color w:val="231F20"/>
          <w:spacing w:val="3"/>
        </w:rPr>
        <w:t>La </w:t>
      </w:r>
      <w:r>
        <w:rPr>
          <w:color w:val="231F20"/>
          <w:spacing w:val="2"/>
        </w:rPr>
        <w:t>idea central </w:t>
      </w:r>
      <w:r>
        <w:rPr>
          <w:color w:val="231F20"/>
        </w:rPr>
        <w:t>de la </w:t>
      </w:r>
      <w:r>
        <w:rPr>
          <w:color w:val="231F20"/>
          <w:spacing w:val="2"/>
        </w:rPr>
        <w:t>modularización </w:t>
      </w:r>
      <w:r>
        <w:rPr>
          <w:color w:val="231F20"/>
        </w:rPr>
        <w:t>es </w:t>
      </w:r>
      <w:r>
        <w:rPr>
          <w:color w:val="231F20"/>
          <w:spacing w:val="2"/>
        </w:rPr>
        <w:t>unir </w:t>
      </w:r>
      <w:r>
        <w:rPr>
          <w:color w:val="231F20"/>
        </w:rPr>
        <w:t>componentes en un solo </w:t>
      </w:r>
      <w:r>
        <w:rPr>
          <w:color w:val="231F20"/>
          <w:spacing w:val="2"/>
        </w:rPr>
        <w:t>ensamble llamado </w:t>
      </w:r>
      <w:r>
        <w:rPr>
          <w:rFonts w:ascii="Palatino Linotype" w:hAnsi="Palatino Linotype"/>
          <w:i/>
          <w:color w:val="231F20"/>
        </w:rPr>
        <w:t>módulo </w:t>
      </w:r>
      <w:r>
        <w:rPr>
          <w:color w:val="231F20"/>
        </w:rPr>
        <w:t>o </w:t>
      </w:r>
      <w:r>
        <w:rPr>
          <w:rFonts w:ascii="Palatino Linotype" w:hAnsi="Palatino Linotype"/>
          <w:i/>
          <w:color w:val="231F20"/>
        </w:rPr>
        <w:t>segmento</w:t>
      </w:r>
      <w:r>
        <w:rPr>
          <w:color w:val="231F20"/>
        </w:rPr>
        <w:t>, que </w:t>
      </w:r>
      <w:r>
        <w:rPr>
          <w:color w:val="231F20"/>
          <w:spacing w:val="2"/>
        </w:rPr>
        <w:t>permita </w:t>
      </w:r>
      <w:r>
        <w:rPr>
          <w:color w:val="231F20"/>
        </w:rPr>
        <w:t>simplificar el ensamble final del vehículo. </w:t>
      </w:r>
      <w:r>
        <w:rPr>
          <w:color w:val="231F20"/>
          <w:spacing w:val="2"/>
        </w:rPr>
        <w:t>Los módulos </w:t>
      </w:r>
      <w:r>
        <w:rPr>
          <w:color w:val="231F20"/>
        </w:rPr>
        <w:t>a su vez </w:t>
      </w:r>
      <w:r>
        <w:rPr>
          <w:color w:val="231F20"/>
          <w:spacing w:val="2"/>
        </w:rPr>
        <w:t>pueden </w:t>
      </w:r>
      <w:r>
        <w:rPr>
          <w:color w:val="231F20"/>
        </w:rPr>
        <w:t>combinarse en versiones diferentes, por lo que </w:t>
      </w:r>
      <w:r>
        <w:rPr>
          <w:color w:val="231F20"/>
          <w:spacing w:val="3"/>
        </w:rPr>
        <w:t>es </w:t>
      </w:r>
      <w:r>
        <w:rPr>
          <w:color w:val="231F20"/>
          <w:spacing w:val="2"/>
        </w:rPr>
        <w:t>posible </w:t>
      </w:r>
      <w:r>
        <w:rPr>
          <w:color w:val="231F20"/>
        </w:rPr>
        <w:t>manufacturar productos </w:t>
      </w:r>
      <w:r>
        <w:rPr>
          <w:color w:val="231F20"/>
          <w:spacing w:val="2"/>
        </w:rPr>
        <w:t>variados </w:t>
      </w:r>
      <w:r>
        <w:rPr>
          <w:color w:val="231F20"/>
        </w:rPr>
        <w:t>que </w:t>
      </w:r>
      <w:r>
        <w:rPr>
          <w:color w:val="231F20"/>
          <w:spacing w:val="2"/>
        </w:rPr>
        <w:t>permitan satisfacer </w:t>
      </w:r>
      <w:r>
        <w:rPr>
          <w:color w:val="231F20"/>
        </w:rPr>
        <w:t>las diversas ne- </w:t>
      </w:r>
      <w:r>
        <w:rPr>
          <w:color w:val="231F20"/>
          <w:spacing w:val="2"/>
        </w:rPr>
        <w:t>cesidades </w:t>
      </w:r>
      <w:r>
        <w:rPr>
          <w:color w:val="231F20"/>
        </w:rPr>
        <w:t>de los consumidores (Palafox, </w:t>
      </w:r>
      <w:r>
        <w:rPr>
          <w:color w:val="231F20"/>
          <w:spacing w:val="2"/>
        </w:rPr>
        <w:t>2006). </w:t>
      </w:r>
      <w:r>
        <w:rPr>
          <w:color w:val="231F20"/>
          <w:spacing w:val="3"/>
        </w:rPr>
        <w:t>La </w:t>
      </w:r>
      <w:r>
        <w:rPr>
          <w:color w:val="231F20"/>
          <w:spacing w:val="2"/>
        </w:rPr>
        <w:t>agrupación </w:t>
      </w:r>
      <w:r>
        <w:rPr>
          <w:color w:val="231F20"/>
        </w:rPr>
        <w:t>de diversos </w:t>
      </w:r>
      <w:r>
        <w:rPr>
          <w:color w:val="231F20"/>
          <w:spacing w:val="2"/>
        </w:rPr>
        <w:t>módulos </w:t>
      </w:r>
      <w:r>
        <w:rPr>
          <w:color w:val="231F20"/>
        </w:rPr>
        <w:t>conforma un sistema modular, como se muestra en el </w:t>
      </w:r>
      <w:r>
        <w:rPr>
          <w:color w:val="231F20"/>
          <w:spacing w:val="2"/>
        </w:rPr>
        <w:t>diagrama II.1, </w:t>
      </w:r>
      <w:r>
        <w:rPr>
          <w:color w:val="231F20"/>
        </w:rPr>
        <w:t>donde se </w:t>
      </w:r>
      <w:r>
        <w:rPr>
          <w:color w:val="231F20"/>
          <w:spacing w:val="2"/>
        </w:rPr>
        <w:t>des- tacan </w:t>
      </w:r>
      <w:r>
        <w:rPr>
          <w:color w:val="231F20"/>
        </w:rPr>
        <w:t>los </w:t>
      </w:r>
      <w:r>
        <w:rPr>
          <w:color w:val="231F20"/>
          <w:spacing w:val="2"/>
        </w:rPr>
        <w:t>módulos </w:t>
      </w:r>
      <w:r>
        <w:rPr>
          <w:color w:val="231F20"/>
        </w:rPr>
        <w:t>más importantes del sistema interior, del </w:t>
      </w:r>
      <w:r>
        <w:rPr>
          <w:color w:val="231F20"/>
          <w:spacing w:val="3"/>
        </w:rPr>
        <w:t>eléctrico </w:t>
      </w:r>
      <w:r>
        <w:rPr>
          <w:color w:val="231F20"/>
        </w:rPr>
        <w:t>y electrónico,   y del</w:t>
      </w:r>
      <w:r>
        <w:rPr>
          <w:color w:val="231F20"/>
          <w:spacing w:val="-18"/>
        </w:rPr>
        <w:t> </w:t>
      </w:r>
      <w:r>
        <w:rPr>
          <w:color w:val="231F20"/>
          <w:spacing w:val="2"/>
        </w:rPr>
        <w:t>chasis.</w:t>
      </w:r>
    </w:p>
    <w:p>
      <w:pPr>
        <w:spacing w:after="0" w:line="271" w:lineRule="auto"/>
        <w:jc w:val="both"/>
        <w:sectPr>
          <w:pgSz w:w="9640" w:h="13040"/>
          <w:pgMar w:header="520" w:footer="654" w:top="880" w:bottom="840" w:left="1200" w:right="480"/>
        </w:sectPr>
      </w:pPr>
    </w:p>
    <w:p>
      <w:pPr>
        <w:pStyle w:val="BodyText"/>
        <w:rPr>
          <w:sz w:val="20"/>
        </w:rPr>
      </w:pPr>
    </w:p>
    <w:p>
      <w:pPr>
        <w:pStyle w:val="BodyText"/>
        <w:spacing w:before="5"/>
      </w:pPr>
    </w:p>
    <w:p>
      <w:pPr>
        <w:pStyle w:val="Heading4"/>
        <w:spacing w:before="35"/>
        <w:ind w:right="12"/>
      </w:pPr>
      <w:r>
        <w:rPr>
          <w:color w:val="231F20"/>
          <w:w w:val="90"/>
        </w:rPr>
        <w:t>Diagrama II.1</w:t>
      </w:r>
    </w:p>
    <w:p>
      <w:pPr>
        <w:spacing w:line="282" w:lineRule="exact" w:before="0"/>
        <w:ind w:left="561" w:right="12" w:firstLine="0"/>
        <w:jc w:val="center"/>
        <w:rPr>
          <w:rFonts w:ascii="Palatino Linotype"/>
          <w:b/>
          <w:sz w:val="21"/>
        </w:rPr>
      </w:pPr>
      <w:r>
        <w:rPr>
          <w:rFonts w:ascii="Palatino Linotype"/>
          <w:b/>
          <w:color w:val="231F20"/>
          <w:w w:val="90"/>
          <w:sz w:val="21"/>
        </w:rPr>
        <w:t>De las partes a los sistemas modulares</w:t>
      </w:r>
    </w:p>
    <w:p>
      <w:pPr>
        <w:pStyle w:val="BodyText"/>
        <w:spacing w:before="9"/>
        <w:rPr>
          <w:rFonts w:ascii="Palatino Linotype"/>
          <w:b/>
          <w:sz w:val="19"/>
        </w:rPr>
      </w:pPr>
    </w:p>
    <w:p>
      <w:pPr>
        <w:tabs>
          <w:tab w:pos="4536" w:val="left" w:leader="none"/>
          <w:tab w:pos="6666" w:val="left" w:leader="none"/>
        </w:tabs>
        <w:spacing w:before="1"/>
        <w:ind w:left="2033" w:right="0" w:firstLine="0"/>
        <w:jc w:val="left"/>
        <w:rPr>
          <w:rFonts w:ascii="Palatino Linotype" w:hAnsi="Palatino Linotype"/>
          <w:sz w:val="18"/>
        </w:rPr>
      </w:pPr>
      <w:r>
        <w:rPr/>
        <w:pict>
          <v:group style="position:absolute;margin-left:77.469101pt;margin-top:24.70042pt;width:119.2pt;height:117.65pt;mso-position-horizontal-relative:page;mso-position-vertical-relative:paragraph;z-index:5752" coordorigin="1549,494" coordsize="2384,2353">
            <v:shape style="position:absolute;left:1556;top:501;width:2370;height:2339" coordorigin="1556,501" coordsize="2370,2339" path="m1556,891l1564,812,1587,739,1623,673,1671,615,1728,568,1794,532,1868,509,1946,501,3536,501,3615,509,3688,532,3754,568,3812,615,3859,673,3895,739,3918,812,3926,891,3926,2449,3918,2528,3895,2601,3859,2667,3812,2725,3754,2773,3688,2809,3615,2831,3536,2839,1946,2839,1868,2831,1794,2809,1728,2773,1671,2725,1623,2667,1587,2601,1564,2528,1556,2449,1556,891xe" filled="false" stroked="true" strokeweight=".66pt" strokecolor="#231f20">
              <v:path arrowok="t"/>
            </v:shape>
            <v:shape style="position:absolute;left:1550;top:494;width:2383;height:2352" type="#_x0000_t202" filled="false" stroked="false">
              <v:textbox inset="0,0,0,0">
                <w:txbxContent>
                  <w:p>
                    <w:pPr>
                      <w:spacing w:line="240" w:lineRule="auto" w:before="8"/>
                      <w:rPr>
                        <w:sz w:val="14"/>
                      </w:rPr>
                    </w:pPr>
                  </w:p>
                  <w:p>
                    <w:pPr>
                      <w:spacing w:line="184" w:lineRule="exact" w:before="0"/>
                      <w:ind w:left="258" w:right="1351" w:firstLine="0"/>
                      <w:jc w:val="left"/>
                      <w:rPr>
                        <w:rFonts w:ascii="Palatino Linotype"/>
                        <w:sz w:val="16"/>
                      </w:rPr>
                    </w:pPr>
                    <w:r>
                      <w:rPr>
                        <w:rFonts w:ascii="Palatino Linotype"/>
                        <w:color w:val="231F20"/>
                        <w:sz w:val="16"/>
                      </w:rPr>
                      <w:t>Tela </w:t>
                    </w:r>
                    <w:r>
                      <w:rPr>
                        <w:rFonts w:ascii="Palatino Linotype"/>
                        <w:color w:val="231F20"/>
                        <w:w w:val="85"/>
                        <w:sz w:val="16"/>
                      </w:rPr>
                      <w:t>Espuma</w:t>
                    </w:r>
                  </w:p>
                  <w:p>
                    <w:pPr>
                      <w:spacing w:line="196" w:lineRule="exact" w:before="0"/>
                      <w:ind w:left="258" w:right="202" w:firstLine="0"/>
                      <w:jc w:val="left"/>
                      <w:rPr>
                        <w:rFonts w:ascii="Palatino Linotype"/>
                        <w:sz w:val="16"/>
                      </w:rPr>
                    </w:pPr>
                    <w:r>
                      <w:rPr>
                        <w:rFonts w:ascii="Palatino Linotype"/>
                        <w:color w:val="231F20"/>
                        <w:w w:val="90"/>
                        <w:sz w:val="16"/>
                      </w:rPr>
                      <w:t>Fabricacion del asiento</w:t>
                    </w:r>
                  </w:p>
                  <w:p>
                    <w:pPr>
                      <w:spacing w:line="240" w:lineRule="auto" w:before="1"/>
                      <w:rPr>
                        <w:sz w:val="16"/>
                      </w:rPr>
                    </w:pPr>
                  </w:p>
                  <w:p>
                    <w:pPr>
                      <w:spacing w:line="213" w:lineRule="auto" w:before="0"/>
                      <w:ind w:left="258" w:right="979" w:firstLine="0"/>
                      <w:jc w:val="left"/>
                      <w:rPr>
                        <w:rFonts w:ascii="Palatino Linotype"/>
                        <w:sz w:val="16"/>
                      </w:rPr>
                    </w:pPr>
                    <w:r>
                      <w:rPr>
                        <w:rFonts w:ascii="Palatino Linotype"/>
                        <w:color w:val="231F20"/>
                        <w:sz w:val="16"/>
                      </w:rPr>
                      <w:t>Techo interior </w:t>
                    </w:r>
                    <w:r>
                      <w:rPr>
                        <w:rFonts w:ascii="Palatino Linotype"/>
                        <w:color w:val="231F20"/>
                        <w:w w:val="90"/>
                        <w:sz w:val="16"/>
                      </w:rPr>
                      <w:t>Paneles interiores </w:t>
                    </w:r>
                    <w:r>
                      <w:rPr>
                        <w:rFonts w:ascii="Palatino Linotype"/>
                        <w:color w:val="231F20"/>
                        <w:sz w:val="16"/>
                      </w:rPr>
                      <w:t>Terminaciones</w:t>
                    </w:r>
                  </w:p>
                  <w:p>
                    <w:pPr>
                      <w:spacing w:line="240" w:lineRule="auto" w:before="8"/>
                      <w:rPr>
                        <w:sz w:val="16"/>
                      </w:rPr>
                    </w:pPr>
                  </w:p>
                  <w:p>
                    <w:pPr>
                      <w:spacing w:line="184" w:lineRule="exact" w:before="1"/>
                      <w:ind w:left="258" w:right="202" w:firstLine="0"/>
                      <w:jc w:val="left"/>
                      <w:rPr>
                        <w:rFonts w:ascii="Palatino Linotype"/>
                        <w:sz w:val="16"/>
                      </w:rPr>
                    </w:pPr>
                    <w:r>
                      <w:rPr>
                        <w:rFonts w:ascii="Palatino Linotype"/>
                        <w:color w:val="231F20"/>
                        <w:w w:val="90"/>
                        <w:sz w:val="16"/>
                      </w:rPr>
                      <w:t>Paneles de instrumentos </w:t>
                    </w:r>
                    <w:r>
                      <w:rPr>
                        <w:rFonts w:ascii="Palatino Linotype"/>
                        <w:color w:val="231F20"/>
                        <w:sz w:val="16"/>
                      </w:rPr>
                      <w:t>Medidores</w:t>
                    </w:r>
                  </w:p>
                  <w:p>
                    <w:pPr>
                      <w:spacing w:line="209" w:lineRule="exact" w:before="0"/>
                      <w:ind w:left="258" w:right="202" w:firstLine="0"/>
                      <w:jc w:val="left"/>
                      <w:rPr>
                        <w:rFonts w:ascii="Palatino Linotype"/>
                        <w:sz w:val="16"/>
                      </w:rPr>
                    </w:pPr>
                    <w:r>
                      <w:rPr>
                        <w:rFonts w:ascii="Palatino Linotype"/>
                        <w:color w:val="231F20"/>
                        <w:w w:val="90"/>
                        <w:sz w:val="16"/>
                      </w:rPr>
                      <w:t>Palanca de cambio</w:t>
                    </w:r>
                  </w:p>
                </w:txbxContent>
              </v:textbox>
              <w10:wrap type="none"/>
            </v:shape>
            <w10:wrap type="none"/>
          </v:group>
        </w:pict>
      </w:r>
      <w:r>
        <w:rPr/>
        <w:pict>
          <v:group style="position:absolute;margin-left:222.128006pt;margin-top:30.967722pt;width:108.65pt;height:103.6pt;mso-position-horizontal-relative:page;mso-position-vertical-relative:paragraph;z-index:5944" coordorigin="4443,619" coordsize="2173,2072">
            <v:shape style="position:absolute;left:4450;top:626;width:1766;height:2058" coordorigin="4450,626" coordsize="1766,2058" path="m4450,921l4460,842,4490,772,4536,713,4595,667,4666,637,4744,626,5920,626,5999,637,6069,667,6128,713,6174,772,6204,842,6215,921,6215,2390,6204,2468,6174,2538,6128,2598,6069,2644,5999,2674,5920,2684,4744,2684,4666,2674,4595,2644,4536,2598,4490,2538,4460,2468,4450,2390,4450,921xe" filled="false" stroked="true" strokeweight=".66pt" strokecolor="#231f20">
              <v:path arrowok="t"/>
            </v:shape>
            <v:shape style="position:absolute;left:6275;top:697;width:336;height:1793" coordorigin="6275,697" coordsize="336,1793" path="m6275,697l6340,699,6394,705,6429,714,6443,725,6443,1565,6456,1576,6492,1585,6545,1591,6610,1593,6545,1596,6492,1602,6456,1610,6443,1621,6443,2462,6429,2472,6394,2481,6340,2487,6275,2490e" filled="false" stroked="true" strokeweight=".495pt" strokecolor="#231f20">
              <v:path arrowok="t"/>
            </v:shape>
            <v:shape style="position:absolute;left:5058;top:792;width:551;height:159" type="#_x0000_t202" filled="false" stroked="false">
              <v:textbox inset="0,0,0,0">
                <w:txbxContent>
                  <w:p>
                    <w:pPr>
                      <w:spacing w:line="158" w:lineRule="exact" w:before="0"/>
                      <w:ind w:left="0" w:right="0" w:firstLine="0"/>
                      <w:jc w:val="left"/>
                      <w:rPr>
                        <w:rFonts w:ascii="Palatino Linotype"/>
                        <w:sz w:val="16"/>
                      </w:rPr>
                    </w:pPr>
                    <w:r>
                      <w:rPr>
                        <w:rFonts w:ascii="Palatino Linotype"/>
                        <w:color w:val="231F20"/>
                        <w:w w:val="85"/>
                        <w:sz w:val="16"/>
                      </w:rPr>
                      <w:t>Asientos</w:t>
                    </w:r>
                  </w:p>
                </w:txbxContent>
              </v:textbox>
              <w10:wrap type="none"/>
            </v:shape>
            <v:shape style="position:absolute;left:5032;top:1573;width:623;height:159" type="#_x0000_t202" filled="false" stroked="false">
              <v:textbox inset="0,0,0,0">
                <w:txbxContent>
                  <w:p>
                    <w:pPr>
                      <w:spacing w:line="158" w:lineRule="exact" w:before="0"/>
                      <w:ind w:left="0" w:right="-10" w:firstLine="0"/>
                      <w:jc w:val="left"/>
                      <w:rPr>
                        <w:rFonts w:ascii="Palatino Linotype"/>
                        <w:sz w:val="16"/>
                      </w:rPr>
                    </w:pPr>
                    <w:r>
                      <w:rPr>
                        <w:rFonts w:ascii="Palatino Linotype"/>
                        <w:color w:val="231F20"/>
                        <w:w w:val="90"/>
                        <w:sz w:val="16"/>
                      </w:rPr>
                      <w:t>Interiores</w:t>
                    </w:r>
                  </w:p>
                </w:txbxContent>
              </v:textbox>
              <w10:wrap type="none"/>
            </v:shape>
            <v:shape style="position:absolute;left:4748;top:2397;width:1203;height:159" type="#_x0000_t202" filled="false" stroked="false">
              <v:textbox inset="0,0,0,0">
                <w:txbxContent>
                  <w:p>
                    <w:pPr>
                      <w:spacing w:line="158" w:lineRule="exact" w:before="0"/>
                      <w:ind w:left="0" w:right="-11" w:firstLine="0"/>
                      <w:jc w:val="left"/>
                      <w:rPr>
                        <w:rFonts w:ascii="Palatino Linotype" w:hAnsi="Palatino Linotype"/>
                        <w:sz w:val="16"/>
                      </w:rPr>
                    </w:pPr>
                    <w:r>
                      <w:rPr>
                        <w:rFonts w:ascii="Palatino Linotype" w:hAnsi="Palatino Linotype"/>
                        <w:color w:val="231F20"/>
                        <w:w w:val="90"/>
                        <w:sz w:val="16"/>
                      </w:rPr>
                      <w:t>Módulo conductor</w:t>
                    </w:r>
                  </w:p>
                </w:txbxContent>
              </v:textbox>
              <w10:wrap type="none"/>
            </v:shape>
            <w10:wrap type="none"/>
          </v:group>
        </w:pict>
      </w:r>
      <w:r>
        <w:rPr/>
        <w:pict>
          <v:shape style="position:absolute;margin-left:202.524002pt;margin-top:30.354221pt;width:12.95pt;height:27.8pt;mso-position-horizontal-relative:page;mso-position-vertical-relative:paragraph;z-index:6160" coordorigin="4050,607" coordsize="259,556" path="m4050,607l4101,609,4142,613,4169,620,4180,629,4180,863,4190,872,4217,879,4259,883,4309,885,4259,887,4217,891,4190,898,4180,906,4180,1141,4169,1150,4142,1156,4101,1161,4050,1163e" filled="false" stroked="true" strokeweight=".495pt" strokecolor="#231f20">
            <v:path arrowok="t"/>
            <w10:wrap type="none"/>
          </v:shape>
        </w:pict>
      </w:r>
      <w:r>
        <w:rPr/>
        <w:pict>
          <v:shape style="position:absolute;margin-left:202.524002pt;margin-top:65.090218pt;width:12.95pt;height:26.8pt;mso-position-horizontal-relative:page;mso-position-vertical-relative:paragraph;z-index:6184" coordorigin="4050,1302" coordsize="259,536" path="m4050,1302l4101,1303,4142,1308,4169,1315,4180,1323,4180,1548,4190,1556,4217,1563,4259,1568,4309,1569,4259,1571,4217,1576,4190,1583,4180,1591,4180,1816,4169,1824,4142,1831,4101,1835,4050,1837e" filled="false" stroked="true" strokeweight=".495pt" strokecolor="#231f20">
            <v:path arrowok="t"/>
            <w10:wrap type="none"/>
          </v:shape>
        </w:pict>
      </w:r>
      <w:r>
        <w:rPr/>
        <w:pict>
          <v:shape style="position:absolute;margin-left:202.056pt;margin-top:101.666222pt;width:12.9pt;height:34.050pt;mso-position-horizontal-relative:page;mso-position-vertical-relative:paragraph;z-index:6208" coordorigin="4041,2033" coordsize="258,681" path="m4041,2033l4091,2035,4132,2040,4160,2046,4170,2055,4170,2352,4180,2361,4208,2368,4249,2372,4299,2374,4249,2375,4208,2380,4180,2387,4170,2395,4170,2693,4160,2701,4132,2708,4091,2713,4041,2714e" filled="false" stroked="true" strokeweight=".495pt" strokecolor="#231f20">
            <v:path arrowok="t"/>
            <w10:wrap type="none"/>
          </v:shape>
        </w:pict>
      </w:r>
      <w:r>
        <w:rPr/>
        <w:pict>
          <v:group style="position:absolute;margin-left:334.758698pt;margin-top:67.048325pt;width:74.2pt;height:28.5pt;mso-position-horizontal-relative:page;mso-position-vertical-relative:paragraph;z-index:6352" coordorigin="6695,1341" coordsize="1484,570">
            <v:shape style="position:absolute;left:6702;top:1348;width:1470;height:556" coordorigin="6702,1348" coordsize="1470,556" path="m6702,1441l6709,1405,6729,1375,6759,1355,6795,1348,8079,1348,8115,1355,8144,1375,8164,1405,8171,1441,8171,1811,8164,1847,8144,1877,8115,1896,8079,1904,6795,1904,6759,1896,6729,1877,6709,1847,6702,1811,6702,1441xe" filled="false" stroked="true" strokeweight=".66pt" strokecolor="#231f20">
              <v:path arrowok="t"/>
            </v:shape>
            <v:shape style="position:absolute;left:6696;top:1341;width:1483;height:569" type="#_x0000_t202" filled="false" stroked="false">
              <v:textbox inset="0,0,0,0">
                <w:txbxContent>
                  <w:p>
                    <w:pPr>
                      <w:spacing w:line="240" w:lineRule="auto" w:before="11"/>
                      <w:rPr>
                        <w:sz w:val="13"/>
                      </w:rPr>
                    </w:pPr>
                  </w:p>
                  <w:p>
                    <w:pPr>
                      <w:spacing w:before="0"/>
                      <w:ind w:left="243" w:right="0" w:firstLine="0"/>
                      <w:jc w:val="left"/>
                      <w:rPr>
                        <w:rFonts w:ascii="Palatino Linotype"/>
                        <w:sz w:val="16"/>
                      </w:rPr>
                    </w:pPr>
                    <w:r>
                      <w:rPr>
                        <w:rFonts w:ascii="Palatino Linotype"/>
                        <w:color w:val="231F20"/>
                        <w:w w:val="90"/>
                        <w:sz w:val="16"/>
                      </w:rPr>
                      <w:t>Sistema interior</w:t>
                    </w:r>
                  </w:p>
                </w:txbxContent>
              </v:textbox>
              <w10:wrap type="none"/>
            </v:shape>
            <w10:wrap type="none"/>
          </v:group>
        </w:pict>
      </w:r>
      <w:r>
        <w:rPr>
          <w:rFonts w:ascii="Palatino Linotype" w:hAnsi="Palatino Linotype"/>
          <w:color w:val="231F20"/>
          <w:sz w:val="18"/>
        </w:rPr>
        <w:t>Parte</w:t>
        <w:tab/>
        <w:t>Módulo</w:t>
        <w:tab/>
        <w:t>Sistema</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19"/>
        </w:rPr>
      </w:pPr>
      <w:r>
        <w:rPr/>
        <w:pict>
          <v:shape style="position:absolute;margin-left:203.072006pt;margin-top:15.231811pt;width:12.85pt;height:27.8pt;mso-position-horizontal-relative:page;mso-position-vertical-relative:paragraph;z-index:5704;mso-wrap-distance-left:0;mso-wrap-distance-right:0" coordorigin="4061,305" coordsize="257,556" path="m4061,305l4111,306,4152,311,4180,318,4190,326,4190,561,4200,569,4227,576,4268,581,4318,582,4268,584,4227,589,4200,596,4190,604,4190,839,4180,847,4152,854,4111,859,4061,860e" filled="false" stroked="true" strokeweight=".495pt" strokecolor="#231f20">
            <v:path arrowok="t"/>
            <w10:wrap type="topAndBottom"/>
          </v:shape>
        </w:pict>
      </w:r>
    </w:p>
    <w:p>
      <w:pPr>
        <w:pStyle w:val="BodyText"/>
        <w:spacing w:before="8"/>
        <w:rPr>
          <w:rFonts w:ascii="Palatino Linotype"/>
          <w:sz w:val="27"/>
        </w:rPr>
      </w:pPr>
    </w:p>
    <w:p>
      <w:pPr>
        <w:spacing w:before="48"/>
        <w:ind w:left="0" w:right="1854" w:firstLine="0"/>
        <w:jc w:val="right"/>
        <w:rPr>
          <w:rFonts w:ascii="Palatino Linotype"/>
          <w:sz w:val="16"/>
        </w:rPr>
      </w:pPr>
      <w:r>
        <w:rPr/>
        <w:pict>
          <v:group style="position:absolute;margin-left:77.469597pt;margin-top:-56.72364pt;width:119.2pt;height:135.7pt;mso-position-horizontal-relative:page;mso-position-vertical-relative:paragraph;z-index:5800" coordorigin="1549,-1134" coordsize="2384,2714">
            <v:shape style="position:absolute;left:1556;top:-1127;width:2370;height:2700" coordorigin="1556,-1127" coordsize="2370,2700" path="m1556,-712l1563,-786,1582,-857,1613,-922,1654,-980,1704,-1030,1762,-1071,1827,-1101,1897,-1121,1972,-1127,3510,-1127,3585,-1121,3655,-1101,3720,-1071,3778,-1030,3828,-980,3869,-922,3900,-857,3919,-786,3926,-712,3926,1156,3919,1231,3900,1301,3869,1366,3828,1424,3778,1474,3720,1515,3655,1546,3585,1565,3510,1572,1972,1572,1897,1565,1827,1546,1762,1515,1704,1474,1654,1424,1613,1366,1582,1301,1563,1231,1556,1156,1556,-712xe" filled="false" stroked="true" strokeweight=".66pt" strokecolor="#231f20">
              <v:path arrowok="t"/>
            </v:shape>
            <v:shape style="position:absolute;left:1550;top:-1134;width:2383;height:2713" type="#_x0000_t202" filled="false" stroked="false">
              <v:textbox inset="0,0,0,0">
                <w:txbxContent>
                  <w:p>
                    <w:pPr>
                      <w:spacing w:line="240" w:lineRule="auto" w:before="4"/>
                      <w:rPr>
                        <w:sz w:val="15"/>
                      </w:rPr>
                    </w:pPr>
                  </w:p>
                  <w:p>
                    <w:pPr>
                      <w:spacing w:line="184" w:lineRule="exact" w:before="0"/>
                      <w:ind w:left="266" w:right="202" w:firstLine="0"/>
                      <w:jc w:val="left"/>
                      <w:rPr>
                        <w:rFonts w:ascii="Palatino Linotype" w:hAnsi="Palatino Linotype"/>
                        <w:sz w:val="16"/>
                      </w:rPr>
                    </w:pPr>
                    <w:r>
                      <w:rPr>
                        <w:rFonts w:ascii="Palatino Linotype" w:hAnsi="Palatino Linotype"/>
                        <w:color w:val="231F20"/>
                        <w:w w:val="95"/>
                        <w:sz w:val="16"/>
                      </w:rPr>
                      <w:t>Sensores</w:t>
                    </w:r>
                    <w:r>
                      <w:rPr>
                        <w:rFonts w:ascii="Palatino Linotype" w:hAnsi="Palatino Linotype"/>
                        <w:color w:val="231F20"/>
                        <w:spacing w:val="-26"/>
                        <w:w w:val="95"/>
                        <w:sz w:val="16"/>
                      </w:rPr>
                      <w:t> </w:t>
                    </w:r>
                    <w:r>
                      <w:rPr>
                        <w:rFonts w:ascii="Palatino Linotype" w:hAnsi="Palatino Linotype"/>
                        <w:color w:val="231F20"/>
                        <w:w w:val="95"/>
                        <w:sz w:val="16"/>
                      </w:rPr>
                      <w:t>de</w:t>
                    </w:r>
                    <w:r>
                      <w:rPr>
                        <w:rFonts w:ascii="Palatino Linotype" w:hAnsi="Palatino Linotype"/>
                        <w:color w:val="231F20"/>
                        <w:spacing w:val="-26"/>
                        <w:w w:val="95"/>
                        <w:sz w:val="16"/>
                      </w:rPr>
                      <w:t> </w:t>
                    </w:r>
                    <w:r>
                      <w:rPr>
                        <w:rFonts w:ascii="Palatino Linotype" w:hAnsi="Palatino Linotype"/>
                        <w:color w:val="231F20"/>
                        <w:w w:val="95"/>
                        <w:sz w:val="16"/>
                      </w:rPr>
                      <w:t>control</w:t>
                    </w:r>
                    <w:r>
                      <w:rPr>
                        <w:rFonts w:ascii="Palatino Linotype" w:hAnsi="Palatino Linotype"/>
                        <w:color w:val="231F20"/>
                        <w:spacing w:val="-26"/>
                        <w:w w:val="95"/>
                        <w:sz w:val="16"/>
                      </w:rPr>
                      <w:t> </w:t>
                    </w:r>
                    <w:r>
                      <w:rPr>
                        <w:rFonts w:ascii="Palatino Linotype" w:hAnsi="Palatino Linotype"/>
                        <w:color w:val="231F20"/>
                        <w:w w:val="95"/>
                        <w:sz w:val="16"/>
                      </w:rPr>
                      <w:t>del</w:t>
                    </w:r>
                    <w:r>
                      <w:rPr>
                        <w:rFonts w:ascii="Palatino Linotype" w:hAnsi="Palatino Linotype"/>
                        <w:color w:val="231F20"/>
                        <w:spacing w:val="-26"/>
                        <w:w w:val="95"/>
                        <w:sz w:val="16"/>
                      </w:rPr>
                      <w:t> </w:t>
                    </w:r>
                    <w:r>
                      <w:rPr>
                        <w:rFonts w:ascii="Palatino Linotype" w:hAnsi="Palatino Linotype"/>
                        <w:color w:val="231F20"/>
                        <w:w w:val="95"/>
                        <w:sz w:val="16"/>
                      </w:rPr>
                      <w:t>motor Cables, bujías y distribuidor </w:t>
                    </w:r>
                    <w:r>
                      <w:rPr>
                        <w:rFonts w:ascii="Palatino Linotype" w:hAnsi="Palatino Linotype"/>
                        <w:color w:val="231F20"/>
                        <w:sz w:val="16"/>
                      </w:rPr>
                      <w:t>Alternador</w:t>
                    </w:r>
                  </w:p>
                  <w:p>
                    <w:pPr>
                      <w:spacing w:line="240" w:lineRule="auto" w:before="3"/>
                      <w:rPr>
                        <w:sz w:val="16"/>
                      </w:rPr>
                    </w:pPr>
                  </w:p>
                  <w:p>
                    <w:pPr>
                      <w:spacing w:line="198" w:lineRule="exact" w:before="0"/>
                      <w:ind w:left="266" w:right="202" w:firstLine="0"/>
                      <w:jc w:val="left"/>
                      <w:rPr>
                        <w:rFonts w:ascii="Palatino Linotype" w:hAnsi="Palatino Linotype"/>
                        <w:sz w:val="16"/>
                      </w:rPr>
                    </w:pPr>
                    <w:r>
                      <w:rPr>
                        <w:rFonts w:ascii="Palatino Linotype" w:hAnsi="Palatino Linotype"/>
                        <w:color w:val="231F20"/>
                        <w:w w:val="90"/>
                        <w:sz w:val="16"/>
                      </w:rPr>
                      <w:t>Mecanismo de suspensión y </w:t>
                    </w:r>
                    <w:r>
                      <w:rPr>
                        <w:rFonts w:ascii="Palatino Linotype" w:hAnsi="Palatino Linotype"/>
                        <w:color w:val="231F20"/>
                        <w:sz w:val="16"/>
                      </w:rPr>
                      <w:t>transmisión</w:t>
                    </w:r>
                  </w:p>
                  <w:p>
                    <w:pPr>
                      <w:spacing w:line="206" w:lineRule="auto" w:before="0"/>
                      <w:ind w:left="266" w:right="226" w:firstLine="0"/>
                      <w:jc w:val="left"/>
                      <w:rPr>
                        <w:rFonts w:ascii="Palatino Linotype" w:hAnsi="Palatino Linotype"/>
                        <w:sz w:val="16"/>
                      </w:rPr>
                    </w:pPr>
                    <w:r>
                      <w:rPr>
                        <w:rFonts w:ascii="Palatino Linotype" w:hAnsi="Palatino Linotype"/>
                        <w:color w:val="231F20"/>
                        <w:sz w:val="16"/>
                      </w:rPr>
                      <w:t>Arnés de cables </w:t>
                    </w:r>
                    <w:r>
                      <w:rPr>
                        <w:rFonts w:ascii="Palatino Linotype" w:hAnsi="Palatino Linotype"/>
                        <w:color w:val="231F20"/>
                        <w:w w:val="90"/>
                        <w:sz w:val="16"/>
                      </w:rPr>
                      <w:t>Antibloqueo de frenos</w:t>
                    </w:r>
                  </w:p>
                  <w:p>
                    <w:pPr>
                      <w:spacing w:line="240" w:lineRule="auto" w:before="10"/>
                      <w:rPr>
                        <w:sz w:val="15"/>
                      </w:rPr>
                    </w:pPr>
                  </w:p>
                  <w:p>
                    <w:pPr>
                      <w:spacing w:line="198" w:lineRule="exact" w:before="0"/>
                      <w:ind w:left="266" w:right="1650" w:firstLine="0"/>
                      <w:jc w:val="left"/>
                      <w:rPr>
                        <w:rFonts w:ascii="Palatino Linotype"/>
                        <w:sz w:val="16"/>
                      </w:rPr>
                    </w:pPr>
                    <w:r>
                      <w:rPr>
                        <w:rFonts w:ascii="Palatino Linotype"/>
                        <w:color w:val="231F20"/>
                        <w:w w:val="90"/>
                        <w:sz w:val="16"/>
                      </w:rPr>
                      <w:t>Sonido </w:t>
                    </w:r>
                    <w:r>
                      <w:rPr>
                        <w:rFonts w:ascii="Palatino Linotype"/>
                        <w:color w:val="231F20"/>
                        <w:sz w:val="16"/>
                      </w:rPr>
                      <w:t>Luces</w:t>
                    </w:r>
                  </w:p>
                  <w:p>
                    <w:pPr>
                      <w:spacing w:line="206" w:lineRule="auto" w:before="0"/>
                      <w:ind w:left="266" w:right="846" w:firstLine="0"/>
                      <w:jc w:val="left"/>
                      <w:rPr>
                        <w:rFonts w:ascii="Palatino Linotype" w:hAnsi="Palatino Linotype"/>
                        <w:sz w:val="16"/>
                      </w:rPr>
                    </w:pPr>
                    <w:r>
                      <w:rPr>
                        <w:rFonts w:ascii="Palatino Linotype" w:hAnsi="Palatino Linotype"/>
                        <w:color w:val="231F20"/>
                        <w:w w:val="90"/>
                        <w:sz w:val="16"/>
                      </w:rPr>
                      <w:t>Aire acondicionado </w:t>
                    </w:r>
                    <w:r>
                      <w:rPr>
                        <w:rFonts w:ascii="Palatino Linotype" w:hAnsi="Palatino Linotype"/>
                        <w:color w:val="231F20"/>
                        <w:sz w:val="16"/>
                      </w:rPr>
                      <w:t>Navegación</w:t>
                    </w:r>
                  </w:p>
                </w:txbxContent>
              </v:textbox>
              <w10:wrap type="none"/>
            </v:shape>
            <w10:wrap type="none"/>
          </v:group>
        </w:pict>
      </w:r>
      <w:r>
        <w:rPr/>
        <w:pict>
          <v:group style="position:absolute;margin-left:222.128006pt;margin-top:-44.52034pt;width:88.5pt;height:115.2pt;mso-position-horizontal-relative:page;mso-position-vertical-relative:paragraph;z-index:6040" coordorigin="4443,-890" coordsize="1770,2304">
            <v:shape style="position:absolute;left:4450;top:-883;width:1756;height:2290" coordorigin="4450,-883" coordsize="1756,2290" path="m4450,-591l4460,-669,4490,-738,4535,-798,4594,-843,4664,-873,4742,-883,5913,-883,5990,-873,6060,-843,6120,-798,6165,-738,6195,-669,6205,-591,6205,1113,6195,1191,6165,1261,6120,1320,6060,1366,5990,1395,5913,1406,4742,1406,4664,1395,4594,1366,4535,1320,4490,1261,4460,1191,4450,1113,4450,-591xe" filled="false" stroked="true" strokeweight=".66pt" strokecolor="#231f20">
              <v:path arrowok="t"/>
            </v:shape>
            <v:shape style="position:absolute;left:4992;top:-718;width:688;height:159" type="#_x0000_t202" filled="false" stroked="false">
              <v:textbox inset="0,0,0,0">
                <w:txbxContent>
                  <w:p>
                    <w:pPr>
                      <w:spacing w:line="158" w:lineRule="exact" w:before="0"/>
                      <w:ind w:left="0" w:right="-17" w:firstLine="0"/>
                      <w:jc w:val="left"/>
                      <w:rPr>
                        <w:rFonts w:ascii="Palatino Linotype"/>
                        <w:sz w:val="16"/>
                      </w:rPr>
                    </w:pPr>
                    <w:r>
                      <w:rPr>
                        <w:rFonts w:ascii="Palatino Linotype"/>
                        <w:color w:val="231F20"/>
                        <w:w w:val="90"/>
                        <w:sz w:val="16"/>
                      </w:rPr>
                      <w:t>Encendido</w:t>
                    </w:r>
                  </w:p>
                </w:txbxContent>
              </v:textbox>
              <w10:wrap type="none"/>
            </v:shape>
            <v:shape style="position:absolute;left:4663;top:100;width:1320;height:159" type="#_x0000_t202" filled="false" stroked="false">
              <v:textbox inset="0,0,0,0">
                <w:txbxContent>
                  <w:p>
                    <w:pPr>
                      <w:spacing w:line="158" w:lineRule="exact" w:before="0"/>
                      <w:ind w:left="0" w:right="-20" w:firstLine="0"/>
                      <w:jc w:val="left"/>
                      <w:rPr>
                        <w:rFonts w:ascii="Palatino Linotype" w:hAnsi="Palatino Linotype"/>
                        <w:sz w:val="16"/>
                      </w:rPr>
                    </w:pPr>
                    <w:r>
                      <w:rPr>
                        <w:rFonts w:ascii="Palatino Linotype" w:hAnsi="Palatino Linotype"/>
                        <w:color w:val="231F20"/>
                        <w:w w:val="90"/>
                        <w:sz w:val="16"/>
                      </w:rPr>
                      <w:t>Electrónica de chasis</w:t>
                    </w:r>
                  </w:p>
                </w:txbxContent>
              </v:textbox>
              <w10:wrap type="none"/>
            </v:shape>
            <v:shape style="position:absolute;left:4854;top:931;width:945;height:344" type="#_x0000_t202" filled="false" stroked="false">
              <v:textbox inset="0,0,0,0">
                <w:txbxContent>
                  <w:p>
                    <w:pPr>
                      <w:spacing w:line="148" w:lineRule="exact" w:before="0"/>
                      <w:ind w:left="-1" w:right="0" w:firstLine="0"/>
                      <w:jc w:val="center"/>
                      <w:rPr>
                        <w:rFonts w:ascii="Palatino Linotype" w:hAnsi="Palatino Linotype"/>
                        <w:sz w:val="16"/>
                      </w:rPr>
                    </w:pPr>
                    <w:r>
                      <w:rPr>
                        <w:rFonts w:ascii="Palatino Linotype" w:hAnsi="Palatino Linotype"/>
                        <w:color w:val="231F20"/>
                        <w:w w:val="90"/>
                        <w:sz w:val="16"/>
                      </w:rPr>
                      <w:t>Electrónica</w:t>
                    </w:r>
                    <w:r>
                      <w:rPr>
                        <w:rFonts w:ascii="Palatino Linotype" w:hAnsi="Palatino Linotype"/>
                        <w:color w:val="231F20"/>
                        <w:spacing w:val="1"/>
                        <w:w w:val="90"/>
                        <w:sz w:val="16"/>
                      </w:rPr>
                      <w:t> </w:t>
                    </w:r>
                    <w:r>
                      <w:rPr>
                        <w:rFonts w:ascii="Palatino Linotype" w:hAnsi="Palatino Linotype"/>
                        <w:color w:val="231F20"/>
                        <w:w w:val="90"/>
                        <w:sz w:val="16"/>
                      </w:rPr>
                      <w:t>del</w:t>
                    </w:r>
                  </w:p>
                  <w:p>
                    <w:pPr>
                      <w:spacing w:line="195" w:lineRule="exact" w:before="0"/>
                      <w:ind w:left="28" w:right="0" w:firstLine="0"/>
                      <w:jc w:val="center"/>
                      <w:rPr>
                        <w:rFonts w:ascii="Palatino Linotype"/>
                        <w:sz w:val="16"/>
                      </w:rPr>
                    </w:pPr>
                    <w:r>
                      <w:rPr>
                        <w:rFonts w:ascii="Palatino Linotype"/>
                        <w:color w:val="231F20"/>
                        <w:sz w:val="16"/>
                      </w:rPr>
                      <w:t>interior</w:t>
                    </w:r>
                  </w:p>
                </w:txbxContent>
              </v:textbox>
              <w10:wrap type="none"/>
            </v:shape>
            <w10:wrap type="none"/>
          </v:group>
        </w:pict>
      </w:r>
      <w:r>
        <w:rPr/>
        <w:pict>
          <v:shape style="position:absolute;margin-left:203.072006pt;margin-top:-14.572742pt;width:12.85pt;height:36.75pt;mso-position-horizontal-relative:page;mso-position-vertical-relative:paragraph;z-index:6232" coordorigin="4061,-291" coordsize="257,735" path="m4061,-291l4111,-290,4152,-285,4180,-278,4190,-270,4190,55,4200,63,4227,70,4268,74,4318,76,4268,78,4227,82,4200,89,4190,97,4190,422,4180,430,4152,437,4111,442,4061,443e" filled="false" stroked="true" strokeweight=".495pt" strokecolor="#231f20">
            <v:path arrowok="t"/>
            <w10:wrap type="none"/>
          </v:shape>
        </w:pict>
      </w:r>
      <w:r>
        <w:rPr/>
        <w:pict>
          <v:group style="position:absolute;margin-left:334.758698pt;margin-top:-3.683541pt;width:73.850pt;height:28.5pt;mso-position-horizontal-relative:page;mso-position-vertical-relative:paragraph;z-index:6400" coordorigin="6695,-74" coordsize="1477,570">
            <v:shape style="position:absolute;left:6702;top:-67;width:1463;height:556" coordorigin="6702,-67" coordsize="1463,556" path="m6702,26l6709,-10,6729,-40,6759,-59,6795,-67,8072,-67,8108,-59,8137,-40,8157,-10,8164,26,8164,396,8157,432,8137,462,8108,482,8072,489,6795,489,6759,482,6729,462,6709,432,6702,396,6702,26xe" filled="false" stroked="true" strokeweight=".66pt" strokecolor="#231f20">
              <v:path arrowok="t"/>
            </v:shape>
            <v:shape style="position:absolute;left:6696;top:-73;width:1476;height:569" type="#_x0000_t202" filled="false" stroked="false">
              <v:textbox inset="0,0,0,0">
                <w:txbxContent>
                  <w:p>
                    <w:pPr>
                      <w:spacing w:line="184" w:lineRule="exact" w:before="105"/>
                      <w:ind w:left="322" w:right="188" w:hanging="116"/>
                      <w:jc w:val="left"/>
                      <w:rPr>
                        <w:rFonts w:ascii="Palatino Linotype" w:hAnsi="Palatino Linotype"/>
                        <w:sz w:val="16"/>
                      </w:rPr>
                    </w:pPr>
                    <w:r>
                      <w:rPr>
                        <w:rFonts w:ascii="Palatino Linotype" w:hAnsi="Palatino Linotype"/>
                        <w:color w:val="231F20"/>
                        <w:w w:val="90"/>
                        <w:sz w:val="16"/>
                      </w:rPr>
                      <w:t>Sistema eléctrico y electrónico</w:t>
                    </w:r>
                  </w:p>
                </w:txbxContent>
              </v:textbox>
              <w10:wrap type="none"/>
            </v:shape>
            <w10:wrap type="none"/>
          </v:group>
        </w:pict>
      </w:r>
      <w:r>
        <w:rPr>
          <w:rFonts w:ascii="Palatino Linotype"/>
          <w:color w:val="231F20"/>
          <w:w w:val="89"/>
          <w:sz w:val="16"/>
          <w:u w:val="thick" w:color="231F20"/>
        </w:rPr>
        <w:t> </w:t>
      </w:r>
      <w:r>
        <w:rPr>
          <w:rFonts w:ascii="Palatino Linotype"/>
          <w:color w:val="231F20"/>
          <w:spacing w:val="-1"/>
          <w:sz w:val="16"/>
          <w:u w:val="thick" w:color="231F20"/>
        </w:rPr>
        <w:t> </w:t>
      </w:r>
    </w:p>
    <w:p>
      <w:pPr>
        <w:pStyle w:val="BodyText"/>
        <w:rPr>
          <w:rFonts w:ascii="Palatino Linotype"/>
          <w:sz w:val="20"/>
        </w:rPr>
      </w:pPr>
    </w:p>
    <w:p>
      <w:pPr>
        <w:pStyle w:val="BodyText"/>
        <w:rPr>
          <w:rFonts w:ascii="Palatino Linotype"/>
          <w:sz w:val="22"/>
        </w:rPr>
      </w:pPr>
    </w:p>
    <w:p>
      <w:pPr>
        <w:spacing w:line="200" w:lineRule="exact" w:before="48"/>
        <w:ind w:left="0" w:right="397" w:firstLine="0"/>
        <w:jc w:val="center"/>
        <w:rPr>
          <w:rFonts w:ascii="Palatino Linotype"/>
          <w:sz w:val="16"/>
        </w:rPr>
      </w:pPr>
      <w:r>
        <w:rPr>
          <w:rFonts w:ascii="Palatino Linotype"/>
          <w:color w:val="231F20"/>
          <w:w w:val="89"/>
          <w:sz w:val="16"/>
          <w:u w:val="thick" w:color="231F20"/>
        </w:rPr>
        <w:t> </w:t>
      </w:r>
      <w:r>
        <w:rPr>
          <w:rFonts w:ascii="Palatino Linotype"/>
          <w:color w:val="231F20"/>
          <w:spacing w:val="2"/>
          <w:sz w:val="16"/>
          <w:u w:val="thick" w:color="231F20"/>
        </w:rPr>
        <w:t> </w:t>
      </w:r>
    </w:p>
    <w:p>
      <w:pPr>
        <w:spacing w:line="200" w:lineRule="exact" w:before="0"/>
        <w:ind w:left="0" w:right="2035" w:firstLine="0"/>
        <w:jc w:val="right"/>
        <w:rPr>
          <w:rFonts w:ascii="Palatino Linotype"/>
          <w:sz w:val="16"/>
        </w:rPr>
      </w:pPr>
      <w:r>
        <w:rPr>
          <w:rFonts w:ascii="Palatino Linotype"/>
          <w:color w:val="231F20"/>
          <w:w w:val="89"/>
          <w:sz w:val="16"/>
          <w:u w:val="single" w:color="231F20"/>
        </w:rPr>
        <w:t> </w:t>
      </w:r>
      <w:r>
        <w:rPr>
          <w:rFonts w:ascii="Palatino Linotype"/>
          <w:color w:val="231F20"/>
          <w:spacing w:val="-1"/>
          <w:sz w:val="16"/>
          <w:u w:val="single" w:color="231F20"/>
        </w:rPr>
        <w:t> </w:t>
      </w:r>
    </w:p>
    <w:p>
      <w:pPr>
        <w:spacing w:before="12"/>
        <w:ind w:left="0" w:right="674" w:firstLine="0"/>
        <w:jc w:val="center"/>
        <w:rPr>
          <w:rFonts w:ascii="Palatino Linotype"/>
          <w:sz w:val="16"/>
        </w:rPr>
      </w:pPr>
      <w:r>
        <w:rPr/>
        <w:pict>
          <v:shape style="position:absolute;margin-left:203.567001pt;margin-top:43.239868pt;width:12.85pt;height:27pt;mso-position-horizontal-relative:page;mso-position-vertical-relative:paragraph;z-index:6256" coordorigin="4071,865" coordsize="257,540" path="m4071,865l4121,866,4162,871,4189,878,4199,886,4199,1113,4209,1122,4237,1128,4278,1133,4328,1135,4278,1136,4237,1141,4209,1148,4199,1156,4199,1383,4189,1391,4162,1398,4121,1403,4071,1404e" filled="false" stroked="true" strokeweight=".495pt" strokecolor="#231f20">
            <v:path arrowok="t"/>
            <w10:wrap type="none"/>
          </v:shape>
        </w:pict>
      </w:r>
      <w:r>
        <w:rPr>
          <w:rFonts w:ascii="Palatino Linotype"/>
          <w:color w:val="231F20"/>
          <w:w w:val="89"/>
          <w:sz w:val="16"/>
          <w:u w:val="single" w:color="231F20"/>
        </w:rPr>
        <w:t> </w:t>
      </w:r>
      <w:r>
        <w:rPr>
          <w:rFonts w:ascii="Palatino Linotype"/>
          <w:color w:val="231F20"/>
          <w:spacing w:val="2"/>
          <w:sz w:val="16"/>
          <w:u w:val="single" w:color="231F20"/>
        </w:rPr>
        <w:t> </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5"/>
        </w:rPr>
      </w:pPr>
    </w:p>
    <w:p>
      <w:pPr>
        <w:spacing w:before="40"/>
        <w:ind w:left="653" w:right="673" w:firstLine="0"/>
        <w:jc w:val="left"/>
        <w:rPr>
          <w:sz w:val="19"/>
        </w:rPr>
      </w:pPr>
      <w:r>
        <w:rPr/>
        <w:pict>
          <v:group style="position:absolute;margin-left:77.469597pt;margin-top:-139.033356pt;width:119.2pt;height:127.85pt;mso-position-horizontal-relative:page;mso-position-vertical-relative:paragraph;z-index:5848" coordorigin="1549,-2781" coordsize="2384,2557">
            <v:shape style="position:absolute;left:1556;top:-2774;width:2370;height:2543" coordorigin="1556,-2774" coordsize="2370,2543" path="m1556,-2358l1563,-2433,1582,-2503,1613,-2568,1654,-2626,1704,-2676,1762,-2717,1827,-2748,1897,-2767,1972,-2774,3510,-2774,3585,-2767,3655,-2748,3720,-2717,3778,-2676,3828,-2626,3869,-2568,3900,-2503,3919,-2433,3926,-2358,3926,-647,3919,-572,3900,-502,3869,-437,3828,-379,3778,-329,3720,-288,3655,-257,3585,-238,3510,-231,1972,-231,1897,-238,1827,-257,1762,-288,1704,-329,1654,-379,1613,-437,1582,-502,1563,-572,1556,-647,1556,-2358xe" filled="false" stroked="true" strokeweight=".66pt" strokecolor="#231f20">
              <v:path arrowok="t"/>
            </v:shape>
            <v:shape style="position:absolute;left:1550;top:-2780;width:2383;height:2556" type="#_x0000_t202" filled="false" stroked="false">
              <v:textbox inset="0,0,0,0">
                <w:txbxContent>
                  <w:p>
                    <w:pPr>
                      <w:spacing w:line="240" w:lineRule="auto" w:before="4"/>
                      <w:rPr>
                        <w:sz w:val="15"/>
                      </w:rPr>
                    </w:pPr>
                  </w:p>
                  <w:p>
                    <w:pPr>
                      <w:spacing w:line="184" w:lineRule="exact" w:before="0"/>
                      <w:ind w:left="266" w:right="1699" w:firstLine="0"/>
                      <w:jc w:val="left"/>
                      <w:rPr>
                        <w:rFonts w:ascii="Palatino Linotype"/>
                        <w:sz w:val="16"/>
                      </w:rPr>
                    </w:pPr>
                    <w:r>
                      <w:rPr>
                        <w:rFonts w:ascii="Palatino Linotype"/>
                        <w:color w:val="231F20"/>
                        <w:w w:val="90"/>
                        <w:sz w:val="16"/>
                      </w:rPr>
                      <w:t>Motor </w:t>
                    </w:r>
                    <w:r>
                      <w:rPr>
                        <w:rFonts w:ascii="Palatino Linotype"/>
                        <w:color w:val="231F20"/>
                        <w:sz w:val="16"/>
                      </w:rPr>
                      <w:t>Ejes</w:t>
                    </w:r>
                  </w:p>
                  <w:p>
                    <w:pPr>
                      <w:spacing w:line="196" w:lineRule="exact" w:before="0"/>
                      <w:ind w:left="266" w:right="202" w:firstLine="0"/>
                      <w:jc w:val="left"/>
                      <w:rPr>
                        <w:rFonts w:ascii="Palatino Linotype" w:hAnsi="Palatino Linotype"/>
                        <w:sz w:val="16"/>
                      </w:rPr>
                    </w:pPr>
                    <w:r>
                      <w:rPr>
                        <w:rFonts w:ascii="Palatino Linotype" w:hAnsi="Palatino Linotype"/>
                        <w:color w:val="231F20"/>
                        <w:sz w:val="16"/>
                      </w:rPr>
                      <w:t>Transmisión</w:t>
                    </w:r>
                  </w:p>
                  <w:p>
                    <w:pPr>
                      <w:spacing w:line="240" w:lineRule="auto" w:before="3"/>
                      <w:rPr>
                        <w:sz w:val="15"/>
                      </w:rPr>
                    </w:pPr>
                  </w:p>
                  <w:p>
                    <w:pPr>
                      <w:spacing w:line="198" w:lineRule="exact" w:before="1"/>
                      <w:ind w:left="266" w:right="1351" w:firstLine="0"/>
                      <w:jc w:val="left"/>
                      <w:rPr>
                        <w:rFonts w:ascii="Palatino Linotype" w:hAnsi="Palatino Linotype"/>
                        <w:sz w:val="16"/>
                      </w:rPr>
                    </w:pPr>
                    <w:r>
                      <w:rPr>
                        <w:rFonts w:ascii="Palatino Linotype" w:hAnsi="Palatino Linotype"/>
                        <w:color w:val="231F20"/>
                        <w:w w:val="85"/>
                        <w:sz w:val="16"/>
                      </w:rPr>
                      <w:t>Suspensión </w:t>
                    </w:r>
                    <w:r>
                      <w:rPr>
                        <w:rFonts w:ascii="Palatino Linotype" w:hAnsi="Palatino Linotype"/>
                        <w:color w:val="231F20"/>
                        <w:sz w:val="16"/>
                      </w:rPr>
                      <w:t>Frenos</w:t>
                    </w:r>
                  </w:p>
                  <w:p>
                    <w:pPr>
                      <w:spacing w:line="206" w:lineRule="auto" w:before="0"/>
                      <w:ind w:left="266" w:right="202" w:firstLine="0"/>
                      <w:jc w:val="left"/>
                      <w:rPr>
                        <w:rFonts w:ascii="Palatino Linotype" w:hAnsi="Palatino Linotype"/>
                        <w:sz w:val="16"/>
                      </w:rPr>
                    </w:pPr>
                    <w:r>
                      <w:rPr>
                        <w:rFonts w:ascii="Palatino Linotype" w:hAnsi="Palatino Linotype"/>
                        <w:color w:val="231F20"/>
                        <w:w w:val="90"/>
                        <w:sz w:val="16"/>
                      </w:rPr>
                      <w:t>Ruedas y neumáticos </w:t>
                    </w:r>
                    <w:r>
                      <w:rPr>
                        <w:rFonts w:ascii="Palatino Linotype" w:hAnsi="Palatino Linotype"/>
                        <w:color w:val="231F20"/>
                        <w:sz w:val="16"/>
                      </w:rPr>
                      <w:t>Amortiguadores</w:t>
                    </w:r>
                  </w:p>
                  <w:p>
                    <w:pPr>
                      <w:spacing w:line="240" w:lineRule="auto" w:before="7"/>
                      <w:rPr>
                        <w:sz w:val="16"/>
                      </w:rPr>
                    </w:pPr>
                  </w:p>
                  <w:p>
                    <w:pPr>
                      <w:spacing w:line="213" w:lineRule="auto" w:before="1"/>
                      <w:ind w:left="266" w:right="1159" w:firstLine="0"/>
                      <w:jc w:val="left"/>
                      <w:rPr>
                        <w:rFonts w:ascii="Palatino Linotype"/>
                        <w:sz w:val="16"/>
                      </w:rPr>
                    </w:pPr>
                    <w:r>
                      <w:rPr>
                        <w:rFonts w:ascii="Palatino Linotype"/>
                        <w:color w:val="231F20"/>
                        <w:w w:val="90"/>
                        <w:sz w:val="16"/>
                      </w:rPr>
                      <w:t>Terminaciones </w:t>
                    </w:r>
                    <w:r>
                      <w:rPr>
                        <w:rFonts w:ascii="Palatino Linotype"/>
                        <w:color w:val="231F20"/>
                        <w:sz w:val="16"/>
                      </w:rPr>
                      <w:t>Radiador Ventilador</w:t>
                    </w:r>
                  </w:p>
                </w:txbxContent>
              </v:textbox>
              <w10:wrap type="none"/>
            </v:shape>
            <w10:wrap type="none"/>
          </v:group>
        </w:pict>
      </w:r>
      <w:r>
        <w:rPr/>
        <w:pict>
          <v:group style="position:absolute;margin-left:222.128006pt;margin-top:-130.787750pt;width:108.65pt;height:114.3pt;mso-position-horizontal-relative:page;mso-position-vertical-relative:paragraph;z-index:6136" coordorigin="4443,-2616" coordsize="2173,2286">
            <v:shape style="position:absolute;left:4450;top:-2609;width:1756;height:2272" coordorigin="4450,-2609" coordsize="1756,2272" path="m4450,-2316l4460,-2394,4490,-2464,4535,-2523,4594,-2569,4664,-2598,4742,-2609,5913,-2609,5990,-2598,6060,-2569,6120,-2523,6165,-2464,6195,-2394,6205,-2316,6205,-630,6195,-552,6165,-482,6120,-423,6060,-377,5990,-348,5913,-337,4742,-337,4664,-348,4594,-377,4535,-423,4490,-482,4460,-552,4450,-630,4450,-2316xe" filled="false" stroked="true" strokeweight=".66pt" strokecolor="#231f20">
              <v:path arrowok="t"/>
            </v:shape>
            <v:shape style="position:absolute;left:6275;top:-2484;width:336;height:2002" coordorigin="6275,-2484" coordsize="336,2002" path="m6275,-2484l6340,-2482,6394,-2476,6429,-2467,6443,-2456,6443,-1511,6456,-1500,6492,-1492,6545,-1486,6610,-1483,6545,-1481,6492,-1475,6456,-1466,6443,-1455,6443,-511,6429,-500,6394,-491,6340,-485,6275,-483e" filled="false" stroked="true" strokeweight=".495pt" strokecolor="#231f20">
              <v:path arrowok="t"/>
            </v:shape>
            <v:shape style="position:absolute;left:4972;top:-2443;width:745;height:159" type="#_x0000_t202" filled="false" stroked="false">
              <v:textbox inset="0,0,0,0">
                <w:txbxContent>
                  <w:p>
                    <w:pPr>
                      <w:spacing w:line="158" w:lineRule="exact" w:before="0"/>
                      <w:ind w:left="0" w:right="-19" w:firstLine="0"/>
                      <w:jc w:val="left"/>
                      <w:rPr>
                        <w:rFonts w:ascii="Palatino Linotype"/>
                        <w:sz w:val="16"/>
                      </w:rPr>
                    </w:pPr>
                    <w:r>
                      <w:rPr>
                        <w:rFonts w:ascii="Palatino Linotype"/>
                        <w:color w:val="231F20"/>
                        <w:w w:val="95"/>
                        <w:sz w:val="16"/>
                      </w:rPr>
                      <w:t>Tren</w:t>
                    </w:r>
                    <w:r>
                      <w:rPr>
                        <w:rFonts w:ascii="Palatino Linotype"/>
                        <w:color w:val="231F20"/>
                        <w:spacing w:val="-19"/>
                        <w:w w:val="95"/>
                        <w:sz w:val="16"/>
                      </w:rPr>
                      <w:t> </w:t>
                    </w:r>
                    <w:r>
                      <w:rPr>
                        <w:rFonts w:ascii="Palatino Linotype"/>
                        <w:color w:val="231F20"/>
                        <w:w w:val="95"/>
                        <w:sz w:val="16"/>
                      </w:rPr>
                      <w:t>motor</w:t>
                    </w:r>
                  </w:p>
                </w:txbxContent>
              </v:textbox>
              <w10:wrap type="none"/>
            </v:shape>
            <v:shape style="position:absolute;left:4915;top:-1560;width:821;height:159" type="#_x0000_t202" filled="false" stroked="false">
              <v:textbox inset="0,0,0,0">
                <w:txbxContent>
                  <w:p>
                    <w:pPr>
                      <w:spacing w:line="158" w:lineRule="exact" w:before="0"/>
                      <w:ind w:left="0" w:right="-18" w:firstLine="0"/>
                      <w:jc w:val="left"/>
                      <w:rPr>
                        <w:rFonts w:ascii="Palatino Linotype" w:hAnsi="Palatino Linotype"/>
                        <w:sz w:val="16"/>
                      </w:rPr>
                    </w:pPr>
                    <w:r>
                      <w:rPr>
                        <w:rFonts w:ascii="Palatino Linotype" w:hAnsi="Palatino Linotype"/>
                        <w:color w:val="231F20"/>
                        <w:w w:val="90"/>
                        <w:sz w:val="16"/>
                      </w:rPr>
                      <w:t>Chasis</w:t>
                    </w:r>
                    <w:r>
                      <w:rPr>
                        <w:rFonts w:ascii="Palatino Linotype" w:hAnsi="Palatino Linotype"/>
                        <w:color w:val="231F20"/>
                        <w:spacing w:val="-10"/>
                        <w:w w:val="90"/>
                        <w:sz w:val="16"/>
                      </w:rPr>
                      <w:t> </w:t>
                    </w:r>
                    <w:r>
                      <w:rPr>
                        <w:rFonts w:ascii="Palatino Linotype" w:hAnsi="Palatino Linotype"/>
                        <w:color w:val="231F20"/>
                        <w:w w:val="90"/>
                        <w:sz w:val="16"/>
                      </w:rPr>
                      <w:t>móvil</w:t>
                    </w:r>
                  </w:p>
                </w:txbxContent>
              </v:textbox>
              <w10:wrap type="none"/>
            </v:shape>
            <v:shape style="position:absolute;left:4692;top:-673;width:1252;height:159" type="#_x0000_t202" filled="false" stroked="false">
              <v:textbox inset="0,0,0,0">
                <w:txbxContent>
                  <w:p>
                    <w:pPr>
                      <w:spacing w:line="158" w:lineRule="exact" w:before="0"/>
                      <w:ind w:left="0" w:right="-19" w:firstLine="0"/>
                      <w:jc w:val="left"/>
                      <w:rPr>
                        <w:rFonts w:ascii="Palatino Linotype" w:hAnsi="Palatino Linotype"/>
                        <w:sz w:val="16"/>
                      </w:rPr>
                    </w:pPr>
                    <w:r>
                      <w:rPr>
                        <w:rFonts w:ascii="Palatino Linotype" w:hAnsi="Palatino Linotype"/>
                        <w:color w:val="231F20"/>
                        <w:w w:val="90"/>
                        <w:sz w:val="16"/>
                      </w:rPr>
                      <w:t>Módulos</w:t>
                    </w:r>
                    <w:r>
                      <w:rPr>
                        <w:rFonts w:ascii="Palatino Linotype" w:hAnsi="Palatino Linotype"/>
                        <w:color w:val="231F20"/>
                        <w:spacing w:val="-20"/>
                        <w:w w:val="90"/>
                        <w:sz w:val="16"/>
                      </w:rPr>
                      <w:t> </w:t>
                    </w:r>
                    <w:r>
                      <w:rPr>
                        <w:rFonts w:ascii="Palatino Linotype" w:hAnsi="Palatino Linotype"/>
                        <w:color w:val="231F20"/>
                        <w:w w:val="90"/>
                        <w:sz w:val="16"/>
                      </w:rPr>
                      <w:t>"esquinas"</w:t>
                    </w:r>
                  </w:p>
                </w:txbxContent>
              </v:textbox>
              <w10:wrap type="none"/>
            </v:shape>
            <w10:wrap type="none"/>
          </v:group>
        </w:pict>
      </w:r>
      <w:r>
        <w:rPr/>
        <w:pict>
          <v:shape style="position:absolute;margin-left:204.503998pt;margin-top:-96.881958pt;width:12.95pt;height:36.25pt;mso-position-horizontal-relative:page;mso-position-vertical-relative:paragraph;z-index:6280" coordorigin="4090,-1938" coordsize="259,725" path="m4090,-1938l4140,-1936,4181,-1931,4209,-1925,4219,-1916,4219,-1597,4229,-1588,4257,-1582,4298,-1577,4348,-1575,4298,-1574,4257,-1569,4229,-1562,4219,-1554,4219,-1234,4209,-1226,4181,-1219,4140,-1214,4090,-1213e" filled="false" stroked="true" strokeweight=".495pt" strokecolor="#231f20">
            <v:path arrowok="t"/>
            <w10:wrap type="none"/>
          </v:shape>
        </w:pict>
      </w:r>
      <w:r>
        <w:rPr/>
        <w:pict>
          <v:shape style="position:absolute;margin-left:203.567001pt;margin-top:-51.375957pt;width:12.85pt;height:32.1pt;mso-position-horizontal-relative:page;mso-position-vertical-relative:paragraph;z-index:6304" coordorigin="4071,-1028" coordsize="257,642" path="m4071,-1028l4121,-1026,4162,-1021,4189,-1014,4199,-1006,4199,-728,4209,-720,4237,-713,4278,-708,4328,-707,4278,-705,4237,-701,4209,-694,4199,-685,4199,-407,4189,-399,4162,-392,4121,-388,4071,-386e" filled="false" stroked="true" strokeweight=".495pt" strokecolor="#231f20">
            <v:path arrowok="t"/>
            <w10:wrap type="none"/>
          </v:shape>
        </w:pict>
      </w:r>
      <w:r>
        <w:rPr/>
        <w:pict>
          <v:group style="position:absolute;margin-left:335.305298pt;margin-top:-88.301956pt;width:73.3pt;height:28.5pt;mso-position-horizontal-relative:page;mso-position-vertical-relative:paragraph;z-index:6448" coordorigin="6706,-1766" coordsize="1466,570">
            <v:shape style="position:absolute;left:6713;top:-1759;width:1452;height:556" coordorigin="6713,-1759" coordsize="1452,556" path="m6713,-1666l6720,-1702,6740,-1732,6770,-1752,6806,-1759,8072,-1759,8108,-1752,8137,-1732,8157,-1702,8164,-1666,8164,-1296,8157,-1260,8137,-1230,8108,-1211,8072,-1203,6806,-1203,6770,-1211,6740,-1230,6720,-1260,6713,-1296,6713,-1666xe" filled="false" stroked="true" strokeweight=".66pt" strokecolor="#231f20">
              <v:path arrowok="t"/>
            </v:shape>
            <v:shape style="position:absolute;left:6707;top:-1766;width:1465;height:569" type="#_x0000_t202" filled="false" stroked="false">
              <v:textbox inset="0,0,0,0">
                <w:txbxContent>
                  <w:p>
                    <w:pPr>
                      <w:spacing w:line="240" w:lineRule="auto" w:before="7"/>
                      <w:rPr>
                        <w:sz w:val="15"/>
                      </w:rPr>
                    </w:pPr>
                  </w:p>
                  <w:p>
                    <w:pPr>
                      <w:spacing w:before="0"/>
                      <w:ind w:left="253" w:right="0" w:firstLine="0"/>
                      <w:jc w:val="left"/>
                      <w:rPr>
                        <w:rFonts w:ascii="Palatino Linotype"/>
                        <w:sz w:val="16"/>
                      </w:rPr>
                    </w:pPr>
                    <w:r>
                      <w:rPr>
                        <w:rFonts w:ascii="Palatino Linotype"/>
                        <w:color w:val="231F20"/>
                        <w:w w:val="90"/>
                        <w:sz w:val="16"/>
                      </w:rPr>
                      <w:t>Sistema Chasis</w:t>
                    </w:r>
                  </w:p>
                </w:txbxContent>
              </v:textbox>
              <w10:wrap type="none"/>
            </v:shape>
            <w10:wrap type="none"/>
          </v:group>
        </w:pict>
      </w:r>
      <w:r>
        <w:rPr>
          <w:rFonts w:ascii="Palatino Linotype" w:hAnsi="Palatino Linotype"/>
          <w:i/>
          <w:color w:val="231F20"/>
          <w:sz w:val="19"/>
        </w:rPr>
        <w:t>Fuente: </w:t>
      </w:r>
      <w:r>
        <w:rPr>
          <w:color w:val="231F20"/>
          <w:sz w:val="19"/>
        </w:rPr>
        <w:t>Elaboración propia con datos de CEPAL (2003).</w:t>
      </w:r>
    </w:p>
    <w:p>
      <w:pPr>
        <w:spacing w:after="0"/>
        <w:jc w:val="left"/>
        <w:rPr>
          <w:sz w:val="19"/>
        </w:rPr>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03" w:right="651"/>
        <w:jc w:val="both"/>
      </w:pPr>
      <w:r>
        <w:rPr>
          <w:color w:val="231F20"/>
        </w:rPr>
        <w:t>Dentro de la producción modular existen dos términos básicos que interactúan entre sí</w:t>
      </w:r>
      <w:r>
        <w:rPr>
          <w:color w:val="231F20"/>
          <w:spacing w:val="-37"/>
        </w:rPr>
        <w:t> </w:t>
      </w:r>
      <w:r>
        <w:rPr>
          <w:color w:val="231F20"/>
        </w:rPr>
        <w:t>(Palafox,</w:t>
      </w:r>
      <w:r>
        <w:rPr>
          <w:color w:val="231F20"/>
          <w:spacing w:val="-37"/>
        </w:rPr>
        <w:t> </w:t>
      </w:r>
      <w:r>
        <w:rPr>
          <w:color w:val="231F20"/>
        </w:rPr>
        <w:t>2006):</w:t>
      </w:r>
    </w:p>
    <w:p>
      <w:pPr>
        <w:pStyle w:val="ListParagraph"/>
        <w:numPr>
          <w:ilvl w:val="0"/>
          <w:numId w:val="14"/>
        </w:numPr>
        <w:tabs>
          <w:tab w:pos="501" w:val="left" w:leader="none"/>
        </w:tabs>
        <w:spacing w:line="266" w:lineRule="auto" w:before="90" w:after="0"/>
        <w:ind w:left="500" w:right="651" w:hanging="278"/>
        <w:jc w:val="both"/>
        <w:rPr>
          <w:sz w:val="21"/>
        </w:rPr>
      </w:pPr>
      <w:r>
        <w:rPr>
          <w:rFonts w:ascii="Palatino Linotype" w:hAnsi="Palatino Linotype"/>
          <w:i/>
          <w:color w:val="231F20"/>
          <w:sz w:val="21"/>
        </w:rPr>
        <w:t>Modularidad: </w:t>
      </w:r>
      <w:r>
        <w:rPr>
          <w:color w:val="231F20"/>
          <w:sz w:val="21"/>
        </w:rPr>
        <w:t>está relacionada con la producción industrial. Si un módulo no ge- nera </w:t>
      </w:r>
      <w:r>
        <w:rPr>
          <w:color w:val="231F20"/>
          <w:spacing w:val="-3"/>
          <w:sz w:val="21"/>
        </w:rPr>
        <w:t>valor, </w:t>
      </w:r>
      <w:r>
        <w:rPr>
          <w:color w:val="231F20"/>
          <w:sz w:val="21"/>
        </w:rPr>
        <w:t>el ensamblador lo transfiere a un tercero, puesto que no representa negocio producir ese</w:t>
      </w:r>
      <w:r>
        <w:rPr>
          <w:color w:val="231F20"/>
          <w:spacing w:val="-5"/>
          <w:sz w:val="21"/>
        </w:rPr>
        <w:t> </w:t>
      </w:r>
      <w:r>
        <w:rPr>
          <w:color w:val="231F20"/>
          <w:sz w:val="21"/>
        </w:rPr>
        <w:t>modulo.</w:t>
      </w:r>
    </w:p>
    <w:p>
      <w:pPr>
        <w:pStyle w:val="ListParagraph"/>
        <w:numPr>
          <w:ilvl w:val="0"/>
          <w:numId w:val="14"/>
        </w:numPr>
        <w:tabs>
          <w:tab w:pos="501" w:val="left" w:leader="none"/>
        </w:tabs>
        <w:spacing w:line="276" w:lineRule="auto" w:before="102" w:after="0"/>
        <w:ind w:left="500" w:right="651" w:hanging="292"/>
        <w:jc w:val="both"/>
        <w:rPr>
          <w:sz w:val="21"/>
        </w:rPr>
      </w:pPr>
      <w:r>
        <w:rPr>
          <w:rFonts w:ascii="Palatino Linotype" w:hAnsi="Palatino Linotype"/>
          <w:i/>
          <w:color w:val="231F20"/>
          <w:spacing w:val="-3"/>
          <w:sz w:val="21"/>
        </w:rPr>
        <w:t>Subcontratación: </w:t>
      </w:r>
      <w:r>
        <w:rPr>
          <w:color w:val="231F20"/>
          <w:sz w:val="21"/>
        </w:rPr>
        <w:t>está ligada con la generación de valor de los módulos. Con esto se</w:t>
      </w:r>
      <w:r>
        <w:rPr>
          <w:color w:val="231F20"/>
          <w:spacing w:val="-5"/>
          <w:sz w:val="21"/>
        </w:rPr>
        <w:t> </w:t>
      </w:r>
      <w:r>
        <w:rPr>
          <w:color w:val="231F20"/>
          <w:sz w:val="21"/>
        </w:rPr>
        <w:t>afecta</w:t>
      </w:r>
      <w:r>
        <w:rPr>
          <w:color w:val="231F20"/>
          <w:spacing w:val="-5"/>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cadena</w:t>
      </w:r>
      <w:r>
        <w:rPr>
          <w:color w:val="231F20"/>
          <w:spacing w:val="-5"/>
          <w:sz w:val="21"/>
        </w:rPr>
        <w:t> </w:t>
      </w:r>
      <w:r>
        <w:rPr>
          <w:color w:val="231F20"/>
          <w:sz w:val="21"/>
        </w:rPr>
        <w:t>de</w:t>
      </w:r>
      <w:r>
        <w:rPr>
          <w:color w:val="231F20"/>
          <w:spacing w:val="-5"/>
          <w:sz w:val="21"/>
        </w:rPr>
        <w:t> </w:t>
      </w:r>
      <w:r>
        <w:rPr>
          <w:color w:val="231F20"/>
          <w:sz w:val="21"/>
        </w:rPr>
        <w:t>suministros,</w:t>
      </w:r>
      <w:r>
        <w:rPr>
          <w:color w:val="231F20"/>
          <w:spacing w:val="-5"/>
          <w:sz w:val="21"/>
        </w:rPr>
        <w:t> </w:t>
      </w:r>
      <w:r>
        <w:rPr>
          <w:color w:val="231F20"/>
          <w:sz w:val="21"/>
        </w:rPr>
        <w:t>a</w:t>
      </w:r>
      <w:r>
        <w:rPr>
          <w:color w:val="231F20"/>
          <w:spacing w:val="-5"/>
          <w:sz w:val="21"/>
        </w:rPr>
        <w:t> </w:t>
      </w:r>
      <w:r>
        <w:rPr>
          <w:color w:val="231F20"/>
          <w:sz w:val="21"/>
        </w:rPr>
        <w:t>la</w:t>
      </w:r>
      <w:r>
        <w:rPr>
          <w:color w:val="231F20"/>
          <w:spacing w:val="-5"/>
          <w:sz w:val="21"/>
        </w:rPr>
        <w:t> </w:t>
      </w:r>
      <w:r>
        <w:rPr>
          <w:color w:val="231F20"/>
          <w:sz w:val="21"/>
        </w:rPr>
        <w:t>de</w:t>
      </w:r>
      <w:r>
        <w:rPr>
          <w:color w:val="231F20"/>
          <w:spacing w:val="-5"/>
          <w:sz w:val="21"/>
        </w:rPr>
        <w:t> </w:t>
      </w:r>
      <w:r>
        <w:rPr>
          <w:color w:val="231F20"/>
          <w:sz w:val="21"/>
        </w:rPr>
        <w:t>proveedores</w:t>
      </w:r>
      <w:r>
        <w:rPr>
          <w:color w:val="231F20"/>
          <w:spacing w:val="-5"/>
          <w:sz w:val="21"/>
        </w:rPr>
        <w:t> </w:t>
      </w:r>
      <w:r>
        <w:rPr>
          <w:color w:val="231F20"/>
          <w:sz w:val="21"/>
        </w:rPr>
        <w:t>y</w:t>
      </w:r>
      <w:r>
        <w:rPr>
          <w:color w:val="231F20"/>
          <w:spacing w:val="-5"/>
          <w:sz w:val="21"/>
        </w:rPr>
        <w:t> </w:t>
      </w:r>
      <w:r>
        <w:rPr>
          <w:color w:val="231F20"/>
          <w:sz w:val="21"/>
        </w:rPr>
        <w:t>a</w:t>
      </w:r>
      <w:r>
        <w:rPr>
          <w:color w:val="231F20"/>
          <w:spacing w:val="-5"/>
          <w:sz w:val="21"/>
        </w:rPr>
        <w:t> </w:t>
      </w:r>
      <w:r>
        <w:rPr>
          <w:color w:val="231F20"/>
          <w:sz w:val="21"/>
        </w:rPr>
        <w:t>las</w:t>
      </w:r>
      <w:r>
        <w:rPr>
          <w:color w:val="231F20"/>
          <w:spacing w:val="-5"/>
          <w:sz w:val="21"/>
        </w:rPr>
        <w:t> </w:t>
      </w:r>
      <w:r>
        <w:rPr>
          <w:color w:val="231F20"/>
          <w:sz w:val="21"/>
        </w:rPr>
        <w:t>formas</w:t>
      </w:r>
      <w:r>
        <w:rPr>
          <w:color w:val="231F20"/>
          <w:spacing w:val="-5"/>
          <w:sz w:val="21"/>
        </w:rPr>
        <w:t> </w:t>
      </w:r>
      <w:r>
        <w:rPr>
          <w:color w:val="231F20"/>
          <w:sz w:val="21"/>
        </w:rPr>
        <w:t>de</w:t>
      </w:r>
      <w:r>
        <w:rPr>
          <w:color w:val="231F20"/>
          <w:spacing w:val="-5"/>
          <w:sz w:val="21"/>
        </w:rPr>
        <w:t> </w:t>
      </w:r>
      <w:r>
        <w:rPr>
          <w:color w:val="231F20"/>
          <w:sz w:val="21"/>
        </w:rPr>
        <w:t>organi- zación</w:t>
      </w:r>
      <w:r>
        <w:rPr>
          <w:color w:val="231F20"/>
          <w:spacing w:val="-14"/>
          <w:sz w:val="21"/>
        </w:rPr>
        <w:t> </w:t>
      </w:r>
      <w:r>
        <w:rPr>
          <w:color w:val="231F20"/>
          <w:sz w:val="21"/>
        </w:rPr>
        <w:t>de</w:t>
      </w:r>
      <w:r>
        <w:rPr>
          <w:color w:val="231F20"/>
          <w:spacing w:val="-14"/>
          <w:sz w:val="21"/>
        </w:rPr>
        <w:t> </w:t>
      </w:r>
      <w:r>
        <w:rPr>
          <w:color w:val="231F20"/>
          <w:sz w:val="21"/>
        </w:rPr>
        <w:t>la</w:t>
      </w:r>
      <w:r>
        <w:rPr>
          <w:color w:val="231F20"/>
          <w:spacing w:val="-14"/>
          <w:sz w:val="21"/>
        </w:rPr>
        <w:t> </w:t>
      </w:r>
      <w:r>
        <w:rPr>
          <w:color w:val="231F20"/>
          <w:sz w:val="21"/>
        </w:rPr>
        <w:t>producción.</w:t>
      </w:r>
      <w:r>
        <w:rPr>
          <w:color w:val="231F20"/>
          <w:spacing w:val="-14"/>
          <w:sz w:val="21"/>
        </w:rPr>
        <w:t> </w:t>
      </w:r>
      <w:r>
        <w:rPr>
          <w:color w:val="231F20"/>
          <w:sz w:val="21"/>
        </w:rPr>
        <w:t>En</w:t>
      </w:r>
      <w:r>
        <w:rPr>
          <w:color w:val="231F20"/>
          <w:spacing w:val="-14"/>
          <w:sz w:val="21"/>
        </w:rPr>
        <w:t> </w:t>
      </w:r>
      <w:r>
        <w:rPr>
          <w:color w:val="231F20"/>
          <w:sz w:val="21"/>
        </w:rPr>
        <w:t>este</w:t>
      </w:r>
      <w:r>
        <w:rPr>
          <w:color w:val="231F20"/>
          <w:spacing w:val="-14"/>
          <w:sz w:val="21"/>
        </w:rPr>
        <w:t> </w:t>
      </w:r>
      <w:r>
        <w:rPr>
          <w:color w:val="231F20"/>
          <w:sz w:val="21"/>
        </w:rPr>
        <w:t>sentido,</w:t>
      </w:r>
      <w:r>
        <w:rPr>
          <w:color w:val="231F20"/>
          <w:spacing w:val="-14"/>
          <w:sz w:val="21"/>
        </w:rPr>
        <w:t> </w:t>
      </w:r>
      <w:r>
        <w:rPr>
          <w:color w:val="231F20"/>
          <w:sz w:val="21"/>
        </w:rPr>
        <w:t>los</w:t>
      </w:r>
      <w:r>
        <w:rPr>
          <w:color w:val="231F20"/>
          <w:spacing w:val="-14"/>
          <w:sz w:val="21"/>
        </w:rPr>
        <w:t> </w:t>
      </w:r>
      <w:r>
        <w:rPr>
          <w:color w:val="231F20"/>
          <w:sz w:val="21"/>
        </w:rPr>
        <w:t>proveedores</w:t>
      </w:r>
      <w:r>
        <w:rPr>
          <w:color w:val="231F20"/>
          <w:spacing w:val="-14"/>
          <w:sz w:val="21"/>
        </w:rPr>
        <w:t> </w:t>
      </w:r>
      <w:r>
        <w:rPr>
          <w:color w:val="231F20"/>
          <w:sz w:val="21"/>
        </w:rPr>
        <w:t>de</w:t>
      </w:r>
      <w:r>
        <w:rPr>
          <w:color w:val="231F20"/>
          <w:spacing w:val="-14"/>
          <w:sz w:val="21"/>
        </w:rPr>
        <w:t> </w:t>
      </w:r>
      <w:r>
        <w:rPr>
          <w:color w:val="231F20"/>
          <w:sz w:val="21"/>
        </w:rPr>
        <w:t>nivel</w:t>
      </w:r>
      <w:r>
        <w:rPr>
          <w:color w:val="231F20"/>
          <w:spacing w:val="-14"/>
          <w:sz w:val="21"/>
        </w:rPr>
        <w:t> </w:t>
      </w:r>
      <w:r>
        <w:rPr>
          <w:color w:val="231F20"/>
          <w:sz w:val="21"/>
        </w:rPr>
        <w:t>uno</w:t>
      </w:r>
      <w:r>
        <w:rPr>
          <w:color w:val="231F20"/>
          <w:spacing w:val="-14"/>
          <w:sz w:val="21"/>
        </w:rPr>
        <w:t> </w:t>
      </w:r>
      <w:r>
        <w:rPr>
          <w:color w:val="231F20"/>
          <w:sz w:val="21"/>
        </w:rPr>
        <w:t>se</w:t>
      </w:r>
      <w:r>
        <w:rPr>
          <w:color w:val="231F20"/>
          <w:spacing w:val="-14"/>
          <w:sz w:val="21"/>
        </w:rPr>
        <w:t> </w:t>
      </w:r>
      <w:r>
        <w:rPr>
          <w:color w:val="231F20"/>
          <w:sz w:val="21"/>
        </w:rPr>
        <w:t>dedican</w:t>
      </w:r>
      <w:r>
        <w:rPr>
          <w:color w:val="231F20"/>
          <w:spacing w:val="-14"/>
          <w:sz w:val="21"/>
        </w:rPr>
        <w:t> </w:t>
      </w:r>
      <w:r>
        <w:rPr>
          <w:color w:val="231F20"/>
          <w:sz w:val="21"/>
        </w:rPr>
        <w:t>a la</w:t>
      </w:r>
      <w:r>
        <w:rPr>
          <w:color w:val="231F20"/>
          <w:spacing w:val="-8"/>
          <w:sz w:val="21"/>
        </w:rPr>
        <w:t> </w:t>
      </w:r>
      <w:r>
        <w:rPr>
          <w:color w:val="231F20"/>
          <w:sz w:val="21"/>
        </w:rPr>
        <w:t>integración</w:t>
      </w:r>
      <w:r>
        <w:rPr>
          <w:color w:val="231F20"/>
          <w:spacing w:val="-8"/>
          <w:sz w:val="21"/>
        </w:rPr>
        <w:t> </w:t>
      </w:r>
      <w:r>
        <w:rPr>
          <w:color w:val="231F20"/>
          <w:sz w:val="21"/>
        </w:rPr>
        <w:t>de</w:t>
      </w:r>
      <w:r>
        <w:rPr>
          <w:color w:val="231F20"/>
          <w:spacing w:val="-8"/>
          <w:sz w:val="21"/>
        </w:rPr>
        <w:t> </w:t>
      </w:r>
      <w:r>
        <w:rPr>
          <w:color w:val="231F20"/>
          <w:sz w:val="21"/>
        </w:rPr>
        <w:t>sistemas;</w:t>
      </w:r>
      <w:r>
        <w:rPr>
          <w:color w:val="231F20"/>
          <w:spacing w:val="-8"/>
          <w:sz w:val="21"/>
        </w:rPr>
        <w:t> </w:t>
      </w:r>
      <w:r>
        <w:rPr>
          <w:color w:val="231F20"/>
          <w:sz w:val="21"/>
        </w:rPr>
        <w:t>los</w:t>
      </w:r>
      <w:r>
        <w:rPr>
          <w:color w:val="231F20"/>
          <w:spacing w:val="-8"/>
          <w:sz w:val="21"/>
        </w:rPr>
        <w:t> </w:t>
      </w:r>
      <w:r>
        <w:rPr>
          <w:color w:val="231F20"/>
          <w:sz w:val="21"/>
        </w:rPr>
        <w:t>del</w:t>
      </w:r>
      <w:r>
        <w:rPr>
          <w:color w:val="231F20"/>
          <w:spacing w:val="-8"/>
          <w:sz w:val="21"/>
        </w:rPr>
        <w:t> </w:t>
      </w:r>
      <w:r>
        <w:rPr>
          <w:color w:val="231F20"/>
          <w:sz w:val="21"/>
        </w:rPr>
        <w:t>nivel</w:t>
      </w:r>
      <w:r>
        <w:rPr>
          <w:color w:val="231F20"/>
          <w:spacing w:val="-8"/>
          <w:sz w:val="21"/>
        </w:rPr>
        <w:t> </w:t>
      </w:r>
      <w:r>
        <w:rPr>
          <w:color w:val="231F20"/>
          <w:sz w:val="21"/>
        </w:rPr>
        <w:t>dos,</w:t>
      </w:r>
      <w:r>
        <w:rPr>
          <w:color w:val="231F20"/>
          <w:spacing w:val="-8"/>
          <w:sz w:val="21"/>
        </w:rPr>
        <w:t> </w:t>
      </w:r>
      <w:r>
        <w:rPr>
          <w:color w:val="231F20"/>
          <w:sz w:val="21"/>
        </w:rPr>
        <w:t>a</w:t>
      </w:r>
      <w:r>
        <w:rPr>
          <w:color w:val="231F20"/>
          <w:spacing w:val="-8"/>
          <w:sz w:val="21"/>
        </w:rPr>
        <w:t> </w:t>
      </w:r>
      <w:r>
        <w:rPr>
          <w:color w:val="231F20"/>
          <w:sz w:val="21"/>
        </w:rPr>
        <w:t>la</w:t>
      </w:r>
      <w:r>
        <w:rPr>
          <w:color w:val="231F20"/>
          <w:spacing w:val="-8"/>
          <w:sz w:val="21"/>
        </w:rPr>
        <w:t> </w:t>
      </w:r>
      <w:r>
        <w:rPr>
          <w:color w:val="231F20"/>
          <w:sz w:val="21"/>
        </w:rPr>
        <w:t>producción</w:t>
      </w:r>
      <w:r>
        <w:rPr>
          <w:color w:val="231F20"/>
          <w:spacing w:val="-8"/>
          <w:sz w:val="21"/>
        </w:rPr>
        <w:t> </w:t>
      </w:r>
      <w:r>
        <w:rPr>
          <w:color w:val="231F20"/>
          <w:sz w:val="21"/>
        </w:rPr>
        <w:t>de</w:t>
      </w:r>
      <w:r>
        <w:rPr>
          <w:color w:val="231F20"/>
          <w:spacing w:val="-8"/>
          <w:sz w:val="21"/>
        </w:rPr>
        <w:t> </w:t>
      </w:r>
      <w:r>
        <w:rPr>
          <w:color w:val="231F20"/>
          <w:sz w:val="21"/>
        </w:rPr>
        <w:t>módulos;</w:t>
      </w:r>
      <w:r>
        <w:rPr>
          <w:color w:val="231F20"/>
          <w:spacing w:val="-8"/>
          <w:sz w:val="21"/>
        </w:rPr>
        <w:t> </w:t>
      </w:r>
      <w:r>
        <w:rPr>
          <w:color w:val="231F20"/>
          <w:sz w:val="21"/>
        </w:rPr>
        <w:t>y</w:t>
      </w:r>
      <w:r>
        <w:rPr>
          <w:color w:val="231F20"/>
          <w:spacing w:val="-8"/>
          <w:sz w:val="21"/>
        </w:rPr>
        <w:t> </w:t>
      </w:r>
      <w:r>
        <w:rPr>
          <w:color w:val="231F20"/>
          <w:sz w:val="21"/>
        </w:rPr>
        <w:t>los</w:t>
      </w:r>
      <w:r>
        <w:rPr>
          <w:color w:val="231F20"/>
          <w:spacing w:val="-8"/>
          <w:sz w:val="21"/>
        </w:rPr>
        <w:t> </w:t>
      </w:r>
      <w:r>
        <w:rPr>
          <w:color w:val="231F20"/>
          <w:sz w:val="21"/>
        </w:rPr>
        <w:t>del nivel tres, a la fabricación de componentes y provisión de contenido local en los países</w:t>
      </w:r>
      <w:r>
        <w:rPr>
          <w:color w:val="231F20"/>
          <w:spacing w:val="-17"/>
          <w:sz w:val="21"/>
        </w:rPr>
        <w:t> </w:t>
      </w:r>
      <w:r>
        <w:rPr>
          <w:color w:val="231F20"/>
          <w:sz w:val="21"/>
        </w:rPr>
        <w:t>subdesarrollados.</w:t>
      </w:r>
      <w:r>
        <w:rPr>
          <w:color w:val="231F20"/>
          <w:spacing w:val="-17"/>
          <w:sz w:val="21"/>
        </w:rPr>
        <w:t> </w:t>
      </w:r>
      <w:r>
        <w:rPr>
          <w:color w:val="231F20"/>
          <w:sz w:val="21"/>
        </w:rPr>
        <w:t>Los</w:t>
      </w:r>
      <w:r>
        <w:rPr>
          <w:color w:val="231F20"/>
          <w:spacing w:val="-17"/>
          <w:sz w:val="21"/>
        </w:rPr>
        <w:t> </w:t>
      </w:r>
      <w:r>
        <w:rPr>
          <w:color w:val="231F20"/>
          <w:sz w:val="21"/>
        </w:rPr>
        <w:t>proveedores</w:t>
      </w:r>
      <w:r>
        <w:rPr>
          <w:color w:val="231F20"/>
          <w:spacing w:val="-17"/>
          <w:sz w:val="21"/>
        </w:rPr>
        <w:t> </w:t>
      </w:r>
      <w:r>
        <w:rPr>
          <w:color w:val="231F20"/>
          <w:sz w:val="21"/>
        </w:rPr>
        <w:t>de</w:t>
      </w:r>
      <w:r>
        <w:rPr>
          <w:color w:val="231F20"/>
          <w:spacing w:val="-17"/>
          <w:sz w:val="21"/>
        </w:rPr>
        <w:t> </w:t>
      </w:r>
      <w:r>
        <w:rPr>
          <w:color w:val="231F20"/>
          <w:sz w:val="21"/>
        </w:rPr>
        <w:t>nivel</w:t>
      </w:r>
      <w:r>
        <w:rPr>
          <w:color w:val="231F20"/>
          <w:spacing w:val="-17"/>
          <w:sz w:val="21"/>
        </w:rPr>
        <w:t> </w:t>
      </w:r>
      <w:r>
        <w:rPr>
          <w:color w:val="231F20"/>
          <w:sz w:val="21"/>
        </w:rPr>
        <w:t>uno</w:t>
      </w:r>
      <w:r>
        <w:rPr>
          <w:color w:val="231F20"/>
          <w:spacing w:val="-17"/>
          <w:sz w:val="21"/>
        </w:rPr>
        <w:t> </w:t>
      </w:r>
      <w:r>
        <w:rPr>
          <w:color w:val="231F20"/>
          <w:sz w:val="21"/>
        </w:rPr>
        <w:t>y</w:t>
      </w:r>
      <w:r>
        <w:rPr>
          <w:color w:val="231F20"/>
          <w:spacing w:val="-17"/>
          <w:sz w:val="21"/>
        </w:rPr>
        <w:t> </w:t>
      </w:r>
      <w:r>
        <w:rPr>
          <w:color w:val="231F20"/>
          <w:sz w:val="21"/>
        </w:rPr>
        <w:t>dos</w:t>
      </w:r>
      <w:r>
        <w:rPr>
          <w:color w:val="231F20"/>
          <w:spacing w:val="-17"/>
          <w:sz w:val="21"/>
        </w:rPr>
        <w:t> </w:t>
      </w:r>
      <w:r>
        <w:rPr>
          <w:color w:val="231F20"/>
          <w:sz w:val="21"/>
        </w:rPr>
        <w:t>deben</w:t>
      </w:r>
      <w:r>
        <w:rPr>
          <w:color w:val="231F20"/>
          <w:spacing w:val="-17"/>
          <w:sz w:val="21"/>
        </w:rPr>
        <w:t> </w:t>
      </w:r>
      <w:r>
        <w:rPr>
          <w:color w:val="231F20"/>
          <w:sz w:val="21"/>
        </w:rPr>
        <w:t>estar</w:t>
      </w:r>
      <w:r>
        <w:rPr>
          <w:color w:val="231F20"/>
          <w:spacing w:val="-17"/>
          <w:sz w:val="21"/>
        </w:rPr>
        <w:t> </w:t>
      </w:r>
      <w:r>
        <w:rPr>
          <w:color w:val="231F20"/>
          <w:spacing w:val="-2"/>
          <w:sz w:val="21"/>
        </w:rPr>
        <w:t>muy</w:t>
      </w:r>
      <w:r>
        <w:rPr>
          <w:color w:val="231F20"/>
          <w:spacing w:val="-17"/>
          <w:sz w:val="21"/>
        </w:rPr>
        <w:t> </w:t>
      </w:r>
      <w:r>
        <w:rPr>
          <w:color w:val="231F20"/>
          <w:sz w:val="21"/>
        </w:rPr>
        <w:t>cerca de</w:t>
      </w:r>
      <w:r>
        <w:rPr>
          <w:color w:val="231F20"/>
          <w:spacing w:val="-6"/>
          <w:sz w:val="21"/>
        </w:rPr>
        <w:t> </w:t>
      </w:r>
      <w:r>
        <w:rPr>
          <w:color w:val="231F20"/>
          <w:sz w:val="21"/>
        </w:rPr>
        <w:t>la</w:t>
      </w:r>
      <w:r>
        <w:rPr>
          <w:color w:val="231F20"/>
          <w:spacing w:val="-6"/>
          <w:sz w:val="21"/>
        </w:rPr>
        <w:t> </w:t>
      </w:r>
      <w:r>
        <w:rPr>
          <w:color w:val="231F20"/>
          <w:sz w:val="21"/>
        </w:rPr>
        <w:t>línea</w:t>
      </w:r>
      <w:r>
        <w:rPr>
          <w:color w:val="231F20"/>
          <w:spacing w:val="-6"/>
          <w:sz w:val="21"/>
        </w:rPr>
        <w:t> </w:t>
      </w:r>
      <w:r>
        <w:rPr>
          <w:color w:val="231F20"/>
          <w:sz w:val="21"/>
        </w:rPr>
        <w:t>de</w:t>
      </w:r>
      <w:r>
        <w:rPr>
          <w:color w:val="231F20"/>
          <w:spacing w:val="-6"/>
          <w:sz w:val="21"/>
        </w:rPr>
        <w:t> </w:t>
      </w:r>
      <w:r>
        <w:rPr>
          <w:color w:val="231F20"/>
          <w:sz w:val="21"/>
        </w:rPr>
        <w:t>ensamble</w:t>
      </w:r>
      <w:r>
        <w:rPr>
          <w:color w:val="231F20"/>
          <w:spacing w:val="-6"/>
          <w:sz w:val="21"/>
        </w:rPr>
        <w:t> </w:t>
      </w:r>
      <w:r>
        <w:rPr>
          <w:color w:val="231F20"/>
          <w:sz w:val="21"/>
        </w:rPr>
        <w:t>final,</w:t>
      </w:r>
      <w:r>
        <w:rPr>
          <w:color w:val="231F20"/>
          <w:spacing w:val="-6"/>
          <w:sz w:val="21"/>
        </w:rPr>
        <w:t> </w:t>
      </w:r>
      <w:r>
        <w:rPr>
          <w:color w:val="231F20"/>
          <w:sz w:val="21"/>
        </w:rPr>
        <w:t>dado</w:t>
      </w:r>
      <w:r>
        <w:rPr>
          <w:color w:val="231F20"/>
          <w:spacing w:val="-6"/>
          <w:sz w:val="21"/>
        </w:rPr>
        <w:t> </w:t>
      </w:r>
      <w:r>
        <w:rPr>
          <w:color w:val="231F20"/>
          <w:sz w:val="21"/>
        </w:rPr>
        <w:t>que</w:t>
      </w:r>
      <w:r>
        <w:rPr>
          <w:color w:val="231F20"/>
          <w:spacing w:val="-6"/>
          <w:sz w:val="21"/>
        </w:rPr>
        <w:t> </w:t>
      </w:r>
      <w:r>
        <w:rPr>
          <w:color w:val="231F20"/>
          <w:sz w:val="21"/>
        </w:rPr>
        <w:t>los</w:t>
      </w:r>
      <w:r>
        <w:rPr>
          <w:color w:val="231F20"/>
          <w:spacing w:val="-6"/>
          <w:sz w:val="21"/>
        </w:rPr>
        <w:t> </w:t>
      </w:r>
      <w:r>
        <w:rPr>
          <w:color w:val="231F20"/>
          <w:sz w:val="21"/>
        </w:rPr>
        <w:t>módulos</w:t>
      </w:r>
      <w:r>
        <w:rPr>
          <w:color w:val="231F20"/>
          <w:spacing w:val="-6"/>
          <w:sz w:val="21"/>
        </w:rPr>
        <w:t> </w:t>
      </w:r>
      <w:r>
        <w:rPr>
          <w:color w:val="231F20"/>
          <w:sz w:val="21"/>
        </w:rPr>
        <w:t>deben</w:t>
      </w:r>
      <w:r>
        <w:rPr>
          <w:color w:val="231F20"/>
          <w:spacing w:val="-6"/>
          <w:sz w:val="21"/>
        </w:rPr>
        <w:t> </w:t>
      </w:r>
      <w:r>
        <w:rPr>
          <w:color w:val="231F20"/>
          <w:sz w:val="21"/>
        </w:rPr>
        <w:t>ser</w:t>
      </w:r>
      <w:r>
        <w:rPr>
          <w:color w:val="231F20"/>
          <w:spacing w:val="-6"/>
          <w:sz w:val="21"/>
        </w:rPr>
        <w:t> </w:t>
      </w:r>
      <w:r>
        <w:rPr>
          <w:color w:val="231F20"/>
          <w:sz w:val="21"/>
        </w:rPr>
        <w:t>entregados</w:t>
      </w:r>
      <w:r>
        <w:rPr>
          <w:color w:val="231F20"/>
          <w:spacing w:val="-6"/>
          <w:sz w:val="21"/>
        </w:rPr>
        <w:t> </w:t>
      </w:r>
      <w:r>
        <w:rPr>
          <w:color w:val="231F20"/>
          <w:sz w:val="21"/>
        </w:rPr>
        <w:t>justo</w:t>
      </w:r>
      <w:r>
        <w:rPr>
          <w:color w:val="231F20"/>
          <w:spacing w:val="-6"/>
          <w:sz w:val="21"/>
        </w:rPr>
        <w:t> </w:t>
      </w:r>
      <w:r>
        <w:rPr>
          <w:color w:val="231F20"/>
          <w:sz w:val="21"/>
        </w:rPr>
        <w:t>en el momento (“justo a </w:t>
      </w:r>
      <w:r>
        <w:rPr>
          <w:color w:val="231F20"/>
          <w:spacing w:val="-3"/>
          <w:sz w:val="21"/>
        </w:rPr>
        <w:t>tiempo”) </w:t>
      </w:r>
      <w:r>
        <w:rPr>
          <w:color w:val="231F20"/>
          <w:sz w:val="21"/>
        </w:rPr>
        <w:t>y en la secuencia requerida al final de la línea. De esta forma, los proveedores son corresponsables de la eficiencia del proceso de producción en su conjunto y no solamente de la parte en la cual participan. </w:t>
      </w:r>
      <w:r>
        <w:rPr>
          <w:color w:val="231F20"/>
          <w:spacing w:val="-5"/>
          <w:sz w:val="21"/>
        </w:rPr>
        <w:t>Todo </w:t>
      </w:r>
      <w:r>
        <w:rPr>
          <w:color w:val="231F20"/>
          <w:sz w:val="21"/>
        </w:rPr>
        <w:t>esto da como resultado un cambio en la relación entre los productores y los pro- veedores</w:t>
      </w:r>
      <w:r>
        <w:rPr>
          <w:color w:val="231F20"/>
          <w:spacing w:val="-10"/>
          <w:sz w:val="21"/>
        </w:rPr>
        <w:t> </w:t>
      </w:r>
      <w:r>
        <w:rPr>
          <w:color w:val="231F20"/>
          <w:sz w:val="21"/>
        </w:rPr>
        <w:t>y</w:t>
      </w:r>
      <w:r>
        <w:rPr>
          <w:color w:val="231F20"/>
          <w:spacing w:val="-10"/>
          <w:sz w:val="21"/>
        </w:rPr>
        <w:t> </w:t>
      </w:r>
      <w:r>
        <w:rPr>
          <w:color w:val="231F20"/>
          <w:sz w:val="21"/>
        </w:rPr>
        <w:t>propicia</w:t>
      </w:r>
      <w:r>
        <w:rPr>
          <w:color w:val="231F20"/>
          <w:spacing w:val="-10"/>
          <w:sz w:val="21"/>
        </w:rPr>
        <w:t> </w:t>
      </w:r>
      <w:r>
        <w:rPr>
          <w:color w:val="231F20"/>
          <w:sz w:val="21"/>
        </w:rPr>
        <w:t>la</w:t>
      </w:r>
      <w:r>
        <w:rPr>
          <w:color w:val="231F20"/>
          <w:spacing w:val="-10"/>
          <w:sz w:val="21"/>
        </w:rPr>
        <w:t> </w:t>
      </w:r>
      <w:r>
        <w:rPr>
          <w:color w:val="231F20"/>
          <w:sz w:val="21"/>
        </w:rPr>
        <w:t>consolidación</w:t>
      </w:r>
      <w:r>
        <w:rPr>
          <w:color w:val="231F20"/>
          <w:spacing w:val="-10"/>
          <w:sz w:val="21"/>
        </w:rPr>
        <w:t> </w:t>
      </w:r>
      <w:r>
        <w:rPr>
          <w:color w:val="231F20"/>
          <w:sz w:val="21"/>
        </w:rPr>
        <w:t>de</w:t>
      </w:r>
      <w:r>
        <w:rPr>
          <w:color w:val="231F20"/>
          <w:spacing w:val="-10"/>
          <w:sz w:val="21"/>
        </w:rPr>
        <w:t> </w:t>
      </w:r>
      <w:r>
        <w:rPr>
          <w:color w:val="231F20"/>
          <w:sz w:val="21"/>
        </w:rPr>
        <w:t>la</w:t>
      </w:r>
      <w:r>
        <w:rPr>
          <w:color w:val="231F20"/>
          <w:spacing w:val="-10"/>
          <w:sz w:val="21"/>
        </w:rPr>
        <w:t> </w:t>
      </w:r>
      <w:r>
        <w:rPr>
          <w:color w:val="231F20"/>
          <w:sz w:val="21"/>
        </w:rPr>
        <w:t>red</w:t>
      </w:r>
      <w:r>
        <w:rPr>
          <w:color w:val="231F20"/>
          <w:spacing w:val="-10"/>
          <w:sz w:val="21"/>
        </w:rPr>
        <w:t> </w:t>
      </w:r>
      <w:r>
        <w:rPr>
          <w:color w:val="231F20"/>
          <w:sz w:val="21"/>
        </w:rPr>
        <w:t>de</w:t>
      </w:r>
      <w:r>
        <w:rPr>
          <w:color w:val="231F20"/>
          <w:spacing w:val="-10"/>
          <w:sz w:val="21"/>
        </w:rPr>
        <w:t> </w:t>
      </w:r>
      <w:r>
        <w:rPr>
          <w:color w:val="231F20"/>
          <w:sz w:val="21"/>
        </w:rPr>
        <w:t>proveedores.</w:t>
      </w:r>
    </w:p>
    <w:p>
      <w:pPr>
        <w:pStyle w:val="BodyText"/>
        <w:spacing w:line="278" w:lineRule="auto" w:before="117"/>
        <w:ind w:left="103" w:right="650"/>
        <w:jc w:val="both"/>
      </w:pPr>
      <w:r>
        <w:rPr>
          <w:color w:val="231F20"/>
        </w:rPr>
        <w:t>Con la producción modular la empresa será responsable del diseño de la marca y la venta del producto, y podrá subcontratar pequeñas, medianas y grandes empresas res- ponsables</w:t>
      </w:r>
      <w:r>
        <w:rPr>
          <w:color w:val="231F20"/>
          <w:spacing w:val="-6"/>
        </w:rPr>
        <w:t> </w:t>
      </w:r>
      <w:r>
        <w:rPr>
          <w:color w:val="231F20"/>
        </w:rPr>
        <w:t>de</w:t>
      </w:r>
      <w:r>
        <w:rPr>
          <w:color w:val="231F20"/>
          <w:spacing w:val="-6"/>
        </w:rPr>
        <w:t> </w:t>
      </w:r>
      <w:r>
        <w:rPr>
          <w:color w:val="231F20"/>
        </w:rPr>
        <w:t>proveer</w:t>
      </w:r>
      <w:r>
        <w:rPr>
          <w:color w:val="231F20"/>
          <w:spacing w:val="-6"/>
        </w:rPr>
        <w:t> </w:t>
      </w:r>
      <w:r>
        <w:rPr>
          <w:color w:val="231F20"/>
        </w:rPr>
        <w:t>componentes</w:t>
      </w:r>
      <w:r>
        <w:rPr>
          <w:color w:val="231F20"/>
          <w:spacing w:val="-6"/>
        </w:rPr>
        <w:t> </w:t>
      </w:r>
      <w:r>
        <w:rPr>
          <w:color w:val="231F20"/>
        </w:rPr>
        <w:t>de</w:t>
      </w:r>
      <w:r>
        <w:rPr>
          <w:color w:val="231F20"/>
          <w:spacing w:val="-6"/>
        </w:rPr>
        <w:t> </w:t>
      </w:r>
      <w:r>
        <w:rPr>
          <w:color w:val="231F20"/>
        </w:rPr>
        <w:t>una</w:t>
      </w:r>
      <w:r>
        <w:rPr>
          <w:color w:val="231F20"/>
          <w:spacing w:val="-6"/>
        </w:rPr>
        <w:t> </w:t>
      </w:r>
      <w:r>
        <w:rPr>
          <w:color w:val="231F20"/>
        </w:rPr>
        <w:t>o</w:t>
      </w:r>
      <w:r>
        <w:rPr>
          <w:color w:val="231F20"/>
          <w:spacing w:val="-6"/>
        </w:rPr>
        <w:t> </w:t>
      </w:r>
      <w:r>
        <w:rPr>
          <w:color w:val="231F20"/>
        </w:rPr>
        <w:t>varias</w:t>
      </w:r>
      <w:r>
        <w:rPr>
          <w:color w:val="231F20"/>
          <w:spacing w:val="-6"/>
        </w:rPr>
        <w:t> </w:t>
      </w:r>
      <w:r>
        <w:rPr>
          <w:color w:val="231F20"/>
        </w:rPr>
        <w:t>divisiones</w:t>
      </w:r>
      <w:r>
        <w:rPr>
          <w:color w:val="231F20"/>
          <w:spacing w:val="-6"/>
        </w:rPr>
        <w:t> </w:t>
      </w:r>
      <w:r>
        <w:rPr>
          <w:color w:val="231F20"/>
        </w:rPr>
        <w:t>con</w:t>
      </w:r>
      <w:r>
        <w:rPr>
          <w:color w:val="231F20"/>
          <w:spacing w:val="-6"/>
        </w:rPr>
        <w:t> </w:t>
      </w:r>
      <w:r>
        <w:rPr>
          <w:color w:val="231F20"/>
        </w:rPr>
        <w:t>capacidad</w:t>
      </w:r>
      <w:r>
        <w:rPr>
          <w:color w:val="231F20"/>
          <w:spacing w:val="-6"/>
        </w:rPr>
        <w:t> </w:t>
      </w:r>
      <w:r>
        <w:rPr>
          <w:color w:val="231F20"/>
        </w:rPr>
        <w:t>de</w:t>
      </w:r>
      <w:r>
        <w:rPr>
          <w:color w:val="231F20"/>
          <w:spacing w:val="-6"/>
        </w:rPr>
        <w:t> </w:t>
      </w:r>
      <w:r>
        <w:rPr>
          <w:color w:val="231F20"/>
        </w:rPr>
        <w:t>manu- factura</w:t>
      </w:r>
      <w:r>
        <w:rPr>
          <w:color w:val="231F20"/>
          <w:spacing w:val="-1"/>
        </w:rPr>
        <w:t> </w:t>
      </w:r>
      <w:r>
        <w:rPr>
          <w:color w:val="231F20"/>
        </w:rPr>
        <w:t>propia.</w:t>
      </w:r>
    </w:p>
    <w:p>
      <w:pPr>
        <w:pStyle w:val="BodyText"/>
        <w:spacing w:line="278" w:lineRule="auto" w:before="1"/>
        <w:ind w:left="103" w:right="651" w:firstLine="396"/>
        <w:jc w:val="both"/>
      </w:pPr>
      <w:r>
        <w:rPr>
          <w:color w:val="231F20"/>
        </w:rPr>
        <w:t>Sin embargo, la producción modular no ha logrado superar las ventajas del mo- delo de producción de </w:t>
      </w:r>
      <w:r>
        <w:rPr>
          <w:color w:val="231F20"/>
          <w:spacing w:val="-5"/>
        </w:rPr>
        <w:t>Toyota, </w:t>
      </w:r>
      <w:r>
        <w:rPr>
          <w:color w:val="231F20"/>
        </w:rPr>
        <w:t>quien mantiene su liderazgo mundial. Estudiosos del tema señalan que esto se relaciona en gran medida con la fortaleza de los</w:t>
      </w:r>
      <w:r>
        <w:rPr>
          <w:color w:val="231F20"/>
          <w:spacing w:val="-32"/>
        </w:rPr>
        <w:t> </w:t>
      </w:r>
      <w:r>
        <w:rPr>
          <w:color w:val="231F20"/>
        </w:rPr>
        <w:t>proveedores (EIU</w:t>
      </w:r>
      <w:r>
        <w:rPr>
          <w:color w:val="231F20"/>
          <w:spacing w:val="-11"/>
        </w:rPr>
        <w:t> </w:t>
      </w:r>
      <w:r>
        <w:rPr>
          <w:color w:val="231F20"/>
        </w:rPr>
        <w:t>/</w:t>
      </w:r>
      <w:r>
        <w:rPr>
          <w:color w:val="231F20"/>
          <w:spacing w:val="-11"/>
        </w:rPr>
        <w:t> </w:t>
      </w:r>
      <w:r>
        <w:rPr>
          <w:color w:val="231F20"/>
        </w:rPr>
        <w:t>McKinsey</w:t>
      </w:r>
      <w:r>
        <w:rPr>
          <w:color w:val="231F20"/>
          <w:spacing w:val="-11"/>
        </w:rPr>
        <w:t> </w:t>
      </w:r>
      <w:r>
        <w:rPr>
          <w:color w:val="231F20"/>
        </w:rPr>
        <w:t>&amp;</w:t>
      </w:r>
      <w:r>
        <w:rPr>
          <w:color w:val="231F20"/>
          <w:spacing w:val="-11"/>
        </w:rPr>
        <w:t> </w:t>
      </w:r>
      <w:r>
        <w:rPr>
          <w:color w:val="231F20"/>
        </w:rPr>
        <w:t>Co.,</w:t>
      </w:r>
      <w:r>
        <w:rPr>
          <w:color w:val="231F20"/>
          <w:spacing w:val="-11"/>
        </w:rPr>
        <w:t> </w:t>
      </w:r>
      <w:r>
        <w:rPr>
          <w:color w:val="231F20"/>
        </w:rPr>
        <w:t>1999).</w:t>
      </w:r>
      <w:r>
        <w:rPr>
          <w:color w:val="231F20"/>
          <w:spacing w:val="-11"/>
        </w:rPr>
        <w:t> </w:t>
      </w:r>
      <w:r>
        <w:rPr>
          <w:color w:val="231F20"/>
        </w:rPr>
        <w:t>En</w:t>
      </w:r>
      <w:r>
        <w:rPr>
          <w:color w:val="231F20"/>
          <w:spacing w:val="-11"/>
        </w:rPr>
        <w:t> </w:t>
      </w:r>
      <w:r>
        <w:rPr>
          <w:color w:val="231F20"/>
        </w:rPr>
        <w:t>este</w:t>
      </w:r>
      <w:r>
        <w:rPr>
          <w:color w:val="231F20"/>
          <w:spacing w:val="-11"/>
        </w:rPr>
        <w:t> </w:t>
      </w:r>
      <w:r>
        <w:rPr>
          <w:color w:val="231F20"/>
        </w:rPr>
        <w:t>sentido,</w:t>
      </w:r>
      <w:r>
        <w:rPr>
          <w:color w:val="231F20"/>
          <w:spacing w:val="-11"/>
        </w:rPr>
        <w:t> </w:t>
      </w:r>
      <w:r>
        <w:rPr>
          <w:color w:val="231F20"/>
          <w:spacing w:val="-5"/>
        </w:rPr>
        <w:t>Toyota</w:t>
      </w:r>
      <w:r>
        <w:rPr>
          <w:color w:val="231F20"/>
          <w:spacing w:val="-11"/>
        </w:rPr>
        <w:t> </w:t>
      </w:r>
      <w:r>
        <w:rPr>
          <w:color w:val="231F20"/>
        </w:rPr>
        <w:t>da</w:t>
      </w:r>
      <w:r>
        <w:rPr>
          <w:color w:val="231F20"/>
          <w:spacing w:val="-11"/>
        </w:rPr>
        <w:t> </w:t>
      </w:r>
      <w:r>
        <w:rPr>
          <w:color w:val="231F20"/>
        </w:rPr>
        <w:t>una</w:t>
      </w:r>
      <w:r>
        <w:rPr>
          <w:color w:val="231F20"/>
          <w:spacing w:val="-11"/>
        </w:rPr>
        <w:t> </w:t>
      </w:r>
      <w:r>
        <w:rPr>
          <w:color w:val="231F20"/>
        </w:rPr>
        <w:t>mayor</w:t>
      </w:r>
      <w:r>
        <w:rPr>
          <w:color w:val="231F20"/>
          <w:spacing w:val="-11"/>
        </w:rPr>
        <w:t> </w:t>
      </w:r>
      <w:r>
        <w:rPr>
          <w:color w:val="231F20"/>
        </w:rPr>
        <w:t>importancia</w:t>
      </w:r>
      <w:r>
        <w:rPr>
          <w:color w:val="231F20"/>
          <w:spacing w:val="-11"/>
        </w:rPr>
        <w:t> </w:t>
      </w:r>
      <w:r>
        <w:rPr>
          <w:color w:val="231F20"/>
        </w:rPr>
        <w:t>a</w:t>
      </w:r>
      <w:r>
        <w:rPr>
          <w:color w:val="231F20"/>
          <w:spacing w:val="-11"/>
        </w:rPr>
        <w:t> </w:t>
      </w:r>
      <w:r>
        <w:rPr>
          <w:color w:val="231F20"/>
        </w:rPr>
        <w:t>las relaciones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presentan</w:t>
      </w:r>
      <w:r>
        <w:rPr>
          <w:color w:val="231F20"/>
          <w:spacing w:val="-10"/>
        </w:rPr>
        <w:t> </w:t>
      </w:r>
      <w:r>
        <w:rPr>
          <w:color w:val="231F20"/>
        </w:rPr>
        <w:t>con</w:t>
      </w:r>
      <w:r>
        <w:rPr>
          <w:color w:val="231F20"/>
          <w:spacing w:val="-10"/>
        </w:rPr>
        <w:t> </w:t>
      </w:r>
      <w:r>
        <w:rPr>
          <w:color w:val="231F20"/>
        </w:rPr>
        <w:t>su</w:t>
      </w:r>
      <w:r>
        <w:rPr>
          <w:color w:val="231F20"/>
          <w:spacing w:val="-10"/>
        </w:rPr>
        <w:t> </w:t>
      </w:r>
      <w:r>
        <w:rPr>
          <w:color w:val="231F20"/>
        </w:rPr>
        <w:t>red</w:t>
      </w:r>
      <w:r>
        <w:rPr>
          <w:color w:val="231F20"/>
          <w:spacing w:val="-10"/>
        </w:rPr>
        <w:t> </w:t>
      </w:r>
      <w:r>
        <w:rPr>
          <w:color w:val="231F20"/>
        </w:rPr>
        <w:t>de</w:t>
      </w:r>
      <w:r>
        <w:rPr>
          <w:color w:val="231F20"/>
          <w:spacing w:val="-10"/>
        </w:rPr>
        <w:t> </w:t>
      </w:r>
      <w:r>
        <w:rPr>
          <w:color w:val="231F20"/>
        </w:rPr>
        <w:t>proveedores</w:t>
      </w:r>
      <w:r>
        <w:rPr>
          <w:color w:val="231F20"/>
          <w:spacing w:val="-10"/>
        </w:rPr>
        <w:t> </w:t>
      </w:r>
      <w:r>
        <w:rPr>
          <w:color w:val="231F20"/>
        </w:rPr>
        <w:t>de</w:t>
      </w:r>
      <w:r>
        <w:rPr>
          <w:color w:val="231F20"/>
          <w:spacing w:val="-10"/>
        </w:rPr>
        <w:t> </w:t>
      </w:r>
      <w:r>
        <w:rPr>
          <w:color w:val="231F20"/>
        </w:rPr>
        <w:t>componentes</w:t>
      </w:r>
      <w:r>
        <w:rPr>
          <w:color w:val="231F20"/>
          <w:spacing w:val="-10"/>
        </w:rPr>
        <w:t> </w:t>
      </w:r>
      <w:r>
        <w:rPr>
          <w:color w:val="231F20"/>
        </w:rPr>
        <w:t>y</w:t>
      </w:r>
      <w:r>
        <w:rPr>
          <w:color w:val="231F20"/>
          <w:spacing w:val="-10"/>
        </w:rPr>
        <w:t> </w:t>
      </w:r>
      <w:r>
        <w:rPr>
          <w:color w:val="231F20"/>
        </w:rPr>
        <w:t>partes,</w:t>
      </w:r>
      <w:r>
        <w:rPr>
          <w:color w:val="231F20"/>
          <w:spacing w:val="-10"/>
        </w:rPr>
        <w:t> </w:t>
      </w:r>
      <w:r>
        <w:rPr>
          <w:color w:val="231F20"/>
        </w:rPr>
        <w:t>la</w:t>
      </w:r>
      <w:r>
        <w:rPr>
          <w:color w:val="231F20"/>
          <w:spacing w:val="-10"/>
        </w:rPr>
        <w:t> </w:t>
      </w:r>
      <w:r>
        <w:rPr>
          <w:color w:val="231F20"/>
        </w:rPr>
        <w:t>cual se caracteriza por ser altamente eficiente tanto en </w:t>
      </w:r>
      <w:r>
        <w:rPr>
          <w:color w:val="231F20"/>
          <w:spacing w:val="-3"/>
        </w:rPr>
        <w:t>Japón </w:t>
      </w:r>
      <w:r>
        <w:rPr>
          <w:color w:val="231F20"/>
        </w:rPr>
        <w:t>como en los Estados Unidos, y cuenta con una estructura más amplia de cuatro o más niveles de proveedores, una integración</w:t>
      </w:r>
      <w:r>
        <w:rPr>
          <w:color w:val="231F20"/>
          <w:spacing w:val="-8"/>
        </w:rPr>
        <w:t> </w:t>
      </w:r>
      <w:r>
        <w:rPr>
          <w:color w:val="231F20"/>
        </w:rPr>
        <w:t>menos</w:t>
      </w:r>
      <w:r>
        <w:rPr>
          <w:color w:val="231F20"/>
          <w:spacing w:val="-8"/>
        </w:rPr>
        <w:t> </w:t>
      </w:r>
      <w:r>
        <w:rPr>
          <w:color w:val="231F20"/>
        </w:rPr>
        <w:t>vertical,</w:t>
      </w:r>
      <w:r>
        <w:rPr>
          <w:color w:val="231F20"/>
          <w:spacing w:val="-8"/>
        </w:rPr>
        <w:t> </w:t>
      </w:r>
      <w:r>
        <w:rPr>
          <w:color w:val="231F20"/>
        </w:rPr>
        <w:t>un</w:t>
      </w:r>
      <w:r>
        <w:rPr>
          <w:color w:val="231F20"/>
          <w:spacing w:val="-8"/>
        </w:rPr>
        <w:t> </w:t>
      </w:r>
      <w:r>
        <w:rPr>
          <w:color w:val="231F20"/>
        </w:rPr>
        <w:t>menor</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proveedores</w:t>
      </w:r>
      <w:r>
        <w:rPr>
          <w:color w:val="231F20"/>
          <w:spacing w:val="-8"/>
        </w:rPr>
        <w:t> </w:t>
      </w:r>
      <w:r>
        <w:rPr>
          <w:color w:val="231F20"/>
        </w:rPr>
        <w:t>grandes</w:t>
      </w:r>
      <w:r>
        <w:rPr>
          <w:color w:val="231F20"/>
          <w:spacing w:val="-8"/>
        </w:rPr>
        <w:t> </w:t>
      </w:r>
      <w:r>
        <w:rPr>
          <w:color w:val="231F20"/>
        </w:rPr>
        <w:t>y</w:t>
      </w:r>
      <w:r>
        <w:rPr>
          <w:color w:val="231F20"/>
          <w:spacing w:val="-8"/>
        </w:rPr>
        <w:t> </w:t>
      </w:r>
      <w:r>
        <w:rPr>
          <w:color w:val="231F20"/>
        </w:rPr>
        <w:t>más</w:t>
      </w:r>
      <w:r>
        <w:rPr>
          <w:color w:val="231F20"/>
          <w:spacing w:val="-8"/>
        </w:rPr>
        <w:t> </w:t>
      </w:r>
      <w:r>
        <w:rPr>
          <w:color w:val="231F20"/>
        </w:rPr>
        <w:t>con</w:t>
      </w:r>
      <w:r>
        <w:rPr>
          <w:color w:val="231F20"/>
          <w:spacing w:val="-8"/>
        </w:rPr>
        <w:t> </w:t>
      </w:r>
      <w:r>
        <w:rPr>
          <w:color w:val="231F20"/>
        </w:rPr>
        <w:t>capa- cidad de ingeniería especializada; además, se promueve la cooperación respecto al</w:t>
      </w:r>
      <w:r>
        <w:rPr>
          <w:color w:val="231F20"/>
          <w:spacing w:val="-23"/>
        </w:rPr>
        <w:t> </w:t>
      </w:r>
      <w:r>
        <w:rPr>
          <w:color w:val="231F20"/>
        </w:rPr>
        <w:t>in- tercambio de información técnica, en un marco de apoyo de la empresa ensambladora al</w:t>
      </w:r>
      <w:r>
        <w:rPr>
          <w:color w:val="231F20"/>
          <w:spacing w:val="-7"/>
        </w:rPr>
        <w:t> </w:t>
      </w:r>
      <w:r>
        <w:rPr>
          <w:color w:val="231F20"/>
        </w:rPr>
        <w:t>fabricante</w:t>
      </w:r>
      <w:r>
        <w:rPr>
          <w:color w:val="231F20"/>
          <w:spacing w:val="-7"/>
        </w:rPr>
        <w:t> </w:t>
      </w:r>
      <w:r>
        <w:rPr>
          <w:color w:val="231F20"/>
        </w:rPr>
        <w:t>de</w:t>
      </w:r>
      <w:r>
        <w:rPr>
          <w:color w:val="231F20"/>
          <w:spacing w:val="-7"/>
        </w:rPr>
        <w:t> </w:t>
      </w:r>
      <w:r>
        <w:rPr>
          <w:color w:val="231F20"/>
        </w:rPr>
        <w:t>partes</w:t>
      </w:r>
      <w:r>
        <w:rPr>
          <w:color w:val="231F20"/>
          <w:spacing w:val="-7"/>
        </w:rPr>
        <w:t> </w:t>
      </w:r>
      <w:r>
        <w:rPr>
          <w:color w:val="231F20"/>
        </w:rPr>
        <w:t>(Mortimore</w:t>
      </w:r>
      <w:r>
        <w:rPr>
          <w:color w:val="231F20"/>
          <w:spacing w:val="-7"/>
        </w:rPr>
        <w:t> </w:t>
      </w:r>
      <w:r>
        <w:rPr>
          <w:color w:val="231F20"/>
        </w:rPr>
        <w:t>y</w:t>
      </w:r>
      <w:r>
        <w:rPr>
          <w:color w:val="231F20"/>
          <w:spacing w:val="-7"/>
        </w:rPr>
        <w:t> </w:t>
      </w:r>
      <w:r>
        <w:rPr>
          <w:color w:val="231F20"/>
        </w:rPr>
        <w:t>Barron,</w:t>
      </w:r>
      <w:r>
        <w:rPr>
          <w:color w:val="231F20"/>
          <w:spacing w:val="-7"/>
        </w:rPr>
        <w:t> </w:t>
      </w:r>
      <w:r>
        <w:rPr>
          <w:color w:val="231F20"/>
        </w:rPr>
        <w:t>2005).</w:t>
      </w:r>
    </w:p>
    <w:p>
      <w:pPr>
        <w:pStyle w:val="BodyText"/>
        <w:spacing w:line="278" w:lineRule="auto" w:before="1"/>
        <w:ind w:left="103" w:right="651" w:firstLine="396"/>
        <w:jc w:val="both"/>
      </w:pPr>
      <w:r>
        <w:rPr>
          <w:color w:val="231F20"/>
        </w:rPr>
        <w:t>Los proveedores de las ensambladoras japonesas cuentan con contratos a largo plazo y mayores márgenes de beneficio. En el mismo sentido, la ensambladora japo- nesa incentiva al proveedor principal a realizar inversiones en equipo especializado y en</w:t>
      </w:r>
      <w:r>
        <w:rPr>
          <w:color w:val="231F20"/>
          <w:spacing w:val="-12"/>
        </w:rPr>
        <w:t> </w:t>
      </w:r>
      <w:r>
        <w:rPr>
          <w:color w:val="231F20"/>
        </w:rPr>
        <w:t>la</w:t>
      </w:r>
      <w:r>
        <w:rPr>
          <w:color w:val="231F20"/>
          <w:spacing w:val="-12"/>
        </w:rPr>
        <w:t> </w:t>
      </w:r>
      <w:r>
        <w:rPr>
          <w:color w:val="231F20"/>
        </w:rPr>
        <w:t>capacitación</w:t>
      </w:r>
      <w:r>
        <w:rPr>
          <w:color w:val="231F20"/>
          <w:spacing w:val="-12"/>
        </w:rPr>
        <w:t> </w:t>
      </w:r>
      <w:r>
        <w:rPr>
          <w:color w:val="231F20"/>
        </w:rPr>
        <w:t>de</w:t>
      </w:r>
      <w:r>
        <w:rPr>
          <w:color w:val="231F20"/>
          <w:spacing w:val="-12"/>
        </w:rPr>
        <w:t> </w:t>
      </w:r>
      <w:r>
        <w:rPr>
          <w:color w:val="231F20"/>
        </w:rPr>
        <w:t>recursos</w:t>
      </w:r>
      <w:r>
        <w:rPr>
          <w:color w:val="231F20"/>
          <w:spacing w:val="-12"/>
        </w:rPr>
        <w:t> </w:t>
      </w:r>
      <w:r>
        <w:rPr>
          <w:color w:val="231F20"/>
        </w:rPr>
        <w:t>humanos;</w:t>
      </w:r>
      <w:r>
        <w:rPr>
          <w:color w:val="231F20"/>
          <w:spacing w:val="-12"/>
        </w:rPr>
        <w:t> </w:t>
      </w:r>
      <w:r>
        <w:rPr>
          <w:color w:val="231F20"/>
        </w:rPr>
        <w:t>y</w:t>
      </w:r>
      <w:r>
        <w:rPr>
          <w:color w:val="231F20"/>
          <w:spacing w:val="-12"/>
        </w:rPr>
        <w:t> </w:t>
      </w:r>
      <w:r>
        <w:rPr>
          <w:color w:val="231F20"/>
        </w:rPr>
        <w:t>éste,</w:t>
      </w:r>
      <w:r>
        <w:rPr>
          <w:color w:val="231F20"/>
          <w:spacing w:val="-12"/>
        </w:rPr>
        <w:t> </w:t>
      </w:r>
      <w:r>
        <w:rPr>
          <w:color w:val="231F20"/>
        </w:rPr>
        <w:t>a</w:t>
      </w:r>
      <w:r>
        <w:rPr>
          <w:color w:val="231F20"/>
          <w:spacing w:val="-12"/>
        </w:rPr>
        <w:t> </w:t>
      </w:r>
      <w:r>
        <w:rPr>
          <w:color w:val="231F20"/>
        </w:rPr>
        <w:t>su</w:t>
      </w:r>
      <w:r>
        <w:rPr>
          <w:color w:val="231F20"/>
          <w:spacing w:val="-12"/>
        </w:rPr>
        <w:t> </w:t>
      </w:r>
      <w:r>
        <w:rPr>
          <w:color w:val="231F20"/>
        </w:rPr>
        <w:t>vez,</w:t>
      </w:r>
      <w:r>
        <w:rPr>
          <w:color w:val="231F20"/>
          <w:spacing w:val="-12"/>
        </w:rPr>
        <w:t> </w:t>
      </w:r>
      <w:r>
        <w:rPr>
          <w:color w:val="231F20"/>
        </w:rPr>
        <w:t>establece</w:t>
      </w:r>
      <w:r>
        <w:rPr>
          <w:color w:val="231F20"/>
          <w:spacing w:val="-12"/>
        </w:rPr>
        <w:t> </w:t>
      </w:r>
      <w:r>
        <w:rPr>
          <w:color w:val="231F20"/>
        </w:rPr>
        <w:t>relaciones</w:t>
      </w:r>
      <w:r>
        <w:rPr>
          <w:color w:val="231F20"/>
          <w:spacing w:val="-12"/>
        </w:rPr>
        <w:t> </w:t>
      </w:r>
      <w:r>
        <w:rPr>
          <w:color w:val="231F20"/>
        </w:rPr>
        <w:t>parecidas</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jc w:val="both"/>
      </w:pPr>
      <w:r>
        <w:rPr>
          <w:color w:val="231F20"/>
        </w:rPr>
        <w:t>con los de segundo nivel, y así sucesivamente, lo que se refleja en el beneficio a</w:t>
      </w:r>
      <w:r>
        <w:rPr>
          <w:color w:val="231F20"/>
          <w:spacing w:val="-31"/>
        </w:rPr>
        <w:t> </w:t>
      </w:r>
      <w:r>
        <w:rPr>
          <w:color w:val="231F20"/>
        </w:rPr>
        <w:t>largo plazo de toda la cadena en términos de diseño, productividad y precio (Mortimore y Barron,</w:t>
      </w:r>
      <w:r>
        <w:rPr>
          <w:color w:val="231F20"/>
          <w:spacing w:val="-10"/>
        </w:rPr>
        <w:t> </w:t>
      </w:r>
      <w:r>
        <w:rPr>
          <w:color w:val="231F20"/>
        </w:rPr>
        <w:t>2005).</w:t>
      </w:r>
    </w:p>
    <w:p>
      <w:pPr>
        <w:pStyle w:val="BodyText"/>
        <w:spacing w:line="278" w:lineRule="auto" w:before="1"/>
        <w:ind w:left="653" w:right="98" w:firstLine="396"/>
        <w:jc w:val="both"/>
      </w:pPr>
      <w:r>
        <w:rPr>
          <w:color w:val="231F20"/>
        </w:rPr>
        <w:t>A diferencia de </w:t>
      </w:r>
      <w:r>
        <w:rPr>
          <w:color w:val="231F20"/>
          <w:spacing w:val="-3"/>
        </w:rPr>
        <w:t>Toyota, </w:t>
      </w:r>
      <w:r>
        <w:rPr>
          <w:color w:val="231F20"/>
        </w:rPr>
        <w:t>las empresas ensambladoras tradicionales norteameri- canas dan una menor importancia a la relación con los proveedores, por lo que en ocasiones se presentan relaciones conflictivas; además, tienen contratos a corto pla- zo, con múltiples proveedores que están en constante competencia para mantener su posición; la relación se basa en la exigencia de continuas reducciones de precios y el uso de subastas competitivas; de esta forma la empresa ensambladora se adueña de  las mejorías en productividad, mientras que el proveedor asume los costos, lo que </w:t>
      </w:r>
      <w:r>
        <w:rPr>
          <w:color w:val="231F20"/>
          <w:spacing w:val="2"/>
        </w:rPr>
        <w:t>sin </w:t>
      </w:r>
      <w:r>
        <w:rPr>
          <w:color w:val="231F20"/>
        </w:rPr>
        <w:t>duda desmotiva al proveedor en sus esfuerzos por mejorar su productividad (EIU / McKinsey</w:t>
      </w:r>
      <w:r>
        <w:rPr>
          <w:color w:val="231F20"/>
          <w:spacing w:val="-20"/>
        </w:rPr>
        <w:t> </w:t>
      </w:r>
      <w:r>
        <w:rPr>
          <w:color w:val="231F20"/>
        </w:rPr>
        <w:t>&amp;</w:t>
      </w:r>
      <w:r>
        <w:rPr>
          <w:color w:val="231F20"/>
          <w:spacing w:val="-20"/>
        </w:rPr>
        <w:t> </w:t>
      </w:r>
      <w:r>
        <w:rPr>
          <w:color w:val="231F20"/>
        </w:rPr>
        <w:t>Co.,</w:t>
      </w:r>
      <w:r>
        <w:rPr>
          <w:color w:val="231F20"/>
          <w:spacing w:val="-20"/>
        </w:rPr>
        <w:t> </w:t>
      </w:r>
      <w:r>
        <w:rPr>
          <w:color w:val="231F20"/>
          <w:spacing w:val="2"/>
        </w:rPr>
        <w:t>1999).</w:t>
      </w:r>
    </w:p>
    <w:p>
      <w:pPr>
        <w:pStyle w:val="BodyText"/>
        <w:spacing w:line="278" w:lineRule="auto" w:before="1"/>
        <w:ind w:left="653" w:right="100" w:firstLine="396"/>
        <w:jc w:val="both"/>
      </w:pPr>
      <w:r>
        <w:rPr>
          <w:color w:val="231F20"/>
        </w:rPr>
        <w:t>En este sentido, Gritton (2003) señala que una parte fundamental del éxito de </w:t>
      </w:r>
      <w:r>
        <w:rPr>
          <w:color w:val="231F20"/>
          <w:spacing w:val="-5"/>
        </w:rPr>
        <w:t>Toyota</w:t>
      </w:r>
      <w:r>
        <w:rPr>
          <w:color w:val="231F20"/>
          <w:spacing w:val="-7"/>
        </w:rPr>
        <w:t> </w:t>
      </w:r>
      <w:r>
        <w:rPr>
          <w:color w:val="231F20"/>
        </w:rPr>
        <w:t>a</w:t>
      </w:r>
      <w:r>
        <w:rPr>
          <w:color w:val="231F20"/>
          <w:spacing w:val="-7"/>
        </w:rPr>
        <w:t> </w:t>
      </w:r>
      <w:r>
        <w:rPr>
          <w:color w:val="231F20"/>
        </w:rPr>
        <w:t>nivel</w:t>
      </w:r>
      <w:r>
        <w:rPr>
          <w:color w:val="231F20"/>
          <w:spacing w:val="-7"/>
        </w:rPr>
        <w:t> </w:t>
      </w:r>
      <w:r>
        <w:rPr>
          <w:color w:val="231F20"/>
        </w:rPr>
        <w:t>mundial</w:t>
      </w:r>
      <w:r>
        <w:rPr>
          <w:color w:val="231F20"/>
          <w:spacing w:val="-7"/>
        </w:rPr>
        <w:t> </w:t>
      </w:r>
      <w:r>
        <w:rPr>
          <w:color w:val="231F20"/>
        </w:rPr>
        <w:t>se</w:t>
      </w:r>
      <w:r>
        <w:rPr>
          <w:color w:val="231F20"/>
          <w:spacing w:val="-7"/>
        </w:rPr>
        <w:t> </w:t>
      </w:r>
      <w:r>
        <w:rPr>
          <w:color w:val="231F20"/>
        </w:rPr>
        <w:t>basa</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construcción</w:t>
      </w:r>
      <w:r>
        <w:rPr>
          <w:color w:val="231F20"/>
          <w:spacing w:val="-7"/>
        </w:rPr>
        <w:t> </w:t>
      </w:r>
      <w:r>
        <w:rPr>
          <w:color w:val="231F20"/>
        </w:rPr>
        <w:t>de</w:t>
      </w:r>
      <w:r>
        <w:rPr>
          <w:color w:val="231F20"/>
          <w:spacing w:val="-7"/>
        </w:rPr>
        <w:t> </w:t>
      </w:r>
      <w:r>
        <w:rPr>
          <w:color w:val="231F20"/>
        </w:rPr>
        <w:t>relaciones</w:t>
      </w:r>
      <w:r>
        <w:rPr>
          <w:color w:val="231F20"/>
          <w:spacing w:val="-7"/>
        </w:rPr>
        <w:t> </w:t>
      </w:r>
      <w:r>
        <w:rPr>
          <w:color w:val="231F20"/>
        </w:rPr>
        <w:t>duraderas</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inte- grantes</w:t>
      </w:r>
      <w:r>
        <w:rPr>
          <w:color w:val="231F20"/>
          <w:spacing w:val="-6"/>
        </w:rPr>
        <w:t> </w:t>
      </w:r>
      <w:r>
        <w:rPr>
          <w:color w:val="231F20"/>
        </w:rPr>
        <w:t>de</w:t>
      </w:r>
      <w:r>
        <w:rPr>
          <w:color w:val="231F20"/>
          <w:spacing w:val="-6"/>
        </w:rPr>
        <w:t> </w:t>
      </w:r>
      <w:r>
        <w:rPr>
          <w:color w:val="231F20"/>
        </w:rPr>
        <w:t>su</w:t>
      </w:r>
      <w:r>
        <w:rPr>
          <w:color w:val="231F20"/>
          <w:spacing w:val="-6"/>
        </w:rPr>
        <w:t> </w:t>
      </w:r>
      <w:r>
        <w:rPr>
          <w:color w:val="231F20"/>
        </w:rPr>
        <w:t>sistema,</w:t>
      </w:r>
      <w:r>
        <w:rPr>
          <w:color w:val="231F20"/>
          <w:spacing w:val="-6"/>
        </w:rPr>
        <w:t> </w:t>
      </w:r>
      <w:r>
        <w:rPr>
          <w:color w:val="231F20"/>
        </w:rPr>
        <w:t>lo</w:t>
      </w:r>
      <w:r>
        <w:rPr>
          <w:color w:val="231F20"/>
          <w:spacing w:val="-6"/>
        </w:rPr>
        <w:t> </w:t>
      </w:r>
      <w:r>
        <w:rPr>
          <w:color w:val="231F20"/>
        </w:rPr>
        <w:t>que</w:t>
      </w:r>
      <w:r>
        <w:rPr>
          <w:color w:val="231F20"/>
          <w:spacing w:val="-6"/>
        </w:rPr>
        <w:t> </w:t>
      </w:r>
      <w:r>
        <w:rPr>
          <w:color w:val="231F20"/>
        </w:rPr>
        <w:t>ha</w:t>
      </w:r>
      <w:r>
        <w:rPr>
          <w:color w:val="231F20"/>
          <w:spacing w:val="-6"/>
        </w:rPr>
        <w:t> </w:t>
      </w:r>
      <w:r>
        <w:rPr>
          <w:color w:val="231F20"/>
        </w:rPr>
        <w:t>permitido</w:t>
      </w:r>
      <w:r>
        <w:rPr>
          <w:color w:val="231F20"/>
          <w:spacing w:val="-6"/>
        </w:rPr>
        <w:t> </w:t>
      </w:r>
      <w:r>
        <w:rPr>
          <w:color w:val="231F20"/>
        </w:rPr>
        <w:t>el</w:t>
      </w:r>
      <w:r>
        <w:rPr>
          <w:color w:val="231F20"/>
          <w:spacing w:val="-6"/>
        </w:rPr>
        <w:t> </w:t>
      </w:r>
      <w:r>
        <w:rPr>
          <w:color w:val="231F20"/>
        </w:rPr>
        <w:t>beneficio</w:t>
      </w:r>
      <w:r>
        <w:rPr>
          <w:color w:val="231F20"/>
          <w:spacing w:val="-6"/>
        </w:rPr>
        <w:t> </w:t>
      </w:r>
      <w:r>
        <w:rPr>
          <w:color w:val="231F20"/>
        </w:rPr>
        <w:t>mutuo</w:t>
      </w:r>
      <w:r>
        <w:rPr>
          <w:color w:val="231F20"/>
          <w:spacing w:val="-6"/>
        </w:rPr>
        <w:t> </w:t>
      </w:r>
      <w:r>
        <w:rPr>
          <w:color w:val="231F20"/>
        </w:rPr>
        <w:t>y</w:t>
      </w:r>
      <w:r>
        <w:rPr>
          <w:color w:val="231F20"/>
          <w:spacing w:val="-6"/>
        </w:rPr>
        <w:t> </w:t>
      </w:r>
      <w:r>
        <w:rPr>
          <w:color w:val="231F20"/>
        </w:rPr>
        <w:t>un</w:t>
      </w:r>
      <w:r>
        <w:rPr>
          <w:color w:val="231F20"/>
          <w:spacing w:val="-6"/>
        </w:rPr>
        <w:t> </w:t>
      </w:r>
      <w:r>
        <w:rPr>
          <w:color w:val="231F20"/>
        </w:rPr>
        <w:t>crecimiento</w:t>
      </w:r>
      <w:r>
        <w:rPr>
          <w:color w:val="231F20"/>
          <w:spacing w:val="-6"/>
        </w:rPr>
        <w:t> </w:t>
      </w:r>
      <w:r>
        <w:rPr>
          <w:color w:val="231F20"/>
        </w:rPr>
        <w:t>estable a largo plazo. Esta empresa ha logrado construir en América del Norte una base de aproximadamente 500 proveedores para sostener la producción de sus plantas de en- samblaje ubicadas en Alabama, </w:t>
      </w:r>
      <w:r>
        <w:rPr>
          <w:color w:val="231F20"/>
          <w:spacing w:val="-4"/>
        </w:rPr>
        <w:t>Kentucky, </w:t>
      </w:r>
      <w:r>
        <w:rPr>
          <w:color w:val="231F20"/>
        </w:rPr>
        <w:t>Virginia Occidental, California y Ontario, cuya producción se orienta básicamente al mercado de Estados Unidos (Mortimore y Barron,</w:t>
      </w:r>
      <w:r>
        <w:rPr>
          <w:color w:val="231F20"/>
          <w:spacing w:val="-24"/>
        </w:rPr>
        <w:t> </w:t>
      </w:r>
      <w:r>
        <w:rPr>
          <w:color w:val="231F20"/>
        </w:rPr>
        <w:t>2005).</w:t>
      </w:r>
    </w:p>
    <w:p>
      <w:pPr>
        <w:pStyle w:val="BodyText"/>
        <w:spacing w:line="278" w:lineRule="auto" w:before="1"/>
        <w:ind w:left="653" w:right="101" w:firstLine="396"/>
        <w:jc w:val="both"/>
      </w:pPr>
      <w:r>
        <w:rPr>
          <w:color w:val="231F20"/>
        </w:rPr>
        <w:t>Finalmente, sobre este punto Mortimore y Barron (2005) señalan que </w:t>
      </w:r>
      <w:r>
        <w:rPr>
          <w:color w:val="231F20"/>
          <w:spacing w:val="-5"/>
        </w:rPr>
        <w:t>Toyota </w:t>
      </w:r>
      <w:r>
        <w:rPr>
          <w:color w:val="231F20"/>
        </w:rPr>
        <w:t>ha logrado</w:t>
      </w:r>
      <w:r>
        <w:rPr>
          <w:color w:val="231F20"/>
          <w:spacing w:val="-7"/>
        </w:rPr>
        <w:t> </w:t>
      </w:r>
      <w:r>
        <w:rPr>
          <w:color w:val="231F20"/>
        </w:rPr>
        <w:t>incrementar</w:t>
      </w:r>
      <w:r>
        <w:rPr>
          <w:color w:val="231F20"/>
          <w:spacing w:val="-7"/>
        </w:rPr>
        <w:t> </w:t>
      </w:r>
      <w:r>
        <w:rPr>
          <w:color w:val="231F20"/>
        </w:rPr>
        <w:t>su</w:t>
      </w:r>
      <w:r>
        <w:rPr>
          <w:color w:val="231F20"/>
          <w:spacing w:val="-7"/>
        </w:rPr>
        <w:t> </w:t>
      </w:r>
      <w:r>
        <w:rPr>
          <w:color w:val="231F20"/>
        </w:rPr>
        <w:t>competitividad</w:t>
      </w:r>
      <w:r>
        <w:rPr>
          <w:color w:val="231F20"/>
          <w:spacing w:val="-7"/>
        </w:rPr>
        <w:t> </w:t>
      </w:r>
      <w:r>
        <w:rPr>
          <w:color w:val="231F20"/>
        </w:rPr>
        <w:t>a</w:t>
      </w:r>
      <w:r>
        <w:rPr>
          <w:color w:val="231F20"/>
          <w:spacing w:val="-7"/>
        </w:rPr>
        <w:t> </w:t>
      </w:r>
      <w:r>
        <w:rPr>
          <w:color w:val="231F20"/>
        </w:rPr>
        <w:t>través</w:t>
      </w:r>
      <w:r>
        <w:rPr>
          <w:color w:val="231F20"/>
          <w:spacing w:val="-7"/>
        </w:rPr>
        <w:t> </w:t>
      </w:r>
      <w:r>
        <w:rPr>
          <w:color w:val="231F20"/>
        </w:rPr>
        <w:t>del</w:t>
      </w:r>
      <w:r>
        <w:rPr>
          <w:color w:val="231F20"/>
          <w:spacing w:val="-7"/>
        </w:rPr>
        <w:t> </w:t>
      </w:r>
      <w:r>
        <w:rPr>
          <w:color w:val="231F20"/>
        </w:rPr>
        <w:t>empleo</w:t>
      </w:r>
      <w:r>
        <w:rPr>
          <w:color w:val="231F20"/>
          <w:spacing w:val="-7"/>
        </w:rPr>
        <w:t> </w:t>
      </w:r>
      <w:r>
        <w:rPr>
          <w:color w:val="231F20"/>
        </w:rPr>
        <w:t>de</w:t>
      </w:r>
      <w:r>
        <w:rPr>
          <w:color w:val="231F20"/>
          <w:spacing w:val="-7"/>
        </w:rPr>
        <w:t> </w:t>
      </w:r>
      <w:r>
        <w:rPr>
          <w:color w:val="231F20"/>
        </w:rPr>
        <w:t>partes</w:t>
      </w:r>
      <w:r>
        <w:rPr>
          <w:color w:val="231F20"/>
          <w:spacing w:val="-7"/>
        </w:rPr>
        <w:t> </w:t>
      </w:r>
      <w:r>
        <w:rPr>
          <w:color w:val="231F20"/>
        </w:rPr>
        <w:t>comunes</w:t>
      </w:r>
      <w:r>
        <w:rPr>
          <w:color w:val="231F20"/>
          <w:spacing w:val="-7"/>
        </w:rPr>
        <w:t> </w:t>
      </w:r>
      <w:r>
        <w:rPr>
          <w:color w:val="231F20"/>
        </w:rPr>
        <w:t>a</w:t>
      </w:r>
      <w:r>
        <w:rPr>
          <w:color w:val="231F20"/>
          <w:spacing w:val="-7"/>
        </w:rPr>
        <w:t> </w:t>
      </w:r>
      <w:r>
        <w:rPr>
          <w:color w:val="231F20"/>
        </w:rPr>
        <w:t>nume- rosos modelos, el perfeccionamiento e integración del proceso de diseño, el aumento de</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simplificación</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logística,</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ha</w:t>
      </w:r>
      <w:r>
        <w:rPr>
          <w:color w:val="231F20"/>
          <w:spacing w:val="-10"/>
        </w:rPr>
        <w:t> </w:t>
      </w:r>
      <w:r>
        <w:rPr>
          <w:color w:val="231F20"/>
        </w:rPr>
        <w:t>permitido</w:t>
      </w:r>
      <w:r>
        <w:rPr>
          <w:color w:val="231F20"/>
          <w:spacing w:val="-10"/>
        </w:rPr>
        <w:t> </w:t>
      </w:r>
      <w:r>
        <w:rPr>
          <w:color w:val="231F20"/>
        </w:rPr>
        <w:t>bajar</w:t>
      </w:r>
      <w:r>
        <w:rPr>
          <w:color w:val="231F20"/>
          <w:spacing w:val="-10"/>
        </w:rPr>
        <w:t> </w:t>
      </w:r>
      <w:r>
        <w:rPr>
          <w:color w:val="231F20"/>
        </w:rPr>
        <w:t>los</w:t>
      </w:r>
      <w:r>
        <w:rPr>
          <w:color w:val="231F20"/>
          <w:spacing w:val="-10"/>
        </w:rPr>
        <w:t> </w:t>
      </w:r>
      <w:r>
        <w:rPr>
          <w:color w:val="231F20"/>
        </w:rPr>
        <w:t>costos de sus vehículos un 16% a partir de 1997 y hacerse acreedor a premios por calidad, tiempo</w:t>
      </w:r>
      <w:r>
        <w:rPr>
          <w:color w:val="231F20"/>
          <w:spacing w:val="-9"/>
        </w:rPr>
        <w:t> </w:t>
      </w:r>
      <w:r>
        <w:rPr>
          <w:color w:val="231F20"/>
        </w:rPr>
        <w:t>de</w:t>
      </w:r>
      <w:r>
        <w:rPr>
          <w:color w:val="231F20"/>
          <w:spacing w:val="-9"/>
        </w:rPr>
        <w:t> </w:t>
      </w:r>
      <w:r>
        <w:rPr>
          <w:color w:val="231F20"/>
        </w:rPr>
        <w:t>entrega</w:t>
      </w:r>
      <w:r>
        <w:rPr>
          <w:color w:val="231F20"/>
          <w:spacing w:val="-9"/>
        </w:rPr>
        <w:t> </w:t>
      </w:r>
      <w:r>
        <w:rPr>
          <w:color w:val="231F20"/>
        </w:rPr>
        <w:t>e</w:t>
      </w:r>
      <w:r>
        <w:rPr>
          <w:color w:val="231F20"/>
          <w:spacing w:val="-9"/>
        </w:rPr>
        <w:t> </w:t>
      </w:r>
      <w:r>
        <w:rPr>
          <w:color w:val="231F20"/>
        </w:rPr>
        <w:t>iniciativas</w:t>
      </w:r>
      <w:r>
        <w:rPr>
          <w:color w:val="231F20"/>
          <w:spacing w:val="-9"/>
        </w:rPr>
        <w:t> </w:t>
      </w:r>
      <w:r>
        <w:rPr>
          <w:color w:val="231F20"/>
        </w:rPr>
        <w:t>de</w:t>
      </w:r>
      <w:r>
        <w:rPr>
          <w:color w:val="231F20"/>
          <w:spacing w:val="-9"/>
        </w:rPr>
        <w:t> </w:t>
      </w:r>
      <w:r>
        <w:rPr>
          <w:color w:val="231F20"/>
        </w:rPr>
        <w:t>apoyo</w:t>
      </w:r>
      <w:r>
        <w:rPr>
          <w:color w:val="231F20"/>
          <w:spacing w:val="-9"/>
        </w:rPr>
        <w:t> </w:t>
      </w:r>
      <w:r>
        <w:rPr>
          <w:color w:val="231F20"/>
        </w:rPr>
        <w:t>a</w:t>
      </w:r>
      <w:r>
        <w:rPr>
          <w:color w:val="231F20"/>
          <w:spacing w:val="-9"/>
        </w:rPr>
        <w:t> </w:t>
      </w:r>
      <w:r>
        <w:rPr>
          <w:color w:val="231F20"/>
        </w:rPr>
        <w:t>sus</w:t>
      </w:r>
      <w:r>
        <w:rPr>
          <w:color w:val="231F20"/>
          <w:spacing w:val="-9"/>
        </w:rPr>
        <w:t> </w:t>
      </w:r>
      <w:r>
        <w:rPr>
          <w:color w:val="231F20"/>
        </w:rPr>
        <w:t>proveedores.</w:t>
      </w:r>
    </w:p>
    <w:p>
      <w:pPr>
        <w:pStyle w:val="BodyText"/>
        <w:spacing w:line="273" w:lineRule="auto" w:before="1"/>
        <w:ind w:left="653" w:right="101" w:firstLine="396"/>
        <w:jc w:val="both"/>
      </w:pPr>
      <w:r>
        <w:rPr>
          <w:color w:val="231F20"/>
        </w:rPr>
        <w:t>Otra tendencia actual, cada vez más frecuente en la producción de vehículos a nivel</w:t>
      </w:r>
      <w:r>
        <w:rPr>
          <w:color w:val="231F20"/>
          <w:spacing w:val="-7"/>
        </w:rPr>
        <w:t> </w:t>
      </w:r>
      <w:r>
        <w:rPr>
          <w:color w:val="231F20"/>
        </w:rPr>
        <w:t>mundial,</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relaciona</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spacing w:val="-3"/>
        </w:rPr>
        <w:t>modular,</w:t>
      </w:r>
      <w:r>
        <w:rPr>
          <w:color w:val="231F20"/>
          <w:spacing w:val="-7"/>
        </w:rPr>
        <w:t> </w:t>
      </w:r>
      <w:r>
        <w:rPr>
          <w:color w:val="231F20"/>
        </w:rPr>
        <w:t>tiene</w:t>
      </w:r>
      <w:r>
        <w:rPr>
          <w:color w:val="231F20"/>
          <w:spacing w:val="-7"/>
        </w:rPr>
        <w:t> </w:t>
      </w:r>
      <w:r>
        <w:rPr>
          <w:color w:val="231F20"/>
        </w:rPr>
        <w:t>que</w:t>
      </w:r>
      <w:r>
        <w:rPr>
          <w:color w:val="231F20"/>
          <w:spacing w:val="-7"/>
        </w:rPr>
        <w:t> </w:t>
      </w:r>
      <w:r>
        <w:rPr>
          <w:color w:val="231F20"/>
        </w:rPr>
        <w:t>ver</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conso- lidación</w:t>
      </w:r>
      <w:r>
        <w:rPr>
          <w:color w:val="231F20"/>
          <w:spacing w:val="-8"/>
        </w:rPr>
        <w:t> </w:t>
      </w:r>
      <w:r>
        <w:rPr>
          <w:color w:val="231F20"/>
        </w:rPr>
        <w:t>de</w:t>
      </w:r>
      <w:r>
        <w:rPr>
          <w:color w:val="231F20"/>
          <w:spacing w:val="-8"/>
        </w:rPr>
        <w:t> </w:t>
      </w:r>
      <w:r>
        <w:rPr>
          <w:color w:val="231F20"/>
        </w:rPr>
        <w:t>grandes</w:t>
      </w:r>
      <w:r>
        <w:rPr>
          <w:color w:val="231F20"/>
          <w:spacing w:val="-8"/>
        </w:rPr>
        <w:t> </w:t>
      </w:r>
      <w:r>
        <w:rPr>
          <w:color w:val="231F20"/>
        </w:rPr>
        <w:t>plataformas</w:t>
      </w:r>
      <w:r>
        <w:rPr>
          <w:color w:val="231F20"/>
          <w:position w:val="7"/>
          <w:sz w:val="12"/>
        </w:rPr>
        <w:t>4</w:t>
      </w:r>
      <w:r>
        <w:rPr>
          <w:color w:val="231F20"/>
          <w:spacing w:val="14"/>
          <w:position w:val="7"/>
          <w:sz w:val="12"/>
        </w:rPr>
        <w:t> </w:t>
      </w:r>
      <w:r>
        <w:rPr>
          <w:color w:val="231F20"/>
        </w:rPr>
        <w:t>como</w:t>
      </w:r>
      <w:r>
        <w:rPr>
          <w:color w:val="231F20"/>
          <w:spacing w:val="-8"/>
        </w:rPr>
        <w:t> </w:t>
      </w:r>
      <w:r>
        <w:rPr>
          <w:color w:val="231F20"/>
        </w:rPr>
        <w:t>base</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vehí- culos.</w:t>
      </w:r>
      <w:r>
        <w:rPr>
          <w:color w:val="231F20"/>
          <w:spacing w:val="-6"/>
        </w:rPr>
        <w:t> </w:t>
      </w:r>
      <w:r>
        <w:rPr>
          <w:color w:val="231F20"/>
        </w:rPr>
        <w:t>Las</w:t>
      </w:r>
      <w:r>
        <w:rPr>
          <w:color w:val="231F20"/>
          <w:spacing w:val="-6"/>
        </w:rPr>
        <w:t> </w:t>
      </w:r>
      <w:r>
        <w:rPr>
          <w:color w:val="231F20"/>
        </w:rPr>
        <w:t>plataformas</w:t>
      </w:r>
      <w:r>
        <w:rPr>
          <w:color w:val="231F20"/>
          <w:spacing w:val="-6"/>
        </w:rPr>
        <w:t> </w:t>
      </w:r>
      <w:r>
        <w:rPr>
          <w:color w:val="231F20"/>
        </w:rPr>
        <w:t>tienen</w:t>
      </w:r>
      <w:r>
        <w:rPr>
          <w:color w:val="231F20"/>
          <w:spacing w:val="-6"/>
        </w:rPr>
        <w:t> </w:t>
      </w:r>
      <w:r>
        <w:rPr>
          <w:color w:val="231F20"/>
        </w:rPr>
        <w:t>la</w:t>
      </w:r>
      <w:r>
        <w:rPr>
          <w:color w:val="231F20"/>
          <w:spacing w:val="-6"/>
        </w:rPr>
        <w:t> </w:t>
      </w:r>
      <w:r>
        <w:rPr>
          <w:color w:val="231F20"/>
        </w:rPr>
        <w:t>capacidad</w:t>
      </w:r>
      <w:r>
        <w:rPr>
          <w:color w:val="231F20"/>
          <w:spacing w:val="-6"/>
        </w:rPr>
        <w:t> </w:t>
      </w:r>
      <w:r>
        <w:rPr>
          <w:color w:val="231F20"/>
        </w:rPr>
        <w:t>de</w:t>
      </w:r>
      <w:r>
        <w:rPr>
          <w:color w:val="231F20"/>
          <w:spacing w:val="-6"/>
        </w:rPr>
        <w:t> </w:t>
      </w:r>
      <w:r>
        <w:rPr>
          <w:color w:val="231F20"/>
          <w:spacing w:val="-3"/>
        </w:rPr>
        <w:t>diseñar,</w:t>
      </w:r>
      <w:r>
        <w:rPr>
          <w:color w:val="231F20"/>
          <w:spacing w:val="-6"/>
        </w:rPr>
        <w:t> </w:t>
      </w:r>
      <w:r>
        <w:rPr>
          <w:color w:val="231F20"/>
        </w:rPr>
        <w:t>desarrollar</w:t>
      </w:r>
      <w:r>
        <w:rPr>
          <w:color w:val="231F20"/>
          <w:spacing w:val="-6"/>
        </w:rPr>
        <w:t> </w:t>
      </w:r>
      <w:r>
        <w:rPr>
          <w:color w:val="231F20"/>
        </w:rPr>
        <w:t>y</w:t>
      </w:r>
      <w:r>
        <w:rPr>
          <w:color w:val="231F20"/>
          <w:spacing w:val="-6"/>
        </w:rPr>
        <w:t> </w:t>
      </w:r>
      <w:r>
        <w:rPr>
          <w:color w:val="231F20"/>
        </w:rPr>
        <w:t>construir</w:t>
      </w:r>
      <w:r>
        <w:rPr>
          <w:color w:val="231F20"/>
          <w:spacing w:val="-6"/>
        </w:rPr>
        <w:t> </w:t>
      </w:r>
      <w:r>
        <w:rPr>
          <w:color w:val="231F20"/>
        </w:rPr>
        <w:t>múltiples modelos usando un sistema de partes y módulos comunes que tienen componentes relacionados;</w:t>
      </w:r>
      <w:r>
        <w:rPr>
          <w:color w:val="231F20"/>
          <w:spacing w:val="-13"/>
        </w:rPr>
        <w:t> </w:t>
      </w:r>
      <w:r>
        <w:rPr>
          <w:color w:val="231F20"/>
        </w:rPr>
        <w:t>es</w:t>
      </w:r>
      <w:r>
        <w:rPr>
          <w:color w:val="231F20"/>
          <w:spacing w:val="-13"/>
        </w:rPr>
        <w:t> </w:t>
      </w:r>
      <w:r>
        <w:rPr>
          <w:color w:val="231F20"/>
          <w:spacing w:val="-3"/>
        </w:rPr>
        <w:t>decir,</w:t>
      </w:r>
      <w:r>
        <w:rPr>
          <w:color w:val="231F20"/>
          <w:spacing w:val="-13"/>
        </w:rPr>
        <w:t> </w:t>
      </w:r>
      <w:r>
        <w:rPr>
          <w:color w:val="231F20"/>
        </w:rPr>
        <w:t>se</w:t>
      </w:r>
      <w:r>
        <w:rPr>
          <w:color w:val="231F20"/>
          <w:spacing w:val="-13"/>
        </w:rPr>
        <w:t> </w:t>
      </w:r>
      <w:r>
        <w:rPr>
          <w:color w:val="231F20"/>
        </w:rPr>
        <w:t>consideran</w:t>
      </w:r>
      <w:r>
        <w:rPr>
          <w:color w:val="231F20"/>
          <w:spacing w:val="-13"/>
        </w:rPr>
        <w:t> </w:t>
      </w:r>
      <w:r>
        <w:rPr>
          <w:rFonts w:ascii="Palatino Linotype" w:hAnsi="Palatino Linotype"/>
          <w:i/>
          <w:color w:val="231F20"/>
        </w:rPr>
        <w:t>fixed</w:t>
      </w:r>
      <w:r>
        <w:rPr>
          <w:rFonts w:ascii="Palatino Linotype" w:hAnsi="Palatino Linotype"/>
          <w:i/>
          <w:color w:val="231F20"/>
          <w:spacing w:val="-13"/>
        </w:rPr>
        <w:t> </w:t>
      </w:r>
      <w:r>
        <w:rPr>
          <w:rFonts w:ascii="Palatino Linotype" w:hAnsi="Palatino Linotype"/>
          <w:i/>
          <w:color w:val="231F20"/>
        </w:rPr>
        <w:t>points</w:t>
      </w:r>
      <w:r>
        <w:rPr>
          <w:rFonts w:ascii="Palatino Linotype" w:hAnsi="Palatino Linotype"/>
          <w:i/>
          <w:color w:val="231F20"/>
          <w:spacing w:val="-13"/>
        </w:rPr>
        <w:t> </w:t>
      </w:r>
      <w:r>
        <w:rPr>
          <w:color w:val="231F20"/>
        </w:rPr>
        <w:t>(puntos</w:t>
      </w:r>
      <w:r>
        <w:rPr>
          <w:color w:val="231F20"/>
          <w:spacing w:val="-13"/>
        </w:rPr>
        <w:t> </w:t>
      </w:r>
      <w:r>
        <w:rPr>
          <w:color w:val="231F20"/>
        </w:rPr>
        <w:t>fijos)</w:t>
      </w:r>
      <w:r>
        <w:rPr>
          <w:color w:val="231F20"/>
          <w:spacing w:val="-13"/>
        </w:rPr>
        <w:t> </w:t>
      </w:r>
      <w:r>
        <w:rPr>
          <w:color w:val="231F20"/>
        </w:rPr>
        <w:t>o</w:t>
      </w:r>
      <w:r>
        <w:rPr>
          <w:color w:val="231F20"/>
          <w:spacing w:val="-13"/>
        </w:rPr>
        <w:t> </w:t>
      </w:r>
      <w:r>
        <w:rPr>
          <w:color w:val="231F20"/>
        </w:rPr>
        <w:t>sistemas</w:t>
      </w:r>
      <w:r>
        <w:rPr>
          <w:color w:val="231F20"/>
          <w:spacing w:val="-13"/>
        </w:rPr>
        <w:t> </w:t>
      </w:r>
      <w:r>
        <w:rPr>
          <w:color w:val="231F20"/>
        </w:rPr>
        <w:t>comunes</w:t>
      </w:r>
      <w:r>
        <w:rPr>
          <w:color w:val="231F20"/>
          <w:spacing w:val="-13"/>
        </w:rPr>
        <w:t> </w:t>
      </w:r>
      <w:r>
        <w:rPr>
          <w:color w:val="231F20"/>
        </w:rPr>
        <w:t>que</w:t>
      </w:r>
    </w:p>
    <w:p>
      <w:pPr>
        <w:pStyle w:val="BodyText"/>
        <w:spacing w:before="1"/>
        <w:rPr>
          <w:sz w:val="25"/>
        </w:rPr>
      </w:pPr>
      <w:r>
        <w:rPr/>
        <w:pict>
          <v:line style="position:absolute;mso-position-horizontal-relative:page;mso-position-vertical-relative:paragraph;z-index:6472;mso-wrap-distance-left:0;mso-wrap-distance-right:0" from="56.692902pt,16.652672pt" to="198.424902pt,16.652672pt" stroked="true" strokeweight=".5pt" strokecolor="#231f20">
            <w10:wrap type="topAndBottom"/>
          </v:line>
        </w:pict>
      </w:r>
    </w:p>
    <w:p>
      <w:pPr>
        <w:spacing w:line="288" w:lineRule="auto" w:before="43"/>
        <w:ind w:left="823" w:right="101" w:hanging="171"/>
        <w:jc w:val="both"/>
        <w:rPr>
          <w:sz w:val="16"/>
        </w:rPr>
      </w:pPr>
      <w:r>
        <w:rPr>
          <w:color w:val="231F20"/>
          <w:position w:val="5"/>
          <w:sz w:val="9"/>
        </w:rPr>
        <w:t>4</w:t>
      </w:r>
      <w:r>
        <w:rPr>
          <w:color w:val="231F20"/>
          <w:spacing w:val="14"/>
          <w:position w:val="5"/>
          <w:sz w:val="9"/>
        </w:rPr>
        <w:t> </w:t>
      </w:r>
      <w:r>
        <w:rPr>
          <w:color w:val="231F20"/>
          <w:spacing w:val="-3"/>
          <w:sz w:val="16"/>
        </w:rPr>
        <w:t>Una </w:t>
      </w:r>
      <w:r>
        <w:rPr>
          <w:color w:val="231F20"/>
          <w:sz w:val="16"/>
        </w:rPr>
        <w:t>plataforma es una base común para la fabricación de diferentes tipos de vehículos, cuyo perímetro común más</w:t>
      </w:r>
      <w:r>
        <w:rPr>
          <w:color w:val="231F20"/>
          <w:spacing w:val="-5"/>
          <w:sz w:val="16"/>
        </w:rPr>
        <w:t> </w:t>
      </w:r>
      <w:r>
        <w:rPr>
          <w:color w:val="231F20"/>
          <w:sz w:val="16"/>
        </w:rPr>
        <w:t>habitual</w:t>
      </w:r>
      <w:r>
        <w:rPr>
          <w:color w:val="231F20"/>
          <w:spacing w:val="-5"/>
          <w:sz w:val="16"/>
        </w:rPr>
        <w:t> </w:t>
      </w:r>
      <w:r>
        <w:rPr>
          <w:color w:val="231F20"/>
          <w:sz w:val="16"/>
        </w:rPr>
        <w:t>se</w:t>
      </w:r>
      <w:r>
        <w:rPr>
          <w:color w:val="231F20"/>
          <w:spacing w:val="-5"/>
          <w:sz w:val="16"/>
        </w:rPr>
        <w:t> </w:t>
      </w:r>
      <w:r>
        <w:rPr>
          <w:color w:val="231F20"/>
          <w:sz w:val="16"/>
        </w:rPr>
        <w:t>compone</w:t>
      </w:r>
      <w:r>
        <w:rPr>
          <w:color w:val="231F20"/>
          <w:spacing w:val="-5"/>
          <w:sz w:val="16"/>
        </w:rPr>
        <w:t> </w:t>
      </w:r>
      <w:r>
        <w:rPr>
          <w:color w:val="231F20"/>
          <w:sz w:val="16"/>
        </w:rPr>
        <w:t>del</w:t>
      </w:r>
      <w:r>
        <w:rPr>
          <w:color w:val="231F20"/>
          <w:spacing w:val="-5"/>
          <w:sz w:val="16"/>
        </w:rPr>
        <w:t> </w:t>
      </w:r>
      <w:r>
        <w:rPr>
          <w:color w:val="231F20"/>
          <w:sz w:val="16"/>
        </w:rPr>
        <w:t>grupo</w:t>
      </w:r>
      <w:r>
        <w:rPr>
          <w:color w:val="231F20"/>
          <w:spacing w:val="-5"/>
          <w:sz w:val="16"/>
        </w:rPr>
        <w:t> </w:t>
      </w:r>
      <w:r>
        <w:rPr>
          <w:color w:val="231F20"/>
          <w:sz w:val="16"/>
        </w:rPr>
        <w:t>motopropulsor,</w:t>
      </w:r>
      <w:r>
        <w:rPr>
          <w:color w:val="231F20"/>
          <w:spacing w:val="-5"/>
          <w:sz w:val="16"/>
        </w:rPr>
        <w:t> </w:t>
      </w:r>
      <w:r>
        <w:rPr>
          <w:color w:val="231F20"/>
          <w:sz w:val="16"/>
        </w:rPr>
        <w:t>de</w:t>
      </w:r>
      <w:r>
        <w:rPr>
          <w:color w:val="231F20"/>
          <w:spacing w:val="-5"/>
          <w:sz w:val="16"/>
        </w:rPr>
        <w:t> </w:t>
      </w:r>
      <w:r>
        <w:rPr>
          <w:color w:val="231F20"/>
          <w:sz w:val="16"/>
        </w:rPr>
        <w:t>la</w:t>
      </w:r>
      <w:r>
        <w:rPr>
          <w:color w:val="231F20"/>
          <w:spacing w:val="-5"/>
          <w:sz w:val="16"/>
        </w:rPr>
        <w:t> </w:t>
      </w:r>
      <w:r>
        <w:rPr>
          <w:color w:val="231F20"/>
          <w:sz w:val="16"/>
        </w:rPr>
        <w:t>plataforma</w:t>
      </w:r>
      <w:r>
        <w:rPr>
          <w:color w:val="231F20"/>
          <w:spacing w:val="-5"/>
          <w:sz w:val="16"/>
        </w:rPr>
        <w:t> </w:t>
      </w:r>
      <w:r>
        <w:rPr>
          <w:color w:val="231F20"/>
          <w:sz w:val="16"/>
        </w:rPr>
        <w:t>y</w:t>
      </w:r>
      <w:r>
        <w:rPr>
          <w:color w:val="231F20"/>
          <w:spacing w:val="-5"/>
          <w:sz w:val="16"/>
        </w:rPr>
        <w:t> </w:t>
      </w:r>
      <w:r>
        <w:rPr>
          <w:color w:val="231F20"/>
          <w:sz w:val="16"/>
        </w:rPr>
        <w:t>la</w:t>
      </w:r>
      <w:r>
        <w:rPr>
          <w:color w:val="231F20"/>
          <w:spacing w:val="-5"/>
          <w:sz w:val="16"/>
        </w:rPr>
        <w:t> </w:t>
      </w:r>
      <w:r>
        <w:rPr>
          <w:color w:val="231F20"/>
          <w:sz w:val="16"/>
        </w:rPr>
        <w:t>estructura</w:t>
      </w:r>
      <w:r>
        <w:rPr>
          <w:color w:val="231F20"/>
          <w:spacing w:val="-5"/>
          <w:sz w:val="16"/>
        </w:rPr>
        <w:t> </w:t>
      </w:r>
      <w:r>
        <w:rPr>
          <w:color w:val="231F20"/>
          <w:sz w:val="16"/>
        </w:rPr>
        <w:t>de</w:t>
      </w:r>
      <w:r>
        <w:rPr>
          <w:color w:val="231F20"/>
          <w:spacing w:val="-5"/>
          <w:sz w:val="16"/>
        </w:rPr>
        <w:t> </w:t>
      </w:r>
      <w:r>
        <w:rPr>
          <w:color w:val="231F20"/>
          <w:sz w:val="16"/>
        </w:rPr>
        <w:t>chapa,</w:t>
      </w:r>
      <w:r>
        <w:rPr>
          <w:color w:val="231F20"/>
          <w:spacing w:val="-5"/>
          <w:sz w:val="16"/>
        </w:rPr>
        <w:t> </w:t>
      </w:r>
      <w:r>
        <w:rPr>
          <w:color w:val="231F20"/>
          <w:sz w:val="16"/>
        </w:rPr>
        <w:t>las</w:t>
      </w:r>
      <w:r>
        <w:rPr>
          <w:color w:val="231F20"/>
          <w:spacing w:val="-5"/>
          <w:sz w:val="16"/>
        </w:rPr>
        <w:t> </w:t>
      </w:r>
      <w:r>
        <w:rPr>
          <w:color w:val="231F20"/>
          <w:sz w:val="16"/>
        </w:rPr>
        <w:t>armaduras</w:t>
      </w:r>
      <w:r>
        <w:rPr>
          <w:color w:val="231F20"/>
          <w:spacing w:val="-5"/>
          <w:sz w:val="16"/>
        </w:rPr>
        <w:t> </w:t>
      </w:r>
      <w:r>
        <w:rPr>
          <w:color w:val="231F20"/>
          <w:sz w:val="16"/>
        </w:rPr>
        <w:t>de asiento, la dirección (columna, armadura de volante, mecanismo de dirección), el grupo climatizador, la refri- geración</w:t>
      </w:r>
      <w:r>
        <w:rPr>
          <w:color w:val="231F20"/>
          <w:spacing w:val="-6"/>
          <w:sz w:val="16"/>
        </w:rPr>
        <w:t> </w:t>
      </w:r>
      <w:r>
        <w:rPr>
          <w:color w:val="231F20"/>
          <w:sz w:val="16"/>
        </w:rPr>
        <w:t>del</w:t>
      </w:r>
      <w:r>
        <w:rPr>
          <w:color w:val="231F20"/>
          <w:spacing w:val="-6"/>
          <w:sz w:val="16"/>
        </w:rPr>
        <w:t> </w:t>
      </w:r>
      <w:r>
        <w:rPr>
          <w:color w:val="231F20"/>
          <w:spacing w:val="-3"/>
          <w:sz w:val="16"/>
        </w:rPr>
        <w:t>motor,</w:t>
      </w:r>
      <w:r>
        <w:rPr>
          <w:color w:val="231F20"/>
          <w:spacing w:val="-6"/>
          <w:sz w:val="16"/>
        </w:rPr>
        <w:t> </w:t>
      </w:r>
      <w:r>
        <w:rPr>
          <w:color w:val="231F20"/>
          <w:sz w:val="16"/>
        </w:rPr>
        <w:t>los</w:t>
      </w:r>
      <w:r>
        <w:rPr>
          <w:color w:val="231F20"/>
          <w:spacing w:val="-6"/>
          <w:sz w:val="16"/>
        </w:rPr>
        <w:t> </w:t>
      </w:r>
      <w:r>
        <w:rPr>
          <w:color w:val="231F20"/>
          <w:sz w:val="16"/>
        </w:rPr>
        <w:t>sistemas</w:t>
      </w:r>
      <w:r>
        <w:rPr>
          <w:color w:val="231F20"/>
          <w:spacing w:val="-6"/>
          <w:sz w:val="16"/>
        </w:rPr>
        <w:t> </w:t>
      </w:r>
      <w:r>
        <w:rPr>
          <w:color w:val="231F20"/>
          <w:sz w:val="16"/>
        </w:rPr>
        <w:t>de</w:t>
      </w:r>
      <w:r>
        <w:rPr>
          <w:color w:val="231F20"/>
          <w:spacing w:val="-6"/>
          <w:sz w:val="16"/>
        </w:rPr>
        <w:t> </w:t>
      </w:r>
      <w:r>
        <w:rPr>
          <w:color w:val="231F20"/>
          <w:sz w:val="16"/>
        </w:rPr>
        <w:t>enlace</w:t>
      </w:r>
      <w:r>
        <w:rPr>
          <w:color w:val="231F20"/>
          <w:spacing w:val="-6"/>
          <w:sz w:val="16"/>
        </w:rPr>
        <w:t> </w:t>
      </w:r>
      <w:r>
        <w:rPr>
          <w:color w:val="231F20"/>
          <w:sz w:val="16"/>
        </w:rPr>
        <w:t>al</w:t>
      </w:r>
      <w:r>
        <w:rPr>
          <w:color w:val="231F20"/>
          <w:spacing w:val="-6"/>
          <w:sz w:val="16"/>
        </w:rPr>
        <w:t> </w:t>
      </w:r>
      <w:r>
        <w:rPr>
          <w:color w:val="231F20"/>
          <w:sz w:val="16"/>
        </w:rPr>
        <w:t>suelo</w:t>
      </w:r>
      <w:r>
        <w:rPr>
          <w:color w:val="231F20"/>
          <w:spacing w:val="-6"/>
          <w:sz w:val="16"/>
        </w:rPr>
        <w:t> </w:t>
      </w:r>
      <w:r>
        <w:rPr>
          <w:color w:val="231F20"/>
          <w:sz w:val="16"/>
        </w:rPr>
        <w:t>y</w:t>
      </w:r>
      <w:r>
        <w:rPr>
          <w:color w:val="231F20"/>
          <w:spacing w:val="-6"/>
          <w:sz w:val="16"/>
        </w:rPr>
        <w:t> </w:t>
      </w:r>
      <w:r>
        <w:rPr>
          <w:color w:val="231F20"/>
          <w:sz w:val="16"/>
        </w:rPr>
        <w:t>transmisión,</w:t>
      </w:r>
      <w:r>
        <w:rPr>
          <w:color w:val="231F20"/>
          <w:spacing w:val="-6"/>
          <w:sz w:val="16"/>
        </w:rPr>
        <w:t> </w:t>
      </w:r>
      <w:r>
        <w:rPr>
          <w:color w:val="231F20"/>
          <w:sz w:val="16"/>
        </w:rPr>
        <w:t>el</w:t>
      </w:r>
      <w:r>
        <w:rPr>
          <w:color w:val="231F20"/>
          <w:spacing w:val="-6"/>
          <w:sz w:val="16"/>
        </w:rPr>
        <w:t> </w:t>
      </w:r>
      <w:r>
        <w:rPr>
          <w:color w:val="231F20"/>
          <w:sz w:val="16"/>
        </w:rPr>
        <w:t>sistema</w:t>
      </w:r>
      <w:r>
        <w:rPr>
          <w:color w:val="231F20"/>
          <w:spacing w:val="-6"/>
          <w:sz w:val="16"/>
        </w:rPr>
        <w:t> </w:t>
      </w:r>
      <w:r>
        <w:rPr>
          <w:color w:val="231F20"/>
          <w:sz w:val="16"/>
        </w:rPr>
        <w:t>de</w:t>
      </w:r>
      <w:r>
        <w:rPr>
          <w:color w:val="231F20"/>
          <w:spacing w:val="-6"/>
          <w:sz w:val="16"/>
        </w:rPr>
        <w:t> </w:t>
      </w:r>
      <w:r>
        <w:rPr>
          <w:color w:val="231F20"/>
          <w:sz w:val="16"/>
        </w:rPr>
        <w:t>escape,</w:t>
      </w:r>
      <w:r>
        <w:rPr>
          <w:color w:val="231F20"/>
          <w:spacing w:val="-6"/>
          <w:sz w:val="16"/>
        </w:rPr>
        <w:t> </w:t>
      </w:r>
      <w:r>
        <w:rPr>
          <w:color w:val="231F20"/>
          <w:sz w:val="16"/>
        </w:rPr>
        <w:t>el</w:t>
      </w:r>
      <w:r>
        <w:rPr>
          <w:color w:val="231F20"/>
          <w:spacing w:val="-6"/>
          <w:sz w:val="16"/>
        </w:rPr>
        <w:t> </w:t>
      </w:r>
      <w:r>
        <w:rPr>
          <w:color w:val="231F20"/>
          <w:sz w:val="16"/>
        </w:rPr>
        <w:t>depósito</w:t>
      </w:r>
      <w:r>
        <w:rPr>
          <w:color w:val="231F20"/>
          <w:spacing w:val="-6"/>
          <w:sz w:val="16"/>
        </w:rPr>
        <w:t> </w:t>
      </w:r>
      <w:r>
        <w:rPr>
          <w:color w:val="231F20"/>
          <w:sz w:val="16"/>
        </w:rPr>
        <w:t>carburante</w:t>
      </w:r>
      <w:r>
        <w:rPr>
          <w:color w:val="231F20"/>
          <w:spacing w:val="-6"/>
          <w:sz w:val="16"/>
        </w:rPr>
        <w:t> </w:t>
      </w:r>
      <w:r>
        <w:rPr>
          <w:color w:val="231F20"/>
          <w:sz w:val="16"/>
        </w:rPr>
        <w:t>y la</w:t>
      </w:r>
      <w:r>
        <w:rPr>
          <w:color w:val="231F20"/>
          <w:spacing w:val="-14"/>
          <w:sz w:val="16"/>
        </w:rPr>
        <w:t> </w:t>
      </w:r>
      <w:r>
        <w:rPr>
          <w:color w:val="231F20"/>
          <w:sz w:val="16"/>
        </w:rPr>
        <w:t>arquitectura</w:t>
      </w:r>
      <w:r>
        <w:rPr>
          <w:color w:val="231F20"/>
          <w:spacing w:val="-14"/>
          <w:sz w:val="16"/>
        </w:rPr>
        <w:t> </w:t>
      </w:r>
      <w:r>
        <w:rPr>
          <w:color w:val="231F20"/>
          <w:sz w:val="16"/>
        </w:rPr>
        <w:t>eléctrica/electrónica</w:t>
      </w:r>
      <w:r>
        <w:rPr>
          <w:color w:val="231F20"/>
          <w:spacing w:val="-14"/>
          <w:sz w:val="16"/>
        </w:rPr>
        <w:t> </w:t>
      </w:r>
      <w:r>
        <w:rPr>
          <w:color w:val="231F20"/>
          <w:sz w:val="16"/>
        </w:rPr>
        <w:t>(Álvarez,</w:t>
      </w:r>
      <w:r>
        <w:rPr>
          <w:color w:val="231F20"/>
          <w:spacing w:val="-14"/>
          <w:sz w:val="16"/>
        </w:rPr>
        <w:t> </w:t>
      </w:r>
      <w:r>
        <w:rPr>
          <w:color w:val="231F20"/>
          <w:sz w:val="16"/>
        </w:rPr>
        <w:t>2002).</w:t>
      </w:r>
    </w:p>
    <w:p>
      <w:pPr>
        <w:spacing w:after="0" w:line="288" w:lineRule="auto"/>
        <w:jc w:val="both"/>
        <w:rPr>
          <w:sz w:val="16"/>
        </w:rPr>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03" w:right="651"/>
        <w:jc w:val="both"/>
      </w:pPr>
      <w:r>
        <w:rPr>
          <w:color w:val="231F20"/>
        </w:rPr>
        <w:t>permiten</w:t>
      </w:r>
      <w:r>
        <w:rPr>
          <w:color w:val="231F20"/>
          <w:spacing w:val="-7"/>
        </w:rPr>
        <w:t> </w:t>
      </w:r>
      <w:r>
        <w:rPr>
          <w:color w:val="231F20"/>
        </w:rPr>
        <w:t>que</w:t>
      </w:r>
      <w:r>
        <w:rPr>
          <w:color w:val="231F20"/>
          <w:spacing w:val="-7"/>
        </w:rPr>
        <w:t> </w:t>
      </w:r>
      <w:r>
        <w:rPr>
          <w:color w:val="231F20"/>
        </w:rPr>
        <w:t>diversos</w:t>
      </w:r>
      <w:r>
        <w:rPr>
          <w:color w:val="231F20"/>
          <w:spacing w:val="-7"/>
        </w:rPr>
        <w:t> </w:t>
      </w:r>
      <w:r>
        <w:rPr>
          <w:color w:val="231F20"/>
        </w:rPr>
        <w:t>vehículos</w:t>
      </w:r>
      <w:r>
        <w:rPr>
          <w:color w:val="231F20"/>
          <w:spacing w:val="-7"/>
        </w:rPr>
        <w:t> </w:t>
      </w:r>
      <w:r>
        <w:rPr>
          <w:color w:val="231F20"/>
        </w:rPr>
        <w:t>puedan</w:t>
      </w:r>
      <w:r>
        <w:rPr>
          <w:color w:val="231F20"/>
          <w:spacing w:val="-7"/>
        </w:rPr>
        <w:t> </w:t>
      </w:r>
      <w:r>
        <w:rPr>
          <w:color w:val="231F20"/>
        </w:rPr>
        <w:t>ser</w:t>
      </w:r>
      <w:r>
        <w:rPr>
          <w:color w:val="231F20"/>
          <w:spacing w:val="-7"/>
        </w:rPr>
        <w:t> </w:t>
      </w:r>
      <w:r>
        <w:rPr>
          <w:color w:val="231F20"/>
        </w:rPr>
        <w:t>construidos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misma</w:t>
      </w:r>
      <w:r>
        <w:rPr>
          <w:color w:val="231F20"/>
          <w:spacing w:val="-7"/>
        </w:rPr>
        <w:t> </w:t>
      </w:r>
      <w:r>
        <w:rPr>
          <w:color w:val="231F20"/>
        </w:rPr>
        <w:t>plataforma</w:t>
      </w:r>
      <w:r>
        <w:rPr>
          <w:color w:val="231F20"/>
          <w:spacing w:val="-7"/>
        </w:rPr>
        <w:t> </w:t>
      </w:r>
      <w:r>
        <w:rPr>
          <w:color w:val="231F20"/>
        </w:rPr>
        <w:t>de</w:t>
      </w:r>
      <w:r>
        <w:rPr>
          <w:color w:val="231F20"/>
          <w:spacing w:val="-7"/>
        </w:rPr>
        <w:t> </w:t>
      </w:r>
      <w:r>
        <w:rPr>
          <w:color w:val="231F20"/>
        </w:rPr>
        <w:t>fa- bricación.</w:t>
      </w:r>
      <w:r>
        <w:rPr>
          <w:color w:val="231F20"/>
          <w:spacing w:val="-14"/>
        </w:rPr>
        <w:t> </w:t>
      </w:r>
      <w:r>
        <w:rPr>
          <w:color w:val="231F20"/>
        </w:rPr>
        <w:t>Así,</w:t>
      </w:r>
      <w:r>
        <w:rPr>
          <w:color w:val="231F20"/>
          <w:spacing w:val="-14"/>
        </w:rPr>
        <w:t> </w:t>
      </w:r>
      <w:r>
        <w:rPr>
          <w:color w:val="231F20"/>
        </w:rPr>
        <w:t>las</w:t>
      </w:r>
      <w:r>
        <w:rPr>
          <w:color w:val="231F20"/>
          <w:spacing w:val="-14"/>
        </w:rPr>
        <w:t> </w:t>
      </w:r>
      <w:r>
        <w:rPr>
          <w:color w:val="231F20"/>
        </w:rPr>
        <w:t>fábricas</w:t>
      </w:r>
      <w:r>
        <w:rPr>
          <w:color w:val="231F20"/>
          <w:spacing w:val="-14"/>
        </w:rPr>
        <w:t> </w:t>
      </w:r>
      <w:r>
        <w:rPr>
          <w:color w:val="231F20"/>
        </w:rPr>
        <w:t>son</w:t>
      </w:r>
      <w:r>
        <w:rPr>
          <w:color w:val="231F20"/>
          <w:spacing w:val="-14"/>
        </w:rPr>
        <w:t> </w:t>
      </w:r>
      <w:r>
        <w:rPr>
          <w:color w:val="231F20"/>
        </w:rPr>
        <w:t>mucho</w:t>
      </w:r>
      <w:r>
        <w:rPr>
          <w:color w:val="231F20"/>
          <w:spacing w:val="-14"/>
        </w:rPr>
        <w:t> </w:t>
      </w:r>
      <w:r>
        <w:rPr>
          <w:color w:val="231F20"/>
        </w:rPr>
        <w:t>más</w:t>
      </w:r>
      <w:r>
        <w:rPr>
          <w:color w:val="231F20"/>
          <w:spacing w:val="-14"/>
        </w:rPr>
        <w:t> </w:t>
      </w:r>
      <w:r>
        <w:rPr>
          <w:color w:val="231F20"/>
        </w:rPr>
        <w:t>flexibles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producción</w:t>
      </w:r>
      <w:r>
        <w:rPr>
          <w:color w:val="231F20"/>
          <w:spacing w:val="-14"/>
        </w:rPr>
        <w:t> </w:t>
      </w:r>
      <w:r>
        <w:rPr>
          <w:color w:val="231F20"/>
        </w:rPr>
        <w:t>y</w:t>
      </w:r>
      <w:r>
        <w:rPr>
          <w:color w:val="231F20"/>
          <w:spacing w:val="-14"/>
        </w:rPr>
        <w:t> </w:t>
      </w:r>
      <w:r>
        <w:rPr>
          <w:color w:val="231F20"/>
        </w:rPr>
        <w:t>pueden</w:t>
      </w:r>
      <w:r>
        <w:rPr>
          <w:color w:val="231F20"/>
          <w:spacing w:val="-14"/>
        </w:rPr>
        <w:t> </w:t>
      </w:r>
      <w:r>
        <w:rPr>
          <w:color w:val="231F20"/>
        </w:rPr>
        <w:t>cambiar fácilmente</w:t>
      </w:r>
      <w:r>
        <w:rPr>
          <w:color w:val="231F20"/>
          <w:spacing w:val="-14"/>
        </w:rPr>
        <w:t> </w:t>
      </w:r>
      <w:r>
        <w:rPr>
          <w:color w:val="231F20"/>
        </w:rPr>
        <w:t>el</w:t>
      </w:r>
      <w:r>
        <w:rPr>
          <w:color w:val="231F20"/>
          <w:spacing w:val="-14"/>
        </w:rPr>
        <w:t> </w:t>
      </w:r>
      <w:r>
        <w:rPr>
          <w:color w:val="231F20"/>
        </w:rPr>
        <w:t>modelo,</w:t>
      </w:r>
      <w:r>
        <w:rPr>
          <w:color w:val="231F20"/>
          <w:spacing w:val="-14"/>
        </w:rPr>
        <w:t> </w:t>
      </w:r>
      <w:r>
        <w:rPr>
          <w:color w:val="231F20"/>
        </w:rPr>
        <w:t>dependiendo</w:t>
      </w:r>
      <w:r>
        <w:rPr>
          <w:color w:val="231F20"/>
          <w:spacing w:val="-14"/>
        </w:rPr>
        <w:t> </w:t>
      </w:r>
      <w:r>
        <w:rPr>
          <w:color w:val="231F20"/>
        </w:rPr>
        <w:t>de</w:t>
      </w:r>
      <w:r>
        <w:rPr>
          <w:color w:val="231F20"/>
          <w:spacing w:val="-14"/>
        </w:rPr>
        <w:t> </w:t>
      </w:r>
      <w:r>
        <w:rPr>
          <w:color w:val="231F20"/>
        </w:rPr>
        <w:t>las</w:t>
      </w:r>
      <w:r>
        <w:rPr>
          <w:color w:val="231F20"/>
          <w:spacing w:val="-14"/>
        </w:rPr>
        <w:t> </w:t>
      </w:r>
      <w:r>
        <w:rPr>
          <w:color w:val="231F20"/>
        </w:rPr>
        <w:t>condiciones</w:t>
      </w:r>
      <w:r>
        <w:rPr>
          <w:color w:val="231F20"/>
          <w:spacing w:val="-14"/>
        </w:rPr>
        <w:t> </w:t>
      </w:r>
      <w:r>
        <w:rPr>
          <w:color w:val="231F20"/>
        </w:rPr>
        <w:t>y</w:t>
      </w:r>
      <w:r>
        <w:rPr>
          <w:color w:val="231F20"/>
          <w:spacing w:val="-14"/>
        </w:rPr>
        <w:t> </w:t>
      </w:r>
      <w:r>
        <w:rPr>
          <w:color w:val="231F20"/>
        </w:rPr>
        <w:t>circunstancias</w:t>
      </w:r>
      <w:r>
        <w:rPr>
          <w:color w:val="231F20"/>
          <w:spacing w:val="-14"/>
        </w:rPr>
        <w:t> </w:t>
      </w:r>
      <w:r>
        <w:rPr>
          <w:color w:val="231F20"/>
        </w:rPr>
        <w:t>del</w:t>
      </w:r>
      <w:r>
        <w:rPr>
          <w:color w:val="231F20"/>
          <w:spacing w:val="-14"/>
        </w:rPr>
        <w:t> </w:t>
      </w:r>
      <w:r>
        <w:rPr>
          <w:color w:val="231F20"/>
        </w:rPr>
        <w:t>mercado,</w:t>
      </w:r>
      <w:r>
        <w:rPr>
          <w:color w:val="231F20"/>
          <w:spacing w:val="-14"/>
        </w:rPr>
        <w:t> </w:t>
      </w:r>
      <w:r>
        <w:rPr>
          <w:color w:val="231F20"/>
        </w:rPr>
        <w:t>de las</w:t>
      </w:r>
      <w:r>
        <w:rPr>
          <w:color w:val="231F20"/>
          <w:spacing w:val="-10"/>
        </w:rPr>
        <w:t> </w:t>
      </w:r>
      <w:r>
        <w:rPr>
          <w:color w:val="231F20"/>
        </w:rPr>
        <w:t>relaciones</w:t>
      </w:r>
      <w:r>
        <w:rPr>
          <w:color w:val="231F20"/>
          <w:spacing w:val="-10"/>
        </w:rPr>
        <w:t> </w:t>
      </w:r>
      <w:r>
        <w:rPr>
          <w:color w:val="231F20"/>
        </w:rPr>
        <w:t>laborales</w:t>
      </w:r>
      <w:r>
        <w:rPr>
          <w:color w:val="231F20"/>
          <w:spacing w:val="-10"/>
        </w:rPr>
        <w:t> </w:t>
      </w:r>
      <w:r>
        <w:rPr>
          <w:color w:val="231F20"/>
        </w:rPr>
        <w:t>o</w:t>
      </w:r>
      <w:r>
        <w:rPr>
          <w:color w:val="231F20"/>
          <w:spacing w:val="-10"/>
        </w:rPr>
        <w:t> </w:t>
      </w:r>
      <w:r>
        <w:rPr>
          <w:color w:val="231F20"/>
        </w:rPr>
        <w:t>de</w:t>
      </w:r>
      <w:r>
        <w:rPr>
          <w:color w:val="231F20"/>
          <w:spacing w:val="-10"/>
        </w:rPr>
        <w:t> </w:t>
      </w:r>
      <w:r>
        <w:rPr>
          <w:color w:val="231F20"/>
        </w:rPr>
        <w:t>un</w:t>
      </w:r>
      <w:r>
        <w:rPr>
          <w:color w:val="231F20"/>
          <w:spacing w:val="-10"/>
        </w:rPr>
        <w:t> </w:t>
      </w:r>
      <w:r>
        <w:rPr>
          <w:color w:val="231F20"/>
        </w:rPr>
        <w:t>cierto</w:t>
      </w:r>
      <w:r>
        <w:rPr>
          <w:color w:val="231F20"/>
          <w:spacing w:val="-10"/>
        </w:rPr>
        <w:t> </w:t>
      </w:r>
      <w:r>
        <w:rPr>
          <w:color w:val="231F20"/>
        </w:rPr>
        <w:t>objetivo</w:t>
      </w:r>
      <w:r>
        <w:rPr>
          <w:color w:val="231F20"/>
          <w:spacing w:val="-10"/>
        </w:rPr>
        <w:t> </w:t>
      </w:r>
      <w:r>
        <w:rPr>
          <w:color w:val="231F20"/>
        </w:rPr>
        <w:t>estratégico</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empresa.</w:t>
      </w:r>
    </w:p>
    <w:p>
      <w:pPr>
        <w:pStyle w:val="BodyText"/>
        <w:spacing w:line="278" w:lineRule="auto" w:before="1"/>
        <w:ind w:left="103" w:right="650" w:firstLine="396"/>
        <w:jc w:val="both"/>
      </w:pPr>
      <w:r>
        <w:rPr>
          <w:color w:val="231F20"/>
        </w:rPr>
        <w:t>Dado que los fabricantes de vehículos requieren a menudo más de una planta de ensamble</w:t>
      </w:r>
      <w:r>
        <w:rPr>
          <w:color w:val="231F20"/>
          <w:spacing w:val="-8"/>
        </w:rPr>
        <w:t> </w:t>
      </w:r>
      <w:r>
        <w:rPr>
          <w:color w:val="231F20"/>
        </w:rPr>
        <w:t>o</w:t>
      </w:r>
      <w:r>
        <w:rPr>
          <w:color w:val="231F20"/>
          <w:spacing w:val="-8"/>
        </w:rPr>
        <w:t> </w:t>
      </w:r>
      <w:r>
        <w:rPr>
          <w:color w:val="231F20"/>
        </w:rPr>
        <w:t>cadena</w:t>
      </w:r>
      <w:r>
        <w:rPr>
          <w:color w:val="231F20"/>
          <w:spacing w:val="-8"/>
        </w:rPr>
        <w:t> </w:t>
      </w:r>
      <w:r>
        <w:rPr>
          <w:color w:val="231F20"/>
        </w:rPr>
        <w:t>de</w:t>
      </w:r>
      <w:r>
        <w:rPr>
          <w:color w:val="231F20"/>
          <w:spacing w:val="-8"/>
        </w:rPr>
        <w:t> </w:t>
      </w:r>
      <w:r>
        <w:rPr>
          <w:color w:val="231F20"/>
        </w:rPr>
        <w:t>montaje</w:t>
      </w:r>
      <w:r>
        <w:rPr>
          <w:color w:val="231F20"/>
          <w:spacing w:val="-8"/>
        </w:rPr>
        <w:t> </w:t>
      </w:r>
      <w:r>
        <w:rPr>
          <w:color w:val="231F20"/>
        </w:rPr>
        <w:t>para</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de</w:t>
      </w:r>
      <w:r>
        <w:rPr>
          <w:color w:val="231F20"/>
          <w:spacing w:val="-8"/>
        </w:rPr>
        <w:t> </w:t>
      </w:r>
      <w:r>
        <w:rPr>
          <w:color w:val="231F20"/>
        </w:rPr>
        <w:t>todos</w:t>
      </w:r>
      <w:r>
        <w:rPr>
          <w:color w:val="231F20"/>
          <w:spacing w:val="-8"/>
        </w:rPr>
        <w:t> </w:t>
      </w:r>
      <w:r>
        <w:rPr>
          <w:color w:val="231F20"/>
        </w:rPr>
        <w:t>los</w:t>
      </w:r>
      <w:r>
        <w:rPr>
          <w:color w:val="231F20"/>
          <w:spacing w:val="-8"/>
        </w:rPr>
        <w:t> </w:t>
      </w:r>
      <w:r>
        <w:rPr>
          <w:color w:val="231F20"/>
        </w:rPr>
        <w:t>modelos</w:t>
      </w:r>
      <w:r>
        <w:rPr>
          <w:color w:val="231F20"/>
          <w:spacing w:val="-8"/>
        </w:rPr>
        <w:t> </w:t>
      </w:r>
      <w:r>
        <w:rPr>
          <w:color w:val="231F20"/>
        </w:rPr>
        <w:t>construidos</w:t>
      </w:r>
      <w:r>
        <w:rPr>
          <w:color w:val="231F20"/>
          <w:spacing w:val="-8"/>
        </w:rPr>
        <w:t> </w:t>
      </w:r>
      <w:r>
        <w:rPr>
          <w:color w:val="231F20"/>
        </w:rPr>
        <w:t>en la misma plataforma, puede suceder que empresas relacionadas se sitúen en diversos países.</w:t>
      </w:r>
      <w:r>
        <w:rPr>
          <w:color w:val="231F20"/>
          <w:spacing w:val="-9"/>
        </w:rPr>
        <w:t> </w:t>
      </w:r>
      <w:r>
        <w:rPr>
          <w:color w:val="231F20"/>
        </w:rPr>
        <w:t>Estas</w:t>
      </w:r>
      <w:r>
        <w:rPr>
          <w:color w:val="231F20"/>
          <w:spacing w:val="-9"/>
        </w:rPr>
        <w:t> </w:t>
      </w:r>
      <w:r>
        <w:rPr>
          <w:color w:val="231F20"/>
        </w:rPr>
        <w:t>plantas</w:t>
      </w:r>
      <w:r>
        <w:rPr>
          <w:color w:val="231F20"/>
          <w:spacing w:val="-9"/>
        </w:rPr>
        <w:t> </w:t>
      </w:r>
      <w:r>
        <w:rPr>
          <w:color w:val="231F20"/>
        </w:rPr>
        <w:t>relacionadas</w:t>
      </w:r>
      <w:r>
        <w:rPr>
          <w:color w:val="231F20"/>
          <w:spacing w:val="-9"/>
        </w:rPr>
        <w:t> </w:t>
      </w:r>
      <w:r>
        <w:rPr>
          <w:color w:val="231F20"/>
        </w:rPr>
        <w:t>comparten</w:t>
      </w:r>
      <w:r>
        <w:rPr>
          <w:color w:val="231F20"/>
          <w:spacing w:val="-9"/>
        </w:rPr>
        <w:t> </w:t>
      </w:r>
      <w:r>
        <w:rPr>
          <w:color w:val="231F20"/>
        </w:rPr>
        <w:t>disposiciones,</w:t>
      </w:r>
      <w:r>
        <w:rPr>
          <w:color w:val="231F20"/>
          <w:spacing w:val="-9"/>
        </w:rPr>
        <w:t> </w:t>
      </w:r>
      <w:r>
        <w:rPr>
          <w:color w:val="231F20"/>
        </w:rPr>
        <w:t>maquinaria,</w:t>
      </w:r>
      <w:r>
        <w:rPr>
          <w:color w:val="231F20"/>
          <w:spacing w:val="-9"/>
        </w:rPr>
        <w:t> </w:t>
      </w:r>
      <w:r>
        <w:rPr>
          <w:color w:val="231F20"/>
        </w:rPr>
        <w:t>equipo</w:t>
      </w:r>
      <w:r>
        <w:rPr>
          <w:color w:val="231F20"/>
          <w:spacing w:val="-9"/>
        </w:rPr>
        <w:t> </w:t>
      </w:r>
      <w:r>
        <w:rPr>
          <w:color w:val="231F20"/>
        </w:rPr>
        <w:t>básico similar y reciben entrega de componentes de un sistema común de surtidores, con lo que se dirige hacia la aplicación de instrumentos de controles estandarizados de la producción,</w:t>
      </w:r>
      <w:r>
        <w:rPr>
          <w:color w:val="231F20"/>
          <w:spacing w:val="-7"/>
        </w:rPr>
        <w:t> </w:t>
      </w:r>
      <w:r>
        <w:rPr>
          <w:color w:val="231F20"/>
        </w:rPr>
        <w:t>la</w:t>
      </w:r>
      <w:r>
        <w:rPr>
          <w:color w:val="231F20"/>
          <w:spacing w:val="-7"/>
        </w:rPr>
        <w:t> </w:t>
      </w:r>
      <w:r>
        <w:rPr>
          <w:color w:val="231F20"/>
        </w:rPr>
        <w:t>calidad</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procesos</w:t>
      </w:r>
      <w:r>
        <w:rPr>
          <w:color w:val="231F20"/>
          <w:spacing w:val="-7"/>
        </w:rPr>
        <w:t> </w:t>
      </w:r>
      <w:r>
        <w:rPr>
          <w:color w:val="231F20"/>
        </w:rPr>
        <w:t>de</w:t>
      </w:r>
      <w:r>
        <w:rPr>
          <w:color w:val="231F20"/>
          <w:spacing w:val="-7"/>
        </w:rPr>
        <w:t> </w:t>
      </w:r>
      <w:r>
        <w:rPr>
          <w:color w:val="231F20"/>
        </w:rPr>
        <w:t>trabajo,</w:t>
      </w:r>
      <w:r>
        <w:rPr>
          <w:color w:val="231F20"/>
          <w:spacing w:val="-7"/>
        </w:rPr>
        <w:t> </w:t>
      </w:r>
      <w:r>
        <w:rPr>
          <w:color w:val="231F20"/>
        </w:rPr>
        <w:t>ajustados</w:t>
      </w:r>
      <w:r>
        <w:rPr>
          <w:color w:val="231F20"/>
          <w:spacing w:val="-7"/>
        </w:rPr>
        <w:t> </w:t>
      </w:r>
      <w:r>
        <w:rPr>
          <w:color w:val="231F20"/>
        </w:rPr>
        <w:t>según</w:t>
      </w:r>
      <w:r>
        <w:rPr>
          <w:color w:val="231F20"/>
          <w:spacing w:val="-7"/>
        </w:rPr>
        <w:t> </w:t>
      </w:r>
      <w:r>
        <w:rPr>
          <w:color w:val="231F20"/>
        </w:rPr>
        <w:t>el</w:t>
      </w:r>
      <w:r>
        <w:rPr>
          <w:color w:val="231F20"/>
          <w:spacing w:val="-7"/>
        </w:rPr>
        <w:t> </w:t>
      </w:r>
      <w:r>
        <w:rPr>
          <w:color w:val="231F20"/>
        </w:rPr>
        <w:t>grado</w:t>
      </w:r>
      <w:r>
        <w:rPr>
          <w:color w:val="231F20"/>
          <w:spacing w:val="-7"/>
        </w:rPr>
        <w:t> </w:t>
      </w:r>
      <w:r>
        <w:rPr>
          <w:color w:val="231F20"/>
        </w:rPr>
        <w:t>de</w:t>
      </w:r>
      <w:r>
        <w:rPr>
          <w:color w:val="231F20"/>
          <w:spacing w:val="-7"/>
        </w:rPr>
        <w:t> </w:t>
      </w:r>
      <w:r>
        <w:rPr>
          <w:color w:val="231F20"/>
        </w:rPr>
        <w:t>automati- zación de cada</w:t>
      </w:r>
      <w:r>
        <w:rPr>
          <w:color w:val="231F20"/>
          <w:spacing w:val="-16"/>
        </w:rPr>
        <w:t> </w:t>
      </w:r>
      <w:r>
        <w:rPr>
          <w:color w:val="231F20"/>
        </w:rPr>
        <w:t>planta.</w:t>
      </w:r>
    </w:p>
    <w:p>
      <w:pPr>
        <w:pStyle w:val="BodyText"/>
        <w:spacing w:line="278" w:lineRule="auto" w:before="1"/>
        <w:ind w:left="103" w:right="651" w:firstLine="396"/>
        <w:jc w:val="both"/>
      </w:pPr>
      <w:r>
        <w:rPr>
          <w:color w:val="231F20"/>
        </w:rPr>
        <w:t>La</w:t>
      </w:r>
      <w:r>
        <w:rPr>
          <w:color w:val="231F20"/>
          <w:spacing w:val="-10"/>
        </w:rPr>
        <w:t> </w:t>
      </w:r>
      <w:r>
        <w:rPr>
          <w:color w:val="231F20"/>
        </w:rPr>
        <w:t>utilización</w:t>
      </w:r>
      <w:r>
        <w:rPr>
          <w:color w:val="231F20"/>
          <w:spacing w:val="-10"/>
        </w:rPr>
        <w:t> </w:t>
      </w:r>
      <w:r>
        <w:rPr>
          <w:color w:val="231F20"/>
        </w:rPr>
        <w:t>de</w:t>
      </w:r>
      <w:r>
        <w:rPr>
          <w:color w:val="231F20"/>
          <w:spacing w:val="-10"/>
        </w:rPr>
        <w:t> </w:t>
      </w:r>
      <w:r>
        <w:rPr>
          <w:color w:val="231F20"/>
        </w:rPr>
        <w:t>estas</w:t>
      </w:r>
      <w:r>
        <w:rPr>
          <w:color w:val="231F20"/>
          <w:spacing w:val="-10"/>
        </w:rPr>
        <w:t> </w:t>
      </w:r>
      <w:r>
        <w:rPr>
          <w:color w:val="231F20"/>
        </w:rPr>
        <w:t>estrategias</w:t>
      </w:r>
      <w:r>
        <w:rPr>
          <w:color w:val="231F20"/>
          <w:spacing w:val="-10"/>
        </w:rPr>
        <w:t> </w:t>
      </w:r>
      <w:r>
        <w:rPr>
          <w:color w:val="231F20"/>
        </w:rPr>
        <w:t>de</w:t>
      </w:r>
      <w:r>
        <w:rPr>
          <w:color w:val="231F20"/>
          <w:spacing w:val="-10"/>
        </w:rPr>
        <w:t> </w:t>
      </w:r>
      <w:r>
        <w:rPr>
          <w:color w:val="231F20"/>
        </w:rPr>
        <w:t>plataformas</w:t>
      </w:r>
      <w:r>
        <w:rPr>
          <w:color w:val="231F20"/>
          <w:spacing w:val="-10"/>
        </w:rPr>
        <w:t> </w:t>
      </w:r>
      <w:r>
        <w:rPr>
          <w:color w:val="231F20"/>
        </w:rPr>
        <w:t>tiene</w:t>
      </w:r>
      <w:r>
        <w:rPr>
          <w:color w:val="231F20"/>
          <w:spacing w:val="-10"/>
        </w:rPr>
        <w:t> </w:t>
      </w:r>
      <w:r>
        <w:rPr>
          <w:color w:val="231F20"/>
        </w:rPr>
        <w:t>como</w:t>
      </w:r>
      <w:r>
        <w:rPr>
          <w:color w:val="231F20"/>
          <w:spacing w:val="-10"/>
        </w:rPr>
        <w:t> </w:t>
      </w:r>
      <w:r>
        <w:rPr>
          <w:color w:val="231F20"/>
        </w:rPr>
        <w:t>finalidad</w:t>
      </w:r>
      <w:r>
        <w:rPr>
          <w:color w:val="231F20"/>
          <w:spacing w:val="-10"/>
        </w:rPr>
        <w:t> </w:t>
      </w:r>
      <w:r>
        <w:rPr>
          <w:color w:val="231F20"/>
        </w:rPr>
        <w:t>que</w:t>
      </w:r>
      <w:r>
        <w:rPr>
          <w:color w:val="231F20"/>
          <w:spacing w:val="-10"/>
        </w:rPr>
        <w:t> </w:t>
      </w:r>
      <w:r>
        <w:rPr>
          <w:color w:val="231F20"/>
        </w:rPr>
        <w:t>las</w:t>
      </w:r>
      <w:r>
        <w:rPr>
          <w:color w:val="231F20"/>
          <w:spacing w:val="-10"/>
        </w:rPr>
        <w:t> </w:t>
      </w:r>
      <w:r>
        <w:rPr>
          <w:color w:val="231F20"/>
        </w:rPr>
        <w:t>em- presas logren incrementar sus beneficios, a través del aumento de volúmenes de pro- ducción, alcanzando los máximos rendimientos de inversión e incrementando econo- mías</w:t>
      </w:r>
      <w:r>
        <w:rPr>
          <w:color w:val="231F20"/>
          <w:spacing w:val="-15"/>
        </w:rPr>
        <w:t> </w:t>
      </w:r>
      <w:r>
        <w:rPr>
          <w:color w:val="231F20"/>
        </w:rPr>
        <w:t>de</w:t>
      </w:r>
      <w:r>
        <w:rPr>
          <w:color w:val="231F20"/>
          <w:spacing w:val="-15"/>
        </w:rPr>
        <w:t> </w:t>
      </w:r>
      <w:r>
        <w:rPr>
          <w:color w:val="231F20"/>
        </w:rPr>
        <w:t>escala</w:t>
      </w:r>
      <w:r>
        <w:rPr>
          <w:color w:val="231F20"/>
          <w:spacing w:val="-15"/>
        </w:rPr>
        <w:t> </w:t>
      </w:r>
      <w:r>
        <w:rPr>
          <w:color w:val="231F20"/>
        </w:rPr>
        <w:t>y</w:t>
      </w:r>
      <w:r>
        <w:rPr>
          <w:color w:val="231F20"/>
          <w:spacing w:val="-15"/>
        </w:rPr>
        <w:t> </w:t>
      </w:r>
      <w:r>
        <w:rPr>
          <w:color w:val="231F20"/>
        </w:rPr>
        <w:t>la</w:t>
      </w:r>
      <w:r>
        <w:rPr>
          <w:color w:val="231F20"/>
          <w:spacing w:val="-15"/>
        </w:rPr>
        <w:t> </w:t>
      </w:r>
      <w:r>
        <w:rPr>
          <w:color w:val="231F20"/>
        </w:rPr>
        <w:t>flexibilidad</w:t>
      </w:r>
      <w:r>
        <w:rPr>
          <w:color w:val="231F20"/>
          <w:spacing w:val="-15"/>
        </w:rPr>
        <w:t> </w:t>
      </w:r>
      <w:r>
        <w:rPr>
          <w:color w:val="231F20"/>
        </w:rPr>
        <w:t>de</w:t>
      </w:r>
      <w:r>
        <w:rPr>
          <w:color w:val="231F20"/>
          <w:spacing w:val="-15"/>
        </w:rPr>
        <w:t> </w:t>
      </w:r>
      <w:r>
        <w:rPr>
          <w:color w:val="231F20"/>
        </w:rPr>
        <w:t>los</w:t>
      </w:r>
      <w:r>
        <w:rPr>
          <w:color w:val="231F20"/>
          <w:spacing w:val="-15"/>
        </w:rPr>
        <w:t> </w:t>
      </w:r>
      <w:r>
        <w:rPr>
          <w:color w:val="231F20"/>
        </w:rPr>
        <w:t>procesos.</w:t>
      </w:r>
    </w:p>
    <w:p>
      <w:pPr>
        <w:pStyle w:val="BodyText"/>
        <w:spacing w:before="8"/>
        <w:rPr>
          <w:sz w:val="17"/>
        </w:rPr>
      </w:pPr>
    </w:p>
    <w:p>
      <w:pPr>
        <w:pStyle w:val="Heading4"/>
        <w:numPr>
          <w:ilvl w:val="2"/>
          <w:numId w:val="12"/>
        </w:numPr>
        <w:tabs>
          <w:tab w:pos="625" w:val="left" w:leader="none"/>
        </w:tabs>
        <w:spacing w:line="240" w:lineRule="auto" w:before="0" w:after="0"/>
        <w:ind w:left="624" w:right="0" w:hanging="521"/>
        <w:jc w:val="both"/>
      </w:pPr>
      <w:r>
        <w:rPr>
          <w:color w:val="231F20"/>
          <w:spacing w:val="-3"/>
          <w:w w:val="95"/>
        </w:rPr>
        <w:t>Tendencias</w:t>
      </w:r>
      <w:r>
        <w:rPr>
          <w:color w:val="231F20"/>
          <w:spacing w:val="-29"/>
          <w:w w:val="95"/>
        </w:rPr>
        <w:t> </w:t>
      </w:r>
      <w:r>
        <w:rPr>
          <w:color w:val="231F20"/>
          <w:w w:val="95"/>
        </w:rPr>
        <w:t>y</w:t>
      </w:r>
      <w:r>
        <w:rPr>
          <w:color w:val="231F20"/>
          <w:spacing w:val="-29"/>
          <w:w w:val="95"/>
        </w:rPr>
        <w:t> </w:t>
      </w:r>
      <w:r>
        <w:rPr>
          <w:color w:val="231F20"/>
          <w:w w:val="95"/>
        </w:rPr>
        <w:t>estrategias</w:t>
      </w:r>
      <w:r>
        <w:rPr>
          <w:color w:val="231F20"/>
          <w:spacing w:val="-29"/>
          <w:w w:val="95"/>
        </w:rPr>
        <w:t> </w:t>
      </w:r>
      <w:r>
        <w:rPr>
          <w:color w:val="231F20"/>
          <w:w w:val="95"/>
        </w:rPr>
        <w:t>recientes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industria</w:t>
      </w:r>
      <w:r>
        <w:rPr>
          <w:color w:val="231F20"/>
          <w:spacing w:val="-29"/>
          <w:w w:val="95"/>
        </w:rPr>
        <w:t> </w:t>
      </w:r>
      <w:r>
        <w:rPr>
          <w:color w:val="231F20"/>
          <w:w w:val="95"/>
        </w:rPr>
        <w:t>automotriz</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mundo</w:t>
      </w:r>
    </w:p>
    <w:p>
      <w:pPr>
        <w:pStyle w:val="BodyText"/>
        <w:spacing w:line="278" w:lineRule="auto" w:before="134"/>
        <w:ind w:left="103" w:right="652"/>
        <w:jc w:val="both"/>
      </w:pPr>
      <w:r>
        <w:rPr>
          <w:color w:val="231F20"/>
        </w:rPr>
        <w:t>Los cambios en los sistemas de producción relacionados con adelantos tecnológicos, que se mencionaron en el apartado </w:t>
      </w:r>
      <w:r>
        <w:rPr>
          <w:color w:val="231F20"/>
          <w:spacing w:val="-3"/>
        </w:rPr>
        <w:t>anterior, </w:t>
      </w:r>
      <w:r>
        <w:rPr>
          <w:color w:val="231F20"/>
        </w:rPr>
        <w:t>dejan ver que desde sus inicios el sector automotriz</w:t>
      </w:r>
      <w:r>
        <w:rPr>
          <w:color w:val="231F20"/>
          <w:spacing w:val="-12"/>
        </w:rPr>
        <w:t> </w:t>
      </w:r>
      <w:r>
        <w:rPr>
          <w:color w:val="231F20"/>
        </w:rPr>
        <w:t>ha</w:t>
      </w:r>
      <w:r>
        <w:rPr>
          <w:color w:val="231F20"/>
          <w:spacing w:val="-12"/>
        </w:rPr>
        <w:t> </w:t>
      </w:r>
      <w:r>
        <w:rPr>
          <w:color w:val="231F20"/>
        </w:rPr>
        <w:t>sido</w:t>
      </w:r>
      <w:r>
        <w:rPr>
          <w:color w:val="231F20"/>
          <w:spacing w:val="-12"/>
        </w:rPr>
        <w:t> </w:t>
      </w:r>
      <w:r>
        <w:rPr>
          <w:color w:val="231F20"/>
        </w:rPr>
        <w:t>uno</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más</w:t>
      </w:r>
      <w:r>
        <w:rPr>
          <w:color w:val="231F20"/>
          <w:spacing w:val="-12"/>
        </w:rPr>
        <w:t> </w:t>
      </w:r>
      <w:r>
        <w:rPr>
          <w:color w:val="231F20"/>
        </w:rPr>
        <w:t>dinámicos;</w:t>
      </w:r>
      <w:r>
        <w:rPr>
          <w:color w:val="231F20"/>
          <w:spacing w:val="-12"/>
        </w:rPr>
        <w:t> </w:t>
      </w:r>
      <w:r>
        <w:rPr>
          <w:color w:val="231F20"/>
        </w:rPr>
        <w:t>no</w:t>
      </w:r>
      <w:r>
        <w:rPr>
          <w:color w:val="231F20"/>
          <w:spacing w:val="-12"/>
        </w:rPr>
        <w:t> </w:t>
      </w:r>
      <w:r>
        <w:rPr>
          <w:color w:val="231F20"/>
        </w:rPr>
        <w:t>obstante,</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últimos</w:t>
      </w:r>
      <w:r>
        <w:rPr>
          <w:color w:val="231F20"/>
          <w:spacing w:val="-12"/>
        </w:rPr>
        <w:t> </w:t>
      </w:r>
      <w:r>
        <w:rPr>
          <w:color w:val="231F20"/>
        </w:rPr>
        <w:t>años</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ca- racterizado por una profunda transformación que lo ha llevado a una dinámica de alta competitividad, cuya característica principal es que las grandes compañías ensambla- doras aportan cada vez menor proporción de valor agregado al proceso de fabricación de</w:t>
      </w:r>
      <w:r>
        <w:rPr>
          <w:color w:val="231F20"/>
          <w:spacing w:val="-3"/>
        </w:rPr>
        <w:t> </w:t>
      </w:r>
      <w:r>
        <w:rPr>
          <w:color w:val="231F20"/>
        </w:rPr>
        <w:t>vehículos</w:t>
      </w:r>
      <w:r>
        <w:rPr>
          <w:color w:val="231F20"/>
          <w:spacing w:val="-3"/>
        </w:rPr>
        <w:t> </w:t>
      </w:r>
      <w:r>
        <w:rPr>
          <w:color w:val="231F20"/>
        </w:rPr>
        <w:t>automotores,</w:t>
      </w:r>
      <w:r>
        <w:rPr>
          <w:color w:val="231F20"/>
          <w:spacing w:val="-3"/>
        </w:rPr>
        <w:t> </w:t>
      </w:r>
      <w:r>
        <w:rPr>
          <w:color w:val="231F20"/>
        </w:rPr>
        <w:t>y</w:t>
      </w:r>
      <w:r>
        <w:rPr>
          <w:color w:val="231F20"/>
          <w:spacing w:val="-3"/>
        </w:rPr>
        <w:t> </w:t>
      </w:r>
      <w:r>
        <w:rPr>
          <w:color w:val="231F20"/>
        </w:rPr>
        <w:t>cada</w:t>
      </w:r>
      <w:r>
        <w:rPr>
          <w:color w:val="231F20"/>
          <w:spacing w:val="-3"/>
        </w:rPr>
        <w:t> </w:t>
      </w:r>
      <w:r>
        <w:rPr>
          <w:color w:val="231F20"/>
        </w:rPr>
        <w:t>vez</w:t>
      </w:r>
      <w:r>
        <w:rPr>
          <w:color w:val="231F20"/>
          <w:spacing w:val="-3"/>
        </w:rPr>
        <w:t> </w:t>
      </w:r>
      <w:r>
        <w:rPr>
          <w:color w:val="231F20"/>
        </w:rPr>
        <w:t>más</w:t>
      </w:r>
      <w:r>
        <w:rPr>
          <w:color w:val="231F20"/>
          <w:spacing w:val="-3"/>
        </w:rPr>
        <w:t> </w:t>
      </w:r>
      <w:r>
        <w:rPr>
          <w:color w:val="231F20"/>
        </w:rPr>
        <w:t>se</w:t>
      </w:r>
      <w:r>
        <w:rPr>
          <w:color w:val="231F20"/>
          <w:spacing w:val="-3"/>
        </w:rPr>
        <w:t> </w:t>
      </w:r>
      <w:r>
        <w:rPr>
          <w:color w:val="231F20"/>
        </w:rPr>
        <w:t>comparte</w:t>
      </w:r>
      <w:r>
        <w:rPr>
          <w:color w:val="231F20"/>
          <w:spacing w:val="-3"/>
        </w:rPr>
        <w:t> </w:t>
      </w:r>
      <w:r>
        <w:rPr>
          <w:color w:val="231F20"/>
        </w:rPr>
        <w:t>la</w:t>
      </w:r>
      <w:r>
        <w:rPr>
          <w:color w:val="231F20"/>
          <w:spacing w:val="-3"/>
        </w:rPr>
        <w:t> </w:t>
      </w:r>
      <w:r>
        <w:rPr>
          <w:color w:val="231F20"/>
        </w:rPr>
        <w:t>responsabilidad</w:t>
      </w:r>
      <w:r>
        <w:rPr>
          <w:color w:val="231F20"/>
          <w:spacing w:val="-3"/>
        </w:rPr>
        <w:t> </w:t>
      </w:r>
      <w:r>
        <w:rPr>
          <w:color w:val="231F20"/>
        </w:rPr>
        <w:t>en</w:t>
      </w:r>
      <w:r>
        <w:rPr>
          <w:color w:val="231F20"/>
          <w:spacing w:val="-3"/>
        </w:rPr>
        <w:t> </w:t>
      </w:r>
      <w:r>
        <w:rPr>
          <w:color w:val="231F20"/>
        </w:rPr>
        <w:t>todos</w:t>
      </w:r>
      <w:r>
        <w:rPr>
          <w:color w:val="231F20"/>
          <w:spacing w:val="-3"/>
        </w:rPr>
        <w:t> </w:t>
      </w:r>
      <w:r>
        <w:rPr>
          <w:color w:val="231F20"/>
        </w:rPr>
        <w:t>los sentidos con los proveedores; por ejemplo, mientras en 1995 contribuían con 40%, en la</w:t>
      </w:r>
      <w:r>
        <w:rPr>
          <w:color w:val="231F20"/>
          <w:spacing w:val="-12"/>
        </w:rPr>
        <w:t> </w:t>
      </w:r>
      <w:r>
        <w:rPr>
          <w:color w:val="231F20"/>
        </w:rPr>
        <w:t>actualidad</w:t>
      </w:r>
      <w:r>
        <w:rPr>
          <w:color w:val="231F20"/>
          <w:spacing w:val="-12"/>
        </w:rPr>
        <w:t> </w:t>
      </w:r>
      <w:r>
        <w:rPr>
          <w:color w:val="231F20"/>
        </w:rPr>
        <w:t>lo</w:t>
      </w:r>
      <w:r>
        <w:rPr>
          <w:color w:val="231F20"/>
          <w:spacing w:val="-12"/>
        </w:rPr>
        <w:t> </w:t>
      </w:r>
      <w:r>
        <w:rPr>
          <w:color w:val="231F20"/>
        </w:rPr>
        <w:t>hacen</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25%</w:t>
      </w:r>
      <w:r>
        <w:rPr>
          <w:color w:val="231F20"/>
          <w:spacing w:val="-12"/>
        </w:rPr>
        <w:t> </w:t>
      </w:r>
      <w:r>
        <w:rPr>
          <w:color w:val="231F20"/>
        </w:rPr>
        <w:t>(Sachon</w:t>
      </w:r>
      <w:r>
        <w:rPr>
          <w:color w:val="231F20"/>
          <w:spacing w:val="-12"/>
        </w:rPr>
        <w:t> </w:t>
      </w:r>
      <w:r>
        <w:rPr>
          <w:color w:val="231F20"/>
        </w:rPr>
        <w:t>y</w:t>
      </w:r>
      <w:r>
        <w:rPr>
          <w:color w:val="231F20"/>
          <w:spacing w:val="-12"/>
        </w:rPr>
        <w:t> </w:t>
      </w:r>
      <w:r>
        <w:rPr>
          <w:color w:val="231F20"/>
        </w:rPr>
        <w:t>Albiñana,</w:t>
      </w:r>
      <w:r>
        <w:rPr>
          <w:color w:val="231F20"/>
          <w:spacing w:val="-12"/>
        </w:rPr>
        <w:t> </w:t>
      </w:r>
      <w:r>
        <w:rPr>
          <w:color w:val="231F20"/>
        </w:rPr>
        <w:t>2004).</w:t>
      </w:r>
    </w:p>
    <w:p>
      <w:pPr>
        <w:pStyle w:val="BodyText"/>
        <w:spacing w:line="273" w:lineRule="auto" w:before="1"/>
        <w:ind w:left="103" w:right="650" w:firstLine="396"/>
        <w:jc w:val="both"/>
      </w:pPr>
      <w:r>
        <w:rPr>
          <w:color w:val="231F20"/>
        </w:rPr>
        <w:t>Además, el desarrollo de la tecnología en general ha propiciado que los auto- móviles se hayan vuelto cada vez más dependientes de lo electrónico y menos de lo mecánico. Actualmente, un vehículo tiene el doble de funciones electrónicas que uno fabricado hace diez años; esta característica contribuye con 40% del costo total de la unidad</w:t>
      </w:r>
      <w:r>
        <w:rPr>
          <w:color w:val="231F20"/>
          <w:spacing w:val="-5"/>
        </w:rPr>
        <w:t> </w:t>
      </w:r>
      <w:r>
        <w:rPr>
          <w:color w:val="231F20"/>
        </w:rPr>
        <w:t>e</w:t>
      </w:r>
      <w:r>
        <w:rPr>
          <w:color w:val="231F20"/>
          <w:spacing w:val="-5"/>
        </w:rPr>
        <w:t> </w:t>
      </w:r>
      <w:r>
        <w:rPr>
          <w:color w:val="231F20"/>
        </w:rPr>
        <w:t>involucra</w:t>
      </w:r>
      <w:r>
        <w:rPr>
          <w:color w:val="231F20"/>
          <w:spacing w:val="-5"/>
        </w:rPr>
        <w:t> </w:t>
      </w:r>
      <w:r>
        <w:rPr>
          <w:color w:val="231F20"/>
        </w:rPr>
        <w:t>sistemas</w:t>
      </w:r>
      <w:r>
        <w:rPr>
          <w:color w:val="231F20"/>
          <w:spacing w:val="-5"/>
        </w:rPr>
        <w:t> </w:t>
      </w:r>
      <w:r>
        <w:rPr>
          <w:color w:val="231F20"/>
        </w:rPr>
        <w:t>eléctricos</w:t>
      </w:r>
      <w:r>
        <w:rPr>
          <w:color w:val="231F20"/>
          <w:spacing w:val="-5"/>
        </w:rPr>
        <w:t> </w:t>
      </w:r>
      <w:r>
        <w:rPr>
          <w:color w:val="231F20"/>
        </w:rPr>
        <w:t>y</w:t>
      </w:r>
      <w:r>
        <w:rPr>
          <w:color w:val="231F20"/>
          <w:spacing w:val="-5"/>
        </w:rPr>
        <w:t> </w:t>
      </w:r>
      <w:r>
        <w:rPr>
          <w:color w:val="231F20"/>
        </w:rPr>
        <w:t>diseño</w:t>
      </w:r>
      <w:r>
        <w:rPr>
          <w:color w:val="231F20"/>
          <w:spacing w:val="-5"/>
        </w:rPr>
        <w:t> </w:t>
      </w:r>
      <w:r>
        <w:rPr>
          <w:color w:val="231F20"/>
        </w:rPr>
        <w:t>de</w:t>
      </w:r>
      <w:r>
        <w:rPr>
          <w:color w:val="231F20"/>
          <w:spacing w:val="-5"/>
        </w:rPr>
        <w:t> </w:t>
      </w:r>
      <w:r>
        <w:rPr>
          <w:rFonts w:ascii="Palatino Linotype" w:hAnsi="Palatino Linotype"/>
          <w:i/>
          <w:color w:val="231F20"/>
        </w:rPr>
        <w:t>software</w:t>
      </w:r>
      <w:r>
        <w:rPr>
          <w:rFonts w:ascii="Palatino Linotype" w:hAnsi="Palatino Linotype"/>
          <w:i/>
          <w:color w:val="231F20"/>
          <w:spacing w:val="-6"/>
        </w:rPr>
        <w:t> </w:t>
      </w:r>
      <w:r>
        <w:rPr>
          <w:color w:val="231F20"/>
        </w:rPr>
        <w:t>(Santarini,</w:t>
      </w:r>
      <w:r>
        <w:rPr>
          <w:color w:val="231F20"/>
          <w:spacing w:val="-5"/>
        </w:rPr>
        <w:t> </w:t>
      </w:r>
      <w:r>
        <w:rPr>
          <w:color w:val="231F20"/>
        </w:rPr>
        <w:t>2006).</w:t>
      </w:r>
      <w:r>
        <w:rPr>
          <w:color w:val="231F20"/>
          <w:spacing w:val="-5"/>
        </w:rPr>
        <w:t> </w:t>
      </w:r>
      <w:r>
        <w:rPr>
          <w:color w:val="231F20"/>
        </w:rPr>
        <w:t>Así,</w:t>
      </w:r>
      <w:r>
        <w:rPr>
          <w:color w:val="231F20"/>
          <w:spacing w:val="-5"/>
        </w:rPr>
        <w:t> </w:t>
      </w:r>
      <w:r>
        <w:rPr>
          <w:color w:val="231F20"/>
        </w:rPr>
        <w:t>una multitud de sistemas eléctricos, sensores electrónicos y dispositivos que los activan han </w:t>
      </w:r>
      <w:r>
        <w:rPr>
          <w:color w:val="231F20"/>
          <w:spacing w:val="-3"/>
        </w:rPr>
        <w:t>“tomado” </w:t>
      </w:r>
      <w:r>
        <w:rPr>
          <w:color w:val="231F20"/>
        </w:rPr>
        <w:t>el control y el monitoreo del funcionamiento del vehículo; además, los sistemas electrónicos permiten resolver problemas y diagnosticar su operación, con- trolan el sistema de navegación y proporcionan unidades de entretenimiento </w:t>
      </w:r>
      <w:r>
        <w:rPr>
          <w:color w:val="231F20"/>
          <w:spacing w:val="-3"/>
        </w:rPr>
        <w:t>(Veloso </w:t>
      </w:r>
      <w:r>
        <w:rPr>
          <w:color w:val="231F20"/>
        </w:rPr>
        <w:t>y </w:t>
      </w:r>
      <w:r>
        <w:rPr>
          <w:color w:val="231F20"/>
          <w:spacing w:val="-4"/>
        </w:rPr>
        <w:t>Kumar,</w:t>
      </w:r>
      <w:r>
        <w:rPr>
          <w:color w:val="231F20"/>
          <w:spacing w:val="-19"/>
        </w:rPr>
        <w:t> </w:t>
      </w:r>
      <w:r>
        <w:rPr>
          <w:color w:val="231F20"/>
        </w:rPr>
        <w:t>2002).</w:t>
      </w:r>
    </w:p>
    <w:p>
      <w:pPr>
        <w:spacing w:after="0" w:line="273"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99" w:firstLine="396"/>
        <w:jc w:val="both"/>
      </w:pPr>
      <w:r>
        <w:rPr>
          <w:color w:val="231F20"/>
        </w:rPr>
        <w:t>Una de las principales áreas en las que se han concentrado las grandes ensam- bladoras tiene que ver con los sistemas de fabricación de automóviles, los </w:t>
      </w:r>
      <w:r>
        <w:rPr>
          <w:color w:val="231F20"/>
          <w:spacing w:val="2"/>
        </w:rPr>
        <w:t>cuales </w:t>
      </w:r>
      <w:r>
        <w:rPr>
          <w:color w:val="231F20"/>
        </w:rPr>
        <w:t>han tenido que cambiar vertiginosamente durante los últimos años a fin de </w:t>
      </w:r>
      <w:r>
        <w:rPr>
          <w:color w:val="231F20"/>
          <w:spacing w:val="2"/>
        </w:rPr>
        <w:t>poder </w:t>
      </w:r>
      <w:r>
        <w:rPr>
          <w:color w:val="231F20"/>
        </w:rPr>
        <w:t>aten-  der las necesidades y los requerimientos de los mercados. </w:t>
      </w:r>
      <w:r>
        <w:rPr>
          <w:color w:val="231F20"/>
          <w:spacing w:val="2"/>
        </w:rPr>
        <w:t>Se </w:t>
      </w:r>
      <w:r>
        <w:rPr>
          <w:color w:val="231F20"/>
        </w:rPr>
        <w:t>han conjugado factores como</w:t>
      </w:r>
      <w:r>
        <w:rPr>
          <w:color w:val="231F20"/>
          <w:spacing w:val="-4"/>
        </w:rPr>
        <w:t> </w:t>
      </w:r>
      <w:r>
        <w:rPr>
          <w:color w:val="231F20"/>
        </w:rPr>
        <w:t>las</w:t>
      </w:r>
      <w:r>
        <w:rPr>
          <w:color w:val="231F20"/>
          <w:spacing w:val="-4"/>
        </w:rPr>
        <w:t> </w:t>
      </w:r>
      <w:r>
        <w:rPr>
          <w:color w:val="231F20"/>
        </w:rPr>
        <w:t>preferencias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consumidores,</w:t>
      </w:r>
      <w:r>
        <w:rPr>
          <w:color w:val="231F20"/>
          <w:spacing w:val="-4"/>
        </w:rPr>
        <w:t> </w:t>
      </w:r>
      <w:r>
        <w:rPr>
          <w:color w:val="231F20"/>
        </w:rPr>
        <w:t>la</w:t>
      </w:r>
      <w:r>
        <w:rPr>
          <w:color w:val="231F20"/>
          <w:spacing w:val="-4"/>
        </w:rPr>
        <w:t> </w:t>
      </w:r>
      <w:r>
        <w:rPr>
          <w:color w:val="231F20"/>
        </w:rPr>
        <w:t>rivalidad,</w:t>
      </w:r>
      <w:r>
        <w:rPr>
          <w:color w:val="231F20"/>
          <w:spacing w:val="-4"/>
        </w:rPr>
        <w:t> </w:t>
      </w:r>
      <w:r>
        <w:rPr>
          <w:color w:val="231F20"/>
        </w:rPr>
        <w:t>los</w:t>
      </w:r>
      <w:r>
        <w:rPr>
          <w:color w:val="231F20"/>
          <w:spacing w:val="-4"/>
        </w:rPr>
        <w:t> </w:t>
      </w:r>
      <w:r>
        <w:rPr>
          <w:color w:val="231F20"/>
        </w:rPr>
        <w:t>niveles</w:t>
      </w:r>
      <w:r>
        <w:rPr>
          <w:color w:val="231F20"/>
          <w:spacing w:val="-4"/>
        </w:rPr>
        <w:t> </w:t>
      </w:r>
      <w:r>
        <w:rPr>
          <w:color w:val="231F20"/>
        </w:rPr>
        <w:t>de</w:t>
      </w:r>
      <w:r>
        <w:rPr>
          <w:color w:val="231F20"/>
          <w:spacing w:val="-4"/>
        </w:rPr>
        <w:t> </w:t>
      </w:r>
      <w:r>
        <w:rPr>
          <w:color w:val="231F20"/>
        </w:rPr>
        <w:t>competitividad y las estrategias de las compañías automotrices en términos de investigación, diseño  e innovación, así como las estrategias gubernamentales respecto al comercio exterior, la seguridad y el marco jurídico del medio </w:t>
      </w:r>
      <w:r>
        <w:rPr>
          <w:color w:val="231F20"/>
          <w:spacing w:val="11"/>
        </w:rPr>
        <w:t> </w:t>
      </w:r>
      <w:r>
        <w:rPr>
          <w:color w:val="231F20"/>
        </w:rPr>
        <w:t>ambiente.</w:t>
      </w:r>
    </w:p>
    <w:p>
      <w:pPr>
        <w:pStyle w:val="BodyText"/>
        <w:spacing w:line="271" w:lineRule="auto" w:before="1"/>
        <w:ind w:left="653" w:right="99" w:firstLine="396"/>
        <w:jc w:val="both"/>
      </w:pPr>
      <w:r>
        <w:rPr>
          <w:color w:val="231F20"/>
        </w:rPr>
        <w:t>En relación con las preferencias de los consumidores, Veloso y Kumar </w:t>
      </w:r>
      <w:r>
        <w:rPr>
          <w:color w:val="231F20"/>
          <w:spacing w:val="2"/>
        </w:rPr>
        <w:t>(2002) </w:t>
      </w:r>
      <w:r>
        <w:rPr>
          <w:color w:val="231F20"/>
        </w:rPr>
        <w:t>señalan que en los mercados emergentes factores de índole </w:t>
      </w:r>
      <w:r>
        <w:rPr>
          <w:color w:val="231F20"/>
          <w:spacing w:val="2"/>
        </w:rPr>
        <w:t>social </w:t>
      </w:r>
      <w:r>
        <w:rPr>
          <w:color w:val="231F20"/>
        </w:rPr>
        <w:t>como la </w:t>
      </w:r>
      <w:r>
        <w:rPr>
          <w:color w:val="231F20"/>
          <w:spacing w:val="2"/>
        </w:rPr>
        <w:t>estructura </w:t>
      </w:r>
      <w:r>
        <w:rPr>
          <w:color w:val="231F20"/>
        </w:rPr>
        <w:t>de los impuestos gubernamentales y el nivel de ingreso de los habitantes definen la demanda de automóviles. Por ejemplo, en China y Tailandia se demandan vehículos pequeños y económicos, como </w:t>
      </w:r>
      <w:r>
        <w:rPr>
          <w:rFonts w:ascii="Palatino Linotype" w:hAnsi="Palatino Linotype"/>
          <w:i/>
          <w:color w:val="231F20"/>
        </w:rPr>
        <w:t>pickups </w:t>
      </w:r>
      <w:r>
        <w:rPr>
          <w:color w:val="231F20"/>
        </w:rPr>
        <w:t>y furgonetas; en Malasia, las minifurgonetas; en</w:t>
      </w:r>
      <w:r>
        <w:rPr>
          <w:color w:val="231F20"/>
          <w:spacing w:val="-10"/>
        </w:rPr>
        <w:t> </w:t>
      </w:r>
      <w:r>
        <w:rPr>
          <w:color w:val="231F20"/>
        </w:rPr>
        <w:t>Brasil</w:t>
      </w:r>
      <w:r>
        <w:rPr>
          <w:color w:val="231F20"/>
          <w:spacing w:val="-10"/>
        </w:rPr>
        <w:t> </w:t>
      </w:r>
      <w:r>
        <w:rPr>
          <w:color w:val="231F20"/>
        </w:rPr>
        <w:t>el</w:t>
      </w:r>
      <w:r>
        <w:rPr>
          <w:color w:val="231F20"/>
          <w:spacing w:val="-10"/>
        </w:rPr>
        <w:t> </w:t>
      </w:r>
      <w:r>
        <w:rPr>
          <w:color w:val="231F20"/>
        </w:rPr>
        <w:t>1000cc</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coche</w:t>
      </w:r>
      <w:r>
        <w:rPr>
          <w:color w:val="231F20"/>
          <w:spacing w:val="-10"/>
        </w:rPr>
        <w:t> </w:t>
      </w:r>
      <w:r>
        <w:rPr>
          <w:color w:val="231F20"/>
        </w:rPr>
        <w:t>más</w:t>
      </w:r>
      <w:r>
        <w:rPr>
          <w:color w:val="231F20"/>
          <w:spacing w:val="-10"/>
        </w:rPr>
        <w:t> </w:t>
      </w:r>
      <w:r>
        <w:rPr>
          <w:color w:val="231F20"/>
        </w:rPr>
        <w:t>vendido;</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se</w:t>
      </w:r>
      <w:r>
        <w:rPr>
          <w:color w:val="231F20"/>
          <w:spacing w:val="-10"/>
        </w:rPr>
        <w:t> </w:t>
      </w:r>
      <w:r>
        <w:rPr>
          <w:color w:val="231F20"/>
        </w:rPr>
        <w:t>prefieren</w:t>
      </w:r>
      <w:r>
        <w:rPr>
          <w:color w:val="231F20"/>
          <w:spacing w:val="-10"/>
        </w:rPr>
        <w:t> </w:t>
      </w:r>
      <w:r>
        <w:rPr>
          <w:color w:val="231F20"/>
        </w:rPr>
        <w:t>los</w:t>
      </w:r>
      <w:r>
        <w:rPr>
          <w:color w:val="231F20"/>
          <w:spacing w:val="-10"/>
        </w:rPr>
        <w:t> </w:t>
      </w:r>
      <w:r>
        <w:rPr>
          <w:color w:val="231F20"/>
        </w:rPr>
        <w:t>coches</w:t>
      </w:r>
      <w:r>
        <w:rPr>
          <w:color w:val="231F20"/>
          <w:spacing w:val="-10"/>
        </w:rPr>
        <w:t> </w:t>
      </w:r>
      <w:r>
        <w:rPr>
          <w:color w:val="231F20"/>
        </w:rPr>
        <w:t>peque- ños y medianos, a diferencia de Estados Unidos, donde se demandan más grandes     y</w:t>
      </w:r>
      <w:r>
        <w:rPr>
          <w:color w:val="231F20"/>
          <w:spacing w:val="-7"/>
        </w:rPr>
        <w:t> </w:t>
      </w:r>
      <w:r>
        <w:rPr>
          <w:color w:val="231F20"/>
        </w:rPr>
        <w:t>lujosos.</w:t>
      </w:r>
    </w:p>
    <w:p>
      <w:pPr>
        <w:pStyle w:val="BodyText"/>
        <w:spacing w:line="259" w:lineRule="auto" w:before="8"/>
        <w:ind w:left="653" w:right="99" w:firstLine="396"/>
        <w:jc w:val="both"/>
      </w:pPr>
      <w:r>
        <w:rPr>
          <w:color w:val="231F20"/>
        </w:rPr>
        <w:t>En este sentido, los mercados se han hecho más heterogéneos, ya que las prefe- rencias de los consumidores definen la función y el estilo del vehículo cada vez más. Autores</w:t>
      </w:r>
      <w:r>
        <w:rPr>
          <w:color w:val="231F20"/>
          <w:spacing w:val="-5"/>
        </w:rPr>
        <w:t> </w:t>
      </w:r>
      <w:r>
        <w:rPr>
          <w:color w:val="231F20"/>
        </w:rPr>
        <w:t>como</w:t>
      </w:r>
      <w:r>
        <w:rPr>
          <w:color w:val="231F20"/>
          <w:spacing w:val="-5"/>
        </w:rPr>
        <w:t> </w:t>
      </w:r>
      <w:r>
        <w:rPr>
          <w:color w:val="231F20"/>
        </w:rPr>
        <w:t>Pine</w:t>
      </w:r>
      <w:r>
        <w:rPr>
          <w:color w:val="231F20"/>
          <w:spacing w:val="-5"/>
        </w:rPr>
        <w:t> </w:t>
      </w:r>
      <w:r>
        <w:rPr>
          <w:color w:val="231F20"/>
        </w:rPr>
        <w:t>(2006)</w:t>
      </w:r>
      <w:r>
        <w:rPr>
          <w:color w:val="231F20"/>
          <w:spacing w:val="-5"/>
        </w:rPr>
        <w:t> </w:t>
      </w:r>
      <w:r>
        <w:rPr>
          <w:color w:val="231F20"/>
        </w:rPr>
        <w:t>y</w:t>
      </w:r>
      <w:r>
        <w:rPr>
          <w:color w:val="231F20"/>
          <w:spacing w:val="-5"/>
        </w:rPr>
        <w:t> </w:t>
      </w:r>
      <w:r>
        <w:rPr>
          <w:color w:val="231F20"/>
        </w:rPr>
        <w:t>Anderson</w:t>
      </w:r>
      <w:r>
        <w:rPr>
          <w:color w:val="231F20"/>
          <w:spacing w:val="-5"/>
        </w:rPr>
        <w:t> </w:t>
      </w:r>
      <w:r>
        <w:rPr>
          <w:color w:val="231F20"/>
        </w:rPr>
        <w:t>y</w:t>
      </w:r>
      <w:r>
        <w:rPr>
          <w:color w:val="231F20"/>
          <w:spacing w:val="-5"/>
        </w:rPr>
        <w:t> </w:t>
      </w:r>
      <w:r>
        <w:rPr>
          <w:color w:val="231F20"/>
        </w:rPr>
        <w:t>Pine</w:t>
      </w:r>
      <w:r>
        <w:rPr>
          <w:color w:val="231F20"/>
          <w:spacing w:val="-5"/>
        </w:rPr>
        <w:t> </w:t>
      </w:r>
      <w:r>
        <w:rPr>
          <w:color w:val="231F20"/>
        </w:rPr>
        <w:t>(1997)</w:t>
      </w:r>
      <w:r>
        <w:rPr>
          <w:color w:val="231F20"/>
          <w:spacing w:val="-5"/>
        </w:rPr>
        <w:t> </w:t>
      </w:r>
      <w:r>
        <w:rPr>
          <w:color w:val="231F20"/>
        </w:rPr>
        <w:t>señalan</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conjunto</w:t>
      </w:r>
      <w:r>
        <w:rPr>
          <w:color w:val="231F20"/>
          <w:spacing w:val="-5"/>
        </w:rPr>
        <w:t> </w:t>
      </w:r>
      <w:r>
        <w:rPr>
          <w:color w:val="231F20"/>
        </w:rPr>
        <w:t>de</w:t>
      </w:r>
      <w:r>
        <w:rPr>
          <w:color w:val="231F20"/>
          <w:spacing w:val="-5"/>
        </w:rPr>
        <w:t> </w:t>
      </w:r>
      <w:r>
        <w:rPr>
          <w:color w:val="231F20"/>
        </w:rPr>
        <w:t>todos estos nuevos paradigmas recayó en un nuevo modelo de producción llamado </w:t>
      </w:r>
      <w:r>
        <w:rPr>
          <w:rFonts w:ascii="Palatino Linotype" w:hAnsi="Palatino Linotype"/>
          <w:i/>
          <w:color w:val="231F20"/>
        </w:rPr>
        <w:t>perso- </w:t>
      </w:r>
      <w:r>
        <w:rPr>
          <w:rFonts w:ascii="Palatino Linotype" w:hAnsi="Palatino Linotype"/>
          <w:i/>
          <w:color w:val="231F20"/>
        </w:rPr>
        <w:t>nalización en masa </w:t>
      </w:r>
      <w:r>
        <w:rPr>
          <w:color w:val="231F20"/>
        </w:rPr>
        <w:t>(</w:t>
      </w:r>
      <w:r>
        <w:rPr>
          <w:rFonts w:ascii="Palatino Linotype" w:hAnsi="Palatino Linotype"/>
          <w:i/>
          <w:color w:val="231F20"/>
        </w:rPr>
        <w:t>mass customization</w:t>
      </w:r>
      <w:r>
        <w:rPr>
          <w:color w:val="231F20"/>
        </w:rPr>
        <w:t>), en el que las empresas productoras deben responder a un incremento en las expectativas de los consumidores en un mayor  </w:t>
      </w:r>
      <w:r>
        <w:rPr>
          <w:color w:val="231F20"/>
          <w:spacing w:val="20"/>
        </w:rPr>
        <w:t> </w:t>
      </w:r>
      <w:r>
        <w:rPr>
          <w:color w:val="231F20"/>
        </w:rPr>
        <w:t>nú-</w:t>
      </w:r>
    </w:p>
    <w:p>
      <w:pPr>
        <w:pStyle w:val="BodyText"/>
        <w:spacing w:line="278" w:lineRule="auto" w:before="20"/>
        <w:ind w:left="653" w:right="100"/>
        <w:jc w:val="both"/>
      </w:pPr>
      <w:r>
        <w:rPr>
          <w:color w:val="231F20"/>
        </w:rPr>
        <w:t>mero</w:t>
      </w:r>
      <w:r>
        <w:rPr>
          <w:color w:val="231F20"/>
          <w:spacing w:val="-3"/>
        </w:rPr>
        <w:t> </w:t>
      </w:r>
      <w:r>
        <w:rPr>
          <w:color w:val="231F20"/>
        </w:rPr>
        <w:t>de</w:t>
      </w:r>
      <w:r>
        <w:rPr>
          <w:color w:val="231F20"/>
          <w:spacing w:val="-3"/>
        </w:rPr>
        <w:t> </w:t>
      </w:r>
      <w:r>
        <w:rPr>
          <w:color w:val="231F20"/>
        </w:rPr>
        <w:t>mercados,</w:t>
      </w:r>
      <w:r>
        <w:rPr>
          <w:color w:val="231F20"/>
          <w:spacing w:val="-3"/>
        </w:rPr>
        <w:t> </w:t>
      </w:r>
      <w:r>
        <w:rPr>
          <w:color w:val="231F20"/>
        </w:rPr>
        <w:t>con</w:t>
      </w:r>
      <w:r>
        <w:rPr>
          <w:color w:val="231F20"/>
          <w:spacing w:val="-3"/>
        </w:rPr>
        <w:t> </w:t>
      </w:r>
      <w:r>
        <w:rPr>
          <w:color w:val="231F20"/>
        </w:rPr>
        <w:t>lo</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genera</w:t>
      </w:r>
      <w:r>
        <w:rPr>
          <w:color w:val="231F20"/>
          <w:spacing w:val="-3"/>
        </w:rPr>
        <w:t> </w:t>
      </w:r>
      <w:r>
        <w:rPr>
          <w:color w:val="231F20"/>
        </w:rPr>
        <w:t>una</w:t>
      </w:r>
      <w:r>
        <w:rPr>
          <w:color w:val="231F20"/>
          <w:spacing w:val="-3"/>
        </w:rPr>
        <w:t> </w:t>
      </w:r>
      <w:r>
        <w:rPr>
          <w:color w:val="231F20"/>
        </w:rPr>
        <w:t>gran</w:t>
      </w:r>
      <w:r>
        <w:rPr>
          <w:color w:val="231F20"/>
          <w:spacing w:val="-3"/>
        </w:rPr>
        <w:t> </w:t>
      </w:r>
      <w:r>
        <w:rPr>
          <w:color w:val="231F20"/>
        </w:rPr>
        <w:t>proliferación</w:t>
      </w:r>
      <w:r>
        <w:rPr>
          <w:color w:val="231F20"/>
          <w:spacing w:val="-3"/>
        </w:rPr>
        <w:t> </w:t>
      </w:r>
      <w:r>
        <w:rPr>
          <w:color w:val="231F20"/>
        </w:rPr>
        <w:t>de</w:t>
      </w:r>
      <w:r>
        <w:rPr>
          <w:color w:val="231F20"/>
          <w:spacing w:val="-3"/>
        </w:rPr>
        <w:t> </w:t>
      </w:r>
      <w:r>
        <w:rPr>
          <w:color w:val="231F20"/>
        </w:rPr>
        <w:t>segmentos</w:t>
      </w:r>
      <w:r>
        <w:rPr>
          <w:color w:val="231F20"/>
          <w:spacing w:val="-3"/>
        </w:rPr>
        <w:t> </w:t>
      </w:r>
      <w:r>
        <w:rPr>
          <w:color w:val="231F20"/>
        </w:rPr>
        <w:t>y</w:t>
      </w:r>
      <w:r>
        <w:rPr>
          <w:color w:val="231F20"/>
          <w:spacing w:val="-3"/>
        </w:rPr>
        <w:t> </w:t>
      </w:r>
      <w:r>
        <w:rPr>
          <w:color w:val="231F20"/>
        </w:rPr>
        <w:t>mode- los con características personalizadas, como potencia, velocidad de crucero, controles internos automatizados, internet y GPS, vehículos híbridos con tracción manual y automática,</w:t>
      </w:r>
      <w:r>
        <w:rPr>
          <w:color w:val="231F20"/>
          <w:spacing w:val="8"/>
        </w:rPr>
        <w:t> </w:t>
      </w:r>
      <w:r>
        <w:rPr>
          <w:color w:val="231F20"/>
        </w:rPr>
        <w:t>etcétera.</w:t>
      </w:r>
    </w:p>
    <w:p>
      <w:pPr>
        <w:pStyle w:val="BodyText"/>
        <w:spacing w:line="278" w:lineRule="auto" w:before="1"/>
        <w:ind w:left="653" w:right="101" w:firstLine="396"/>
        <w:jc w:val="both"/>
      </w:pPr>
      <w:r>
        <w:rPr>
          <w:color w:val="231F20"/>
        </w:rPr>
        <w:t>Otro</w:t>
      </w:r>
      <w:r>
        <w:rPr>
          <w:color w:val="231F20"/>
          <w:spacing w:val="-9"/>
        </w:rPr>
        <w:t> </w:t>
      </w:r>
      <w:r>
        <w:rPr>
          <w:color w:val="231F20"/>
        </w:rPr>
        <w:t>factor</w:t>
      </w:r>
      <w:r>
        <w:rPr>
          <w:color w:val="231F20"/>
          <w:spacing w:val="-9"/>
        </w:rPr>
        <w:t> </w:t>
      </w:r>
      <w:r>
        <w:rPr>
          <w:color w:val="231F20"/>
        </w:rPr>
        <w:t>importante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diseño</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vehículos</w:t>
      </w:r>
      <w:r>
        <w:rPr>
          <w:color w:val="231F20"/>
          <w:spacing w:val="-9"/>
        </w:rPr>
        <w:t> </w:t>
      </w:r>
      <w:r>
        <w:rPr>
          <w:color w:val="231F20"/>
        </w:rPr>
        <w:t>son</w:t>
      </w:r>
      <w:r>
        <w:rPr>
          <w:color w:val="231F20"/>
          <w:spacing w:val="-9"/>
        </w:rPr>
        <w:t> </w:t>
      </w:r>
      <w:r>
        <w:rPr>
          <w:color w:val="231F20"/>
        </w:rPr>
        <w:t>las</w:t>
      </w:r>
      <w:r>
        <w:rPr>
          <w:color w:val="231F20"/>
          <w:spacing w:val="-9"/>
        </w:rPr>
        <w:t> </w:t>
      </w:r>
      <w:r>
        <w:rPr>
          <w:color w:val="231F20"/>
        </w:rPr>
        <w:t>regulaciones</w:t>
      </w:r>
      <w:r>
        <w:rPr>
          <w:color w:val="231F20"/>
          <w:spacing w:val="-9"/>
        </w:rPr>
        <w:t> </w:t>
      </w:r>
      <w:r>
        <w:rPr>
          <w:color w:val="231F20"/>
        </w:rPr>
        <w:t>guberna- mentales, principalmente en los aspectos relacionados con los dispositivos de seguri- dad,</w:t>
      </w:r>
      <w:r>
        <w:rPr>
          <w:color w:val="231F20"/>
          <w:spacing w:val="-10"/>
        </w:rPr>
        <w:t> </w:t>
      </w:r>
      <w:r>
        <w:rPr>
          <w:color w:val="231F20"/>
        </w:rPr>
        <w:t>como</w:t>
      </w:r>
      <w:r>
        <w:rPr>
          <w:color w:val="231F20"/>
          <w:spacing w:val="-10"/>
        </w:rPr>
        <w:t> </w:t>
      </w:r>
      <w:r>
        <w:rPr>
          <w:color w:val="231F20"/>
        </w:rPr>
        <w:t>los</w:t>
      </w:r>
      <w:r>
        <w:rPr>
          <w:color w:val="231F20"/>
          <w:spacing w:val="-10"/>
        </w:rPr>
        <w:t> </w:t>
      </w:r>
      <w:r>
        <w:rPr>
          <w:color w:val="231F20"/>
        </w:rPr>
        <w:t>cinturones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bolsas</w:t>
      </w:r>
      <w:r>
        <w:rPr>
          <w:color w:val="231F20"/>
          <w:spacing w:val="-10"/>
        </w:rPr>
        <w:t> </w:t>
      </w:r>
      <w:r>
        <w:rPr>
          <w:color w:val="231F20"/>
        </w:rPr>
        <w:t>de</w:t>
      </w:r>
      <w:r>
        <w:rPr>
          <w:color w:val="231F20"/>
          <w:spacing w:val="-10"/>
        </w:rPr>
        <w:t> </w:t>
      </w:r>
      <w:r>
        <w:rPr>
          <w:color w:val="231F20"/>
        </w:rPr>
        <w:t>aire</w:t>
      </w:r>
      <w:r>
        <w:rPr>
          <w:color w:val="231F20"/>
          <w:spacing w:val="-10"/>
        </w:rPr>
        <w:t> </w:t>
      </w:r>
      <w:r>
        <w:rPr>
          <w:color w:val="231F20"/>
        </w:rPr>
        <w:t>con</w:t>
      </w:r>
      <w:r>
        <w:rPr>
          <w:color w:val="231F20"/>
          <w:spacing w:val="-10"/>
        </w:rPr>
        <w:t> </w:t>
      </w:r>
      <w:r>
        <w:rPr>
          <w:color w:val="231F20"/>
        </w:rPr>
        <w:t>sistemas</w:t>
      </w:r>
      <w:r>
        <w:rPr>
          <w:color w:val="231F20"/>
          <w:spacing w:val="-10"/>
        </w:rPr>
        <w:t> </w:t>
      </w:r>
      <w:r>
        <w:rPr>
          <w:color w:val="231F20"/>
        </w:rPr>
        <w:t>contra</w:t>
      </w:r>
      <w:r>
        <w:rPr>
          <w:color w:val="231F20"/>
          <w:spacing w:val="-10"/>
        </w:rPr>
        <w:t> </w:t>
      </w:r>
      <w:r>
        <w:rPr>
          <w:color w:val="231F20"/>
        </w:rPr>
        <w:t>choque</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rPr>
        <w:t>exigencia de altos niveles de calidad en el diseño del sistema de frenado, esto a partir de una reglamentación</w:t>
      </w:r>
      <w:r>
        <w:rPr>
          <w:color w:val="231F20"/>
          <w:spacing w:val="-10"/>
        </w:rPr>
        <w:t> </w:t>
      </w:r>
      <w:r>
        <w:rPr>
          <w:color w:val="231F20"/>
        </w:rPr>
        <w:t>jurídico-administrativa</w:t>
      </w:r>
      <w:r>
        <w:rPr>
          <w:color w:val="231F20"/>
          <w:spacing w:val="-10"/>
        </w:rPr>
        <w:t> </w:t>
      </w:r>
      <w:r>
        <w:rPr>
          <w:color w:val="231F20"/>
        </w:rPr>
        <w:t>inflexible.</w:t>
      </w:r>
      <w:r>
        <w:rPr>
          <w:color w:val="231F20"/>
          <w:spacing w:val="-10"/>
        </w:rPr>
        <w:t> </w:t>
      </w:r>
      <w:r>
        <w:rPr>
          <w:color w:val="231F20"/>
        </w:rPr>
        <w:t>Además,</w:t>
      </w:r>
      <w:r>
        <w:rPr>
          <w:color w:val="231F20"/>
          <w:spacing w:val="-10"/>
        </w:rPr>
        <w:t> </w:t>
      </w:r>
      <w:r>
        <w:rPr>
          <w:color w:val="231F20"/>
        </w:rPr>
        <w:t>los</w:t>
      </w:r>
      <w:r>
        <w:rPr>
          <w:color w:val="231F20"/>
          <w:spacing w:val="-10"/>
        </w:rPr>
        <w:t> </w:t>
      </w:r>
      <w:r>
        <w:rPr>
          <w:color w:val="231F20"/>
        </w:rPr>
        <w:t>gobiernos</w:t>
      </w:r>
      <w:r>
        <w:rPr>
          <w:color w:val="231F20"/>
          <w:spacing w:val="-10"/>
        </w:rPr>
        <w:t> </w:t>
      </w:r>
      <w:r>
        <w:rPr>
          <w:color w:val="231F20"/>
        </w:rPr>
        <w:t>han</w:t>
      </w:r>
      <w:r>
        <w:rPr>
          <w:color w:val="231F20"/>
          <w:spacing w:val="-10"/>
        </w:rPr>
        <w:t> </w:t>
      </w:r>
      <w:r>
        <w:rPr>
          <w:color w:val="231F20"/>
        </w:rPr>
        <w:t>incidido activamente</w:t>
      </w:r>
      <w:r>
        <w:rPr>
          <w:color w:val="231F20"/>
          <w:spacing w:val="-4"/>
        </w:rPr>
        <w:t> </w:t>
      </w:r>
      <w:r>
        <w:rPr>
          <w:color w:val="231F20"/>
        </w:rPr>
        <w:t>en</w:t>
      </w:r>
      <w:r>
        <w:rPr>
          <w:color w:val="231F20"/>
          <w:spacing w:val="-4"/>
        </w:rPr>
        <w:t> </w:t>
      </w:r>
      <w:r>
        <w:rPr>
          <w:color w:val="231F20"/>
        </w:rPr>
        <w:t>enfatizar</w:t>
      </w:r>
      <w:r>
        <w:rPr>
          <w:color w:val="231F20"/>
          <w:spacing w:val="-4"/>
        </w:rPr>
        <w:t> </w:t>
      </w:r>
      <w:r>
        <w:rPr>
          <w:color w:val="231F20"/>
        </w:rPr>
        <w:t>el</w:t>
      </w:r>
      <w:r>
        <w:rPr>
          <w:color w:val="231F20"/>
          <w:spacing w:val="-4"/>
        </w:rPr>
        <w:t> </w:t>
      </w:r>
      <w:r>
        <w:rPr>
          <w:color w:val="231F20"/>
        </w:rPr>
        <w:t>daño</w:t>
      </w:r>
      <w:r>
        <w:rPr>
          <w:color w:val="231F20"/>
          <w:spacing w:val="-4"/>
        </w:rPr>
        <w:t> </w:t>
      </w:r>
      <w:r>
        <w:rPr>
          <w:color w:val="231F20"/>
        </w:rPr>
        <w:t>al</w:t>
      </w:r>
      <w:r>
        <w:rPr>
          <w:color w:val="231F20"/>
          <w:spacing w:val="-4"/>
        </w:rPr>
        <w:t> </w:t>
      </w:r>
      <w:r>
        <w:rPr>
          <w:color w:val="231F20"/>
        </w:rPr>
        <w:t>medio</w:t>
      </w:r>
      <w:r>
        <w:rPr>
          <w:color w:val="231F20"/>
          <w:spacing w:val="-4"/>
        </w:rPr>
        <w:t> </w:t>
      </w:r>
      <w:r>
        <w:rPr>
          <w:color w:val="231F20"/>
        </w:rPr>
        <w:t>ambiente:</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emitido</w:t>
      </w:r>
      <w:r>
        <w:rPr>
          <w:color w:val="231F20"/>
          <w:spacing w:val="-4"/>
        </w:rPr>
        <w:t> </w:t>
      </w:r>
      <w:r>
        <w:rPr>
          <w:color w:val="231F20"/>
        </w:rPr>
        <w:t>leyes</w:t>
      </w:r>
      <w:r>
        <w:rPr>
          <w:color w:val="231F20"/>
          <w:spacing w:val="-4"/>
        </w:rPr>
        <w:t> </w:t>
      </w:r>
      <w:r>
        <w:rPr>
          <w:color w:val="231F20"/>
        </w:rPr>
        <w:t>enfocadas</w:t>
      </w:r>
      <w:r>
        <w:rPr>
          <w:color w:val="231F20"/>
          <w:spacing w:val="-4"/>
        </w:rPr>
        <w:t> </w:t>
      </w:r>
      <w:r>
        <w:rPr>
          <w:color w:val="231F20"/>
        </w:rPr>
        <w:t>al control de las emisiones contaminantes y al ruido, sobre todo en Estados Unidos y en países</w:t>
      </w:r>
      <w:r>
        <w:rPr>
          <w:color w:val="231F20"/>
          <w:spacing w:val="-11"/>
        </w:rPr>
        <w:t> </w:t>
      </w:r>
      <w:r>
        <w:rPr>
          <w:color w:val="231F20"/>
        </w:rPr>
        <w:t>europeos</w:t>
      </w:r>
      <w:r>
        <w:rPr>
          <w:color w:val="231F20"/>
          <w:spacing w:val="-11"/>
        </w:rPr>
        <w:t> </w:t>
      </w:r>
      <w:r>
        <w:rPr>
          <w:color w:val="231F20"/>
        </w:rPr>
        <w:t>como</w:t>
      </w:r>
      <w:r>
        <w:rPr>
          <w:color w:val="231F20"/>
          <w:spacing w:val="-11"/>
        </w:rPr>
        <w:t> </w:t>
      </w:r>
      <w:r>
        <w:rPr>
          <w:color w:val="231F20"/>
        </w:rPr>
        <w:t>Alemania,</w:t>
      </w:r>
      <w:r>
        <w:rPr>
          <w:color w:val="231F20"/>
          <w:spacing w:val="-11"/>
        </w:rPr>
        <w:t> </w:t>
      </w:r>
      <w:r>
        <w:rPr>
          <w:color w:val="231F20"/>
        </w:rPr>
        <w:t>Francia</w:t>
      </w:r>
      <w:r>
        <w:rPr>
          <w:color w:val="231F20"/>
          <w:spacing w:val="-11"/>
        </w:rPr>
        <w:t> </w:t>
      </w:r>
      <w:r>
        <w:rPr>
          <w:color w:val="231F20"/>
        </w:rPr>
        <w:t>y</w:t>
      </w:r>
      <w:r>
        <w:rPr>
          <w:color w:val="231F20"/>
          <w:spacing w:val="-11"/>
        </w:rPr>
        <w:t> </w:t>
      </w:r>
      <w:r>
        <w:rPr>
          <w:color w:val="231F20"/>
        </w:rPr>
        <w:t>España.</w:t>
      </w:r>
    </w:p>
    <w:p>
      <w:pPr>
        <w:pStyle w:val="BodyText"/>
        <w:spacing w:line="278" w:lineRule="auto" w:before="1"/>
        <w:ind w:left="653" w:right="101" w:firstLine="396"/>
        <w:jc w:val="both"/>
      </w:pPr>
      <w:r>
        <w:rPr>
          <w:color w:val="231F20"/>
        </w:rPr>
        <w:t>Todas estas innovaciones en los sistemas de producción de vehículos para satis- facer la demanda de los consumidores y las propias regulaciones gubernamentales han sido posibles gracias a la tecnología. Sin embargo, no para ahí. Como se verá a</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23" w:right="651"/>
        <w:jc w:val="both"/>
      </w:pPr>
      <w:r>
        <w:rPr>
          <w:color w:val="231F20"/>
        </w:rPr>
        <w:t>continuación, estas innovaciones tecnológicas van mucho más allá: se han convertido en un factor fundamental que ha determinado el curso de esta   industria.</w:t>
      </w:r>
    </w:p>
    <w:p>
      <w:pPr>
        <w:pStyle w:val="BodyText"/>
        <w:spacing w:before="8"/>
        <w:rPr>
          <w:sz w:val="17"/>
        </w:rPr>
      </w:pPr>
    </w:p>
    <w:p>
      <w:pPr>
        <w:spacing w:before="0"/>
        <w:ind w:left="123" w:right="0" w:firstLine="0"/>
        <w:jc w:val="both"/>
        <w:rPr>
          <w:rFonts w:ascii="Palatino Linotype" w:hAnsi="Palatino Linotype"/>
          <w:i/>
          <w:sz w:val="21"/>
        </w:rPr>
      </w:pPr>
      <w:r>
        <w:rPr>
          <w:rFonts w:ascii="Palatino Linotype" w:hAnsi="Palatino Linotype"/>
          <w:i/>
          <w:color w:val="231F20"/>
          <w:sz w:val="21"/>
        </w:rPr>
        <w:t>a) Tecnologías híbridas en el sector automotriz</w:t>
      </w:r>
    </w:p>
    <w:p>
      <w:pPr>
        <w:pStyle w:val="BodyText"/>
        <w:spacing w:line="278" w:lineRule="auto" w:before="134"/>
        <w:ind w:left="123" w:right="650"/>
        <w:jc w:val="both"/>
        <w:rPr>
          <w:sz w:val="12"/>
        </w:rPr>
      </w:pPr>
      <w:r>
        <w:rPr>
          <w:color w:val="231F20"/>
        </w:rPr>
        <w:t>Es claro que la innovación tecnológica ha estado presente en la industria automotriz, en principio para mejorar los sistemas productivos y el funcionamiento y la confiabi- lidad de las unidades, y más recientemente se ha enfocado en las áreas de seguridad, reducción</w:t>
      </w:r>
      <w:r>
        <w:rPr>
          <w:color w:val="231F20"/>
          <w:spacing w:val="-13"/>
        </w:rPr>
        <w:t> </w:t>
      </w:r>
      <w:r>
        <w:rPr>
          <w:color w:val="231F20"/>
        </w:rPr>
        <w:t>del</w:t>
      </w:r>
      <w:r>
        <w:rPr>
          <w:color w:val="231F20"/>
          <w:spacing w:val="-13"/>
        </w:rPr>
        <w:t> </w:t>
      </w:r>
      <w:r>
        <w:rPr>
          <w:color w:val="231F20"/>
        </w:rPr>
        <w:t>impacto</w:t>
      </w:r>
      <w:r>
        <w:rPr>
          <w:color w:val="231F20"/>
          <w:spacing w:val="-13"/>
        </w:rPr>
        <w:t> </w:t>
      </w:r>
      <w:r>
        <w:rPr>
          <w:color w:val="231F20"/>
        </w:rPr>
        <w:t>al</w:t>
      </w:r>
      <w:r>
        <w:rPr>
          <w:color w:val="231F20"/>
          <w:spacing w:val="-13"/>
        </w:rPr>
        <w:t> </w:t>
      </w:r>
      <w:r>
        <w:rPr>
          <w:color w:val="231F20"/>
        </w:rPr>
        <w:t>medio</w:t>
      </w:r>
      <w:r>
        <w:rPr>
          <w:color w:val="231F20"/>
          <w:spacing w:val="-13"/>
        </w:rPr>
        <w:t> </w:t>
      </w:r>
      <w:r>
        <w:rPr>
          <w:color w:val="231F20"/>
        </w:rPr>
        <w:t>ambiente,</w:t>
      </w:r>
      <w:r>
        <w:rPr>
          <w:color w:val="231F20"/>
          <w:spacing w:val="-13"/>
        </w:rPr>
        <w:t> </w:t>
      </w:r>
      <w:r>
        <w:rPr>
          <w:color w:val="231F20"/>
        </w:rPr>
        <w:t>avance</w:t>
      </w:r>
      <w:r>
        <w:rPr>
          <w:color w:val="231F20"/>
          <w:spacing w:val="-13"/>
        </w:rPr>
        <w:t> </w:t>
      </w:r>
      <w:r>
        <w:rPr>
          <w:color w:val="231F20"/>
        </w:rPr>
        <w:t>en</w:t>
      </w:r>
      <w:r>
        <w:rPr>
          <w:color w:val="231F20"/>
          <w:spacing w:val="-13"/>
        </w:rPr>
        <w:t> </w:t>
      </w:r>
      <w:r>
        <w:rPr>
          <w:color w:val="231F20"/>
        </w:rPr>
        <w:t>los</w:t>
      </w:r>
      <w:r>
        <w:rPr>
          <w:color w:val="231F20"/>
          <w:spacing w:val="-13"/>
        </w:rPr>
        <w:t> </w:t>
      </w:r>
      <w:r>
        <w:rPr>
          <w:color w:val="231F20"/>
        </w:rPr>
        <w:t>sistemas</w:t>
      </w:r>
      <w:r>
        <w:rPr>
          <w:color w:val="231F20"/>
          <w:spacing w:val="-13"/>
        </w:rPr>
        <w:t> </w:t>
      </w:r>
      <w:r>
        <w:rPr>
          <w:color w:val="231F20"/>
        </w:rPr>
        <w:t>de</w:t>
      </w:r>
      <w:r>
        <w:rPr>
          <w:color w:val="231F20"/>
          <w:spacing w:val="-13"/>
        </w:rPr>
        <w:t> </w:t>
      </w:r>
      <w:r>
        <w:rPr>
          <w:color w:val="231F20"/>
        </w:rPr>
        <w:t>navegación</w:t>
      </w:r>
      <w:r>
        <w:rPr>
          <w:color w:val="231F20"/>
          <w:spacing w:val="-13"/>
        </w:rPr>
        <w:t> </w:t>
      </w:r>
      <w:r>
        <w:rPr>
          <w:color w:val="231F20"/>
        </w:rPr>
        <w:t>y</w:t>
      </w:r>
      <w:r>
        <w:rPr>
          <w:color w:val="231F20"/>
          <w:spacing w:val="-13"/>
        </w:rPr>
        <w:t> </w:t>
      </w:r>
      <w:r>
        <w:rPr>
          <w:color w:val="231F20"/>
        </w:rPr>
        <w:t>elec- trónico, hasta llegar a las innovaciones tecnológicas puestas en marcha por algunas ensambladoras como una estrategia para aumentar la penetración en el mercado de ciertos modelos en particular, como los vehículos</w:t>
      </w:r>
      <w:r>
        <w:rPr>
          <w:color w:val="231F20"/>
          <w:spacing w:val="-32"/>
        </w:rPr>
        <w:t> </w:t>
      </w:r>
      <w:r>
        <w:rPr>
          <w:color w:val="231F20"/>
        </w:rPr>
        <w:t>híbridos.</w:t>
      </w:r>
      <w:r>
        <w:rPr>
          <w:color w:val="231F20"/>
          <w:position w:val="7"/>
          <w:sz w:val="12"/>
        </w:rPr>
        <w:t>5</w:t>
      </w:r>
    </w:p>
    <w:p>
      <w:pPr>
        <w:pStyle w:val="BodyText"/>
        <w:spacing w:line="278" w:lineRule="auto" w:before="2"/>
        <w:ind w:left="123" w:right="651" w:firstLine="396"/>
        <w:jc w:val="both"/>
      </w:pPr>
      <w:r>
        <w:rPr>
          <w:color w:val="231F20"/>
        </w:rPr>
        <w:t>La revisión y el análisis que se han hecho de la información reciente dan</w:t>
      </w:r>
      <w:r>
        <w:rPr>
          <w:color w:val="231F20"/>
          <w:spacing w:val="-36"/>
        </w:rPr>
        <w:t> </w:t>
      </w:r>
      <w:r>
        <w:rPr>
          <w:color w:val="231F20"/>
        </w:rPr>
        <w:t>elemen- tos para pensar que se está generando un tercer momento de transición fundamental dentro del sector automotriz mundial,</w:t>
      </w:r>
      <w:r>
        <w:rPr>
          <w:color w:val="231F20"/>
          <w:position w:val="7"/>
          <w:sz w:val="12"/>
        </w:rPr>
        <w:t>6 </w:t>
      </w:r>
      <w:r>
        <w:rPr>
          <w:color w:val="231F20"/>
        </w:rPr>
        <w:t>relacionado con el uso de nuevas tecnologías híbridas en la producción de vehículos y la búsqueda de combustibles alternativos a las</w:t>
      </w:r>
      <w:r>
        <w:rPr>
          <w:color w:val="231F20"/>
          <w:spacing w:val="-25"/>
        </w:rPr>
        <w:t> </w:t>
      </w:r>
      <w:r>
        <w:rPr>
          <w:color w:val="231F20"/>
        </w:rPr>
        <w:t>gasolinas.</w:t>
      </w:r>
    </w:p>
    <w:p>
      <w:pPr>
        <w:pStyle w:val="BodyText"/>
        <w:spacing w:line="258" w:lineRule="exact"/>
        <w:ind w:left="123" w:firstLine="396"/>
        <w:jc w:val="both"/>
      </w:pPr>
      <w:r>
        <w:rPr>
          <w:color w:val="231F20"/>
        </w:rPr>
        <w:t>Esta situación se ha robustecido en los últimos años por: </w:t>
      </w:r>
      <w:r>
        <w:rPr>
          <w:rFonts w:ascii="Palatino Linotype" w:hAnsi="Palatino Linotype"/>
          <w:i/>
          <w:color w:val="231F20"/>
        </w:rPr>
        <w:t>1) </w:t>
      </w:r>
      <w:r>
        <w:rPr>
          <w:color w:val="231F20"/>
        </w:rPr>
        <w:t>la excesiva volatilidad</w:t>
      </w:r>
    </w:p>
    <w:p>
      <w:pPr>
        <w:pStyle w:val="BodyText"/>
        <w:spacing w:line="247" w:lineRule="auto"/>
        <w:ind w:left="123" w:right="650"/>
        <w:jc w:val="both"/>
      </w:pPr>
      <w:r>
        <w:rPr>
          <w:color w:val="231F20"/>
        </w:rPr>
        <w:t>que</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dado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precios</w:t>
      </w:r>
      <w:r>
        <w:rPr>
          <w:color w:val="231F20"/>
          <w:spacing w:val="-6"/>
        </w:rPr>
        <w:t> </w:t>
      </w:r>
      <w:r>
        <w:rPr>
          <w:color w:val="231F20"/>
        </w:rPr>
        <w:t>del</w:t>
      </w:r>
      <w:r>
        <w:rPr>
          <w:color w:val="231F20"/>
          <w:spacing w:val="-6"/>
        </w:rPr>
        <w:t> </w:t>
      </w:r>
      <w:r>
        <w:rPr>
          <w:color w:val="231F20"/>
        </w:rPr>
        <w:t>petróleo</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2005;</w:t>
      </w:r>
      <w:r>
        <w:rPr>
          <w:color w:val="231F20"/>
          <w:spacing w:val="-6"/>
        </w:rPr>
        <w:t> </w:t>
      </w:r>
      <w:r>
        <w:rPr>
          <w:rFonts w:ascii="Palatino Linotype" w:hAnsi="Palatino Linotype"/>
          <w:i/>
          <w:color w:val="231F20"/>
        </w:rPr>
        <w:t>2)</w:t>
      </w:r>
      <w:r>
        <w:rPr>
          <w:rFonts w:ascii="Palatino Linotype" w:hAnsi="Palatino Linotype"/>
          <w:i/>
          <w:color w:val="231F20"/>
          <w:spacing w:val="-6"/>
        </w:rPr>
        <w:t> </w:t>
      </w:r>
      <w:r>
        <w:rPr>
          <w:color w:val="231F20"/>
        </w:rPr>
        <w:t>las</w:t>
      </w:r>
      <w:r>
        <w:rPr>
          <w:color w:val="231F20"/>
          <w:spacing w:val="-6"/>
        </w:rPr>
        <w:t> </w:t>
      </w:r>
      <w:r>
        <w:rPr>
          <w:color w:val="231F20"/>
        </w:rPr>
        <w:t>regulaciones</w:t>
      </w:r>
      <w:r>
        <w:rPr>
          <w:color w:val="231F20"/>
          <w:spacing w:val="-6"/>
        </w:rPr>
        <w:t> </w:t>
      </w:r>
      <w:r>
        <w:rPr>
          <w:color w:val="231F20"/>
        </w:rPr>
        <w:t>que</w:t>
      </w:r>
      <w:r>
        <w:rPr>
          <w:color w:val="231F20"/>
          <w:spacing w:val="-6"/>
        </w:rPr>
        <w:t> </w:t>
      </w:r>
      <w:r>
        <w:rPr>
          <w:color w:val="231F20"/>
        </w:rPr>
        <w:t>han surgido</w:t>
      </w:r>
      <w:r>
        <w:rPr>
          <w:color w:val="231F20"/>
          <w:spacing w:val="-12"/>
        </w:rPr>
        <w:t> </w:t>
      </w:r>
      <w:r>
        <w:rPr>
          <w:color w:val="231F20"/>
        </w:rPr>
        <w:t>como</w:t>
      </w:r>
      <w:r>
        <w:rPr>
          <w:color w:val="231F20"/>
          <w:spacing w:val="-12"/>
        </w:rPr>
        <w:t> </w:t>
      </w:r>
      <w:r>
        <w:rPr>
          <w:color w:val="231F20"/>
        </w:rPr>
        <w:t>consecuencia</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importantes</w:t>
      </w:r>
      <w:r>
        <w:rPr>
          <w:color w:val="231F20"/>
          <w:spacing w:val="-12"/>
        </w:rPr>
        <w:t> </w:t>
      </w:r>
      <w:r>
        <w:rPr>
          <w:color w:val="231F20"/>
        </w:rPr>
        <w:t>efectos</w:t>
      </w:r>
      <w:r>
        <w:rPr>
          <w:color w:val="231F20"/>
          <w:spacing w:val="-12"/>
        </w:rPr>
        <w:t> </w:t>
      </w:r>
      <w:r>
        <w:rPr>
          <w:color w:val="231F20"/>
        </w:rPr>
        <w:t>del</w:t>
      </w:r>
      <w:r>
        <w:rPr>
          <w:color w:val="231F20"/>
          <w:spacing w:val="-12"/>
        </w:rPr>
        <w:t> </w:t>
      </w:r>
      <w:r>
        <w:rPr>
          <w:color w:val="231F20"/>
        </w:rPr>
        <w:t>deterioro</w:t>
      </w:r>
      <w:r>
        <w:rPr>
          <w:color w:val="231F20"/>
          <w:spacing w:val="-12"/>
        </w:rPr>
        <w:t> </w:t>
      </w:r>
      <w:r>
        <w:rPr>
          <w:color w:val="231F20"/>
        </w:rPr>
        <w:t>del</w:t>
      </w:r>
      <w:r>
        <w:rPr>
          <w:color w:val="231F20"/>
          <w:spacing w:val="-12"/>
        </w:rPr>
        <w:t> </w:t>
      </w:r>
      <w:r>
        <w:rPr>
          <w:color w:val="231F20"/>
        </w:rPr>
        <w:t>medio</w:t>
      </w:r>
      <w:r>
        <w:rPr>
          <w:color w:val="231F20"/>
          <w:spacing w:val="-12"/>
        </w:rPr>
        <w:t> </w:t>
      </w:r>
      <w:r>
        <w:rPr>
          <w:color w:val="231F20"/>
        </w:rPr>
        <w:t>ambien- te que generan las emisiones de CO</w:t>
      </w:r>
      <w:r>
        <w:rPr>
          <w:color w:val="231F20"/>
          <w:position w:val="-6"/>
          <w:sz w:val="12"/>
        </w:rPr>
        <w:t>2</w:t>
      </w:r>
      <w:r>
        <w:rPr>
          <w:color w:val="231F20"/>
        </w:rPr>
        <w:t>; y </w:t>
      </w:r>
      <w:r>
        <w:rPr>
          <w:rFonts w:ascii="Palatino Linotype" w:hAnsi="Palatino Linotype"/>
          <w:i/>
          <w:color w:val="231F20"/>
        </w:rPr>
        <w:t>3) </w:t>
      </w:r>
      <w:r>
        <w:rPr>
          <w:color w:val="231F20"/>
        </w:rPr>
        <w:t>la situación que vivió el sector ante la</w:t>
      </w:r>
      <w:r>
        <w:rPr>
          <w:color w:val="231F20"/>
          <w:spacing w:val="-32"/>
        </w:rPr>
        <w:t> </w:t>
      </w:r>
      <w:r>
        <w:rPr>
          <w:color w:val="231F20"/>
        </w:rPr>
        <w:t>caída tanto en las ventas como en la producción, a raíz de la crisis económica iniciada en</w:t>
      </w:r>
      <w:r>
        <w:rPr>
          <w:color w:val="231F20"/>
          <w:spacing w:val="16"/>
        </w:rPr>
        <w:t> </w:t>
      </w:r>
      <w:r>
        <w:rPr>
          <w:color w:val="231F20"/>
        </w:rPr>
        <w:t>el</w:t>
      </w:r>
    </w:p>
    <w:p>
      <w:pPr>
        <w:pStyle w:val="BodyText"/>
        <w:spacing w:line="278" w:lineRule="auto" w:before="31"/>
        <w:ind w:left="123" w:right="651"/>
        <w:jc w:val="both"/>
      </w:pPr>
      <w:r>
        <w:rPr>
          <w:color w:val="231F20"/>
        </w:rPr>
        <w:t>2008, así como ante la reestructuración derivada de los apoyos financieros otorgados por los distintos gobiernos para rescatar a las ensambladoras de la situación tan com- plicada por la que atravesaron con esta crisis.</w:t>
      </w:r>
    </w:p>
    <w:p>
      <w:pPr>
        <w:pStyle w:val="BodyText"/>
        <w:spacing w:line="278" w:lineRule="auto" w:before="1"/>
        <w:ind w:left="123" w:right="650" w:firstLine="396"/>
        <w:jc w:val="both"/>
      </w:pPr>
      <w:r>
        <w:rPr>
          <w:color w:val="231F20"/>
        </w:rPr>
        <w:t>En este sentido, todo indica que actualmente una de las principales tendencias en el</w:t>
      </w:r>
      <w:r>
        <w:rPr>
          <w:color w:val="231F20"/>
          <w:spacing w:val="-8"/>
        </w:rPr>
        <w:t> </w:t>
      </w:r>
      <w:r>
        <w:rPr>
          <w:color w:val="231F20"/>
        </w:rPr>
        <w:t>sector</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mundial,</w:t>
      </w:r>
      <w:r>
        <w:rPr>
          <w:color w:val="231F20"/>
          <w:spacing w:val="-8"/>
        </w:rPr>
        <w:t> </w:t>
      </w:r>
      <w:r>
        <w:rPr>
          <w:color w:val="231F20"/>
        </w:rPr>
        <w:t>que</w:t>
      </w:r>
      <w:r>
        <w:rPr>
          <w:color w:val="231F20"/>
          <w:spacing w:val="-8"/>
        </w:rPr>
        <w:t> </w:t>
      </w:r>
      <w:r>
        <w:rPr>
          <w:color w:val="231F20"/>
        </w:rPr>
        <w:t>poco</w:t>
      </w:r>
      <w:r>
        <w:rPr>
          <w:color w:val="231F20"/>
          <w:spacing w:val="-8"/>
        </w:rPr>
        <w:t> </w:t>
      </w:r>
      <w:r>
        <w:rPr>
          <w:color w:val="231F20"/>
        </w:rPr>
        <w:t>a</w:t>
      </w:r>
      <w:r>
        <w:rPr>
          <w:color w:val="231F20"/>
          <w:spacing w:val="-8"/>
        </w:rPr>
        <w:t> </w:t>
      </w:r>
      <w:r>
        <w:rPr>
          <w:color w:val="231F20"/>
        </w:rPr>
        <w:t>poco</w:t>
      </w:r>
      <w:r>
        <w:rPr>
          <w:color w:val="231F20"/>
          <w:spacing w:val="-8"/>
        </w:rPr>
        <w:t> </w:t>
      </w:r>
      <w:r>
        <w:rPr>
          <w:color w:val="231F20"/>
        </w:rPr>
        <w:t>se</w:t>
      </w:r>
      <w:r>
        <w:rPr>
          <w:color w:val="231F20"/>
          <w:spacing w:val="-8"/>
        </w:rPr>
        <w:t> </w:t>
      </w:r>
      <w:r>
        <w:rPr>
          <w:color w:val="231F20"/>
        </w:rPr>
        <w:t>ha</w:t>
      </w:r>
      <w:r>
        <w:rPr>
          <w:color w:val="231F20"/>
          <w:spacing w:val="-8"/>
        </w:rPr>
        <w:t> </w:t>
      </w:r>
      <w:r>
        <w:rPr>
          <w:color w:val="231F20"/>
        </w:rPr>
        <w:t>generalizado</w:t>
      </w:r>
      <w:r>
        <w:rPr>
          <w:color w:val="231F20"/>
          <w:spacing w:val="-8"/>
        </w:rPr>
        <w:t> </w:t>
      </w:r>
      <w:r>
        <w:rPr>
          <w:color w:val="231F20"/>
        </w:rPr>
        <w:t>para</w:t>
      </w:r>
      <w:r>
        <w:rPr>
          <w:color w:val="231F20"/>
          <w:spacing w:val="-8"/>
        </w:rPr>
        <w:t> </w:t>
      </w:r>
      <w:r>
        <w:rPr>
          <w:color w:val="231F20"/>
        </w:rPr>
        <w:t>prácticamente</w:t>
      </w:r>
      <w:r>
        <w:rPr>
          <w:color w:val="231F20"/>
          <w:spacing w:val="-8"/>
        </w:rPr>
        <w:t> </w:t>
      </w:r>
      <w:r>
        <w:rPr>
          <w:color w:val="231F20"/>
        </w:rPr>
        <w:t>todas las</w:t>
      </w:r>
      <w:r>
        <w:rPr>
          <w:color w:val="231F20"/>
          <w:spacing w:val="-11"/>
        </w:rPr>
        <w:t> </w:t>
      </w:r>
      <w:r>
        <w:rPr>
          <w:color w:val="231F20"/>
        </w:rPr>
        <w:t>transnacionales</w:t>
      </w:r>
      <w:r>
        <w:rPr>
          <w:color w:val="231F20"/>
          <w:spacing w:val="-11"/>
        </w:rPr>
        <w:t> </w:t>
      </w:r>
      <w:r>
        <w:rPr>
          <w:color w:val="231F20"/>
        </w:rPr>
        <w:t>automotrices,</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incremento</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uso</w:t>
      </w:r>
      <w:r>
        <w:rPr>
          <w:color w:val="231F20"/>
          <w:spacing w:val="-11"/>
        </w:rPr>
        <w:t> </w:t>
      </w:r>
      <w:r>
        <w:rPr>
          <w:color w:val="231F20"/>
        </w:rPr>
        <w:t>de</w:t>
      </w:r>
      <w:r>
        <w:rPr>
          <w:color w:val="231F20"/>
          <w:spacing w:val="-11"/>
        </w:rPr>
        <w:t> </w:t>
      </w:r>
      <w:r>
        <w:rPr>
          <w:color w:val="231F20"/>
        </w:rPr>
        <w:t>nuevas</w:t>
      </w:r>
      <w:r>
        <w:rPr>
          <w:color w:val="231F20"/>
          <w:spacing w:val="-11"/>
        </w:rPr>
        <w:t> </w:t>
      </w:r>
      <w:r>
        <w:rPr>
          <w:color w:val="231F20"/>
        </w:rPr>
        <w:t>tecnologías</w:t>
      </w:r>
      <w:r>
        <w:rPr>
          <w:color w:val="231F20"/>
          <w:spacing w:val="-11"/>
        </w:rPr>
        <w:t> </w:t>
      </w:r>
      <w:r>
        <w:rPr>
          <w:color w:val="231F20"/>
        </w:rPr>
        <w:t>para</w:t>
      </w:r>
    </w:p>
    <w:p>
      <w:pPr>
        <w:pStyle w:val="BodyText"/>
        <w:spacing w:before="1"/>
        <w:rPr>
          <w:sz w:val="18"/>
        </w:rPr>
      </w:pPr>
      <w:r>
        <w:rPr/>
        <w:pict>
          <v:line style="position:absolute;mso-position-horizontal-relative:page;mso-position-vertical-relative:paragraph;z-index:6496;mso-wrap-distance-left:0;mso-wrap-distance-right:0" from="65.196899pt,12.645197pt" to="206.928899pt,12.645197pt" stroked="true" strokeweight=".5pt" strokecolor="#231f20">
            <w10:wrap type="topAndBottom"/>
          </v:line>
        </w:pict>
      </w:r>
    </w:p>
    <w:p>
      <w:pPr>
        <w:spacing w:line="288" w:lineRule="auto" w:before="43"/>
        <w:ind w:left="293" w:right="647" w:hanging="171"/>
        <w:jc w:val="both"/>
        <w:rPr>
          <w:sz w:val="16"/>
        </w:rPr>
      </w:pPr>
      <w:r>
        <w:rPr>
          <w:color w:val="231F20"/>
          <w:position w:val="5"/>
          <w:sz w:val="9"/>
        </w:rPr>
        <w:t>5  </w:t>
      </w:r>
      <w:r>
        <w:rPr>
          <w:color w:val="231F20"/>
          <w:spacing w:val="2"/>
          <w:sz w:val="16"/>
        </w:rPr>
        <w:t>Se define </w:t>
      </w:r>
      <w:r>
        <w:rPr>
          <w:color w:val="231F20"/>
          <w:sz w:val="16"/>
        </w:rPr>
        <w:t>a un </w:t>
      </w:r>
      <w:r>
        <w:rPr>
          <w:color w:val="231F20"/>
          <w:spacing w:val="2"/>
          <w:sz w:val="16"/>
        </w:rPr>
        <w:t>vehículo híbrido </w:t>
      </w:r>
      <w:r>
        <w:rPr>
          <w:color w:val="231F20"/>
          <w:sz w:val="16"/>
        </w:rPr>
        <w:t>como aquel que combina dos o más </w:t>
      </w:r>
      <w:r>
        <w:rPr>
          <w:color w:val="231F20"/>
          <w:spacing w:val="2"/>
          <w:sz w:val="16"/>
        </w:rPr>
        <w:t>sistemas, </w:t>
      </w:r>
      <w:r>
        <w:rPr>
          <w:color w:val="231F20"/>
          <w:sz w:val="16"/>
        </w:rPr>
        <w:t>que a su vez </w:t>
      </w:r>
      <w:r>
        <w:rPr>
          <w:color w:val="231F20"/>
          <w:spacing w:val="2"/>
          <w:sz w:val="16"/>
        </w:rPr>
        <w:t>consumen </w:t>
      </w:r>
      <w:r>
        <w:rPr>
          <w:color w:val="231F20"/>
          <w:spacing w:val="44"/>
          <w:sz w:val="16"/>
        </w:rPr>
        <w:t> </w:t>
      </w:r>
      <w:r>
        <w:rPr>
          <w:color w:val="231F20"/>
          <w:spacing w:val="2"/>
          <w:sz w:val="16"/>
        </w:rPr>
        <w:t>fuentes </w:t>
      </w:r>
      <w:r>
        <w:rPr>
          <w:color w:val="231F20"/>
          <w:sz w:val="16"/>
        </w:rPr>
        <w:t>de </w:t>
      </w:r>
      <w:r>
        <w:rPr>
          <w:color w:val="231F20"/>
          <w:spacing w:val="2"/>
          <w:sz w:val="16"/>
        </w:rPr>
        <w:t>energía </w:t>
      </w:r>
      <w:r>
        <w:rPr>
          <w:color w:val="231F20"/>
          <w:sz w:val="16"/>
        </w:rPr>
        <w:t>diferentes. Uno de los sistemas contiene el </w:t>
      </w:r>
      <w:r>
        <w:rPr>
          <w:color w:val="231F20"/>
          <w:spacing w:val="2"/>
          <w:sz w:val="16"/>
        </w:rPr>
        <w:t>generador </w:t>
      </w:r>
      <w:r>
        <w:rPr>
          <w:color w:val="231F20"/>
          <w:sz w:val="16"/>
        </w:rPr>
        <w:t>de </w:t>
      </w:r>
      <w:r>
        <w:rPr>
          <w:color w:val="231F20"/>
          <w:spacing w:val="2"/>
          <w:sz w:val="16"/>
        </w:rPr>
        <w:t>energía </w:t>
      </w:r>
      <w:r>
        <w:rPr>
          <w:color w:val="231F20"/>
          <w:spacing w:val="3"/>
          <w:sz w:val="16"/>
        </w:rPr>
        <w:t>eléctrica, </w:t>
      </w:r>
      <w:r>
        <w:rPr>
          <w:color w:val="231F20"/>
          <w:sz w:val="16"/>
        </w:rPr>
        <w:t>que consiste  en un motor de combustión interna </w:t>
      </w:r>
      <w:r>
        <w:rPr>
          <w:color w:val="231F20"/>
          <w:spacing w:val="2"/>
          <w:sz w:val="16"/>
        </w:rPr>
        <w:t>pequeño </w:t>
      </w:r>
      <w:r>
        <w:rPr>
          <w:color w:val="231F20"/>
          <w:sz w:val="16"/>
        </w:rPr>
        <w:t>y de </w:t>
      </w:r>
      <w:r>
        <w:rPr>
          <w:color w:val="231F20"/>
          <w:spacing w:val="2"/>
          <w:sz w:val="16"/>
        </w:rPr>
        <w:t>alta eficiencia, </w:t>
      </w:r>
      <w:r>
        <w:rPr>
          <w:color w:val="231F20"/>
          <w:sz w:val="16"/>
        </w:rPr>
        <w:t>combinado con </w:t>
      </w:r>
      <w:r>
        <w:rPr>
          <w:color w:val="231F20"/>
          <w:spacing w:val="2"/>
          <w:sz w:val="16"/>
        </w:rPr>
        <w:t>baterías eléctricas </w:t>
      </w:r>
      <w:r>
        <w:rPr>
          <w:color w:val="231F20"/>
          <w:sz w:val="16"/>
        </w:rPr>
        <w:t>y </w:t>
      </w:r>
      <w:r>
        <w:rPr>
          <w:color w:val="231F20"/>
          <w:spacing w:val="2"/>
          <w:sz w:val="16"/>
        </w:rPr>
        <w:t>ul- tracondensadores. </w:t>
      </w:r>
      <w:r>
        <w:rPr>
          <w:color w:val="231F20"/>
          <w:sz w:val="16"/>
        </w:rPr>
        <w:t>El otro sistema </w:t>
      </w:r>
      <w:r>
        <w:rPr>
          <w:color w:val="231F20"/>
          <w:spacing w:val="2"/>
          <w:sz w:val="16"/>
        </w:rPr>
        <w:t>está </w:t>
      </w:r>
      <w:r>
        <w:rPr>
          <w:color w:val="231F20"/>
          <w:sz w:val="16"/>
        </w:rPr>
        <w:t>compuesto por la </w:t>
      </w:r>
      <w:r>
        <w:rPr>
          <w:color w:val="231F20"/>
          <w:spacing w:val="2"/>
          <w:sz w:val="16"/>
        </w:rPr>
        <w:t>batería </w:t>
      </w:r>
      <w:r>
        <w:rPr>
          <w:color w:val="231F20"/>
          <w:spacing w:val="3"/>
          <w:sz w:val="16"/>
        </w:rPr>
        <w:t>eléctrica </w:t>
      </w:r>
      <w:r>
        <w:rPr>
          <w:color w:val="231F20"/>
          <w:sz w:val="16"/>
        </w:rPr>
        <w:t>y los </w:t>
      </w:r>
      <w:r>
        <w:rPr>
          <w:color w:val="231F20"/>
          <w:spacing w:val="2"/>
          <w:sz w:val="16"/>
        </w:rPr>
        <w:t>motogeneradores instalados </w:t>
      </w:r>
      <w:r>
        <w:rPr>
          <w:color w:val="231F20"/>
          <w:sz w:val="16"/>
        </w:rPr>
        <w:t>en las </w:t>
      </w:r>
      <w:r>
        <w:rPr>
          <w:color w:val="231F20"/>
          <w:spacing w:val="2"/>
          <w:sz w:val="16"/>
        </w:rPr>
        <w:t>ruedas. Los </w:t>
      </w:r>
      <w:r>
        <w:rPr>
          <w:color w:val="231F20"/>
          <w:sz w:val="16"/>
        </w:rPr>
        <w:t>automóviles </w:t>
      </w:r>
      <w:r>
        <w:rPr>
          <w:color w:val="231F20"/>
          <w:spacing w:val="2"/>
          <w:sz w:val="16"/>
        </w:rPr>
        <w:t>híbridos tienen </w:t>
      </w:r>
      <w:r>
        <w:rPr>
          <w:color w:val="231F20"/>
          <w:sz w:val="16"/>
        </w:rPr>
        <w:t>dos </w:t>
      </w:r>
      <w:r>
        <w:rPr>
          <w:color w:val="231F20"/>
          <w:spacing w:val="2"/>
          <w:sz w:val="16"/>
        </w:rPr>
        <w:t>funciones básicas: reducir emisiones </w:t>
      </w:r>
      <w:r>
        <w:rPr>
          <w:color w:val="231F20"/>
          <w:sz w:val="16"/>
        </w:rPr>
        <w:t>contaminantes y mejorar el consumo de </w:t>
      </w:r>
      <w:r>
        <w:rPr>
          <w:color w:val="231F20"/>
          <w:spacing w:val="2"/>
          <w:sz w:val="16"/>
        </w:rPr>
        <w:t>gasolina </w:t>
      </w:r>
      <w:r>
        <w:rPr>
          <w:color w:val="231F20"/>
          <w:sz w:val="16"/>
        </w:rPr>
        <w:t>por </w:t>
      </w:r>
      <w:r>
        <w:rPr>
          <w:color w:val="231F20"/>
          <w:spacing w:val="2"/>
          <w:sz w:val="16"/>
        </w:rPr>
        <w:t>kilómetro; </w:t>
      </w:r>
      <w:r>
        <w:rPr>
          <w:color w:val="231F20"/>
          <w:sz w:val="16"/>
        </w:rPr>
        <w:t>sin embargo, aún no </w:t>
      </w:r>
      <w:r>
        <w:rPr>
          <w:color w:val="231F20"/>
          <w:spacing w:val="2"/>
          <w:sz w:val="16"/>
        </w:rPr>
        <w:t>alcanzan </w:t>
      </w:r>
      <w:r>
        <w:rPr>
          <w:color w:val="231F20"/>
          <w:sz w:val="16"/>
        </w:rPr>
        <w:t>la </w:t>
      </w:r>
      <w:r>
        <w:rPr>
          <w:color w:val="231F20"/>
          <w:spacing w:val="2"/>
          <w:sz w:val="16"/>
        </w:rPr>
        <w:t>meta </w:t>
      </w:r>
      <w:r>
        <w:rPr>
          <w:color w:val="231F20"/>
          <w:sz w:val="16"/>
        </w:rPr>
        <w:t>de cero </w:t>
      </w:r>
      <w:r>
        <w:rPr>
          <w:color w:val="231F20"/>
          <w:spacing w:val="2"/>
          <w:sz w:val="16"/>
        </w:rPr>
        <w:t>emisiones </w:t>
      </w:r>
      <w:r>
        <w:rPr>
          <w:color w:val="231F20"/>
          <w:spacing w:val="2"/>
          <w:w w:val="95"/>
          <w:sz w:val="16"/>
        </w:rPr>
        <w:t>(Álvarez,</w:t>
      </w:r>
      <w:r>
        <w:rPr>
          <w:color w:val="231F20"/>
          <w:spacing w:val="24"/>
          <w:w w:val="95"/>
          <w:sz w:val="16"/>
        </w:rPr>
        <w:t> </w:t>
      </w:r>
      <w:r>
        <w:rPr>
          <w:color w:val="231F20"/>
          <w:spacing w:val="3"/>
          <w:w w:val="95"/>
          <w:sz w:val="16"/>
        </w:rPr>
        <w:t>2004).</w:t>
      </w:r>
    </w:p>
    <w:p>
      <w:pPr>
        <w:spacing w:line="288" w:lineRule="auto" w:before="120"/>
        <w:ind w:left="293" w:right="650" w:hanging="171"/>
        <w:jc w:val="both"/>
        <w:rPr>
          <w:sz w:val="16"/>
        </w:rPr>
      </w:pPr>
      <w:r>
        <w:rPr>
          <w:color w:val="231F20"/>
          <w:position w:val="5"/>
          <w:sz w:val="9"/>
        </w:rPr>
        <w:t>6 </w:t>
      </w:r>
      <w:r>
        <w:rPr>
          <w:color w:val="231F20"/>
          <w:sz w:val="16"/>
        </w:rPr>
        <w:t>De manera general existen dos grandes momentos en la evolución de la industria automotriz: primero, la uti- lización de la banda móvil o línea de montaje a principios del siglo pasado por la empresa Ford; y segundo, el rediseño</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fabricación</w:t>
      </w:r>
      <w:r>
        <w:rPr>
          <w:color w:val="231F20"/>
          <w:spacing w:val="-5"/>
          <w:sz w:val="16"/>
        </w:rPr>
        <w:t> </w:t>
      </w:r>
      <w:r>
        <w:rPr>
          <w:color w:val="231F20"/>
          <w:sz w:val="16"/>
        </w:rPr>
        <w:t>de</w:t>
      </w:r>
      <w:r>
        <w:rPr>
          <w:color w:val="231F20"/>
          <w:spacing w:val="-5"/>
          <w:sz w:val="16"/>
        </w:rPr>
        <w:t> </w:t>
      </w:r>
      <w:r>
        <w:rPr>
          <w:color w:val="231F20"/>
          <w:sz w:val="16"/>
        </w:rPr>
        <w:t>vehículos</w:t>
      </w:r>
      <w:r>
        <w:rPr>
          <w:color w:val="231F20"/>
          <w:spacing w:val="-5"/>
          <w:sz w:val="16"/>
        </w:rPr>
        <w:t> </w:t>
      </w:r>
      <w:r>
        <w:rPr>
          <w:color w:val="231F20"/>
          <w:sz w:val="16"/>
        </w:rPr>
        <w:t>y</w:t>
      </w:r>
      <w:r>
        <w:rPr>
          <w:color w:val="231F20"/>
          <w:spacing w:val="-5"/>
          <w:sz w:val="16"/>
        </w:rPr>
        <w:t> </w:t>
      </w:r>
      <w:r>
        <w:rPr>
          <w:color w:val="231F20"/>
          <w:sz w:val="16"/>
        </w:rPr>
        <w:t>sus</w:t>
      </w:r>
      <w:r>
        <w:rPr>
          <w:color w:val="231F20"/>
          <w:spacing w:val="-5"/>
          <w:sz w:val="16"/>
        </w:rPr>
        <w:t> </w:t>
      </w:r>
      <w:r>
        <w:rPr>
          <w:color w:val="231F20"/>
          <w:sz w:val="16"/>
        </w:rPr>
        <w:t>partes,</w:t>
      </w:r>
      <w:r>
        <w:rPr>
          <w:color w:val="231F20"/>
          <w:spacing w:val="-5"/>
          <w:sz w:val="16"/>
        </w:rPr>
        <w:t> </w:t>
      </w:r>
      <w:r>
        <w:rPr>
          <w:color w:val="231F20"/>
          <w:sz w:val="16"/>
        </w:rPr>
        <w:t>llevado</w:t>
      </w:r>
      <w:r>
        <w:rPr>
          <w:color w:val="231F20"/>
          <w:spacing w:val="-5"/>
          <w:sz w:val="16"/>
        </w:rPr>
        <w:t> </w:t>
      </w:r>
      <w:r>
        <w:rPr>
          <w:color w:val="231F20"/>
          <w:sz w:val="16"/>
        </w:rPr>
        <w:t>a</w:t>
      </w:r>
      <w:r>
        <w:rPr>
          <w:color w:val="231F20"/>
          <w:spacing w:val="-5"/>
          <w:sz w:val="16"/>
        </w:rPr>
        <w:t> </w:t>
      </w:r>
      <w:r>
        <w:rPr>
          <w:color w:val="231F20"/>
          <w:sz w:val="16"/>
        </w:rPr>
        <w:t>cabo</w:t>
      </w:r>
      <w:r>
        <w:rPr>
          <w:color w:val="231F20"/>
          <w:spacing w:val="-5"/>
          <w:sz w:val="16"/>
        </w:rPr>
        <w:t> </w:t>
      </w:r>
      <w:r>
        <w:rPr>
          <w:color w:val="231F20"/>
          <w:sz w:val="16"/>
        </w:rPr>
        <w:t>por</w:t>
      </w:r>
      <w:r>
        <w:rPr>
          <w:color w:val="231F20"/>
          <w:spacing w:val="-5"/>
          <w:sz w:val="16"/>
        </w:rPr>
        <w:t> </w:t>
      </w:r>
      <w:r>
        <w:rPr>
          <w:color w:val="231F20"/>
          <w:spacing w:val="-4"/>
          <w:sz w:val="16"/>
        </w:rPr>
        <w:t>Toyota</w:t>
      </w:r>
      <w:r>
        <w:rPr>
          <w:color w:val="231F20"/>
          <w:spacing w:val="-5"/>
          <w:sz w:val="16"/>
        </w:rPr>
        <w:t> </w:t>
      </w:r>
      <w:r>
        <w:rPr>
          <w:color w:val="231F20"/>
          <w:sz w:val="16"/>
        </w:rPr>
        <w:t>en</w:t>
      </w:r>
      <w:r>
        <w:rPr>
          <w:color w:val="231F20"/>
          <w:spacing w:val="-5"/>
          <w:sz w:val="16"/>
        </w:rPr>
        <w:t> </w:t>
      </w:r>
      <w:r>
        <w:rPr>
          <w:color w:val="231F20"/>
          <w:sz w:val="16"/>
        </w:rPr>
        <w:t>Japón</w:t>
      </w:r>
      <w:r>
        <w:rPr>
          <w:color w:val="231F20"/>
          <w:spacing w:val="-5"/>
          <w:sz w:val="16"/>
        </w:rPr>
        <w:t> </w:t>
      </w:r>
      <w:r>
        <w:rPr>
          <w:color w:val="231F20"/>
          <w:sz w:val="16"/>
        </w:rPr>
        <w:t>al</w:t>
      </w:r>
      <w:r>
        <w:rPr>
          <w:color w:val="231F20"/>
          <w:spacing w:val="-5"/>
          <w:sz w:val="16"/>
        </w:rPr>
        <w:t> </w:t>
      </w:r>
      <w:r>
        <w:rPr>
          <w:color w:val="231F20"/>
          <w:sz w:val="16"/>
        </w:rPr>
        <w:t>finalizar</w:t>
      </w:r>
      <w:r>
        <w:rPr>
          <w:color w:val="231F20"/>
          <w:spacing w:val="-5"/>
          <w:sz w:val="16"/>
        </w:rPr>
        <w:t> </w:t>
      </w:r>
      <w:r>
        <w:rPr>
          <w:color w:val="231F20"/>
          <w:sz w:val="16"/>
        </w:rPr>
        <w:t>la</w:t>
      </w:r>
      <w:r>
        <w:rPr>
          <w:color w:val="231F20"/>
          <w:spacing w:val="-5"/>
          <w:sz w:val="16"/>
        </w:rPr>
        <w:t> </w:t>
      </w:r>
      <w:r>
        <w:rPr>
          <w:color w:val="231F20"/>
          <w:sz w:val="16"/>
        </w:rPr>
        <w:t>Segunda Guerra</w:t>
      </w:r>
      <w:r>
        <w:rPr>
          <w:color w:val="231F20"/>
          <w:spacing w:val="4"/>
          <w:sz w:val="16"/>
        </w:rPr>
        <w:t> </w:t>
      </w:r>
      <w:r>
        <w:rPr>
          <w:color w:val="231F20"/>
          <w:sz w:val="16"/>
        </w:rPr>
        <w:t>Mundial.</w:t>
      </w:r>
    </w:p>
    <w:p>
      <w:pPr>
        <w:spacing w:after="0" w:line="288" w:lineRule="auto"/>
        <w:jc w:val="both"/>
        <w:rPr>
          <w:sz w:val="16"/>
        </w:rPr>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653"/>
      </w:pPr>
      <w:r>
        <w:rPr>
          <w:color w:val="231F20"/>
        </w:rPr>
        <w:t>la producción de vehículos híbridos y eléctricos; a la par de la búsqueda y el uso de combustibles alternativos a las gasolinas.</w:t>
      </w:r>
    </w:p>
    <w:p>
      <w:pPr>
        <w:pStyle w:val="BodyText"/>
        <w:spacing w:line="278" w:lineRule="auto" w:before="1"/>
        <w:ind w:left="653" w:right="101" w:firstLine="396"/>
        <w:jc w:val="both"/>
      </w:pPr>
      <w:r>
        <w:rPr>
          <w:color w:val="231F20"/>
        </w:rPr>
        <w:t>El uso de estas nuevas tecnologías parece indicar que en los próximos años se generará</w:t>
      </w:r>
      <w:r>
        <w:rPr>
          <w:color w:val="231F20"/>
          <w:spacing w:val="-5"/>
        </w:rPr>
        <w:t> </w:t>
      </w:r>
      <w:r>
        <w:rPr>
          <w:color w:val="231F20"/>
        </w:rPr>
        <w:t>una</w:t>
      </w:r>
      <w:r>
        <w:rPr>
          <w:color w:val="231F20"/>
          <w:spacing w:val="-5"/>
        </w:rPr>
        <w:t> </w:t>
      </w:r>
      <w:r>
        <w:rPr>
          <w:color w:val="231F20"/>
        </w:rPr>
        <w:t>reestructuración</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sector</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mundial.</w:t>
      </w:r>
      <w:r>
        <w:rPr>
          <w:color w:val="231F20"/>
          <w:spacing w:val="-5"/>
        </w:rPr>
        <w:t> Toyota </w:t>
      </w:r>
      <w:r>
        <w:rPr>
          <w:color w:val="231F20"/>
        </w:rPr>
        <w:t>—que</w:t>
      </w:r>
      <w:r>
        <w:rPr>
          <w:color w:val="231F20"/>
          <w:spacing w:val="-5"/>
        </w:rPr>
        <w:t> </w:t>
      </w:r>
      <w:r>
        <w:rPr>
          <w:color w:val="231F20"/>
        </w:rPr>
        <w:t>está</w:t>
      </w:r>
      <w:r>
        <w:rPr>
          <w:color w:val="231F20"/>
          <w:spacing w:val="-5"/>
        </w:rPr>
        <w:t> </w:t>
      </w:r>
      <w:r>
        <w:rPr>
          <w:color w:val="231F20"/>
        </w:rPr>
        <w:t>a</w:t>
      </w:r>
      <w:r>
        <w:rPr>
          <w:color w:val="231F20"/>
          <w:spacing w:val="-5"/>
        </w:rPr>
        <w:t> </w:t>
      </w:r>
      <w:r>
        <w:rPr>
          <w:color w:val="231F20"/>
        </w:rPr>
        <w:t>la</w:t>
      </w:r>
      <w:r>
        <w:rPr>
          <w:color w:val="231F20"/>
          <w:spacing w:val="-5"/>
        </w:rPr>
        <w:t> </w:t>
      </w:r>
      <w:r>
        <w:rPr>
          <w:color w:val="231F20"/>
        </w:rPr>
        <w:t>van- guardia en el uso de estas nuevas tecnologías híbridas— está ganando terreno y lleva un importante camino recorrido en el campo de I+D en nuevas tecnologías, lo que le ha permitido la producción y la venta en masa de vehículos híbridos desde mediados de</w:t>
      </w:r>
      <w:r>
        <w:rPr>
          <w:color w:val="231F20"/>
          <w:spacing w:val="-7"/>
        </w:rPr>
        <w:t> </w:t>
      </w:r>
      <w:r>
        <w:rPr>
          <w:color w:val="231F20"/>
        </w:rPr>
        <w:t>los</w:t>
      </w:r>
      <w:r>
        <w:rPr>
          <w:color w:val="231F20"/>
          <w:spacing w:val="-7"/>
        </w:rPr>
        <w:t> </w:t>
      </w:r>
      <w:r>
        <w:rPr>
          <w:color w:val="231F20"/>
        </w:rPr>
        <w:t>años</w:t>
      </w:r>
      <w:r>
        <w:rPr>
          <w:color w:val="231F20"/>
          <w:spacing w:val="-7"/>
        </w:rPr>
        <w:t> </w:t>
      </w:r>
      <w:r>
        <w:rPr>
          <w:color w:val="231F20"/>
        </w:rPr>
        <w:t>noventa.</w:t>
      </w:r>
      <w:r>
        <w:rPr>
          <w:color w:val="231F20"/>
          <w:spacing w:val="-7"/>
        </w:rPr>
        <w:t> </w:t>
      </w:r>
      <w:r>
        <w:rPr>
          <w:color w:val="231F20"/>
          <w:spacing w:val="-4"/>
        </w:rPr>
        <w:t>Por</w:t>
      </w:r>
      <w:r>
        <w:rPr>
          <w:color w:val="231F20"/>
          <w:spacing w:val="-7"/>
        </w:rPr>
        <w:t> </w:t>
      </w:r>
      <w:r>
        <w:rPr>
          <w:color w:val="231F20"/>
        </w:rPr>
        <w:t>el</w:t>
      </w:r>
      <w:r>
        <w:rPr>
          <w:color w:val="231F20"/>
          <w:spacing w:val="-7"/>
        </w:rPr>
        <w:t> </w:t>
      </w:r>
      <w:r>
        <w:rPr>
          <w:color w:val="231F20"/>
        </w:rPr>
        <w:t>contrario,</w:t>
      </w:r>
      <w:r>
        <w:rPr>
          <w:color w:val="231F20"/>
          <w:spacing w:val="-7"/>
        </w:rPr>
        <w:t> </w:t>
      </w:r>
      <w:r>
        <w:rPr>
          <w:color w:val="231F20"/>
        </w:rPr>
        <w:t>General</w:t>
      </w:r>
      <w:r>
        <w:rPr>
          <w:color w:val="231F20"/>
          <w:spacing w:val="-7"/>
        </w:rPr>
        <w:t> </w:t>
      </w:r>
      <w:r>
        <w:rPr>
          <w:color w:val="231F20"/>
          <w:spacing w:val="-3"/>
        </w:rPr>
        <w:t>Motors</w:t>
      </w:r>
      <w:r>
        <w:rPr>
          <w:color w:val="231F20"/>
          <w:spacing w:val="-7"/>
        </w:rPr>
        <w:t> </w:t>
      </w:r>
      <w:r>
        <w:rPr>
          <w:color w:val="231F20"/>
        </w:rPr>
        <w:t>—empresa</w:t>
      </w:r>
      <w:r>
        <w:rPr>
          <w:color w:val="231F20"/>
          <w:spacing w:val="-7"/>
        </w:rPr>
        <w:t> </w:t>
      </w:r>
      <w:r>
        <w:rPr>
          <w:color w:val="231F20"/>
        </w:rPr>
        <w:t>que</w:t>
      </w:r>
      <w:r>
        <w:rPr>
          <w:color w:val="231F20"/>
          <w:spacing w:val="-7"/>
        </w:rPr>
        <w:t> </w:t>
      </w:r>
      <w:r>
        <w:rPr>
          <w:color w:val="231F20"/>
        </w:rPr>
        <w:t>por</w:t>
      </w:r>
      <w:r>
        <w:rPr>
          <w:color w:val="231F20"/>
          <w:spacing w:val="-7"/>
        </w:rPr>
        <w:t> </w:t>
      </w:r>
      <w:r>
        <w:rPr>
          <w:color w:val="231F20"/>
        </w:rPr>
        <w:t>muchos</w:t>
      </w:r>
      <w:r>
        <w:rPr>
          <w:color w:val="231F20"/>
          <w:spacing w:val="-7"/>
        </w:rPr>
        <w:t> </w:t>
      </w:r>
      <w:r>
        <w:rPr>
          <w:color w:val="231F20"/>
        </w:rPr>
        <w:t>años ha sido el principal productor de vehículos a nivel mundial— se ha quedado rezagada en el uso de estas nuevas tecnologías, que son uno de los motores fundamentales que están impulsado al sector a nivel mundial y que sin duda se convierten en un factor esencial de</w:t>
      </w:r>
      <w:r>
        <w:rPr>
          <w:color w:val="231F20"/>
          <w:spacing w:val="-23"/>
        </w:rPr>
        <w:t> </w:t>
      </w:r>
      <w:r>
        <w:rPr>
          <w:color w:val="231F20"/>
        </w:rPr>
        <w:t>competitividad.</w:t>
      </w:r>
    </w:p>
    <w:p>
      <w:pPr>
        <w:pStyle w:val="BodyText"/>
        <w:spacing w:line="278" w:lineRule="auto" w:before="1"/>
        <w:ind w:left="653" w:right="99" w:firstLine="396"/>
        <w:jc w:val="both"/>
      </w:pPr>
      <w:r>
        <w:rPr>
          <w:color w:val="231F20"/>
        </w:rPr>
        <w:t>Durante los últimos años, se han realizado importantes inversiones por par-       te de las grandes empresas transnacionales automotrices en la búsqueda de nuevas tecnologías híbridas y de combustibles alternativos,</w:t>
      </w:r>
      <w:r>
        <w:rPr>
          <w:color w:val="231F20"/>
          <w:position w:val="7"/>
          <w:sz w:val="12"/>
        </w:rPr>
        <w:t>7 </w:t>
      </w:r>
      <w:r>
        <w:rPr>
          <w:color w:val="231F20"/>
        </w:rPr>
        <w:t>que permitan la reducción de emisiones contaminantes y una mayor </w:t>
      </w:r>
      <w:r>
        <w:rPr>
          <w:color w:val="231F20"/>
          <w:spacing w:val="2"/>
        </w:rPr>
        <w:t>seguridad </w:t>
      </w:r>
      <w:r>
        <w:rPr>
          <w:color w:val="231F20"/>
        </w:rPr>
        <w:t>al conductor, sobre todo por la necesidad de hacer sus vehículos más competitivos y mantenerse en la preferencia  de los</w:t>
      </w:r>
      <w:r>
        <w:rPr>
          <w:color w:val="231F20"/>
          <w:spacing w:val="30"/>
        </w:rPr>
        <w:t> </w:t>
      </w:r>
      <w:r>
        <w:rPr>
          <w:color w:val="231F20"/>
        </w:rPr>
        <w:t>consumidores.</w:t>
      </w:r>
    </w:p>
    <w:p>
      <w:pPr>
        <w:pStyle w:val="BodyText"/>
        <w:spacing w:line="278" w:lineRule="auto" w:before="1"/>
        <w:ind w:left="653" w:right="101" w:firstLine="396"/>
        <w:jc w:val="both"/>
      </w:pPr>
      <w:r>
        <w:rPr>
          <w:color w:val="231F20"/>
        </w:rPr>
        <w:t>El</w:t>
      </w:r>
      <w:r>
        <w:rPr>
          <w:color w:val="231F20"/>
          <w:spacing w:val="-11"/>
        </w:rPr>
        <w:t> </w:t>
      </w:r>
      <w:r>
        <w:rPr>
          <w:color w:val="231F20"/>
        </w:rPr>
        <w:t>líder</w:t>
      </w:r>
      <w:r>
        <w:rPr>
          <w:color w:val="231F20"/>
          <w:spacing w:val="-11"/>
        </w:rPr>
        <w:t> </w:t>
      </w:r>
      <w:r>
        <w:rPr>
          <w:color w:val="231F20"/>
        </w:rPr>
        <w:t>mundial</w:t>
      </w:r>
      <w:r>
        <w:rPr>
          <w:color w:val="231F20"/>
          <w:spacing w:val="-11"/>
        </w:rPr>
        <w:t> </w:t>
      </w:r>
      <w:r>
        <w:rPr>
          <w:color w:val="231F20"/>
        </w:rPr>
        <w:t>en</w:t>
      </w:r>
      <w:r>
        <w:rPr>
          <w:color w:val="231F20"/>
          <w:spacing w:val="-11"/>
        </w:rPr>
        <w:t> </w:t>
      </w:r>
      <w:r>
        <w:rPr>
          <w:color w:val="231F20"/>
        </w:rPr>
        <w:t>inversión</w:t>
      </w:r>
      <w:r>
        <w:rPr>
          <w:color w:val="231F20"/>
          <w:position w:val="7"/>
          <w:sz w:val="12"/>
        </w:rPr>
        <w:t>8</w:t>
      </w:r>
      <w:r>
        <w:rPr>
          <w:color w:val="231F20"/>
          <w:spacing w:val="11"/>
          <w:position w:val="7"/>
          <w:sz w:val="12"/>
        </w:rPr>
        <w:t> </w:t>
      </w:r>
      <w:r>
        <w:rPr>
          <w:color w:val="231F20"/>
        </w:rPr>
        <w:t>en</w:t>
      </w:r>
      <w:r>
        <w:rPr>
          <w:color w:val="231F20"/>
          <w:spacing w:val="-11"/>
        </w:rPr>
        <w:t> </w:t>
      </w:r>
      <w:r>
        <w:rPr>
          <w:color w:val="231F20"/>
        </w:rPr>
        <w:t>nuevas</w:t>
      </w:r>
      <w:r>
        <w:rPr>
          <w:color w:val="231F20"/>
          <w:spacing w:val="-11"/>
        </w:rPr>
        <w:t> </w:t>
      </w:r>
      <w:r>
        <w:rPr>
          <w:color w:val="231F20"/>
        </w:rPr>
        <w:t>tecnologías</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grupo</w:t>
      </w:r>
      <w:r>
        <w:rPr>
          <w:color w:val="231F20"/>
          <w:spacing w:val="-11"/>
        </w:rPr>
        <w:t> </w:t>
      </w:r>
      <w:r>
        <w:rPr>
          <w:color w:val="231F20"/>
        </w:rPr>
        <w:t>japonés</w:t>
      </w:r>
      <w:r>
        <w:rPr>
          <w:color w:val="231F20"/>
          <w:spacing w:val="-11"/>
        </w:rPr>
        <w:t> </w:t>
      </w:r>
      <w:r>
        <w:rPr>
          <w:color w:val="231F20"/>
        </w:rPr>
        <w:t>integrado por </w:t>
      </w:r>
      <w:r>
        <w:rPr>
          <w:color w:val="231F20"/>
          <w:spacing w:val="-5"/>
        </w:rPr>
        <w:t>Toyota, </w:t>
      </w:r>
      <w:r>
        <w:rPr>
          <w:color w:val="231F20"/>
        </w:rPr>
        <w:t>Lexus, Hino y Daihatsu, el cual, en abril de 2007, anunció que en ese año se invertirían 6, 200 millones de euros (cantidad que representa 4% de sus ingresos por ventas) en </w:t>
      </w:r>
      <w:r>
        <w:rPr>
          <w:color w:val="231F20"/>
          <w:spacing w:val="-3"/>
        </w:rPr>
        <w:t>I+D, </w:t>
      </w:r>
      <w:r>
        <w:rPr>
          <w:color w:val="231F20"/>
        </w:rPr>
        <w:t>con la finalidad de desarrollar nuevas tecnologías de propulsión híbrida, así como de intensificar las investigaciones de los coches movidos por pilas de hidrógeno y desarrollar motores que funcionen con bioetanol. En 2006, este grupo invirtió</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mismo</w:t>
      </w:r>
      <w:r>
        <w:rPr>
          <w:color w:val="231F20"/>
          <w:spacing w:val="-4"/>
        </w:rPr>
        <w:t> </w:t>
      </w:r>
      <w:r>
        <w:rPr>
          <w:color w:val="231F20"/>
        </w:rPr>
        <w:t>rubro</w:t>
      </w:r>
      <w:r>
        <w:rPr>
          <w:color w:val="231F20"/>
          <w:spacing w:val="-4"/>
        </w:rPr>
        <w:t> </w:t>
      </w:r>
      <w:r>
        <w:rPr>
          <w:color w:val="231F20"/>
        </w:rPr>
        <w:t>5,</w:t>
      </w:r>
      <w:r>
        <w:rPr>
          <w:color w:val="231F20"/>
          <w:spacing w:val="-25"/>
        </w:rPr>
        <w:t> </w:t>
      </w:r>
      <w:r>
        <w:rPr>
          <w:color w:val="231F20"/>
        </w:rPr>
        <w:t>500</w:t>
      </w:r>
      <w:r>
        <w:rPr>
          <w:color w:val="231F20"/>
          <w:spacing w:val="-4"/>
        </w:rPr>
        <w:t> </w:t>
      </w:r>
      <w:r>
        <w:rPr>
          <w:color w:val="231F20"/>
        </w:rPr>
        <w:t>millones</w:t>
      </w:r>
      <w:r>
        <w:rPr>
          <w:color w:val="231F20"/>
          <w:spacing w:val="-4"/>
        </w:rPr>
        <w:t> </w:t>
      </w:r>
      <w:r>
        <w:rPr>
          <w:color w:val="231F20"/>
        </w:rPr>
        <w:t>de</w:t>
      </w:r>
      <w:r>
        <w:rPr>
          <w:color w:val="231F20"/>
          <w:spacing w:val="-4"/>
        </w:rPr>
        <w:t> </w:t>
      </w:r>
      <w:r>
        <w:rPr>
          <w:color w:val="231F20"/>
        </w:rPr>
        <w:t>euros.</w:t>
      </w:r>
    </w:p>
    <w:p>
      <w:pPr>
        <w:pStyle w:val="BodyText"/>
        <w:spacing w:line="278" w:lineRule="auto" w:before="1"/>
        <w:ind w:left="653" w:right="101" w:firstLine="396"/>
        <w:jc w:val="both"/>
      </w:pPr>
      <w:r>
        <w:rPr>
          <w:color w:val="231F20"/>
          <w:spacing w:val="-4"/>
        </w:rPr>
        <w:t>Por </w:t>
      </w:r>
      <w:r>
        <w:rPr>
          <w:color w:val="231F20"/>
        </w:rPr>
        <w:t>su parte, Honda, considerado el productor de vehículos con mejor tecnología en el mundo, destinaría en ese mismo año 3, 360 millones de euros a I+D; asimismo, esta</w:t>
      </w:r>
      <w:r>
        <w:rPr>
          <w:color w:val="231F20"/>
          <w:spacing w:val="-14"/>
        </w:rPr>
        <w:t> </w:t>
      </w:r>
      <w:r>
        <w:rPr>
          <w:color w:val="231F20"/>
        </w:rPr>
        <w:t>empresa</w:t>
      </w:r>
      <w:r>
        <w:rPr>
          <w:color w:val="231F20"/>
          <w:spacing w:val="-14"/>
        </w:rPr>
        <w:t> </w:t>
      </w:r>
      <w:r>
        <w:rPr>
          <w:color w:val="231F20"/>
        </w:rPr>
        <w:t>invirtió</w:t>
      </w:r>
      <w:r>
        <w:rPr>
          <w:color w:val="231F20"/>
          <w:spacing w:val="-14"/>
        </w:rPr>
        <w:t> </w:t>
      </w:r>
      <w:r>
        <w:rPr>
          <w:color w:val="231F20"/>
        </w:rPr>
        <w:t>1,</w:t>
      </w:r>
      <w:r>
        <w:rPr>
          <w:color w:val="231F20"/>
          <w:spacing w:val="-26"/>
        </w:rPr>
        <w:t> </w:t>
      </w:r>
      <w:r>
        <w:rPr>
          <w:color w:val="231F20"/>
        </w:rPr>
        <w:t>500</w:t>
      </w:r>
      <w:r>
        <w:rPr>
          <w:color w:val="231F20"/>
          <w:spacing w:val="-14"/>
        </w:rPr>
        <w:t> </w:t>
      </w:r>
      <w:r>
        <w:rPr>
          <w:color w:val="231F20"/>
        </w:rPr>
        <w:t>millones</w:t>
      </w:r>
      <w:r>
        <w:rPr>
          <w:color w:val="231F20"/>
          <w:spacing w:val="-14"/>
        </w:rPr>
        <w:t> </w:t>
      </w:r>
      <w:r>
        <w:rPr>
          <w:color w:val="231F20"/>
        </w:rPr>
        <w:t>de</w:t>
      </w:r>
      <w:r>
        <w:rPr>
          <w:color w:val="231F20"/>
          <w:spacing w:val="-14"/>
        </w:rPr>
        <w:t> </w:t>
      </w:r>
      <w:r>
        <w:rPr>
          <w:color w:val="231F20"/>
        </w:rPr>
        <w:t>euros</w:t>
      </w:r>
      <w:r>
        <w:rPr>
          <w:color w:val="231F20"/>
          <w:spacing w:val="-14"/>
        </w:rPr>
        <w:t> </w:t>
      </w:r>
      <w:r>
        <w:rPr>
          <w:color w:val="231F20"/>
        </w:rPr>
        <w:t>en</w:t>
      </w:r>
      <w:r>
        <w:rPr>
          <w:color w:val="231F20"/>
          <w:spacing w:val="-14"/>
        </w:rPr>
        <w:t> </w:t>
      </w:r>
      <w:r>
        <w:rPr>
          <w:color w:val="231F20"/>
        </w:rPr>
        <w:t>dos</w:t>
      </w:r>
      <w:r>
        <w:rPr>
          <w:color w:val="231F20"/>
          <w:spacing w:val="-14"/>
        </w:rPr>
        <w:t> </w:t>
      </w:r>
      <w:r>
        <w:rPr>
          <w:color w:val="231F20"/>
        </w:rPr>
        <w:t>plantas</w:t>
      </w:r>
      <w:r>
        <w:rPr>
          <w:color w:val="231F20"/>
          <w:spacing w:val="-14"/>
        </w:rPr>
        <w:t> </w:t>
      </w:r>
      <w:r>
        <w:rPr>
          <w:color w:val="231F20"/>
        </w:rPr>
        <w:t>en</w:t>
      </w:r>
      <w:r>
        <w:rPr>
          <w:color w:val="231F20"/>
          <w:spacing w:val="-14"/>
        </w:rPr>
        <w:t> </w:t>
      </w:r>
      <w:r>
        <w:rPr>
          <w:color w:val="231F20"/>
        </w:rPr>
        <w:t>Saitama,</w:t>
      </w:r>
      <w:r>
        <w:rPr>
          <w:color w:val="231F20"/>
          <w:spacing w:val="-14"/>
        </w:rPr>
        <w:t> </w:t>
      </w:r>
      <w:r>
        <w:rPr>
          <w:color w:val="231F20"/>
        </w:rPr>
        <w:t>al</w:t>
      </w:r>
      <w:r>
        <w:rPr>
          <w:color w:val="231F20"/>
          <w:spacing w:val="-14"/>
        </w:rPr>
        <w:t> </w:t>
      </w:r>
      <w:r>
        <w:rPr>
          <w:color w:val="231F20"/>
        </w:rPr>
        <w:t>norte</w:t>
      </w:r>
      <w:r>
        <w:rPr>
          <w:color w:val="231F20"/>
          <w:spacing w:val="-14"/>
        </w:rPr>
        <w:t> </w:t>
      </w:r>
      <w:r>
        <w:rPr>
          <w:color w:val="231F20"/>
        </w:rPr>
        <w:t>de</w:t>
      </w:r>
      <w:r>
        <w:rPr>
          <w:color w:val="231F20"/>
          <w:spacing w:val="-14"/>
        </w:rPr>
        <w:t> </w:t>
      </w:r>
      <w:r>
        <w:rPr>
          <w:color w:val="231F20"/>
          <w:spacing w:val="-7"/>
        </w:rPr>
        <w:t>To- </w:t>
      </w:r>
      <w:r>
        <w:rPr>
          <w:color w:val="231F20"/>
        </w:rPr>
        <w:t>kio,</w:t>
      </w:r>
      <w:r>
        <w:rPr>
          <w:color w:val="231F20"/>
          <w:spacing w:val="-10"/>
        </w:rPr>
        <w:t> </w:t>
      </w:r>
      <w:r>
        <w:rPr>
          <w:color w:val="231F20"/>
        </w:rPr>
        <w:t>en</w:t>
      </w:r>
      <w:r>
        <w:rPr>
          <w:color w:val="231F20"/>
          <w:spacing w:val="-10"/>
        </w:rPr>
        <w:t> </w:t>
      </w:r>
      <w:r>
        <w:rPr>
          <w:color w:val="231F20"/>
        </w:rPr>
        <w:t>espera</w:t>
      </w:r>
      <w:r>
        <w:rPr>
          <w:color w:val="231F20"/>
          <w:spacing w:val="-10"/>
        </w:rPr>
        <w:t> </w:t>
      </w:r>
      <w:r>
        <w:rPr>
          <w:color w:val="231F20"/>
        </w:rPr>
        <w:t>de</w:t>
      </w:r>
      <w:r>
        <w:rPr>
          <w:color w:val="231F20"/>
          <w:spacing w:val="-10"/>
        </w:rPr>
        <w:t> </w:t>
      </w:r>
      <w:r>
        <w:rPr>
          <w:color w:val="231F20"/>
        </w:rPr>
        <w:t>que</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ellas,</w:t>
      </w:r>
      <w:r>
        <w:rPr>
          <w:color w:val="231F20"/>
          <w:spacing w:val="-10"/>
        </w:rPr>
        <w:t> </w:t>
      </w:r>
      <w:r>
        <w:rPr>
          <w:color w:val="231F20"/>
        </w:rPr>
        <w:t>gracias</w:t>
      </w:r>
      <w:r>
        <w:rPr>
          <w:color w:val="231F20"/>
          <w:spacing w:val="-10"/>
        </w:rPr>
        <w:t> </w:t>
      </w:r>
      <w:r>
        <w:rPr>
          <w:color w:val="231F20"/>
        </w:rPr>
        <w:t>al</w:t>
      </w:r>
      <w:r>
        <w:rPr>
          <w:color w:val="231F20"/>
          <w:spacing w:val="-10"/>
        </w:rPr>
        <w:t> </w:t>
      </w:r>
      <w:r>
        <w:rPr>
          <w:color w:val="231F20"/>
        </w:rPr>
        <w:t>uso</w:t>
      </w:r>
      <w:r>
        <w:rPr>
          <w:color w:val="231F20"/>
          <w:spacing w:val="-10"/>
        </w:rPr>
        <w:t> </w:t>
      </w:r>
      <w:r>
        <w:rPr>
          <w:color w:val="231F20"/>
        </w:rPr>
        <w:t>de</w:t>
      </w:r>
      <w:r>
        <w:rPr>
          <w:color w:val="231F20"/>
          <w:spacing w:val="-10"/>
        </w:rPr>
        <w:t> </w:t>
      </w:r>
      <w:r>
        <w:rPr>
          <w:color w:val="231F20"/>
        </w:rPr>
        <w:t>nuevas</w:t>
      </w:r>
      <w:r>
        <w:rPr>
          <w:color w:val="231F20"/>
          <w:spacing w:val="-10"/>
        </w:rPr>
        <w:t> </w:t>
      </w:r>
      <w:r>
        <w:rPr>
          <w:color w:val="231F20"/>
        </w:rPr>
        <w:t>tecnologías,</w:t>
      </w:r>
      <w:r>
        <w:rPr>
          <w:color w:val="231F20"/>
          <w:spacing w:val="-10"/>
        </w:rPr>
        <w:t> </w:t>
      </w:r>
      <w:r>
        <w:rPr>
          <w:color w:val="231F20"/>
        </w:rPr>
        <w:t>tuviera</w:t>
      </w:r>
      <w:r>
        <w:rPr>
          <w:color w:val="231F20"/>
          <w:spacing w:val="-10"/>
        </w:rPr>
        <w:t> </w:t>
      </w:r>
      <w:r>
        <w:rPr>
          <w:color w:val="231F20"/>
        </w:rPr>
        <w:t>ahorros de</w:t>
      </w:r>
      <w:r>
        <w:rPr>
          <w:color w:val="231F20"/>
          <w:spacing w:val="-9"/>
        </w:rPr>
        <w:t> </w:t>
      </w:r>
      <w:r>
        <w:rPr>
          <w:color w:val="231F20"/>
        </w:rPr>
        <w:t>energía</w:t>
      </w:r>
      <w:r>
        <w:rPr>
          <w:color w:val="231F20"/>
          <w:spacing w:val="-9"/>
        </w:rPr>
        <w:t> </w:t>
      </w:r>
      <w:r>
        <w:rPr>
          <w:color w:val="231F20"/>
        </w:rPr>
        <w:t>del</w:t>
      </w:r>
      <w:r>
        <w:rPr>
          <w:color w:val="231F20"/>
          <w:spacing w:val="-9"/>
        </w:rPr>
        <w:t> </w:t>
      </w:r>
      <w:r>
        <w:rPr>
          <w:color w:val="231F20"/>
        </w:rPr>
        <w:t>30%</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producción</w:t>
      </w:r>
      <w:r>
        <w:rPr>
          <w:color w:val="231F20"/>
          <w:spacing w:val="-9"/>
        </w:rPr>
        <w:t> </w:t>
      </w:r>
      <w:r>
        <w:rPr>
          <w:color w:val="231F20"/>
        </w:rPr>
        <w:t>de</w:t>
      </w:r>
      <w:r>
        <w:rPr>
          <w:color w:val="231F20"/>
          <w:spacing w:val="-9"/>
        </w:rPr>
        <w:t> </w:t>
      </w:r>
      <w:r>
        <w:rPr>
          <w:color w:val="231F20"/>
        </w:rPr>
        <w:t>vehículos.</w:t>
      </w:r>
    </w:p>
    <w:p>
      <w:pPr>
        <w:pStyle w:val="BodyText"/>
        <w:spacing w:before="9"/>
        <w:rPr>
          <w:sz w:val="17"/>
        </w:rPr>
      </w:pPr>
      <w:r>
        <w:rPr/>
        <w:pict>
          <v:line style="position:absolute;mso-position-horizontal-relative:page;mso-position-vertical-relative:paragraph;z-index:6520;mso-wrap-distance-left:0;mso-wrap-distance-right:0" from="56.692902pt,12.470193pt" to="198.424902pt,12.470193pt" stroked="true" strokeweight=".5pt" strokecolor="#231f20">
            <w10:wrap type="topAndBottom"/>
          </v:line>
        </w:pict>
      </w:r>
    </w:p>
    <w:p>
      <w:pPr>
        <w:spacing w:line="288" w:lineRule="auto" w:before="43"/>
        <w:ind w:left="823" w:right="99" w:hanging="171"/>
        <w:jc w:val="both"/>
        <w:rPr>
          <w:sz w:val="16"/>
        </w:rPr>
      </w:pPr>
      <w:r>
        <w:rPr>
          <w:color w:val="231F20"/>
          <w:position w:val="5"/>
          <w:sz w:val="9"/>
        </w:rPr>
        <w:t>7  </w:t>
      </w:r>
      <w:r>
        <w:rPr>
          <w:color w:val="231F20"/>
          <w:sz w:val="16"/>
        </w:rPr>
        <w:t>Las recientes alzas del precio del petróleo han repercutido en el precio de las gasolinas a nivel mundial, lo   que ha intensificado la búsqueda de combustibles alternativos y hasta se ha considerado un motivo para que algunas empresas automotrices consideraran la posibilidad de disminuir la producción de vehículos grandes, bajo el argumento de que los aumentos en los precios de los combustibles han propiciado un cambio en las preferencias de los consumidores por vehículos de menor tamaño, por lo que no hay razón para la produc- ción de modelos</w:t>
      </w:r>
      <w:r>
        <w:rPr>
          <w:color w:val="231F20"/>
          <w:spacing w:val="23"/>
          <w:sz w:val="16"/>
        </w:rPr>
        <w:t> </w:t>
      </w:r>
      <w:r>
        <w:rPr>
          <w:color w:val="231F20"/>
          <w:sz w:val="16"/>
        </w:rPr>
        <w:t>grandes.</w:t>
      </w:r>
    </w:p>
    <w:p>
      <w:pPr>
        <w:spacing w:before="120"/>
        <w:ind w:left="653" w:right="673" w:firstLine="0"/>
        <w:jc w:val="left"/>
        <w:rPr>
          <w:sz w:val="16"/>
        </w:rPr>
      </w:pPr>
      <w:r>
        <w:rPr>
          <w:color w:val="231F20"/>
          <w:position w:val="5"/>
          <w:sz w:val="9"/>
        </w:rPr>
        <w:t>8   </w:t>
      </w:r>
      <w:r>
        <w:rPr>
          <w:color w:val="231F20"/>
          <w:sz w:val="16"/>
        </w:rPr>
        <w:t>Los datos de inversión que se señalan en este apartado han sido tomados de diferentes diarios.</w:t>
      </w:r>
    </w:p>
    <w:p>
      <w:pPr>
        <w:spacing w:after="0"/>
        <w:jc w:val="left"/>
        <w:rPr>
          <w:sz w:val="16"/>
        </w:rPr>
        <w:sectPr>
          <w:footerReference w:type="even" r:id="rId43"/>
          <w:footerReference w:type="default" r:id="rId44"/>
          <w:pgSz w:w="9640" w:h="13040"/>
          <w:pgMar w:footer="654" w:header="581" w:top="780" w:bottom="840" w:left="480" w:right="1200"/>
        </w:sectPr>
      </w:pPr>
    </w:p>
    <w:p>
      <w:pPr>
        <w:pStyle w:val="BodyText"/>
        <w:rPr>
          <w:sz w:val="20"/>
        </w:rPr>
      </w:pPr>
    </w:p>
    <w:p>
      <w:pPr>
        <w:pStyle w:val="BodyText"/>
        <w:spacing w:before="10"/>
        <w:rPr>
          <w:sz w:val="17"/>
        </w:rPr>
      </w:pPr>
    </w:p>
    <w:p>
      <w:pPr>
        <w:pStyle w:val="BodyText"/>
        <w:spacing w:line="278" w:lineRule="auto"/>
        <w:ind w:left="123" w:right="651" w:firstLine="396"/>
        <w:jc w:val="both"/>
      </w:pPr>
      <w:r>
        <w:rPr>
          <w:color w:val="231F20"/>
        </w:rPr>
        <w:t>En</w:t>
      </w:r>
      <w:r>
        <w:rPr>
          <w:color w:val="231F20"/>
          <w:spacing w:val="-17"/>
        </w:rPr>
        <w:t> </w:t>
      </w:r>
      <w:r>
        <w:rPr>
          <w:color w:val="231F20"/>
        </w:rPr>
        <w:t>2007,</w:t>
      </w:r>
      <w:r>
        <w:rPr>
          <w:color w:val="231F20"/>
          <w:spacing w:val="-17"/>
        </w:rPr>
        <w:t> </w:t>
      </w:r>
      <w:r>
        <w:rPr>
          <w:color w:val="231F20"/>
          <w:spacing w:val="-3"/>
        </w:rPr>
        <w:t>Nissan,</w:t>
      </w:r>
      <w:r>
        <w:rPr>
          <w:color w:val="231F20"/>
          <w:spacing w:val="-17"/>
        </w:rPr>
        <w:t> </w:t>
      </w:r>
      <w:r>
        <w:rPr>
          <w:color w:val="231F20"/>
          <w:spacing w:val="-3"/>
        </w:rPr>
        <w:t>junto</w:t>
      </w:r>
      <w:r>
        <w:rPr>
          <w:color w:val="231F20"/>
          <w:spacing w:val="-17"/>
        </w:rPr>
        <w:t> </w:t>
      </w:r>
      <w:r>
        <w:rPr>
          <w:color w:val="231F20"/>
          <w:spacing w:val="-2"/>
        </w:rPr>
        <w:t>con</w:t>
      </w:r>
      <w:r>
        <w:rPr>
          <w:color w:val="231F20"/>
          <w:spacing w:val="-17"/>
        </w:rPr>
        <w:t> </w:t>
      </w:r>
      <w:r>
        <w:rPr>
          <w:color w:val="231F20"/>
          <w:spacing w:val="-3"/>
        </w:rPr>
        <w:t>Renault,</w:t>
      </w:r>
      <w:r>
        <w:rPr>
          <w:color w:val="231F20"/>
          <w:spacing w:val="-17"/>
        </w:rPr>
        <w:t> </w:t>
      </w:r>
      <w:r>
        <w:rPr>
          <w:color w:val="231F20"/>
        </w:rPr>
        <w:t>realizó</w:t>
      </w:r>
      <w:r>
        <w:rPr>
          <w:color w:val="231F20"/>
          <w:spacing w:val="-17"/>
        </w:rPr>
        <w:t> </w:t>
      </w:r>
      <w:r>
        <w:rPr>
          <w:color w:val="231F20"/>
          <w:spacing w:val="-3"/>
        </w:rPr>
        <w:t>inversiones</w:t>
      </w:r>
      <w:r>
        <w:rPr>
          <w:color w:val="231F20"/>
          <w:spacing w:val="-17"/>
        </w:rPr>
        <w:t> </w:t>
      </w:r>
      <w:r>
        <w:rPr>
          <w:color w:val="231F20"/>
        </w:rPr>
        <w:t>en</w:t>
      </w:r>
      <w:r>
        <w:rPr>
          <w:color w:val="231F20"/>
          <w:spacing w:val="-17"/>
        </w:rPr>
        <w:t> </w:t>
      </w:r>
      <w:r>
        <w:rPr>
          <w:color w:val="231F20"/>
        </w:rPr>
        <w:t>I+D</w:t>
      </w:r>
      <w:r>
        <w:rPr>
          <w:color w:val="231F20"/>
          <w:spacing w:val="-17"/>
        </w:rPr>
        <w:t> </w:t>
      </w:r>
      <w:r>
        <w:rPr>
          <w:color w:val="231F20"/>
        </w:rPr>
        <w:t>cercanas</w:t>
      </w:r>
      <w:r>
        <w:rPr>
          <w:color w:val="231F20"/>
          <w:spacing w:val="-17"/>
        </w:rPr>
        <w:t> </w:t>
      </w:r>
      <w:r>
        <w:rPr>
          <w:color w:val="231F20"/>
        </w:rPr>
        <w:t>a</w:t>
      </w:r>
      <w:r>
        <w:rPr>
          <w:color w:val="231F20"/>
          <w:spacing w:val="-17"/>
        </w:rPr>
        <w:t> </w:t>
      </w:r>
      <w:r>
        <w:rPr>
          <w:color w:val="231F20"/>
        </w:rPr>
        <w:t>los</w:t>
      </w:r>
      <w:r>
        <w:rPr>
          <w:color w:val="231F20"/>
          <w:spacing w:val="-17"/>
        </w:rPr>
        <w:t> </w:t>
      </w:r>
      <w:r>
        <w:rPr>
          <w:color w:val="231F20"/>
        </w:rPr>
        <w:t>3,</w:t>
      </w:r>
      <w:r>
        <w:rPr>
          <w:color w:val="231F20"/>
          <w:spacing w:val="-22"/>
        </w:rPr>
        <w:t> </w:t>
      </w:r>
      <w:r>
        <w:rPr>
          <w:color w:val="231F20"/>
          <w:spacing w:val="-2"/>
        </w:rPr>
        <w:t>025 </w:t>
      </w:r>
      <w:r>
        <w:rPr>
          <w:color w:val="231F20"/>
        </w:rPr>
        <w:t>millones de </w:t>
      </w:r>
      <w:r>
        <w:rPr>
          <w:color w:val="231F20"/>
          <w:spacing w:val="-2"/>
        </w:rPr>
        <w:t>euros. </w:t>
      </w:r>
      <w:r>
        <w:rPr>
          <w:color w:val="231F20"/>
        </w:rPr>
        <w:t>De igual forma, en 2006 General </w:t>
      </w:r>
      <w:r>
        <w:rPr>
          <w:color w:val="231F20"/>
          <w:spacing w:val="-4"/>
        </w:rPr>
        <w:t>Motors </w:t>
      </w:r>
      <w:r>
        <w:rPr>
          <w:color w:val="231F20"/>
        </w:rPr>
        <w:t>destinó </w:t>
      </w:r>
      <w:r>
        <w:rPr>
          <w:color w:val="231F20"/>
          <w:spacing w:val="-3"/>
        </w:rPr>
        <w:t>aproximadamente </w:t>
      </w:r>
      <w:r>
        <w:rPr>
          <w:color w:val="231F20"/>
        </w:rPr>
        <w:t>5,</w:t>
      </w:r>
      <w:r>
        <w:rPr>
          <w:color w:val="231F20"/>
          <w:spacing w:val="-22"/>
        </w:rPr>
        <w:t> </w:t>
      </w:r>
      <w:r>
        <w:rPr>
          <w:color w:val="231F20"/>
        </w:rPr>
        <w:t>000</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euros</w:t>
      </w:r>
      <w:r>
        <w:rPr>
          <w:color w:val="231F20"/>
          <w:spacing w:val="-5"/>
        </w:rPr>
        <w:t> </w:t>
      </w:r>
      <w:r>
        <w:rPr>
          <w:color w:val="231F20"/>
        </w:rPr>
        <w:t>al</w:t>
      </w:r>
      <w:r>
        <w:rPr>
          <w:color w:val="231F20"/>
          <w:spacing w:val="-5"/>
        </w:rPr>
        <w:t> </w:t>
      </w:r>
      <w:r>
        <w:rPr>
          <w:color w:val="231F20"/>
        </w:rPr>
        <w:t>desarrollo</w:t>
      </w:r>
      <w:r>
        <w:rPr>
          <w:color w:val="231F20"/>
          <w:spacing w:val="-5"/>
        </w:rPr>
        <w:t> </w:t>
      </w:r>
      <w:r>
        <w:rPr>
          <w:color w:val="231F20"/>
        </w:rPr>
        <w:t>de</w:t>
      </w:r>
      <w:r>
        <w:rPr>
          <w:color w:val="231F20"/>
          <w:spacing w:val="-5"/>
        </w:rPr>
        <w:t> </w:t>
      </w:r>
      <w:r>
        <w:rPr>
          <w:color w:val="231F20"/>
          <w:spacing w:val="-2"/>
        </w:rPr>
        <w:t>nuevas</w:t>
      </w:r>
      <w:r>
        <w:rPr>
          <w:color w:val="231F20"/>
          <w:spacing w:val="-5"/>
        </w:rPr>
        <w:t> </w:t>
      </w:r>
      <w:r>
        <w:rPr>
          <w:color w:val="231F20"/>
        </w:rPr>
        <w:t>tecnologías</w:t>
      </w:r>
      <w:r>
        <w:rPr>
          <w:color w:val="231F20"/>
          <w:spacing w:val="-5"/>
        </w:rPr>
        <w:t> </w:t>
      </w:r>
      <w:r>
        <w:rPr>
          <w:color w:val="231F20"/>
        </w:rPr>
        <w:t>y</w:t>
      </w:r>
      <w:r>
        <w:rPr>
          <w:color w:val="231F20"/>
          <w:spacing w:val="-5"/>
        </w:rPr>
        <w:t> </w:t>
      </w:r>
      <w:r>
        <w:rPr>
          <w:color w:val="231F20"/>
        </w:rPr>
        <w:t>en</w:t>
      </w:r>
      <w:r>
        <w:rPr>
          <w:color w:val="231F20"/>
          <w:spacing w:val="-5"/>
        </w:rPr>
        <w:t> </w:t>
      </w:r>
      <w:r>
        <w:rPr>
          <w:color w:val="231F20"/>
        </w:rPr>
        <w:t>2007</w:t>
      </w:r>
      <w:r>
        <w:rPr>
          <w:color w:val="231F20"/>
          <w:spacing w:val="-5"/>
        </w:rPr>
        <w:t> </w:t>
      </w:r>
      <w:r>
        <w:rPr>
          <w:color w:val="231F20"/>
          <w:spacing w:val="-3"/>
        </w:rPr>
        <w:t>presupuestó</w:t>
      </w:r>
      <w:r>
        <w:rPr>
          <w:color w:val="231F20"/>
          <w:spacing w:val="-5"/>
        </w:rPr>
        <w:t> </w:t>
      </w:r>
      <w:r>
        <w:rPr>
          <w:color w:val="231F20"/>
          <w:spacing w:val="-2"/>
        </w:rPr>
        <w:t>8.1 </w:t>
      </w:r>
      <w:r>
        <w:rPr>
          <w:color w:val="231F20"/>
        </w:rPr>
        <w:t>millones de </w:t>
      </w:r>
      <w:r>
        <w:rPr>
          <w:color w:val="231F20"/>
          <w:spacing w:val="-3"/>
        </w:rPr>
        <w:t>dólares </w:t>
      </w:r>
      <w:r>
        <w:rPr>
          <w:color w:val="231F20"/>
        </w:rPr>
        <w:t>en </w:t>
      </w:r>
      <w:r>
        <w:rPr>
          <w:color w:val="231F20"/>
          <w:spacing w:val="-4"/>
        </w:rPr>
        <w:t>I+D. </w:t>
      </w:r>
      <w:r>
        <w:rPr>
          <w:color w:val="231F20"/>
        </w:rPr>
        <w:t>Debe mencionarse </w:t>
      </w:r>
      <w:r>
        <w:rPr>
          <w:color w:val="231F20"/>
          <w:spacing w:val="-3"/>
        </w:rPr>
        <w:t>que, comparada </w:t>
      </w:r>
      <w:r>
        <w:rPr>
          <w:color w:val="231F20"/>
          <w:spacing w:val="-2"/>
        </w:rPr>
        <w:t>con </w:t>
      </w:r>
      <w:r>
        <w:rPr>
          <w:color w:val="231F20"/>
        </w:rPr>
        <w:t>otras </w:t>
      </w:r>
      <w:r>
        <w:rPr>
          <w:color w:val="231F20"/>
          <w:spacing w:val="-3"/>
        </w:rPr>
        <w:t>armadoras, </w:t>
      </w:r>
      <w:r>
        <w:rPr>
          <w:color w:val="231F20"/>
        </w:rPr>
        <w:t>esta </w:t>
      </w:r>
      <w:r>
        <w:rPr>
          <w:color w:val="231F20"/>
          <w:spacing w:val="-3"/>
        </w:rPr>
        <w:t>empresa </w:t>
      </w:r>
      <w:r>
        <w:rPr>
          <w:color w:val="231F20"/>
        </w:rPr>
        <w:t>se encuentra en gran </w:t>
      </w:r>
      <w:r>
        <w:rPr>
          <w:color w:val="231F20"/>
          <w:spacing w:val="-3"/>
        </w:rPr>
        <w:t>desventaja </w:t>
      </w:r>
      <w:r>
        <w:rPr>
          <w:color w:val="231F20"/>
        </w:rPr>
        <w:t>en el uso de </w:t>
      </w:r>
      <w:r>
        <w:rPr>
          <w:color w:val="231F20"/>
          <w:spacing w:val="-2"/>
        </w:rPr>
        <w:t>nuevas </w:t>
      </w:r>
      <w:r>
        <w:rPr>
          <w:color w:val="231F20"/>
        </w:rPr>
        <w:t>tecnologías, ya </w:t>
      </w:r>
      <w:r>
        <w:rPr>
          <w:color w:val="231F20"/>
          <w:spacing w:val="-3"/>
        </w:rPr>
        <w:t>que </w:t>
      </w:r>
      <w:r>
        <w:rPr>
          <w:color w:val="231F20"/>
        </w:rPr>
        <w:t>hasta</w:t>
      </w:r>
      <w:r>
        <w:rPr>
          <w:color w:val="231F20"/>
          <w:spacing w:val="-11"/>
        </w:rPr>
        <w:t> </w:t>
      </w:r>
      <w:r>
        <w:rPr>
          <w:color w:val="231F20"/>
          <w:spacing w:val="-3"/>
        </w:rPr>
        <w:t>principios</w:t>
      </w:r>
      <w:r>
        <w:rPr>
          <w:color w:val="231F20"/>
          <w:spacing w:val="-11"/>
        </w:rPr>
        <w:t> </w:t>
      </w:r>
      <w:r>
        <w:rPr>
          <w:color w:val="231F20"/>
        </w:rPr>
        <w:t>de</w:t>
      </w:r>
      <w:r>
        <w:rPr>
          <w:color w:val="231F20"/>
          <w:spacing w:val="-11"/>
        </w:rPr>
        <w:t> </w:t>
      </w:r>
      <w:r>
        <w:rPr>
          <w:color w:val="231F20"/>
        </w:rPr>
        <w:t>2005</w:t>
      </w:r>
      <w:r>
        <w:rPr>
          <w:color w:val="231F20"/>
          <w:spacing w:val="-11"/>
        </w:rPr>
        <w:t> </w:t>
      </w:r>
      <w:r>
        <w:rPr>
          <w:color w:val="231F20"/>
        </w:rPr>
        <w:t>se</w:t>
      </w:r>
      <w:r>
        <w:rPr>
          <w:color w:val="231F20"/>
          <w:spacing w:val="-11"/>
        </w:rPr>
        <w:t> </w:t>
      </w:r>
      <w:r>
        <w:rPr>
          <w:color w:val="231F20"/>
        </w:rPr>
        <w:t>reconoció</w:t>
      </w:r>
      <w:r>
        <w:rPr>
          <w:color w:val="231F20"/>
          <w:spacing w:val="-11"/>
        </w:rPr>
        <w:t> </w:t>
      </w:r>
      <w:r>
        <w:rPr>
          <w:color w:val="231F20"/>
        </w:rPr>
        <w:t>la</w:t>
      </w:r>
      <w:r>
        <w:rPr>
          <w:color w:val="231F20"/>
          <w:spacing w:val="-11"/>
        </w:rPr>
        <w:t> </w:t>
      </w:r>
      <w:r>
        <w:rPr>
          <w:color w:val="231F20"/>
          <w:spacing w:val="-3"/>
        </w:rPr>
        <w:t>inminente</w:t>
      </w:r>
      <w:r>
        <w:rPr>
          <w:color w:val="231F20"/>
          <w:spacing w:val="-11"/>
        </w:rPr>
        <w:t> </w:t>
      </w:r>
      <w:r>
        <w:rPr>
          <w:color w:val="231F20"/>
        </w:rPr>
        <w:t>necesidad</w:t>
      </w:r>
      <w:r>
        <w:rPr>
          <w:color w:val="231F20"/>
          <w:spacing w:val="-11"/>
        </w:rPr>
        <w:t> </w:t>
      </w:r>
      <w:r>
        <w:rPr>
          <w:color w:val="231F20"/>
        </w:rPr>
        <w:t>de</w:t>
      </w:r>
      <w:r>
        <w:rPr>
          <w:color w:val="231F20"/>
          <w:spacing w:val="-11"/>
        </w:rPr>
        <w:t> </w:t>
      </w:r>
      <w:r>
        <w:rPr>
          <w:color w:val="231F20"/>
          <w:spacing w:val="-3"/>
        </w:rPr>
        <w:t>producir</w:t>
      </w:r>
      <w:r>
        <w:rPr>
          <w:color w:val="231F20"/>
          <w:spacing w:val="-11"/>
        </w:rPr>
        <w:t> </w:t>
      </w:r>
      <w:r>
        <w:rPr>
          <w:color w:val="231F20"/>
        </w:rPr>
        <w:t>vehículos</w:t>
      </w:r>
      <w:r>
        <w:rPr>
          <w:color w:val="231F20"/>
          <w:spacing w:val="-11"/>
        </w:rPr>
        <w:t> </w:t>
      </w:r>
      <w:r>
        <w:rPr>
          <w:color w:val="231F20"/>
          <w:spacing w:val="-2"/>
        </w:rPr>
        <w:t>con nuevas</w:t>
      </w:r>
      <w:r>
        <w:rPr>
          <w:color w:val="231F20"/>
          <w:spacing w:val="-13"/>
        </w:rPr>
        <w:t> </w:t>
      </w:r>
      <w:r>
        <w:rPr>
          <w:color w:val="231F20"/>
        </w:rPr>
        <w:t>tecnologías</w:t>
      </w:r>
      <w:r>
        <w:rPr>
          <w:color w:val="231F20"/>
          <w:spacing w:val="-13"/>
        </w:rPr>
        <w:t> </w:t>
      </w:r>
      <w:r>
        <w:rPr>
          <w:color w:val="231F20"/>
        </w:rPr>
        <w:t>híbridas</w:t>
      </w:r>
      <w:r>
        <w:rPr>
          <w:color w:val="231F20"/>
          <w:spacing w:val="-13"/>
        </w:rPr>
        <w:t> </w:t>
      </w:r>
      <w:r>
        <w:rPr>
          <w:color w:val="231F20"/>
        </w:rPr>
        <w:t>y</w:t>
      </w:r>
      <w:r>
        <w:rPr>
          <w:color w:val="231F20"/>
          <w:spacing w:val="-13"/>
        </w:rPr>
        <w:t> </w:t>
      </w:r>
      <w:r>
        <w:rPr>
          <w:color w:val="231F20"/>
          <w:spacing w:val="-3"/>
        </w:rPr>
        <w:t>combustibles</w:t>
      </w:r>
      <w:r>
        <w:rPr>
          <w:color w:val="231F20"/>
          <w:spacing w:val="-13"/>
        </w:rPr>
        <w:t> </w:t>
      </w:r>
      <w:r>
        <w:rPr>
          <w:color w:val="231F20"/>
          <w:spacing w:val="-3"/>
        </w:rPr>
        <w:t>alternativos.</w:t>
      </w:r>
      <w:r>
        <w:rPr>
          <w:color w:val="231F20"/>
          <w:spacing w:val="-13"/>
        </w:rPr>
        <w:t> </w:t>
      </w:r>
      <w:r>
        <w:rPr>
          <w:color w:val="231F20"/>
        </w:rPr>
        <w:t>General</w:t>
      </w:r>
      <w:r>
        <w:rPr>
          <w:color w:val="231F20"/>
          <w:spacing w:val="-13"/>
        </w:rPr>
        <w:t> </w:t>
      </w:r>
      <w:r>
        <w:rPr>
          <w:color w:val="231F20"/>
          <w:spacing w:val="-4"/>
        </w:rPr>
        <w:t>Motors</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enfrenta- do </w:t>
      </w:r>
      <w:r>
        <w:rPr>
          <w:color w:val="231F20"/>
          <w:spacing w:val="-3"/>
        </w:rPr>
        <w:t>entonces </w:t>
      </w:r>
      <w:r>
        <w:rPr>
          <w:color w:val="231F20"/>
        </w:rPr>
        <w:t>a una carrera </w:t>
      </w:r>
      <w:r>
        <w:rPr>
          <w:color w:val="231F20"/>
          <w:spacing w:val="-3"/>
        </w:rPr>
        <w:t>contra </w:t>
      </w:r>
      <w:r>
        <w:rPr>
          <w:color w:val="231F20"/>
        </w:rPr>
        <w:t>el tiempo; mientras </w:t>
      </w:r>
      <w:r>
        <w:rPr>
          <w:color w:val="231F20"/>
          <w:spacing w:val="-6"/>
        </w:rPr>
        <w:t>Toyota </w:t>
      </w:r>
      <w:r>
        <w:rPr>
          <w:color w:val="231F20"/>
        </w:rPr>
        <w:t>a mediados de los </w:t>
      </w:r>
      <w:r>
        <w:rPr>
          <w:color w:val="231F20"/>
          <w:spacing w:val="-3"/>
        </w:rPr>
        <w:t>noventa </w:t>
      </w:r>
      <w:r>
        <w:rPr>
          <w:color w:val="231F20"/>
        </w:rPr>
        <w:t>puso en </w:t>
      </w:r>
      <w:r>
        <w:rPr>
          <w:color w:val="231F20"/>
          <w:spacing w:val="-3"/>
        </w:rPr>
        <w:t>marcha </w:t>
      </w:r>
      <w:r>
        <w:rPr>
          <w:color w:val="231F20"/>
        </w:rPr>
        <w:t>el Prius, su primer modelo </w:t>
      </w:r>
      <w:r>
        <w:rPr>
          <w:color w:val="231F20"/>
          <w:spacing w:val="-3"/>
        </w:rPr>
        <w:t>híbrido, </w:t>
      </w:r>
      <w:r>
        <w:rPr>
          <w:color w:val="231F20"/>
        </w:rPr>
        <w:t>General </w:t>
      </w:r>
      <w:r>
        <w:rPr>
          <w:color w:val="231F20"/>
          <w:spacing w:val="-4"/>
        </w:rPr>
        <w:t>Motors </w:t>
      </w:r>
      <w:r>
        <w:rPr>
          <w:color w:val="231F20"/>
          <w:spacing w:val="-3"/>
        </w:rPr>
        <w:t>tuvo </w:t>
      </w:r>
      <w:r>
        <w:rPr>
          <w:color w:val="231F20"/>
          <w:spacing w:val="-2"/>
        </w:rPr>
        <w:t>que </w:t>
      </w:r>
      <w:r>
        <w:rPr>
          <w:color w:val="231F20"/>
        </w:rPr>
        <w:t>hacer en dos años lo </w:t>
      </w:r>
      <w:r>
        <w:rPr>
          <w:color w:val="231F20"/>
          <w:spacing w:val="-2"/>
        </w:rPr>
        <w:t>que </w:t>
      </w:r>
      <w:r>
        <w:rPr>
          <w:color w:val="231F20"/>
        </w:rPr>
        <w:t>otras </w:t>
      </w:r>
      <w:r>
        <w:rPr>
          <w:color w:val="231F20"/>
          <w:spacing w:val="-3"/>
        </w:rPr>
        <w:t>empresas hicieron </w:t>
      </w:r>
      <w:r>
        <w:rPr>
          <w:color w:val="231F20"/>
        </w:rPr>
        <w:t>en más de una década, lo </w:t>
      </w:r>
      <w:r>
        <w:rPr>
          <w:color w:val="231F20"/>
          <w:spacing w:val="-2"/>
        </w:rPr>
        <w:t>que </w:t>
      </w:r>
      <w:r>
        <w:rPr>
          <w:color w:val="231F20"/>
          <w:spacing w:val="-3"/>
        </w:rPr>
        <w:t>representa </w:t>
      </w:r>
      <w:r>
        <w:rPr>
          <w:color w:val="231F20"/>
        </w:rPr>
        <w:t>uno de los desafíos más </w:t>
      </w:r>
      <w:r>
        <w:rPr>
          <w:color w:val="231F20"/>
          <w:spacing w:val="-3"/>
        </w:rPr>
        <w:t>importantes </w:t>
      </w:r>
      <w:r>
        <w:rPr>
          <w:color w:val="231F20"/>
        </w:rPr>
        <w:t>para la armadora: sacar al mercado su primer coche </w:t>
      </w:r>
      <w:r>
        <w:rPr>
          <w:color w:val="231F20"/>
          <w:spacing w:val="-3"/>
        </w:rPr>
        <w:t>híbrido, </w:t>
      </w:r>
      <w:r>
        <w:rPr>
          <w:color w:val="231F20"/>
        </w:rPr>
        <w:t>el</w:t>
      </w:r>
      <w:r>
        <w:rPr>
          <w:color w:val="231F20"/>
          <w:spacing w:val="-7"/>
        </w:rPr>
        <w:t> Volt.</w:t>
      </w:r>
    </w:p>
    <w:p>
      <w:pPr>
        <w:pStyle w:val="BodyText"/>
        <w:spacing w:line="278" w:lineRule="auto" w:before="1"/>
        <w:ind w:left="123" w:right="650" w:firstLine="396"/>
        <w:jc w:val="both"/>
      </w:pPr>
      <w:r>
        <w:rPr>
          <w:color w:val="231F20"/>
        </w:rPr>
        <w:t>De esta forma se han desarrollado también importantes complejos de innovación tecnológica y diseño, como el </w:t>
      </w:r>
      <w:r>
        <w:rPr>
          <w:color w:val="231F20"/>
          <w:spacing w:val="-4"/>
        </w:rPr>
        <w:t>SEAT </w:t>
      </w:r>
      <w:r>
        <w:rPr>
          <w:color w:val="231F20"/>
        </w:rPr>
        <w:t>Design Center, localizado en España e inaugura- do en octubre de 2007. Éste es considerado uno de los complejos de innovación más modernos del mundo en el sector automotriz, que permite potenciar las actividades  de</w:t>
      </w:r>
      <w:r>
        <w:rPr>
          <w:color w:val="231F20"/>
          <w:spacing w:val="-8"/>
        </w:rPr>
        <w:t> </w:t>
      </w:r>
      <w:r>
        <w:rPr>
          <w:color w:val="231F20"/>
        </w:rPr>
        <w:t>I+D</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diseño.</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complejo</w:t>
      </w:r>
      <w:r>
        <w:rPr>
          <w:color w:val="231F20"/>
          <w:spacing w:val="-8"/>
        </w:rPr>
        <w:t> </w:t>
      </w:r>
      <w:r>
        <w:rPr>
          <w:color w:val="231F20"/>
        </w:rPr>
        <w:t>se</w:t>
      </w:r>
      <w:r>
        <w:rPr>
          <w:color w:val="231F20"/>
          <w:spacing w:val="-8"/>
        </w:rPr>
        <w:t> </w:t>
      </w:r>
      <w:r>
        <w:rPr>
          <w:color w:val="231F20"/>
        </w:rPr>
        <w:t>concentran</w:t>
      </w:r>
      <w:r>
        <w:rPr>
          <w:color w:val="231F20"/>
          <w:spacing w:val="-8"/>
        </w:rPr>
        <w:t> </w:t>
      </w:r>
      <w:r>
        <w:rPr>
          <w:color w:val="231F20"/>
        </w:rPr>
        <w:t>ingenieros,</w:t>
      </w:r>
      <w:r>
        <w:rPr>
          <w:color w:val="231F20"/>
          <w:spacing w:val="-8"/>
        </w:rPr>
        <w:t> </w:t>
      </w:r>
      <w:r>
        <w:rPr>
          <w:color w:val="231F20"/>
        </w:rPr>
        <w:t>diseñadores</w:t>
      </w:r>
      <w:r>
        <w:rPr>
          <w:color w:val="231F20"/>
          <w:spacing w:val="-8"/>
        </w:rPr>
        <w:t> </w:t>
      </w:r>
      <w:r>
        <w:rPr>
          <w:color w:val="231F20"/>
        </w:rPr>
        <w:t>y</w:t>
      </w:r>
      <w:r>
        <w:rPr>
          <w:color w:val="231F20"/>
          <w:spacing w:val="-8"/>
        </w:rPr>
        <w:t> </w:t>
      </w:r>
      <w:r>
        <w:rPr>
          <w:color w:val="231F20"/>
        </w:rPr>
        <w:t>modelis- tas altamente calificados, que gestan los modelos de </w:t>
      </w:r>
      <w:r>
        <w:rPr>
          <w:color w:val="231F20"/>
          <w:spacing w:val="-4"/>
        </w:rPr>
        <w:t>SEAT </w:t>
      </w:r>
      <w:r>
        <w:rPr>
          <w:color w:val="231F20"/>
        </w:rPr>
        <w:t>y prestan servicio al</w:t>
      </w:r>
      <w:r>
        <w:rPr>
          <w:color w:val="231F20"/>
          <w:spacing w:val="-26"/>
        </w:rPr>
        <w:t> </w:t>
      </w:r>
      <w:r>
        <w:rPr>
          <w:color w:val="231F20"/>
        </w:rPr>
        <w:t>grupo Volkswagen.</w:t>
      </w:r>
    </w:p>
    <w:p>
      <w:pPr>
        <w:pStyle w:val="BodyText"/>
        <w:spacing w:line="278" w:lineRule="auto" w:before="1"/>
        <w:ind w:left="123" w:right="651" w:firstLine="397"/>
        <w:jc w:val="both"/>
        <w:rPr>
          <w:sz w:val="12"/>
        </w:rPr>
      </w:pPr>
      <w:r>
        <w:rPr>
          <w:color w:val="231F20"/>
        </w:rPr>
        <w:t>La</w:t>
      </w:r>
      <w:r>
        <w:rPr>
          <w:color w:val="231F20"/>
          <w:spacing w:val="-8"/>
        </w:rPr>
        <w:t> </w:t>
      </w:r>
      <w:r>
        <w:rPr>
          <w:color w:val="231F20"/>
        </w:rPr>
        <w:t>inversión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terreno</w:t>
      </w:r>
      <w:r>
        <w:rPr>
          <w:color w:val="231F20"/>
          <w:spacing w:val="-8"/>
        </w:rPr>
        <w:t> </w:t>
      </w:r>
      <w:r>
        <w:rPr>
          <w:color w:val="231F20"/>
        </w:rPr>
        <w:t>de</w:t>
      </w:r>
      <w:r>
        <w:rPr>
          <w:color w:val="231F20"/>
          <w:spacing w:val="-8"/>
        </w:rPr>
        <w:t> </w:t>
      </w:r>
      <w:r>
        <w:rPr>
          <w:color w:val="231F20"/>
        </w:rPr>
        <w:t>I+D</w:t>
      </w:r>
      <w:r>
        <w:rPr>
          <w:color w:val="231F20"/>
          <w:spacing w:val="-8"/>
        </w:rPr>
        <w:t> </w:t>
      </w:r>
      <w:r>
        <w:rPr>
          <w:color w:val="231F20"/>
        </w:rPr>
        <w:t>dentro</w:t>
      </w:r>
      <w:r>
        <w:rPr>
          <w:color w:val="231F20"/>
          <w:spacing w:val="-8"/>
        </w:rPr>
        <w:t> </w:t>
      </w:r>
      <w:r>
        <w:rPr>
          <w:color w:val="231F20"/>
        </w:rPr>
        <w:t>del</w:t>
      </w:r>
      <w:r>
        <w:rPr>
          <w:color w:val="231F20"/>
          <w:spacing w:val="-8"/>
        </w:rPr>
        <w:t> </w:t>
      </w:r>
      <w:r>
        <w:rPr>
          <w:color w:val="231F20"/>
        </w:rPr>
        <w:t>sector</w:t>
      </w:r>
      <w:r>
        <w:rPr>
          <w:color w:val="231F20"/>
          <w:spacing w:val="-8"/>
        </w:rPr>
        <w:t> </w:t>
      </w:r>
      <w:r>
        <w:rPr>
          <w:color w:val="231F20"/>
        </w:rPr>
        <w:t>no</w:t>
      </w:r>
      <w:r>
        <w:rPr>
          <w:color w:val="231F20"/>
          <w:spacing w:val="-8"/>
        </w:rPr>
        <w:t> </w:t>
      </w:r>
      <w:r>
        <w:rPr>
          <w:color w:val="231F20"/>
        </w:rPr>
        <w:t>sólo</w:t>
      </w:r>
      <w:r>
        <w:rPr>
          <w:color w:val="231F20"/>
          <w:spacing w:val="-8"/>
        </w:rPr>
        <w:t> </w:t>
      </w:r>
      <w:r>
        <w:rPr>
          <w:color w:val="231F20"/>
        </w:rPr>
        <w:t>ha</w:t>
      </w:r>
      <w:r>
        <w:rPr>
          <w:color w:val="231F20"/>
          <w:spacing w:val="-8"/>
        </w:rPr>
        <w:t> </w:t>
      </w:r>
      <w:r>
        <w:rPr>
          <w:color w:val="231F20"/>
        </w:rPr>
        <w:t>sido</w:t>
      </w:r>
      <w:r>
        <w:rPr>
          <w:color w:val="231F20"/>
          <w:spacing w:val="-8"/>
        </w:rPr>
        <w:t> </w:t>
      </w:r>
      <w:r>
        <w:rPr>
          <w:color w:val="231F20"/>
        </w:rPr>
        <w:t>por</w:t>
      </w:r>
      <w:r>
        <w:rPr>
          <w:color w:val="231F20"/>
          <w:spacing w:val="-8"/>
        </w:rPr>
        <w:t> </w:t>
      </w:r>
      <w:r>
        <w:rPr>
          <w:color w:val="231F20"/>
        </w:rPr>
        <w:t>parte</w:t>
      </w:r>
      <w:r>
        <w:rPr>
          <w:color w:val="231F20"/>
          <w:spacing w:val="-8"/>
        </w:rPr>
        <w:t> </w:t>
      </w:r>
      <w:r>
        <w:rPr>
          <w:color w:val="231F20"/>
        </w:rPr>
        <w:t>de</w:t>
      </w:r>
      <w:r>
        <w:rPr>
          <w:color w:val="231F20"/>
          <w:spacing w:val="-8"/>
        </w:rPr>
        <w:t> </w:t>
      </w:r>
      <w:r>
        <w:rPr>
          <w:color w:val="231F20"/>
        </w:rPr>
        <w:t>las empresas armadoras, sino también de empresas relacionadas con esta industria, como el</w:t>
      </w:r>
      <w:r>
        <w:rPr>
          <w:color w:val="231F20"/>
          <w:spacing w:val="-4"/>
        </w:rPr>
        <w:t> </w:t>
      </w:r>
      <w:r>
        <w:rPr>
          <w:color w:val="231F20"/>
        </w:rPr>
        <w:t>grupo</w:t>
      </w:r>
      <w:r>
        <w:rPr>
          <w:color w:val="231F20"/>
          <w:spacing w:val="-3"/>
        </w:rPr>
        <w:t> </w:t>
      </w:r>
      <w:r>
        <w:rPr>
          <w:color w:val="231F20"/>
        </w:rPr>
        <w:t>Matsushita</w:t>
      </w:r>
      <w:r>
        <w:rPr>
          <w:color w:val="231F20"/>
          <w:spacing w:val="-4"/>
        </w:rPr>
        <w:t> </w:t>
      </w:r>
      <w:r>
        <w:rPr>
          <w:color w:val="231F20"/>
        </w:rPr>
        <w:t>Electric</w:t>
      </w:r>
      <w:r>
        <w:rPr>
          <w:color w:val="231F20"/>
          <w:spacing w:val="-4"/>
        </w:rPr>
        <w:t> </w:t>
      </w:r>
      <w:r>
        <w:rPr>
          <w:color w:val="231F20"/>
        </w:rPr>
        <w:t>Industrial</w:t>
      </w:r>
      <w:r>
        <w:rPr>
          <w:color w:val="231F20"/>
          <w:spacing w:val="-4"/>
        </w:rPr>
        <w:t> </w:t>
      </w:r>
      <w:r>
        <w:rPr>
          <w:color w:val="231F20"/>
        </w:rPr>
        <w:t>Company</w:t>
      </w:r>
      <w:r>
        <w:rPr>
          <w:color w:val="231F20"/>
          <w:spacing w:val="-4"/>
        </w:rPr>
        <w:t> </w:t>
      </w:r>
      <w:r>
        <w:rPr>
          <w:color w:val="231F20"/>
        </w:rPr>
        <w:t>(que</w:t>
      </w:r>
      <w:r>
        <w:rPr>
          <w:color w:val="231F20"/>
          <w:spacing w:val="-4"/>
        </w:rPr>
        <w:t> </w:t>
      </w:r>
      <w:r>
        <w:rPr>
          <w:color w:val="231F20"/>
        </w:rPr>
        <w:t>agrupa</w:t>
      </w:r>
      <w:r>
        <w:rPr>
          <w:color w:val="231F20"/>
          <w:spacing w:val="-4"/>
        </w:rPr>
        <w:t> </w:t>
      </w:r>
      <w:r>
        <w:rPr>
          <w:color w:val="231F20"/>
        </w:rPr>
        <w:t>firmas</w:t>
      </w:r>
      <w:r>
        <w:rPr>
          <w:color w:val="231F20"/>
          <w:spacing w:val="-4"/>
        </w:rPr>
        <w:t> </w:t>
      </w:r>
      <w:r>
        <w:rPr>
          <w:color w:val="231F20"/>
        </w:rPr>
        <w:t>como</w:t>
      </w:r>
      <w:r>
        <w:rPr>
          <w:color w:val="231F20"/>
          <w:spacing w:val="-4"/>
        </w:rPr>
        <w:t> </w:t>
      </w:r>
      <w:r>
        <w:rPr>
          <w:color w:val="231F20"/>
        </w:rPr>
        <w:t>Panasonic, </w:t>
      </w:r>
      <w:r>
        <w:rPr>
          <w:color w:val="231F20"/>
          <w:spacing w:val="-3"/>
        </w:rPr>
        <w:t>Technics </w:t>
      </w:r>
      <w:r>
        <w:rPr>
          <w:color w:val="231F20"/>
        </w:rPr>
        <w:t>o Ramsa), por mencionar alguna, que destinó en 2007 cerca de 3, 650 millo- nes de</w:t>
      </w:r>
      <w:r>
        <w:rPr>
          <w:color w:val="231F20"/>
          <w:spacing w:val="-9"/>
        </w:rPr>
        <w:t> </w:t>
      </w:r>
      <w:r>
        <w:rPr>
          <w:color w:val="231F20"/>
        </w:rPr>
        <w:t>euros.</w:t>
      </w:r>
      <w:r>
        <w:rPr>
          <w:color w:val="231F20"/>
          <w:position w:val="7"/>
          <w:sz w:val="12"/>
        </w:rPr>
        <w:t>9</w:t>
      </w:r>
    </w:p>
    <w:p>
      <w:pPr>
        <w:pStyle w:val="BodyText"/>
        <w:spacing w:line="278" w:lineRule="auto" w:before="3"/>
        <w:ind w:left="123" w:right="650" w:firstLine="396"/>
        <w:jc w:val="both"/>
      </w:pPr>
      <w:r>
        <w:rPr>
          <w:color w:val="231F20"/>
          <w:spacing w:val="-5"/>
        </w:rPr>
        <w:t>Toda </w:t>
      </w:r>
      <w:r>
        <w:rPr>
          <w:color w:val="231F20"/>
        </w:rPr>
        <w:t>esta inversión realizada en el terreno de I+D ha dado como fruto importan- tes</w:t>
      </w:r>
      <w:r>
        <w:rPr>
          <w:color w:val="231F20"/>
          <w:spacing w:val="-11"/>
        </w:rPr>
        <w:t> </w:t>
      </w:r>
      <w:r>
        <w:rPr>
          <w:color w:val="231F20"/>
        </w:rPr>
        <w:t>y</w:t>
      </w:r>
      <w:r>
        <w:rPr>
          <w:color w:val="231F20"/>
          <w:spacing w:val="-11"/>
        </w:rPr>
        <w:t> </w:t>
      </w:r>
      <w:r>
        <w:rPr>
          <w:color w:val="231F20"/>
        </w:rPr>
        <w:t>numerosas</w:t>
      </w:r>
      <w:r>
        <w:rPr>
          <w:color w:val="231F20"/>
          <w:spacing w:val="-11"/>
        </w:rPr>
        <w:t> </w:t>
      </w:r>
      <w:r>
        <w:rPr>
          <w:color w:val="231F20"/>
        </w:rPr>
        <w:t>innovaciones</w:t>
      </w:r>
      <w:r>
        <w:rPr>
          <w:color w:val="231F20"/>
          <w:spacing w:val="-11"/>
        </w:rPr>
        <w:t> </w:t>
      </w:r>
      <w:r>
        <w:rPr>
          <w:color w:val="231F20"/>
        </w:rPr>
        <w:t>que</w:t>
      </w:r>
      <w:r>
        <w:rPr>
          <w:color w:val="231F20"/>
          <w:spacing w:val="-11"/>
        </w:rPr>
        <w:t> </w:t>
      </w:r>
      <w:r>
        <w:rPr>
          <w:color w:val="231F20"/>
        </w:rPr>
        <w:t>están</w:t>
      </w:r>
      <w:r>
        <w:rPr>
          <w:color w:val="231F20"/>
          <w:spacing w:val="-11"/>
        </w:rPr>
        <w:t> </w:t>
      </w:r>
      <w:r>
        <w:rPr>
          <w:color w:val="231F20"/>
        </w:rPr>
        <w:t>revolucionando</w:t>
      </w:r>
      <w:r>
        <w:rPr>
          <w:color w:val="231F20"/>
          <w:spacing w:val="-11"/>
        </w:rPr>
        <w:t> </w:t>
      </w:r>
      <w:r>
        <w:rPr>
          <w:color w:val="231F20"/>
        </w:rPr>
        <w:t>el</w:t>
      </w:r>
      <w:r>
        <w:rPr>
          <w:color w:val="231F20"/>
          <w:spacing w:val="-11"/>
        </w:rPr>
        <w:t> </w:t>
      </w:r>
      <w:r>
        <w:rPr>
          <w:color w:val="231F20"/>
        </w:rPr>
        <w:t>sector</w:t>
      </w:r>
      <w:r>
        <w:rPr>
          <w:color w:val="231F20"/>
          <w:spacing w:val="-11"/>
        </w:rPr>
        <w:t> </w:t>
      </w:r>
      <w:r>
        <w:rPr>
          <w:color w:val="231F20"/>
        </w:rPr>
        <w:t>automotriz;</w:t>
      </w:r>
      <w:r>
        <w:rPr>
          <w:color w:val="231F20"/>
          <w:spacing w:val="-11"/>
        </w:rPr>
        <w:t> </w:t>
      </w:r>
      <w:r>
        <w:rPr>
          <w:color w:val="231F20"/>
        </w:rPr>
        <w:t>sin</w:t>
      </w:r>
      <w:r>
        <w:rPr>
          <w:color w:val="231F20"/>
          <w:spacing w:val="-11"/>
        </w:rPr>
        <w:t> </w:t>
      </w:r>
      <w:r>
        <w:rPr>
          <w:color w:val="231F20"/>
        </w:rPr>
        <w:t>duda, la más relevante tiene que ver con la producción de vehículos híbridos y eléctricos. Prácticamente todas las armadoras han comenzado la producción de esta clase de au- tomóviles</w:t>
      </w:r>
      <w:r>
        <w:rPr>
          <w:color w:val="231F20"/>
          <w:spacing w:val="-15"/>
        </w:rPr>
        <w:t> </w:t>
      </w:r>
      <w:r>
        <w:rPr>
          <w:color w:val="231F20"/>
          <w:spacing w:val="-8"/>
        </w:rPr>
        <w:t>y,</w:t>
      </w:r>
      <w:r>
        <w:rPr>
          <w:color w:val="231F20"/>
          <w:spacing w:val="-15"/>
        </w:rPr>
        <w:t> </w:t>
      </w:r>
      <w:r>
        <w:rPr>
          <w:color w:val="231F20"/>
        </w:rPr>
        <w:t>en</w:t>
      </w:r>
      <w:r>
        <w:rPr>
          <w:color w:val="231F20"/>
          <w:spacing w:val="-15"/>
        </w:rPr>
        <w:t> </w:t>
      </w:r>
      <w:r>
        <w:rPr>
          <w:color w:val="231F20"/>
        </w:rPr>
        <w:t>algunos</w:t>
      </w:r>
      <w:r>
        <w:rPr>
          <w:color w:val="231F20"/>
          <w:spacing w:val="-15"/>
        </w:rPr>
        <w:t> </w:t>
      </w:r>
      <w:r>
        <w:rPr>
          <w:color w:val="231F20"/>
        </w:rPr>
        <w:t>casos,</w:t>
      </w:r>
      <w:r>
        <w:rPr>
          <w:color w:val="231F20"/>
          <w:spacing w:val="-15"/>
        </w:rPr>
        <w:t> </w:t>
      </w:r>
      <w:r>
        <w:rPr>
          <w:color w:val="231F20"/>
        </w:rPr>
        <w:t>camiones</w:t>
      </w:r>
      <w:r>
        <w:rPr>
          <w:color w:val="231F20"/>
          <w:spacing w:val="-15"/>
        </w:rPr>
        <w:t> </w:t>
      </w:r>
      <w:r>
        <w:rPr>
          <w:color w:val="231F20"/>
        </w:rPr>
        <w:t>de</w:t>
      </w:r>
      <w:r>
        <w:rPr>
          <w:color w:val="231F20"/>
          <w:spacing w:val="-15"/>
        </w:rPr>
        <w:t> </w:t>
      </w:r>
      <w:r>
        <w:rPr>
          <w:color w:val="231F20"/>
        </w:rPr>
        <w:t>pasajeros.</w:t>
      </w:r>
      <w:r>
        <w:rPr>
          <w:color w:val="231F20"/>
          <w:spacing w:val="-15"/>
        </w:rPr>
        <w:t> </w:t>
      </w:r>
      <w:r>
        <w:rPr>
          <w:color w:val="231F20"/>
        </w:rPr>
        <w:t>Así,</w:t>
      </w:r>
      <w:r>
        <w:rPr>
          <w:color w:val="231F20"/>
          <w:spacing w:val="-15"/>
        </w:rPr>
        <w:t> </w:t>
      </w:r>
      <w:r>
        <w:rPr>
          <w:color w:val="231F20"/>
        </w:rPr>
        <w:t>ahora</w:t>
      </w:r>
      <w:r>
        <w:rPr>
          <w:color w:val="231F20"/>
          <w:spacing w:val="-15"/>
        </w:rPr>
        <w:t> </w:t>
      </w:r>
      <w:r>
        <w:rPr>
          <w:color w:val="231F20"/>
        </w:rPr>
        <w:t>las</w:t>
      </w:r>
      <w:r>
        <w:rPr>
          <w:color w:val="231F20"/>
          <w:spacing w:val="-15"/>
        </w:rPr>
        <w:t> </w:t>
      </w:r>
      <w:r>
        <w:rPr>
          <w:color w:val="231F20"/>
        </w:rPr>
        <w:t>grandes</w:t>
      </w:r>
      <w:r>
        <w:rPr>
          <w:color w:val="231F20"/>
          <w:spacing w:val="-15"/>
        </w:rPr>
        <w:t> </w:t>
      </w:r>
      <w:r>
        <w:rPr>
          <w:color w:val="231F20"/>
        </w:rPr>
        <w:t>armadoras apuestan a la producción y la venta de vehículos híbridos como el motor que marcará las pautas dentro del sector en los años</w:t>
      </w:r>
      <w:r>
        <w:rPr>
          <w:color w:val="231F20"/>
          <w:spacing w:val="-31"/>
        </w:rPr>
        <w:t> </w:t>
      </w:r>
      <w:r>
        <w:rPr>
          <w:color w:val="231F20"/>
        </w:rPr>
        <w:t>próximos.</w:t>
      </w:r>
    </w:p>
    <w:p>
      <w:pPr>
        <w:pStyle w:val="BodyText"/>
        <w:spacing w:line="278" w:lineRule="auto" w:before="1"/>
        <w:ind w:left="123" w:right="650" w:firstLine="396"/>
        <w:jc w:val="both"/>
      </w:pPr>
      <w:r>
        <w:rPr>
          <w:color w:val="231F20"/>
        </w:rPr>
        <w:t>Sólo por señalar algunos, en el cuadro II.1 se presentan diversos modelos de au- tomóviles híbridos y eléctricos, de acuerdo con las propias armadoras, de los que se espera que pueda generalizarse su uso en los años próximos.</w:t>
      </w:r>
    </w:p>
    <w:p>
      <w:pPr>
        <w:pStyle w:val="BodyText"/>
        <w:rPr>
          <w:sz w:val="20"/>
        </w:rPr>
      </w:pPr>
    </w:p>
    <w:p>
      <w:pPr>
        <w:pStyle w:val="BodyText"/>
        <w:spacing w:before="8"/>
        <w:rPr>
          <w:sz w:val="25"/>
        </w:rPr>
      </w:pPr>
      <w:r>
        <w:rPr/>
        <w:pict>
          <v:line style="position:absolute;mso-position-horizontal-relative:page;mso-position-vertical-relative:paragraph;z-index:6544;mso-wrap-distance-left:0;mso-wrap-distance-right:0" from="65.196899pt,16.975567pt" to="206.928899pt,16.975567pt" stroked="true" strokeweight=".5pt" strokecolor="#231f20">
            <w10:wrap type="topAndBottom"/>
          </v:line>
        </w:pict>
      </w:r>
    </w:p>
    <w:p>
      <w:pPr>
        <w:spacing w:before="43"/>
        <w:ind w:left="123" w:right="646" w:firstLine="0"/>
        <w:jc w:val="left"/>
        <w:rPr>
          <w:sz w:val="16"/>
        </w:rPr>
      </w:pPr>
      <w:r>
        <w:rPr>
          <w:color w:val="231F20"/>
          <w:position w:val="5"/>
          <w:sz w:val="9"/>
        </w:rPr>
        <w:t>9   </w:t>
      </w:r>
      <w:r>
        <w:rPr>
          <w:color w:val="231F20"/>
          <w:sz w:val="16"/>
        </w:rPr>
        <w:t>Véase Leoni (2015), en el portal Top Speed.</w:t>
      </w:r>
    </w:p>
    <w:p>
      <w:pPr>
        <w:spacing w:after="0"/>
        <w:jc w:val="left"/>
        <w:rPr>
          <w:sz w:val="16"/>
        </w:rPr>
        <w:sectPr>
          <w:pgSz w:w="9640" w:h="13040"/>
          <w:pgMar w:header="520" w:footer="654" w:top="880" w:bottom="840" w:left="1180" w:right="480"/>
        </w:sectPr>
      </w:pPr>
    </w:p>
    <w:p>
      <w:pPr>
        <w:pStyle w:val="BodyText"/>
        <w:rPr>
          <w:sz w:val="20"/>
        </w:rPr>
      </w:pPr>
    </w:p>
    <w:p>
      <w:pPr>
        <w:pStyle w:val="BodyText"/>
        <w:spacing w:before="5"/>
      </w:pPr>
    </w:p>
    <w:p>
      <w:pPr>
        <w:pStyle w:val="Heading4"/>
        <w:spacing w:before="35"/>
        <w:ind w:left="791" w:right="262"/>
      </w:pPr>
      <w:r>
        <w:rPr>
          <w:color w:val="231F20"/>
          <w:w w:val="95"/>
        </w:rPr>
        <w:t>Cuadro II.1</w:t>
      </w:r>
    </w:p>
    <w:p>
      <w:pPr>
        <w:spacing w:line="282" w:lineRule="exact" w:before="0"/>
        <w:ind w:left="791" w:right="262" w:firstLine="0"/>
        <w:jc w:val="center"/>
        <w:rPr>
          <w:rFonts w:ascii="Palatino Linotype" w:hAnsi="Palatino Linotype"/>
          <w:b/>
          <w:sz w:val="21"/>
        </w:rPr>
      </w:pPr>
      <w:r>
        <w:rPr>
          <w:rFonts w:ascii="Palatino Linotype" w:hAnsi="Palatino Linotype"/>
          <w:b/>
          <w:color w:val="231F20"/>
          <w:w w:val="90"/>
          <w:sz w:val="21"/>
        </w:rPr>
        <w:t>Algunos modelos que cuentan con nuevas tecnologías por empresa</w:t>
      </w:r>
    </w:p>
    <w:p>
      <w:pPr>
        <w:pStyle w:val="BodyText"/>
        <w:spacing w:before="11" w:after="1"/>
        <w:rPr>
          <w:rFonts w:ascii="Palatino Linotype"/>
          <w:b/>
          <w:sz w:val="13"/>
        </w:rPr>
      </w:pPr>
    </w:p>
    <w:tbl>
      <w:tblPr>
        <w:tblW w:w="0" w:type="auto"/>
        <w:jc w:val="left"/>
        <w:tblInd w:w="65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15"/>
        <w:gridCol w:w="1191"/>
        <w:gridCol w:w="3402"/>
        <w:gridCol w:w="1582"/>
      </w:tblGrid>
      <w:tr>
        <w:trPr>
          <w:trHeight w:val="395" w:hRule="exact"/>
        </w:trPr>
        <w:tc>
          <w:tcPr>
            <w:tcW w:w="1015" w:type="dxa"/>
          </w:tcPr>
          <w:p>
            <w:pPr>
              <w:pStyle w:val="TableParagraph"/>
              <w:spacing w:before="82"/>
              <w:ind w:left="58" w:right="58"/>
              <w:rPr>
                <w:rFonts w:ascii="Palatino Linotype"/>
                <w:b/>
                <w:sz w:val="16"/>
              </w:rPr>
            </w:pPr>
            <w:r>
              <w:rPr>
                <w:rFonts w:ascii="Palatino Linotype"/>
                <w:b/>
                <w:color w:val="231F20"/>
                <w:sz w:val="16"/>
              </w:rPr>
              <w:t>Empresa</w:t>
            </w:r>
          </w:p>
        </w:tc>
        <w:tc>
          <w:tcPr>
            <w:tcW w:w="1191" w:type="dxa"/>
          </w:tcPr>
          <w:p>
            <w:pPr>
              <w:pStyle w:val="TableParagraph"/>
              <w:spacing w:before="82"/>
              <w:ind w:left="334"/>
              <w:jc w:val="left"/>
              <w:rPr>
                <w:rFonts w:ascii="Palatino Linotype"/>
                <w:b/>
                <w:sz w:val="16"/>
              </w:rPr>
            </w:pPr>
            <w:r>
              <w:rPr>
                <w:rFonts w:ascii="Palatino Linotype"/>
                <w:b/>
                <w:color w:val="231F20"/>
                <w:sz w:val="16"/>
              </w:rPr>
              <w:t>Modelo</w:t>
            </w:r>
          </w:p>
        </w:tc>
        <w:tc>
          <w:tcPr>
            <w:tcW w:w="3402" w:type="dxa"/>
          </w:tcPr>
          <w:p>
            <w:pPr>
              <w:pStyle w:val="TableParagraph"/>
              <w:spacing w:before="82"/>
              <w:ind w:left="1147" w:right="1147"/>
              <w:rPr>
                <w:rFonts w:ascii="Palatino Linotype" w:hAnsi="Palatino Linotype"/>
                <w:b/>
                <w:sz w:val="16"/>
              </w:rPr>
            </w:pPr>
            <w:r>
              <w:rPr>
                <w:rFonts w:ascii="Palatino Linotype" w:hAnsi="Palatino Linotype"/>
                <w:b/>
                <w:color w:val="231F20"/>
                <w:sz w:val="16"/>
              </w:rPr>
              <w:t>Características</w:t>
            </w:r>
          </w:p>
        </w:tc>
        <w:tc>
          <w:tcPr>
            <w:tcW w:w="1582" w:type="dxa"/>
          </w:tcPr>
          <w:p>
            <w:pPr>
              <w:pStyle w:val="TableParagraph"/>
              <w:spacing w:before="82"/>
              <w:ind w:left="61" w:right="61"/>
              <w:rPr>
                <w:rFonts w:ascii="Palatino Linotype" w:hAnsi="Palatino Linotype"/>
                <w:b/>
                <w:sz w:val="16"/>
              </w:rPr>
            </w:pPr>
            <w:r>
              <w:rPr>
                <w:rFonts w:ascii="Palatino Linotype" w:hAnsi="Palatino Linotype"/>
                <w:b/>
                <w:color w:val="231F20"/>
                <w:w w:val="95"/>
                <w:sz w:val="16"/>
              </w:rPr>
              <w:t>Año de venta</w:t>
            </w:r>
          </w:p>
        </w:tc>
      </w:tr>
      <w:tr>
        <w:trPr>
          <w:trHeight w:val="833" w:hRule="exact"/>
        </w:trPr>
        <w:tc>
          <w:tcPr>
            <w:tcW w:w="1015" w:type="dxa"/>
            <w:vMerge w:val="restart"/>
          </w:tcPr>
          <w:p>
            <w:pPr>
              <w:pStyle w:val="TableParagraph"/>
              <w:jc w:val="left"/>
              <w:rPr>
                <w:rFonts w:ascii="Palatino Linotype"/>
                <w:b/>
                <w:sz w:val="16"/>
              </w:rPr>
            </w:pPr>
          </w:p>
          <w:p>
            <w:pPr>
              <w:pStyle w:val="TableParagraph"/>
              <w:jc w:val="left"/>
              <w:rPr>
                <w:rFonts w:ascii="Palatino Linotype"/>
                <w:b/>
                <w:sz w:val="16"/>
              </w:rPr>
            </w:pPr>
          </w:p>
          <w:p>
            <w:pPr>
              <w:pStyle w:val="TableParagraph"/>
              <w:spacing w:before="127"/>
              <w:ind w:left="286"/>
              <w:jc w:val="left"/>
              <w:rPr>
                <w:sz w:val="16"/>
              </w:rPr>
            </w:pPr>
            <w:r>
              <w:rPr>
                <w:color w:val="231F20"/>
                <w:sz w:val="16"/>
              </w:rPr>
              <w:t>Nissan</w:t>
            </w:r>
          </w:p>
        </w:tc>
        <w:tc>
          <w:tcPr>
            <w:tcW w:w="1191" w:type="dxa"/>
          </w:tcPr>
          <w:p>
            <w:pPr>
              <w:pStyle w:val="TableParagraph"/>
              <w:spacing w:before="10"/>
              <w:jc w:val="left"/>
              <w:rPr>
                <w:rFonts w:ascii="Palatino Linotype"/>
                <w:b/>
                <w:sz w:val="23"/>
              </w:rPr>
            </w:pPr>
          </w:p>
          <w:p>
            <w:pPr>
              <w:pStyle w:val="TableParagraph"/>
              <w:ind w:left="188"/>
              <w:jc w:val="left"/>
              <w:rPr>
                <w:sz w:val="16"/>
              </w:rPr>
            </w:pPr>
            <w:r>
              <w:rPr>
                <w:color w:val="231F20"/>
                <w:sz w:val="16"/>
              </w:rPr>
              <w:t>Tino Hybrid</w:t>
            </w:r>
          </w:p>
        </w:tc>
        <w:tc>
          <w:tcPr>
            <w:tcW w:w="3402" w:type="dxa"/>
          </w:tcPr>
          <w:p>
            <w:pPr>
              <w:pStyle w:val="TableParagraph"/>
              <w:spacing w:line="176" w:lineRule="exact" w:before="65"/>
              <w:ind w:left="56" w:right="143"/>
              <w:jc w:val="left"/>
              <w:rPr>
                <w:sz w:val="16"/>
              </w:rPr>
            </w:pPr>
            <w:r>
              <w:rPr>
                <w:color w:val="231F20"/>
                <w:sz w:val="16"/>
              </w:rPr>
              <w:t>En comparación con el modelo Tino con motor de gasolina, el híbrido mejora la economía de combustible</w:t>
            </w:r>
            <w:r>
              <w:rPr>
                <w:color w:val="231F20"/>
                <w:spacing w:val="-7"/>
                <w:sz w:val="16"/>
              </w:rPr>
              <w:t> </w:t>
            </w:r>
            <w:r>
              <w:rPr>
                <w:color w:val="231F20"/>
                <w:sz w:val="16"/>
              </w:rPr>
              <w:t>en</w:t>
            </w:r>
            <w:r>
              <w:rPr>
                <w:color w:val="231F20"/>
                <w:spacing w:val="-7"/>
                <w:sz w:val="16"/>
              </w:rPr>
              <w:t> </w:t>
            </w:r>
            <w:r>
              <w:rPr>
                <w:color w:val="231F20"/>
                <w:sz w:val="16"/>
              </w:rPr>
              <w:t>más</w:t>
            </w:r>
            <w:r>
              <w:rPr>
                <w:color w:val="231F20"/>
                <w:spacing w:val="-7"/>
                <w:sz w:val="16"/>
              </w:rPr>
              <w:t> </w:t>
            </w:r>
            <w:r>
              <w:rPr>
                <w:color w:val="231F20"/>
                <w:sz w:val="16"/>
              </w:rPr>
              <w:t>del</w:t>
            </w:r>
            <w:r>
              <w:rPr>
                <w:color w:val="231F20"/>
                <w:spacing w:val="-7"/>
                <w:sz w:val="16"/>
              </w:rPr>
              <w:t> </w:t>
            </w:r>
            <w:r>
              <w:rPr>
                <w:color w:val="231F20"/>
                <w:sz w:val="16"/>
              </w:rPr>
              <w:t>doble,</w:t>
            </w:r>
            <w:r>
              <w:rPr>
                <w:color w:val="231F20"/>
                <w:spacing w:val="-7"/>
                <w:sz w:val="16"/>
              </w:rPr>
              <w:t> </w:t>
            </w:r>
            <w:r>
              <w:rPr>
                <w:color w:val="231F20"/>
                <w:sz w:val="16"/>
              </w:rPr>
              <w:t>a</w:t>
            </w:r>
            <w:r>
              <w:rPr>
                <w:color w:val="231F20"/>
                <w:spacing w:val="-7"/>
                <w:sz w:val="16"/>
              </w:rPr>
              <w:t> </w:t>
            </w:r>
            <w:r>
              <w:rPr>
                <w:color w:val="231F20"/>
                <w:sz w:val="16"/>
              </w:rPr>
              <w:t>la</w:t>
            </w:r>
            <w:r>
              <w:rPr>
                <w:color w:val="231F20"/>
                <w:spacing w:val="-7"/>
                <w:sz w:val="16"/>
              </w:rPr>
              <w:t> </w:t>
            </w:r>
            <w:r>
              <w:rPr>
                <w:color w:val="231F20"/>
                <w:sz w:val="16"/>
              </w:rPr>
              <w:t>vez</w:t>
            </w:r>
            <w:r>
              <w:rPr>
                <w:color w:val="231F20"/>
                <w:spacing w:val="-7"/>
                <w:sz w:val="16"/>
              </w:rPr>
              <w:t> </w:t>
            </w:r>
            <w:r>
              <w:rPr>
                <w:color w:val="231F20"/>
                <w:sz w:val="16"/>
              </w:rPr>
              <w:t>que</w:t>
            </w:r>
            <w:r>
              <w:rPr>
                <w:color w:val="231F20"/>
                <w:spacing w:val="-7"/>
                <w:sz w:val="16"/>
              </w:rPr>
              <w:t> </w:t>
            </w:r>
            <w:r>
              <w:rPr>
                <w:color w:val="231F20"/>
                <w:sz w:val="16"/>
              </w:rPr>
              <w:t>reducir el</w:t>
            </w:r>
            <w:r>
              <w:rPr>
                <w:color w:val="231F20"/>
                <w:spacing w:val="-6"/>
                <w:sz w:val="16"/>
              </w:rPr>
              <w:t> </w:t>
            </w:r>
            <w:r>
              <w:rPr>
                <w:color w:val="231F20"/>
                <w:sz w:val="16"/>
              </w:rPr>
              <w:t>dióxido</w:t>
            </w:r>
            <w:r>
              <w:rPr>
                <w:color w:val="231F20"/>
                <w:spacing w:val="-6"/>
                <w:sz w:val="16"/>
              </w:rPr>
              <w:t> </w:t>
            </w:r>
            <w:r>
              <w:rPr>
                <w:color w:val="231F20"/>
                <w:sz w:val="16"/>
              </w:rPr>
              <w:t>de</w:t>
            </w:r>
            <w:r>
              <w:rPr>
                <w:color w:val="231F20"/>
                <w:spacing w:val="-6"/>
                <w:sz w:val="16"/>
              </w:rPr>
              <w:t> </w:t>
            </w:r>
            <w:r>
              <w:rPr>
                <w:color w:val="231F20"/>
                <w:sz w:val="16"/>
              </w:rPr>
              <w:t>carbono</w:t>
            </w:r>
            <w:r>
              <w:rPr>
                <w:color w:val="231F20"/>
                <w:spacing w:val="-6"/>
                <w:sz w:val="16"/>
              </w:rPr>
              <w:t> </w:t>
            </w:r>
            <w:r>
              <w:rPr>
                <w:color w:val="231F20"/>
                <w:sz w:val="16"/>
              </w:rPr>
              <w:t>(CO2)</w:t>
            </w:r>
            <w:r>
              <w:rPr>
                <w:color w:val="231F20"/>
                <w:spacing w:val="-6"/>
                <w:sz w:val="16"/>
              </w:rPr>
              <w:t> </w:t>
            </w:r>
            <w:r>
              <w:rPr>
                <w:color w:val="231F20"/>
                <w:sz w:val="16"/>
              </w:rPr>
              <w:t>en</w:t>
            </w:r>
            <w:r>
              <w:rPr>
                <w:color w:val="231F20"/>
                <w:spacing w:val="-6"/>
                <w:sz w:val="16"/>
              </w:rPr>
              <w:t> </w:t>
            </w:r>
            <w:r>
              <w:rPr>
                <w:color w:val="231F20"/>
                <w:sz w:val="16"/>
              </w:rPr>
              <w:t>más</w:t>
            </w:r>
            <w:r>
              <w:rPr>
                <w:color w:val="231F20"/>
                <w:spacing w:val="-6"/>
                <w:sz w:val="16"/>
              </w:rPr>
              <w:t> </w:t>
            </w:r>
            <w:r>
              <w:rPr>
                <w:color w:val="231F20"/>
                <w:sz w:val="16"/>
              </w:rPr>
              <w:t>del</w:t>
            </w:r>
            <w:r>
              <w:rPr>
                <w:color w:val="231F20"/>
                <w:spacing w:val="-6"/>
                <w:sz w:val="16"/>
              </w:rPr>
              <w:t> </w:t>
            </w:r>
            <w:r>
              <w:rPr>
                <w:color w:val="231F20"/>
                <w:sz w:val="16"/>
              </w:rPr>
              <w:t>50%.</w:t>
            </w:r>
          </w:p>
        </w:tc>
        <w:tc>
          <w:tcPr>
            <w:tcW w:w="1582" w:type="dxa"/>
          </w:tcPr>
          <w:p>
            <w:pPr>
              <w:pStyle w:val="TableParagraph"/>
              <w:spacing w:before="10"/>
              <w:jc w:val="left"/>
              <w:rPr>
                <w:rFonts w:ascii="Palatino Linotype"/>
                <w:b/>
                <w:sz w:val="23"/>
              </w:rPr>
            </w:pPr>
          </w:p>
          <w:p>
            <w:pPr>
              <w:pStyle w:val="TableParagraph"/>
              <w:ind w:left="61" w:right="61"/>
              <w:rPr>
                <w:sz w:val="16"/>
              </w:rPr>
            </w:pPr>
            <w:r>
              <w:rPr>
                <w:color w:val="231F20"/>
                <w:sz w:val="16"/>
              </w:rPr>
              <w:t>2000-2006</w:t>
            </w:r>
          </w:p>
        </w:tc>
      </w:tr>
      <w:tr>
        <w:trPr>
          <w:trHeight w:val="476" w:hRule="exact"/>
        </w:trPr>
        <w:tc>
          <w:tcPr>
            <w:tcW w:w="1015" w:type="dxa"/>
            <w:vMerge/>
          </w:tcPr>
          <w:p>
            <w:pPr/>
          </w:p>
        </w:tc>
        <w:tc>
          <w:tcPr>
            <w:tcW w:w="1191" w:type="dxa"/>
          </w:tcPr>
          <w:p>
            <w:pPr>
              <w:pStyle w:val="TableParagraph"/>
              <w:spacing w:before="142"/>
              <w:ind w:left="213"/>
              <w:jc w:val="left"/>
              <w:rPr>
                <w:sz w:val="16"/>
              </w:rPr>
            </w:pPr>
            <w:r>
              <w:rPr>
                <w:color w:val="231F20"/>
                <w:sz w:val="16"/>
              </w:rPr>
              <w:t>Deriki cube</w:t>
            </w:r>
          </w:p>
        </w:tc>
        <w:tc>
          <w:tcPr>
            <w:tcW w:w="3402" w:type="dxa"/>
          </w:tcPr>
          <w:p>
            <w:pPr>
              <w:pStyle w:val="TableParagraph"/>
              <w:spacing w:line="176" w:lineRule="exact" w:before="62"/>
              <w:ind w:left="56" w:right="98"/>
              <w:jc w:val="left"/>
              <w:rPr>
                <w:sz w:val="16"/>
              </w:rPr>
            </w:pPr>
            <w:r>
              <w:rPr>
                <w:color w:val="231F20"/>
                <w:sz w:val="16"/>
              </w:rPr>
              <w:t>Eléctrico, puede </w:t>
            </w:r>
            <w:r>
              <w:rPr>
                <w:color w:val="231F20"/>
                <w:spacing w:val="-3"/>
                <w:sz w:val="16"/>
              </w:rPr>
              <w:t>recorrer </w:t>
            </w:r>
            <w:r>
              <w:rPr>
                <w:color w:val="231F20"/>
                <w:sz w:val="16"/>
              </w:rPr>
              <w:t>160 km, </w:t>
            </w:r>
            <w:r>
              <w:rPr>
                <w:color w:val="231F20"/>
                <w:spacing w:val="-2"/>
                <w:sz w:val="16"/>
              </w:rPr>
              <w:t>con </w:t>
            </w:r>
            <w:r>
              <w:rPr>
                <w:color w:val="231F20"/>
                <w:sz w:val="16"/>
              </w:rPr>
              <w:t>una </w:t>
            </w:r>
            <w:r>
              <w:rPr>
                <w:color w:val="231F20"/>
                <w:spacing w:val="-3"/>
                <w:sz w:val="16"/>
              </w:rPr>
              <w:t>carga </w:t>
            </w:r>
            <w:r>
              <w:rPr>
                <w:color w:val="231F20"/>
                <w:sz w:val="16"/>
              </w:rPr>
              <w:t>de batería de </w:t>
            </w:r>
            <w:r>
              <w:rPr>
                <w:color w:val="231F20"/>
                <w:spacing w:val="-3"/>
                <w:sz w:val="16"/>
              </w:rPr>
              <w:t>Ion-Litio </w:t>
            </w:r>
            <w:r>
              <w:rPr>
                <w:color w:val="231F20"/>
                <w:sz w:val="16"/>
              </w:rPr>
              <w:t>a una velocidad de 120 km/h.</w:t>
            </w:r>
          </w:p>
        </w:tc>
        <w:tc>
          <w:tcPr>
            <w:tcW w:w="1582" w:type="dxa"/>
          </w:tcPr>
          <w:p>
            <w:pPr>
              <w:pStyle w:val="TableParagraph"/>
              <w:spacing w:before="142"/>
              <w:ind w:left="61" w:right="61"/>
              <w:rPr>
                <w:sz w:val="16"/>
              </w:rPr>
            </w:pPr>
            <w:r>
              <w:rPr>
                <w:color w:val="231F20"/>
                <w:sz w:val="16"/>
              </w:rPr>
              <w:t>2009</w:t>
            </w:r>
          </w:p>
        </w:tc>
      </w:tr>
      <w:tr>
        <w:trPr>
          <w:trHeight w:val="1332" w:hRule="exact"/>
        </w:trPr>
        <w:tc>
          <w:tcPr>
            <w:tcW w:w="1015" w:type="dxa"/>
            <w:vMerge w:val="restart"/>
          </w:tcPr>
          <w:p>
            <w:pPr>
              <w:pStyle w:val="TableParagraph"/>
              <w:jc w:val="left"/>
              <w:rPr>
                <w:rFonts w:ascii="Palatino Linotype"/>
                <w:b/>
                <w:sz w:val="16"/>
              </w:rPr>
            </w:pPr>
          </w:p>
          <w:p>
            <w:pPr>
              <w:pStyle w:val="TableParagraph"/>
              <w:jc w:val="left"/>
              <w:rPr>
                <w:rFonts w:ascii="Palatino Linotype"/>
                <w:b/>
                <w:sz w:val="16"/>
              </w:rPr>
            </w:pPr>
          </w:p>
          <w:p>
            <w:pPr>
              <w:pStyle w:val="TableParagraph"/>
              <w:jc w:val="left"/>
              <w:rPr>
                <w:rFonts w:ascii="Palatino Linotype"/>
                <w:b/>
                <w:sz w:val="16"/>
              </w:rPr>
            </w:pPr>
          </w:p>
          <w:p>
            <w:pPr>
              <w:pStyle w:val="TableParagraph"/>
              <w:jc w:val="left"/>
              <w:rPr>
                <w:rFonts w:ascii="Palatino Linotype"/>
                <w:b/>
                <w:sz w:val="16"/>
              </w:rPr>
            </w:pPr>
          </w:p>
          <w:p>
            <w:pPr>
              <w:pStyle w:val="TableParagraph"/>
              <w:jc w:val="left"/>
              <w:rPr>
                <w:rFonts w:ascii="Palatino Linotype"/>
                <w:b/>
                <w:sz w:val="16"/>
              </w:rPr>
            </w:pPr>
          </w:p>
          <w:p>
            <w:pPr>
              <w:pStyle w:val="TableParagraph"/>
              <w:spacing w:before="7"/>
              <w:jc w:val="left"/>
              <w:rPr>
                <w:rFonts w:ascii="Palatino Linotype"/>
                <w:b/>
                <w:sz w:val="22"/>
              </w:rPr>
            </w:pPr>
          </w:p>
          <w:p>
            <w:pPr>
              <w:pStyle w:val="TableParagraph"/>
              <w:ind w:left="285"/>
              <w:jc w:val="left"/>
              <w:rPr>
                <w:sz w:val="16"/>
              </w:rPr>
            </w:pPr>
            <w:r>
              <w:rPr>
                <w:color w:val="231F20"/>
                <w:sz w:val="16"/>
              </w:rPr>
              <w:t>Toyota</w:t>
            </w:r>
          </w:p>
        </w:tc>
        <w:tc>
          <w:tcPr>
            <w:tcW w:w="1191" w:type="dxa"/>
          </w:tcPr>
          <w:p>
            <w:pPr>
              <w:pStyle w:val="TableParagraph"/>
              <w:jc w:val="left"/>
              <w:rPr>
                <w:rFonts w:ascii="Palatino Linotype"/>
                <w:b/>
                <w:sz w:val="16"/>
              </w:rPr>
            </w:pPr>
          </w:p>
          <w:p>
            <w:pPr>
              <w:pStyle w:val="TableParagraph"/>
              <w:jc w:val="left"/>
              <w:rPr>
                <w:rFonts w:ascii="Palatino Linotype"/>
                <w:b/>
                <w:sz w:val="16"/>
              </w:rPr>
            </w:pPr>
          </w:p>
          <w:p>
            <w:pPr>
              <w:pStyle w:val="TableParagraph"/>
              <w:spacing w:before="138"/>
              <w:ind w:left="405" w:right="405"/>
              <w:rPr>
                <w:sz w:val="16"/>
              </w:rPr>
            </w:pPr>
            <w:r>
              <w:rPr>
                <w:color w:val="231F20"/>
                <w:sz w:val="16"/>
              </w:rPr>
              <w:t>Prius</w:t>
            </w:r>
          </w:p>
        </w:tc>
        <w:tc>
          <w:tcPr>
            <w:tcW w:w="3402" w:type="dxa"/>
          </w:tcPr>
          <w:p>
            <w:pPr>
              <w:pStyle w:val="TableParagraph"/>
              <w:spacing w:line="176" w:lineRule="exact" w:before="50"/>
              <w:ind w:left="56" w:right="47"/>
              <w:jc w:val="left"/>
              <w:rPr>
                <w:sz w:val="16"/>
              </w:rPr>
            </w:pPr>
            <w:r>
              <w:rPr>
                <w:color w:val="231F20"/>
                <w:spacing w:val="-3"/>
                <w:sz w:val="16"/>
              </w:rPr>
              <w:t>Cuenta </w:t>
            </w:r>
            <w:r>
              <w:rPr>
                <w:color w:val="231F20"/>
                <w:spacing w:val="-2"/>
                <w:sz w:val="16"/>
              </w:rPr>
              <w:t>con </w:t>
            </w:r>
            <w:r>
              <w:rPr>
                <w:color w:val="231F20"/>
                <w:sz w:val="16"/>
              </w:rPr>
              <w:t>un </w:t>
            </w:r>
            <w:r>
              <w:rPr>
                <w:color w:val="231F20"/>
                <w:spacing w:val="-3"/>
                <w:sz w:val="16"/>
              </w:rPr>
              <w:t>sitema </w:t>
            </w:r>
            <w:r>
              <w:rPr>
                <w:color w:val="231F20"/>
                <w:sz w:val="16"/>
              </w:rPr>
              <w:t>híbrido </w:t>
            </w:r>
            <w:r>
              <w:rPr>
                <w:color w:val="231F20"/>
                <w:spacing w:val="-3"/>
                <w:sz w:val="16"/>
              </w:rPr>
              <w:t>completo </w:t>
            </w:r>
            <w:r>
              <w:rPr>
                <w:color w:val="231F20"/>
                <w:spacing w:val="-2"/>
                <w:sz w:val="16"/>
              </w:rPr>
              <w:t>que </w:t>
            </w:r>
            <w:r>
              <w:rPr>
                <w:color w:val="231F20"/>
                <w:sz w:val="16"/>
              </w:rPr>
              <w:t>es </w:t>
            </w:r>
            <w:r>
              <w:rPr>
                <w:color w:val="231F20"/>
                <w:spacing w:val="-3"/>
                <w:sz w:val="16"/>
              </w:rPr>
              <w:t>capaz </w:t>
            </w:r>
            <w:r>
              <w:rPr>
                <w:color w:val="231F20"/>
                <w:sz w:val="16"/>
              </w:rPr>
              <w:t>de </w:t>
            </w:r>
            <w:r>
              <w:rPr>
                <w:color w:val="231F20"/>
                <w:spacing w:val="-3"/>
                <w:sz w:val="16"/>
              </w:rPr>
              <w:t>operar </w:t>
            </w:r>
            <w:r>
              <w:rPr>
                <w:color w:val="231F20"/>
                <w:sz w:val="16"/>
              </w:rPr>
              <w:t>en los modos de gasolina o eléctrico, o </w:t>
            </w:r>
            <w:r>
              <w:rPr>
                <w:color w:val="231F20"/>
                <w:spacing w:val="-3"/>
                <w:sz w:val="16"/>
              </w:rPr>
              <w:t>juntos. </w:t>
            </w:r>
            <w:r>
              <w:rPr>
                <w:color w:val="231F20"/>
                <w:sz w:val="16"/>
              </w:rPr>
              <w:t>La primera </w:t>
            </w:r>
            <w:r>
              <w:rPr>
                <w:color w:val="231F20"/>
                <w:spacing w:val="-3"/>
                <w:sz w:val="16"/>
              </w:rPr>
              <w:t>versión </w:t>
            </w:r>
            <w:r>
              <w:rPr>
                <w:color w:val="231F20"/>
                <w:sz w:val="16"/>
              </w:rPr>
              <w:t>de este coche </w:t>
            </w:r>
            <w:r>
              <w:rPr>
                <w:color w:val="231F20"/>
                <w:spacing w:val="-3"/>
                <w:sz w:val="16"/>
              </w:rPr>
              <w:t>híbrido</w:t>
            </w:r>
          </w:p>
          <w:p>
            <w:pPr>
              <w:pStyle w:val="TableParagraph"/>
              <w:spacing w:line="176" w:lineRule="exact"/>
              <w:ind w:left="56" w:right="27"/>
              <w:jc w:val="left"/>
              <w:rPr>
                <w:sz w:val="16"/>
              </w:rPr>
            </w:pPr>
            <w:r>
              <w:rPr>
                <w:color w:val="231F20"/>
                <w:sz w:val="16"/>
              </w:rPr>
              <w:t>se empezó a </w:t>
            </w:r>
            <w:r>
              <w:rPr>
                <w:color w:val="231F20"/>
                <w:spacing w:val="-2"/>
                <w:sz w:val="16"/>
              </w:rPr>
              <w:t>vender </w:t>
            </w:r>
            <w:r>
              <w:rPr>
                <w:color w:val="231F20"/>
                <w:sz w:val="16"/>
              </w:rPr>
              <w:t>en </w:t>
            </w:r>
            <w:r>
              <w:rPr>
                <w:color w:val="231F20"/>
                <w:spacing w:val="-4"/>
                <w:sz w:val="16"/>
              </w:rPr>
              <w:t>Japón </w:t>
            </w:r>
            <w:r>
              <w:rPr>
                <w:color w:val="231F20"/>
                <w:sz w:val="16"/>
              </w:rPr>
              <w:t>en 1997. En 2000 se lanzó en </w:t>
            </w:r>
            <w:r>
              <w:rPr>
                <w:color w:val="231F20"/>
                <w:spacing w:val="-3"/>
                <w:sz w:val="16"/>
              </w:rPr>
              <w:t>Norteamérica </w:t>
            </w:r>
            <w:r>
              <w:rPr>
                <w:color w:val="231F20"/>
                <w:sz w:val="16"/>
              </w:rPr>
              <w:t>y </w:t>
            </w:r>
            <w:r>
              <w:rPr>
                <w:color w:val="231F20"/>
                <w:spacing w:val="-3"/>
                <w:sz w:val="16"/>
              </w:rPr>
              <w:t>Europa comercializándose </w:t>
            </w:r>
            <w:r>
              <w:rPr>
                <w:color w:val="231F20"/>
                <w:sz w:val="16"/>
              </w:rPr>
              <w:t>1,028,000 vehículos de este modelo; </w:t>
            </w:r>
            <w:r>
              <w:rPr>
                <w:color w:val="231F20"/>
                <w:spacing w:val="-3"/>
                <w:sz w:val="16"/>
              </w:rPr>
              <w:t>actualmente </w:t>
            </w:r>
            <w:r>
              <w:rPr>
                <w:color w:val="231F20"/>
                <w:sz w:val="16"/>
              </w:rPr>
              <w:t>se vende en más de 140 </w:t>
            </w:r>
            <w:r>
              <w:rPr>
                <w:color w:val="231F20"/>
                <w:spacing w:val="-3"/>
                <w:sz w:val="16"/>
              </w:rPr>
              <w:t>países.</w:t>
            </w:r>
          </w:p>
        </w:tc>
        <w:tc>
          <w:tcPr>
            <w:tcW w:w="1582" w:type="dxa"/>
          </w:tcPr>
          <w:p>
            <w:pPr>
              <w:pStyle w:val="TableParagraph"/>
              <w:jc w:val="left"/>
              <w:rPr>
                <w:rFonts w:ascii="Palatino Linotype"/>
                <w:b/>
                <w:sz w:val="16"/>
              </w:rPr>
            </w:pPr>
          </w:p>
          <w:p>
            <w:pPr>
              <w:pStyle w:val="TableParagraph"/>
              <w:spacing w:before="9"/>
              <w:jc w:val="left"/>
              <w:rPr>
                <w:rFonts w:ascii="Palatino Linotype"/>
                <w:b/>
                <w:sz w:val="19"/>
              </w:rPr>
            </w:pPr>
          </w:p>
          <w:p>
            <w:pPr>
              <w:pStyle w:val="TableParagraph"/>
              <w:spacing w:line="180" w:lineRule="exact"/>
              <w:ind w:left="61" w:right="61"/>
              <w:rPr>
                <w:sz w:val="16"/>
              </w:rPr>
            </w:pPr>
            <w:r>
              <w:rPr>
                <w:color w:val="231F20"/>
                <w:w w:val="95"/>
                <w:sz w:val="16"/>
              </w:rPr>
              <w:t>1997, 2004, 2006,</w:t>
            </w:r>
          </w:p>
          <w:p>
            <w:pPr>
              <w:pStyle w:val="TableParagraph"/>
              <w:spacing w:line="180" w:lineRule="exact"/>
              <w:ind w:left="61" w:right="61"/>
              <w:rPr>
                <w:sz w:val="16"/>
              </w:rPr>
            </w:pPr>
            <w:r>
              <w:rPr>
                <w:color w:val="231F20"/>
                <w:w w:val="95"/>
                <w:sz w:val="16"/>
              </w:rPr>
              <w:t>2010, 2015</w:t>
            </w:r>
          </w:p>
        </w:tc>
      </w:tr>
      <w:tr>
        <w:trPr>
          <w:trHeight w:val="804" w:hRule="exact"/>
        </w:trPr>
        <w:tc>
          <w:tcPr>
            <w:tcW w:w="1015" w:type="dxa"/>
            <w:vMerge/>
          </w:tcPr>
          <w:p>
            <w:pPr/>
          </w:p>
        </w:tc>
        <w:tc>
          <w:tcPr>
            <w:tcW w:w="1191" w:type="dxa"/>
          </w:tcPr>
          <w:p>
            <w:pPr>
              <w:pStyle w:val="TableParagraph"/>
              <w:spacing w:before="9"/>
              <w:jc w:val="left"/>
              <w:rPr>
                <w:rFonts w:ascii="Palatino Linotype"/>
                <w:b/>
                <w:sz w:val="22"/>
              </w:rPr>
            </w:pPr>
          </w:p>
          <w:p>
            <w:pPr>
              <w:pStyle w:val="TableParagraph"/>
              <w:ind w:left="211"/>
              <w:jc w:val="left"/>
              <w:rPr>
                <w:sz w:val="16"/>
              </w:rPr>
            </w:pPr>
            <w:r>
              <w:rPr>
                <w:color w:val="231F20"/>
                <w:sz w:val="16"/>
              </w:rPr>
              <w:t>Prius Alpha</w:t>
            </w:r>
          </w:p>
        </w:tc>
        <w:tc>
          <w:tcPr>
            <w:tcW w:w="3402" w:type="dxa"/>
          </w:tcPr>
          <w:p>
            <w:pPr>
              <w:pStyle w:val="TableParagraph"/>
              <w:spacing w:line="176" w:lineRule="exact" w:before="50"/>
              <w:ind w:left="56" w:right="311"/>
              <w:jc w:val="left"/>
              <w:rPr>
                <w:sz w:val="16"/>
              </w:rPr>
            </w:pPr>
            <w:r>
              <w:rPr>
                <w:color w:val="231F20"/>
                <w:sz w:val="16"/>
              </w:rPr>
              <w:t>Combina un motor de gasolina y uno eléctrico. Ambos funcionan en conjunto para ofrecer modos de conducción mixta y sin emisiones contaminantes.</w:t>
            </w:r>
          </w:p>
        </w:tc>
        <w:tc>
          <w:tcPr>
            <w:tcW w:w="1582" w:type="dxa"/>
          </w:tcPr>
          <w:p>
            <w:pPr>
              <w:pStyle w:val="TableParagraph"/>
              <w:spacing w:before="9"/>
              <w:jc w:val="left"/>
              <w:rPr>
                <w:rFonts w:ascii="Palatino Linotype"/>
                <w:b/>
                <w:sz w:val="22"/>
              </w:rPr>
            </w:pPr>
          </w:p>
          <w:p>
            <w:pPr>
              <w:pStyle w:val="TableParagraph"/>
              <w:ind w:left="61" w:right="61"/>
              <w:rPr>
                <w:sz w:val="16"/>
              </w:rPr>
            </w:pPr>
            <w:r>
              <w:rPr>
                <w:color w:val="231F20"/>
                <w:sz w:val="16"/>
              </w:rPr>
              <w:t>2011</w:t>
            </w:r>
          </w:p>
        </w:tc>
      </w:tr>
      <w:tr>
        <w:trPr>
          <w:trHeight w:val="471" w:hRule="exact"/>
        </w:trPr>
        <w:tc>
          <w:tcPr>
            <w:tcW w:w="1015" w:type="dxa"/>
            <w:vMerge/>
          </w:tcPr>
          <w:p>
            <w:pPr/>
          </w:p>
        </w:tc>
        <w:tc>
          <w:tcPr>
            <w:tcW w:w="1191" w:type="dxa"/>
          </w:tcPr>
          <w:p>
            <w:pPr>
              <w:pStyle w:val="TableParagraph"/>
              <w:spacing w:before="139"/>
              <w:ind w:left="392"/>
              <w:jc w:val="left"/>
              <w:rPr>
                <w:sz w:val="16"/>
              </w:rPr>
            </w:pPr>
            <w:r>
              <w:rPr>
                <w:color w:val="231F20"/>
                <w:sz w:val="16"/>
              </w:rPr>
              <w:t>Fine S</w:t>
            </w:r>
          </w:p>
        </w:tc>
        <w:tc>
          <w:tcPr>
            <w:tcW w:w="3402" w:type="dxa"/>
          </w:tcPr>
          <w:p>
            <w:pPr>
              <w:pStyle w:val="TableParagraph"/>
              <w:spacing w:line="176" w:lineRule="exact" w:before="59"/>
              <w:ind w:left="56" w:right="347"/>
              <w:jc w:val="left"/>
              <w:rPr>
                <w:sz w:val="16"/>
              </w:rPr>
            </w:pPr>
            <w:r>
              <w:rPr>
                <w:color w:val="231F20"/>
                <w:sz w:val="16"/>
              </w:rPr>
              <w:t>Es un modelo híbrido-eléctrico que utiliza una batería de combustible de hidrógeno.</w:t>
            </w:r>
          </w:p>
        </w:tc>
        <w:tc>
          <w:tcPr>
            <w:tcW w:w="1582" w:type="dxa"/>
          </w:tcPr>
          <w:p>
            <w:pPr>
              <w:pStyle w:val="TableParagraph"/>
              <w:spacing w:before="139"/>
              <w:ind w:left="61" w:right="61"/>
              <w:rPr>
                <w:sz w:val="16"/>
              </w:rPr>
            </w:pPr>
            <w:r>
              <w:rPr>
                <w:color w:val="231F20"/>
                <w:sz w:val="16"/>
              </w:rPr>
              <w:t>2003</w:t>
            </w:r>
          </w:p>
        </w:tc>
      </w:tr>
      <w:tr>
        <w:trPr>
          <w:trHeight w:val="352" w:hRule="exact"/>
        </w:trPr>
        <w:tc>
          <w:tcPr>
            <w:tcW w:w="1015" w:type="dxa"/>
            <w:vMerge/>
          </w:tcPr>
          <w:p>
            <w:pPr/>
          </w:p>
        </w:tc>
        <w:tc>
          <w:tcPr>
            <w:tcW w:w="1191" w:type="dxa"/>
          </w:tcPr>
          <w:p>
            <w:pPr>
              <w:pStyle w:val="TableParagraph"/>
              <w:spacing w:before="80"/>
              <w:ind w:left="226"/>
              <w:jc w:val="left"/>
              <w:rPr>
                <w:sz w:val="16"/>
              </w:rPr>
            </w:pPr>
            <w:r>
              <w:rPr>
                <w:color w:val="231F20"/>
                <w:w w:val="95"/>
                <w:sz w:val="16"/>
              </w:rPr>
              <w:t>Lexus 812L</w:t>
            </w:r>
          </w:p>
        </w:tc>
        <w:tc>
          <w:tcPr>
            <w:tcW w:w="3402" w:type="dxa"/>
          </w:tcPr>
          <w:p>
            <w:pPr>
              <w:pStyle w:val="TableParagraph"/>
              <w:spacing w:before="80"/>
              <w:ind w:left="56" w:right="98"/>
              <w:jc w:val="left"/>
              <w:rPr>
                <w:sz w:val="16"/>
              </w:rPr>
            </w:pPr>
            <w:r>
              <w:rPr>
                <w:color w:val="231F20"/>
                <w:sz w:val="16"/>
              </w:rPr>
              <w:t>Primer modelo de baterías de Litio-Ion de Toyota</w:t>
            </w:r>
          </w:p>
        </w:tc>
        <w:tc>
          <w:tcPr>
            <w:tcW w:w="1582" w:type="dxa"/>
          </w:tcPr>
          <w:p>
            <w:pPr>
              <w:pStyle w:val="TableParagraph"/>
              <w:spacing w:before="80"/>
              <w:ind w:left="61" w:right="61"/>
              <w:rPr>
                <w:sz w:val="16"/>
              </w:rPr>
            </w:pPr>
            <w:r>
              <w:rPr>
                <w:color w:val="231F20"/>
                <w:sz w:val="16"/>
              </w:rPr>
              <w:t>2009-2010</w:t>
            </w:r>
          </w:p>
        </w:tc>
      </w:tr>
      <w:tr>
        <w:trPr>
          <w:trHeight w:val="675" w:hRule="exact"/>
        </w:trPr>
        <w:tc>
          <w:tcPr>
            <w:tcW w:w="1015" w:type="dxa"/>
          </w:tcPr>
          <w:p>
            <w:pPr>
              <w:pStyle w:val="TableParagraph"/>
              <w:spacing w:before="11"/>
              <w:jc w:val="left"/>
              <w:rPr>
                <w:rFonts w:ascii="Palatino Linotype"/>
                <w:b/>
                <w:sz w:val="17"/>
              </w:rPr>
            </w:pPr>
          </w:p>
          <w:p>
            <w:pPr>
              <w:pStyle w:val="TableParagraph"/>
              <w:ind w:left="58" w:right="58"/>
              <w:rPr>
                <w:sz w:val="16"/>
              </w:rPr>
            </w:pPr>
            <w:r>
              <w:rPr>
                <w:color w:val="231F20"/>
                <w:sz w:val="16"/>
              </w:rPr>
              <w:t>Porsche</w:t>
            </w:r>
          </w:p>
        </w:tc>
        <w:tc>
          <w:tcPr>
            <w:tcW w:w="1191" w:type="dxa"/>
          </w:tcPr>
          <w:p>
            <w:pPr>
              <w:pStyle w:val="TableParagraph"/>
              <w:spacing w:before="11"/>
              <w:jc w:val="left"/>
              <w:rPr>
                <w:rFonts w:ascii="Palatino Linotype"/>
                <w:b/>
                <w:sz w:val="17"/>
              </w:rPr>
            </w:pPr>
          </w:p>
          <w:p>
            <w:pPr>
              <w:pStyle w:val="TableParagraph"/>
              <w:ind w:left="270"/>
              <w:jc w:val="left"/>
              <w:rPr>
                <w:sz w:val="16"/>
              </w:rPr>
            </w:pPr>
            <w:r>
              <w:rPr>
                <w:color w:val="231F20"/>
                <w:w w:val="105"/>
                <w:sz w:val="16"/>
              </w:rPr>
              <w:t>Panamera</w:t>
            </w:r>
          </w:p>
        </w:tc>
        <w:tc>
          <w:tcPr>
            <w:tcW w:w="3402" w:type="dxa"/>
          </w:tcPr>
          <w:p>
            <w:pPr>
              <w:pStyle w:val="TableParagraph"/>
              <w:spacing w:line="176" w:lineRule="exact" w:before="73"/>
              <w:ind w:left="56" w:right="10"/>
              <w:jc w:val="left"/>
              <w:rPr>
                <w:sz w:val="16"/>
              </w:rPr>
            </w:pPr>
            <w:r>
              <w:rPr>
                <w:color w:val="231F20"/>
                <w:sz w:val="16"/>
              </w:rPr>
              <w:t>Motores de gasolina y eléctrico, deportivo-eficiente en consumo de combustible, sin emisiones de contaminantes.</w:t>
            </w:r>
          </w:p>
        </w:tc>
        <w:tc>
          <w:tcPr>
            <w:tcW w:w="1582" w:type="dxa"/>
          </w:tcPr>
          <w:p>
            <w:pPr>
              <w:pStyle w:val="TableParagraph"/>
              <w:spacing w:before="11"/>
              <w:jc w:val="left"/>
              <w:rPr>
                <w:rFonts w:ascii="Palatino Linotype"/>
                <w:b/>
                <w:sz w:val="17"/>
              </w:rPr>
            </w:pPr>
          </w:p>
          <w:p>
            <w:pPr>
              <w:pStyle w:val="TableParagraph"/>
              <w:ind w:left="61" w:right="61"/>
              <w:rPr>
                <w:sz w:val="16"/>
              </w:rPr>
            </w:pPr>
            <w:r>
              <w:rPr>
                <w:color w:val="231F20"/>
                <w:sz w:val="16"/>
              </w:rPr>
              <w:t>2004</w:t>
            </w:r>
          </w:p>
        </w:tc>
      </w:tr>
      <w:tr>
        <w:trPr>
          <w:trHeight w:val="658" w:hRule="exact"/>
        </w:trPr>
        <w:tc>
          <w:tcPr>
            <w:tcW w:w="1015" w:type="dxa"/>
          </w:tcPr>
          <w:p>
            <w:pPr>
              <w:pStyle w:val="TableParagraph"/>
              <w:spacing w:before="3"/>
              <w:jc w:val="left"/>
              <w:rPr>
                <w:rFonts w:ascii="Palatino Linotype"/>
                <w:b/>
                <w:sz w:val="17"/>
              </w:rPr>
            </w:pPr>
          </w:p>
          <w:p>
            <w:pPr>
              <w:pStyle w:val="TableParagraph"/>
              <w:ind w:left="58" w:right="58"/>
              <w:rPr>
                <w:sz w:val="16"/>
              </w:rPr>
            </w:pPr>
            <w:r>
              <w:rPr>
                <w:color w:val="231F20"/>
                <w:sz w:val="16"/>
              </w:rPr>
              <w:t>Mitsubishi</w:t>
            </w:r>
          </w:p>
        </w:tc>
        <w:tc>
          <w:tcPr>
            <w:tcW w:w="1191" w:type="dxa"/>
          </w:tcPr>
          <w:p>
            <w:pPr>
              <w:pStyle w:val="TableParagraph"/>
              <w:spacing w:before="4"/>
              <w:jc w:val="left"/>
              <w:rPr>
                <w:rFonts w:ascii="Palatino Linotype"/>
                <w:b/>
                <w:sz w:val="11"/>
              </w:rPr>
            </w:pPr>
          </w:p>
          <w:p>
            <w:pPr>
              <w:pStyle w:val="TableParagraph"/>
              <w:spacing w:line="176" w:lineRule="exact"/>
              <w:ind w:left="255" w:right="234" w:firstLine="108"/>
              <w:jc w:val="left"/>
              <w:rPr>
                <w:sz w:val="16"/>
              </w:rPr>
            </w:pPr>
            <w:r>
              <w:rPr>
                <w:color w:val="231F20"/>
                <w:sz w:val="16"/>
              </w:rPr>
              <w:t>Eclipse Concept E</w:t>
            </w:r>
          </w:p>
        </w:tc>
        <w:tc>
          <w:tcPr>
            <w:tcW w:w="3402" w:type="dxa"/>
          </w:tcPr>
          <w:p>
            <w:pPr>
              <w:pStyle w:val="TableParagraph"/>
              <w:spacing w:line="176" w:lineRule="exact" w:before="65"/>
              <w:ind w:left="56" w:right="183"/>
              <w:jc w:val="left"/>
              <w:rPr>
                <w:sz w:val="16"/>
              </w:rPr>
            </w:pPr>
            <w:r>
              <w:rPr>
                <w:color w:val="231F20"/>
                <w:sz w:val="16"/>
              </w:rPr>
              <w:t>Las ruedas delanteras son impulsadas por un motor V-6 de 3.8 litros y las ruedas traseras son impulsadas por un motor eléctrico.</w:t>
            </w:r>
          </w:p>
        </w:tc>
        <w:tc>
          <w:tcPr>
            <w:tcW w:w="1582" w:type="dxa"/>
          </w:tcPr>
          <w:p>
            <w:pPr>
              <w:pStyle w:val="TableParagraph"/>
              <w:spacing w:before="3"/>
              <w:jc w:val="left"/>
              <w:rPr>
                <w:rFonts w:ascii="Palatino Linotype"/>
                <w:b/>
                <w:sz w:val="17"/>
              </w:rPr>
            </w:pPr>
          </w:p>
          <w:p>
            <w:pPr>
              <w:pStyle w:val="TableParagraph"/>
              <w:ind w:left="61" w:right="61"/>
              <w:rPr>
                <w:sz w:val="16"/>
              </w:rPr>
            </w:pPr>
            <w:r>
              <w:rPr>
                <w:color w:val="231F20"/>
                <w:sz w:val="16"/>
              </w:rPr>
              <w:t>2004</w:t>
            </w:r>
          </w:p>
        </w:tc>
      </w:tr>
      <w:tr>
        <w:trPr>
          <w:trHeight w:val="658" w:hRule="exact"/>
        </w:trPr>
        <w:tc>
          <w:tcPr>
            <w:tcW w:w="1015" w:type="dxa"/>
          </w:tcPr>
          <w:p>
            <w:pPr>
              <w:pStyle w:val="TableParagraph"/>
              <w:spacing w:before="3"/>
              <w:jc w:val="left"/>
              <w:rPr>
                <w:rFonts w:ascii="Palatino Linotype"/>
                <w:b/>
                <w:sz w:val="17"/>
              </w:rPr>
            </w:pPr>
          </w:p>
          <w:p>
            <w:pPr>
              <w:pStyle w:val="TableParagraph"/>
              <w:ind w:left="58" w:right="58"/>
              <w:rPr>
                <w:sz w:val="16"/>
              </w:rPr>
            </w:pPr>
            <w:r>
              <w:rPr>
                <w:color w:val="231F20"/>
                <w:w w:val="105"/>
                <w:sz w:val="16"/>
              </w:rPr>
              <w:t>Honda</w:t>
            </w:r>
          </w:p>
        </w:tc>
        <w:tc>
          <w:tcPr>
            <w:tcW w:w="1191" w:type="dxa"/>
          </w:tcPr>
          <w:p>
            <w:pPr>
              <w:pStyle w:val="TableParagraph"/>
              <w:spacing w:before="3"/>
              <w:jc w:val="left"/>
              <w:rPr>
                <w:rFonts w:ascii="Palatino Linotype"/>
                <w:b/>
                <w:sz w:val="17"/>
              </w:rPr>
            </w:pPr>
          </w:p>
          <w:p>
            <w:pPr>
              <w:pStyle w:val="TableParagraph"/>
              <w:ind w:left="366"/>
              <w:jc w:val="left"/>
              <w:rPr>
                <w:sz w:val="16"/>
              </w:rPr>
            </w:pPr>
            <w:r>
              <w:rPr>
                <w:color w:val="231F20"/>
                <w:sz w:val="16"/>
              </w:rPr>
              <w:t>Insight</w:t>
            </w:r>
          </w:p>
        </w:tc>
        <w:tc>
          <w:tcPr>
            <w:tcW w:w="3402" w:type="dxa"/>
          </w:tcPr>
          <w:p>
            <w:pPr>
              <w:pStyle w:val="TableParagraph"/>
              <w:spacing w:line="176" w:lineRule="exact" w:before="65"/>
              <w:ind w:left="56" w:right="297"/>
              <w:jc w:val="left"/>
              <w:rPr>
                <w:sz w:val="16"/>
              </w:rPr>
            </w:pPr>
            <w:r>
              <w:rPr>
                <w:color w:val="231F20"/>
                <w:w w:val="105"/>
                <w:sz w:val="16"/>
              </w:rPr>
              <w:t>Es</w:t>
            </w:r>
            <w:r>
              <w:rPr>
                <w:color w:val="231F20"/>
                <w:spacing w:val="-21"/>
                <w:w w:val="105"/>
                <w:sz w:val="16"/>
              </w:rPr>
              <w:t> </w:t>
            </w:r>
            <w:r>
              <w:rPr>
                <w:color w:val="231F20"/>
                <w:w w:val="105"/>
                <w:sz w:val="16"/>
              </w:rPr>
              <w:t>un</w:t>
            </w:r>
            <w:r>
              <w:rPr>
                <w:color w:val="231F20"/>
                <w:spacing w:val="-21"/>
                <w:w w:val="105"/>
                <w:sz w:val="16"/>
              </w:rPr>
              <w:t> </w:t>
            </w:r>
            <w:r>
              <w:rPr>
                <w:color w:val="231F20"/>
                <w:spacing w:val="-4"/>
                <w:w w:val="105"/>
                <w:sz w:val="16"/>
              </w:rPr>
              <w:t>vehículo</w:t>
            </w:r>
            <w:r>
              <w:rPr>
                <w:color w:val="231F20"/>
                <w:spacing w:val="-21"/>
                <w:w w:val="105"/>
                <w:sz w:val="16"/>
              </w:rPr>
              <w:t> </w:t>
            </w:r>
            <w:r>
              <w:rPr>
                <w:color w:val="231F20"/>
                <w:spacing w:val="-4"/>
                <w:w w:val="105"/>
                <w:sz w:val="16"/>
              </w:rPr>
              <w:t>híbrido</w:t>
            </w:r>
            <w:r>
              <w:rPr>
                <w:color w:val="231F20"/>
                <w:spacing w:val="-21"/>
                <w:w w:val="105"/>
                <w:sz w:val="16"/>
              </w:rPr>
              <w:t> </w:t>
            </w:r>
            <w:r>
              <w:rPr>
                <w:color w:val="231F20"/>
                <w:w w:val="105"/>
                <w:sz w:val="16"/>
              </w:rPr>
              <w:t>de</w:t>
            </w:r>
            <w:r>
              <w:rPr>
                <w:color w:val="231F20"/>
                <w:spacing w:val="-21"/>
                <w:w w:val="105"/>
                <w:sz w:val="16"/>
              </w:rPr>
              <w:t> </w:t>
            </w:r>
            <w:r>
              <w:rPr>
                <w:color w:val="231F20"/>
                <w:spacing w:val="-3"/>
                <w:w w:val="105"/>
                <w:sz w:val="16"/>
              </w:rPr>
              <w:t>dos</w:t>
            </w:r>
            <w:r>
              <w:rPr>
                <w:color w:val="231F20"/>
                <w:spacing w:val="-21"/>
                <w:w w:val="105"/>
                <w:sz w:val="16"/>
              </w:rPr>
              <w:t> </w:t>
            </w:r>
            <w:r>
              <w:rPr>
                <w:color w:val="231F20"/>
                <w:spacing w:val="-4"/>
                <w:w w:val="105"/>
                <w:sz w:val="16"/>
              </w:rPr>
              <w:t>asientos</w:t>
            </w:r>
            <w:r>
              <w:rPr>
                <w:color w:val="231F20"/>
                <w:spacing w:val="-21"/>
                <w:w w:val="105"/>
                <w:sz w:val="16"/>
              </w:rPr>
              <w:t> </w:t>
            </w:r>
            <w:r>
              <w:rPr>
                <w:color w:val="231F20"/>
                <w:w w:val="105"/>
                <w:sz w:val="16"/>
              </w:rPr>
              <w:t>y</w:t>
            </w:r>
            <w:r>
              <w:rPr>
                <w:color w:val="231F20"/>
                <w:spacing w:val="-21"/>
                <w:w w:val="105"/>
                <w:sz w:val="16"/>
              </w:rPr>
              <w:t> </w:t>
            </w:r>
            <w:r>
              <w:rPr>
                <w:color w:val="231F20"/>
                <w:w w:val="105"/>
                <w:sz w:val="16"/>
              </w:rPr>
              <w:t>ha</w:t>
            </w:r>
            <w:r>
              <w:rPr>
                <w:color w:val="231F20"/>
                <w:spacing w:val="-21"/>
                <w:w w:val="105"/>
                <w:sz w:val="16"/>
              </w:rPr>
              <w:t> </w:t>
            </w:r>
            <w:r>
              <w:rPr>
                <w:color w:val="231F20"/>
                <w:spacing w:val="-4"/>
                <w:w w:val="105"/>
                <w:sz w:val="16"/>
              </w:rPr>
              <w:t>sido </w:t>
            </w:r>
            <w:r>
              <w:rPr>
                <w:color w:val="231F20"/>
                <w:w w:val="105"/>
                <w:sz w:val="16"/>
              </w:rPr>
              <w:t>el</w:t>
            </w:r>
            <w:r>
              <w:rPr>
                <w:color w:val="231F20"/>
                <w:spacing w:val="-26"/>
                <w:w w:val="105"/>
                <w:sz w:val="16"/>
              </w:rPr>
              <w:t> </w:t>
            </w:r>
            <w:r>
              <w:rPr>
                <w:color w:val="231F20"/>
                <w:spacing w:val="-4"/>
                <w:w w:val="105"/>
                <w:sz w:val="16"/>
              </w:rPr>
              <w:t>líder</w:t>
            </w:r>
            <w:r>
              <w:rPr>
                <w:color w:val="231F20"/>
                <w:spacing w:val="-26"/>
                <w:w w:val="105"/>
                <w:sz w:val="16"/>
              </w:rPr>
              <w:t> </w:t>
            </w:r>
            <w:r>
              <w:rPr>
                <w:color w:val="231F20"/>
                <w:w w:val="105"/>
                <w:sz w:val="16"/>
              </w:rPr>
              <w:t>en</w:t>
            </w:r>
            <w:r>
              <w:rPr>
                <w:color w:val="231F20"/>
                <w:spacing w:val="-26"/>
                <w:w w:val="105"/>
                <w:sz w:val="16"/>
              </w:rPr>
              <w:t> </w:t>
            </w:r>
            <w:r>
              <w:rPr>
                <w:color w:val="231F20"/>
                <w:spacing w:val="-5"/>
                <w:w w:val="105"/>
                <w:sz w:val="16"/>
              </w:rPr>
              <w:t>rendimiento</w:t>
            </w:r>
            <w:r>
              <w:rPr>
                <w:color w:val="231F20"/>
                <w:spacing w:val="-26"/>
                <w:w w:val="105"/>
                <w:sz w:val="16"/>
              </w:rPr>
              <w:t> </w:t>
            </w:r>
            <w:r>
              <w:rPr>
                <w:color w:val="231F20"/>
                <w:w w:val="105"/>
                <w:sz w:val="16"/>
              </w:rPr>
              <w:t>de</w:t>
            </w:r>
            <w:r>
              <w:rPr>
                <w:color w:val="231F20"/>
                <w:spacing w:val="-26"/>
                <w:w w:val="105"/>
                <w:sz w:val="16"/>
              </w:rPr>
              <w:t> </w:t>
            </w:r>
            <w:r>
              <w:rPr>
                <w:color w:val="231F20"/>
                <w:w w:val="105"/>
                <w:sz w:val="16"/>
              </w:rPr>
              <w:t>la</w:t>
            </w:r>
            <w:r>
              <w:rPr>
                <w:color w:val="231F20"/>
                <w:spacing w:val="-26"/>
                <w:w w:val="105"/>
                <w:sz w:val="16"/>
              </w:rPr>
              <w:t> </w:t>
            </w:r>
            <w:r>
              <w:rPr>
                <w:color w:val="231F20"/>
                <w:spacing w:val="-4"/>
                <w:w w:val="105"/>
                <w:sz w:val="16"/>
              </w:rPr>
              <w:t>gasolina</w:t>
            </w:r>
            <w:r>
              <w:rPr>
                <w:color w:val="231F20"/>
                <w:spacing w:val="-26"/>
                <w:w w:val="105"/>
                <w:sz w:val="16"/>
              </w:rPr>
              <w:t> </w:t>
            </w:r>
            <w:r>
              <w:rPr>
                <w:color w:val="231F20"/>
                <w:spacing w:val="-3"/>
                <w:w w:val="105"/>
                <w:sz w:val="16"/>
              </w:rPr>
              <w:t>desde</w:t>
            </w:r>
            <w:r>
              <w:rPr>
                <w:color w:val="231F20"/>
                <w:spacing w:val="-26"/>
                <w:w w:val="105"/>
                <w:sz w:val="16"/>
              </w:rPr>
              <w:t> </w:t>
            </w:r>
            <w:r>
              <w:rPr>
                <w:color w:val="231F20"/>
                <w:spacing w:val="-3"/>
                <w:w w:val="105"/>
                <w:sz w:val="16"/>
              </w:rPr>
              <w:t>que</w:t>
            </w:r>
            <w:r>
              <w:rPr>
                <w:color w:val="231F20"/>
                <w:spacing w:val="-26"/>
                <w:w w:val="105"/>
                <w:sz w:val="16"/>
              </w:rPr>
              <w:t> </w:t>
            </w:r>
            <w:r>
              <w:rPr>
                <w:color w:val="231F20"/>
                <w:w w:val="105"/>
                <w:sz w:val="16"/>
              </w:rPr>
              <w:t>se </w:t>
            </w:r>
            <w:r>
              <w:rPr>
                <w:color w:val="231F20"/>
                <w:spacing w:val="-5"/>
                <w:w w:val="105"/>
                <w:sz w:val="16"/>
              </w:rPr>
              <w:t>introdujo</w:t>
            </w:r>
            <w:r>
              <w:rPr>
                <w:color w:val="231F20"/>
                <w:spacing w:val="-26"/>
                <w:w w:val="105"/>
                <w:sz w:val="16"/>
              </w:rPr>
              <w:t> </w:t>
            </w:r>
            <w:r>
              <w:rPr>
                <w:color w:val="231F20"/>
                <w:spacing w:val="-3"/>
                <w:w w:val="105"/>
                <w:sz w:val="16"/>
              </w:rPr>
              <w:t>por</w:t>
            </w:r>
            <w:r>
              <w:rPr>
                <w:color w:val="231F20"/>
                <w:spacing w:val="-26"/>
                <w:w w:val="105"/>
                <w:sz w:val="16"/>
              </w:rPr>
              <w:t> </w:t>
            </w:r>
            <w:r>
              <w:rPr>
                <w:color w:val="231F20"/>
                <w:spacing w:val="-4"/>
                <w:w w:val="105"/>
                <w:sz w:val="16"/>
              </w:rPr>
              <w:t>primera</w:t>
            </w:r>
            <w:r>
              <w:rPr>
                <w:color w:val="231F20"/>
                <w:spacing w:val="-26"/>
                <w:w w:val="105"/>
                <w:sz w:val="16"/>
              </w:rPr>
              <w:t> </w:t>
            </w:r>
            <w:r>
              <w:rPr>
                <w:color w:val="231F20"/>
                <w:spacing w:val="-3"/>
                <w:w w:val="105"/>
                <w:sz w:val="16"/>
              </w:rPr>
              <w:t>vez</w:t>
            </w:r>
            <w:r>
              <w:rPr>
                <w:color w:val="231F20"/>
                <w:spacing w:val="-26"/>
                <w:w w:val="105"/>
                <w:sz w:val="16"/>
              </w:rPr>
              <w:t> </w:t>
            </w:r>
            <w:r>
              <w:rPr>
                <w:color w:val="231F20"/>
                <w:w w:val="105"/>
                <w:sz w:val="16"/>
              </w:rPr>
              <w:t>en</w:t>
            </w:r>
            <w:r>
              <w:rPr>
                <w:color w:val="231F20"/>
                <w:spacing w:val="-26"/>
                <w:w w:val="105"/>
                <w:sz w:val="16"/>
              </w:rPr>
              <w:t> </w:t>
            </w:r>
            <w:r>
              <w:rPr>
                <w:color w:val="231F20"/>
                <w:spacing w:val="-4"/>
                <w:w w:val="105"/>
                <w:sz w:val="16"/>
              </w:rPr>
              <w:t>2000.</w:t>
            </w:r>
          </w:p>
        </w:tc>
        <w:tc>
          <w:tcPr>
            <w:tcW w:w="1582" w:type="dxa"/>
          </w:tcPr>
          <w:p>
            <w:pPr>
              <w:pStyle w:val="TableParagraph"/>
              <w:spacing w:before="3"/>
              <w:jc w:val="left"/>
              <w:rPr>
                <w:rFonts w:ascii="Palatino Linotype"/>
                <w:b/>
                <w:sz w:val="17"/>
              </w:rPr>
            </w:pPr>
          </w:p>
          <w:p>
            <w:pPr>
              <w:pStyle w:val="TableParagraph"/>
              <w:ind w:left="61" w:right="61"/>
              <w:rPr>
                <w:sz w:val="16"/>
              </w:rPr>
            </w:pPr>
            <w:r>
              <w:rPr>
                <w:color w:val="231F20"/>
                <w:w w:val="95"/>
                <w:sz w:val="16"/>
              </w:rPr>
              <w:t>2000, 2005</w:t>
            </w:r>
          </w:p>
        </w:tc>
      </w:tr>
      <w:tr>
        <w:trPr>
          <w:trHeight w:val="1032" w:hRule="exact"/>
        </w:trPr>
        <w:tc>
          <w:tcPr>
            <w:tcW w:w="1015" w:type="dxa"/>
          </w:tcPr>
          <w:p>
            <w:pPr>
              <w:pStyle w:val="TableParagraph"/>
              <w:jc w:val="left"/>
              <w:rPr>
                <w:rFonts w:ascii="Palatino Linotype"/>
                <w:b/>
                <w:sz w:val="16"/>
              </w:rPr>
            </w:pPr>
          </w:p>
          <w:p>
            <w:pPr>
              <w:pStyle w:val="TableParagraph"/>
              <w:spacing w:before="1"/>
              <w:jc w:val="left"/>
              <w:rPr>
                <w:rFonts w:ascii="Palatino Linotype"/>
                <w:b/>
                <w:sz w:val="15"/>
              </w:rPr>
            </w:pPr>
          </w:p>
          <w:p>
            <w:pPr>
              <w:pStyle w:val="TableParagraph"/>
              <w:ind w:left="58" w:right="58"/>
              <w:rPr>
                <w:sz w:val="16"/>
              </w:rPr>
            </w:pPr>
            <w:r>
              <w:rPr>
                <w:color w:val="231F20"/>
                <w:sz w:val="16"/>
              </w:rPr>
              <w:t>Peugeot</w:t>
            </w:r>
          </w:p>
        </w:tc>
        <w:tc>
          <w:tcPr>
            <w:tcW w:w="1191" w:type="dxa"/>
          </w:tcPr>
          <w:p>
            <w:pPr>
              <w:pStyle w:val="TableParagraph"/>
              <w:jc w:val="left"/>
              <w:rPr>
                <w:rFonts w:ascii="Palatino Linotype"/>
                <w:b/>
                <w:sz w:val="16"/>
              </w:rPr>
            </w:pPr>
          </w:p>
          <w:p>
            <w:pPr>
              <w:pStyle w:val="TableParagraph"/>
              <w:spacing w:before="1"/>
              <w:jc w:val="left"/>
              <w:rPr>
                <w:rFonts w:ascii="Palatino Linotype"/>
                <w:b/>
                <w:sz w:val="15"/>
              </w:rPr>
            </w:pPr>
          </w:p>
          <w:p>
            <w:pPr>
              <w:pStyle w:val="TableParagraph"/>
              <w:ind w:right="100"/>
              <w:jc w:val="right"/>
              <w:rPr>
                <w:sz w:val="16"/>
              </w:rPr>
            </w:pPr>
            <w:r>
              <w:rPr>
                <w:color w:val="231F20"/>
                <w:sz w:val="16"/>
              </w:rPr>
              <w:t>307 CC Hybrid</w:t>
            </w:r>
          </w:p>
        </w:tc>
        <w:tc>
          <w:tcPr>
            <w:tcW w:w="3402" w:type="dxa"/>
          </w:tcPr>
          <w:p>
            <w:pPr>
              <w:pStyle w:val="TableParagraph"/>
              <w:spacing w:line="176" w:lineRule="exact" w:before="76"/>
              <w:ind w:left="56" w:right="273"/>
              <w:jc w:val="left"/>
              <w:rPr>
                <w:sz w:val="16"/>
              </w:rPr>
            </w:pPr>
            <w:r>
              <w:rPr>
                <w:color w:val="231F20"/>
                <w:sz w:val="16"/>
              </w:rPr>
              <w:t>Combina una cadena de tracción híbrida con  un motor diésel, lo que representa un verdadero avance en términos de consumo de combustible y de reducción de emisiones de gases de efecto invernadero.</w:t>
            </w:r>
          </w:p>
        </w:tc>
        <w:tc>
          <w:tcPr>
            <w:tcW w:w="1582" w:type="dxa"/>
          </w:tcPr>
          <w:p>
            <w:pPr>
              <w:pStyle w:val="TableParagraph"/>
              <w:jc w:val="left"/>
              <w:rPr>
                <w:rFonts w:ascii="Palatino Linotype"/>
                <w:b/>
                <w:sz w:val="16"/>
              </w:rPr>
            </w:pPr>
          </w:p>
          <w:p>
            <w:pPr>
              <w:pStyle w:val="TableParagraph"/>
              <w:spacing w:before="1"/>
              <w:jc w:val="left"/>
              <w:rPr>
                <w:rFonts w:ascii="Palatino Linotype"/>
                <w:b/>
                <w:sz w:val="15"/>
              </w:rPr>
            </w:pPr>
          </w:p>
          <w:p>
            <w:pPr>
              <w:pStyle w:val="TableParagraph"/>
              <w:ind w:left="61" w:right="61"/>
              <w:rPr>
                <w:sz w:val="16"/>
              </w:rPr>
            </w:pPr>
            <w:r>
              <w:rPr>
                <w:color w:val="231F20"/>
                <w:sz w:val="16"/>
              </w:rPr>
              <w:t>2006</w:t>
            </w:r>
          </w:p>
        </w:tc>
      </w:tr>
      <w:tr>
        <w:trPr>
          <w:trHeight w:val="980" w:hRule="exact"/>
        </w:trPr>
        <w:tc>
          <w:tcPr>
            <w:tcW w:w="1015" w:type="dxa"/>
          </w:tcPr>
          <w:p>
            <w:pPr>
              <w:pStyle w:val="TableParagraph"/>
              <w:jc w:val="left"/>
              <w:rPr>
                <w:rFonts w:ascii="Palatino Linotype"/>
                <w:b/>
                <w:sz w:val="16"/>
              </w:rPr>
            </w:pPr>
          </w:p>
          <w:p>
            <w:pPr>
              <w:pStyle w:val="TableParagraph"/>
              <w:spacing w:before="2"/>
              <w:jc w:val="left"/>
              <w:rPr>
                <w:rFonts w:ascii="Palatino Linotype"/>
                <w:b/>
                <w:sz w:val="13"/>
              </w:rPr>
            </w:pPr>
          </w:p>
          <w:p>
            <w:pPr>
              <w:pStyle w:val="TableParagraph"/>
              <w:ind w:left="57" w:right="58"/>
              <w:rPr>
                <w:sz w:val="16"/>
              </w:rPr>
            </w:pPr>
            <w:r>
              <w:rPr>
                <w:color w:val="231F20"/>
                <w:sz w:val="16"/>
              </w:rPr>
              <w:t>Lexus</w:t>
            </w:r>
          </w:p>
        </w:tc>
        <w:tc>
          <w:tcPr>
            <w:tcW w:w="1191" w:type="dxa"/>
          </w:tcPr>
          <w:p>
            <w:pPr>
              <w:pStyle w:val="TableParagraph"/>
              <w:jc w:val="left"/>
              <w:rPr>
                <w:rFonts w:ascii="Palatino Linotype"/>
                <w:b/>
                <w:sz w:val="16"/>
              </w:rPr>
            </w:pPr>
          </w:p>
          <w:p>
            <w:pPr>
              <w:pStyle w:val="TableParagraph"/>
              <w:spacing w:before="2"/>
              <w:jc w:val="left"/>
              <w:rPr>
                <w:rFonts w:ascii="Palatino Linotype"/>
                <w:b/>
                <w:sz w:val="13"/>
              </w:rPr>
            </w:pPr>
          </w:p>
          <w:p>
            <w:pPr>
              <w:pStyle w:val="TableParagraph"/>
              <w:ind w:left="299"/>
              <w:jc w:val="left"/>
              <w:rPr>
                <w:sz w:val="16"/>
              </w:rPr>
            </w:pPr>
            <w:r>
              <w:rPr>
                <w:color w:val="231F20"/>
                <w:sz w:val="16"/>
              </w:rPr>
              <w:t>GS 450H</w:t>
            </w:r>
          </w:p>
        </w:tc>
        <w:tc>
          <w:tcPr>
            <w:tcW w:w="3402" w:type="dxa"/>
          </w:tcPr>
          <w:p>
            <w:pPr>
              <w:pStyle w:val="TableParagraph"/>
              <w:spacing w:line="176" w:lineRule="exact" w:before="50"/>
              <w:ind w:left="56" w:right="72"/>
              <w:jc w:val="left"/>
              <w:rPr>
                <w:sz w:val="16"/>
              </w:rPr>
            </w:pPr>
            <w:r>
              <w:rPr>
                <w:color w:val="231F20"/>
                <w:sz w:val="16"/>
              </w:rPr>
              <w:t>Cuenta con un sistema de propulsión híbrido que combina un motor V6 de 3.5 litros con un motor eléctrico de accionamiento de alto rendimiento. Juntos proporcionan una fuerza combinada de más de 300 caballos de fuerza.</w:t>
            </w:r>
          </w:p>
        </w:tc>
        <w:tc>
          <w:tcPr>
            <w:tcW w:w="1582" w:type="dxa"/>
          </w:tcPr>
          <w:p>
            <w:pPr>
              <w:pStyle w:val="TableParagraph"/>
              <w:jc w:val="left"/>
              <w:rPr>
                <w:rFonts w:ascii="Palatino Linotype"/>
                <w:b/>
                <w:sz w:val="16"/>
              </w:rPr>
            </w:pPr>
          </w:p>
          <w:p>
            <w:pPr>
              <w:pStyle w:val="TableParagraph"/>
              <w:spacing w:before="2"/>
              <w:jc w:val="left"/>
              <w:rPr>
                <w:rFonts w:ascii="Palatino Linotype"/>
                <w:b/>
                <w:sz w:val="13"/>
              </w:rPr>
            </w:pPr>
          </w:p>
          <w:p>
            <w:pPr>
              <w:pStyle w:val="TableParagraph"/>
              <w:ind w:left="61" w:right="62"/>
              <w:rPr>
                <w:sz w:val="16"/>
              </w:rPr>
            </w:pPr>
            <w:r>
              <w:rPr>
                <w:color w:val="231F20"/>
                <w:sz w:val="16"/>
              </w:rPr>
              <w:t>2006</w:t>
            </w:r>
          </w:p>
        </w:tc>
      </w:tr>
      <w:tr>
        <w:trPr>
          <w:trHeight w:val="1015" w:hRule="exact"/>
        </w:trPr>
        <w:tc>
          <w:tcPr>
            <w:tcW w:w="1015" w:type="dxa"/>
          </w:tcPr>
          <w:p>
            <w:pPr>
              <w:pStyle w:val="TableParagraph"/>
              <w:jc w:val="left"/>
              <w:rPr>
                <w:rFonts w:ascii="Palatino Linotype"/>
                <w:b/>
                <w:sz w:val="16"/>
              </w:rPr>
            </w:pPr>
          </w:p>
          <w:p>
            <w:pPr>
              <w:pStyle w:val="TableParagraph"/>
              <w:spacing w:before="6"/>
              <w:jc w:val="left"/>
              <w:rPr>
                <w:rFonts w:ascii="Palatino Linotype"/>
                <w:b/>
                <w:sz w:val="14"/>
              </w:rPr>
            </w:pPr>
          </w:p>
          <w:p>
            <w:pPr>
              <w:pStyle w:val="TableParagraph"/>
              <w:ind w:left="58" w:right="58"/>
              <w:rPr>
                <w:sz w:val="16"/>
              </w:rPr>
            </w:pPr>
            <w:r>
              <w:rPr>
                <w:color w:val="231F20"/>
                <w:sz w:val="16"/>
              </w:rPr>
              <w:t>Tesla Motors</w:t>
            </w:r>
          </w:p>
        </w:tc>
        <w:tc>
          <w:tcPr>
            <w:tcW w:w="1191" w:type="dxa"/>
          </w:tcPr>
          <w:p>
            <w:pPr>
              <w:pStyle w:val="TableParagraph"/>
              <w:jc w:val="left"/>
              <w:rPr>
                <w:rFonts w:ascii="Palatino Linotype"/>
                <w:b/>
                <w:sz w:val="16"/>
              </w:rPr>
            </w:pPr>
          </w:p>
          <w:p>
            <w:pPr>
              <w:pStyle w:val="TableParagraph"/>
              <w:spacing w:before="6"/>
              <w:jc w:val="left"/>
              <w:rPr>
                <w:rFonts w:ascii="Palatino Linotype"/>
                <w:b/>
                <w:sz w:val="14"/>
              </w:rPr>
            </w:pPr>
          </w:p>
          <w:p>
            <w:pPr>
              <w:pStyle w:val="TableParagraph"/>
              <w:ind w:right="125"/>
              <w:jc w:val="right"/>
              <w:rPr>
                <w:sz w:val="16"/>
              </w:rPr>
            </w:pPr>
            <w:r>
              <w:rPr>
                <w:color w:val="231F20"/>
                <w:sz w:val="16"/>
              </w:rPr>
              <w:t>Tesla Roadster</w:t>
            </w:r>
          </w:p>
        </w:tc>
        <w:tc>
          <w:tcPr>
            <w:tcW w:w="3402" w:type="dxa"/>
          </w:tcPr>
          <w:p>
            <w:pPr>
              <w:pStyle w:val="TableParagraph"/>
              <w:spacing w:line="176" w:lineRule="exact" w:before="68"/>
              <w:ind w:left="55" w:right="59"/>
              <w:jc w:val="left"/>
              <w:rPr>
                <w:sz w:val="16"/>
              </w:rPr>
            </w:pPr>
            <w:r>
              <w:rPr>
                <w:color w:val="231F20"/>
                <w:sz w:val="16"/>
              </w:rPr>
              <w:t>Accionado por un motor eléctrico con una potencia</w:t>
            </w:r>
            <w:r>
              <w:rPr>
                <w:color w:val="231F20"/>
                <w:spacing w:val="-5"/>
                <w:sz w:val="16"/>
              </w:rPr>
              <w:t> </w:t>
            </w:r>
            <w:r>
              <w:rPr>
                <w:color w:val="231F20"/>
                <w:sz w:val="16"/>
              </w:rPr>
              <w:t>total</w:t>
            </w:r>
            <w:r>
              <w:rPr>
                <w:color w:val="231F20"/>
                <w:spacing w:val="-5"/>
                <w:sz w:val="16"/>
              </w:rPr>
              <w:t> </w:t>
            </w:r>
            <w:r>
              <w:rPr>
                <w:color w:val="231F20"/>
                <w:sz w:val="16"/>
              </w:rPr>
              <w:t>de</w:t>
            </w:r>
            <w:r>
              <w:rPr>
                <w:color w:val="231F20"/>
                <w:spacing w:val="-5"/>
                <w:sz w:val="16"/>
              </w:rPr>
              <w:t> </w:t>
            </w:r>
            <w:r>
              <w:rPr>
                <w:color w:val="231F20"/>
                <w:sz w:val="16"/>
              </w:rPr>
              <w:t>248</w:t>
            </w:r>
            <w:r>
              <w:rPr>
                <w:color w:val="231F20"/>
                <w:spacing w:val="-5"/>
                <w:sz w:val="16"/>
              </w:rPr>
              <w:t> </w:t>
            </w:r>
            <w:r>
              <w:rPr>
                <w:color w:val="231F20"/>
                <w:sz w:val="16"/>
              </w:rPr>
              <w:t>caballos</w:t>
            </w:r>
            <w:r>
              <w:rPr>
                <w:color w:val="231F20"/>
                <w:spacing w:val="-5"/>
                <w:sz w:val="16"/>
              </w:rPr>
              <w:t> </w:t>
            </w:r>
            <w:r>
              <w:rPr>
                <w:color w:val="231F20"/>
                <w:sz w:val="16"/>
              </w:rPr>
              <w:t>de</w:t>
            </w:r>
            <w:r>
              <w:rPr>
                <w:color w:val="231F20"/>
                <w:spacing w:val="-5"/>
                <w:sz w:val="16"/>
              </w:rPr>
              <w:t> </w:t>
            </w:r>
            <w:r>
              <w:rPr>
                <w:color w:val="231F20"/>
                <w:sz w:val="16"/>
              </w:rPr>
              <w:t>fuerza</w:t>
            </w:r>
            <w:r>
              <w:rPr>
                <w:color w:val="231F20"/>
                <w:spacing w:val="-5"/>
                <w:sz w:val="16"/>
              </w:rPr>
              <w:t> </w:t>
            </w:r>
            <w:r>
              <w:rPr>
                <w:color w:val="231F20"/>
                <w:sz w:val="16"/>
              </w:rPr>
              <w:t>y</w:t>
            </w:r>
            <w:r>
              <w:rPr>
                <w:color w:val="231F20"/>
                <w:spacing w:val="-5"/>
                <w:sz w:val="16"/>
              </w:rPr>
              <w:t> </w:t>
            </w:r>
            <w:r>
              <w:rPr>
                <w:color w:val="231F20"/>
                <w:sz w:val="16"/>
              </w:rPr>
              <w:t>un</w:t>
            </w:r>
            <w:r>
              <w:rPr>
                <w:color w:val="231F20"/>
                <w:spacing w:val="-5"/>
                <w:sz w:val="16"/>
              </w:rPr>
              <w:t> </w:t>
            </w:r>
            <w:r>
              <w:rPr>
                <w:color w:val="231F20"/>
                <w:sz w:val="16"/>
              </w:rPr>
              <w:t>torque de 211 libras-pie. El motor eléctrico se alimenta de una batería de 53 kWh que ofrece una autonomía de hasta 200</w:t>
            </w:r>
            <w:r>
              <w:rPr>
                <w:color w:val="231F20"/>
                <w:spacing w:val="-21"/>
                <w:sz w:val="16"/>
              </w:rPr>
              <w:t> </w:t>
            </w:r>
            <w:r>
              <w:rPr>
                <w:color w:val="231F20"/>
                <w:sz w:val="16"/>
              </w:rPr>
              <w:t>kilómetros.</w:t>
            </w:r>
          </w:p>
        </w:tc>
        <w:tc>
          <w:tcPr>
            <w:tcW w:w="1582" w:type="dxa"/>
          </w:tcPr>
          <w:p>
            <w:pPr>
              <w:pStyle w:val="TableParagraph"/>
              <w:jc w:val="left"/>
              <w:rPr>
                <w:rFonts w:ascii="Palatino Linotype"/>
                <w:b/>
                <w:sz w:val="16"/>
              </w:rPr>
            </w:pPr>
          </w:p>
          <w:p>
            <w:pPr>
              <w:pStyle w:val="TableParagraph"/>
              <w:spacing w:before="6"/>
              <w:jc w:val="left"/>
              <w:rPr>
                <w:rFonts w:ascii="Palatino Linotype"/>
                <w:b/>
                <w:sz w:val="14"/>
              </w:rPr>
            </w:pPr>
          </w:p>
          <w:p>
            <w:pPr>
              <w:pStyle w:val="TableParagraph"/>
              <w:ind w:left="61" w:right="62"/>
              <w:rPr>
                <w:sz w:val="16"/>
              </w:rPr>
            </w:pPr>
            <w:r>
              <w:rPr>
                <w:color w:val="231F20"/>
                <w:w w:val="95"/>
                <w:sz w:val="16"/>
              </w:rPr>
              <w:t>2008, 2012</w:t>
            </w:r>
          </w:p>
        </w:tc>
      </w:tr>
    </w:tbl>
    <w:p>
      <w:pPr>
        <w:spacing w:after="0"/>
        <w:rPr>
          <w:sz w:val="16"/>
        </w:rPr>
        <w:sectPr>
          <w:footerReference w:type="even" r:id="rId45"/>
          <w:footerReference w:type="default" r:id="rId46"/>
          <w:pgSz w:w="9640" w:h="13040"/>
          <w:pgMar w:footer="654" w:header="581" w:top="780" w:bottom="840" w:left="480" w:right="1180"/>
          <w:pgNumType w:start="42"/>
        </w:sectPr>
      </w:pPr>
    </w:p>
    <w:p>
      <w:pPr>
        <w:pStyle w:val="BodyText"/>
        <w:spacing w:before="13"/>
        <w:rPr>
          <w:rFonts w:ascii="Palatino Linotype"/>
          <w:b/>
          <w:sz w:val="27"/>
        </w:rPr>
      </w:pPr>
    </w:p>
    <w:p>
      <w:pPr>
        <w:spacing w:before="34" w:after="24"/>
        <w:ind w:left="2534" w:right="673" w:firstLine="0"/>
        <w:jc w:val="left"/>
        <w:rPr>
          <w:rFonts w:ascii="Palatino Linotype" w:hAnsi="Palatino Linotype"/>
          <w:b/>
          <w:sz w:val="21"/>
        </w:rPr>
      </w:pPr>
      <w:r>
        <w:rPr>
          <w:rFonts w:ascii="Palatino Linotype" w:hAnsi="Palatino Linotype"/>
          <w:b/>
          <w:color w:val="231F20"/>
          <w:w w:val="95"/>
          <w:sz w:val="21"/>
        </w:rPr>
        <w:t>Cuadro II.1 (continuación)</w:t>
      </w: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015"/>
        <w:gridCol w:w="1191"/>
        <w:gridCol w:w="3402"/>
        <w:gridCol w:w="1582"/>
      </w:tblGrid>
      <w:tr>
        <w:trPr>
          <w:trHeight w:val="510" w:hRule="exact"/>
        </w:trPr>
        <w:tc>
          <w:tcPr>
            <w:tcW w:w="1015" w:type="dxa"/>
          </w:tcPr>
          <w:p>
            <w:pPr>
              <w:pStyle w:val="TableParagraph"/>
              <w:spacing w:before="10"/>
              <w:jc w:val="left"/>
              <w:rPr>
                <w:rFonts w:ascii="Palatino Linotype"/>
                <w:b/>
                <w:sz w:val="11"/>
              </w:rPr>
            </w:pPr>
          </w:p>
          <w:p>
            <w:pPr>
              <w:pStyle w:val="TableParagraph"/>
              <w:ind w:left="58" w:right="58"/>
              <w:rPr>
                <w:sz w:val="16"/>
              </w:rPr>
            </w:pPr>
            <w:r>
              <w:rPr>
                <w:color w:val="231F20"/>
                <w:sz w:val="16"/>
              </w:rPr>
              <w:t>BMW</w:t>
            </w:r>
          </w:p>
        </w:tc>
        <w:tc>
          <w:tcPr>
            <w:tcW w:w="1191" w:type="dxa"/>
          </w:tcPr>
          <w:p>
            <w:pPr>
              <w:pStyle w:val="TableParagraph"/>
              <w:spacing w:before="10"/>
              <w:jc w:val="left"/>
              <w:rPr>
                <w:rFonts w:ascii="Palatino Linotype"/>
                <w:b/>
                <w:sz w:val="11"/>
              </w:rPr>
            </w:pPr>
          </w:p>
          <w:p>
            <w:pPr>
              <w:pStyle w:val="TableParagraph"/>
              <w:ind w:left="57" w:right="57"/>
              <w:rPr>
                <w:sz w:val="16"/>
              </w:rPr>
            </w:pPr>
            <w:r>
              <w:rPr>
                <w:color w:val="231F20"/>
                <w:sz w:val="16"/>
              </w:rPr>
              <w:t>Hidrogen 7</w:t>
            </w:r>
          </w:p>
        </w:tc>
        <w:tc>
          <w:tcPr>
            <w:tcW w:w="3402" w:type="dxa"/>
          </w:tcPr>
          <w:p>
            <w:pPr>
              <w:pStyle w:val="TableParagraph"/>
              <w:spacing w:line="176" w:lineRule="exact" w:before="79"/>
              <w:ind w:left="56" w:right="98"/>
              <w:jc w:val="left"/>
              <w:rPr>
                <w:sz w:val="16"/>
              </w:rPr>
            </w:pPr>
            <w:r>
              <w:rPr>
                <w:color w:val="231F20"/>
                <w:sz w:val="16"/>
              </w:rPr>
              <w:t>Motor alimentado por hidrógeno (reduce considerablemente las emisiones de CO2).</w:t>
            </w:r>
          </w:p>
        </w:tc>
        <w:tc>
          <w:tcPr>
            <w:tcW w:w="1582" w:type="dxa"/>
          </w:tcPr>
          <w:p>
            <w:pPr>
              <w:pStyle w:val="TableParagraph"/>
              <w:spacing w:before="10"/>
              <w:jc w:val="left"/>
              <w:rPr>
                <w:rFonts w:ascii="Palatino Linotype"/>
                <w:b/>
                <w:sz w:val="11"/>
              </w:rPr>
            </w:pPr>
          </w:p>
          <w:p>
            <w:pPr>
              <w:pStyle w:val="TableParagraph"/>
              <w:ind w:left="61" w:right="61"/>
              <w:rPr>
                <w:sz w:val="16"/>
              </w:rPr>
            </w:pPr>
            <w:r>
              <w:rPr>
                <w:color w:val="231F20"/>
                <w:sz w:val="16"/>
              </w:rPr>
              <w:t>2008</w:t>
            </w:r>
          </w:p>
        </w:tc>
      </w:tr>
      <w:tr>
        <w:trPr>
          <w:trHeight w:val="510" w:hRule="exact"/>
        </w:trPr>
        <w:tc>
          <w:tcPr>
            <w:tcW w:w="1015" w:type="dxa"/>
            <w:vMerge w:val="restart"/>
          </w:tcPr>
          <w:p>
            <w:pPr>
              <w:pStyle w:val="TableParagraph"/>
              <w:spacing w:before="12"/>
              <w:jc w:val="left"/>
              <w:rPr>
                <w:rFonts w:ascii="Palatino Linotype"/>
                <w:b/>
                <w:sz w:val="22"/>
              </w:rPr>
            </w:pPr>
          </w:p>
          <w:p>
            <w:pPr>
              <w:pStyle w:val="TableParagraph"/>
              <w:ind w:left="224"/>
              <w:jc w:val="left"/>
              <w:rPr>
                <w:sz w:val="16"/>
              </w:rPr>
            </w:pPr>
            <w:r>
              <w:rPr>
                <w:color w:val="231F20"/>
                <w:sz w:val="16"/>
              </w:rPr>
              <w:t>Chrysler</w:t>
            </w:r>
          </w:p>
        </w:tc>
        <w:tc>
          <w:tcPr>
            <w:tcW w:w="1191" w:type="dxa"/>
          </w:tcPr>
          <w:p>
            <w:pPr>
              <w:pStyle w:val="TableParagraph"/>
              <w:spacing w:before="10"/>
              <w:jc w:val="left"/>
              <w:rPr>
                <w:rFonts w:ascii="Palatino Linotype"/>
                <w:b/>
                <w:sz w:val="11"/>
              </w:rPr>
            </w:pPr>
          </w:p>
          <w:p>
            <w:pPr>
              <w:pStyle w:val="TableParagraph"/>
              <w:ind w:left="57" w:right="57"/>
              <w:rPr>
                <w:sz w:val="16"/>
              </w:rPr>
            </w:pPr>
            <w:r>
              <w:rPr>
                <w:color w:val="231F20"/>
                <w:w w:val="95"/>
                <w:sz w:val="16"/>
              </w:rPr>
              <w:t>Jeep Renagade</w:t>
            </w:r>
          </w:p>
        </w:tc>
        <w:tc>
          <w:tcPr>
            <w:tcW w:w="3402" w:type="dxa"/>
          </w:tcPr>
          <w:p>
            <w:pPr>
              <w:pStyle w:val="TableParagraph"/>
              <w:spacing w:line="176" w:lineRule="exact" w:before="79"/>
              <w:ind w:left="56" w:right="98"/>
              <w:jc w:val="left"/>
              <w:rPr>
                <w:sz w:val="16"/>
              </w:rPr>
            </w:pPr>
            <w:r>
              <w:rPr>
                <w:color w:val="231F20"/>
                <w:sz w:val="16"/>
              </w:rPr>
              <w:t>Motor eléctrico, usa energía provista por un pequeño paquete de baterías de iones de litio.</w:t>
            </w:r>
          </w:p>
        </w:tc>
        <w:tc>
          <w:tcPr>
            <w:tcW w:w="1582" w:type="dxa"/>
          </w:tcPr>
          <w:p>
            <w:pPr>
              <w:pStyle w:val="TableParagraph"/>
              <w:spacing w:before="10"/>
              <w:jc w:val="left"/>
              <w:rPr>
                <w:rFonts w:ascii="Palatino Linotype"/>
                <w:b/>
                <w:sz w:val="11"/>
              </w:rPr>
            </w:pPr>
          </w:p>
          <w:p>
            <w:pPr>
              <w:pStyle w:val="TableParagraph"/>
              <w:ind w:left="61" w:right="61"/>
              <w:rPr>
                <w:sz w:val="16"/>
              </w:rPr>
            </w:pPr>
            <w:r>
              <w:rPr>
                <w:color w:val="231F20"/>
                <w:sz w:val="16"/>
              </w:rPr>
              <w:t>2008</w:t>
            </w:r>
          </w:p>
        </w:tc>
      </w:tr>
      <w:tr>
        <w:trPr>
          <w:trHeight w:val="300" w:hRule="exact"/>
        </w:trPr>
        <w:tc>
          <w:tcPr>
            <w:tcW w:w="1015" w:type="dxa"/>
            <w:vMerge/>
          </w:tcPr>
          <w:p>
            <w:pPr/>
          </w:p>
        </w:tc>
        <w:tc>
          <w:tcPr>
            <w:tcW w:w="1191" w:type="dxa"/>
          </w:tcPr>
          <w:p>
            <w:pPr>
              <w:pStyle w:val="TableParagraph"/>
              <w:spacing w:before="54"/>
              <w:ind w:left="57" w:right="57"/>
              <w:rPr>
                <w:sz w:val="16"/>
              </w:rPr>
            </w:pPr>
            <w:r>
              <w:rPr>
                <w:color w:val="231F20"/>
                <w:sz w:val="16"/>
              </w:rPr>
              <w:t>Eco Voyager</w:t>
            </w:r>
          </w:p>
        </w:tc>
        <w:tc>
          <w:tcPr>
            <w:tcW w:w="3402" w:type="dxa"/>
          </w:tcPr>
          <w:p>
            <w:pPr>
              <w:pStyle w:val="TableParagraph"/>
              <w:spacing w:before="54"/>
              <w:ind w:left="56" w:right="98"/>
              <w:jc w:val="left"/>
              <w:rPr>
                <w:sz w:val="16"/>
              </w:rPr>
            </w:pPr>
            <w:r>
              <w:rPr>
                <w:color w:val="231F20"/>
                <w:sz w:val="16"/>
              </w:rPr>
              <w:t>Motor diésel, caja manual de 6 velocidades.</w:t>
            </w:r>
          </w:p>
        </w:tc>
        <w:tc>
          <w:tcPr>
            <w:tcW w:w="1582" w:type="dxa"/>
          </w:tcPr>
          <w:p>
            <w:pPr>
              <w:pStyle w:val="TableParagraph"/>
              <w:spacing w:before="54"/>
              <w:ind w:left="61" w:right="61"/>
              <w:rPr>
                <w:sz w:val="16"/>
              </w:rPr>
            </w:pPr>
            <w:r>
              <w:rPr>
                <w:color w:val="231F20"/>
                <w:sz w:val="16"/>
              </w:rPr>
              <w:t>2010</w:t>
            </w:r>
          </w:p>
        </w:tc>
      </w:tr>
      <w:tr>
        <w:trPr>
          <w:trHeight w:val="804" w:hRule="exact"/>
        </w:trPr>
        <w:tc>
          <w:tcPr>
            <w:tcW w:w="1015" w:type="dxa"/>
          </w:tcPr>
          <w:p>
            <w:pPr>
              <w:pStyle w:val="TableParagraph"/>
              <w:spacing w:before="10"/>
              <w:jc w:val="left"/>
              <w:rPr>
                <w:rFonts w:ascii="Palatino Linotype"/>
                <w:b/>
                <w:sz w:val="16"/>
              </w:rPr>
            </w:pPr>
          </w:p>
          <w:p>
            <w:pPr>
              <w:pStyle w:val="TableParagraph"/>
              <w:spacing w:line="176" w:lineRule="exact"/>
              <w:ind w:left="124" w:firstLine="183"/>
              <w:jc w:val="left"/>
              <w:rPr>
                <w:sz w:val="16"/>
              </w:rPr>
            </w:pPr>
            <w:r>
              <w:rPr>
                <w:color w:val="231F20"/>
                <w:sz w:val="16"/>
              </w:rPr>
              <w:t>Fisker Automotive</w:t>
            </w:r>
          </w:p>
        </w:tc>
        <w:tc>
          <w:tcPr>
            <w:tcW w:w="1191" w:type="dxa"/>
          </w:tcPr>
          <w:p>
            <w:pPr>
              <w:pStyle w:val="TableParagraph"/>
              <w:spacing w:before="9"/>
              <w:jc w:val="left"/>
              <w:rPr>
                <w:rFonts w:ascii="Palatino Linotype"/>
                <w:b/>
                <w:sz w:val="22"/>
              </w:rPr>
            </w:pPr>
          </w:p>
          <w:p>
            <w:pPr>
              <w:pStyle w:val="TableParagraph"/>
              <w:ind w:left="57" w:right="57"/>
              <w:rPr>
                <w:sz w:val="16"/>
              </w:rPr>
            </w:pPr>
            <w:r>
              <w:rPr>
                <w:color w:val="231F20"/>
                <w:sz w:val="16"/>
              </w:rPr>
              <w:t>Fisker karma</w:t>
            </w:r>
          </w:p>
        </w:tc>
        <w:tc>
          <w:tcPr>
            <w:tcW w:w="3402" w:type="dxa"/>
          </w:tcPr>
          <w:p>
            <w:pPr>
              <w:pStyle w:val="TableParagraph"/>
              <w:spacing w:line="176" w:lineRule="exact" w:before="50"/>
              <w:ind w:left="56" w:right="352"/>
              <w:jc w:val="left"/>
              <w:rPr>
                <w:sz w:val="16"/>
              </w:rPr>
            </w:pPr>
            <w:r>
              <w:rPr>
                <w:color w:val="231F20"/>
                <w:sz w:val="16"/>
              </w:rPr>
              <w:t>Motor térmico, apoyado por un sistema de recuperación de energía perdida en el frenado.</w:t>
            </w:r>
          </w:p>
          <w:p>
            <w:pPr>
              <w:pStyle w:val="TableParagraph"/>
              <w:spacing w:line="176" w:lineRule="exact"/>
              <w:ind w:left="56" w:right="1316"/>
              <w:jc w:val="left"/>
              <w:rPr>
                <w:sz w:val="16"/>
              </w:rPr>
            </w:pPr>
            <w:r>
              <w:rPr>
                <w:color w:val="231F20"/>
                <w:sz w:val="16"/>
              </w:rPr>
              <w:t>Hace uso de baterías de iones de litio.</w:t>
            </w:r>
          </w:p>
        </w:tc>
        <w:tc>
          <w:tcPr>
            <w:tcW w:w="1582" w:type="dxa"/>
          </w:tcPr>
          <w:p>
            <w:pPr>
              <w:pStyle w:val="TableParagraph"/>
              <w:spacing w:before="9"/>
              <w:jc w:val="left"/>
              <w:rPr>
                <w:rFonts w:ascii="Palatino Linotype"/>
                <w:b/>
                <w:sz w:val="22"/>
              </w:rPr>
            </w:pPr>
          </w:p>
          <w:p>
            <w:pPr>
              <w:pStyle w:val="TableParagraph"/>
              <w:ind w:left="61" w:right="61"/>
              <w:rPr>
                <w:sz w:val="16"/>
              </w:rPr>
            </w:pPr>
            <w:r>
              <w:rPr>
                <w:color w:val="231F20"/>
                <w:sz w:val="16"/>
              </w:rPr>
              <w:t>2009</w:t>
            </w:r>
          </w:p>
        </w:tc>
      </w:tr>
      <w:tr>
        <w:trPr>
          <w:trHeight w:val="510" w:hRule="exact"/>
        </w:trPr>
        <w:tc>
          <w:tcPr>
            <w:tcW w:w="1015" w:type="dxa"/>
          </w:tcPr>
          <w:p>
            <w:pPr>
              <w:pStyle w:val="TableParagraph"/>
              <w:spacing w:line="176" w:lineRule="exact" w:before="79"/>
              <w:ind w:left="271" w:right="232" w:hanging="24"/>
              <w:jc w:val="left"/>
              <w:rPr>
                <w:sz w:val="16"/>
              </w:rPr>
            </w:pPr>
            <w:r>
              <w:rPr>
                <w:color w:val="231F20"/>
                <w:sz w:val="16"/>
              </w:rPr>
              <w:t>General Motors</w:t>
            </w:r>
          </w:p>
        </w:tc>
        <w:tc>
          <w:tcPr>
            <w:tcW w:w="1191" w:type="dxa"/>
          </w:tcPr>
          <w:p>
            <w:pPr>
              <w:pStyle w:val="TableParagraph"/>
              <w:spacing w:before="10"/>
              <w:jc w:val="left"/>
              <w:rPr>
                <w:rFonts w:ascii="Palatino Linotype"/>
                <w:b/>
                <w:sz w:val="11"/>
              </w:rPr>
            </w:pPr>
          </w:p>
          <w:p>
            <w:pPr>
              <w:pStyle w:val="TableParagraph"/>
              <w:ind w:left="57" w:right="57"/>
              <w:rPr>
                <w:sz w:val="16"/>
              </w:rPr>
            </w:pPr>
            <w:r>
              <w:rPr>
                <w:color w:val="231F20"/>
                <w:w w:val="95"/>
                <w:sz w:val="16"/>
              </w:rPr>
              <w:t>Buick Lecerne</w:t>
            </w:r>
          </w:p>
        </w:tc>
        <w:tc>
          <w:tcPr>
            <w:tcW w:w="3402" w:type="dxa"/>
          </w:tcPr>
          <w:p>
            <w:pPr>
              <w:pStyle w:val="TableParagraph"/>
              <w:spacing w:line="176" w:lineRule="exact" w:before="79"/>
              <w:ind w:left="56" w:right="98"/>
              <w:jc w:val="left"/>
              <w:rPr>
                <w:sz w:val="16"/>
              </w:rPr>
            </w:pPr>
            <w:r>
              <w:rPr>
                <w:color w:val="231F20"/>
                <w:sz w:val="16"/>
              </w:rPr>
              <w:t>Tecnología Flex-Ful que permite un motor de gasolina E85; etanol, combustible.</w:t>
            </w:r>
          </w:p>
        </w:tc>
        <w:tc>
          <w:tcPr>
            <w:tcW w:w="1582" w:type="dxa"/>
          </w:tcPr>
          <w:p>
            <w:pPr>
              <w:pStyle w:val="TableParagraph"/>
              <w:spacing w:before="10"/>
              <w:jc w:val="left"/>
              <w:rPr>
                <w:rFonts w:ascii="Palatino Linotype"/>
                <w:b/>
                <w:sz w:val="11"/>
              </w:rPr>
            </w:pPr>
          </w:p>
          <w:p>
            <w:pPr>
              <w:pStyle w:val="TableParagraph"/>
              <w:ind w:left="61" w:right="61"/>
              <w:rPr>
                <w:sz w:val="16"/>
              </w:rPr>
            </w:pPr>
            <w:r>
              <w:rPr>
                <w:color w:val="231F20"/>
                <w:sz w:val="16"/>
              </w:rPr>
              <w:t>2009</w:t>
            </w:r>
          </w:p>
        </w:tc>
      </w:tr>
      <w:tr>
        <w:trPr>
          <w:trHeight w:val="841" w:hRule="exact"/>
        </w:trPr>
        <w:tc>
          <w:tcPr>
            <w:tcW w:w="1015" w:type="dxa"/>
          </w:tcPr>
          <w:p>
            <w:pPr/>
          </w:p>
        </w:tc>
        <w:tc>
          <w:tcPr>
            <w:tcW w:w="1191" w:type="dxa"/>
          </w:tcPr>
          <w:p>
            <w:pPr>
              <w:pStyle w:val="TableParagraph"/>
              <w:jc w:val="left"/>
              <w:rPr>
                <w:rFonts w:ascii="Palatino Linotype"/>
                <w:b/>
                <w:sz w:val="16"/>
              </w:rPr>
            </w:pPr>
          </w:p>
          <w:p>
            <w:pPr>
              <w:pStyle w:val="TableParagraph"/>
              <w:spacing w:before="108"/>
              <w:ind w:left="57" w:right="57"/>
              <w:rPr>
                <w:sz w:val="16"/>
              </w:rPr>
            </w:pPr>
            <w:r>
              <w:rPr>
                <w:color w:val="231F20"/>
                <w:sz w:val="16"/>
              </w:rPr>
              <w:t>Volt</w:t>
            </w:r>
          </w:p>
        </w:tc>
        <w:tc>
          <w:tcPr>
            <w:tcW w:w="3402" w:type="dxa"/>
          </w:tcPr>
          <w:p>
            <w:pPr>
              <w:pStyle w:val="TableParagraph"/>
              <w:spacing w:before="2"/>
              <w:jc w:val="left"/>
              <w:rPr>
                <w:rFonts w:ascii="Palatino Linotype"/>
                <w:b/>
                <w:sz w:val="18"/>
              </w:rPr>
            </w:pPr>
          </w:p>
          <w:p>
            <w:pPr>
              <w:pStyle w:val="TableParagraph"/>
              <w:spacing w:line="176" w:lineRule="exact"/>
              <w:ind w:left="56" w:right="98"/>
              <w:jc w:val="left"/>
              <w:rPr>
                <w:sz w:val="16"/>
              </w:rPr>
            </w:pPr>
            <w:r>
              <w:rPr>
                <w:color w:val="231F20"/>
                <w:sz w:val="16"/>
              </w:rPr>
              <w:t>Eléctrico, se carga hasta en seis horas, con un pequeño motor de gasolina.</w:t>
            </w:r>
          </w:p>
        </w:tc>
        <w:tc>
          <w:tcPr>
            <w:tcW w:w="1582" w:type="dxa"/>
          </w:tcPr>
          <w:p>
            <w:pPr>
              <w:pStyle w:val="TableParagraph"/>
              <w:spacing w:line="176" w:lineRule="exact" w:before="69"/>
              <w:ind w:left="56" w:right="54" w:hanging="1"/>
              <w:rPr>
                <w:sz w:val="16"/>
              </w:rPr>
            </w:pPr>
            <w:r>
              <w:rPr>
                <w:color w:val="231F20"/>
                <w:sz w:val="16"/>
              </w:rPr>
              <w:t>2010 (una nueva versión con baterías</w:t>
            </w:r>
            <w:r>
              <w:rPr>
                <w:color w:val="231F20"/>
                <w:spacing w:val="-18"/>
                <w:sz w:val="16"/>
              </w:rPr>
              <w:t> </w:t>
            </w:r>
            <w:r>
              <w:rPr>
                <w:color w:val="231F20"/>
                <w:sz w:val="16"/>
              </w:rPr>
              <w:t>de mayor capacidad salió a</w:t>
            </w:r>
            <w:r>
              <w:rPr>
                <w:color w:val="231F20"/>
                <w:spacing w:val="-8"/>
                <w:sz w:val="16"/>
              </w:rPr>
              <w:t> </w:t>
            </w:r>
            <w:r>
              <w:rPr>
                <w:color w:val="231F20"/>
                <w:sz w:val="16"/>
              </w:rPr>
              <w:t>la</w:t>
            </w:r>
            <w:r>
              <w:rPr>
                <w:color w:val="231F20"/>
                <w:spacing w:val="-8"/>
                <w:sz w:val="16"/>
              </w:rPr>
              <w:t> </w:t>
            </w:r>
            <w:r>
              <w:rPr>
                <w:color w:val="231F20"/>
                <w:sz w:val="16"/>
              </w:rPr>
              <w:t>venta</w:t>
            </w:r>
            <w:r>
              <w:rPr>
                <w:color w:val="231F20"/>
                <w:spacing w:val="-8"/>
                <w:sz w:val="16"/>
              </w:rPr>
              <w:t> </w:t>
            </w:r>
            <w:r>
              <w:rPr>
                <w:color w:val="231F20"/>
                <w:sz w:val="16"/>
              </w:rPr>
              <w:t>en</w:t>
            </w:r>
            <w:r>
              <w:rPr>
                <w:color w:val="231F20"/>
                <w:spacing w:val="-8"/>
                <w:sz w:val="16"/>
              </w:rPr>
              <w:t> </w:t>
            </w:r>
            <w:r>
              <w:rPr>
                <w:color w:val="231F20"/>
                <w:sz w:val="16"/>
              </w:rPr>
              <w:t>2014)</w:t>
            </w:r>
          </w:p>
        </w:tc>
      </w:tr>
      <w:tr>
        <w:trPr>
          <w:trHeight w:val="876" w:hRule="exact"/>
        </w:trPr>
        <w:tc>
          <w:tcPr>
            <w:tcW w:w="1015" w:type="dxa"/>
          </w:tcPr>
          <w:p>
            <w:pPr>
              <w:pStyle w:val="TableParagraph"/>
              <w:spacing w:before="6"/>
              <w:jc w:val="left"/>
              <w:rPr>
                <w:rFonts w:ascii="Palatino Linotype"/>
                <w:b/>
                <w:sz w:val="19"/>
              </w:rPr>
            </w:pPr>
          </w:p>
          <w:p>
            <w:pPr>
              <w:pStyle w:val="TableParagraph"/>
              <w:spacing w:line="176" w:lineRule="exact"/>
              <w:ind w:left="114" w:hanging="24"/>
              <w:jc w:val="left"/>
              <w:rPr>
                <w:sz w:val="16"/>
              </w:rPr>
            </w:pPr>
            <w:r>
              <w:rPr>
                <w:color w:val="231F20"/>
                <w:sz w:val="16"/>
              </w:rPr>
              <w:t>Citroën C4 y Peugeot 307</w:t>
            </w:r>
          </w:p>
        </w:tc>
        <w:tc>
          <w:tcPr>
            <w:tcW w:w="1191" w:type="dxa"/>
          </w:tcPr>
          <w:p>
            <w:pPr>
              <w:pStyle w:val="TableParagraph"/>
              <w:jc w:val="left"/>
              <w:rPr>
                <w:rFonts w:ascii="Palatino Linotype"/>
                <w:b/>
                <w:sz w:val="16"/>
              </w:rPr>
            </w:pPr>
          </w:p>
          <w:p>
            <w:pPr>
              <w:pStyle w:val="TableParagraph"/>
              <w:spacing w:before="126"/>
              <w:ind w:left="57" w:right="57"/>
              <w:rPr>
                <w:sz w:val="16"/>
              </w:rPr>
            </w:pPr>
            <w:r>
              <w:rPr>
                <w:color w:val="231F20"/>
                <w:w w:val="105"/>
                <w:sz w:val="16"/>
              </w:rPr>
              <w:t>Citroën</w:t>
            </w:r>
          </w:p>
        </w:tc>
        <w:tc>
          <w:tcPr>
            <w:tcW w:w="3402" w:type="dxa"/>
          </w:tcPr>
          <w:p>
            <w:pPr>
              <w:pStyle w:val="TableParagraph"/>
              <w:spacing w:line="176" w:lineRule="exact" w:before="86"/>
              <w:ind w:left="56" w:right="70"/>
              <w:jc w:val="left"/>
              <w:rPr>
                <w:sz w:val="16"/>
              </w:rPr>
            </w:pPr>
            <w:r>
              <w:rPr>
                <w:color w:val="231F20"/>
                <w:spacing w:val="-3"/>
                <w:sz w:val="16"/>
              </w:rPr>
              <w:t>Sistema híbrido que </w:t>
            </w:r>
            <w:r>
              <w:rPr>
                <w:color w:val="231F20"/>
                <w:spacing w:val="-4"/>
                <w:sz w:val="16"/>
              </w:rPr>
              <w:t>combina </w:t>
            </w:r>
            <w:r>
              <w:rPr>
                <w:color w:val="231F20"/>
                <w:sz w:val="16"/>
              </w:rPr>
              <w:t>un </w:t>
            </w:r>
            <w:r>
              <w:rPr>
                <w:color w:val="231F20"/>
                <w:spacing w:val="-4"/>
                <w:sz w:val="16"/>
              </w:rPr>
              <w:t>motor </w:t>
            </w:r>
            <w:r>
              <w:rPr>
                <w:color w:val="231F20"/>
                <w:sz w:val="16"/>
              </w:rPr>
              <w:t>de </w:t>
            </w:r>
            <w:r>
              <w:rPr>
                <w:color w:val="231F20"/>
                <w:spacing w:val="-3"/>
                <w:sz w:val="16"/>
              </w:rPr>
              <w:t>gasolina </w:t>
            </w:r>
            <w:r>
              <w:rPr>
                <w:color w:val="231F20"/>
                <w:sz w:val="16"/>
              </w:rPr>
              <w:t>de 2.4 </w:t>
            </w:r>
            <w:r>
              <w:rPr>
                <w:color w:val="231F20"/>
                <w:spacing w:val="-3"/>
                <w:sz w:val="16"/>
              </w:rPr>
              <w:t>litros, con </w:t>
            </w:r>
            <w:r>
              <w:rPr>
                <w:color w:val="231F20"/>
                <w:sz w:val="16"/>
              </w:rPr>
              <w:t>una </w:t>
            </w:r>
            <w:r>
              <w:rPr>
                <w:color w:val="231F20"/>
                <w:spacing w:val="-3"/>
                <w:sz w:val="16"/>
              </w:rPr>
              <w:t>caja </w:t>
            </w:r>
            <w:r>
              <w:rPr>
                <w:color w:val="231F20"/>
                <w:sz w:val="16"/>
              </w:rPr>
              <w:t>de seis </w:t>
            </w:r>
            <w:r>
              <w:rPr>
                <w:color w:val="231F20"/>
                <w:spacing w:val="-3"/>
                <w:sz w:val="16"/>
              </w:rPr>
              <w:t>velocidades </w:t>
            </w:r>
            <w:r>
              <w:rPr>
                <w:color w:val="231F20"/>
                <w:sz w:val="16"/>
              </w:rPr>
              <w:t>y </w:t>
            </w:r>
            <w:r>
              <w:rPr>
                <w:color w:val="231F20"/>
                <w:spacing w:val="-3"/>
                <w:sz w:val="16"/>
              </w:rPr>
              <w:t>un </w:t>
            </w:r>
            <w:r>
              <w:rPr>
                <w:color w:val="231F20"/>
                <w:spacing w:val="-4"/>
                <w:sz w:val="16"/>
              </w:rPr>
              <w:t>motor </w:t>
            </w:r>
            <w:r>
              <w:rPr>
                <w:color w:val="231F20"/>
                <w:spacing w:val="-3"/>
                <w:sz w:val="16"/>
              </w:rPr>
              <w:t>eléctrico </w:t>
            </w:r>
            <w:r>
              <w:rPr>
                <w:color w:val="231F20"/>
                <w:sz w:val="16"/>
              </w:rPr>
              <w:t>de 30 </w:t>
            </w:r>
            <w:r>
              <w:rPr>
                <w:color w:val="231F20"/>
                <w:spacing w:val="-7"/>
                <w:sz w:val="16"/>
              </w:rPr>
              <w:t>kw. </w:t>
            </w:r>
            <w:r>
              <w:rPr>
                <w:color w:val="231F20"/>
                <w:sz w:val="16"/>
              </w:rPr>
              <w:t>El </w:t>
            </w:r>
            <w:r>
              <w:rPr>
                <w:color w:val="231F20"/>
                <w:spacing w:val="-4"/>
                <w:sz w:val="16"/>
              </w:rPr>
              <w:t>motor </w:t>
            </w:r>
            <w:r>
              <w:rPr>
                <w:color w:val="231F20"/>
                <w:spacing w:val="-3"/>
                <w:sz w:val="16"/>
              </w:rPr>
              <w:t>eléctrico </w:t>
            </w:r>
            <w:r>
              <w:rPr>
                <w:color w:val="231F20"/>
                <w:sz w:val="16"/>
              </w:rPr>
              <w:t>se </w:t>
            </w:r>
            <w:r>
              <w:rPr>
                <w:color w:val="231F20"/>
                <w:spacing w:val="-3"/>
                <w:sz w:val="16"/>
              </w:rPr>
              <w:t>alimenta</w:t>
            </w:r>
            <w:r>
              <w:rPr>
                <w:color w:val="231F20"/>
                <w:spacing w:val="-9"/>
                <w:sz w:val="16"/>
              </w:rPr>
              <w:t> </w:t>
            </w:r>
            <w:r>
              <w:rPr>
                <w:color w:val="231F20"/>
                <w:sz w:val="16"/>
              </w:rPr>
              <w:t>de</w:t>
            </w:r>
            <w:r>
              <w:rPr>
                <w:color w:val="231F20"/>
                <w:spacing w:val="-9"/>
                <w:sz w:val="16"/>
              </w:rPr>
              <w:t> </w:t>
            </w:r>
            <w:r>
              <w:rPr>
                <w:color w:val="231F20"/>
                <w:sz w:val="16"/>
              </w:rPr>
              <w:t>una</w:t>
            </w:r>
            <w:r>
              <w:rPr>
                <w:color w:val="231F20"/>
                <w:spacing w:val="-9"/>
                <w:sz w:val="16"/>
              </w:rPr>
              <w:t> </w:t>
            </w:r>
            <w:r>
              <w:rPr>
                <w:color w:val="231F20"/>
                <w:spacing w:val="-3"/>
                <w:sz w:val="16"/>
              </w:rPr>
              <w:t>batería</w:t>
            </w:r>
            <w:r>
              <w:rPr>
                <w:color w:val="231F20"/>
                <w:spacing w:val="-9"/>
                <w:sz w:val="16"/>
              </w:rPr>
              <w:t> </w:t>
            </w:r>
            <w:r>
              <w:rPr>
                <w:color w:val="231F20"/>
                <w:sz w:val="16"/>
              </w:rPr>
              <w:t>de</w:t>
            </w:r>
            <w:r>
              <w:rPr>
                <w:color w:val="231F20"/>
                <w:spacing w:val="-9"/>
                <w:sz w:val="16"/>
              </w:rPr>
              <w:t> </w:t>
            </w:r>
            <w:r>
              <w:rPr>
                <w:color w:val="231F20"/>
                <w:sz w:val="16"/>
              </w:rPr>
              <w:t>270</w:t>
            </w:r>
            <w:r>
              <w:rPr>
                <w:color w:val="231F20"/>
                <w:spacing w:val="-9"/>
                <w:sz w:val="16"/>
              </w:rPr>
              <w:t> </w:t>
            </w:r>
            <w:r>
              <w:rPr>
                <w:color w:val="231F20"/>
                <w:sz w:val="16"/>
              </w:rPr>
              <w:t>v</w:t>
            </w:r>
            <w:r>
              <w:rPr>
                <w:color w:val="231F20"/>
                <w:spacing w:val="-9"/>
                <w:sz w:val="16"/>
              </w:rPr>
              <w:t> </w:t>
            </w:r>
            <w:r>
              <w:rPr>
                <w:color w:val="231F20"/>
                <w:sz w:val="16"/>
              </w:rPr>
              <w:t>de</w:t>
            </w:r>
            <w:r>
              <w:rPr>
                <w:color w:val="231F20"/>
                <w:spacing w:val="-9"/>
                <w:sz w:val="16"/>
              </w:rPr>
              <w:t> </w:t>
            </w:r>
            <w:r>
              <w:rPr>
                <w:color w:val="231F20"/>
                <w:spacing w:val="-3"/>
                <w:sz w:val="16"/>
              </w:rPr>
              <w:t>polímero</w:t>
            </w:r>
            <w:r>
              <w:rPr>
                <w:color w:val="231F20"/>
                <w:spacing w:val="-9"/>
                <w:sz w:val="16"/>
              </w:rPr>
              <w:t> </w:t>
            </w:r>
            <w:r>
              <w:rPr>
                <w:color w:val="231F20"/>
                <w:sz w:val="16"/>
              </w:rPr>
              <w:t>de</w:t>
            </w:r>
            <w:r>
              <w:rPr>
                <w:color w:val="231F20"/>
                <w:spacing w:val="-9"/>
                <w:sz w:val="16"/>
              </w:rPr>
              <w:t> </w:t>
            </w:r>
            <w:r>
              <w:rPr>
                <w:color w:val="231F20"/>
                <w:spacing w:val="-4"/>
                <w:sz w:val="16"/>
              </w:rPr>
              <w:t>litio.</w:t>
            </w:r>
          </w:p>
        </w:tc>
        <w:tc>
          <w:tcPr>
            <w:tcW w:w="1582" w:type="dxa"/>
          </w:tcPr>
          <w:p>
            <w:pPr>
              <w:pStyle w:val="TableParagraph"/>
              <w:jc w:val="left"/>
              <w:rPr>
                <w:rFonts w:ascii="Palatino Linotype"/>
                <w:b/>
                <w:sz w:val="16"/>
              </w:rPr>
            </w:pPr>
          </w:p>
          <w:p>
            <w:pPr>
              <w:pStyle w:val="TableParagraph"/>
              <w:spacing w:before="126"/>
              <w:ind w:left="61" w:right="61"/>
              <w:rPr>
                <w:sz w:val="16"/>
              </w:rPr>
            </w:pPr>
            <w:r>
              <w:rPr>
                <w:color w:val="231F20"/>
                <w:sz w:val="16"/>
              </w:rPr>
              <w:t>2010</w:t>
            </w:r>
          </w:p>
        </w:tc>
      </w:tr>
      <w:tr>
        <w:trPr>
          <w:trHeight w:val="351" w:hRule="exact"/>
        </w:trPr>
        <w:tc>
          <w:tcPr>
            <w:tcW w:w="1015" w:type="dxa"/>
          </w:tcPr>
          <w:p>
            <w:pPr>
              <w:pStyle w:val="TableParagraph"/>
              <w:spacing w:before="79"/>
              <w:ind w:left="58" w:right="58"/>
              <w:rPr>
                <w:sz w:val="16"/>
              </w:rPr>
            </w:pPr>
            <w:r>
              <w:rPr>
                <w:color w:val="231F20"/>
                <w:sz w:val="16"/>
              </w:rPr>
              <w:t>Hyundai</w:t>
            </w:r>
          </w:p>
        </w:tc>
        <w:tc>
          <w:tcPr>
            <w:tcW w:w="1191" w:type="dxa"/>
          </w:tcPr>
          <w:p>
            <w:pPr>
              <w:pStyle w:val="TableParagraph"/>
              <w:spacing w:before="79"/>
              <w:ind w:left="57" w:right="57"/>
              <w:rPr>
                <w:sz w:val="16"/>
              </w:rPr>
            </w:pPr>
            <w:r>
              <w:rPr>
                <w:color w:val="231F20"/>
                <w:sz w:val="16"/>
              </w:rPr>
              <w:t>Sedan Avente</w:t>
            </w:r>
          </w:p>
        </w:tc>
        <w:tc>
          <w:tcPr>
            <w:tcW w:w="3402" w:type="dxa"/>
          </w:tcPr>
          <w:p>
            <w:pPr>
              <w:pStyle w:val="TableParagraph"/>
              <w:spacing w:before="79"/>
              <w:ind w:left="56" w:right="98"/>
              <w:jc w:val="left"/>
              <w:rPr>
                <w:sz w:val="16"/>
              </w:rPr>
            </w:pPr>
            <w:r>
              <w:rPr>
                <w:color w:val="231F20"/>
                <w:sz w:val="16"/>
              </w:rPr>
              <w:t>Consume electricidad y gasolina.</w:t>
            </w:r>
          </w:p>
        </w:tc>
        <w:tc>
          <w:tcPr>
            <w:tcW w:w="1582" w:type="dxa"/>
          </w:tcPr>
          <w:p>
            <w:pPr>
              <w:pStyle w:val="TableParagraph"/>
              <w:spacing w:before="79"/>
              <w:ind w:left="61" w:right="61"/>
              <w:rPr>
                <w:sz w:val="16"/>
              </w:rPr>
            </w:pPr>
            <w:r>
              <w:rPr>
                <w:color w:val="231F20"/>
                <w:sz w:val="16"/>
              </w:rPr>
              <w:t>2012</w:t>
            </w:r>
          </w:p>
        </w:tc>
      </w:tr>
      <w:tr>
        <w:trPr>
          <w:trHeight w:val="510" w:hRule="exact"/>
        </w:trPr>
        <w:tc>
          <w:tcPr>
            <w:tcW w:w="1015" w:type="dxa"/>
          </w:tcPr>
          <w:p>
            <w:pPr>
              <w:pStyle w:val="TableParagraph"/>
              <w:spacing w:line="176" w:lineRule="exact" w:before="79"/>
              <w:ind w:left="342" w:hanging="146"/>
              <w:jc w:val="left"/>
              <w:rPr>
                <w:sz w:val="16"/>
              </w:rPr>
            </w:pPr>
            <w:r>
              <w:rPr>
                <w:color w:val="231F20"/>
                <w:w w:val="95"/>
                <w:sz w:val="16"/>
              </w:rPr>
              <w:t>Mercedes </w:t>
            </w:r>
            <w:r>
              <w:rPr>
                <w:color w:val="231F20"/>
                <w:sz w:val="16"/>
              </w:rPr>
              <w:t>Benz</w:t>
            </w:r>
          </w:p>
        </w:tc>
        <w:tc>
          <w:tcPr>
            <w:tcW w:w="1191" w:type="dxa"/>
          </w:tcPr>
          <w:p>
            <w:pPr>
              <w:pStyle w:val="TableParagraph"/>
              <w:spacing w:line="176" w:lineRule="exact" w:before="79"/>
              <w:ind w:left="409" w:hanging="326"/>
              <w:jc w:val="left"/>
              <w:rPr>
                <w:sz w:val="16"/>
              </w:rPr>
            </w:pPr>
            <w:r>
              <w:rPr>
                <w:color w:val="231F20"/>
                <w:w w:val="95"/>
                <w:sz w:val="16"/>
              </w:rPr>
              <w:t>B-Class Electric </w:t>
            </w:r>
            <w:r>
              <w:rPr>
                <w:color w:val="231F20"/>
                <w:sz w:val="16"/>
              </w:rPr>
              <w:t>Drive</w:t>
            </w:r>
          </w:p>
        </w:tc>
        <w:tc>
          <w:tcPr>
            <w:tcW w:w="3402" w:type="dxa"/>
          </w:tcPr>
          <w:p>
            <w:pPr>
              <w:pStyle w:val="TableParagraph"/>
              <w:spacing w:line="176" w:lineRule="exact" w:before="79"/>
              <w:ind w:left="56" w:right="433"/>
              <w:jc w:val="left"/>
              <w:rPr>
                <w:sz w:val="16"/>
              </w:rPr>
            </w:pPr>
            <w:r>
              <w:rPr>
                <w:color w:val="231F20"/>
                <w:sz w:val="16"/>
              </w:rPr>
              <w:t>Es el primer vehículo totalmente eléctrico de Mercedes-Benz.</w:t>
            </w:r>
          </w:p>
        </w:tc>
        <w:tc>
          <w:tcPr>
            <w:tcW w:w="1582" w:type="dxa"/>
          </w:tcPr>
          <w:p>
            <w:pPr>
              <w:pStyle w:val="TableParagraph"/>
              <w:spacing w:before="10"/>
              <w:jc w:val="left"/>
              <w:rPr>
                <w:rFonts w:ascii="Palatino Linotype"/>
                <w:b/>
                <w:sz w:val="11"/>
              </w:rPr>
            </w:pPr>
          </w:p>
          <w:p>
            <w:pPr>
              <w:pStyle w:val="TableParagraph"/>
              <w:ind w:left="61" w:right="61"/>
              <w:rPr>
                <w:sz w:val="16"/>
              </w:rPr>
            </w:pPr>
            <w:r>
              <w:rPr>
                <w:color w:val="231F20"/>
                <w:sz w:val="16"/>
              </w:rPr>
              <w:t>2014</w:t>
            </w:r>
          </w:p>
        </w:tc>
      </w:tr>
      <w:tr>
        <w:trPr>
          <w:trHeight w:val="680" w:hRule="exact"/>
        </w:trPr>
        <w:tc>
          <w:tcPr>
            <w:tcW w:w="1015" w:type="dxa"/>
          </w:tcPr>
          <w:p>
            <w:pPr>
              <w:pStyle w:val="TableParagraph"/>
              <w:spacing w:before="1"/>
              <w:jc w:val="left"/>
              <w:rPr>
                <w:rFonts w:ascii="Palatino Linotype"/>
                <w:b/>
                <w:sz w:val="18"/>
              </w:rPr>
            </w:pPr>
          </w:p>
          <w:p>
            <w:pPr>
              <w:pStyle w:val="TableParagraph"/>
              <w:ind w:left="57" w:right="58"/>
              <w:rPr>
                <w:sz w:val="16"/>
              </w:rPr>
            </w:pPr>
            <w:r>
              <w:rPr>
                <w:color w:val="231F20"/>
                <w:sz w:val="16"/>
              </w:rPr>
              <w:t>Audi</w:t>
            </w:r>
          </w:p>
        </w:tc>
        <w:tc>
          <w:tcPr>
            <w:tcW w:w="1191" w:type="dxa"/>
          </w:tcPr>
          <w:p>
            <w:pPr>
              <w:pStyle w:val="TableParagraph"/>
              <w:spacing w:before="1"/>
              <w:jc w:val="left"/>
              <w:rPr>
                <w:rFonts w:ascii="Palatino Linotype"/>
                <w:b/>
                <w:sz w:val="18"/>
              </w:rPr>
            </w:pPr>
          </w:p>
          <w:p>
            <w:pPr>
              <w:pStyle w:val="TableParagraph"/>
              <w:ind w:left="56" w:right="57"/>
              <w:rPr>
                <w:sz w:val="16"/>
              </w:rPr>
            </w:pPr>
            <w:r>
              <w:rPr>
                <w:color w:val="231F20"/>
                <w:sz w:val="16"/>
              </w:rPr>
              <w:t>Audi R20</w:t>
            </w:r>
          </w:p>
        </w:tc>
        <w:tc>
          <w:tcPr>
            <w:tcW w:w="3402" w:type="dxa"/>
          </w:tcPr>
          <w:p>
            <w:pPr>
              <w:pStyle w:val="TableParagraph"/>
              <w:spacing w:line="176" w:lineRule="exact" w:before="76"/>
              <w:ind w:left="56" w:right="98"/>
              <w:jc w:val="left"/>
              <w:rPr>
                <w:sz w:val="16"/>
              </w:rPr>
            </w:pPr>
            <w:r>
              <w:rPr>
                <w:color w:val="231F20"/>
                <w:sz w:val="16"/>
              </w:rPr>
              <w:t>Combinará un motor V6 twin-turbo de 550 caballos de fuerza con dos motores eléctricos que impulsarán las ruedas delanteras.</w:t>
            </w:r>
          </w:p>
        </w:tc>
        <w:tc>
          <w:tcPr>
            <w:tcW w:w="1582" w:type="dxa"/>
          </w:tcPr>
          <w:p>
            <w:pPr>
              <w:pStyle w:val="TableParagraph"/>
              <w:spacing w:before="1"/>
              <w:jc w:val="left"/>
              <w:rPr>
                <w:rFonts w:ascii="Palatino Linotype"/>
                <w:b/>
                <w:sz w:val="18"/>
              </w:rPr>
            </w:pPr>
          </w:p>
          <w:p>
            <w:pPr>
              <w:pStyle w:val="TableParagraph"/>
              <w:ind w:left="61" w:right="62"/>
              <w:rPr>
                <w:sz w:val="16"/>
              </w:rPr>
            </w:pPr>
            <w:r>
              <w:rPr>
                <w:color w:val="231F20"/>
                <w:sz w:val="16"/>
              </w:rPr>
              <w:t>Se presentará en 2015</w:t>
            </w:r>
          </w:p>
        </w:tc>
      </w:tr>
      <w:tr>
        <w:trPr>
          <w:trHeight w:val="680" w:hRule="exact"/>
        </w:trPr>
        <w:tc>
          <w:tcPr>
            <w:tcW w:w="1015" w:type="dxa"/>
          </w:tcPr>
          <w:p>
            <w:pPr/>
          </w:p>
        </w:tc>
        <w:tc>
          <w:tcPr>
            <w:tcW w:w="1191" w:type="dxa"/>
          </w:tcPr>
          <w:p>
            <w:pPr>
              <w:pStyle w:val="TableParagraph"/>
              <w:spacing w:before="1"/>
              <w:jc w:val="left"/>
              <w:rPr>
                <w:rFonts w:ascii="Palatino Linotype"/>
                <w:b/>
                <w:sz w:val="18"/>
              </w:rPr>
            </w:pPr>
          </w:p>
          <w:p>
            <w:pPr>
              <w:pStyle w:val="TableParagraph"/>
              <w:ind w:left="56" w:right="57"/>
              <w:rPr>
                <w:sz w:val="16"/>
              </w:rPr>
            </w:pPr>
            <w:r>
              <w:rPr>
                <w:color w:val="231F20"/>
                <w:sz w:val="16"/>
              </w:rPr>
              <w:t>Audi A8</w:t>
            </w:r>
          </w:p>
        </w:tc>
        <w:tc>
          <w:tcPr>
            <w:tcW w:w="3402" w:type="dxa"/>
          </w:tcPr>
          <w:p>
            <w:pPr>
              <w:pStyle w:val="TableParagraph"/>
              <w:spacing w:line="176" w:lineRule="exact" w:before="76"/>
              <w:ind w:left="56" w:right="27"/>
              <w:jc w:val="left"/>
              <w:rPr>
                <w:sz w:val="16"/>
              </w:rPr>
            </w:pPr>
            <w:r>
              <w:rPr>
                <w:color w:val="231F20"/>
                <w:sz w:val="16"/>
              </w:rPr>
              <w:t>Utiliza un pequeño y potente motor de gasolina junto con una batería de iones de litio. Su principal característica es el ahorro de combustible.</w:t>
            </w:r>
          </w:p>
        </w:tc>
        <w:tc>
          <w:tcPr>
            <w:tcW w:w="1582" w:type="dxa"/>
          </w:tcPr>
          <w:p>
            <w:pPr>
              <w:pStyle w:val="TableParagraph"/>
              <w:spacing w:before="1"/>
              <w:jc w:val="left"/>
              <w:rPr>
                <w:rFonts w:ascii="Palatino Linotype"/>
                <w:b/>
                <w:sz w:val="18"/>
              </w:rPr>
            </w:pPr>
          </w:p>
          <w:p>
            <w:pPr>
              <w:pStyle w:val="TableParagraph"/>
              <w:ind w:left="61" w:right="61"/>
              <w:rPr>
                <w:sz w:val="16"/>
              </w:rPr>
            </w:pPr>
            <w:r>
              <w:rPr>
                <w:color w:val="231F20"/>
                <w:sz w:val="16"/>
              </w:rPr>
              <w:t>2015</w:t>
            </w:r>
          </w:p>
        </w:tc>
      </w:tr>
      <w:tr>
        <w:trPr>
          <w:trHeight w:val="680" w:hRule="exact"/>
        </w:trPr>
        <w:tc>
          <w:tcPr>
            <w:tcW w:w="1015" w:type="dxa"/>
          </w:tcPr>
          <w:p>
            <w:pPr>
              <w:pStyle w:val="TableParagraph"/>
              <w:spacing w:before="1"/>
              <w:jc w:val="left"/>
              <w:rPr>
                <w:rFonts w:ascii="Palatino Linotype"/>
                <w:b/>
                <w:sz w:val="18"/>
              </w:rPr>
            </w:pPr>
          </w:p>
          <w:p>
            <w:pPr>
              <w:pStyle w:val="TableParagraph"/>
              <w:ind w:left="57" w:right="58"/>
              <w:rPr>
                <w:sz w:val="16"/>
              </w:rPr>
            </w:pPr>
            <w:r>
              <w:rPr>
                <w:color w:val="231F20"/>
                <w:sz w:val="16"/>
              </w:rPr>
              <w:t>Daimler AG</w:t>
            </w:r>
          </w:p>
        </w:tc>
        <w:tc>
          <w:tcPr>
            <w:tcW w:w="1191" w:type="dxa"/>
          </w:tcPr>
          <w:p>
            <w:pPr>
              <w:pStyle w:val="TableParagraph"/>
              <w:spacing w:line="180" w:lineRule="exact" w:before="68"/>
              <w:ind w:left="56" w:right="57"/>
              <w:rPr>
                <w:sz w:val="16"/>
              </w:rPr>
            </w:pPr>
            <w:r>
              <w:rPr>
                <w:color w:val="231F20"/>
                <w:sz w:val="16"/>
              </w:rPr>
              <w:t>Mercedes</w:t>
            </w:r>
          </w:p>
          <w:p>
            <w:pPr>
              <w:pStyle w:val="TableParagraph"/>
              <w:spacing w:line="176" w:lineRule="exact" w:before="4"/>
              <w:ind w:left="58" w:right="57"/>
              <w:rPr>
                <w:sz w:val="16"/>
              </w:rPr>
            </w:pPr>
            <w:r>
              <w:rPr>
                <w:color w:val="231F20"/>
                <w:sz w:val="16"/>
              </w:rPr>
              <w:t>C-Class Plug-In Hybrid</w:t>
            </w:r>
          </w:p>
        </w:tc>
        <w:tc>
          <w:tcPr>
            <w:tcW w:w="3402" w:type="dxa"/>
          </w:tcPr>
          <w:p>
            <w:pPr>
              <w:pStyle w:val="TableParagraph"/>
              <w:spacing w:line="176" w:lineRule="exact" w:before="76"/>
              <w:ind w:left="56" w:right="183"/>
              <w:jc w:val="left"/>
              <w:rPr>
                <w:sz w:val="16"/>
              </w:rPr>
            </w:pPr>
            <w:r>
              <w:rPr>
                <w:color w:val="231F20"/>
                <w:sz w:val="16"/>
              </w:rPr>
              <w:t>Se basará en un sistema de propulsión que reúne  a una unidad turbo de cuatro cilindros, un motor eléctrico y una batería de iones de</w:t>
            </w:r>
            <w:r>
              <w:rPr>
                <w:color w:val="231F20"/>
                <w:spacing w:val="16"/>
                <w:sz w:val="16"/>
              </w:rPr>
              <w:t> </w:t>
            </w:r>
            <w:r>
              <w:rPr>
                <w:color w:val="231F20"/>
                <w:sz w:val="16"/>
              </w:rPr>
              <w:t>litio.</w:t>
            </w:r>
          </w:p>
        </w:tc>
        <w:tc>
          <w:tcPr>
            <w:tcW w:w="1582" w:type="dxa"/>
          </w:tcPr>
          <w:p>
            <w:pPr>
              <w:pStyle w:val="TableParagraph"/>
              <w:spacing w:before="1"/>
              <w:jc w:val="left"/>
              <w:rPr>
                <w:rFonts w:ascii="Palatino Linotype"/>
                <w:b/>
                <w:sz w:val="18"/>
              </w:rPr>
            </w:pPr>
          </w:p>
          <w:p>
            <w:pPr>
              <w:pStyle w:val="TableParagraph"/>
              <w:ind w:left="61" w:right="61"/>
              <w:rPr>
                <w:sz w:val="16"/>
              </w:rPr>
            </w:pPr>
            <w:r>
              <w:rPr>
                <w:color w:val="231F20"/>
                <w:sz w:val="16"/>
              </w:rPr>
              <w:t>2015</w:t>
            </w:r>
          </w:p>
        </w:tc>
      </w:tr>
      <w:tr>
        <w:trPr>
          <w:trHeight w:val="913" w:hRule="exact"/>
        </w:trPr>
        <w:tc>
          <w:tcPr>
            <w:tcW w:w="1015" w:type="dxa"/>
          </w:tcPr>
          <w:p>
            <w:pPr>
              <w:pStyle w:val="TableParagraph"/>
              <w:jc w:val="left"/>
              <w:rPr>
                <w:rFonts w:ascii="Palatino Linotype"/>
                <w:b/>
                <w:sz w:val="16"/>
              </w:rPr>
            </w:pPr>
          </w:p>
          <w:p>
            <w:pPr>
              <w:pStyle w:val="TableParagraph"/>
              <w:spacing w:before="9"/>
              <w:jc w:val="left"/>
              <w:rPr>
                <w:rFonts w:ascii="Palatino Linotype"/>
                <w:b/>
                <w:sz w:val="10"/>
              </w:rPr>
            </w:pPr>
          </w:p>
          <w:p>
            <w:pPr>
              <w:pStyle w:val="TableParagraph"/>
              <w:ind w:left="57" w:right="58"/>
              <w:rPr>
                <w:sz w:val="16"/>
              </w:rPr>
            </w:pPr>
            <w:r>
              <w:rPr>
                <w:color w:val="231F20"/>
                <w:sz w:val="16"/>
              </w:rPr>
              <w:t>Volkswagen</w:t>
            </w:r>
          </w:p>
        </w:tc>
        <w:tc>
          <w:tcPr>
            <w:tcW w:w="1191" w:type="dxa"/>
          </w:tcPr>
          <w:p>
            <w:pPr>
              <w:pStyle w:val="TableParagraph"/>
              <w:jc w:val="left"/>
              <w:rPr>
                <w:rFonts w:ascii="Palatino Linotype"/>
                <w:b/>
                <w:sz w:val="16"/>
              </w:rPr>
            </w:pPr>
          </w:p>
          <w:p>
            <w:pPr>
              <w:pStyle w:val="TableParagraph"/>
              <w:spacing w:before="9"/>
              <w:jc w:val="left"/>
              <w:rPr>
                <w:rFonts w:ascii="Palatino Linotype"/>
                <w:b/>
                <w:sz w:val="10"/>
              </w:rPr>
            </w:pPr>
          </w:p>
          <w:p>
            <w:pPr>
              <w:pStyle w:val="TableParagraph"/>
              <w:ind w:left="56" w:right="57"/>
              <w:rPr>
                <w:sz w:val="16"/>
              </w:rPr>
            </w:pPr>
            <w:r>
              <w:rPr>
                <w:color w:val="231F20"/>
                <w:sz w:val="16"/>
              </w:rPr>
              <w:t>E-Golf</w:t>
            </w:r>
          </w:p>
        </w:tc>
        <w:tc>
          <w:tcPr>
            <w:tcW w:w="3402" w:type="dxa"/>
          </w:tcPr>
          <w:p>
            <w:pPr>
              <w:pStyle w:val="TableParagraph"/>
              <w:spacing w:line="176" w:lineRule="exact" w:before="105"/>
              <w:ind w:left="56" w:right="347"/>
              <w:jc w:val="left"/>
              <w:rPr>
                <w:sz w:val="16"/>
              </w:rPr>
            </w:pPr>
            <w:r>
              <w:rPr>
                <w:color w:val="231F20"/>
                <w:sz w:val="16"/>
              </w:rPr>
              <w:t>Junto con un motor eléctrico muy eficiente, que garantiza una autonomía de hasta 118</w:t>
            </w:r>
          </w:p>
          <w:p>
            <w:pPr>
              <w:pStyle w:val="TableParagraph"/>
              <w:spacing w:line="176" w:lineRule="exact"/>
              <w:ind w:left="56" w:right="47"/>
              <w:jc w:val="left"/>
              <w:rPr>
                <w:sz w:val="16"/>
              </w:rPr>
            </w:pPr>
            <w:r>
              <w:rPr>
                <w:color w:val="231F20"/>
                <w:sz w:val="16"/>
              </w:rPr>
              <w:t>kilómetros, el nuevo E-Golf cuenta con tecnología impresionante, como el frenado regenerativo.</w:t>
            </w:r>
          </w:p>
        </w:tc>
        <w:tc>
          <w:tcPr>
            <w:tcW w:w="1582" w:type="dxa"/>
          </w:tcPr>
          <w:p>
            <w:pPr>
              <w:pStyle w:val="TableParagraph"/>
              <w:jc w:val="left"/>
              <w:rPr>
                <w:rFonts w:ascii="Palatino Linotype"/>
                <w:b/>
                <w:sz w:val="16"/>
              </w:rPr>
            </w:pPr>
          </w:p>
          <w:p>
            <w:pPr>
              <w:pStyle w:val="TableParagraph"/>
              <w:spacing w:before="9"/>
              <w:jc w:val="left"/>
              <w:rPr>
                <w:rFonts w:ascii="Palatino Linotype"/>
                <w:b/>
                <w:sz w:val="10"/>
              </w:rPr>
            </w:pPr>
          </w:p>
          <w:p>
            <w:pPr>
              <w:pStyle w:val="TableParagraph"/>
              <w:ind w:left="61" w:right="61"/>
              <w:rPr>
                <w:sz w:val="16"/>
              </w:rPr>
            </w:pPr>
            <w:r>
              <w:rPr>
                <w:color w:val="231F20"/>
                <w:sz w:val="16"/>
              </w:rPr>
              <w:t>2014</w:t>
            </w:r>
          </w:p>
        </w:tc>
      </w:tr>
      <w:tr>
        <w:trPr>
          <w:trHeight w:val="680" w:hRule="exact"/>
        </w:trPr>
        <w:tc>
          <w:tcPr>
            <w:tcW w:w="1015" w:type="dxa"/>
          </w:tcPr>
          <w:p>
            <w:pPr/>
          </w:p>
        </w:tc>
        <w:tc>
          <w:tcPr>
            <w:tcW w:w="1191" w:type="dxa"/>
          </w:tcPr>
          <w:p>
            <w:pPr>
              <w:pStyle w:val="TableParagraph"/>
              <w:spacing w:before="1"/>
              <w:jc w:val="left"/>
              <w:rPr>
                <w:rFonts w:ascii="Palatino Linotype"/>
                <w:b/>
                <w:sz w:val="18"/>
              </w:rPr>
            </w:pPr>
          </w:p>
          <w:p>
            <w:pPr>
              <w:pStyle w:val="TableParagraph"/>
              <w:ind w:left="57" w:right="57"/>
              <w:rPr>
                <w:sz w:val="16"/>
              </w:rPr>
            </w:pPr>
            <w:r>
              <w:rPr>
                <w:color w:val="231F20"/>
                <w:sz w:val="16"/>
              </w:rPr>
              <w:t>Golf GTE</w:t>
            </w:r>
          </w:p>
        </w:tc>
        <w:tc>
          <w:tcPr>
            <w:tcW w:w="3402" w:type="dxa"/>
          </w:tcPr>
          <w:p>
            <w:pPr>
              <w:pStyle w:val="TableParagraph"/>
              <w:spacing w:line="176" w:lineRule="exact" w:before="76"/>
              <w:ind w:left="56" w:right="183"/>
              <w:jc w:val="left"/>
              <w:rPr>
                <w:sz w:val="16"/>
              </w:rPr>
            </w:pPr>
            <w:r>
              <w:rPr>
                <w:color w:val="231F20"/>
                <w:w w:val="105"/>
                <w:sz w:val="16"/>
              </w:rPr>
              <w:t>Combinando un motor de gasolina y un motor eléctrico</w:t>
            </w:r>
            <w:r>
              <w:rPr>
                <w:color w:val="231F20"/>
                <w:spacing w:val="-23"/>
                <w:w w:val="105"/>
                <w:sz w:val="16"/>
              </w:rPr>
              <w:t> </w:t>
            </w:r>
            <w:r>
              <w:rPr>
                <w:color w:val="231F20"/>
                <w:w w:val="105"/>
                <w:sz w:val="16"/>
              </w:rPr>
              <w:t>redes,</w:t>
            </w:r>
            <w:r>
              <w:rPr>
                <w:color w:val="231F20"/>
                <w:spacing w:val="-23"/>
                <w:w w:val="105"/>
                <w:sz w:val="16"/>
              </w:rPr>
              <w:t> </w:t>
            </w:r>
            <w:r>
              <w:rPr>
                <w:color w:val="231F20"/>
                <w:w w:val="105"/>
                <w:sz w:val="16"/>
              </w:rPr>
              <w:t>tendrán</w:t>
            </w:r>
            <w:r>
              <w:rPr>
                <w:color w:val="231F20"/>
                <w:spacing w:val="-23"/>
                <w:w w:val="105"/>
                <w:sz w:val="16"/>
              </w:rPr>
              <w:t> </w:t>
            </w:r>
            <w:r>
              <w:rPr>
                <w:color w:val="231F20"/>
                <w:w w:val="105"/>
                <w:sz w:val="16"/>
              </w:rPr>
              <w:t>una</w:t>
            </w:r>
            <w:r>
              <w:rPr>
                <w:color w:val="231F20"/>
                <w:spacing w:val="-23"/>
                <w:w w:val="105"/>
                <w:sz w:val="16"/>
              </w:rPr>
              <w:t> </w:t>
            </w:r>
            <w:r>
              <w:rPr>
                <w:color w:val="231F20"/>
                <w:w w:val="105"/>
                <w:sz w:val="16"/>
              </w:rPr>
              <w:t>potencia</w:t>
            </w:r>
            <w:r>
              <w:rPr>
                <w:color w:val="231F20"/>
                <w:spacing w:val="-23"/>
                <w:w w:val="105"/>
                <w:sz w:val="16"/>
              </w:rPr>
              <w:t> </w:t>
            </w:r>
            <w:r>
              <w:rPr>
                <w:color w:val="231F20"/>
                <w:w w:val="105"/>
                <w:sz w:val="16"/>
              </w:rPr>
              <w:t>total</w:t>
            </w:r>
            <w:r>
              <w:rPr>
                <w:color w:val="231F20"/>
                <w:spacing w:val="-23"/>
                <w:w w:val="105"/>
                <w:sz w:val="16"/>
              </w:rPr>
              <w:t> </w:t>
            </w:r>
            <w:r>
              <w:rPr>
                <w:color w:val="231F20"/>
                <w:w w:val="105"/>
                <w:sz w:val="16"/>
              </w:rPr>
              <w:t>de</w:t>
            </w:r>
            <w:r>
              <w:rPr>
                <w:color w:val="231F20"/>
                <w:spacing w:val="-23"/>
                <w:w w:val="105"/>
                <w:sz w:val="16"/>
              </w:rPr>
              <w:t> </w:t>
            </w:r>
            <w:r>
              <w:rPr>
                <w:color w:val="231F20"/>
                <w:w w:val="105"/>
                <w:sz w:val="16"/>
              </w:rPr>
              <w:t>201 </w:t>
            </w:r>
            <w:r>
              <w:rPr>
                <w:color w:val="231F20"/>
                <w:sz w:val="16"/>
              </w:rPr>
              <w:t>caballos</w:t>
            </w:r>
            <w:r>
              <w:rPr>
                <w:color w:val="231F20"/>
                <w:spacing w:val="-10"/>
                <w:sz w:val="16"/>
              </w:rPr>
              <w:t> </w:t>
            </w:r>
            <w:r>
              <w:rPr>
                <w:color w:val="231F20"/>
                <w:sz w:val="16"/>
              </w:rPr>
              <w:t>y</w:t>
            </w:r>
            <w:r>
              <w:rPr>
                <w:color w:val="231F20"/>
                <w:spacing w:val="-10"/>
                <w:sz w:val="16"/>
              </w:rPr>
              <w:t> </w:t>
            </w:r>
            <w:r>
              <w:rPr>
                <w:color w:val="231F20"/>
                <w:sz w:val="16"/>
              </w:rPr>
              <w:t>258</w:t>
            </w:r>
            <w:r>
              <w:rPr>
                <w:color w:val="231F20"/>
                <w:spacing w:val="-10"/>
                <w:sz w:val="16"/>
              </w:rPr>
              <w:t> </w:t>
            </w:r>
            <w:r>
              <w:rPr>
                <w:color w:val="231F20"/>
                <w:sz w:val="16"/>
              </w:rPr>
              <w:t>libras-pie</w:t>
            </w:r>
            <w:r>
              <w:rPr>
                <w:color w:val="231F20"/>
                <w:spacing w:val="-10"/>
                <w:sz w:val="16"/>
              </w:rPr>
              <w:t> </w:t>
            </w:r>
            <w:r>
              <w:rPr>
                <w:color w:val="231F20"/>
                <w:sz w:val="16"/>
              </w:rPr>
              <w:t>de</w:t>
            </w:r>
            <w:r>
              <w:rPr>
                <w:color w:val="231F20"/>
                <w:spacing w:val="-10"/>
                <w:sz w:val="16"/>
              </w:rPr>
              <w:t> </w:t>
            </w:r>
            <w:r>
              <w:rPr>
                <w:color w:val="231F20"/>
                <w:sz w:val="16"/>
              </w:rPr>
              <w:t>torsión.</w:t>
            </w:r>
          </w:p>
        </w:tc>
        <w:tc>
          <w:tcPr>
            <w:tcW w:w="1582" w:type="dxa"/>
          </w:tcPr>
          <w:p>
            <w:pPr>
              <w:pStyle w:val="TableParagraph"/>
              <w:spacing w:before="1"/>
              <w:jc w:val="left"/>
              <w:rPr>
                <w:rFonts w:ascii="Palatino Linotype"/>
                <w:b/>
                <w:sz w:val="18"/>
              </w:rPr>
            </w:pPr>
          </w:p>
          <w:p>
            <w:pPr>
              <w:pStyle w:val="TableParagraph"/>
              <w:ind w:left="61" w:right="61"/>
              <w:rPr>
                <w:sz w:val="16"/>
              </w:rPr>
            </w:pPr>
            <w:r>
              <w:rPr>
                <w:color w:val="231F20"/>
                <w:sz w:val="16"/>
              </w:rPr>
              <w:t>2015</w:t>
            </w:r>
          </w:p>
        </w:tc>
      </w:tr>
      <w:tr>
        <w:trPr>
          <w:trHeight w:val="680" w:hRule="exact"/>
        </w:trPr>
        <w:tc>
          <w:tcPr>
            <w:tcW w:w="1015" w:type="dxa"/>
          </w:tcPr>
          <w:p>
            <w:pPr>
              <w:pStyle w:val="TableParagraph"/>
              <w:spacing w:before="1"/>
              <w:jc w:val="left"/>
              <w:rPr>
                <w:rFonts w:ascii="Palatino Linotype"/>
                <w:b/>
                <w:sz w:val="18"/>
              </w:rPr>
            </w:pPr>
          </w:p>
          <w:p>
            <w:pPr>
              <w:pStyle w:val="TableParagraph"/>
              <w:ind w:left="58" w:right="58"/>
              <w:rPr>
                <w:sz w:val="16"/>
              </w:rPr>
            </w:pPr>
            <w:r>
              <w:rPr>
                <w:color w:val="231F20"/>
                <w:sz w:val="16"/>
              </w:rPr>
              <w:t>Kia</w:t>
            </w:r>
          </w:p>
        </w:tc>
        <w:tc>
          <w:tcPr>
            <w:tcW w:w="1191" w:type="dxa"/>
          </w:tcPr>
          <w:p>
            <w:pPr>
              <w:pStyle w:val="TableParagraph"/>
              <w:spacing w:before="1"/>
              <w:jc w:val="left"/>
              <w:rPr>
                <w:rFonts w:ascii="Palatino Linotype"/>
                <w:b/>
                <w:sz w:val="18"/>
              </w:rPr>
            </w:pPr>
          </w:p>
          <w:p>
            <w:pPr>
              <w:pStyle w:val="TableParagraph"/>
              <w:ind w:left="57" w:right="57"/>
              <w:rPr>
                <w:sz w:val="16"/>
              </w:rPr>
            </w:pPr>
            <w:r>
              <w:rPr>
                <w:color w:val="231F20"/>
                <w:sz w:val="16"/>
              </w:rPr>
              <w:t>Soul EV</w:t>
            </w:r>
          </w:p>
        </w:tc>
        <w:tc>
          <w:tcPr>
            <w:tcW w:w="3402" w:type="dxa"/>
          </w:tcPr>
          <w:p>
            <w:pPr>
              <w:pStyle w:val="TableParagraph"/>
              <w:spacing w:line="176" w:lineRule="exact" w:before="76"/>
              <w:ind w:left="56" w:right="312"/>
              <w:jc w:val="left"/>
              <w:rPr>
                <w:sz w:val="16"/>
              </w:rPr>
            </w:pPr>
            <w:r>
              <w:rPr>
                <w:color w:val="231F20"/>
                <w:sz w:val="16"/>
              </w:rPr>
              <w:t>Representa el primer vehículo cero emisiones totalmente eléctrico de la compañía coreana en territorio de EE.UU.</w:t>
            </w:r>
          </w:p>
        </w:tc>
        <w:tc>
          <w:tcPr>
            <w:tcW w:w="1582" w:type="dxa"/>
          </w:tcPr>
          <w:p>
            <w:pPr>
              <w:pStyle w:val="TableParagraph"/>
              <w:spacing w:before="1"/>
              <w:jc w:val="left"/>
              <w:rPr>
                <w:rFonts w:ascii="Palatino Linotype"/>
                <w:b/>
                <w:sz w:val="18"/>
              </w:rPr>
            </w:pPr>
          </w:p>
          <w:p>
            <w:pPr>
              <w:pStyle w:val="TableParagraph"/>
              <w:ind w:left="61" w:right="61"/>
              <w:rPr>
                <w:sz w:val="16"/>
              </w:rPr>
            </w:pPr>
            <w:r>
              <w:rPr>
                <w:color w:val="231F20"/>
                <w:sz w:val="16"/>
              </w:rPr>
              <w:t>2015</w:t>
            </w:r>
          </w:p>
        </w:tc>
      </w:tr>
    </w:tbl>
    <w:p>
      <w:pPr>
        <w:pStyle w:val="BodyText"/>
        <w:spacing w:before="8"/>
        <w:rPr>
          <w:rFonts w:ascii="Palatino Linotype"/>
          <w:b/>
          <w:sz w:val="9"/>
        </w:rPr>
      </w:pPr>
    </w:p>
    <w:p>
      <w:pPr>
        <w:spacing w:before="41"/>
        <w:ind w:left="103" w:right="673" w:firstLine="0"/>
        <w:jc w:val="left"/>
        <w:rPr>
          <w:sz w:val="19"/>
        </w:rPr>
      </w:pPr>
      <w:r>
        <w:rPr>
          <w:rFonts w:ascii="Palatino Linotype" w:hAnsi="Palatino Linotype"/>
          <w:i/>
          <w:color w:val="231F20"/>
          <w:sz w:val="19"/>
        </w:rPr>
        <w:t>Fuente: </w:t>
      </w:r>
      <w:r>
        <w:rPr>
          <w:color w:val="231F20"/>
          <w:sz w:val="19"/>
        </w:rPr>
        <w:t>Elaboración propia con información de Leoni (2015).</w:t>
      </w:r>
    </w:p>
    <w:p>
      <w:pPr>
        <w:spacing w:after="0"/>
        <w:jc w:val="left"/>
        <w:rPr>
          <w:sz w:val="19"/>
        </w:rPr>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0"/>
        <w:jc w:val="both"/>
      </w:pPr>
      <w:r>
        <w:rPr>
          <w:color w:val="231F20"/>
        </w:rPr>
        <w:t>Los elementos expuestos hasta este punto dejan ver que la innovación tecnológica ha sido un factor fundamental en la evolución del sector automotriz en el mundo y que en ella se basan las principales estrategias que las armadoras líderes en el ramo han seguido durante los últimos años para consolidar su presencia en el mundo como pro- ductoras y vendedoras de vehículos.</w:t>
      </w:r>
    </w:p>
    <w:p>
      <w:pPr>
        <w:pStyle w:val="BodyText"/>
        <w:spacing w:line="278" w:lineRule="auto" w:before="1"/>
        <w:ind w:left="653" w:right="101" w:firstLine="396"/>
        <w:jc w:val="both"/>
      </w:pPr>
      <w:r>
        <w:rPr>
          <w:color w:val="231F20"/>
        </w:rPr>
        <w:t>En este sentido, la cadena productiva está dirigida por las grandes armadoras ja- ponesas, norteamericanas y europeas (las norteamericanas, aun cuando han cedido espacios</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japonesas</w:t>
      </w:r>
      <w:r>
        <w:rPr>
          <w:color w:val="231F20"/>
          <w:spacing w:val="-13"/>
        </w:rPr>
        <w:t> </w:t>
      </w:r>
      <w:r>
        <w:rPr>
          <w:color w:val="231F20"/>
        </w:rPr>
        <w:t>en</w:t>
      </w:r>
      <w:r>
        <w:rPr>
          <w:color w:val="231F20"/>
          <w:spacing w:val="-13"/>
        </w:rPr>
        <w:t> </w:t>
      </w:r>
      <w:r>
        <w:rPr>
          <w:color w:val="231F20"/>
        </w:rPr>
        <w:t>producción</w:t>
      </w:r>
      <w:r>
        <w:rPr>
          <w:color w:val="231F20"/>
          <w:spacing w:val="-13"/>
        </w:rPr>
        <w:t> </w:t>
      </w:r>
      <w:r>
        <w:rPr>
          <w:color w:val="231F20"/>
        </w:rPr>
        <w:t>y</w:t>
      </w:r>
      <w:r>
        <w:rPr>
          <w:color w:val="231F20"/>
          <w:spacing w:val="-13"/>
        </w:rPr>
        <w:t> </w:t>
      </w:r>
      <w:r>
        <w:rPr>
          <w:color w:val="231F20"/>
        </w:rPr>
        <w:t>ventas,</w:t>
      </w:r>
      <w:r>
        <w:rPr>
          <w:color w:val="231F20"/>
          <w:spacing w:val="-13"/>
        </w:rPr>
        <w:t> </w:t>
      </w:r>
      <w:r>
        <w:rPr>
          <w:color w:val="231F20"/>
        </w:rPr>
        <w:t>siguen</w:t>
      </w:r>
      <w:r>
        <w:rPr>
          <w:color w:val="231F20"/>
          <w:spacing w:val="-13"/>
        </w:rPr>
        <w:t> </w:t>
      </w:r>
      <w:r>
        <w:rPr>
          <w:color w:val="231F20"/>
        </w:rPr>
        <w:t>siendo</w:t>
      </w:r>
      <w:r>
        <w:rPr>
          <w:color w:val="231F20"/>
          <w:spacing w:val="-13"/>
        </w:rPr>
        <w:t> </w:t>
      </w:r>
      <w:r>
        <w:rPr>
          <w:color w:val="231F20"/>
        </w:rPr>
        <w:t>líderes</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mundial), que</w:t>
      </w:r>
      <w:r>
        <w:rPr>
          <w:color w:val="231F20"/>
          <w:spacing w:val="-8"/>
        </w:rPr>
        <w:t> </w:t>
      </w:r>
      <w:r>
        <w:rPr>
          <w:color w:val="231F20"/>
        </w:rPr>
        <w:t>son</w:t>
      </w:r>
      <w:r>
        <w:rPr>
          <w:color w:val="231F20"/>
          <w:spacing w:val="-8"/>
        </w:rPr>
        <w:t> </w:t>
      </w:r>
      <w:r>
        <w:rPr>
          <w:color w:val="231F20"/>
        </w:rPr>
        <w:t>las</w:t>
      </w:r>
      <w:r>
        <w:rPr>
          <w:color w:val="231F20"/>
          <w:spacing w:val="-8"/>
        </w:rPr>
        <w:t> </w:t>
      </w:r>
      <w:r>
        <w:rPr>
          <w:color w:val="231F20"/>
        </w:rPr>
        <w:t>que</w:t>
      </w:r>
      <w:r>
        <w:rPr>
          <w:color w:val="231F20"/>
          <w:spacing w:val="-8"/>
        </w:rPr>
        <w:t> </w:t>
      </w:r>
      <w:r>
        <w:rPr>
          <w:color w:val="231F20"/>
        </w:rPr>
        <w:t>lideran</w:t>
      </w:r>
      <w:r>
        <w:rPr>
          <w:color w:val="231F20"/>
          <w:spacing w:val="-8"/>
        </w:rPr>
        <w:t> </w:t>
      </w:r>
      <w:r>
        <w:rPr>
          <w:color w:val="231F20"/>
        </w:rPr>
        <w:t>los</w:t>
      </w:r>
      <w:r>
        <w:rPr>
          <w:color w:val="231F20"/>
          <w:spacing w:val="-8"/>
        </w:rPr>
        <w:t> </w:t>
      </w:r>
      <w:r>
        <w:rPr>
          <w:color w:val="231F20"/>
        </w:rPr>
        <w:t>procesos</w:t>
      </w:r>
      <w:r>
        <w:rPr>
          <w:color w:val="231F20"/>
          <w:spacing w:val="-8"/>
        </w:rPr>
        <w:t> </w:t>
      </w:r>
      <w:r>
        <w:rPr>
          <w:color w:val="231F20"/>
        </w:rPr>
        <w:t>productivos</w:t>
      </w:r>
      <w:r>
        <w:rPr>
          <w:color w:val="231F20"/>
          <w:spacing w:val="-8"/>
        </w:rPr>
        <w:t> </w:t>
      </w:r>
      <w:r>
        <w:rPr>
          <w:color w:val="231F20"/>
        </w:rPr>
        <w:t>en</w:t>
      </w:r>
      <w:r>
        <w:rPr>
          <w:color w:val="231F20"/>
          <w:spacing w:val="-8"/>
        </w:rPr>
        <w:t> </w:t>
      </w:r>
      <w:r>
        <w:rPr>
          <w:color w:val="231F20"/>
        </w:rPr>
        <w:t>términos</w:t>
      </w:r>
      <w:r>
        <w:rPr>
          <w:color w:val="231F20"/>
          <w:spacing w:val="-8"/>
        </w:rPr>
        <w:t> </w:t>
      </w:r>
      <w:r>
        <w:rPr>
          <w:color w:val="231F20"/>
        </w:rPr>
        <w:t>de</w:t>
      </w:r>
      <w:r>
        <w:rPr>
          <w:color w:val="231F20"/>
          <w:spacing w:val="-8"/>
        </w:rPr>
        <w:t> </w:t>
      </w:r>
      <w:r>
        <w:rPr>
          <w:color w:val="231F20"/>
        </w:rPr>
        <w:t>desarrollo</w:t>
      </w:r>
      <w:r>
        <w:rPr>
          <w:color w:val="231F20"/>
          <w:spacing w:val="-8"/>
        </w:rPr>
        <w:t> </w:t>
      </w:r>
      <w:r>
        <w:rPr>
          <w:color w:val="231F20"/>
        </w:rPr>
        <w:t>tecnológico y</w:t>
      </w:r>
      <w:r>
        <w:rPr>
          <w:color w:val="231F20"/>
          <w:spacing w:val="-6"/>
        </w:rPr>
        <w:t> </w:t>
      </w:r>
      <w:r>
        <w:rPr>
          <w:color w:val="231F20"/>
        </w:rPr>
        <w:t>aplicación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inversión,</w:t>
      </w:r>
      <w:r>
        <w:rPr>
          <w:color w:val="231F20"/>
          <w:spacing w:val="-6"/>
        </w:rPr>
        <w:t> </w:t>
      </w:r>
      <w:r>
        <w:rPr>
          <w:color w:val="231F20"/>
        </w:rPr>
        <w:t>y</w:t>
      </w:r>
      <w:r>
        <w:rPr>
          <w:color w:val="231F20"/>
          <w:spacing w:val="-6"/>
        </w:rPr>
        <w:t> </w:t>
      </w:r>
      <w:r>
        <w:rPr>
          <w:color w:val="231F20"/>
        </w:rPr>
        <w:t>además</w:t>
      </w:r>
      <w:r>
        <w:rPr>
          <w:color w:val="231F20"/>
          <w:spacing w:val="-6"/>
        </w:rPr>
        <w:t> </w:t>
      </w:r>
      <w:r>
        <w:rPr>
          <w:color w:val="231F20"/>
        </w:rPr>
        <w:t>marcan</w:t>
      </w:r>
      <w:r>
        <w:rPr>
          <w:color w:val="231F20"/>
          <w:spacing w:val="-6"/>
        </w:rPr>
        <w:t> </w:t>
      </w:r>
      <w:r>
        <w:rPr>
          <w:color w:val="231F20"/>
        </w:rPr>
        <w:t>las</w:t>
      </w:r>
      <w:r>
        <w:rPr>
          <w:color w:val="231F20"/>
          <w:spacing w:val="-6"/>
        </w:rPr>
        <w:t> </w:t>
      </w:r>
      <w:r>
        <w:rPr>
          <w:color w:val="231F20"/>
        </w:rPr>
        <w:t>pautas</w:t>
      </w:r>
      <w:r>
        <w:rPr>
          <w:color w:val="231F20"/>
          <w:spacing w:val="-6"/>
        </w:rPr>
        <w:t> </w:t>
      </w:r>
      <w:r>
        <w:rPr>
          <w:color w:val="231F20"/>
        </w:rPr>
        <w:t>a</w:t>
      </w:r>
      <w:r>
        <w:rPr>
          <w:color w:val="231F20"/>
          <w:spacing w:val="-6"/>
        </w:rPr>
        <w:t> </w:t>
      </w:r>
      <w:r>
        <w:rPr>
          <w:color w:val="231F20"/>
        </w:rPr>
        <w:t>seguir</w:t>
      </w:r>
      <w:r>
        <w:rPr>
          <w:color w:val="231F20"/>
          <w:spacing w:val="-6"/>
        </w:rPr>
        <w:t> </w:t>
      </w:r>
      <w:r>
        <w:rPr>
          <w:color w:val="231F20"/>
        </w:rPr>
        <w:t>para</w:t>
      </w:r>
      <w:r>
        <w:rPr>
          <w:color w:val="231F20"/>
          <w:spacing w:val="-6"/>
        </w:rPr>
        <w:t> </w:t>
      </w:r>
      <w:r>
        <w:rPr>
          <w:color w:val="231F20"/>
        </w:rPr>
        <w:t>los</w:t>
      </w:r>
      <w:r>
        <w:rPr>
          <w:color w:val="231F20"/>
          <w:spacing w:val="-6"/>
        </w:rPr>
        <w:t> </w:t>
      </w:r>
      <w:r>
        <w:rPr>
          <w:color w:val="231F20"/>
        </w:rPr>
        <w:t>grandes</w:t>
      </w:r>
      <w:r>
        <w:rPr>
          <w:color w:val="231F20"/>
          <w:spacing w:val="-6"/>
        </w:rPr>
        <w:t> </w:t>
      </w:r>
      <w:r>
        <w:rPr>
          <w:color w:val="231F20"/>
        </w:rPr>
        <w:t>pro- veedores de autopartes, los cuales, para permanecer en el mercado y ser</w:t>
      </w:r>
      <w:r>
        <w:rPr>
          <w:color w:val="231F20"/>
          <w:spacing w:val="-36"/>
        </w:rPr>
        <w:t> </w:t>
      </w:r>
      <w:r>
        <w:rPr>
          <w:color w:val="231F20"/>
        </w:rPr>
        <w:t>competitivos, también han tenido que entrar en el camino del desarrollo de nuevas tecnologías y partes que se adecúen a los nuevos requerimientos de la industria</w:t>
      </w:r>
      <w:r>
        <w:rPr>
          <w:color w:val="231F20"/>
          <w:spacing w:val="-4"/>
        </w:rPr>
        <w:t> </w:t>
      </w:r>
      <w:r>
        <w:rPr>
          <w:color w:val="231F20"/>
        </w:rPr>
        <w:t>terminal.</w:t>
      </w:r>
    </w:p>
    <w:p>
      <w:pPr>
        <w:pStyle w:val="BodyText"/>
        <w:spacing w:before="5"/>
        <w:rPr>
          <w:sz w:val="17"/>
        </w:rPr>
      </w:pPr>
    </w:p>
    <w:p>
      <w:pPr>
        <w:pStyle w:val="Heading3"/>
        <w:numPr>
          <w:ilvl w:val="1"/>
          <w:numId w:val="15"/>
        </w:numPr>
        <w:tabs>
          <w:tab w:pos="1068" w:val="left" w:leader="none"/>
        </w:tabs>
        <w:spacing w:line="280" w:lineRule="exact" w:before="0" w:after="0"/>
        <w:ind w:left="1067" w:right="1753" w:hanging="414"/>
        <w:jc w:val="left"/>
      </w:pPr>
      <w:r>
        <w:rPr>
          <w:color w:val="231F20"/>
          <w:w w:val="90"/>
        </w:rPr>
        <w:t>Reconfiguración del mercado mundial de vehículos </w:t>
      </w:r>
      <w:r>
        <w:rPr>
          <w:color w:val="231F20"/>
          <w:w w:val="95"/>
        </w:rPr>
        <w:t>y</w:t>
      </w:r>
      <w:r>
        <w:rPr>
          <w:color w:val="231F20"/>
          <w:spacing w:val="-24"/>
          <w:w w:val="95"/>
        </w:rPr>
        <w:t> </w:t>
      </w:r>
      <w:r>
        <w:rPr>
          <w:color w:val="231F20"/>
          <w:w w:val="95"/>
        </w:rPr>
        <w:t>saldos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Gran</w:t>
      </w:r>
      <w:r>
        <w:rPr>
          <w:color w:val="231F20"/>
          <w:spacing w:val="-24"/>
          <w:w w:val="95"/>
        </w:rPr>
        <w:t> </w:t>
      </w:r>
      <w:r>
        <w:rPr>
          <w:color w:val="231F20"/>
          <w:w w:val="95"/>
        </w:rPr>
        <w:t>Recesión</w:t>
      </w:r>
      <w:r>
        <w:rPr>
          <w:color w:val="231F20"/>
          <w:spacing w:val="-24"/>
          <w:w w:val="95"/>
        </w:rPr>
        <w:t> </w:t>
      </w:r>
      <w:r>
        <w:rPr>
          <w:color w:val="231F20"/>
          <w:w w:val="95"/>
        </w:rPr>
        <w:t>de</w:t>
      </w:r>
      <w:r>
        <w:rPr>
          <w:color w:val="231F20"/>
          <w:spacing w:val="-24"/>
          <w:w w:val="95"/>
        </w:rPr>
        <w:t> </w:t>
      </w:r>
      <w:r>
        <w:rPr>
          <w:color w:val="231F20"/>
          <w:w w:val="95"/>
        </w:rPr>
        <w:t>2008</w:t>
      </w:r>
    </w:p>
    <w:p>
      <w:pPr>
        <w:pStyle w:val="BodyText"/>
        <w:rPr>
          <w:rFonts w:ascii="Palatino Linotype"/>
          <w:b/>
          <w:sz w:val="17"/>
        </w:rPr>
      </w:pPr>
    </w:p>
    <w:p>
      <w:pPr>
        <w:pStyle w:val="Heading4"/>
        <w:numPr>
          <w:ilvl w:val="2"/>
          <w:numId w:val="15"/>
        </w:numPr>
        <w:tabs>
          <w:tab w:pos="1175" w:val="left" w:leader="none"/>
        </w:tabs>
        <w:spacing w:line="240" w:lineRule="auto" w:before="1" w:after="0"/>
        <w:ind w:left="1174" w:right="0" w:hanging="521"/>
        <w:jc w:val="both"/>
        <w:rPr>
          <w:color w:val="231F20"/>
        </w:rPr>
      </w:pPr>
      <w:r>
        <w:rPr>
          <w:color w:val="231F20"/>
          <w:w w:val="95"/>
        </w:rPr>
        <w:t>Producción</w:t>
      </w:r>
      <w:r>
        <w:rPr>
          <w:color w:val="231F20"/>
          <w:spacing w:val="-29"/>
          <w:w w:val="95"/>
        </w:rPr>
        <w:t> </w:t>
      </w:r>
      <w:r>
        <w:rPr>
          <w:color w:val="231F20"/>
          <w:w w:val="95"/>
        </w:rPr>
        <w:t>y</w:t>
      </w:r>
      <w:r>
        <w:rPr>
          <w:color w:val="231F20"/>
          <w:spacing w:val="-29"/>
          <w:w w:val="95"/>
        </w:rPr>
        <w:t> </w:t>
      </w:r>
      <w:r>
        <w:rPr>
          <w:color w:val="231F20"/>
          <w:w w:val="95"/>
        </w:rPr>
        <w:t>venta</w:t>
      </w:r>
      <w:r>
        <w:rPr>
          <w:color w:val="231F20"/>
          <w:spacing w:val="-29"/>
          <w:w w:val="95"/>
        </w:rPr>
        <w:t> </w:t>
      </w:r>
      <w:r>
        <w:rPr>
          <w:color w:val="231F20"/>
          <w:w w:val="95"/>
        </w:rPr>
        <w:t>de</w:t>
      </w:r>
      <w:r>
        <w:rPr>
          <w:color w:val="231F20"/>
          <w:spacing w:val="-29"/>
          <w:w w:val="95"/>
        </w:rPr>
        <w:t> </w:t>
      </w:r>
      <w:r>
        <w:rPr>
          <w:color w:val="231F20"/>
          <w:w w:val="95"/>
        </w:rPr>
        <w:t>vehículos</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mundo</w:t>
      </w:r>
    </w:p>
    <w:p>
      <w:pPr>
        <w:pStyle w:val="BodyText"/>
        <w:spacing w:line="278" w:lineRule="auto" w:before="134"/>
        <w:ind w:left="587" w:right="100"/>
        <w:jc w:val="right"/>
      </w:pPr>
      <w:r>
        <w:rPr>
          <w:color w:val="231F20"/>
        </w:rPr>
        <w:t>Las innovaciones tecnológicas no sólo han generado cambios en los</w:t>
      </w:r>
      <w:r>
        <w:rPr>
          <w:color w:val="231F20"/>
          <w:spacing w:val="-16"/>
        </w:rPr>
        <w:t> </w:t>
      </w:r>
      <w:r>
        <w:rPr>
          <w:color w:val="231F20"/>
        </w:rPr>
        <w:t>procesos</w:t>
      </w:r>
      <w:r>
        <w:rPr>
          <w:color w:val="231F20"/>
          <w:spacing w:val="-2"/>
        </w:rPr>
        <w:t> </w:t>
      </w:r>
      <w:r>
        <w:rPr>
          <w:color w:val="231F20"/>
        </w:rPr>
        <w:t>produc-</w:t>
      </w:r>
      <w:r>
        <w:rPr>
          <w:color w:val="231F20"/>
          <w:w w:val="106"/>
        </w:rPr>
        <w:t> </w:t>
      </w:r>
      <w:r>
        <w:rPr>
          <w:color w:val="231F20"/>
        </w:rPr>
        <w:t>tivos</w:t>
      </w:r>
      <w:r>
        <w:rPr>
          <w:color w:val="231F20"/>
          <w:spacing w:val="29"/>
        </w:rPr>
        <w:t> </w:t>
      </w:r>
      <w:r>
        <w:rPr>
          <w:color w:val="231F20"/>
        </w:rPr>
        <w:t>y</w:t>
      </w:r>
      <w:r>
        <w:rPr>
          <w:color w:val="231F20"/>
          <w:spacing w:val="29"/>
        </w:rPr>
        <w:t> </w:t>
      </w:r>
      <w:r>
        <w:rPr>
          <w:color w:val="231F20"/>
        </w:rPr>
        <w:t>de</w:t>
      </w:r>
      <w:r>
        <w:rPr>
          <w:color w:val="231F20"/>
          <w:spacing w:val="29"/>
        </w:rPr>
        <w:t> </w:t>
      </w:r>
      <w:r>
        <w:rPr>
          <w:color w:val="231F20"/>
        </w:rPr>
        <w:t>organización</w:t>
      </w:r>
      <w:r>
        <w:rPr>
          <w:color w:val="231F20"/>
          <w:spacing w:val="29"/>
        </w:rPr>
        <w:t> </w:t>
      </w:r>
      <w:r>
        <w:rPr>
          <w:color w:val="231F20"/>
        </w:rPr>
        <w:t>dentro</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industria</w:t>
      </w:r>
      <w:r>
        <w:rPr>
          <w:color w:val="231F20"/>
          <w:spacing w:val="29"/>
        </w:rPr>
        <w:t> </w:t>
      </w:r>
      <w:r>
        <w:rPr>
          <w:color w:val="231F20"/>
        </w:rPr>
        <w:t>automotriz,</w:t>
      </w:r>
      <w:r>
        <w:rPr>
          <w:color w:val="231F20"/>
          <w:spacing w:val="29"/>
        </w:rPr>
        <w:t> </w:t>
      </w:r>
      <w:r>
        <w:rPr>
          <w:color w:val="231F20"/>
        </w:rPr>
        <w:t>sino</w:t>
      </w:r>
      <w:r>
        <w:rPr>
          <w:color w:val="231F20"/>
          <w:spacing w:val="29"/>
        </w:rPr>
        <w:t> </w:t>
      </w:r>
      <w:r>
        <w:rPr>
          <w:color w:val="231F20"/>
        </w:rPr>
        <w:t>también</w:t>
      </w:r>
      <w:r>
        <w:rPr>
          <w:color w:val="231F20"/>
          <w:spacing w:val="29"/>
        </w:rPr>
        <w:t> </w:t>
      </w:r>
      <w:r>
        <w:rPr>
          <w:color w:val="231F20"/>
        </w:rPr>
        <w:t>han</w:t>
      </w:r>
      <w:r>
        <w:rPr>
          <w:color w:val="231F20"/>
          <w:spacing w:val="29"/>
        </w:rPr>
        <w:t> </w:t>
      </w:r>
      <w:r>
        <w:rPr>
          <w:color w:val="231F20"/>
        </w:rPr>
        <w:t>traído</w:t>
      </w:r>
      <w:r>
        <w:rPr>
          <w:color w:val="231F20"/>
          <w:w w:val="102"/>
        </w:rPr>
        <w:t> </w:t>
      </w:r>
      <w:r>
        <w:rPr>
          <w:color w:val="231F20"/>
        </w:rPr>
        <w:t>consigo</w:t>
      </w:r>
      <w:r>
        <w:rPr>
          <w:color w:val="231F20"/>
          <w:spacing w:val="26"/>
        </w:rPr>
        <w:t> </w:t>
      </w:r>
      <w:r>
        <w:rPr>
          <w:color w:val="231F20"/>
        </w:rPr>
        <w:t>una</w:t>
      </w:r>
      <w:r>
        <w:rPr>
          <w:color w:val="231F20"/>
          <w:spacing w:val="26"/>
        </w:rPr>
        <w:t> </w:t>
      </w:r>
      <w:r>
        <w:rPr>
          <w:color w:val="231F20"/>
        </w:rPr>
        <w:t>importante</w:t>
      </w:r>
      <w:r>
        <w:rPr>
          <w:color w:val="231F20"/>
          <w:spacing w:val="26"/>
        </w:rPr>
        <w:t> </w:t>
      </w:r>
      <w:r>
        <w:rPr>
          <w:color w:val="231F20"/>
        </w:rPr>
        <w:t>reconfiguración</w:t>
      </w:r>
      <w:r>
        <w:rPr>
          <w:color w:val="231F20"/>
          <w:spacing w:val="26"/>
        </w:rPr>
        <w:t> </w:t>
      </w:r>
      <w:r>
        <w:rPr>
          <w:color w:val="231F20"/>
        </w:rPr>
        <w:t>del</w:t>
      </w:r>
      <w:r>
        <w:rPr>
          <w:color w:val="231F20"/>
          <w:spacing w:val="26"/>
        </w:rPr>
        <w:t> </w:t>
      </w:r>
      <w:r>
        <w:rPr>
          <w:color w:val="231F20"/>
        </w:rPr>
        <w:t>mercado</w:t>
      </w:r>
      <w:r>
        <w:rPr>
          <w:color w:val="231F20"/>
          <w:spacing w:val="26"/>
        </w:rPr>
        <w:t> </w:t>
      </w:r>
      <w:r>
        <w:rPr>
          <w:color w:val="231F20"/>
        </w:rPr>
        <w:t>mundial</w:t>
      </w:r>
      <w:r>
        <w:rPr>
          <w:color w:val="231F20"/>
          <w:spacing w:val="26"/>
        </w:rPr>
        <w:t> </w:t>
      </w:r>
      <w:r>
        <w:rPr>
          <w:color w:val="231F20"/>
        </w:rPr>
        <w:t>de</w:t>
      </w:r>
      <w:r>
        <w:rPr>
          <w:color w:val="231F20"/>
          <w:spacing w:val="26"/>
        </w:rPr>
        <w:t> </w:t>
      </w:r>
      <w:r>
        <w:rPr>
          <w:color w:val="231F20"/>
        </w:rPr>
        <w:t>vehículos.</w:t>
      </w:r>
      <w:r>
        <w:rPr>
          <w:color w:val="231F20"/>
          <w:spacing w:val="26"/>
        </w:rPr>
        <w:t> </w:t>
      </w:r>
      <w:r>
        <w:rPr>
          <w:color w:val="231F20"/>
        </w:rPr>
        <w:t>Es</w:t>
      </w:r>
      <w:r>
        <w:rPr>
          <w:color w:val="231F20"/>
          <w:spacing w:val="26"/>
        </w:rPr>
        <w:t> </w:t>
      </w:r>
      <w:r>
        <w:rPr>
          <w:color w:val="231F20"/>
        </w:rPr>
        <w:t>de-</w:t>
      </w:r>
      <w:r>
        <w:rPr>
          <w:color w:val="231F20"/>
          <w:w w:val="106"/>
        </w:rPr>
        <w:t> </w:t>
      </w:r>
      <w:r>
        <w:rPr>
          <w:color w:val="231F20"/>
          <w:spacing w:val="-4"/>
        </w:rPr>
        <w:t>cir, </w:t>
      </w:r>
      <w:r>
        <w:rPr>
          <w:color w:val="231F20"/>
        </w:rPr>
        <w:t>aquellos cambios que se han dado a partir de que las grandes empresas</w:t>
      </w:r>
      <w:r>
        <w:rPr>
          <w:color w:val="231F20"/>
          <w:spacing w:val="18"/>
        </w:rPr>
        <w:t> </w:t>
      </w:r>
      <w:r>
        <w:rPr>
          <w:color w:val="231F20"/>
        </w:rPr>
        <w:t>líderes</w:t>
      </w:r>
      <w:r>
        <w:rPr>
          <w:color w:val="231F20"/>
          <w:spacing w:val="4"/>
        </w:rPr>
        <w:t> </w:t>
      </w:r>
      <w:r>
        <w:rPr>
          <w:color w:val="231F20"/>
        </w:rPr>
        <w:t>en</w:t>
      </w:r>
      <w:r>
        <w:rPr>
          <w:color w:val="231F20"/>
          <w:w w:val="102"/>
        </w:rPr>
        <w:t> </w:t>
      </w:r>
      <w:r>
        <w:rPr>
          <w:color w:val="231F20"/>
        </w:rPr>
        <w:t>producción y venta de vehículos en la últimas décadas del siglo XX</w:t>
      </w:r>
      <w:r>
        <w:rPr>
          <w:color w:val="231F20"/>
          <w:spacing w:val="22"/>
        </w:rPr>
        <w:t> </w:t>
      </w:r>
      <w:r>
        <w:rPr>
          <w:color w:val="231F20"/>
        </w:rPr>
        <w:t>(General</w:t>
      </w:r>
      <w:r>
        <w:rPr>
          <w:color w:val="231F20"/>
          <w:spacing w:val="1"/>
        </w:rPr>
        <w:t> </w:t>
      </w:r>
      <w:r>
        <w:rPr>
          <w:color w:val="231F20"/>
          <w:spacing w:val="-3"/>
        </w:rPr>
        <w:t>Motors,</w:t>
      </w:r>
      <w:r>
        <w:rPr>
          <w:color w:val="231F20"/>
          <w:w w:val="93"/>
        </w:rPr>
        <w:t> </w:t>
      </w:r>
      <w:r>
        <w:rPr>
          <w:color w:val="231F20"/>
        </w:rPr>
        <w:t>Chrysler</w:t>
      </w:r>
      <w:r>
        <w:rPr>
          <w:color w:val="231F20"/>
          <w:spacing w:val="21"/>
        </w:rPr>
        <w:t> </w:t>
      </w:r>
      <w:r>
        <w:rPr>
          <w:color w:val="231F20"/>
        </w:rPr>
        <w:t>y</w:t>
      </w:r>
      <w:r>
        <w:rPr>
          <w:color w:val="231F20"/>
          <w:spacing w:val="21"/>
        </w:rPr>
        <w:t> </w:t>
      </w:r>
      <w:r>
        <w:rPr>
          <w:color w:val="231F20"/>
        </w:rPr>
        <w:t>Ford)</w:t>
      </w:r>
      <w:r>
        <w:rPr>
          <w:color w:val="231F20"/>
          <w:spacing w:val="21"/>
        </w:rPr>
        <w:t> </w:t>
      </w:r>
      <w:r>
        <w:rPr>
          <w:color w:val="231F20"/>
        </w:rPr>
        <w:t>perdieran</w:t>
      </w:r>
      <w:r>
        <w:rPr>
          <w:color w:val="231F20"/>
          <w:spacing w:val="21"/>
        </w:rPr>
        <w:t> </w:t>
      </w:r>
      <w:r>
        <w:rPr>
          <w:color w:val="231F20"/>
        </w:rPr>
        <w:t>mercado</w:t>
      </w:r>
      <w:r>
        <w:rPr>
          <w:color w:val="231F20"/>
          <w:spacing w:val="21"/>
        </w:rPr>
        <w:t> </w:t>
      </w:r>
      <w:r>
        <w:rPr>
          <w:color w:val="231F20"/>
        </w:rPr>
        <w:t>ante</w:t>
      </w:r>
      <w:r>
        <w:rPr>
          <w:color w:val="231F20"/>
          <w:spacing w:val="21"/>
        </w:rPr>
        <w:t> </w:t>
      </w:r>
      <w:r>
        <w:rPr>
          <w:color w:val="231F20"/>
        </w:rPr>
        <w:t>la</w:t>
      </w:r>
      <w:r>
        <w:rPr>
          <w:color w:val="231F20"/>
          <w:spacing w:val="21"/>
        </w:rPr>
        <w:t> </w:t>
      </w:r>
      <w:r>
        <w:rPr>
          <w:color w:val="231F20"/>
        </w:rPr>
        <w:t>fuerte</w:t>
      </w:r>
      <w:r>
        <w:rPr>
          <w:color w:val="231F20"/>
          <w:spacing w:val="21"/>
        </w:rPr>
        <w:t> </w:t>
      </w:r>
      <w:r>
        <w:rPr>
          <w:color w:val="231F20"/>
        </w:rPr>
        <w:t>competencia</w:t>
      </w:r>
      <w:r>
        <w:rPr>
          <w:color w:val="231F20"/>
          <w:spacing w:val="21"/>
        </w:rPr>
        <w:t> </w:t>
      </w:r>
      <w:r>
        <w:rPr>
          <w:color w:val="231F20"/>
        </w:rPr>
        <w:t>de</w:t>
      </w:r>
      <w:r>
        <w:rPr>
          <w:color w:val="231F20"/>
          <w:spacing w:val="21"/>
        </w:rPr>
        <w:t> </w:t>
      </w:r>
      <w:r>
        <w:rPr>
          <w:color w:val="231F20"/>
        </w:rPr>
        <w:t>las</w:t>
      </w:r>
      <w:r>
        <w:rPr>
          <w:color w:val="231F20"/>
          <w:spacing w:val="21"/>
        </w:rPr>
        <w:t> </w:t>
      </w:r>
      <w:r>
        <w:rPr>
          <w:color w:val="231F20"/>
        </w:rPr>
        <w:t>empresas</w:t>
      </w:r>
      <w:r>
        <w:rPr>
          <w:color w:val="231F20"/>
          <w:spacing w:val="21"/>
        </w:rPr>
        <w:t> </w:t>
      </w:r>
      <w:r>
        <w:rPr>
          <w:color w:val="231F20"/>
        </w:rPr>
        <w:t>ja-</w:t>
      </w:r>
      <w:r>
        <w:rPr>
          <w:color w:val="231F20"/>
          <w:w w:val="106"/>
        </w:rPr>
        <w:t> </w:t>
      </w:r>
      <w:r>
        <w:rPr>
          <w:color w:val="231F20"/>
        </w:rPr>
        <w:t>ponesas como </w:t>
      </w:r>
      <w:r>
        <w:rPr>
          <w:color w:val="231F20"/>
          <w:spacing w:val="-5"/>
        </w:rPr>
        <w:t>Toyota </w:t>
      </w:r>
      <w:r>
        <w:rPr>
          <w:color w:val="231F20"/>
        </w:rPr>
        <w:t>y Honda (grandes innovadoras tecnológicamente)</w:t>
      </w:r>
      <w:r>
        <w:rPr>
          <w:color w:val="231F20"/>
          <w:spacing w:val="9"/>
        </w:rPr>
        <w:t> </w:t>
      </w:r>
      <w:r>
        <w:rPr>
          <w:color w:val="231F20"/>
        </w:rPr>
        <w:t>han</w:t>
      </w:r>
      <w:r>
        <w:rPr>
          <w:color w:val="231F20"/>
          <w:spacing w:val="13"/>
        </w:rPr>
        <w:t> </w:t>
      </w:r>
      <w:r>
        <w:rPr>
          <w:color w:val="231F20"/>
        </w:rPr>
        <w:t>llevado</w:t>
      </w:r>
      <w:r>
        <w:rPr>
          <w:color w:val="231F20"/>
          <w:w w:val="99"/>
        </w:rPr>
        <w:t> </w:t>
      </w:r>
      <w:r>
        <w:rPr>
          <w:color w:val="231F20"/>
        </w:rPr>
        <w:t>también a una reestructuración en términos de regiones y países, tanto en</w:t>
      </w:r>
      <w:r>
        <w:rPr>
          <w:color w:val="231F20"/>
          <w:spacing w:val="22"/>
        </w:rPr>
        <w:t> </w:t>
      </w:r>
      <w:r>
        <w:rPr>
          <w:color w:val="231F20"/>
        </w:rPr>
        <w:t>la</w:t>
      </w:r>
      <w:r>
        <w:rPr>
          <w:color w:val="231F20"/>
          <w:spacing w:val="10"/>
        </w:rPr>
        <w:t> </w:t>
      </w:r>
      <w:r>
        <w:rPr>
          <w:color w:val="231F20"/>
        </w:rPr>
        <w:t>produc-</w:t>
      </w:r>
      <w:r>
        <w:rPr>
          <w:color w:val="231F20"/>
          <w:w w:val="106"/>
        </w:rPr>
        <w:t> </w:t>
      </w:r>
      <w:r>
        <w:rPr>
          <w:color w:val="231F20"/>
        </w:rPr>
        <w:t>ción como en la venta de vehículos; a esto debe agregarse el surgimiento de</w:t>
      </w:r>
      <w:r>
        <w:rPr>
          <w:color w:val="231F20"/>
          <w:spacing w:val="27"/>
        </w:rPr>
        <w:t> </w:t>
      </w:r>
      <w:r>
        <w:rPr>
          <w:color w:val="231F20"/>
        </w:rPr>
        <w:t>nuevos</w:t>
      </w:r>
      <w:r>
        <w:rPr>
          <w:color w:val="231F20"/>
          <w:spacing w:val="2"/>
        </w:rPr>
        <w:t> </w:t>
      </w:r>
      <w:r>
        <w:rPr>
          <w:color w:val="231F20"/>
        </w:rPr>
        <w:t>e</w:t>
      </w:r>
      <w:r>
        <w:rPr>
          <w:color w:val="231F20"/>
          <w:w w:val="95"/>
        </w:rPr>
        <w:t> </w:t>
      </w:r>
      <w:r>
        <w:rPr>
          <w:color w:val="231F20"/>
        </w:rPr>
        <w:t>importantes</w:t>
      </w:r>
      <w:r>
        <w:rPr>
          <w:color w:val="231F20"/>
          <w:spacing w:val="-11"/>
        </w:rPr>
        <w:t> </w:t>
      </w:r>
      <w:r>
        <w:rPr>
          <w:color w:val="231F20"/>
        </w:rPr>
        <w:t>mercados</w:t>
      </w:r>
      <w:r>
        <w:rPr>
          <w:color w:val="231F20"/>
          <w:spacing w:val="-11"/>
        </w:rPr>
        <w:t> </w:t>
      </w:r>
      <w:r>
        <w:rPr>
          <w:color w:val="231F20"/>
        </w:rPr>
        <w:t>y</w:t>
      </w:r>
      <w:r>
        <w:rPr>
          <w:color w:val="231F20"/>
          <w:spacing w:val="-11"/>
        </w:rPr>
        <w:t> </w:t>
      </w:r>
      <w:r>
        <w:rPr>
          <w:color w:val="231F20"/>
        </w:rPr>
        <w:t>productores</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spacing w:val="-3"/>
        </w:rPr>
        <w:t>sector,</w:t>
      </w:r>
      <w:r>
        <w:rPr>
          <w:color w:val="231F20"/>
          <w:spacing w:val="-11"/>
        </w:rPr>
        <w:t> </w:t>
      </w:r>
      <w:r>
        <w:rPr>
          <w:color w:val="231F20"/>
        </w:rPr>
        <w:t>como</w:t>
      </w:r>
      <w:r>
        <w:rPr>
          <w:color w:val="231F20"/>
          <w:spacing w:val="-11"/>
        </w:rPr>
        <w:t> </w:t>
      </w:r>
      <w:r>
        <w:rPr>
          <w:color w:val="231F20"/>
        </w:rPr>
        <w:t>es</w:t>
      </w:r>
      <w:r>
        <w:rPr>
          <w:color w:val="231F20"/>
          <w:spacing w:val="-11"/>
        </w:rPr>
        <w:t> </w:t>
      </w:r>
      <w:r>
        <w:rPr>
          <w:color w:val="231F20"/>
        </w:rPr>
        <w:t>el</w:t>
      </w:r>
      <w:r>
        <w:rPr>
          <w:color w:val="231F20"/>
          <w:spacing w:val="-11"/>
        </w:rPr>
        <w:t> </w:t>
      </w:r>
      <w:r>
        <w:rPr>
          <w:color w:val="231F20"/>
        </w:rPr>
        <w:t>caso</w:t>
      </w:r>
      <w:r>
        <w:rPr>
          <w:color w:val="231F20"/>
          <w:spacing w:val="-11"/>
        </w:rPr>
        <w:t> </w:t>
      </w:r>
      <w:r>
        <w:rPr>
          <w:color w:val="231F20"/>
        </w:rPr>
        <w:t>de</w:t>
      </w:r>
      <w:r>
        <w:rPr>
          <w:color w:val="231F20"/>
          <w:spacing w:val="-11"/>
        </w:rPr>
        <w:t> </w:t>
      </w:r>
      <w:r>
        <w:rPr>
          <w:color w:val="231F20"/>
        </w:rPr>
        <w:t>China</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India.</w:t>
      </w:r>
    </w:p>
    <w:p>
      <w:pPr>
        <w:pStyle w:val="BodyText"/>
        <w:spacing w:line="278" w:lineRule="auto" w:before="1"/>
        <w:ind w:left="653" w:right="101" w:firstLine="396"/>
        <w:jc w:val="both"/>
      </w:pPr>
      <w:r>
        <w:rPr>
          <w:color w:val="231F20"/>
        </w:rPr>
        <w:t>La estructura porcentual en la producción de vehículos en el mundo ha</w:t>
      </w:r>
      <w:r>
        <w:rPr>
          <w:color w:val="231F20"/>
          <w:spacing w:val="-26"/>
        </w:rPr>
        <w:t> </w:t>
      </w:r>
      <w:r>
        <w:rPr>
          <w:color w:val="231F20"/>
        </w:rPr>
        <w:t>cambiado de manera </w:t>
      </w:r>
      <w:r>
        <w:rPr>
          <w:color w:val="231F20"/>
          <w:spacing w:val="-2"/>
        </w:rPr>
        <w:t>muy </w:t>
      </w:r>
      <w:r>
        <w:rPr>
          <w:color w:val="231F20"/>
        </w:rPr>
        <w:t>importante durante las últimas décadas. Países como Estados Unidos y Alemania han perdido participación: respectivamente, en 1961 producían 48.5% y 15.8% del total de vehículos a nivel mundial y en cinco décadas redujeron su partici- pación</w:t>
      </w:r>
      <w:r>
        <w:rPr>
          <w:color w:val="231F20"/>
          <w:spacing w:val="-10"/>
        </w:rPr>
        <w:t> </w:t>
      </w:r>
      <w:r>
        <w:rPr>
          <w:color w:val="231F20"/>
        </w:rPr>
        <w:t>a</w:t>
      </w:r>
      <w:r>
        <w:rPr>
          <w:color w:val="231F20"/>
          <w:spacing w:val="-10"/>
        </w:rPr>
        <w:t> </w:t>
      </w:r>
      <w:r>
        <w:rPr>
          <w:color w:val="231F20"/>
        </w:rPr>
        <w:t>sólo</w:t>
      </w:r>
      <w:r>
        <w:rPr>
          <w:color w:val="231F20"/>
          <w:spacing w:val="-10"/>
        </w:rPr>
        <w:t> </w:t>
      </w:r>
      <w:r>
        <w:rPr>
          <w:color w:val="231F20"/>
        </w:rPr>
        <w:t>12.7%</w:t>
      </w:r>
      <w:r>
        <w:rPr>
          <w:color w:val="231F20"/>
          <w:spacing w:val="-10"/>
        </w:rPr>
        <w:t> </w:t>
      </w:r>
      <w:r>
        <w:rPr>
          <w:color w:val="231F20"/>
        </w:rPr>
        <w:t>y</w:t>
      </w:r>
      <w:r>
        <w:rPr>
          <w:color w:val="231F20"/>
          <w:spacing w:val="-10"/>
        </w:rPr>
        <w:t> </w:t>
      </w:r>
      <w:r>
        <w:rPr>
          <w:color w:val="231F20"/>
        </w:rPr>
        <w:t>6.6%</w:t>
      </w:r>
      <w:r>
        <w:rPr>
          <w:color w:val="231F20"/>
          <w:spacing w:val="-10"/>
        </w:rPr>
        <w:t> </w:t>
      </w:r>
      <w:r>
        <w:rPr>
          <w:color w:val="231F20"/>
        </w:rPr>
        <w:t>para</w:t>
      </w:r>
      <w:r>
        <w:rPr>
          <w:color w:val="231F20"/>
          <w:spacing w:val="-10"/>
        </w:rPr>
        <w:t> </w:t>
      </w:r>
      <w:r>
        <w:rPr>
          <w:color w:val="231F20"/>
        </w:rPr>
        <w:t>el</w:t>
      </w:r>
      <w:r>
        <w:rPr>
          <w:color w:val="231F20"/>
          <w:spacing w:val="-10"/>
        </w:rPr>
        <w:t> </w:t>
      </w:r>
      <w:r>
        <w:rPr>
          <w:color w:val="231F20"/>
        </w:rPr>
        <w:t>2013.</w:t>
      </w:r>
      <w:r>
        <w:rPr>
          <w:color w:val="231F20"/>
          <w:spacing w:val="-10"/>
        </w:rPr>
        <w:t> </w:t>
      </w:r>
      <w:r>
        <w:rPr>
          <w:color w:val="231F20"/>
          <w:spacing w:val="-4"/>
        </w:rPr>
        <w:t>Por</w:t>
      </w:r>
      <w:r>
        <w:rPr>
          <w:color w:val="231F20"/>
          <w:spacing w:val="-10"/>
        </w:rPr>
        <w:t> </w:t>
      </w:r>
      <w:r>
        <w:rPr>
          <w:color w:val="231F20"/>
        </w:rPr>
        <w:t>otra</w:t>
      </w:r>
      <w:r>
        <w:rPr>
          <w:color w:val="231F20"/>
          <w:spacing w:val="-10"/>
        </w:rPr>
        <w:t> </w:t>
      </w:r>
      <w:r>
        <w:rPr>
          <w:color w:val="231F20"/>
        </w:rPr>
        <w:t>parte,</w:t>
      </w:r>
      <w:r>
        <w:rPr>
          <w:color w:val="231F20"/>
          <w:spacing w:val="-10"/>
        </w:rPr>
        <w:t> </w:t>
      </w:r>
      <w:r>
        <w:rPr>
          <w:color w:val="231F20"/>
        </w:rPr>
        <w:t>encontramos</w:t>
      </w:r>
      <w:r>
        <w:rPr>
          <w:color w:val="231F20"/>
          <w:spacing w:val="-10"/>
        </w:rPr>
        <w:t> </w:t>
      </w:r>
      <w:r>
        <w:rPr>
          <w:color w:val="231F20"/>
        </w:rPr>
        <w:t>países</w:t>
      </w:r>
      <w:r>
        <w:rPr>
          <w:color w:val="231F20"/>
          <w:spacing w:val="-10"/>
        </w:rPr>
        <w:t> </w:t>
      </w:r>
      <w:r>
        <w:rPr>
          <w:color w:val="231F20"/>
        </w:rPr>
        <w:t>ganadores que han incrementado considerablemente su participación en la producción de vehí- culos;</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Japón,</w:t>
      </w:r>
      <w:r>
        <w:rPr>
          <w:color w:val="231F20"/>
          <w:spacing w:val="-8"/>
        </w:rPr>
        <w:t> </w:t>
      </w:r>
      <w:r>
        <w:rPr>
          <w:color w:val="231F20"/>
        </w:rPr>
        <w:t>China,</w:t>
      </w:r>
      <w:r>
        <w:rPr>
          <w:color w:val="231F20"/>
          <w:spacing w:val="-8"/>
        </w:rPr>
        <w:t> </w:t>
      </w:r>
      <w:r>
        <w:rPr>
          <w:color w:val="231F20"/>
        </w:rPr>
        <w:t>España,</w:t>
      </w:r>
      <w:r>
        <w:rPr>
          <w:color w:val="231F20"/>
          <w:spacing w:val="-8"/>
        </w:rPr>
        <w:t> </w:t>
      </w:r>
      <w:r>
        <w:rPr>
          <w:color w:val="231F20"/>
        </w:rPr>
        <w:t>Corea</w:t>
      </w:r>
      <w:r>
        <w:rPr>
          <w:color w:val="231F20"/>
          <w:spacing w:val="-8"/>
        </w:rPr>
        <w:t> </w:t>
      </w:r>
      <w:r>
        <w:rPr>
          <w:color w:val="231F20"/>
        </w:rPr>
        <w:t>del</w:t>
      </w:r>
      <w:r>
        <w:rPr>
          <w:color w:val="231F20"/>
          <w:spacing w:val="-8"/>
        </w:rPr>
        <w:t> </w:t>
      </w:r>
      <w:r>
        <w:rPr>
          <w:color w:val="231F20"/>
          <w:spacing w:val="-5"/>
        </w:rPr>
        <w:t>Sur,</w:t>
      </w:r>
      <w:r>
        <w:rPr>
          <w:color w:val="231F20"/>
          <w:spacing w:val="-8"/>
        </w:rPr>
        <w:t> </w:t>
      </w:r>
      <w:r>
        <w:rPr>
          <w:color w:val="231F20"/>
        </w:rPr>
        <w:t>India,</w:t>
      </w:r>
      <w:r>
        <w:rPr>
          <w:color w:val="231F20"/>
          <w:spacing w:val="-8"/>
        </w:rPr>
        <w:t> </w:t>
      </w:r>
      <w:r>
        <w:rPr>
          <w:color w:val="231F20"/>
        </w:rPr>
        <w:t>Brasil</w:t>
      </w:r>
      <w:r>
        <w:rPr>
          <w:color w:val="231F20"/>
          <w:spacing w:val="-8"/>
        </w:rPr>
        <w:t> </w:t>
      </w:r>
      <w:r>
        <w:rPr>
          <w:color w:val="231F20"/>
        </w:rPr>
        <w:t>y</w:t>
      </w:r>
      <w:r>
        <w:rPr>
          <w:color w:val="231F20"/>
          <w:spacing w:val="-8"/>
        </w:rPr>
        <w:t> </w:t>
      </w:r>
      <w:r>
        <w:rPr>
          <w:color w:val="231F20"/>
        </w:rPr>
        <w:t>México</w:t>
      </w:r>
      <w:r>
        <w:rPr>
          <w:color w:val="231F20"/>
          <w:spacing w:val="-8"/>
        </w:rPr>
        <w:t> </w:t>
      </w:r>
      <w:r>
        <w:rPr>
          <w:color w:val="231F20"/>
        </w:rPr>
        <w:t>(véase cuadro II.2). Esto ha llevado también a un cambio relevante en términos de regiones, como</w:t>
      </w:r>
      <w:r>
        <w:rPr>
          <w:color w:val="231F20"/>
          <w:spacing w:val="-10"/>
        </w:rPr>
        <w:t> </w:t>
      </w:r>
      <w:r>
        <w:rPr>
          <w:color w:val="231F20"/>
        </w:rPr>
        <w:t>se</w:t>
      </w:r>
      <w:r>
        <w:rPr>
          <w:color w:val="231F20"/>
          <w:spacing w:val="-10"/>
        </w:rPr>
        <w:t> </w:t>
      </w:r>
      <w:r>
        <w:rPr>
          <w:color w:val="231F20"/>
        </w:rPr>
        <w:t>verá</w:t>
      </w:r>
      <w:r>
        <w:rPr>
          <w:color w:val="231F20"/>
          <w:spacing w:val="-10"/>
        </w:rPr>
        <w:t> </w:t>
      </w:r>
      <w:r>
        <w:rPr>
          <w:color w:val="231F20"/>
        </w:rPr>
        <w:t>más</w:t>
      </w:r>
      <w:r>
        <w:rPr>
          <w:color w:val="231F20"/>
          <w:spacing w:val="-10"/>
        </w:rPr>
        <w:t> </w:t>
      </w:r>
      <w:r>
        <w:rPr>
          <w:color w:val="231F20"/>
        </w:rPr>
        <w:t>adelante.</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9"/>
        <w:rPr>
          <w:sz w:val="15"/>
        </w:rPr>
      </w:pPr>
    </w:p>
    <w:p>
      <w:pPr>
        <w:pStyle w:val="Heading4"/>
        <w:ind w:left="159" w:right="686"/>
      </w:pPr>
      <w:r>
        <w:rPr>
          <w:color w:val="231F20"/>
          <w:w w:val="95"/>
        </w:rPr>
        <w:t>Cuadro II.2</w:t>
      </w:r>
    </w:p>
    <w:p>
      <w:pPr>
        <w:spacing w:line="282" w:lineRule="exact" w:before="0"/>
        <w:ind w:left="159" w:right="686" w:firstLine="0"/>
        <w:jc w:val="center"/>
        <w:rPr>
          <w:rFonts w:ascii="Palatino Linotype" w:hAnsi="Palatino Linotype"/>
          <w:b/>
          <w:sz w:val="21"/>
        </w:rPr>
      </w:pPr>
      <w:r>
        <w:rPr>
          <w:rFonts w:ascii="Palatino Linotype" w:hAnsi="Palatino Linotype"/>
          <w:b/>
          <w:color w:val="231F20"/>
          <w:w w:val="90"/>
          <w:sz w:val="21"/>
        </w:rPr>
        <w:t>Participación porcentual en la producción mundial de automóviles,  1961-2013</w:t>
      </w:r>
    </w:p>
    <w:p>
      <w:pPr>
        <w:pStyle w:val="BodyText"/>
        <w:spacing w:before="3"/>
        <w:rPr>
          <w:rFonts w:ascii="Palatino Linotype"/>
          <w:b/>
          <w:sz w:val="14"/>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34"/>
        <w:gridCol w:w="613"/>
        <w:gridCol w:w="595"/>
        <w:gridCol w:w="595"/>
        <w:gridCol w:w="595"/>
        <w:gridCol w:w="595"/>
        <w:gridCol w:w="595"/>
        <w:gridCol w:w="595"/>
        <w:gridCol w:w="595"/>
        <w:gridCol w:w="595"/>
        <w:gridCol w:w="600"/>
      </w:tblGrid>
      <w:tr>
        <w:trPr>
          <w:trHeight w:val="338" w:hRule="exact"/>
        </w:trPr>
        <w:tc>
          <w:tcPr>
            <w:tcW w:w="1234" w:type="dxa"/>
            <w:tcBorders>
              <w:top w:val="single" w:sz="4" w:space="0" w:color="231F20"/>
              <w:bottom w:val="single" w:sz="4" w:space="0" w:color="231F20"/>
            </w:tcBorders>
          </w:tcPr>
          <w:p>
            <w:pPr>
              <w:pStyle w:val="TableParagraph"/>
              <w:spacing w:before="47"/>
              <w:ind w:left="447" w:right="425"/>
              <w:rPr>
                <w:rFonts w:ascii="Palatino Linotype" w:hAnsi="Palatino Linotype"/>
                <w:b/>
                <w:sz w:val="17"/>
              </w:rPr>
            </w:pPr>
            <w:r>
              <w:rPr>
                <w:rFonts w:ascii="Palatino Linotype" w:hAnsi="Palatino Linotype"/>
                <w:b/>
                <w:color w:val="231F20"/>
                <w:sz w:val="17"/>
              </w:rPr>
              <w:t>País</w:t>
            </w:r>
          </w:p>
        </w:tc>
        <w:tc>
          <w:tcPr>
            <w:tcW w:w="613" w:type="dxa"/>
            <w:tcBorders>
              <w:top w:val="single" w:sz="4" w:space="0" w:color="231F20"/>
              <w:bottom w:val="single" w:sz="4" w:space="0" w:color="231F20"/>
            </w:tcBorders>
          </w:tcPr>
          <w:p>
            <w:pPr>
              <w:pStyle w:val="TableParagraph"/>
              <w:spacing w:before="47"/>
              <w:ind w:left="145"/>
              <w:jc w:val="left"/>
              <w:rPr>
                <w:rFonts w:ascii="Palatino Linotype"/>
                <w:b/>
                <w:sz w:val="17"/>
              </w:rPr>
            </w:pPr>
            <w:r>
              <w:rPr>
                <w:rFonts w:ascii="Palatino Linotype"/>
                <w:b/>
                <w:color w:val="231F20"/>
                <w:sz w:val="17"/>
              </w:rPr>
              <w:t>1961</w:t>
            </w:r>
          </w:p>
        </w:tc>
        <w:tc>
          <w:tcPr>
            <w:tcW w:w="595" w:type="dxa"/>
            <w:tcBorders>
              <w:top w:val="single" w:sz="4" w:space="0" w:color="231F20"/>
              <w:bottom w:val="single" w:sz="4" w:space="0" w:color="231F20"/>
            </w:tcBorders>
          </w:tcPr>
          <w:p>
            <w:pPr>
              <w:pStyle w:val="TableParagraph"/>
              <w:spacing w:before="47"/>
              <w:ind w:right="125"/>
              <w:jc w:val="right"/>
              <w:rPr>
                <w:rFonts w:ascii="Palatino Linotype"/>
                <w:b/>
                <w:sz w:val="17"/>
              </w:rPr>
            </w:pPr>
            <w:r>
              <w:rPr>
                <w:rFonts w:ascii="Palatino Linotype"/>
                <w:b/>
                <w:color w:val="231F20"/>
                <w:sz w:val="17"/>
              </w:rPr>
              <w:t>1971</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231F20"/>
                <w:sz w:val="17"/>
              </w:rPr>
              <w:t>1981</w:t>
            </w:r>
          </w:p>
        </w:tc>
        <w:tc>
          <w:tcPr>
            <w:tcW w:w="595" w:type="dxa"/>
            <w:tcBorders>
              <w:top w:val="single" w:sz="4" w:space="0" w:color="231F20"/>
              <w:bottom w:val="single" w:sz="4" w:space="0" w:color="231F20"/>
            </w:tcBorders>
          </w:tcPr>
          <w:p>
            <w:pPr>
              <w:pStyle w:val="TableParagraph"/>
              <w:spacing w:before="47"/>
              <w:ind w:right="125"/>
              <w:jc w:val="right"/>
              <w:rPr>
                <w:rFonts w:ascii="Palatino Linotype"/>
                <w:b/>
                <w:sz w:val="17"/>
              </w:rPr>
            </w:pPr>
            <w:r>
              <w:rPr>
                <w:rFonts w:ascii="Palatino Linotype"/>
                <w:b/>
                <w:color w:val="010202"/>
                <w:sz w:val="17"/>
              </w:rPr>
              <w:t>1991</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010202"/>
                <w:sz w:val="17"/>
              </w:rPr>
              <w:t>2001</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010202"/>
                <w:sz w:val="17"/>
              </w:rPr>
              <w:t>2008</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010202"/>
                <w:sz w:val="17"/>
              </w:rPr>
              <w:t>2009</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010202"/>
                <w:sz w:val="17"/>
              </w:rPr>
              <w:t>2011</w:t>
            </w:r>
          </w:p>
        </w:tc>
        <w:tc>
          <w:tcPr>
            <w:tcW w:w="595" w:type="dxa"/>
            <w:tcBorders>
              <w:top w:val="single" w:sz="4" w:space="0" w:color="231F20"/>
              <w:bottom w:val="single" w:sz="4" w:space="0" w:color="231F20"/>
            </w:tcBorders>
          </w:tcPr>
          <w:p>
            <w:pPr>
              <w:pStyle w:val="TableParagraph"/>
              <w:spacing w:before="47"/>
              <w:ind w:left="43" w:right="43"/>
              <w:rPr>
                <w:rFonts w:ascii="Palatino Linotype"/>
                <w:b/>
                <w:sz w:val="17"/>
              </w:rPr>
            </w:pPr>
            <w:r>
              <w:rPr>
                <w:rFonts w:ascii="Palatino Linotype"/>
                <w:b/>
                <w:color w:val="010202"/>
                <w:sz w:val="17"/>
              </w:rPr>
              <w:t>2012</w:t>
            </w:r>
          </w:p>
        </w:tc>
        <w:tc>
          <w:tcPr>
            <w:tcW w:w="600" w:type="dxa"/>
            <w:tcBorders>
              <w:top w:val="single" w:sz="4" w:space="0" w:color="231F20"/>
              <w:bottom w:val="single" w:sz="4" w:space="0" w:color="231F20"/>
            </w:tcBorders>
          </w:tcPr>
          <w:p>
            <w:pPr>
              <w:pStyle w:val="TableParagraph"/>
              <w:spacing w:before="47"/>
              <w:ind w:left="127"/>
              <w:jc w:val="left"/>
              <w:rPr>
                <w:rFonts w:ascii="Palatino Linotype"/>
                <w:b/>
                <w:sz w:val="17"/>
              </w:rPr>
            </w:pPr>
            <w:r>
              <w:rPr>
                <w:rFonts w:ascii="Palatino Linotype"/>
                <w:b/>
                <w:color w:val="010202"/>
                <w:sz w:val="17"/>
              </w:rPr>
              <w:t>2013</w:t>
            </w:r>
          </w:p>
        </w:tc>
      </w:tr>
      <w:tr>
        <w:trPr>
          <w:trHeight w:val="377" w:hRule="exact"/>
        </w:trPr>
        <w:tc>
          <w:tcPr>
            <w:tcW w:w="7210" w:type="dxa"/>
            <w:gridSpan w:val="11"/>
          </w:tcPr>
          <w:p>
            <w:pPr>
              <w:pStyle w:val="TableParagraph"/>
              <w:spacing w:before="72"/>
              <w:ind w:left="2958" w:right="2957"/>
              <w:rPr>
                <w:rFonts w:ascii="Palatino Linotype" w:hAnsi="Palatino Linotype"/>
                <w:b/>
                <w:sz w:val="17"/>
              </w:rPr>
            </w:pPr>
            <w:r>
              <w:rPr>
                <w:rFonts w:ascii="Palatino Linotype" w:hAnsi="Palatino Linotype"/>
                <w:b/>
                <w:color w:val="010202"/>
                <w:w w:val="90"/>
                <w:sz w:val="17"/>
              </w:rPr>
              <w:t>Países perdedores</w:t>
            </w:r>
          </w:p>
        </w:tc>
      </w:tr>
      <w:tr>
        <w:trPr>
          <w:trHeight w:val="362" w:hRule="exact"/>
        </w:trPr>
        <w:tc>
          <w:tcPr>
            <w:tcW w:w="1234" w:type="dxa"/>
            <w:tcBorders>
              <w:top w:val="single" w:sz="4" w:space="0" w:color="231F20"/>
            </w:tcBorders>
          </w:tcPr>
          <w:p>
            <w:pPr>
              <w:pStyle w:val="TableParagraph"/>
              <w:spacing w:before="68"/>
              <w:ind w:left="62"/>
              <w:jc w:val="left"/>
              <w:rPr>
                <w:sz w:val="17"/>
              </w:rPr>
            </w:pPr>
            <w:r>
              <w:rPr>
                <w:color w:val="231F20"/>
                <w:sz w:val="17"/>
              </w:rPr>
              <w:t>Estados Unidos</w:t>
            </w:r>
          </w:p>
        </w:tc>
        <w:tc>
          <w:tcPr>
            <w:tcW w:w="613" w:type="dxa"/>
            <w:tcBorders>
              <w:top w:val="single" w:sz="4" w:space="0" w:color="231F20"/>
            </w:tcBorders>
          </w:tcPr>
          <w:p>
            <w:pPr>
              <w:pStyle w:val="TableParagraph"/>
              <w:spacing w:before="68"/>
              <w:ind w:left="174"/>
              <w:jc w:val="left"/>
              <w:rPr>
                <w:sz w:val="17"/>
              </w:rPr>
            </w:pPr>
            <w:r>
              <w:rPr>
                <w:color w:val="231F20"/>
                <w:sz w:val="17"/>
              </w:rPr>
              <w:t>48.5</w:t>
            </w:r>
          </w:p>
        </w:tc>
        <w:tc>
          <w:tcPr>
            <w:tcW w:w="595" w:type="dxa"/>
            <w:tcBorders>
              <w:top w:val="single" w:sz="4" w:space="0" w:color="231F20"/>
            </w:tcBorders>
          </w:tcPr>
          <w:p>
            <w:pPr>
              <w:pStyle w:val="TableParagraph"/>
              <w:spacing w:before="68"/>
              <w:ind w:left="156"/>
              <w:jc w:val="left"/>
              <w:rPr>
                <w:sz w:val="17"/>
              </w:rPr>
            </w:pPr>
            <w:r>
              <w:rPr>
                <w:color w:val="231F20"/>
                <w:sz w:val="17"/>
              </w:rPr>
              <w:t>32.5</w:t>
            </w:r>
          </w:p>
        </w:tc>
        <w:tc>
          <w:tcPr>
            <w:tcW w:w="595" w:type="dxa"/>
            <w:tcBorders>
              <w:top w:val="single" w:sz="4" w:space="0" w:color="231F20"/>
            </w:tcBorders>
          </w:tcPr>
          <w:p>
            <w:pPr>
              <w:pStyle w:val="TableParagraph"/>
              <w:spacing w:before="68"/>
              <w:ind w:left="43" w:right="43"/>
              <w:rPr>
                <w:sz w:val="17"/>
              </w:rPr>
            </w:pPr>
            <w:r>
              <w:rPr>
                <w:color w:val="231F20"/>
                <w:sz w:val="17"/>
              </w:rPr>
              <w:t>22.8</w:t>
            </w:r>
          </w:p>
        </w:tc>
        <w:tc>
          <w:tcPr>
            <w:tcW w:w="595" w:type="dxa"/>
            <w:tcBorders>
              <w:top w:val="single" w:sz="4" w:space="0" w:color="231F20"/>
            </w:tcBorders>
          </w:tcPr>
          <w:p>
            <w:pPr>
              <w:pStyle w:val="TableParagraph"/>
              <w:spacing w:before="68"/>
              <w:ind w:left="156"/>
              <w:jc w:val="left"/>
              <w:rPr>
                <w:sz w:val="17"/>
              </w:rPr>
            </w:pPr>
            <w:r>
              <w:rPr>
                <w:color w:val="231F20"/>
                <w:sz w:val="17"/>
              </w:rPr>
              <w:t>15.4</w:t>
            </w:r>
          </w:p>
        </w:tc>
        <w:tc>
          <w:tcPr>
            <w:tcW w:w="595" w:type="dxa"/>
            <w:tcBorders>
              <w:top w:val="single" w:sz="4" w:space="0" w:color="231F20"/>
            </w:tcBorders>
          </w:tcPr>
          <w:p>
            <w:pPr>
              <w:pStyle w:val="TableParagraph"/>
              <w:spacing w:before="68"/>
              <w:ind w:left="43" w:right="43"/>
              <w:rPr>
                <w:sz w:val="17"/>
              </w:rPr>
            </w:pPr>
            <w:r>
              <w:rPr>
                <w:color w:val="231F20"/>
                <w:sz w:val="17"/>
              </w:rPr>
              <w:t>20.4</w:t>
            </w:r>
          </w:p>
        </w:tc>
        <w:tc>
          <w:tcPr>
            <w:tcW w:w="595" w:type="dxa"/>
            <w:tcBorders>
              <w:top w:val="single" w:sz="4" w:space="0" w:color="231F20"/>
            </w:tcBorders>
          </w:tcPr>
          <w:p>
            <w:pPr>
              <w:pStyle w:val="TableParagraph"/>
              <w:spacing w:before="68"/>
              <w:ind w:left="43" w:right="43"/>
              <w:rPr>
                <w:sz w:val="17"/>
              </w:rPr>
            </w:pPr>
            <w:r>
              <w:rPr>
                <w:color w:val="231F20"/>
                <w:sz w:val="17"/>
              </w:rPr>
              <w:t>12.3</w:t>
            </w:r>
          </w:p>
        </w:tc>
        <w:tc>
          <w:tcPr>
            <w:tcW w:w="595" w:type="dxa"/>
            <w:tcBorders>
              <w:top w:val="single" w:sz="4" w:space="0" w:color="231F20"/>
            </w:tcBorders>
          </w:tcPr>
          <w:p>
            <w:pPr>
              <w:pStyle w:val="TableParagraph"/>
              <w:spacing w:before="68"/>
              <w:ind w:left="43" w:right="43"/>
              <w:rPr>
                <w:sz w:val="17"/>
              </w:rPr>
            </w:pPr>
            <w:r>
              <w:rPr>
                <w:color w:val="231F20"/>
                <w:sz w:val="17"/>
              </w:rPr>
              <w:t>9.3</w:t>
            </w:r>
          </w:p>
        </w:tc>
        <w:tc>
          <w:tcPr>
            <w:tcW w:w="595" w:type="dxa"/>
            <w:tcBorders>
              <w:top w:val="single" w:sz="4" w:space="0" w:color="231F20"/>
            </w:tcBorders>
          </w:tcPr>
          <w:p>
            <w:pPr>
              <w:pStyle w:val="TableParagraph"/>
              <w:spacing w:before="68"/>
              <w:ind w:left="43" w:right="43"/>
              <w:rPr>
                <w:sz w:val="17"/>
              </w:rPr>
            </w:pPr>
            <w:r>
              <w:rPr>
                <w:color w:val="231F20"/>
                <w:sz w:val="17"/>
              </w:rPr>
              <w:t>10.8</w:t>
            </w:r>
          </w:p>
        </w:tc>
        <w:tc>
          <w:tcPr>
            <w:tcW w:w="595" w:type="dxa"/>
            <w:tcBorders>
              <w:top w:val="single" w:sz="4" w:space="0" w:color="231F20"/>
            </w:tcBorders>
          </w:tcPr>
          <w:p>
            <w:pPr>
              <w:pStyle w:val="TableParagraph"/>
              <w:spacing w:before="68"/>
              <w:ind w:left="43" w:right="43"/>
              <w:rPr>
                <w:sz w:val="17"/>
              </w:rPr>
            </w:pPr>
            <w:r>
              <w:rPr>
                <w:color w:val="231F20"/>
                <w:sz w:val="17"/>
              </w:rPr>
              <w:t>12.3</w:t>
            </w:r>
          </w:p>
        </w:tc>
        <w:tc>
          <w:tcPr>
            <w:tcW w:w="600" w:type="dxa"/>
            <w:tcBorders>
              <w:top w:val="single" w:sz="4" w:space="0" w:color="231F20"/>
            </w:tcBorders>
          </w:tcPr>
          <w:p>
            <w:pPr>
              <w:pStyle w:val="TableParagraph"/>
              <w:spacing w:before="68"/>
              <w:ind w:left="156"/>
              <w:jc w:val="left"/>
              <w:rPr>
                <w:sz w:val="17"/>
              </w:rPr>
            </w:pPr>
            <w:r>
              <w:rPr>
                <w:color w:val="231F20"/>
                <w:sz w:val="17"/>
              </w:rPr>
              <w:t>12.7</w:t>
            </w:r>
          </w:p>
        </w:tc>
      </w:tr>
      <w:tr>
        <w:trPr>
          <w:trHeight w:val="340" w:hRule="exact"/>
        </w:trPr>
        <w:tc>
          <w:tcPr>
            <w:tcW w:w="1234" w:type="dxa"/>
          </w:tcPr>
          <w:p>
            <w:pPr>
              <w:pStyle w:val="TableParagraph"/>
              <w:spacing w:before="51"/>
              <w:ind w:left="62"/>
              <w:jc w:val="left"/>
              <w:rPr>
                <w:sz w:val="17"/>
              </w:rPr>
            </w:pPr>
            <w:r>
              <w:rPr>
                <w:color w:val="010202"/>
                <w:sz w:val="17"/>
              </w:rPr>
              <w:t>Reino Unido</w:t>
            </w:r>
          </w:p>
        </w:tc>
        <w:tc>
          <w:tcPr>
            <w:tcW w:w="613" w:type="dxa"/>
          </w:tcPr>
          <w:p>
            <w:pPr>
              <w:pStyle w:val="TableParagraph"/>
              <w:spacing w:before="51"/>
              <w:ind w:left="215"/>
              <w:jc w:val="left"/>
              <w:rPr>
                <w:sz w:val="17"/>
              </w:rPr>
            </w:pPr>
            <w:r>
              <w:rPr>
                <w:color w:val="231F20"/>
                <w:sz w:val="17"/>
              </w:rPr>
              <w:t>8.8</w:t>
            </w:r>
          </w:p>
        </w:tc>
        <w:tc>
          <w:tcPr>
            <w:tcW w:w="595" w:type="dxa"/>
          </w:tcPr>
          <w:p>
            <w:pPr>
              <w:pStyle w:val="TableParagraph"/>
              <w:spacing w:before="51"/>
              <w:ind w:left="197"/>
              <w:jc w:val="left"/>
              <w:rPr>
                <w:sz w:val="17"/>
              </w:rPr>
            </w:pPr>
            <w:r>
              <w:rPr>
                <w:color w:val="231F20"/>
                <w:sz w:val="17"/>
              </w:rPr>
              <w:t>6.6</w:t>
            </w:r>
          </w:p>
        </w:tc>
        <w:tc>
          <w:tcPr>
            <w:tcW w:w="595" w:type="dxa"/>
          </w:tcPr>
          <w:p>
            <w:pPr>
              <w:pStyle w:val="TableParagraph"/>
              <w:spacing w:before="51"/>
              <w:ind w:left="43" w:right="42"/>
              <w:rPr>
                <w:sz w:val="17"/>
              </w:rPr>
            </w:pPr>
            <w:r>
              <w:rPr>
                <w:color w:val="231F20"/>
                <w:sz w:val="17"/>
              </w:rPr>
              <w:t>3.5</w:t>
            </w:r>
          </w:p>
        </w:tc>
        <w:tc>
          <w:tcPr>
            <w:tcW w:w="595" w:type="dxa"/>
          </w:tcPr>
          <w:p>
            <w:pPr>
              <w:pStyle w:val="TableParagraph"/>
              <w:spacing w:before="51"/>
              <w:ind w:left="197"/>
              <w:jc w:val="left"/>
              <w:rPr>
                <w:sz w:val="17"/>
              </w:rPr>
            </w:pPr>
            <w:r>
              <w:rPr>
                <w:color w:val="231F20"/>
                <w:sz w:val="17"/>
              </w:rPr>
              <w:t>3.5</w:t>
            </w:r>
          </w:p>
        </w:tc>
        <w:tc>
          <w:tcPr>
            <w:tcW w:w="595" w:type="dxa"/>
          </w:tcPr>
          <w:p>
            <w:pPr>
              <w:pStyle w:val="TableParagraph"/>
              <w:spacing w:before="51"/>
              <w:ind w:left="1"/>
              <w:rPr>
                <w:sz w:val="17"/>
              </w:rPr>
            </w:pPr>
            <w:r>
              <w:rPr>
                <w:color w:val="231F20"/>
                <w:w w:val="96"/>
                <w:sz w:val="17"/>
              </w:rPr>
              <w:t>3</w:t>
            </w:r>
          </w:p>
        </w:tc>
        <w:tc>
          <w:tcPr>
            <w:tcW w:w="595" w:type="dxa"/>
          </w:tcPr>
          <w:p>
            <w:pPr>
              <w:pStyle w:val="TableParagraph"/>
              <w:spacing w:before="51"/>
              <w:ind w:left="43" w:right="42"/>
              <w:rPr>
                <w:sz w:val="17"/>
              </w:rPr>
            </w:pPr>
            <w:r>
              <w:rPr>
                <w:color w:val="231F20"/>
                <w:sz w:val="17"/>
              </w:rPr>
              <w:t>2.3</w:t>
            </w:r>
          </w:p>
        </w:tc>
        <w:tc>
          <w:tcPr>
            <w:tcW w:w="595" w:type="dxa"/>
          </w:tcPr>
          <w:p>
            <w:pPr>
              <w:pStyle w:val="TableParagraph"/>
              <w:spacing w:before="51"/>
              <w:ind w:left="43" w:right="42"/>
              <w:rPr>
                <w:sz w:val="17"/>
              </w:rPr>
            </w:pPr>
            <w:r>
              <w:rPr>
                <w:color w:val="231F20"/>
                <w:sz w:val="17"/>
              </w:rPr>
              <w:t>1.8</w:t>
            </w:r>
          </w:p>
        </w:tc>
        <w:tc>
          <w:tcPr>
            <w:tcW w:w="595" w:type="dxa"/>
          </w:tcPr>
          <w:p>
            <w:pPr>
              <w:pStyle w:val="TableParagraph"/>
              <w:spacing w:before="51"/>
              <w:ind w:left="43" w:right="42"/>
              <w:rPr>
                <w:sz w:val="17"/>
              </w:rPr>
            </w:pPr>
            <w:r>
              <w:rPr>
                <w:color w:val="231F20"/>
                <w:sz w:val="17"/>
              </w:rPr>
              <w:t>1.8</w:t>
            </w:r>
          </w:p>
        </w:tc>
        <w:tc>
          <w:tcPr>
            <w:tcW w:w="595" w:type="dxa"/>
          </w:tcPr>
          <w:p>
            <w:pPr>
              <w:pStyle w:val="TableParagraph"/>
              <w:spacing w:before="51"/>
              <w:ind w:left="43" w:right="42"/>
              <w:rPr>
                <w:sz w:val="17"/>
              </w:rPr>
            </w:pPr>
            <w:r>
              <w:rPr>
                <w:color w:val="231F20"/>
                <w:sz w:val="17"/>
              </w:rPr>
              <w:t>1.9</w:t>
            </w:r>
          </w:p>
        </w:tc>
        <w:tc>
          <w:tcPr>
            <w:tcW w:w="600" w:type="dxa"/>
          </w:tcPr>
          <w:p>
            <w:pPr>
              <w:pStyle w:val="TableParagraph"/>
              <w:spacing w:before="51"/>
              <w:ind w:left="197"/>
              <w:jc w:val="left"/>
              <w:rPr>
                <w:sz w:val="17"/>
              </w:rPr>
            </w:pPr>
            <w:r>
              <w:rPr>
                <w:color w:val="231F20"/>
                <w:sz w:val="17"/>
              </w:rPr>
              <w:t>1.8</w:t>
            </w:r>
          </w:p>
        </w:tc>
      </w:tr>
      <w:tr>
        <w:trPr>
          <w:trHeight w:val="340" w:hRule="exact"/>
        </w:trPr>
        <w:tc>
          <w:tcPr>
            <w:tcW w:w="1234" w:type="dxa"/>
          </w:tcPr>
          <w:p>
            <w:pPr>
              <w:pStyle w:val="TableParagraph"/>
              <w:spacing w:before="51"/>
              <w:ind w:left="63"/>
              <w:jc w:val="left"/>
              <w:rPr>
                <w:sz w:val="17"/>
              </w:rPr>
            </w:pPr>
            <w:r>
              <w:rPr>
                <w:color w:val="010202"/>
                <w:sz w:val="17"/>
              </w:rPr>
              <w:t>Italia</w:t>
            </w:r>
          </w:p>
        </w:tc>
        <w:tc>
          <w:tcPr>
            <w:tcW w:w="613" w:type="dxa"/>
          </w:tcPr>
          <w:p>
            <w:pPr>
              <w:pStyle w:val="TableParagraph"/>
              <w:spacing w:before="51"/>
              <w:ind w:left="215"/>
              <w:jc w:val="left"/>
              <w:rPr>
                <w:sz w:val="17"/>
              </w:rPr>
            </w:pPr>
            <w:r>
              <w:rPr>
                <w:color w:val="231F20"/>
                <w:sz w:val="17"/>
              </w:rPr>
              <w:t>6.1</w:t>
            </w:r>
          </w:p>
        </w:tc>
        <w:tc>
          <w:tcPr>
            <w:tcW w:w="595" w:type="dxa"/>
          </w:tcPr>
          <w:p>
            <w:pPr>
              <w:pStyle w:val="TableParagraph"/>
              <w:spacing w:before="51"/>
              <w:ind w:left="198"/>
              <w:jc w:val="left"/>
              <w:rPr>
                <w:sz w:val="17"/>
              </w:rPr>
            </w:pPr>
            <w:r>
              <w:rPr>
                <w:color w:val="231F20"/>
                <w:sz w:val="17"/>
              </w:rPr>
              <w:t>6.4</w:t>
            </w:r>
          </w:p>
        </w:tc>
        <w:tc>
          <w:tcPr>
            <w:tcW w:w="595" w:type="dxa"/>
          </w:tcPr>
          <w:p>
            <w:pPr>
              <w:pStyle w:val="TableParagraph"/>
              <w:spacing w:before="51"/>
              <w:ind w:left="43" w:right="41"/>
              <w:rPr>
                <w:sz w:val="17"/>
              </w:rPr>
            </w:pPr>
            <w:r>
              <w:rPr>
                <w:color w:val="231F20"/>
                <w:sz w:val="17"/>
              </w:rPr>
              <w:t>4.6</w:t>
            </w:r>
          </w:p>
        </w:tc>
        <w:tc>
          <w:tcPr>
            <w:tcW w:w="595" w:type="dxa"/>
          </w:tcPr>
          <w:p>
            <w:pPr>
              <w:pStyle w:val="TableParagraph"/>
              <w:spacing w:before="51"/>
              <w:ind w:left="198"/>
              <w:jc w:val="left"/>
              <w:rPr>
                <w:sz w:val="17"/>
              </w:rPr>
            </w:pPr>
            <w:r>
              <w:rPr>
                <w:color w:val="231F20"/>
                <w:sz w:val="17"/>
              </w:rPr>
              <w:t>4.6</w:t>
            </w:r>
          </w:p>
        </w:tc>
        <w:tc>
          <w:tcPr>
            <w:tcW w:w="595" w:type="dxa"/>
          </w:tcPr>
          <w:p>
            <w:pPr>
              <w:pStyle w:val="TableParagraph"/>
              <w:spacing w:before="51"/>
              <w:ind w:left="43" w:right="41"/>
              <w:rPr>
                <w:sz w:val="17"/>
              </w:rPr>
            </w:pPr>
            <w:r>
              <w:rPr>
                <w:color w:val="231F20"/>
                <w:sz w:val="17"/>
              </w:rPr>
              <w:t>2.8</w:t>
            </w:r>
          </w:p>
        </w:tc>
        <w:tc>
          <w:tcPr>
            <w:tcW w:w="595" w:type="dxa"/>
          </w:tcPr>
          <w:p>
            <w:pPr>
              <w:pStyle w:val="TableParagraph"/>
              <w:spacing w:before="51"/>
              <w:ind w:left="43" w:right="41"/>
              <w:rPr>
                <w:sz w:val="17"/>
              </w:rPr>
            </w:pPr>
            <w:r>
              <w:rPr>
                <w:color w:val="231F20"/>
                <w:sz w:val="17"/>
              </w:rPr>
              <w:t>1.4</w:t>
            </w:r>
          </w:p>
        </w:tc>
        <w:tc>
          <w:tcPr>
            <w:tcW w:w="595" w:type="dxa"/>
          </w:tcPr>
          <w:p>
            <w:pPr>
              <w:pStyle w:val="TableParagraph"/>
              <w:spacing w:before="51"/>
              <w:ind w:left="43" w:right="41"/>
              <w:rPr>
                <w:sz w:val="17"/>
              </w:rPr>
            </w:pPr>
            <w:r>
              <w:rPr>
                <w:color w:val="231F20"/>
                <w:sz w:val="17"/>
              </w:rPr>
              <w:t>1.4</w:t>
            </w:r>
          </w:p>
        </w:tc>
        <w:tc>
          <w:tcPr>
            <w:tcW w:w="595" w:type="dxa"/>
          </w:tcPr>
          <w:p>
            <w:pPr>
              <w:pStyle w:val="TableParagraph"/>
              <w:spacing w:before="51"/>
              <w:ind w:left="2"/>
              <w:rPr>
                <w:sz w:val="17"/>
              </w:rPr>
            </w:pPr>
            <w:r>
              <w:rPr>
                <w:color w:val="231F20"/>
                <w:w w:val="96"/>
                <w:sz w:val="17"/>
              </w:rPr>
              <w:t>1</w:t>
            </w:r>
          </w:p>
        </w:tc>
        <w:tc>
          <w:tcPr>
            <w:tcW w:w="595" w:type="dxa"/>
          </w:tcPr>
          <w:p>
            <w:pPr>
              <w:pStyle w:val="TableParagraph"/>
              <w:spacing w:before="51"/>
              <w:ind w:left="43" w:right="41"/>
              <w:rPr>
                <w:sz w:val="17"/>
              </w:rPr>
            </w:pPr>
            <w:r>
              <w:rPr>
                <w:color w:val="231F20"/>
                <w:sz w:val="17"/>
              </w:rPr>
              <w:t>0.8</w:t>
            </w:r>
          </w:p>
        </w:tc>
        <w:tc>
          <w:tcPr>
            <w:tcW w:w="600" w:type="dxa"/>
          </w:tcPr>
          <w:p>
            <w:pPr>
              <w:pStyle w:val="TableParagraph"/>
              <w:spacing w:before="51"/>
              <w:ind w:left="198"/>
              <w:jc w:val="left"/>
              <w:rPr>
                <w:sz w:val="17"/>
              </w:rPr>
            </w:pPr>
            <w:r>
              <w:rPr>
                <w:color w:val="231F20"/>
                <w:sz w:val="17"/>
              </w:rPr>
              <w:t>0.8</w:t>
            </w:r>
          </w:p>
        </w:tc>
      </w:tr>
      <w:tr>
        <w:trPr>
          <w:trHeight w:val="340" w:hRule="exact"/>
        </w:trPr>
        <w:tc>
          <w:tcPr>
            <w:tcW w:w="1234" w:type="dxa"/>
          </w:tcPr>
          <w:p>
            <w:pPr>
              <w:pStyle w:val="TableParagraph"/>
              <w:spacing w:before="51"/>
              <w:ind w:left="63"/>
              <w:jc w:val="left"/>
              <w:rPr>
                <w:sz w:val="17"/>
              </w:rPr>
            </w:pPr>
            <w:r>
              <w:rPr>
                <w:color w:val="010202"/>
                <w:sz w:val="17"/>
              </w:rPr>
              <w:t>Alemania</w:t>
            </w:r>
          </w:p>
        </w:tc>
        <w:tc>
          <w:tcPr>
            <w:tcW w:w="613" w:type="dxa"/>
          </w:tcPr>
          <w:p>
            <w:pPr>
              <w:pStyle w:val="TableParagraph"/>
              <w:spacing w:before="51"/>
              <w:ind w:left="175"/>
              <w:jc w:val="left"/>
              <w:rPr>
                <w:sz w:val="17"/>
              </w:rPr>
            </w:pPr>
            <w:r>
              <w:rPr>
                <w:color w:val="231F20"/>
                <w:sz w:val="17"/>
              </w:rPr>
              <w:t>15.8</w:t>
            </w:r>
          </w:p>
        </w:tc>
        <w:tc>
          <w:tcPr>
            <w:tcW w:w="595" w:type="dxa"/>
          </w:tcPr>
          <w:p>
            <w:pPr>
              <w:pStyle w:val="TableParagraph"/>
              <w:spacing w:before="51"/>
              <w:ind w:left="157"/>
              <w:jc w:val="left"/>
              <w:rPr>
                <w:sz w:val="17"/>
              </w:rPr>
            </w:pPr>
            <w:r>
              <w:rPr>
                <w:color w:val="231F20"/>
                <w:sz w:val="17"/>
              </w:rPr>
              <w:t>14.5</w:t>
            </w:r>
          </w:p>
        </w:tc>
        <w:tc>
          <w:tcPr>
            <w:tcW w:w="595" w:type="dxa"/>
          </w:tcPr>
          <w:p>
            <w:pPr>
              <w:pStyle w:val="TableParagraph"/>
              <w:spacing w:before="51"/>
              <w:ind w:left="43" w:right="40"/>
              <w:rPr>
                <w:sz w:val="17"/>
              </w:rPr>
            </w:pPr>
            <w:r>
              <w:rPr>
                <w:color w:val="231F20"/>
                <w:sz w:val="17"/>
              </w:rPr>
              <w:t>13.7</w:t>
            </w:r>
          </w:p>
        </w:tc>
        <w:tc>
          <w:tcPr>
            <w:tcW w:w="595" w:type="dxa"/>
          </w:tcPr>
          <w:p>
            <w:pPr>
              <w:pStyle w:val="TableParagraph"/>
              <w:spacing w:before="51"/>
              <w:ind w:left="157"/>
              <w:jc w:val="left"/>
              <w:rPr>
                <w:sz w:val="17"/>
              </w:rPr>
            </w:pPr>
            <w:r>
              <w:rPr>
                <w:color w:val="231F20"/>
                <w:sz w:val="17"/>
              </w:rPr>
              <w:t>13.3</w:t>
            </w:r>
          </w:p>
        </w:tc>
        <w:tc>
          <w:tcPr>
            <w:tcW w:w="595" w:type="dxa"/>
          </w:tcPr>
          <w:p>
            <w:pPr>
              <w:pStyle w:val="TableParagraph"/>
              <w:spacing w:before="51"/>
              <w:ind w:left="43" w:right="40"/>
              <w:rPr>
                <w:sz w:val="17"/>
              </w:rPr>
            </w:pPr>
            <w:r>
              <w:rPr>
                <w:color w:val="231F20"/>
                <w:sz w:val="17"/>
              </w:rPr>
              <w:t>9.6</w:t>
            </w:r>
          </w:p>
        </w:tc>
        <w:tc>
          <w:tcPr>
            <w:tcW w:w="595" w:type="dxa"/>
          </w:tcPr>
          <w:p>
            <w:pPr>
              <w:pStyle w:val="TableParagraph"/>
              <w:spacing w:before="51"/>
              <w:ind w:left="43" w:right="40"/>
              <w:rPr>
                <w:sz w:val="17"/>
              </w:rPr>
            </w:pPr>
            <w:r>
              <w:rPr>
                <w:color w:val="231F20"/>
                <w:sz w:val="17"/>
              </w:rPr>
              <w:t>8.5</w:t>
            </w:r>
          </w:p>
        </w:tc>
        <w:tc>
          <w:tcPr>
            <w:tcW w:w="595" w:type="dxa"/>
          </w:tcPr>
          <w:p>
            <w:pPr>
              <w:pStyle w:val="TableParagraph"/>
              <w:spacing w:before="51"/>
              <w:ind w:left="43" w:right="40"/>
              <w:rPr>
                <w:sz w:val="17"/>
              </w:rPr>
            </w:pPr>
            <w:r>
              <w:rPr>
                <w:color w:val="231F20"/>
                <w:sz w:val="17"/>
              </w:rPr>
              <w:t>8.4</w:t>
            </w:r>
          </w:p>
        </w:tc>
        <w:tc>
          <w:tcPr>
            <w:tcW w:w="595" w:type="dxa"/>
          </w:tcPr>
          <w:p>
            <w:pPr>
              <w:pStyle w:val="TableParagraph"/>
              <w:spacing w:before="51"/>
              <w:ind w:left="43" w:right="40"/>
              <w:rPr>
                <w:sz w:val="17"/>
              </w:rPr>
            </w:pPr>
            <w:r>
              <w:rPr>
                <w:color w:val="231F20"/>
                <w:sz w:val="17"/>
              </w:rPr>
              <w:t>7.9</w:t>
            </w:r>
          </w:p>
        </w:tc>
        <w:tc>
          <w:tcPr>
            <w:tcW w:w="595" w:type="dxa"/>
          </w:tcPr>
          <w:p>
            <w:pPr>
              <w:pStyle w:val="TableParagraph"/>
              <w:spacing w:before="51"/>
              <w:ind w:left="43" w:right="40"/>
              <w:rPr>
                <w:sz w:val="17"/>
              </w:rPr>
            </w:pPr>
            <w:r>
              <w:rPr>
                <w:color w:val="231F20"/>
                <w:sz w:val="17"/>
              </w:rPr>
              <w:t>6.7</w:t>
            </w:r>
          </w:p>
        </w:tc>
        <w:tc>
          <w:tcPr>
            <w:tcW w:w="600" w:type="dxa"/>
          </w:tcPr>
          <w:p>
            <w:pPr>
              <w:pStyle w:val="TableParagraph"/>
              <w:spacing w:before="51"/>
              <w:ind w:left="198"/>
              <w:jc w:val="left"/>
              <w:rPr>
                <w:sz w:val="17"/>
              </w:rPr>
            </w:pPr>
            <w:r>
              <w:rPr>
                <w:color w:val="231F20"/>
                <w:sz w:val="17"/>
              </w:rPr>
              <w:t>6.6</w:t>
            </w:r>
          </w:p>
        </w:tc>
      </w:tr>
      <w:tr>
        <w:trPr>
          <w:trHeight w:val="340" w:hRule="exact"/>
        </w:trPr>
        <w:tc>
          <w:tcPr>
            <w:tcW w:w="1234" w:type="dxa"/>
          </w:tcPr>
          <w:p>
            <w:pPr>
              <w:pStyle w:val="TableParagraph"/>
              <w:spacing w:before="51"/>
              <w:ind w:left="64"/>
              <w:jc w:val="left"/>
              <w:rPr>
                <w:sz w:val="17"/>
              </w:rPr>
            </w:pPr>
            <w:r>
              <w:rPr>
                <w:color w:val="010202"/>
                <w:sz w:val="17"/>
              </w:rPr>
              <w:t>Francia</w:t>
            </w:r>
          </w:p>
        </w:tc>
        <w:tc>
          <w:tcPr>
            <w:tcW w:w="613" w:type="dxa"/>
          </w:tcPr>
          <w:p>
            <w:pPr>
              <w:pStyle w:val="TableParagraph"/>
              <w:spacing w:before="51"/>
              <w:ind w:left="216"/>
              <w:jc w:val="left"/>
              <w:rPr>
                <w:sz w:val="17"/>
              </w:rPr>
            </w:pPr>
            <w:r>
              <w:rPr>
                <w:color w:val="231F20"/>
                <w:sz w:val="17"/>
              </w:rPr>
              <w:t>8.7</w:t>
            </w:r>
          </w:p>
        </w:tc>
        <w:tc>
          <w:tcPr>
            <w:tcW w:w="595" w:type="dxa"/>
          </w:tcPr>
          <w:p>
            <w:pPr>
              <w:pStyle w:val="TableParagraph"/>
              <w:spacing w:before="51"/>
              <w:ind w:left="158"/>
              <w:jc w:val="left"/>
              <w:rPr>
                <w:sz w:val="17"/>
              </w:rPr>
            </w:pPr>
            <w:r>
              <w:rPr>
                <w:color w:val="231F20"/>
                <w:sz w:val="17"/>
              </w:rPr>
              <w:t>10.2</w:t>
            </w:r>
          </w:p>
        </w:tc>
        <w:tc>
          <w:tcPr>
            <w:tcW w:w="595" w:type="dxa"/>
          </w:tcPr>
          <w:p>
            <w:pPr>
              <w:pStyle w:val="TableParagraph"/>
              <w:spacing w:before="51"/>
              <w:ind w:left="43" w:right="38"/>
              <w:rPr>
                <w:sz w:val="17"/>
              </w:rPr>
            </w:pPr>
            <w:r>
              <w:rPr>
                <w:color w:val="231F20"/>
                <w:sz w:val="17"/>
              </w:rPr>
              <w:t>9.5</w:t>
            </w:r>
          </w:p>
        </w:tc>
        <w:tc>
          <w:tcPr>
            <w:tcW w:w="595" w:type="dxa"/>
          </w:tcPr>
          <w:p>
            <w:pPr>
              <w:pStyle w:val="TableParagraph"/>
              <w:spacing w:before="51"/>
              <w:ind w:left="5"/>
              <w:rPr>
                <w:sz w:val="17"/>
              </w:rPr>
            </w:pPr>
            <w:r>
              <w:rPr>
                <w:color w:val="231F20"/>
                <w:w w:val="96"/>
                <w:sz w:val="17"/>
              </w:rPr>
              <w:t>9</w:t>
            </w:r>
          </w:p>
        </w:tc>
        <w:tc>
          <w:tcPr>
            <w:tcW w:w="595" w:type="dxa"/>
          </w:tcPr>
          <w:p>
            <w:pPr>
              <w:pStyle w:val="TableParagraph"/>
              <w:spacing w:before="51"/>
              <w:ind w:left="43" w:right="38"/>
              <w:rPr>
                <w:sz w:val="17"/>
              </w:rPr>
            </w:pPr>
            <w:r>
              <w:rPr>
                <w:color w:val="231F20"/>
                <w:sz w:val="17"/>
              </w:rPr>
              <w:t>5.1</w:t>
            </w:r>
          </w:p>
        </w:tc>
        <w:tc>
          <w:tcPr>
            <w:tcW w:w="595" w:type="dxa"/>
          </w:tcPr>
          <w:p>
            <w:pPr>
              <w:pStyle w:val="TableParagraph"/>
              <w:spacing w:before="51"/>
              <w:ind w:left="43" w:right="38"/>
              <w:rPr>
                <w:sz w:val="17"/>
              </w:rPr>
            </w:pPr>
            <w:r>
              <w:rPr>
                <w:color w:val="231F20"/>
                <w:sz w:val="17"/>
              </w:rPr>
              <w:t>3.6</w:t>
            </w:r>
          </w:p>
        </w:tc>
        <w:tc>
          <w:tcPr>
            <w:tcW w:w="595" w:type="dxa"/>
          </w:tcPr>
          <w:p>
            <w:pPr>
              <w:pStyle w:val="TableParagraph"/>
              <w:spacing w:before="51"/>
              <w:ind w:left="43" w:right="38"/>
              <w:rPr>
                <w:sz w:val="17"/>
              </w:rPr>
            </w:pPr>
            <w:r>
              <w:rPr>
                <w:color w:val="231F20"/>
                <w:sz w:val="17"/>
              </w:rPr>
              <w:t>3.3</w:t>
            </w:r>
          </w:p>
        </w:tc>
        <w:tc>
          <w:tcPr>
            <w:tcW w:w="595" w:type="dxa"/>
          </w:tcPr>
          <w:p>
            <w:pPr>
              <w:pStyle w:val="TableParagraph"/>
              <w:spacing w:before="51"/>
              <w:ind w:left="43" w:right="38"/>
              <w:rPr>
                <w:sz w:val="17"/>
              </w:rPr>
            </w:pPr>
            <w:r>
              <w:rPr>
                <w:color w:val="231F20"/>
                <w:sz w:val="17"/>
              </w:rPr>
              <w:t>2.9</w:t>
            </w:r>
          </w:p>
        </w:tc>
        <w:tc>
          <w:tcPr>
            <w:tcW w:w="595" w:type="dxa"/>
          </w:tcPr>
          <w:p>
            <w:pPr>
              <w:pStyle w:val="TableParagraph"/>
              <w:spacing w:before="51"/>
              <w:ind w:left="43" w:right="38"/>
              <w:rPr>
                <w:sz w:val="17"/>
              </w:rPr>
            </w:pPr>
            <w:r>
              <w:rPr>
                <w:color w:val="231F20"/>
                <w:sz w:val="17"/>
              </w:rPr>
              <w:t>2.3</w:t>
            </w:r>
          </w:p>
        </w:tc>
        <w:tc>
          <w:tcPr>
            <w:tcW w:w="600" w:type="dxa"/>
          </w:tcPr>
          <w:p>
            <w:pPr>
              <w:pStyle w:val="TableParagraph"/>
              <w:spacing w:before="51"/>
              <w:rPr>
                <w:sz w:val="17"/>
              </w:rPr>
            </w:pPr>
            <w:r>
              <w:rPr>
                <w:color w:val="231F20"/>
                <w:w w:val="96"/>
                <w:sz w:val="17"/>
              </w:rPr>
              <w:t>2</w:t>
            </w:r>
          </w:p>
        </w:tc>
      </w:tr>
      <w:tr>
        <w:trPr>
          <w:trHeight w:val="318" w:hRule="exact"/>
        </w:trPr>
        <w:tc>
          <w:tcPr>
            <w:tcW w:w="1234" w:type="dxa"/>
            <w:tcBorders>
              <w:bottom w:val="single" w:sz="4" w:space="0" w:color="231F20"/>
            </w:tcBorders>
          </w:tcPr>
          <w:p>
            <w:pPr>
              <w:pStyle w:val="TableParagraph"/>
              <w:spacing w:before="51"/>
              <w:ind w:left="64"/>
              <w:jc w:val="left"/>
              <w:rPr>
                <w:sz w:val="17"/>
              </w:rPr>
            </w:pPr>
            <w:r>
              <w:rPr>
                <w:color w:val="010202"/>
                <w:sz w:val="17"/>
              </w:rPr>
              <w:t>México</w:t>
            </w:r>
          </w:p>
        </w:tc>
        <w:tc>
          <w:tcPr>
            <w:tcW w:w="613" w:type="dxa"/>
            <w:tcBorders>
              <w:bottom w:val="single" w:sz="4" w:space="0" w:color="231F20"/>
            </w:tcBorders>
          </w:tcPr>
          <w:p>
            <w:pPr>
              <w:pStyle w:val="TableParagraph"/>
              <w:spacing w:before="51"/>
              <w:ind w:left="198"/>
              <w:jc w:val="left"/>
              <w:rPr>
                <w:sz w:val="17"/>
              </w:rPr>
            </w:pPr>
            <w:r>
              <w:rPr>
                <w:color w:val="010202"/>
                <w:w w:val="110"/>
                <w:sz w:val="17"/>
              </w:rPr>
              <w:t>n/d</w:t>
            </w:r>
          </w:p>
        </w:tc>
        <w:tc>
          <w:tcPr>
            <w:tcW w:w="595" w:type="dxa"/>
            <w:tcBorders>
              <w:bottom w:val="single" w:sz="4" w:space="0" w:color="231F20"/>
            </w:tcBorders>
          </w:tcPr>
          <w:p>
            <w:pPr>
              <w:pStyle w:val="TableParagraph"/>
              <w:spacing w:before="51"/>
              <w:ind w:left="199"/>
              <w:jc w:val="left"/>
              <w:rPr>
                <w:sz w:val="17"/>
              </w:rPr>
            </w:pPr>
            <w:r>
              <w:rPr>
                <w:color w:val="010202"/>
                <w:sz w:val="17"/>
              </w:rPr>
              <w:t>0.6</w:t>
            </w:r>
          </w:p>
        </w:tc>
        <w:tc>
          <w:tcPr>
            <w:tcW w:w="595" w:type="dxa"/>
            <w:tcBorders>
              <w:bottom w:val="single" w:sz="4" w:space="0" w:color="231F20"/>
            </w:tcBorders>
          </w:tcPr>
          <w:p>
            <w:pPr>
              <w:pStyle w:val="TableParagraph"/>
              <w:spacing w:before="51"/>
              <w:ind w:left="43" w:right="37"/>
              <w:rPr>
                <w:sz w:val="17"/>
              </w:rPr>
            </w:pPr>
            <w:r>
              <w:rPr>
                <w:color w:val="010202"/>
                <w:sz w:val="17"/>
              </w:rPr>
              <w:t>1.3</w:t>
            </w:r>
          </w:p>
        </w:tc>
        <w:tc>
          <w:tcPr>
            <w:tcW w:w="595" w:type="dxa"/>
            <w:tcBorders>
              <w:bottom w:val="single" w:sz="4" w:space="0" w:color="231F20"/>
            </w:tcBorders>
          </w:tcPr>
          <w:p>
            <w:pPr>
              <w:pStyle w:val="TableParagraph"/>
              <w:spacing w:before="51"/>
              <w:ind w:left="6"/>
              <w:rPr>
                <w:sz w:val="17"/>
              </w:rPr>
            </w:pPr>
            <w:r>
              <w:rPr>
                <w:color w:val="010202"/>
                <w:w w:val="96"/>
                <w:sz w:val="17"/>
              </w:rPr>
              <w:t>2</w:t>
            </w:r>
          </w:p>
        </w:tc>
        <w:tc>
          <w:tcPr>
            <w:tcW w:w="595" w:type="dxa"/>
            <w:tcBorders>
              <w:bottom w:val="single" w:sz="4" w:space="0" w:color="231F20"/>
            </w:tcBorders>
          </w:tcPr>
          <w:p>
            <w:pPr>
              <w:pStyle w:val="TableParagraph"/>
              <w:spacing w:before="51"/>
              <w:ind w:left="43" w:right="37"/>
              <w:rPr>
                <w:sz w:val="17"/>
              </w:rPr>
            </w:pPr>
            <w:r>
              <w:rPr>
                <w:color w:val="010202"/>
                <w:sz w:val="17"/>
              </w:rPr>
              <w:t>3.3</w:t>
            </w:r>
          </w:p>
        </w:tc>
        <w:tc>
          <w:tcPr>
            <w:tcW w:w="595" w:type="dxa"/>
            <w:tcBorders>
              <w:bottom w:val="single" w:sz="4" w:space="0" w:color="231F20"/>
            </w:tcBorders>
          </w:tcPr>
          <w:p>
            <w:pPr>
              <w:pStyle w:val="TableParagraph"/>
              <w:spacing w:before="51"/>
              <w:ind w:left="43" w:right="37"/>
              <w:rPr>
                <w:sz w:val="17"/>
              </w:rPr>
            </w:pPr>
            <w:r>
              <w:rPr>
                <w:color w:val="010202"/>
                <w:sz w:val="17"/>
              </w:rPr>
              <w:t>3.1</w:t>
            </w:r>
          </w:p>
        </w:tc>
        <w:tc>
          <w:tcPr>
            <w:tcW w:w="595" w:type="dxa"/>
            <w:tcBorders>
              <w:bottom w:val="single" w:sz="4" w:space="0" w:color="231F20"/>
            </w:tcBorders>
          </w:tcPr>
          <w:p>
            <w:pPr>
              <w:pStyle w:val="TableParagraph"/>
              <w:spacing w:before="51"/>
              <w:ind w:left="43" w:right="37"/>
              <w:rPr>
                <w:sz w:val="17"/>
              </w:rPr>
            </w:pPr>
            <w:r>
              <w:rPr>
                <w:color w:val="010202"/>
                <w:sz w:val="17"/>
              </w:rPr>
              <w:t>2.5</w:t>
            </w:r>
          </w:p>
        </w:tc>
        <w:tc>
          <w:tcPr>
            <w:tcW w:w="595" w:type="dxa"/>
            <w:tcBorders>
              <w:bottom w:val="single" w:sz="4" w:space="0" w:color="231F20"/>
            </w:tcBorders>
          </w:tcPr>
          <w:p>
            <w:pPr>
              <w:pStyle w:val="TableParagraph"/>
              <w:spacing w:before="51"/>
              <w:ind w:left="43" w:right="37"/>
              <w:rPr>
                <w:sz w:val="17"/>
              </w:rPr>
            </w:pPr>
            <w:r>
              <w:rPr>
                <w:color w:val="010202"/>
                <w:sz w:val="17"/>
              </w:rPr>
              <w:t>3.4</w:t>
            </w:r>
          </w:p>
        </w:tc>
        <w:tc>
          <w:tcPr>
            <w:tcW w:w="595" w:type="dxa"/>
            <w:tcBorders>
              <w:bottom w:val="single" w:sz="4" w:space="0" w:color="231F20"/>
            </w:tcBorders>
          </w:tcPr>
          <w:p>
            <w:pPr>
              <w:pStyle w:val="TableParagraph"/>
              <w:spacing w:before="51"/>
              <w:ind w:left="43" w:right="37"/>
              <w:rPr>
                <w:sz w:val="17"/>
              </w:rPr>
            </w:pPr>
            <w:r>
              <w:rPr>
                <w:color w:val="010202"/>
                <w:sz w:val="17"/>
              </w:rPr>
              <w:t>3.6</w:t>
            </w:r>
          </w:p>
        </w:tc>
        <w:tc>
          <w:tcPr>
            <w:tcW w:w="600" w:type="dxa"/>
            <w:tcBorders>
              <w:bottom w:val="single" w:sz="4" w:space="0" w:color="231F20"/>
            </w:tcBorders>
          </w:tcPr>
          <w:p>
            <w:pPr>
              <w:pStyle w:val="TableParagraph"/>
              <w:spacing w:before="51"/>
              <w:ind w:left="199"/>
              <w:jc w:val="left"/>
              <w:rPr>
                <w:sz w:val="17"/>
              </w:rPr>
            </w:pPr>
            <w:r>
              <w:rPr>
                <w:color w:val="010202"/>
                <w:sz w:val="17"/>
              </w:rPr>
              <w:t>3.5</w:t>
            </w:r>
          </w:p>
        </w:tc>
      </w:tr>
      <w:tr>
        <w:trPr>
          <w:trHeight w:val="408" w:hRule="exact"/>
        </w:trPr>
        <w:tc>
          <w:tcPr>
            <w:tcW w:w="7210" w:type="dxa"/>
            <w:gridSpan w:val="11"/>
          </w:tcPr>
          <w:p>
            <w:pPr>
              <w:pStyle w:val="TableParagraph"/>
              <w:spacing w:before="87"/>
              <w:ind w:left="2958" w:right="2951"/>
              <w:rPr>
                <w:rFonts w:ascii="Palatino Linotype" w:hAnsi="Palatino Linotype"/>
                <w:b/>
                <w:sz w:val="17"/>
              </w:rPr>
            </w:pPr>
            <w:r>
              <w:rPr>
                <w:rFonts w:ascii="Palatino Linotype" w:hAnsi="Palatino Linotype"/>
                <w:b/>
                <w:color w:val="010202"/>
                <w:w w:val="90"/>
                <w:sz w:val="17"/>
              </w:rPr>
              <w:t>Países ganadores</w:t>
            </w:r>
          </w:p>
        </w:tc>
      </w:tr>
      <w:tr>
        <w:trPr>
          <w:trHeight w:val="362" w:hRule="exact"/>
        </w:trPr>
        <w:tc>
          <w:tcPr>
            <w:tcW w:w="1234" w:type="dxa"/>
            <w:tcBorders>
              <w:top w:val="single" w:sz="4" w:space="0" w:color="231F20"/>
            </w:tcBorders>
          </w:tcPr>
          <w:p>
            <w:pPr>
              <w:pStyle w:val="TableParagraph"/>
              <w:spacing w:before="68"/>
              <w:ind w:left="65"/>
              <w:jc w:val="left"/>
              <w:rPr>
                <w:sz w:val="17"/>
              </w:rPr>
            </w:pPr>
            <w:r>
              <w:rPr>
                <w:color w:val="231F20"/>
                <w:sz w:val="17"/>
              </w:rPr>
              <w:t>Japón</w:t>
            </w:r>
          </w:p>
        </w:tc>
        <w:tc>
          <w:tcPr>
            <w:tcW w:w="613" w:type="dxa"/>
            <w:tcBorders>
              <w:top w:val="single" w:sz="4" w:space="0" w:color="231F20"/>
            </w:tcBorders>
          </w:tcPr>
          <w:p>
            <w:pPr>
              <w:pStyle w:val="TableParagraph"/>
              <w:spacing w:before="68"/>
              <w:ind w:left="217"/>
              <w:jc w:val="left"/>
              <w:rPr>
                <w:sz w:val="17"/>
              </w:rPr>
            </w:pPr>
            <w:r>
              <w:rPr>
                <w:color w:val="231F20"/>
                <w:sz w:val="17"/>
              </w:rPr>
              <w:t>2.2</w:t>
            </w:r>
          </w:p>
        </w:tc>
        <w:tc>
          <w:tcPr>
            <w:tcW w:w="595" w:type="dxa"/>
            <w:tcBorders>
              <w:top w:val="single" w:sz="4" w:space="0" w:color="231F20"/>
            </w:tcBorders>
          </w:tcPr>
          <w:p>
            <w:pPr>
              <w:pStyle w:val="TableParagraph"/>
              <w:spacing w:before="68"/>
              <w:ind w:left="159"/>
              <w:jc w:val="left"/>
              <w:rPr>
                <w:sz w:val="17"/>
              </w:rPr>
            </w:pPr>
            <w:r>
              <w:rPr>
                <w:color w:val="231F20"/>
                <w:sz w:val="17"/>
              </w:rPr>
              <w:t>14.1</w:t>
            </w:r>
          </w:p>
        </w:tc>
        <w:tc>
          <w:tcPr>
            <w:tcW w:w="595" w:type="dxa"/>
            <w:tcBorders>
              <w:top w:val="single" w:sz="4" w:space="0" w:color="231F20"/>
            </w:tcBorders>
          </w:tcPr>
          <w:p>
            <w:pPr>
              <w:pStyle w:val="TableParagraph"/>
              <w:spacing w:before="68"/>
              <w:ind w:left="43" w:right="36"/>
              <w:rPr>
                <w:sz w:val="17"/>
              </w:rPr>
            </w:pPr>
            <w:r>
              <w:rPr>
                <w:color w:val="231F20"/>
                <w:sz w:val="17"/>
              </w:rPr>
              <w:t>25.4</w:t>
            </w:r>
          </w:p>
        </w:tc>
        <w:tc>
          <w:tcPr>
            <w:tcW w:w="595" w:type="dxa"/>
            <w:tcBorders>
              <w:top w:val="single" w:sz="4" w:space="0" w:color="231F20"/>
            </w:tcBorders>
          </w:tcPr>
          <w:p>
            <w:pPr>
              <w:pStyle w:val="TableParagraph"/>
              <w:spacing w:before="68"/>
              <w:ind w:left="159"/>
              <w:jc w:val="left"/>
              <w:rPr>
                <w:sz w:val="17"/>
              </w:rPr>
            </w:pPr>
            <w:r>
              <w:rPr>
                <w:color w:val="231F20"/>
                <w:sz w:val="17"/>
              </w:rPr>
              <w:t>27.6</w:t>
            </w:r>
          </w:p>
        </w:tc>
        <w:tc>
          <w:tcPr>
            <w:tcW w:w="595" w:type="dxa"/>
            <w:tcBorders>
              <w:top w:val="single" w:sz="4" w:space="0" w:color="231F20"/>
            </w:tcBorders>
          </w:tcPr>
          <w:p>
            <w:pPr>
              <w:pStyle w:val="TableParagraph"/>
              <w:spacing w:before="68"/>
              <w:ind w:left="43" w:right="36"/>
              <w:rPr>
                <w:sz w:val="17"/>
              </w:rPr>
            </w:pPr>
            <w:r>
              <w:rPr>
                <w:color w:val="231F20"/>
                <w:sz w:val="17"/>
              </w:rPr>
              <w:t>17.5</w:t>
            </w:r>
          </w:p>
        </w:tc>
        <w:tc>
          <w:tcPr>
            <w:tcW w:w="595" w:type="dxa"/>
            <w:tcBorders>
              <w:top w:val="single" w:sz="4" w:space="0" w:color="231F20"/>
            </w:tcBorders>
          </w:tcPr>
          <w:p>
            <w:pPr>
              <w:pStyle w:val="TableParagraph"/>
              <w:spacing w:before="68"/>
              <w:ind w:left="43" w:right="36"/>
              <w:rPr>
                <w:sz w:val="17"/>
              </w:rPr>
            </w:pPr>
            <w:r>
              <w:rPr>
                <w:color w:val="231F20"/>
                <w:sz w:val="17"/>
              </w:rPr>
              <w:t>16.3</w:t>
            </w:r>
          </w:p>
        </w:tc>
        <w:tc>
          <w:tcPr>
            <w:tcW w:w="595" w:type="dxa"/>
            <w:tcBorders>
              <w:top w:val="single" w:sz="4" w:space="0" w:color="231F20"/>
            </w:tcBorders>
          </w:tcPr>
          <w:p>
            <w:pPr>
              <w:pStyle w:val="TableParagraph"/>
              <w:spacing w:before="68"/>
              <w:ind w:left="43" w:right="36"/>
              <w:rPr>
                <w:sz w:val="17"/>
              </w:rPr>
            </w:pPr>
            <w:r>
              <w:rPr>
                <w:color w:val="231F20"/>
                <w:sz w:val="17"/>
              </w:rPr>
              <w:t>12.9</w:t>
            </w:r>
          </w:p>
        </w:tc>
        <w:tc>
          <w:tcPr>
            <w:tcW w:w="595" w:type="dxa"/>
            <w:tcBorders>
              <w:top w:val="single" w:sz="4" w:space="0" w:color="231F20"/>
            </w:tcBorders>
          </w:tcPr>
          <w:p>
            <w:pPr>
              <w:pStyle w:val="TableParagraph"/>
              <w:spacing w:before="68"/>
              <w:ind w:left="43" w:right="36"/>
              <w:rPr>
                <w:sz w:val="17"/>
              </w:rPr>
            </w:pPr>
            <w:r>
              <w:rPr>
                <w:color w:val="231F20"/>
                <w:sz w:val="17"/>
              </w:rPr>
              <w:t>10.5</w:t>
            </w:r>
          </w:p>
        </w:tc>
        <w:tc>
          <w:tcPr>
            <w:tcW w:w="595" w:type="dxa"/>
            <w:tcBorders>
              <w:top w:val="single" w:sz="4" w:space="0" w:color="231F20"/>
            </w:tcBorders>
          </w:tcPr>
          <w:p>
            <w:pPr>
              <w:pStyle w:val="TableParagraph"/>
              <w:spacing w:before="68"/>
              <w:ind w:left="43" w:right="36"/>
              <w:rPr>
                <w:sz w:val="17"/>
              </w:rPr>
            </w:pPr>
            <w:r>
              <w:rPr>
                <w:color w:val="231F20"/>
                <w:sz w:val="17"/>
              </w:rPr>
              <w:t>11.8</w:t>
            </w:r>
          </w:p>
        </w:tc>
        <w:tc>
          <w:tcPr>
            <w:tcW w:w="600" w:type="dxa"/>
            <w:tcBorders>
              <w:top w:val="single" w:sz="4" w:space="0" w:color="231F20"/>
            </w:tcBorders>
          </w:tcPr>
          <w:p>
            <w:pPr>
              <w:pStyle w:val="TableParagraph"/>
              <w:spacing w:before="68"/>
              <w:ind w:left="195" w:right="193"/>
              <w:rPr>
                <w:sz w:val="17"/>
              </w:rPr>
            </w:pPr>
            <w:r>
              <w:rPr>
                <w:color w:val="231F20"/>
                <w:sz w:val="17"/>
              </w:rPr>
              <w:t>11</w:t>
            </w:r>
          </w:p>
        </w:tc>
      </w:tr>
      <w:tr>
        <w:trPr>
          <w:trHeight w:val="340" w:hRule="exact"/>
        </w:trPr>
        <w:tc>
          <w:tcPr>
            <w:tcW w:w="1234" w:type="dxa"/>
          </w:tcPr>
          <w:p>
            <w:pPr>
              <w:pStyle w:val="TableParagraph"/>
              <w:spacing w:before="51"/>
              <w:ind w:left="65"/>
              <w:jc w:val="left"/>
              <w:rPr>
                <w:sz w:val="17"/>
              </w:rPr>
            </w:pPr>
            <w:r>
              <w:rPr>
                <w:color w:val="010202"/>
                <w:w w:val="105"/>
                <w:sz w:val="17"/>
              </w:rPr>
              <w:t>China</w:t>
            </w:r>
          </w:p>
        </w:tc>
        <w:tc>
          <w:tcPr>
            <w:tcW w:w="613" w:type="dxa"/>
          </w:tcPr>
          <w:p>
            <w:pPr>
              <w:pStyle w:val="TableParagraph"/>
              <w:spacing w:before="51"/>
              <w:ind w:left="199"/>
              <w:jc w:val="left"/>
              <w:rPr>
                <w:sz w:val="17"/>
              </w:rPr>
            </w:pPr>
            <w:r>
              <w:rPr>
                <w:color w:val="231F20"/>
                <w:w w:val="110"/>
                <w:sz w:val="17"/>
              </w:rPr>
              <w:t>n/d</w:t>
            </w:r>
          </w:p>
        </w:tc>
        <w:tc>
          <w:tcPr>
            <w:tcW w:w="595" w:type="dxa"/>
          </w:tcPr>
          <w:p>
            <w:pPr>
              <w:pStyle w:val="TableParagraph"/>
              <w:spacing w:before="51"/>
              <w:ind w:left="182"/>
              <w:jc w:val="left"/>
              <w:rPr>
                <w:sz w:val="17"/>
              </w:rPr>
            </w:pPr>
            <w:r>
              <w:rPr>
                <w:color w:val="231F20"/>
                <w:w w:val="110"/>
                <w:sz w:val="17"/>
              </w:rPr>
              <w:t>n/d</w:t>
            </w:r>
          </w:p>
        </w:tc>
        <w:tc>
          <w:tcPr>
            <w:tcW w:w="595" w:type="dxa"/>
          </w:tcPr>
          <w:p>
            <w:pPr>
              <w:pStyle w:val="TableParagraph"/>
              <w:spacing w:before="51"/>
              <w:ind w:left="43" w:right="35"/>
              <w:rPr>
                <w:sz w:val="17"/>
              </w:rPr>
            </w:pPr>
            <w:r>
              <w:rPr>
                <w:color w:val="231F20"/>
                <w:w w:val="110"/>
                <w:sz w:val="17"/>
              </w:rPr>
              <w:t>n/d</w:t>
            </w:r>
          </w:p>
        </w:tc>
        <w:tc>
          <w:tcPr>
            <w:tcW w:w="595" w:type="dxa"/>
          </w:tcPr>
          <w:p>
            <w:pPr>
              <w:pStyle w:val="TableParagraph"/>
              <w:spacing w:before="51"/>
              <w:ind w:left="200"/>
              <w:jc w:val="left"/>
              <w:rPr>
                <w:sz w:val="17"/>
              </w:rPr>
            </w:pPr>
            <w:r>
              <w:rPr>
                <w:color w:val="231F20"/>
                <w:sz w:val="17"/>
              </w:rPr>
              <w:t>0.2</w:t>
            </w:r>
          </w:p>
        </w:tc>
        <w:tc>
          <w:tcPr>
            <w:tcW w:w="595" w:type="dxa"/>
          </w:tcPr>
          <w:p>
            <w:pPr>
              <w:pStyle w:val="TableParagraph"/>
              <w:spacing w:before="51"/>
              <w:ind w:left="43" w:right="35"/>
              <w:rPr>
                <w:sz w:val="17"/>
              </w:rPr>
            </w:pPr>
            <w:r>
              <w:rPr>
                <w:color w:val="231F20"/>
                <w:sz w:val="17"/>
              </w:rPr>
              <w:t>4.2</w:t>
            </w:r>
          </w:p>
        </w:tc>
        <w:tc>
          <w:tcPr>
            <w:tcW w:w="595" w:type="dxa"/>
          </w:tcPr>
          <w:p>
            <w:pPr>
              <w:pStyle w:val="TableParagraph"/>
              <w:spacing w:before="51"/>
              <w:ind w:left="43" w:right="35"/>
              <w:rPr>
                <w:sz w:val="17"/>
              </w:rPr>
            </w:pPr>
            <w:r>
              <w:rPr>
                <w:color w:val="231F20"/>
                <w:sz w:val="17"/>
              </w:rPr>
              <w:t>13.2</w:t>
            </w:r>
          </w:p>
        </w:tc>
        <w:tc>
          <w:tcPr>
            <w:tcW w:w="595" w:type="dxa"/>
          </w:tcPr>
          <w:p>
            <w:pPr>
              <w:pStyle w:val="TableParagraph"/>
              <w:spacing w:before="51"/>
              <w:ind w:left="43" w:right="35"/>
              <w:rPr>
                <w:sz w:val="17"/>
              </w:rPr>
            </w:pPr>
            <w:r>
              <w:rPr>
                <w:color w:val="231F20"/>
                <w:sz w:val="17"/>
              </w:rPr>
              <w:t>22.3</w:t>
            </w:r>
          </w:p>
        </w:tc>
        <w:tc>
          <w:tcPr>
            <w:tcW w:w="595" w:type="dxa"/>
          </w:tcPr>
          <w:p>
            <w:pPr>
              <w:pStyle w:val="TableParagraph"/>
              <w:spacing w:before="51"/>
              <w:ind w:left="43" w:right="35"/>
              <w:rPr>
                <w:sz w:val="17"/>
              </w:rPr>
            </w:pPr>
            <w:r>
              <w:rPr>
                <w:color w:val="231F20"/>
                <w:sz w:val="17"/>
              </w:rPr>
              <w:t>23</w:t>
            </w:r>
          </w:p>
        </w:tc>
        <w:tc>
          <w:tcPr>
            <w:tcW w:w="595" w:type="dxa"/>
          </w:tcPr>
          <w:p>
            <w:pPr>
              <w:pStyle w:val="TableParagraph"/>
              <w:spacing w:before="51"/>
              <w:ind w:left="43" w:right="35"/>
              <w:rPr>
                <w:sz w:val="17"/>
              </w:rPr>
            </w:pPr>
            <w:r>
              <w:rPr>
                <w:color w:val="231F20"/>
                <w:sz w:val="17"/>
              </w:rPr>
              <w:t>22.9</w:t>
            </w:r>
          </w:p>
        </w:tc>
        <w:tc>
          <w:tcPr>
            <w:tcW w:w="600" w:type="dxa"/>
          </w:tcPr>
          <w:p>
            <w:pPr>
              <w:pStyle w:val="TableParagraph"/>
              <w:spacing w:before="51"/>
              <w:ind w:left="159"/>
              <w:jc w:val="left"/>
              <w:rPr>
                <w:sz w:val="17"/>
              </w:rPr>
            </w:pPr>
            <w:r>
              <w:rPr>
                <w:color w:val="231F20"/>
                <w:sz w:val="17"/>
              </w:rPr>
              <w:t>25.3</w:t>
            </w:r>
          </w:p>
        </w:tc>
      </w:tr>
      <w:tr>
        <w:trPr>
          <w:trHeight w:val="340" w:hRule="exact"/>
        </w:trPr>
        <w:tc>
          <w:tcPr>
            <w:tcW w:w="1234" w:type="dxa"/>
          </w:tcPr>
          <w:p>
            <w:pPr>
              <w:pStyle w:val="TableParagraph"/>
              <w:spacing w:before="51"/>
              <w:ind w:left="66"/>
              <w:jc w:val="left"/>
              <w:rPr>
                <w:sz w:val="17"/>
              </w:rPr>
            </w:pPr>
            <w:r>
              <w:rPr>
                <w:color w:val="010202"/>
                <w:sz w:val="17"/>
              </w:rPr>
              <w:t>España</w:t>
            </w:r>
          </w:p>
        </w:tc>
        <w:tc>
          <w:tcPr>
            <w:tcW w:w="613" w:type="dxa"/>
          </w:tcPr>
          <w:p>
            <w:pPr>
              <w:pStyle w:val="TableParagraph"/>
              <w:spacing w:before="51"/>
              <w:ind w:left="218"/>
              <w:jc w:val="left"/>
              <w:rPr>
                <w:sz w:val="17"/>
              </w:rPr>
            </w:pPr>
            <w:r>
              <w:rPr>
                <w:color w:val="231F20"/>
                <w:sz w:val="17"/>
              </w:rPr>
              <w:t>0.5</w:t>
            </w:r>
          </w:p>
        </w:tc>
        <w:tc>
          <w:tcPr>
            <w:tcW w:w="595" w:type="dxa"/>
          </w:tcPr>
          <w:p>
            <w:pPr>
              <w:pStyle w:val="TableParagraph"/>
              <w:spacing w:before="51"/>
              <w:ind w:left="201"/>
              <w:jc w:val="left"/>
              <w:rPr>
                <w:sz w:val="17"/>
              </w:rPr>
            </w:pPr>
            <w:r>
              <w:rPr>
                <w:color w:val="231F20"/>
                <w:sz w:val="17"/>
              </w:rPr>
              <w:t>1.7</w:t>
            </w:r>
          </w:p>
        </w:tc>
        <w:tc>
          <w:tcPr>
            <w:tcW w:w="595" w:type="dxa"/>
          </w:tcPr>
          <w:p>
            <w:pPr>
              <w:pStyle w:val="TableParagraph"/>
              <w:spacing w:before="51"/>
              <w:ind w:left="43" w:right="34"/>
              <w:rPr>
                <w:sz w:val="17"/>
              </w:rPr>
            </w:pPr>
            <w:r>
              <w:rPr>
                <w:color w:val="231F20"/>
                <w:sz w:val="17"/>
              </w:rPr>
              <w:t>3.1</w:t>
            </w:r>
          </w:p>
        </w:tc>
        <w:tc>
          <w:tcPr>
            <w:tcW w:w="595" w:type="dxa"/>
          </w:tcPr>
          <w:p>
            <w:pPr>
              <w:pStyle w:val="TableParagraph"/>
              <w:spacing w:before="51"/>
              <w:ind w:left="201"/>
              <w:jc w:val="left"/>
              <w:rPr>
                <w:sz w:val="17"/>
              </w:rPr>
            </w:pPr>
            <w:r>
              <w:rPr>
                <w:color w:val="231F20"/>
                <w:sz w:val="17"/>
              </w:rPr>
              <w:t>5.5</w:t>
            </w:r>
          </w:p>
        </w:tc>
        <w:tc>
          <w:tcPr>
            <w:tcW w:w="595" w:type="dxa"/>
          </w:tcPr>
          <w:p>
            <w:pPr>
              <w:pStyle w:val="TableParagraph"/>
              <w:spacing w:before="51"/>
              <w:ind w:left="43" w:right="34"/>
              <w:rPr>
                <w:sz w:val="17"/>
              </w:rPr>
            </w:pPr>
            <w:r>
              <w:rPr>
                <w:color w:val="231F20"/>
                <w:sz w:val="17"/>
              </w:rPr>
              <w:t>6.5</w:t>
            </w:r>
          </w:p>
        </w:tc>
        <w:tc>
          <w:tcPr>
            <w:tcW w:w="595" w:type="dxa"/>
          </w:tcPr>
          <w:p>
            <w:pPr>
              <w:pStyle w:val="TableParagraph"/>
              <w:spacing w:before="51"/>
              <w:ind w:left="43" w:right="34"/>
              <w:rPr>
                <w:sz w:val="17"/>
              </w:rPr>
            </w:pPr>
            <w:r>
              <w:rPr>
                <w:color w:val="231F20"/>
                <w:sz w:val="17"/>
              </w:rPr>
              <w:t>3.6</w:t>
            </w:r>
          </w:p>
        </w:tc>
        <w:tc>
          <w:tcPr>
            <w:tcW w:w="595" w:type="dxa"/>
          </w:tcPr>
          <w:p>
            <w:pPr>
              <w:pStyle w:val="TableParagraph"/>
              <w:spacing w:before="51"/>
              <w:ind w:left="43" w:right="34"/>
              <w:rPr>
                <w:sz w:val="17"/>
              </w:rPr>
            </w:pPr>
            <w:r>
              <w:rPr>
                <w:color w:val="231F20"/>
                <w:sz w:val="17"/>
              </w:rPr>
              <w:t>3.5</w:t>
            </w:r>
          </w:p>
        </w:tc>
        <w:tc>
          <w:tcPr>
            <w:tcW w:w="595" w:type="dxa"/>
          </w:tcPr>
          <w:p>
            <w:pPr>
              <w:pStyle w:val="TableParagraph"/>
              <w:spacing w:before="51"/>
              <w:ind w:left="43" w:right="34"/>
              <w:rPr>
                <w:sz w:val="17"/>
              </w:rPr>
            </w:pPr>
            <w:r>
              <w:rPr>
                <w:color w:val="231F20"/>
                <w:sz w:val="17"/>
              </w:rPr>
              <w:t>2.9</w:t>
            </w:r>
          </w:p>
        </w:tc>
        <w:tc>
          <w:tcPr>
            <w:tcW w:w="595" w:type="dxa"/>
          </w:tcPr>
          <w:p>
            <w:pPr>
              <w:pStyle w:val="TableParagraph"/>
              <w:spacing w:before="51"/>
              <w:ind w:left="43" w:right="34"/>
              <w:rPr>
                <w:sz w:val="17"/>
              </w:rPr>
            </w:pPr>
            <w:r>
              <w:rPr>
                <w:color w:val="231F20"/>
                <w:sz w:val="17"/>
              </w:rPr>
              <w:t>2.4</w:t>
            </w:r>
          </w:p>
        </w:tc>
        <w:tc>
          <w:tcPr>
            <w:tcW w:w="600" w:type="dxa"/>
          </w:tcPr>
          <w:p>
            <w:pPr>
              <w:pStyle w:val="TableParagraph"/>
              <w:spacing w:before="51"/>
              <w:ind w:left="201"/>
              <w:jc w:val="left"/>
              <w:rPr>
                <w:sz w:val="17"/>
              </w:rPr>
            </w:pPr>
            <w:r>
              <w:rPr>
                <w:color w:val="231F20"/>
                <w:sz w:val="17"/>
              </w:rPr>
              <w:t>2.5</w:t>
            </w:r>
          </w:p>
        </w:tc>
      </w:tr>
      <w:tr>
        <w:trPr>
          <w:trHeight w:val="340" w:hRule="exact"/>
        </w:trPr>
        <w:tc>
          <w:tcPr>
            <w:tcW w:w="1234" w:type="dxa"/>
          </w:tcPr>
          <w:p>
            <w:pPr>
              <w:pStyle w:val="TableParagraph"/>
              <w:spacing w:before="51"/>
              <w:ind w:left="66"/>
              <w:jc w:val="left"/>
              <w:rPr>
                <w:sz w:val="17"/>
              </w:rPr>
            </w:pPr>
            <w:r>
              <w:rPr>
                <w:color w:val="010202"/>
                <w:sz w:val="17"/>
              </w:rPr>
              <w:t>Brasil</w:t>
            </w:r>
          </w:p>
        </w:tc>
        <w:tc>
          <w:tcPr>
            <w:tcW w:w="613" w:type="dxa"/>
          </w:tcPr>
          <w:p>
            <w:pPr>
              <w:pStyle w:val="TableParagraph"/>
              <w:spacing w:before="51"/>
              <w:ind w:left="219"/>
              <w:jc w:val="left"/>
              <w:rPr>
                <w:sz w:val="17"/>
              </w:rPr>
            </w:pPr>
            <w:r>
              <w:rPr>
                <w:color w:val="231F20"/>
                <w:sz w:val="17"/>
              </w:rPr>
              <w:t>0.9</w:t>
            </w:r>
          </w:p>
        </w:tc>
        <w:tc>
          <w:tcPr>
            <w:tcW w:w="595" w:type="dxa"/>
          </w:tcPr>
          <w:p>
            <w:pPr>
              <w:pStyle w:val="TableParagraph"/>
              <w:spacing w:before="51"/>
              <w:ind w:left="201"/>
              <w:jc w:val="left"/>
              <w:rPr>
                <w:sz w:val="17"/>
              </w:rPr>
            </w:pPr>
            <w:r>
              <w:rPr>
                <w:color w:val="231F20"/>
                <w:sz w:val="17"/>
              </w:rPr>
              <w:t>1.3</w:t>
            </w:r>
          </w:p>
        </w:tc>
        <w:tc>
          <w:tcPr>
            <w:tcW w:w="595" w:type="dxa"/>
          </w:tcPr>
          <w:p>
            <w:pPr>
              <w:pStyle w:val="TableParagraph"/>
              <w:spacing w:before="51"/>
              <w:ind w:left="43" w:right="33"/>
              <w:rPr>
                <w:sz w:val="17"/>
              </w:rPr>
            </w:pPr>
            <w:r>
              <w:rPr>
                <w:color w:val="231F20"/>
                <w:sz w:val="17"/>
              </w:rPr>
              <w:t>1.5</w:t>
            </w:r>
          </w:p>
        </w:tc>
        <w:tc>
          <w:tcPr>
            <w:tcW w:w="595" w:type="dxa"/>
          </w:tcPr>
          <w:p>
            <w:pPr>
              <w:pStyle w:val="TableParagraph"/>
              <w:spacing w:before="51"/>
              <w:ind w:left="10"/>
              <w:rPr>
                <w:sz w:val="17"/>
              </w:rPr>
            </w:pPr>
            <w:r>
              <w:rPr>
                <w:color w:val="231F20"/>
                <w:w w:val="96"/>
                <w:sz w:val="17"/>
              </w:rPr>
              <w:t>2</w:t>
            </w:r>
          </w:p>
        </w:tc>
        <w:tc>
          <w:tcPr>
            <w:tcW w:w="595" w:type="dxa"/>
          </w:tcPr>
          <w:p>
            <w:pPr>
              <w:pStyle w:val="TableParagraph"/>
              <w:spacing w:before="51"/>
              <w:ind w:left="43" w:right="33"/>
              <w:rPr>
                <w:sz w:val="17"/>
              </w:rPr>
            </w:pPr>
            <w:r>
              <w:rPr>
                <w:color w:val="231F20"/>
                <w:sz w:val="17"/>
              </w:rPr>
              <w:t>3.2</w:t>
            </w:r>
          </w:p>
        </w:tc>
        <w:tc>
          <w:tcPr>
            <w:tcW w:w="595" w:type="dxa"/>
          </w:tcPr>
          <w:p>
            <w:pPr>
              <w:pStyle w:val="TableParagraph"/>
              <w:spacing w:before="51"/>
              <w:ind w:left="43" w:right="33"/>
              <w:rPr>
                <w:sz w:val="17"/>
              </w:rPr>
            </w:pPr>
            <w:r>
              <w:rPr>
                <w:color w:val="231F20"/>
                <w:sz w:val="17"/>
              </w:rPr>
              <w:t>4.6</w:t>
            </w:r>
          </w:p>
        </w:tc>
        <w:tc>
          <w:tcPr>
            <w:tcW w:w="595" w:type="dxa"/>
          </w:tcPr>
          <w:p>
            <w:pPr>
              <w:pStyle w:val="TableParagraph"/>
              <w:spacing w:before="51"/>
              <w:ind w:left="43" w:right="33"/>
              <w:rPr>
                <w:sz w:val="17"/>
              </w:rPr>
            </w:pPr>
            <w:r>
              <w:rPr>
                <w:color w:val="231F20"/>
                <w:sz w:val="17"/>
              </w:rPr>
              <w:t>5.2</w:t>
            </w:r>
          </w:p>
        </w:tc>
        <w:tc>
          <w:tcPr>
            <w:tcW w:w="595" w:type="dxa"/>
          </w:tcPr>
          <w:p>
            <w:pPr>
              <w:pStyle w:val="TableParagraph"/>
              <w:spacing w:before="51"/>
              <w:ind w:left="43" w:right="33"/>
              <w:rPr>
                <w:sz w:val="17"/>
              </w:rPr>
            </w:pPr>
            <w:r>
              <w:rPr>
                <w:color w:val="231F20"/>
                <w:sz w:val="17"/>
              </w:rPr>
              <w:t>4.3</w:t>
            </w:r>
          </w:p>
        </w:tc>
        <w:tc>
          <w:tcPr>
            <w:tcW w:w="595" w:type="dxa"/>
          </w:tcPr>
          <w:p>
            <w:pPr>
              <w:pStyle w:val="TableParagraph"/>
              <w:spacing w:before="51"/>
              <w:ind w:left="10"/>
              <w:rPr>
                <w:sz w:val="17"/>
              </w:rPr>
            </w:pPr>
            <w:r>
              <w:rPr>
                <w:color w:val="231F20"/>
                <w:w w:val="96"/>
                <w:sz w:val="17"/>
              </w:rPr>
              <w:t>4</w:t>
            </w:r>
          </w:p>
        </w:tc>
        <w:tc>
          <w:tcPr>
            <w:tcW w:w="600" w:type="dxa"/>
          </w:tcPr>
          <w:p>
            <w:pPr>
              <w:pStyle w:val="TableParagraph"/>
              <w:spacing w:before="51"/>
              <w:ind w:left="201"/>
              <w:jc w:val="left"/>
              <w:rPr>
                <w:sz w:val="17"/>
              </w:rPr>
            </w:pPr>
            <w:r>
              <w:rPr>
                <w:color w:val="231F20"/>
                <w:sz w:val="17"/>
              </w:rPr>
              <w:t>4.3</w:t>
            </w:r>
          </w:p>
        </w:tc>
      </w:tr>
      <w:tr>
        <w:trPr>
          <w:trHeight w:val="340" w:hRule="exact"/>
        </w:trPr>
        <w:tc>
          <w:tcPr>
            <w:tcW w:w="1234" w:type="dxa"/>
          </w:tcPr>
          <w:p>
            <w:pPr>
              <w:pStyle w:val="TableParagraph"/>
              <w:spacing w:before="51"/>
              <w:ind w:left="67"/>
              <w:jc w:val="left"/>
              <w:rPr>
                <w:sz w:val="17"/>
              </w:rPr>
            </w:pPr>
            <w:r>
              <w:rPr>
                <w:color w:val="010202"/>
                <w:sz w:val="17"/>
              </w:rPr>
              <w:t>Corea del Sur</w:t>
            </w:r>
          </w:p>
        </w:tc>
        <w:tc>
          <w:tcPr>
            <w:tcW w:w="613" w:type="dxa"/>
          </w:tcPr>
          <w:p>
            <w:pPr>
              <w:pStyle w:val="TableParagraph"/>
              <w:spacing w:before="51"/>
              <w:ind w:left="201"/>
              <w:jc w:val="left"/>
              <w:rPr>
                <w:sz w:val="17"/>
              </w:rPr>
            </w:pPr>
            <w:r>
              <w:rPr>
                <w:color w:val="231F20"/>
                <w:w w:val="110"/>
                <w:sz w:val="17"/>
              </w:rPr>
              <w:t>n/d</w:t>
            </w:r>
          </w:p>
        </w:tc>
        <w:tc>
          <w:tcPr>
            <w:tcW w:w="595" w:type="dxa"/>
          </w:tcPr>
          <w:p>
            <w:pPr>
              <w:pStyle w:val="TableParagraph"/>
              <w:spacing w:before="51"/>
              <w:ind w:left="183"/>
              <w:jc w:val="left"/>
              <w:rPr>
                <w:sz w:val="17"/>
              </w:rPr>
            </w:pPr>
            <w:r>
              <w:rPr>
                <w:color w:val="231F20"/>
                <w:w w:val="110"/>
                <w:sz w:val="17"/>
              </w:rPr>
              <w:t>n/d</w:t>
            </w:r>
          </w:p>
        </w:tc>
        <w:tc>
          <w:tcPr>
            <w:tcW w:w="595" w:type="dxa"/>
          </w:tcPr>
          <w:p>
            <w:pPr>
              <w:pStyle w:val="TableParagraph"/>
              <w:spacing w:before="51"/>
              <w:ind w:left="43" w:right="32"/>
              <w:rPr>
                <w:sz w:val="17"/>
              </w:rPr>
            </w:pPr>
            <w:r>
              <w:rPr>
                <w:color w:val="231F20"/>
                <w:sz w:val="17"/>
              </w:rPr>
              <w:t>0.3</w:t>
            </w:r>
          </w:p>
        </w:tc>
        <w:tc>
          <w:tcPr>
            <w:tcW w:w="595" w:type="dxa"/>
          </w:tcPr>
          <w:p>
            <w:pPr>
              <w:pStyle w:val="TableParagraph"/>
              <w:spacing w:before="51"/>
              <w:ind w:left="202"/>
              <w:jc w:val="left"/>
              <w:rPr>
                <w:sz w:val="17"/>
              </w:rPr>
            </w:pPr>
            <w:r>
              <w:rPr>
                <w:color w:val="231F20"/>
                <w:sz w:val="17"/>
              </w:rPr>
              <w:t>3.3</w:t>
            </w:r>
          </w:p>
        </w:tc>
        <w:tc>
          <w:tcPr>
            <w:tcW w:w="595" w:type="dxa"/>
          </w:tcPr>
          <w:p>
            <w:pPr>
              <w:pStyle w:val="TableParagraph"/>
              <w:spacing w:before="51"/>
              <w:ind w:left="43" w:right="32"/>
              <w:rPr>
                <w:sz w:val="17"/>
              </w:rPr>
            </w:pPr>
            <w:r>
              <w:rPr>
                <w:color w:val="231F20"/>
                <w:sz w:val="17"/>
              </w:rPr>
              <w:t>5.2</w:t>
            </w:r>
          </w:p>
        </w:tc>
        <w:tc>
          <w:tcPr>
            <w:tcW w:w="595" w:type="dxa"/>
          </w:tcPr>
          <w:p>
            <w:pPr>
              <w:pStyle w:val="TableParagraph"/>
              <w:spacing w:before="51"/>
              <w:ind w:left="43" w:right="32"/>
              <w:rPr>
                <w:sz w:val="17"/>
              </w:rPr>
            </w:pPr>
            <w:r>
              <w:rPr>
                <w:color w:val="231F20"/>
                <w:sz w:val="17"/>
              </w:rPr>
              <w:t>5.4</w:t>
            </w:r>
          </w:p>
        </w:tc>
        <w:tc>
          <w:tcPr>
            <w:tcW w:w="595" w:type="dxa"/>
          </w:tcPr>
          <w:p>
            <w:pPr>
              <w:pStyle w:val="TableParagraph"/>
              <w:spacing w:before="51"/>
              <w:ind w:left="43" w:right="32"/>
              <w:rPr>
                <w:sz w:val="17"/>
              </w:rPr>
            </w:pPr>
            <w:r>
              <w:rPr>
                <w:color w:val="231F20"/>
                <w:sz w:val="17"/>
              </w:rPr>
              <w:t>5.7</w:t>
            </w:r>
          </w:p>
        </w:tc>
        <w:tc>
          <w:tcPr>
            <w:tcW w:w="595" w:type="dxa"/>
          </w:tcPr>
          <w:p>
            <w:pPr>
              <w:pStyle w:val="TableParagraph"/>
              <w:spacing w:before="51"/>
              <w:ind w:left="43" w:right="32"/>
              <w:rPr>
                <w:sz w:val="17"/>
              </w:rPr>
            </w:pPr>
            <w:r>
              <w:rPr>
                <w:color w:val="231F20"/>
                <w:sz w:val="17"/>
              </w:rPr>
              <w:t>5.8</w:t>
            </w:r>
          </w:p>
        </w:tc>
        <w:tc>
          <w:tcPr>
            <w:tcW w:w="595" w:type="dxa"/>
          </w:tcPr>
          <w:p>
            <w:pPr>
              <w:pStyle w:val="TableParagraph"/>
              <w:spacing w:before="51"/>
              <w:ind w:left="43" w:right="32"/>
              <w:rPr>
                <w:sz w:val="17"/>
              </w:rPr>
            </w:pPr>
            <w:r>
              <w:rPr>
                <w:color w:val="231F20"/>
                <w:sz w:val="17"/>
              </w:rPr>
              <w:t>5.4</w:t>
            </w:r>
          </w:p>
        </w:tc>
        <w:tc>
          <w:tcPr>
            <w:tcW w:w="600" w:type="dxa"/>
          </w:tcPr>
          <w:p>
            <w:pPr>
              <w:pStyle w:val="TableParagraph"/>
              <w:spacing w:before="51"/>
              <w:ind w:left="202"/>
              <w:jc w:val="left"/>
              <w:rPr>
                <w:sz w:val="17"/>
              </w:rPr>
            </w:pPr>
            <w:r>
              <w:rPr>
                <w:color w:val="231F20"/>
                <w:sz w:val="17"/>
              </w:rPr>
              <w:t>5.2</w:t>
            </w:r>
          </w:p>
        </w:tc>
      </w:tr>
      <w:tr>
        <w:trPr>
          <w:trHeight w:val="318" w:hRule="exact"/>
        </w:trPr>
        <w:tc>
          <w:tcPr>
            <w:tcW w:w="1234" w:type="dxa"/>
            <w:tcBorders>
              <w:bottom w:val="single" w:sz="4" w:space="0" w:color="231F20"/>
            </w:tcBorders>
          </w:tcPr>
          <w:p>
            <w:pPr>
              <w:pStyle w:val="TableParagraph"/>
              <w:spacing w:before="51"/>
              <w:ind w:left="67"/>
              <w:jc w:val="left"/>
              <w:rPr>
                <w:sz w:val="17"/>
              </w:rPr>
            </w:pPr>
            <w:r>
              <w:rPr>
                <w:color w:val="010202"/>
                <w:w w:val="105"/>
                <w:sz w:val="17"/>
              </w:rPr>
              <w:t>India</w:t>
            </w:r>
          </w:p>
        </w:tc>
        <w:tc>
          <w:tcPr>
            <w:tcW w:w="613" w:type="dxa"/>
            <w:tcBorders>
              <w:bottom w:val="single" w:sz="4" w:space="0" w:color="231F20"/>
            </w:tcBorders>
          </w:tcPr>
          <w:p>
            <w:pPr>
              <w:pStyle w:val="TableParagraph"/>
              <w:spacing w:before="51"/>
              <w:ind w:left="220"/>
              <w:jc w:val="left"/>
              <w:rPr>
                <w:sz w:val="17"/>
              </w:rPr>
            </w:pPr>
            <w:r>
              <w:rPr>
                <w:color w:val="231F20"/>
                <w:sz w:val="17"/>
              </w:rPr>
              <w:t>0.2</w:t>
            </w:r>
          </w:p>
        </w:tc>
        <w:tc>
          <w:tcPr>
            <w:tcW w:w="595" w:type="dxa"/>
            <w:tcBorders>
              <w:bottom w:val="single" w:sz="4" w:space="0" w:color="231F20"/>
            </w:tcBorders>
          </w:tcPr>
          <w:p>
            <w:pPr>
              <w:pStyle w:val="TableParagraph"/>
              <w:spacing w:before="51"/>
              <w:ind w:left="202"/>
              <w:jc w:val="left"/>
              <w:rPr>
                <w:sz w:val="17"/>
              </w:rPr>
            </w:pPr>
            <w:r>
              <w:rPr>
                <w:color w:val="231F20"/>
                <w:sz w:val="17"/>
              </w:rPr>
              <w:t>0.2</w:t>
            </w:r>
          </w:p>
        </w:tc>
        <w:tc>
          <w:tcPr>
            <w:tcW w:w="595" w:type="dxa"/>
            <w:tcBorders>
              <w:bottom w:val="single" w:sz="4" w:space="0" w:color="231F20"/>
            </w:tcBorders>
          </w:tcPr>
          <w:p>
            <w:pPr>
              <w:pStyle w:val="TableParagraph"/>
              <w:spacing w:before="51"/>
              <w:ind w:left="43" w:right="31"/>
              <w:rPr>
                <w:sz w:val="17"/>
              </w:rPr>
            </w:pPr>
            <w:r>
              <w:rPr>
                <w:color w:val="231F20"/>
                <w:sz w:val="17"/>
              </w:rPr>
              <w:t>0.2</w:t>
            </w:r>
          </w:p>
        </w:tc>
        <w:tc>
          <w:tcPr>
            <w:tcW w:w="595" w:type="dxa"/>
            <w:tcBorders>
              <w:bottom w:val="single" w:sz="4" w:space="0" w:color="231F20"/>
            </w:tcBorders>
          </w:tcPr>
          <w:p>
            <w:pPr>
              <w:pStyle w:val="TableParagraph"/>
              <w:spacing w:before="51"/>
              <w:ind w:left="202"/>
              <w:jc w:val="left"/>
              <w:rPr>
                <w:sz w:val="17"/>
              </w:rPr>
            </w:pPr>
            <w:r>
              <w:rPr>
                <w:color w:val="231F20"/>
                <w:sz w:val="17"/>
              </w:rPr>
              <w:t>0.5</w:t>
            </w:r>
          </w:p>
        </w:tc>
        <w:tc>
          <w:tcPr>
            <w:tcW w:w="595" w:type="dxa"/>
            <w:tcBorders>
              <w:bottom w:val="single" w:sz="4" w:space="0" w:color="231F20"/>
            </w:tcBorders>
          </w:tcPr>
          <w:p>
            <w:pPr>
              <w:pStyle w:val="TableParagraph"/>
              <w:spacing w:before="51"/>
              <w:ind w:left="43" w:right="31"/>
              <w:rPr>
                <w:sz w:val="17"/>
              </w:rPr>
            </w:pPr>
            <w:r>
              <w:rPr>
                <w:color w:val="231F20"/>
                <w:sz w:val="17"/>
              </w:rPr>
              <w:t>1.9</w:t>
            </w:r>
          </w:p>
        </w:tc>
        <w:tc>
          <w:tcPr>
            <w:tcW w:w="595" w:type="dxa"/>
            <w:tcBorders>
              <w:bottom w:val="single" w:sz="4" w:space="0" w:color="231F20"/>
            </w:tcBorders>
          </w:tcPr>
          <w:p>
            <w:pPr>
              <w:pStyle w:val="TableParagraph"/>
              <w:spacing w:before="51"/>
              <w:ind w:left="43" w:right="31"/>
              <w:rPr>
                <w:sz w:val="17"/>
              </w:rPr>
            </w:pPr>
            <w:r>
              <w:rPr>
                <w:color w:val="231F20"/>
                <w:sz w:val="17"/>
              </w:rPr>
              <w:t>3.3</w:t>
            </w:r>
          </w:p>
        </w:tc>
        <w:tc>
          <w:tcPr>
            <w:tcW w:w="595" w:type="dxa"/>
            <w:tcBorders>
              <w:bottom w:val="single" w:sz="4" w:space="0" w:color="231F20"/>
            </w:tcBorders>
          </w:tcPr>
          <w:p>
            <w:pPr>
              <w:pStyle w:val="TableParagraph"/>
              <w:spacing w:before="51"/>
              <w:ind w:left="43" w:right="31"/>
              <w:rPr>
                <w:sz w:val="17"/>
              </w:rPr>
            </w:pPr>
            <w:r>
              <w:rPr>
                <w:color w:val="231F20"/>
                <w:sz w:val="17"/>
              </w:rPr>
              <w:t>4.3</w:t>
            </w:r>
          </w:p>
        </w:tc>
        <w:tc>
          <w:tcPr>
            <w:tcW w:w="595" w:type="dxa"/>
            <w:tcBorders>
              <w:bottom w:val="single" w:sz="4" w:space="0" w:color="231F20"/>
            </w:tcBorders>
          </w:tcPr>
          <w:p>
            <w:pPr>
              <w:pStyle w:val="TableParagraph"/>
              <w:spacing w:before="51"/>
              <w:ind w:left="43" w:right="31"/>
              <w:rPr>
                <w:sz w:val="17"/>
              </w:rPr>
            </w:pPr>
            <w:r>
              <w:rPr>
                <w:color w:val="010202"/>
                <w:sz w:val="17"/>
              </w:rPr>
              <w:t>4.9</w:t>
            </w:r>
          </w:p>
        </w:tc>
        <w:tc>
          <w:tcPr>
            <w:tcW w:w="595" w:type="dxa"/>
            <w:tcBorders>
              <w:bottom w:val="single" w:sz="4" w:space="0" w:color="231F20"/>
            </w:tcBorders>
          </w:tcPr>
          <w:p>
            <w:pPr>
              <w:pStyle w:val="TableParagraph"/>
              <w:spacing w:before="51"/>
              <w:ind w:left="43" w:right="31"/>
              <w:rPr>
                <w:sz w:val="17"/>
              </w:rPr>
            </w:pPr>
            <w:r>
              <w:rPr>
                <w:color w:val="010202"/>
                <w:sz w:val="17"/>
              </w:rPr>
              <w:t>4.9</w:t>
            </w:r>
          </w:p>
        </w:tc>
        <w:tc>
          <w:tcPr>
            <w:tcW w:w="600" w:type="dxa"/>
            <w:tcBorders>
              <w:bottom w:val="single" w:sz="4" w:space="0" w:color="231F20"/>
            </w:tcBorders>
          </w:tcPr>
          <w:p>
            <w:pPr>
              <w:pStyle w:val="TableParagraph"/>
              <w:spacing w:before="51"/>
              <w:ind w:left="202"/>
              <w:jc w:val="left"/>
              <w:rPr>
                <w:sz w:val="17"/>
              </w:rPr>
            </w:pPr>
            <w:r>
              <w:rPr>
                <w:color w:val="010202"/>
                <w:sz w:val="17"/>
              </w:rPr>
              <w:t>4.4</w:t>
            </w:r>
          </w:p>
        </w:tc>
      </w:tr>
      <w:tr>
        <w:trPr>
          <w:trHeight w:val="479" w:hRule="exact"/>
        </w:trPr>
        <w:tc>
          <w:tcPr>
            <w:tcW w:w="1234" w:type="dxa"/>
            <w:tcBorders>
              <w:top w:val="single" w:sz="4" w:space="0" w:color="231F20"/>
              <w:bottom w:val="single" w:sz="4" w:space="0" w:color="231F20"/>
            </w:tcBorders>
          </w:tcPr>
          <w:p>
            <w:pPr>
              <w:pStyle w:val="TableParagraph"/>
              <w:spacing w:before="118"/>
              <w:ind w:left="68"/>
              <w:jc w:val="left"/>
              <w:rPr>
                <w:rFonts w:ascii="Palatino Linotype"/>
                <w:b/>
                <w:sz w:val="10"/>
              </w:rPr>
            </w:pPr>
            <w:r>
              <w:rPr>
                <w:rFonts w:ascii="Palatino Linotype"/>
                <w:b/>
                <w:color w:val="231F20"/>
                <w:w w:val="95"/>
                <w:sz w:val="17"/>
              </w:rPr>
              <w:t>Total mundial </w:t>
            </w:r>
            <w:r>
              <w:rPr>
                <w:rFonts w:ascii="Palatino Linotype"/>
                <w:b/>
                <w:color w:val="231F20"/>
                <w:w w:val="95"/>
                <w:position w:val="6"/>
                <w:sz w:val="10"/>
              </w:rPr>
              <w:t>1</w:t>
            </w:r>
          </w:p>
        </w:tc>
        <w:tc>
          <w:tcPr>
            <w:tcW w:w="613" w:type="dxa"/>
            <w:tcBorders>
              <w:top w:val="single" w:sz="4" w:space="0" w:color="231F20"/>
              <w:bottom w:val="single" w:sz="4" w:space="0" w:color="231F20"/>
            </w:tcBorders>
          </w:tcPr>
          <w:p>
            <w:pPr>
              <w:pStyle w:val="TableParagraph"/>
              <w:spacing w:before="117"/>
              <w:ind w:left="81"/>
              <w:jc w:val="left"/>
              <w:rPr>
                <w:rFonts w:ascii="Palatino Linotype"/>
                <w:b/>
                <w:sz w:val="17"/>
              </w:rPr>
            </w:pPr>
            <w:r>
              <w:rPr>
                <w:rFonts w:ascii="Palatino Linotype"/>
                <w:b/>
                <w:color w:val="010202"/>
                <w:sz w:val="17"/>
              </w:rPr>
              <w:t>11,391</w:t>
            </w:r>
          </w:p>
        </w:tc>
        <w:tc>
          <w:tcPr>
            <w:tcW w:w="595" w:type="dxa"/>
            <w:tcBorders>
              <w:top w:val="single" w:sz="4" w:space="0" w:color="231F20"/>
              <w:bottom w:val="single" w:sz="4" w:space="0" w:color="231F20"/>
            </w:tcBorders>
          </w:tcPr>
          <w:p>
            <w:pPr>
              <w:pStyle w:val="TableParagraph"/>
              <w:spacing w:before="117"/>
              <w:ind w:right="61"/>
              <w:jc w:val="right"/>
              <w:rPr>
                <w:rFonts w:ascii="Palatino Linotype"/>
                <w:b/>
                <w:sz w:val="17"/>
              </w:rPr>
            </w:pPr>
            <w:r>
              <w:rPr>
                <w:rFonts w:ascii="Palatino Linotype"/>
                <w:b/>
                <w:color w:val="010202"/>
                <w:sz w:val="17"/>
              </w:rPr>
              <w:t>26,453</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27,407</w:t>
            </w:r>
          </w:p>
        </w:tc>
        <w:tc>
          <w:tcPr>
            <w:tcW w:w="595" w:type="dxa"/>
            <w:tcBorders>
              <w:top w:val="single" w:sz="4" w:space="0" w:color="231F20"/>
              <w:bottom w:val="single" w:sz="4" w:space="0" w:color="231F20"/>
            </w:tcBorders>
          </w:tcPr>
          <w:p>
            <w:pPr>
              <w:pStyle w:val="TableParagraph"/>
              <w:spacing w:before="117"/>
              <w:ind w:right="61"/>
              <w:jc w:val="right"/>
              <w:rPr>
                <w:rFonts w:ascii="Palatino Linotype"/>
                <w:b/>
                <w:sz w:val="17"/>
              </w:rPr>
            </w:pPr>
            <w:r>
              <w:rPr>
                <w:rFonts w:ascii="Palatino Linotype"/>
                <w:b/>
                <w:color w:val="010202"/>
                <w:sz w:val="17"/>
              </w:rPr>
              <w:t>35,287</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56,024</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70,765</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61,714</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79,989</w:t>
            </w:r>
          </w:p>
        </w:tc>
        <w:tc>
          <w:tcPr>
            <w:tcW w:w="595" w:type="dxa"/>
            <w:tcBorders>
              <w:top w:val="single" w:sz="4" w:space="0" w:color="231F20"/>
              <w:bottom w:val="single" w:sz="4" w:space="0" w:color="231F20"/>
            </w:tcBorders>
          </w:tcPr>
          <w:p>
            <w:pPr>
              <w:pStyle w:val="TableParagraph"/>
              <w:spacing w:before="117"/>
              <w:ind w:left="43" w:right="43"/>
              <w:rPr>
                <w:rFonts w:ascii="Palatino Linotype"/>
                <w:b/>
                <w:sz w:val="17"/>
              </w:rPr>
            </w:pPr>
            <w:r>
              <w:rPr>
                <w:rFonts w:ascii="Palatino Linotype"/>
                <w:b/>
                <w:color w:val="010202"/>
                <w:sz w:val="17"/>
              </w:rPr>
              <w:t>84,141</w:t>
            </w:r>
          </w:p>
        </w:tc>
        <w:tc>
          <w:tcPr>
            <w:tcW w:w="600" w:type="dxa"/>
            <w:tcBorders>
              <w:top w:val="single" w:sz="4" w:space="0" w:color="231F20"/>
              <w:bottom w:val="single" w:sz="4" w:space="0" w:color="231F20"/>
            </w:tcBorders>
          </w:tcPr>
          <w:p>
            <w:pPr>
              <w:pStyle w:val="TableParagraph"/>
              <w:spacing w:before="117"/>
              <w:ind w:left="63"/>
              <w:jc w:val="left"/>
              <w:rPr>
                <w:rFonts w:ascii="Palatino Linotype"/>
                <w:b/>
                <w:sz w:val="17"/>
              </w:rPr>
            </w:pPr>
            <w:r>
              <w:rPr>
                <w:rFonts w:ascii="Palatino Linotype"/>
                <w:b/>
                <w:color w:val="010202"/>
                <w:sz w:val="17"/>
              </w:rPr>
              <w:t>87,300</w:t>
            </w:r>
          </w:p>
        </w:tc>
      </w:tr>
    </w:tbl>
    <w:p>
      <w:pPr>
        <w:pStyle w:val="BodyText"/>
        <w:spacing w:before="12"/>
        <w:rPr>
          <w:rFonts w:ascii="Palatino Linotype"/>
          <w:b/>
          <w:sz w:val="8"/>
        </w:rPr>
      </w:pPr>
    </w:p>
    <w:p>
      <w:pPr>
        <w:spacing w:line="307" w:lineRule="auto" w:before="67"/>
        <w:ind w:left="123" w:right="4798" w:hanging="1"/>
        <w:jc w:val="left"/>
        <w:rPr>
          <w:sz w:val="19"/>
        </w:rPr>
      </w:pPr>
      <w:r>
        <w:rPr>
          <w:color w:val="231F20"/>
          <w:position w:val="6"/>
          <w:sz w:val="11"/>
        </w:rPr>
        <w:t>1 </w:t>
      </w:r>
      <w:r>
        <w:rPr>
          <w:color w:val="231F20"/>
          <w:sz w:val="19"/>
        </w:rPr>
        <w:t>Total mundial en miles de unidades. n/d = no dato.</w:t>
      </w:r>
    </w:p>
    <w:p>
      <w:pPr>
        <w:spacing w:line="237" w:lineRule="exact" w:before="0"/>
        <w:ind w:left="123" w:right="0" w:firstLine="0"/>
        <w:jc w:val="both"/>
        <w:rPr>
          <w:rFonts w:ascii="Palatino Linotype" w:hAnsi="Palatino Linotype"/>
          <w:i/>
          <w:sz w:val="19"/>
        </w:rPr>
      </w:pPr>
      <w:r>
        <w:rPr>
          <w:rFonts w:ascii="Palatino Linotype" w:hAnsi="Palatino Linotype"/>
          <w:i/>
          <w:color w:val="231F20"/>
          <w:sz w:val="19"/>
        </w:rPr>
        <w:t>Fuente: </w:t>
      </w:r>
      <w:r>
        <w:rPr>
          <w:color w:val="231F20"/>
          <w:sz w:val="19"/>
        </w:rPr>
        <w:t>Elaboración propia. 1961, 1971 y 1981 con datos de </w:t>
      </w:r>
      <w:r>
        <w:rPr>
          <w:rFonts w:ascii="Palatino Linotype" w:hAnsi="Palatino Linotype"/>
          <w:i/>
          <w:color w:val="231F20"/>
          <w:sz w:val="19"/>
        </w:rPr>
        <w:t>Bureau of Transportation Statistics</w:t>
      </w:r>
    </w:p>
    <w:p>
      <w:pPr>
        <w:spacing w:before="46"/>
        <w:ind w:left="123" w:right="0" w:firstLine="0"/>
        <w:jc w:val="both"/>
        <w:rPr>
          <w:sz w:val="19"/>
        </w:rPr>
      </w:pPr>
      <w:r>
        <w:rPr>
          <w:color w:val="231F20"/>
          <w:sz w:val="19"/>
        </w:rPr>
        <w:t>(2000); 1991, 2001, 2008, 2009, 2011, 2012 y 2013 con datos de OICA (2014).</w:t>
      </w:r>
    </w:p>
    <w:p>
      <w:pPr>
        <w:pStyle w:val="BodyText"/>
        <w:spacing w:before="4"/>
        <w:rPr>
          <w:sz w:val="23"/>
        </w:rPr>
      </w:pPr>
    </w:p>
    <w:p>
      <w:pPr>
        <w:pStyle w:val="BodyText"/>
        <w:spacing w:line="278" w:lineRule="auto" w:before="1"/>
        <w:ind w:left="123" w:right="651"/>
        <w:jc w:val="both"/>
      </w:pPr>
      <w:r>
        <w:rPr>
          <w:color w:val="231F20"/>
        </w:rPr>
        <w:t>Estados Unidos, </w:t>
      </w:r>
      <w:r>
        <w:rPr>
          <w:color w:val="231F20"/>
          <w:spacing w:val="-3"/>
        </w:rPr>
        <w:t>Japón </w:t>
      </w:r>
      <w:r>
        <w:rPr>
          <w:color w:val="231F20"/>
        </w:rPr>
        <w:t>y Alemania fueron los principales productores de vehículos a nivel mundial por muchos años. Sin embargo, a partir del 2000, China empezó a co- brar importancia en la manufactura de vehículos, para así paulatinamente ir ganando espacio hasta llegar a convertirse en el principal productor a nivel mundial. En 2013 este</w:t>
      </w:r>
      <w:r>
        <w:rPr>
          <w:color w:val="231F20"/>
          <w:spacing w:val="-11"/>
        </w:rPr>
        <w:t> </w:t>
      </w:r>
      <w:r>
        <w:rPr>
          <w:color w:val="231F20"/>
        </w:rPr>
        <w:t>país</w:t>
      </w:r>
      <w:r>
        <w:rPr>
          <w:color w:val="231F20"/>
          <w:spacing w:val="-11"/>
        </w:rPr>
        <w:t> </w:t>
      </w:r>
      <w:r>
        <w:rPr>
          <w:color w:val="231F20"/>
        </w:rPr>
        <w:t>manufacturó</w:t>
      </w:r>
      <w:r>
        <w:rPr>
          <w:color w:val="231F20"/>
          <w:spacing w:val="-11"/>
        </w:rPr>
        <w:t> </w:t>
      </w:r>
      <w:r>
        <w:rPr>
          <w:color w:val="231F20"/>
        </w:rPr>
        <w:t>en</w:t>
      </w:r>
      <w:r>
        <w:rPr>
          <w:color w:val="231F20"/>
          <w:spacing w:val="-11"/>
        </w:rPr>
        <w:t> </w:t>
      </w:r>
      <w:r>
        <w:rPr>
          <w:color w:val="231F20"/>
        </w:rPr>
        <w:t>su</w:t>
      </w:r>
      <w:r>
        <w:rPr>
          <w:color w:val="231F20"/>
          <w:spacing w:val="-11"/>
        </w:rPr>
        <w:t> </w:t>
      </w:r>
      <w:r>
        <w:rPr>
          <w:color w:val="231F20"/>
        </w:rPr>
        <w:t>territorio</w:t>
      </w:r>
      <w:r>
        <w:rPr>
          <w:color w:val="231F20"/>
          <w:spacing w:val="-11"/>
        </w:rPr>
        <w:t> </w:t>
      </w:r>
      <w:r>
        <w:rPr>
          <w:color w:val="231F20"/>
        </w:rPr>
        <w:t>más</w:t>
      </w:r>
      <w:r>
        <w:rPr>
          <w:color w:val="231F20"/>
          <w:spacing w:val="-11"/>
        </w:rPr>
        <w:t> </w:t>
      </w:r>
      <w:r>
        <w:rPr>
          <w:color w:val="231F20"/>
        </w:rPr>
        <w:t>de</w:t>
      </w:r>
      <w:r>
        <w:rPr>
          <w:color w:val="231F20"/>
          <w:spacing w:val="-11"/>
        </w:rPr>
        <w:t> </w:t>
      </w:r>
      <w:r>
        <w:rPr>
          <w:color w:val="231F20"/>
        </w:rPr>
        <w:t>veinte</w:t>
      </w:r>
      <w:r>
        <w:rPr>
          <w:color w:val="231F20"/>
          <w:spacing w:val="-11"/>
        </w:rPr>
        <w:t> </w:t>
      </w:r>
      <w:r>
        <w:rPr>
          <w:color w:val="231F20"/>
        </w:rPr>
        <w:t>millones</w:t>
      </w:r>
      <w:r>
        <w:rPr>
          <w:color w:val="231F20"/>
          <w:spacing w:val="-11"/>
        </w:rPr>
        <w:t> </w:t>
      </w:r>
      <w:r>
        <w:rPr>
          <w:color w:val="231F20"/>
        </w:rPr>
        <w:t>de</w:t>
      </w:r>
      <w:r>
        <w:rPr>
          <w:color w:val="231F20"/>
          <w:spacing w:val="-11"/>
        </w:rPr>
        <w:t> </w:t>
      </w:r>
      <w:r>
        <w:rPr>
          <w:color w:val="231F20"/>
        </w:rPr>
        <w:t>vehículos</w:t>
      </w:r>
      <w:r>
        <w:rPr>
          <w:color w:val="231F20"/>
          <w:spacing w:val="-11"/>
        </w:rPr>
        <w:t> </w:t>
      </w:r>
      <w:r>
        <w:rPr>
          <w:color w:val="231F20"/>
        </w:rPr>
        <w:t>(25.3%</w:t>
      </w:r>
      <w:r>
        <w:rPr>
          <w:color w:val="231F20"/>
          <w:spacing w:val="-11"/>
        </w:rPr>
        <w:t> </w:t>
      </w:r>
      <w:r>
        <w:rPr>
          <w:color w:val="231F20"/>
        </w:rPr>
        <w:t>de</w:t>
      </w:r>
      <w:r>
        <w:rPr>
          <w:color w:val="231F20"/>
          <w:spacing w:val="-11"/>
        </w:rPr>
        <w:t> </w:t>
      </w:r>
      <w:r>
        <w:rPr>
          <w:color w:val="231F20"/>
        </w:rPr>
        <w:t>la producción mundial) (véase cuadro</w:t>
      </w:r>
      <w:r>
        <w:rPr>
          <w:color w:val="231F20"/>
          <w:spacing w:val="7"/>
        </w:rPr>
        <w:t> </w:t>
      </w:r>
      <w:r>
        <w:rPr>
          <w:color w:val="231F20"/>
        </w:rPr>
        <w:t>II.2).</w:t>
      </w:r>
    </w:p>
    <w:p>
      <w:pPr>
        <w:pStyle w:val="BodyText"/>
        <w:spacing w:line="278" w:lineRule="auto" w:before="1"/>
        <w:ind w:left="123" w:right="651" w:firstLine="396"/>
        <w:jc w:val="both"/>
      </w:pPr>
      <w:r>
        <w:rPr>
          <w:color w:val="231F20"/>
        </w:rPr>
        <w:t>De esta forma, Estados Unidos, Alemania, Francia, Italia y Reino Unido pueden considerarse</w:t>
      </w:r>
      <w:r>
        <w:rPr>
          <w:color w:val="231F20"/>
          <w:spacing w:val="-10"/>
        </w:rPr>
        <w:t> </w:t>
      </w:r>
      <w:r>
        <w:rPr>
          <w:color w:val="231F20"/>
        </w:rPr>
        <w:t>países</w:t>
      </w:r>
      <w:r>
        <w:rPr>
          <w:color w:val="231F20"/>
          <w:spacing w:val="-10"/>
        </w:rPr>
        <w:t> </w:t>
      </w:r>
      <w:r>
        <w:rPr>
          <w:color w:val="231F20"/>
        </w:rPr>
        <w:t>perdedores</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mundial</w:t>
      </w:r>
      <w:r>
        <w:rPr>
          <w:color w:val="231F20"/>
          <w:spacing w:val="-10"/>
        </w:rPr>
        <w:t> </w:t>
      </w:r>
      <w:r>
        <w:rPr>
          <w:color w:val="231F20"/>
        </w:rPr>
        <w:t>de</w:t>
      </w:r>
      <w:r>
        <w:rPr>
          <w:color w:val="231F20"/>
          <w:spacing w:val="-10"/>
        </w:rPr>
        <w:t> </w:t>
      </w:r>
      <w:r>
        <w:rPr>
          <w:color w:val="231F20"/>
        </w:rPr>
        <w:t>automóviles,</w:t>
      </w:r>
      <w:r>
        <w:rPr>
          <w:color w:val="231F20"/>
          <w:spacing w:val="-10"/>
        </w:rPr>
        <w:t> </w:t>
      </w:r>
      <w:r>
        <w:rPr>
          <w:color w:val="231F20"/>
        </w:rPr>
        <w:t>cuya</w:t>
      </w:r>
      <w:r>
        <w:rPr>
          <w:color w:val="231F20"/>
          <w:spacing w:val="-10"/>
        </w:rPr>
        <w:t> </w:t>
      </w:r>
      <w:r>
        <w:rPr>
          <w:color w:val="231F20"/>
        </w:rPr>
        <w:t>partici- pación en la manufactura ha disminuido drásticamente. </w:t>
      </w:r>
      <w:r>
        <w:rPr>
          <w:color w:val="231F20"/>
          <w:spacing w:val="-4"/>
        </w:rPr>
        <w:t>Por </w:t>
      </w:r>
      <w:r>
        <w:rPr>
          <w:color w:val="231F20"/>
        </w:rPr>
        <w:t>el contrario, China,</w:t>
      </w:r>
      <w:r>
        <w:rPr>
          <w:color w:val="231F20"/>
          <w:spacing w:val="-9"/>
        </w:rPr>
        <w:t> </w:t>
      </w:r>
      <w:r>
        <w:rPr>
          <w:color w:val="231F20"/>
        </w:rPr>
        <w:t>Corea</w:t>
      </w:r>
    </w:p>
    <w:p>
      <w:pPr>
        <w:spacing w:after="0" w:line="278" w:lineRule="auto"/>
        <w:jc w:val="both"/>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653" w:right="5"/>
      </w:pPr>
      <w:r>
        <w:rPr>
          <w:color w:val="231F20"/>
        </w:rPr>
        <w:t>del </w:t>
      </w:r>
      <w:r>
        <w:rPr>
          <w:color w:val="231F20"/>
          <w:spacing w:val="-5"/>
        </w:rPr>
        <w:t>Sur, </w:t>
      </w:r>
      <w:r>
        <w:rPr>
          <w:color w:val="231F20"/>
        </w:rPr>
        <w:t>India y Brasil, principalmente, se consideran países ganadores, debido a que el sector se ha ido consolidando en el segmento de la manufactura.</w:t>
      </w:r>
    </w:p>
    <w:p>
      <w:pPr>
        <w:pStyle w:val="BodyText"/>
        <w:spacing w:line="278" w:lineRule="auto" w:before="1"/>
        <w:ind w:left="653" w:right="102" w:firstLine="396"/>
        <w:jc w:val="both"/>
      </w:pPr>
      <w:r>
        <w:rPr>
          <w:color w:val="231F20"/>
        </w:rPr>
        <w:t>Estos datos reflejan en buena parte la situación que vivió el sector automotriz a nivel</w:t>
      </w:r>
      <w:r>
        <w:rPr>
          <w:color w:val="231F20"/>
          <w:spacing w:val="-5"/>
        </w:rPr>
        <w:t> </w:t>
      </w:r>
      <w:r>
        <w:rPr>
          <w:color w:val="231F20"/>
        </w:rPr>
        <w:t>mundial</w:t>
      </w:r>
      <w:r>
        <w:rPr>
          <w:color w:val="231F20"/>
          <w:spacing w:val="-5"/>
        </w:rPr>
        <w:t> </w:t>
      </w:r>
      <w:r>
        <w:rPr>
          <w:color w:val="231F20"/>
        </w:rPr>
        <w:t>a</w:t>
      </w:r>
      <w:r>
        <w:rPr>
          <w:color w:val="231F20"/>
          <w:spacing w:val="-5"/>
        </w:rPr>
        <w:t> </w:t>
      </w:r>
      <w:r>
        <w:rPr>
          <w:color w:val="231F20"/>
        </w:rPr>
        <w:t>raíz</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crisis</w:t>
      </w:r>
      <w:r>
        <w:rPr>
          <w:color w:val="231F20"/>
          <w:spacing w:val="-5"/>
        </w:rPr>
        <w:t> </w:t>
      </w:r>
      <w:r>
        <w:rPr>
          <w:color w:val="231F20"/>
        </w:rPr>
        <w:t>económica</w:t>
      </w:r>
      <w:r>
        <w:rPr>
          <w:color w:val="231F20"/>
          <w:spacing w:val="-5"/>
        </w:rPr>
        <w:t> </w:t>
      </w:r>
      <w:r>
        <w:rPr>
          <w:color w:val="231F20"/>
        </w:rPr>
        <w:t>de</w:t>
      </w:r>
      <w:r>
        <w:rPr>
          <w:color w:val="231F20"/>
          <w:spacing w:val="-5"/>
        </w:rPr>
        <w:t> </w:t>
      </w:r>
      <w:r>
        <w:rPr>
          <w:color w:val="231F20"/>
        </w:rPr>
        <w:t>2009,</w:t>
      </w:r>
      <w:r>
        <w:rPr>
          <w:color w:val="231F20"/>
          <w:spacing w:val="-5"/>
        </w:rPr>
        <w:t> </w:t>
      </w:r>
      <w:r>
        <w:rPr>
          <w:color w:val="231F20"/>
        </w:rPr>
        <w:t>pues</w:t>
      </w:r>
      <w:r>
        <w:rPr>
          <w:color w:val="231F20"/>
          <w:spacing w:val="-5"/>
        </w:rPr>
        <w:t> </w:t>
      </w:r>
      <w:r>
        <w:rPr>
          <w:color w:val="231F20"/>
        </w:rPr>
        <w:t>mientras</w:t>
      </w:r>
      <w:r>
        <w:rPr>
          <w:color w:val="231F20"/>
          <w:spacing w:val="-5"/>
        </w:rPr>
        <w:t> </w:t>
      </w:r>
      <w:r>
        <w:rPr>
          <w:color w:val="231F20"/>
        </w:rPr>
        <w:t>en</w:t>
      </w:r>
      <w:r>
        <w:rPr>
          <w:color w:val="231F20"/>
          <w:spacing w:val="-5"/>
        </w:rPr>
        <w:t> </w:t>
      </w:r>
      <w:r>
        <w:rPr>
          <w:color w:val="231F20"/>
        </w:rPr>
        <w:t>ese</w:t>
      </w:r>
      <w:r>
        <w:rPr>
          <w:color w:val="231F20"/>
          <w:spacing w:val="-5"/>
        </w:rPr>
        <w:t> </w:t>
      </w:r>
      <w:r>
        <w:rPr>
          <w:color w:val="231F20"/>
        </w:rPr>
        <w:t>año</w:t>
      </w:r>
      <w:r>
        <w:rPr>
          <w:color w:val="231F20"/>
          <w:spacing w:val="-5"/>
        </w:rPr>
        <w:t> </w:t>
      </w:r>
      <w:r>
        <w:rPr>
          <w:color w:val="231F20"/>
        </w:rPr>
        <w:t>el</w:t>
      </w:r>
      <w:r>
        <w:rPr>
          <w:color w:val="231F20"/>
          <w:spacing w:val="-5"/>
        </w:rPr>
        <w:t> </w:t>
      </w:r>
      <w:r>
        <w:rPr>
          <w:color w:val="231F20"/>
        </w:rPr>
        <w:t>sector en general tuvo una tasa de crecimiento negativa de 13.5%, y prácticamente todos los países productores presentaron tasas de crecimiento negativas, China tuvo un creci- miento</w:t>
      </w:r>
      <w:r>
        <w:rPr>
          <w:color w:val="231F20"/>
          <w:spacing w:val="-13"/>
        </w:rPr>
        <w:t> </w:t>
      </w:r>
      <w:r>
        <w:rPr>
          <w:color w:val="231F20"/>
        </w:rPr>
        <w:t>del</w:t>
      </w:r>
      <w:r>
        <w:rPr>
          <w:color w:val="231F20"/>
          <w:spacing w:val="-13"/>
        </w:rPr>
        <w:t> </w:t>
      </w:r>
      <w:r>
        <w:rPr>
          <w:color w:val="231F20"/>
        </w:rPr>
        <w:t>48.3%</w:t>
      </w:r>
      <w:r>
        <w:rPr>
          <w:color w:val="231F20"/>
          <w:spacing w:val="-13"/>
        </w:rPr>
        <w:t> </w:t>
      </w:r>
      <w:r>
        <w:rPr>
          <w:color w:val="231F20"/>
        </w:rPr>
        <w:t>y</w:t>
      </w:r>
      <w:r>
        <w:rPr>
          <w:color w:val="231F20"/>
          <w:spacing w:val="-13"/>
        </w:rPr>
        <w:t> </w:t>
      </w:r>
      <w:r>
        <w:rPr>
          <w:color w:val="231F20"/>
        </w:rPr>
        <w:t>la</w:t>
      </w:r>
      <w:r>
        <w:rPr>
          <w:color w:val="231F20"/>
          <w:spacing w:val="-13"/>
        </w:rPr>
        <w:t> </w:t>
      </w:r>
      <w:r>
        <w:rPr>
          <w:color w:val="231F20"/>
        </w:rPr>
        <w:t>India</w:t>
      </w:r>
      <w:r>
        <w:rPr>
          <w:color w:val="231F20"/>
          <w:spacing w:val="-13"/>
        </w:rPr>
        <w:t> </w:t>
      </w:r>
      <w:r>
        <w:rPr>
          <w:color w:val="231F20"/>
        </w:rPr>
        <w:t>casi</w:t>
      </w:r>
      <w:r>
        <w:rPr>
          <w:color w:val="231F20"/>
          <w:spacing w:val="-13"/>
        </w:rPr>
        <w:t> </w:t>
      </w:r>
      <w:r>
        <w:rPr>
          <w:color w:val="231F20"/>
        </w:rPr>
        <w:t>del</w:t>
      </w:r>
      <w:r>
        <w:rPr>
          <w:color w:val="231F20"/>
          <w:spacing w:val="-13"/>
        </w:rPr>
        <w:t> </w:t>
      </w:r>
      <w:r>
        <w:rPr>
          <w:color w:val="231F20"/>
        </w:rPr>
        <w:t>13%</w:t>
      </w:r>
      <w:r>
        <w:rPr>
          <w:color w:val="231F20"/>
          <w:spacing w:val="-13"/>
        </w:rPr>
        <w:t> </w:t>
      </w:r>
      <w:r>
        <w:rPr>
          <w:color w:val="231F20"/>
        </w:rPr>
        <w:t>(véase</w:t>
      </w:r>
      <w:r>
        <w:rPr>
          <w:color w:val="231F20"/>
          <w:spacing w:val="-13"/>
        </w:rPr>
        <w:t> </w:t>
      </w:r>
      <w:r>
        <w:rPr>
          <w:color w:val="231F20"/>
        </w:rPr>
        <w:t>cuadro</w:t>
      </w:r>
      <w:r>
        <w:rPr>
          <w:color w:val="231F20"/>
          <w:spacing w:val="-13"/>
        </w:rPr>
        <w:t> </w:t>
      </w:r>
      <w:r>
        <w:rPr>
          <w:color w:val="231F20"/>
        </w:rPr>
        <w:t>II.3).</w:t>
      </w:r>
    </w:p>
    <w:p>
      <w:pPr>
        <w:pStyle w:val="BodyText"/>
        <w:spacing w:before="8"/>
        <w:rPr>
          <w:sz w:val="17"/>
        </w:rPr>
      </w:pPr>
    </w:p>
    <w:p>
      <w:pPr>
        <w:pStyle w:val="Heading4"/>
        <w:ind w:right="12"/>
      </w:pPr>
      <w:r>
        <w:rPr>
          <w:color w:val="231F20"/>
          <w:w w:val="95"/>
        </w:rPr>
        <w:t>Cuadro II.3</w:t>
      </w:r>
    </w:p>
    <w:p>
      <w:pPr>
        <w:spacing w:line="282" w:lineRule="exact" w:before="0"/>
        <w:ind w:left="552" w:right="2" w:firstLine="0"/>
        <w:jc w:val="center"/>
        <w:rPr>
          <w:rFonts w:ascii="Palatino Linotype" w:hAnsi="Palatino Linotype"/>
          <w:b/>
          <w:sz w:val="21"/>
        </w:rPr>
      </w:pPr>
      <w:r>
        <w:rPr>
          <w:rFonts w:ascii="Palatino Linotype" w:hAnsi="Palatino Linotype"/>
          <w:b/>
          <w:color w:val="231F20"/>
          <w:w w:val="95"/>
          <w:sz w:val="21"/>
        </w:rPr>
        <w:t>Tasa de crecimiento media anual en la producción mundial de vehículos, 2009</w:t>
      </w:r>
    </w:p>
    <w:p>
      <w:pPr>
        <w:pStyle w:val="BodyText"/>
        <w:spacing w:before="3" w:after="1"/>
        <w:rPr>
          <w:rFonts w:ascii="Palatino Linotype"/>
          <w:b/>
          <w:sz w:val="14"/>
        </w:rPr>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06"/>
        <w:gridCol w:w="1150"/>
        <w:gridCol w:w="1064"/>
        <w:gridCol w:w="1247"/>
        <w:gridCol w:w="1119"/>
        <w:gridCol w:w="1204"/>
      </w:tblGrid>
      <w:tr>
        <w:trPr>
          <w:trHeight w:val="463" w:hRule="exact"/>
        </w:trPr>
        <w:tc>
          <w:tcPr>
            <w:tcW w:w="1406" w:type="dxa"/>
            <w:tcBorders>
              <w:top w:val="single" w:sz="4" w:space="0" w:color="231F20"/>
              <w:bottom w:val="single" w:sz="4" w:space="0" w:color="231F20"/>
            </w:tcBorders>
          </w:tcPr>
          <w:p>
            <w:pPr>
              <w:pStyle w:val="TableParagraph"/>
              <w:spacing w:before="103"/>
              <w:ind w:left="530" w:right="496"/>
              <w:rPr>
                <w:rFonts w:ascii="Palatino Linotype" w:hAnsi="Palatino Linotype"/>
                <w:b/>
                <w:sz w:val="18"/>
              </w:rPr>
            </w:pPr>
            <w:r>
              <w:rPr>
                <w:rFonts w:ascii="Palatino Linotype" w:hAnsi="Palatino Linotype"/>
                <w:b/>
                <w:color w:val="231F20"/>
                <w:sz w:val="18"/>
              </w:rPr>
              <w:t>País</w:t>
            </w:r>
          </w:p>
        </w:tc>
        <w:tc>
          <w:tcPr>
            <w:tcW w:w="1150" w:type="dxa"/>
            <w:tcBorders>
              <w:top w:val="single" w:sz="4" w:space="0" w:color="231F20"/>
              <w:bottom w:val="single" w:sz="4" w:space="0" w:color="231F20"/>
            </w:tcBorders>
          </w:tcPr>
          <w:p>
            <w:pPr>
              <w:pStyle w:val="TableParagraph"/>
              <w:spacing w:before="103"/>
              <w:ind w:left="147"/>
              <w:jc w:val="left"/>
              <w:rPr>
                <w:rFonts w:ascii="Palatino Linotype"/>
                <w:b/>
                <w:sz w:val="18"/>
              </w:rPr>
            </w:pPr>
            <w:r>
              <w:rPr>
                <w:rFonts w:ascii="Palatino Linotype"/>
                <w:b/>
                <w:color w:val="231F20"/>
                <w:w w:val="95"/>
                <w:sz w:val="18"/>
              </w:rPr>
              <w:t>TCMA 2009</w:t>
            </w:r>
          </w:p>
        </w:tc>
        <w:tc>
          <w:tcPr>
            <w:tcW w:w="1064" w:type="dxa"/>
            <w:tcBorders>
              <w:top w:val="single" w:sz="4" w:space="0" w:color="231F20"/>
              <w:bottom w:val="single" w:sz="4" w:space="0" w:color="231F20"/>
            </w:tcBorders>
          </w:tcPr>
          <w:p>
            <w:pPr>
              <w:pStyle w:val="TableParagraph"/>
              <w:spacing w:before="103"/>
              <w:ind w:left="436"/>
              <w:jc w:val="left"/>
              <w:rPr>
                <w:rFonts w:ascii="Palatino Linotype" w:hAnsi="Palatino Linotype"/>
                <w:b/>
                <w:sz w:val="18"/>
              </w:rPr>
            </w:pPr>
            <w:r>
              <w:rPr>
                <w:rFonts w:ascii="Palatino Linotype" w:hAnsi="Palatino Linotype"/>
                <w:b/>
                <w:color w:val="231F20"/>
                <w:sz w:val="18"/>
              </w:rPr>
              <w:t>País</w:t>
            </w:r>
          </w:p>
        </w:tc>
        <w:tc>
          <w:tcPr>
            <w:tcW w:w="1247" w:type="dxa"/>
            <w:tcBorders>
              <w:top w:val="single" w:sz="4" w:space="0" w:color="231F20"/>
              <w:bottom w:val="single" w:sz="4" w:space="0" w:color="231F20"/>
            </w:tcBorders>
          </w:tcPr>
          <w:p>
            <w:pPr>
              <w:pStyle w:val="TableParagraph"/>
              <w:spacing w:before="103"/>
              <w:ind w:left="229"/>
              <w:jc w:val="left"/>
              <w:rPr>
                <w:rFonts w:ascii="Palatino Linotype"/>
                <w:b/>
                <w:sz w:val="18"/>
              </w:rPr>
            </w:pPr>
            <w:r>
              <w:rPr>
                <w:rFonts w:ascii="Palatino Linotype"/>
                <w:b/>
                <w:color w:val="231F20"/>
                <w:w w:val="95"/>
                <w:sz w:val="18"/>
              </w:rPr>
              <w:t>TCMA 2009</w:t>
            </w:r>
          </w:p>
        </w:tc>
        <w:tc>
          <w:tcPr>
            <w:tcW w:w="1119" w:type="dxa"/>
            <w:tcBorders>
              <w:top w:val="single" w:sz="4" w:space="0" w:color="231F20"/>
              <w:bottom w:val="single" w:sz="4" w:space="0" w:color="231F20"/>
            </w:tcBorders>
          </w:tcPr>
          <w:p>
            <w:pPr>
              <w:pStyle w:val="TableParagraph"/>
              <w:spacing w:before="103"/>
              <w:ind w:left="450"/>
              <w:jc w:val="left"/>
              <w:rPr>
                <w:rFonts w:ascii="Palatino Linotype" w:hAnsi="Palatino Linotype"/>
                <w:b/>
                <w:sz w:val="18"/>
              </w:rPr>
            </w:pPr>
            <w:r>
              <w:rPr>
                <w:rFonts w:ascii="Palatino Linotype" w:hAnsi="Palatino Linotype"/>
                <w:b/>
                <w:color w:val="231F20"/>
                <w:sz w:val="18"/>
              </w:rPr>
              <w:t>País</w:t>
            </w:r>
          </w:p>
        </w:tc>
        <w:tc>
          <w:tcPr>
            <w:tcW w:w="1204" w:type="dxa"/>
            <w:tcBorders>
              <w:top w:val="single" w:sz="4" w:space="0" w:color="231F20"/>
              <w:bottom w:val="single" w:sz="4" w:space="0" w:color="231F20"/>
            </w:tcBorders>
          </w:tcPr>
          <w:p>
            <w:pPr>
              <w:pStyle w:val="TableParagraph"/>
              <w:spacing w:before="103"/>
              <w:ind w:left="165"/>
              <w:jc w:val="left"/>
              <w:rPr>
                <w:rFonts w:ascii="Palatino Linotype"/>
                <w:b/>
                <w:sz w:val="18"/>
              </w:rPr>
            </w:pPr>
            <w:r>
              <w:rPr>
                <w:rFonts w:ascii="Palatino Linotype"/>
                <w:b/>
                <w:color w:val="231F20"/>
                <w:w w:val="95"/>
                <w:sz w:val="18"/>
              </w:rPr>
              <w:t>TCMA 2009</w:t>
            </w:r>
          </w:p>
        </w:tc>
      </w:tr>
      <w:tr>
        <w:trPr>
          <w:trHeight w:val="477" w:hRule="exact"/>
        </w:trPr>
        <w:tc>
          <w:tcPr>
            <w:tcW w:w="1406" w:type="dxa"/>
            <w:tcBorders>
              <w:top w:val="single" w:sz="4" w:space="0" w:color="231F20"/>
            </w:tcBorders>
          </w:tcPr>
          <w:p>
            <w:pPr>
              <w:pStyle w:val="TableParagraph"/>
              <w:spacing w:before="98"/>
              <w:ind w:left="56"/>
              <w:jc w:val="left"/>
              <w:rPr>
                <w:rFonts w:ascii="Palatino Linotype"/>
                <w:b/>
                <w:sz w:val="18"/>
              </w:rPr>
            </w:pPr>
            <w:r>
              <w:rPr>
                <w:rFonts w:ascii="Palatino Linotype"/>
                <w:b/>
                <w:color w:val="231F20"/>
                <w:sz w:val="18"/>
              </w:rPr>
              <w:t>China</w:t>
            </w:r>
          </w:p>
        </w:tc>
        <w:tc>
          <w:tcPr>
            <w:tcW w:w="1150" w:type="dxa"/>
            <w:tcBorders>
              <w:top w:val="single" w:sz="4" w:space="0" w:color="231F20"/>
            </w:tcBorders>
          </w:tcPr>
          <w:p>
            <w:pPr>
              <w:pStyle w:val="TableParagraph"/>
              <w:spacing w:before="98"/>
              <w:ind w:left="147"/>
              <w:jc w:val="left"/>
              <w:rPr>
                <w:rFonts w:ascii="Palatino Linotype"/>
                <w:b/>
                <w:sz w:val="18"/>
              </w:rPr>
            </w:pPr>
            <w:r>
              <w:rPr>
                <w:rFonts w:ascii="Palatino Linotype"/>
                <w:b/>
                <w:color w:val="231F20"/>
                <w:sz w:val="18"/>
              </w:rPr>
              <w:t>48.3</w:t>
            </w:r>
          </w:p>
        </w:tc>
        <w:tc>
          <w:tcPr>
            <w:tcW w:w="1064" w:type="dxa"/>
            <w:tcBorders>
              <w:top w:val="single" w:sz="4" w:space="0" w:color="231F20"/>
            </w:tcBorders>
          </w:tcPr>
          <w:p>
            <w:pPr>
              <w:pStyle w:val="TableParagraph"/>
              <w:spacing w:before="119"/>
              <w:ind w:left="86"/>
              <w:jc w:val="left"/>
              <w:rPr>
                <w:sz w:val="18"/>
              </w:rPr>
            </w:pPr>
            <w:r>
              <w:rPr>
                <w:color w:val="231F20"/>
                <w:sz w:val="18"/>
              </w:rPr>
              <w:t>Malasia</w:t>
            </w:r>
          </w:p>
        </w:tc>
        <w:tc>
          <w:tcPr>
            <w:tcW w:w="1247" w:type="dxa"/>
            <w:tcBorders>
              <w:top w:val="single" w:sz="4" w:space="0" w:color="231F20"/>
            </w:tcBorders>
          </w:tcPr>
          <w:p>
            <w:pPr>
              <w:pStyle w:val="TableParagraph"/>
              <w:spacing w:before="119"/>
              <w:ind w:left="201"/>
              <w:jc w:val="left"/>
              <w:rPr>
                <w:sz w:val="18"/>
              </w:rPr>
            </w:pPr>
            <w:r>
              <w:rPr>
                <w:color w:val="231F20"/>
                <w:sz w:val="18"/>
              </w:rPr>
              <w:t>-8.6</w:t>
            </w:r>
          </w:p>
        </w:tc>
        <w:tc>
          <w:tcPr>
            <w:tcW w:w="1119" w:type="dxa"/>
            <w:tcBorders>
              <w:top w:val="single" w:sz="4" w:space="0" w:color="231F20"/>
            </w:tcBorders>
          </w:tcPr>
          <w:p>
            <w:pPr>
              <w:pStyle w:val="TableParagraph"/>
              <w:spacing w:before="119"/>
              <w:ind w:left="100"/>
              <w:jc w:val="left"/>
              <w:rPr>
                <w:sz w:val="18"/>
              </w:rPr>
            </w:pPr>
            <w:r>
              <w:rPr>
                <w:color w:val="231F20"/>
                <w:sz w:val="18"/>
              </w:rPr>
              <w:t>Slovenia</w:t>
            </w:r>
          </w:p>
        </w:tc>
        <w:tc>
          <w:tcPr>
            <w:tcW w:w="1204" w:type="dxa"/>
            <w:tcBorders>
              <w:top w:val="single" w:sz="4" w:space="0" w:color="231F20"/>
            </w:tcBorders>
          </w:tcPr>
          <w:p>
            <w:pPr>
              <w:pStyle w:val="TableParagraph"/>
              <w:spacing w:before="119"/>
              <w:ind w:left="160"/>
              <w:jc w:val="left"/>
              <w:rPr>
                <w:sz w:val="18"/>
              </w:rPr>
            </w:pPr>
            <w:r>
              <w:rPr>
                <w:color w:val="231F20"/>
                <w:sz w:val="18"/>
              </w:rPr>
              <w:t>7.5</w:t>
            </w:r>
          </w:p>
        </w:tc>
      </w:tr>
      <w:tr>
        <w:trPr>
          <w:trHeight w:val="454" w:hRule="exact"/>
        </w:trPr>
        <w:tc>
          <w:tcPr>
            <w:tcW w:w="1406" w:type="dxa"/>
          </w:tcPr>
          <w:p>
            <w:pPr>
              <w:pStyle w:val="TableParagraph"/>
              <w:spacing w:before="100"/>
              <w:ind w:left="56"/>
              <w:jc w:val="left"/>
              <w:rPr>
                <w:sz w:val="18"/>
              </w:rPr>
            </w:pPr>
            <w:r>
              <w:rPr>
                <w:color w:val="231F20"/>
                <w:sz w:val="18"/>
              </w:rPr>
              <w:t>Japón</w:t>
            </w:r>
          </w:p>
        </w:tc>
        <w:tc>
          <w:tcPr>
            <w:tcW w:w="1150" w:type="dxa"/>
          </w:tcPr>
          <w:p>
            <w:pPr>
              <w:pStyle w:val="TableParagraph"/>
              <w:spacing w:before="100"/>
              <w:ind w:left="147"/>
              <w:jc w:val="left"/>
              <w:rPr>
                <w:sz w:val="18"/>
              </w:rPr>
            </w:pPr>
            <w:r>
              <w:rPr>
                <w:color w:val="231F20"/>
                <w:sz w:val="18"/>
              </w:rPr>
              <w:t>-31.5</w:t>
            </w:r>
          </w:p>
        </w:tc>
        <w:tc>
          <w:tcPr>
            <w:tcW w:w="1064" w:type="dxa"/>
          </w:tcPr>
          <w:p>
            <w:pPr>
              <w:pStyle w:val="TableParagraph"/>
              <w:spacing w:before="100"/>
              <w:ind w:left="85"/>
              <w:jc w:val="left"/>
              <w:rPr>
                <w:sz w:val="18"/>
              </w:rPr>
            </w:pPr>
            <w:r>
              <w:rPr>
                <w:color w:val="231F20"/>
                <w:sz w:val="18"/>
              </w:rPr>
              <w:t>Indonesia</w:t>
            </w:r>
          </w:p>
        </w:tc>
        <w:tc>
          <w:tcPr>
            <w:tcW w:w="1247" w:type="dxa"/>
          </w:tcPr>
          <w:p>
            <w:pPr>
              <w:pStyle w:val="TableParagraph"/>
              <w:spacing w:before="100"/>
              <w:ind w:left="201"/>
              <w:jc w:val="left"/>
              <w:rPr>
                <w:sz w:val="18"/>
              </w:rPr>
            </w:pPr>
            <w:r>
              <w:rPr>
                <w:color w:val="231F20"/>
                <w:sz w:val="18"/>
              </w:rPr>
              <w:t>-22.6</w:t>
            </w:r>
          </w:p>
        </w:tc>
        <w:tc>
          <w:tcPr>
            <w:tcW w:w="1119" w:type="dxa"/>
          </w:tcPr>
          <w:p>
            <w:pPr>
              <w:pStyle w:val="TableParagraph"/>
              <w:spacing w:before="100"/>
              <w:ind w:left="100"/>
              <w:jc w:val="left"/>
              <w:rPr>
                <w:sz w:val="18"/>
              </w:rPr>
            </w:pPr>
            <w:r>
              <w:rPr>
                <w:color w:val="231F20"/>
                <w:w w:val="105"/>
                <w:sz w:val="18"/>
              </w:rPr>
              <w:t>Hungría</w:t>
            </w:r>
          </w:p>
        </w:tc>
        <w:tc>
          <w:tcPr>
            <w:tcW w:w="1204" w:type="dxa"/>
          </w:tcPr>
          <w:p>
            <w:pPr>
              <w:pStyle w:val="TableParagraph"/>
              <w:spacing w:before="100"/>
              <w:ind w:left="160"/>
              <w:jc w:val="left"/>
              <w:rPr>
                <w:sz w:val="18"/>
              </w:rPr>
            </w:pPr>
            <w:r>
              <w:rPr>
                <w:color w:val="231F20"/>
                <w:sz w:val="18"/>
              </w:rPr>
              <w:t>-47.3</w:t>
            </w:r>
          </w:p>
        </w:tc>
      </w:tr>
      <w:tr>
        <w:trPr>
          <w:trHeight w:val="454" w:hRule="exact"/>
        </w:trPr>
        <w:tc>
          <w:tcPr>
            <w:tcW w:w="1406" w:type="dxa"/>
          </w:tcPr>
          <w:p>
            <w:pPr>
              <w:pStyle w:val="TableParagraph"/>
              <w:spacing w:before="100"/>
              <w:ind w:left="56"/>
              <w:jc w:val="left"/>
              <w:rPr>
                <w:sz w:val="18"/>
              </w:rPr>
            </w:pPr>
            <w:r>
              <w:rPr>
                <w:color w:val="231F20"/>
                <w:sz w:val="18"/>
              </w:rPr>
              <w:t>Estados Unidos</w:t>
            </w:r>
          </w:p>
        </w:tc>
        <w:tc>
          <w:tcPr>
            <w:tcW w:w="1150" w:type="dxa"/>
          </w:tcPr>
          <w:p>
            <w:pPr>
              <w:pStyle w:val="TableParagraph"/>
              <w:spacing w:before="100"/>
              <w:ind w:left="147"/>
              <w:jc w:val="left"/>
              <w:rPr>
                <w:sz w:val="18"/>
              </w:rPr>
            </w:pPr>
            <w:r>
              <w:rPr>
                <w:color w:val="231F20"/>
                <w:sz w:val="18"/>
              </w:rPr>
              <w:t>-34.3</w:t>
            </w:r>
          </w:p>
        </w:tc>
        <w:tc>
          <w:tcPr>
            <w:tcW w:w="1064" w:type="dxa"/>
          </w:tcPr>
          <w:p>
            <w:pPr>
              <w:pStyle w:val="TableParagraph"/>
              <w:spacing w:before="100"/>
              <w:ind w:left="85"/>
              <w:jc w:val="left"/>
              <w:rPr>
                <w:sz w:val="18"/>
              </w:rPr>
            </w:pPr>
            <w:r>
              <w:rPr>
                <w:color w:val="231F20"/>
                <w:sz w:val="18"/>
              </w:rPr>
              <w:t>Eslovaquia</w:t>
            </w:r>
          </w:p>
        </w:tc>
        <w:tc>
          <w:tcPr>
            <w:tcW w:w="1247" w:type="dxa"/>
          </w:tcPr>
          <w:p>
            <w:pPr>
              <w:pStyle w:val="TableParagraph"/>
              <w:spacing w:before="100"/>
              <w:ind w:left="201"/>
              <w:jc w:val="left"/>
              <w:rPr>
                <w:sz w:val="18"/>
              </w:rPr>
            </w:pPr>
            <w:r>
              <w:rPr>
                <w:color w:val="231F20"/>
                <w:sz w:val="18"/>
              </w:rPr>
              <w:t>-19.9</w:t>
            </w:r>
          </w:p>
        </w:tc>
        <w:tc>
          <w:tcPr>
            <w:tcW w:w="1119" w:type="dxa"/>
          </w:tcPr>
          <w:p>
            <w:pPr>
              <w:pStyle w:val="TableParagraph"/>
              <w:spacing w:before="100"/>
              <w:ind w:left="99"/>
              <w:jc w:val="left"/>
              <w:rPr>
                <w:sz w:val="18"/>
              </w:rPr>
            </w:pPr>
            <w:r>
              <w:rPr>
                <w:color w:val="231F20"/>
                <w:sz w:val="18"/>
              </w:rPr>
              <w:t>Suecia</w:t>
            </w:r>
          </w:p>
        </w:tc>
        <w:tc>
          <w:tcPr>
            <w:tcW w:w="1204" w:type="dxa"/>
          </w:tcPr>
          <w:p>
            <w:pPr>
              <w:pStyle w:val="TableParagraph"/>
              <w:spacing w:before="100"/>
              <w:ind w:left="160"/>
              <w:jc w:val="left"/>
              <w:rPr>
                <w:sz w:val="18"/>
              </w:rPr>
            </w:pPr>
            <w:r>
              <w:rPr>
                <w:color w:val="231F20"/>
                <w:sz w:val="18"/>
              </w:rPr>
              <w:t>-49.3</w:t>
            </w:r>
          </w:p>
        </w:tc>
      </w:tr>
      <w:tr>
        <w:trPr>
          <w:trHeight w:val="454" w:hRule="exact"/>
        </w:trPr>
        <w:tc>
          <w:tcPr>
            <w:tcW w:w="1406" w:type="dxa"/>
          </w:tcPr>
          <w:p>
            <w:pPr>
              <w:pStyle w:val="TableParagraph"/>
              <w:spacing w:before="100"/>
              <w:ind w:left="56"/>
              <w:jc w:val="left"/>
              <w:rPr>
                <w:sz w:val="18"/>
              </w:rPr>
            </w:pPr>
            <w:r>
              <w:rPr>
                <w:color w:val="231F20"/>
                <w:sz w:val="18"/>
              </w:rPr>
              <w:t>Alemania</w:t>
            </w:r>
          </w:p>
        </w:tc>
        <w:tc>
          <w:tcPr>
            <w:tcW w:w="1150" w:type="dxa"/>
          </w:tcPr>
          <w:p>
            <w:pPr>
              <w:pStyle w:val="TableParagraph"/>
              <w:spacing w:before="100"/>
              <w:ind w:left="147"/>
              <w:jc w:val="left"/>
              <w:rPr>
                <w:sz w:val="18"/>
              </w:rPr>
            </w:pPr>
            <w:r>
              <w:rPr>
                <w:color w:val="231F20"/>
                <w:sz w:val="18"/>
              </w:rPr>
              <w:t>-13.8</w:t>
            </w:r>
          </w:p>
        </w:tc>
        <w:tc>
          <w:tcPr>
            <w:tcW w:w="1064" w:type="dxa"/>
          </w:tcPr>
          <w:p>
            <w:pPr>
              <w:pStyle w:val="TableParagraph"/>
              <w:spacing w:before="100"/>
              <w:ind w:left="85"/>
              <w:jc w:val="left"/>
              <w:rPr>
                <w:sz w:val="18"/>
              </w:rPr>
            </w:pPr>
            <w:r>
              <w:rPr>
                <w:color w:val="231F20"/>
                <w:sz w:val="18"/>
              </w:rPr>
              <w:t>Sudáfrica</w:t>
            </w:r>
          </w:p>
        </w:tc>
        <w:tc>
          <w:tcPr>
            <w:tcW w:w="1247" w:type="dxa"/>
          </w:tcPr>
          <w:p>
            <w:pPr>
              <w:pStyle w:val="TableParagraph"/>
              <w:spacing w:before="100"/>
              <w:ind w:left="201"/>
              <w:jc w:val="left"/>
              <w:rPr>
                <w:sz w:val="18"/>
              </w:rPr>
            </w:pPr>
            <w:r>
              <w:rPr>
                <w:color w:val="231F20"/>
                <w:sz w:val="18"/>
              </w:rPr>
              <w:t>-32.5</w:t>
            </w:r>
          </w:p>
        </w:tc>
        <w:tc>
          <w:tcPr>
            <w:tcW w:w="1119" w:type="dxa"/>
          </w:tcPr>
          <w:p>
            <w:pPr>
              <w:pStyle w:val="TableParagraph"/>
              <w:spacing w:before="100"/>
              <w:ind w:left="99"/>
              <w:jc w:val="left"/>
              <w:rPr>
                <w:sz w:val="18"/>
              </w:rPr>
            </w:pPr>
            <w:r>
              <w:rPr>
                <w:color w:val="231F20"/>
                <w:sz w:val="18"/>
              </w:rPr>
              <w:t>Portugal</w:t>
            </w:r>
          </w:p>
        </w:tc>
        <w:tc>
          <w:tcPr>
            <w:tcW w:w="1204" w:type="dxa"/>
          </w:tcPr>
          <w:p>
            <w:pPr>
              <w:pStyle w:val="TableParagraph"/>
              <w:spacing w:before="100"/>
              <w:ind w:left="160"/>
              <w:jc w:val="left"/>
              <w:rPr>
                <w:sz w:val="18"/>
              </w:rPr>
            </w:pPr>
            <w:r>
              <w:rPr>
                <w:color w:val="231F20"/>
                <w:sz w:val="18"/>
              </w:rPr>
              <w:t>-28.1</w:t>
            </w:r>
          </w:p>
        </w:tc>
      </w:tr>
      <w:tr>
        <w:trPr>
          <w:trHeight w:val="454" w:hRule="exact"/>
        </w:trPr>
        <w:tc>
          <w:tcPr>
            <w:tcW w:w="1406" w:type="dxa"/>
          </w:tcPr>
          <w:p>
            <w:pPr>
              <w:pStyle w:val="TableParagraph"/>
              <w:spacing w:before="100"/>
              <w:ind w:left="56"/>
              <w:jc w:val="left"/>
              <w:rPr>
                <w:sz w:val="18"/>
              </w:rPr>
            </w:pPr>
            <w:r>
              <w:rPr>
                <w:color w:val="231F20"/>
                <w:sz w:val="18"/>
              </w:rPr>
              <w:t>Corea del Sur</w:t>
            </w:r>
          </w:p>
        </w:tc>
        <w:tc>
          <w:tcPr>
            <w:tcW w:w="1150" w:type="dxa"/>
          </w:tcPr>
          <w:p>
            <w:pPr>
              <w:pStyle w:val="TableParagraph"/>
              <w:spacing w:before="100"/>
              <w:ind w:left="147"/>
              <w:jc w:val="left"/>
              <w:rPr>
                <w:sz w:val="18"/>
              </w:rPr>
            </w:pPr>
            <w:r>
              <w:rPr>
                <w:color w:val="231F20"/>
                <w:sz w:val="18"/>
              </w:rPr>
              <w:t>-8.2</w:t>
            </w:r>
          </w:p>
        </w:tc>
        <w:tc>
          <w:tcPr>
            <w:tcW w:w="1064" w:type="dxa"/>
          </w:tcPr>
          <w:p>
            <w:pPr>
              <w:pStyle w:val="TableParagraph"/>
              <w:spacing w:before="100"/>
              <w:ind w:left="85"/>
              <w:jc w:val="left"/>
              <w:rPr>
                <w:sz w:val="18"/>
              </w:rPr>
            </w:pPr>
            <w:r>
              <w:rPr>
                <w:color w:val="231F20"/>
                <w:sz w:val="18"/>
              </w:rPr>
              <w:t>Rumania</w:t>
            </w:r>
          </w:p>
        </w:tc>
        <w:tc>
          <w:tcPr>
            <w:tcW w:w="1247" w:type="dxa"/>
          </w:tcPr>
          <w:p>
            <w:pPr>
              <w:pStyle w:val="TableParagraph"/>
              <w:spacing w:before="100"/>
              <w:ind w:left="200"/>
              <w:jc w:val="left"/>
              <w:rPr>
                <w:sz w:val="18"/>
              </w:rPr>
            </w:pPr>
            <w:r>
              <w:rPr>
                <w:color w:val="231F20"/>
                <w:sz w:val="18"/>
              </w:rPr>
              <w:t>20.9</w:t>
            </w:r>
          </w:p>
        </w:tc>
        <w:tc>
          <w:tcPr>
            <w:tcW w:w="1119" w:type="dxa"/>
          </w:tcPr>
          <w:p>
            <w:pPr>
              <w:pStyle w:val="TableParagraph"/>
              <w:spacing w:before="100"/>
              <w:ind w:left="99"/>
              <w:jc w:val="left"/>
              <w:rPr>
                <w:sz w:val="18"/>
              </w:rPr>
            </w:pPr>
            <w:r>
              <w:rPr>
                <w:color w:val="231F20"/>
                <w:sz w:val="18"/>
              </w:rPr>
              <w:t>Uzbekistán</w:t>
            </w:r>
          </w:p>
        </w:tc>
        <w:tc>
          <w:tcPr>
            <w:tcW w:w="1204" w:type="dxa"/>
          </w:tcPr>
          <w:p>
            <w:pPr>
              <w:pStyle w:val="TableParagraph"/>
              <w:spacing w:before="100"/>
              <w:ind w:left="159"/>
              <w:jc w:val="left"/>
              <w:rPr>
                <w:sz w:val="18"/>
              </w:rPr>
            </w:pPr>
            <w:r>
              <w:rPr>
                <w:color w:val="231F20"/>
                <w:sz w:val="18"/>
              </w:rPr>
              <w:t>-43.3</w:t>
            </w:r>
          </w:p>
        </w:tc>
      </w:tr>
      <w:tr>
        <w:trPr>
          <w:trHeight w:val="453" w:hRule="exact"/>
        </w:trPr>
        <w:tc>
          <w:tcPr>
            <w:tcW w:w="1406" w:type="dxa"/>
          </w:tcPr>
          <w:p>
            <w:pPr>
              <w:pStyle w:val="TableParagraph"/>
              <w:spacing w:before="100"/>
              <w:ind w:left="55"/>
              <w:jc w:val="left"/>
              <w:rPr>
                <w:sz w:val="18"/>
              </w:rPr>
            </w:pPr>
            <w:r>
              <w:rPr>
                <w:color w:val="231F20"/>
                <w:sz w:val="18"/>
              </w:rPr>
              <w:t>Brasil</w:t>
            </w:r>
          </w:p>
        </w:tc>
        <w:tc>
          <w:tcPr>
            <w:tcW w:w="1150" w:type="dxa"/>
          </w:tcPr>
          <w:p>
            <w:pPr>
              <w:pStyle w:val="TableParagraph"/>
              <w:spacing w:before="100"/>
              <w:ind w:left="146"/>
              <w:jc w:val="left"/>
              <w:rPr>
                <w:sz w:val="18"/>
              </w:rPr>
            </w:pPr>
            <w:r>
              <w:rPr>
                <w:color w:val="231F20"/>
                <w:sz w:val="18"/>
              </w:rPr>
              <w:t>-1.0</w:t>
            </w:r>
          </w:p>
        </w:tc>
        <w:tc>
          <w:tcPr>
            <w:tcW w:w="1064" w:type="dxa"/>
          </w:tcPr>
          <w:p>
            <w:pPr>
              <w:pStyle w:val="TableParagraph"/>
              <w:spacing w:before="100"/>
              <w:ind w:left="85"/>
              <w:jc w:val="left"/>
              <w:rPr>
                <w:sz w:val="18"/>
              </w:rPr>
            </w:pPr>
            <w:r>
              <w:rPr>
                <w:color w:val="231F20"/>
                <w:sz w:val="18"/>
              </w:rPr>
              <w:t>Australia</w:t>
            </w:r>
          </w:p>
        </w:tc>
        <w:tc>
          <w:tcPr>
            <w:tcW w:w="1247" w:type="dxa"/>
          </w:tcPr>
          <w:p>
            <w:pPr>
              <w:pStyle w:val="TableParagraph"/>
              <w:spacing w:before="100"/>
              <w:ind w:left="200"/>
              <w:jc w:val="left"/>
              <w:rPr>
                <w:sz w:val="18"/>
              </w:rPr>
            </w:pPr>
            <w:r>
              <w:rPr>
                <w:color w:val="231F20"/>
                <w:sz w:val="18"/>
              </w:rPr>
              <w:t>-31.0</w:t>
            </w:r>
          </w:p>
        </w:tc>
        <w:tc>
          <w:tcPr>
            <w:tcW w:w="1119" w:type="dxa"/>
          </w:tcPr>
          <w:p>
            <w:pPr>
              <w:pStyle w:val="TableParagraph"/>
              <w:spacing w:before="100"/>
              <w:ind w:left="99"/>
              <w:jc w:val="left"/>
              <w:rPr>
                <w:sz w:val="18"/>
              </w:rPr>
            </w:pPr>
            <w:r>
              <w:rPr>
                <w:color w:val="231F20"/>
                <w:w w:val="95"/>
                <w:sz w:val="18"/>
              </w:rPr>
              <w:t>Países Bajos</w:t>
            </w:r>
          </w:p>
        </w:tc>
        <w:tc>
          <w:tcPr>
            <w:tcW w:w="1204" w:type="dxa"/>
          </w:tcPr>
          <w:p>
            <w:pPr>
              <w:pStyle w:val="TableParagraph"/>
              <w:spacing w:before="100"/>
              <w:ind w:left="159"/>
              <w:jc w:val="left"/>
              <w:rPr>
                <w:sz w:val="18"/>
              </w:rPr>
            </w:pPr>
            <w:r>
              <w:rPr>
                <w:color w:val="231F20"/>
                <w:sz w:val="18"/>
              </w:rPr>
              <w:t>-42.2</w:t>
            </w:r>
          </w:p>
        </w:tc>
      </w:tr>
      <w:tr>
        <w:trPr>
          <w:trHeight w:val="454" w:hRule="exact"/>
        </w:trPr>
        <w:tc>
          <w:tcPr>
            <w:tcW w:w="1406" w:type="dxa"/>
          </w:tcPr>
          <w:p>
            <w:pPr>
              <w:pStyle w:val="TableParagraph"/>
              <w:spacing w:before="80"/>
              <w:ind w:left="55"/>
              <w:jc w:val="left"/>
              <w:rPr>
                <w:rFonts w:ascii="Palatino Linotype"/>
                <w:b/>
                <w:sz w:val="18"/>
              </w:rPr>
            </w:pPr>
            <w:r>
              <w:rPr>
                <w:rFonts w:ascii="Palatino Linotype"/>
                <w:b/>
                <w:color w:val="231F20"/>
                <w:sz w:val="18"/>
              </w:rPr>
              <w:t>India</w:t>
            </w:r>
          </w:p>
        </w:tc>
        <w:tc>
          <w:tcPr>
            <w:tcW w:w="1150" w:type="dxa"/>
          </w:tcPr>
          <w:p>
            <w:pPr>
              <w:pStyle w:val="TableParagraph"/>
              <w:spacing w:before="80"/>
              <w:ind w:left="146"/>
              <w:jc w:val="left"/>
              <w:rPr>
                <w:rFonts w:ascii="Palatino Linotype"/>
                <w:b/>
                <w:sz w:val="18"/>
              </w:rPr>
            </w:pPr>
            <w:r>
              <w:rPr>
                <w:rFonts w:ascii="Palatino Linotype"/>
                <w:b/>
                <w:color w:val="231F20"/>
                <w:sz w:val="18"/>
              </w:rPr>
              <w:t>12.9</w:t>
            </w:r>
          </w:p>
        </w:tc>
        <w:tc>
          <w:tcPr>
            <w:tcW w:w="1064" w:type="dxa"/>
          </w:tcPr>
          <w:p>
            <w:pPr>
              <w:pStyle w:val="TableParagraph"/>
              <w:spacing w:before="101"/>
              <w:ind w:left="85"/>
              <w:jc w:val="left"/>
              <w:rPr>
                <w:sz w:val="18"/>
              </w:rPr>
            </w:pPr>
            <w:r>
              <w:rPr>
                <w:color w:val="231F20"/>
                <w:sz w:val="18"/>
              </w:rPr>
              <w:t>Taiwán</w:t>
            </w:r>
          </w:p>
        </w:tc>
        <w:tc>
          <w:tcPr>
            <w:tcW w:w="1247" w:type="dxa"/>
          </w:tcPr>
          <w:p>
            <w:pPr>
              <w:pStyle w:val="TableParagraph"/>
              <w:spacing w:before="101"/>
              <w:ind w:left="200"/>
              <w:jc w:val="left"/>
              <w:rPr>
                <w:sz w:val="18"/>
              </w:rPr>
            </w:pPr>
            <w:r>
              <w:rPr>
                <w:color w:val="231F20"/>
                <w:sz w:val="18"/>
              </w:rPr>
              <w:t>23.7</w:t>
            </w:r>
          </w:p>
        </w:tc>
        <w:tc>
          <w:tcPr>
            <w:tcW w:w="1119" w:type="dxa"/>
          </w:tcPr>
          <w:p>
            <w:pPr>
              <w:pStyle w:val="TableParagraph"/>
              <w:spacing w:before="101"/>
              <w:ind w:left="99"/>
              <w:jc w:val="left"/>
              <w:rPr>
                <w:sz w:val="18"/>
              </w:rPr>
            </w:pPr>
            <w:r>
              <w:rPr>
                <w:color w:val="231F20"/>
                <w:sz w:val="18"/>
              </w:rPr>
              <w:t>Austria</w:t>
            </w:r>
          </w:p>
        </w:tc>
        <w:tc>
          <w:tcPr>
            <w:tcW w:w="1204" w:type="dxa"/>
          </w:tcPr>
          <w:p>
            <w:pPr>
              <w:pStyle w:val="TableParagraph"/>
              <w:spacing w:before="101"/>
              <w:ind w:left="159"/>
              <w:jc w:val="left"/>
              <w:rPr>
                <w:sz w:val="18"/>
              </w:rPr>
            </w:pPr>
            <w:r>
              <w:rPr>
                <w:color w:val="231F20"/>
                <w:sz w:val="18"/>
              </w:rPr>
              <w:t>-52.6</w:t>
            </w:r>
          </w:p>
        </w:tc>
      </w:tr>
      <w:tr>
        <w:trPr>
          <w:trHeight w:val="454" w:hRule="exact"/>
        </w:trPr>
        <w:tc>
          <w:tcPr>
            <w:tcW w:w="1406" w:type="dxa"/>
          </w:tcPr>
          <w:p>
            <w:pPr>
              <w:pStyle w:val="TableParagraph"/>
              <w:spacing w:before="100"/>
              <w:ind w:left="55"/>
              <w:jc w:val="left"/>
              <w:rPr>
                <w:sz w:val="18"/>
              </w:rPr>
            </w:pPr>
            <w:r>
              <w:rPr>
                <w:color w:val="231F20"/>
                <w:sz w:val="18"/>
              </w:rPr>
              <w:t>España</w:t>
            </w:r>
          </w:p>
        </w:tc>
        <w:tc>
          <w:tcPr>
            <w:tcW w:w="1150" w:type="dxa"/>
          </w:tcPr>
          <w:p>
            <w:pPr>
              <w:pStyle w:val="TableParagraph"/>
              <w:spacing w:before="100"/>
              <w:ind w:left="146"/>
              <w:jc w:val="left"/>
              <w:rPr>
                <w:sz w:val="18"/>
              </w:rPr>
            </w:pPr>
            <w:r>
              <w:rPr>
                <w:color w:val="231F20"/>
                <w:sz w:val="18"/>
              </w:rPr>
              <w:t>-14.6</w:t>
            </w:r>
          </w:p>
        </w:tc>
        <w:tc>
          <w:tcPr>
            <w:tcW w:w="1064" w:type="dxa"/>
          </w:tcPr>
          <w:p>
            <w:pPr>
              <w:pStyle w:val="TableParagraph"/>
              <w:spacing w:before="100"/>
              <w:ind w:left="84"/>
              <w:jc w:val="left"/>
              <w:rPr>
                <w:sz w:val="18"/>
              </w:rPr>
            </w:pPr>
            <w:r>
              <w:rPr>
                <w:color w:val="231F20"/>
                <w:sz w:val="18"/>
              </w:rPr>
              <w:t>Polonia</w:t>
            </w:r>
          </w:p>
        </w:tc>
        <w:tc>
          <w:tcPr>
            <w:tcW w:w="1247" w:type="dxa"/>
          </w:tcPr>
          <w:p>
            <w:pPr>
              <w:pStyle w:val="TableParagraph"/>
              <w:spacing w:before="100"/>
              <w:ind w:left="200"/>
              <w:jc w:val="left"/>
              <w:rPr>
                <w:sz w:val="18"/>
              </w:rPr>
            </w:pPr>
            <w:r>
              <w:rPr>
                <w:color w:val="231F20"/>
                <w:sz w:val="18"/>
              </w:rPr>
              <w:t>-7.1</w:t>
            </w:r>
          </w:p>
        </w:tc>
        <w:tc>
          <w:tcPr>
            <w:tcW w:w="1119" w:type="dxa"/>
          </w:tcPr>
          <w:p>
            <w:pPr>
              <w:pStyle w:val="TableParagraph"/>
              <w:spacing w:before="100"/>
              <w:ind w:left="98"/>
              <w:jc w:val="left"/>
              <w:rPr>
                <w:sz w:val="18"/>
              </w:rPr>
            </w:pPr>
            <w:r>
              <w:rPr>
                <w:color w:val="231F20"/>
                <w:sz w:val="18"/>
              </w:rPr>
              <w:t>Ucrania</w:t>
            </w:r>
          </w:p>
        </w:tc>
        <w:tc>
          <w:tcPr>
            <w:tcW w:w="1204" w:type="dxa"/>
          </w:tcPr>
          <w:p>
            <w:pPr>
              <w:pStyle w:val="TableParagraph"/>
              <w:spacing w:before="100"/>
              <w:ind w:left="159"/>
              <w:jc w:val="left"/>
              <w:rPr>
                <w:sz w:val="18"/>
              </w:rPr>
            </w:pPr>
            <w:r>
              <w:rPr>
                <w:color w:val="231F20"/>
                <w:sz w:val="18"/>
              </w:rPr>
              <w:t>-83.6</w:t>
            </w:r>
          </w:p>
        </w:tc>
      </w:tr>
      <w:tr>
        <w:trPr>
          <w:trHeight w:val="454" w:hRule="exact"/>
        </w:trPr>
        <w:tc>
          <w:tcPr>
            <w:tcW w:w="1406" w:type="dxa"/>
          </w:tcPr>
          <w:p>
            <w:pPr>
              <w:pStyle w:val="TableParagraph"/>
              <w:spacing w:before="100"/>
              <w:ind w:left="55"/>
              <w:jc w:val="left"/>
              <w:rPr>
                <w:sz w:val="18"/>
              </w:rPr>
            </w:pPr>
            <w:r>
              <w:rPr>
                <w:color w:val="231F20"/>
                <w:sz w:val="18"/>
              </w:rPr>
              <w:t>Francia</w:t>
            </w:r>
          </w:p>
        </w:tc>
        <w:tc>
          <w:tcPr>
            <w:tcW w:w="1150" w:type="dxa"/>
          </w:tcPr>
          <w:p>
            <w:pPr>
              <w:pStyle w:val="TableParagraph"/>
              <w:spacing w:before="100"/>
              <w:ind w:left="146"/>
              <w:jc w:val="left"/>
              <w:rPr>
                <w:sz w:val="18"/>
              </w:rPr>
            </w:pPr>
            <w:r>
              <w:rPr>
                <w:color w:val="231F20"/>
                <w:sz w:val="18"/>
              </w:rPr>
              <w:t>-20.2</w:t>
            </w:r>
          </w:p>
        </w:tc>
        <w:tc>
          <w:tcPr>
            <w:tcW w:w="1064" w:type="dxa"/>
          </w:tcPr>
          <w:p>
            <w:pPr>
              <w:pStyle w:val="TableParagraph"/>
              <w:spacing w:before="100"/>
              <w:ind w:left="84"/>
              <w:jc w:val="left"/>
              <w:rPr>
                <w:sz w:val="18"/>
              </w:rPr>
            </w:pPr>
            <w:r>
              <w:rPr>
                <w:color w:val="231F20"/>
                <w:w w:val="105"/>
                <w:sz w:val="18"/>
              </w:rPr>
              <w:t>Turquía</w:t>
            </w:r>
          </w:p>
        </w:tc>
        <w:tc>
          <w:tcPr>
            <w:tcW w:w="1247" w:type="dxa"/>
          </w:tcPr>
          <w:p>
            <w:pPr>
              <w:pStyle w:val="TableParagraph"/>
              <w:spacing w:before="100"/>
              <w:ind w:left="200"/>
              <w:jc w:val="left"/>
              <w:rPr>
                <w:sz w:val="18"/>
              </w:rPr>
            </w:pPr>
            <w:r>
              <w:rPr>
                <w:color w:val="231F20"/>
                <w:sz w:val="18"/>
              </w:rPr>
              <w:t>-24.2</w:t>
            </w:r>
          </w:p>
        </w:tc>
        <w:tc>
          <w:tcPr>
            <w:tcW w:w="1119" w:type="dxa"/>
          </w:tcPr>
          <w:p>
            <w:pPr>
              <w:pStyle w:val="TableParagraph"/>
              <w:spacing w:before="100"/>
              <w:ind w:left="98"/>
              <w:jc w:val="left"/>
              <w:rPr>
                <w:sz w:val="18"/>
              </w:rPr>
            </w:pPr>
            <w:r>
              <w:rPr>
                <w:color w:val="231F20"/>
                <w:sz w:val="18"/>
              </w:rPr>
              <w:t>Egipto</w:t>
            </w:r>
          </w:p>
        </w:tc>
        <w:tc>
          <w:tcPr>
            <w:tcW w:w="1204" w:type="dxa"/>
          </w:tcPr>
          <w:p>
            <w:pPr>
              <w:pStyle w:val="TableParagraph"/>
              <w:spacing w:before="100"/>
              <w:ind w:left="159"/>
              <w:jc w:val="left"/>
              <w:rPr>
                <w:sz w:val="18"/>
              </w:rPr>
            </w:pPr>
            <w:r>
              <w:rPr>
                <w:color w:val="231F20"/>
                <w:sz w:val="18"/>
              </w:rPr>
              <w:t>-42.5</w:t>
            </w:r>
          </w:p>
        </w:tc>
      </w:tr>
      <w:tr>
        <w:trPr>
          <w:trHeight w:val="454" w:hRule="exact"/>
        </w:trPr>
        <w:tc>
          <w:tcPr>
            <w:tcW w:w="1406" w:type="dxa"/>
          </w:tcPr>
          <w:p>
            <w:pPr>
              <w:pStyle w:val="TableParagraph"/>
              <w:spacing w:before="100"/>
              <w:ind w:left="55"/>
              <w:jc w:val="left"/>
              <w:rPr>
                <w:sz w:val="18"/>
              </w:rPr>
            </w:pPr>
            <w:r>
              <w:rPr>
                <w:color w:val="231F20"/>
                <w:sz w:val="18"/>
              </w:rPr>
              <w:t>México</w:t>
            </w:r>
          </w:p>
        </w:tc>
        <w:tc>
          <w:tcPr>
            <w:tcW w:w="1150" w:type="dxa"/>
          </w:tcPr>
          <w:p>
            <w:pPr>
              <w:pStyle w:val="TableParagraph"/>
              <w:spacing w:before="100"/>
              <w:ind w:left="146"/>
              <w:jc w:val="left"/>
              <w:rPr>
                <w:sz w:val="18"/>
              </w:rPr>
            </w:pPr>
            <w:r>
              <w:rPr>
                <w:color w:val="231F20"/>
                <w:sz w:val="18"/>
              </w:rPr>
              <w:t>-28.2</w:t>
            </w:r>
          </w:p>
        </w:tc>
        <w:tc>
          <w:tcPr>
            <w:tcW w:w="1064" w:type="dxa"/>
          </w:tcPr>
          <w:p>
            <w:pPr>
              <w:pStyle w:val="TableParagraph"/>
              <w:spacing w:before="100"/>
              <w:ind w:left="84"/>
              <w:jc w:val="left"/>
              <w:rPr>
                <w:sz w:val="18"/>
              </w:rPr>
            </w:pPr>
            <w:r>
              <w:rPr>
                <w:color w:val="231F20"/>
                <w:sz w:val="18"/>
              </w:rPr>
              <w:t>Italia</w:t>
            </w:r>
          </w:p>
        </w:tc>
        <w:tc>
          <w:tcPr>
            <w:tcW w:w="1247" w:type="dxa"/>
          </w:tcPr>
          <w:p>
            <w:pPr>
              <w:pStyle w:val="TableParagraph"/>
              <w:spacing w:before="100"/>
              <w:ind w:left="199"/>
              <w:jc w:val="left"/>
              <w:rPr>
                <w:sz w:val="18"/>
              </w:rPr>
            </w:pPr>
            <w:r>
              <w:rPr>
                <w:color w:val="231F20"/>
                <w:sz w:val="18"/>
              </w:rPr>
              <w:t>-17.6</w:t>
            </w:r>
          </w:p>
        </w:tc>
        <w:tc>
          <w:tcPr>
            <w:tcW w:w="1119" w:type="dxa"/>
          </w:tcPr>
          <w:p>
            <w:pPr>
              <w:pStyle w:val="TableParagraph"/>
              <w:spacing w:before="100"/>
              <w:ind w:left="98"/>
              <w:jc w:val="left"/>
              <w:rPr>
                <w:sz w:val="18"/>
              </w:rPr>
            </w:pPr>
            <w:r>
              <w:rPr>
                <w:color w:val="231F20"/>
                <w:sz w:val="18"/>
              </w:rPr>
              <w:t>Finlandia</w:t>
            </w:r>
          </w:p>
        </w:tc>
        <w:tc>
          <w:tcPr>
            <w:tcW w:w="1204" w:type="dxa"/>
          </w:tcPr>
          <w:p>
            <w:pPr>
              <w:pStyle w:val="TableParagraph"/>
              <w:spacing w:before="100"/>
              <w:ind w:left="158"/>
              <w:jc w:val="left"/>
              <w:rPr>
                <w:sz w:val="18"/>
              </w:rPr>
            </w:pPr>
            <w:r>
              <w:rPr>
                <w:color w:val="231F20"/>
                <w:sz w:val="18"/>
              </w:rPr>
              <w:t>-38.7</w:t>
            </w:r>
          </w:p>
        </w:tc>
      </w:tr>
      <w:tr>
        <w:trPr>
          <w:trHeight w:val="454" w:hRule="exact"/>
        </w:trPr>
        <w:tc>
          <w:tcPr>
            <w:tcW w:w="1406" w:type="dxa"/>
          </w:tcPr>
          <w:p>
            <w:pPr>
              <w:pStyle w:val="TableParagraph"/>
              <w:spacing w:before="100"/>
              <w:ind w:left="55"/>
              <w:jc w:val="left"/>
              <w:rPr>
                <w:sz w:val="18"/>
              </w:rPr>
            </w:pPr>
            <w:r>
              <w:rPr>
                <w:color w:val="231F20"/>
                <w:sz w:val="18"/>
              </w:rPr>
              <w:t>Canadá</w:t>
            </w:r>
          </w:p>
        </w:tc>
        <w:tc>
          <w:tcPr>
            <w:tcW w:w="1150" w:type="dxa"/>
          </w:tcPr>
          <w:p>
            <w:pPr>
              <w:pStyle w:val="TableParagraph"/>
              <w:spacing w:before="100"/>
              <w:ind w:left="145"/>
              <w:jc w:val="left"/>
              <w:rPr>
                <w:sz w:val="18"/>
              </w:rPr>
            </w:pPr>
            <w:r>
              <w:rPr>
                <w:color w:val="231F20"/>
                <w:sz w:val="18"/>
              </w:rPr>
              <w:t>-28.5</w:t>
            </w:r>
          </w:p>
        </w:tc>
        <w:tc>
          <w:tcPr>
            <w:tcW w:w="1064" w:type="dxa"/>
          </w:tcPr>
          <w:p>
            <w:pPr>
              <w:pStyle w:val="TableParagraph"/>
              <w:spacing w:before="100"/>
              <w:ind w:left="84"/>
              <w:jc w:val="left"/>
              <w:rPr>
                <w:sz w:val="18"/>
              </w:rPr>
            </w:pPr>
            <w:r>
              <w:rPr>
                <w:color w:val="231F20"/>
                <w:w w:val="105"/>
                <w:sz w:val="18"/>
              </w:rPr>
              <w:t>Irán</w:t>
            </w:r>
          </w:p>
        </w:tc>
        <w:tc>
          <w:tcPr>
            <w:tcW w:w="1247" w:type="dxa"/>
          </w:tcPr>
          <w:p>
            <w:pPr>
              <w:pStyle w:val="TableParagraph"/>
              <w:spacing w:before="100"/>
              <w:ind w:left="199"/>
              <w:jc w:val="left"/>
              <w:rPr>
                <w:sz w:val="18"/>
              </w:rPr>
            </w:pPr>
            <w:r>
              <w:rPr>
                <w:color w:val="231F20"/>
                <w:sz w:val="18"/>
              </w:rPr>
              <w:t>-28.4</w:t>
            </w:r>
          </w:p>
        </w:tc>
        <w:tc>
          <w:tcPr>
            <w:tcW w:w="1119" w:type="dxa"/>
          </w:tcPr>
          <w:p>
            <w:pPr>
              <w:pStyle w:val="TableParagraph"/>
              <w:spacing w:before="100"/>
              <w:ind w:left="98"/>
              <w:jc w:val="left"/>
              <w:rPr>
                <w:sz w:val="18"/>
              </w:rPr>
            </w:pPr>
            <w:r>
              <w:rPr>
                <w:color w:val="231F20"/>
                <w:sz w:val="18"/>
              </w:rPr>
              <w:t>Serbia</w:t>
            </w:r>
          </w:p>
        </w:tc>
        <w:tc>
          <w:tcPr>
            <w:tcW w:w="1204" w:type="dxa"/>
          </w:tcPr>
          <w:p>
            <w:pPr>
              <w:pStyle w:val="TableParagraph"/>
              <w:spacing w:before="100"/>
              <w:ind w:left="158"/>
              <w:jc w:val="left"/>
              <w:rPr>
                <w:sz w:val="18"/>
              </w:rPr>
            </w:pPr>
            <w:r>
              <w:rPr>
                <w:color w:val="231F20"/>
                <w:sz w:val="18"/>
              </w:rPr>
              <w:t>-13.4</w:t>
            </w:r>
          </w:p>
        </w:tc>
      </w:tr>
      <w:tr>
        <w:trPr>
          <w:trHeight w:val="454" w:hRule="exact"/>
        </w:trPr>
        <w:tc>
          <w:tcPr>
            <w:tcW w:w="1406" w:type="dxa"/>
          </w:tcPr>
          <w:p>
            <w:pPr>
              <w:pStyle w:val="TableParagraph"/>
              <w:spacing w:before="100"/>
              <w:ind w:left="54"/>
              <w:jc w:val="left"/>
              <w:rPr>
                <w:sz w:val="18"/>
              </w:rPr>
            </w:pPr>
            <w:r>
              <w:rPr>
                <w:color w:val="231F20"/>
                <w:sz w:val="18"/>
              </w:rPr>
              <w:t>Reino Unido</w:t>
            </w:r>
          </w:p>
        </w:tc>
        <w:tc>
          <w:tcPr>
            <w:tcW w:w="1150" w:type="dxa"/>
          </w:tcPr>
          <w:p>
            <w:pPr>
              <w:pStyle w:val="TableParagraph"/>
              <w:spacing w:before="100"/>
              <w:ind w:left="145"/>
              <w:jc w:val="left"/>
              <w:rPr>
                <w:sz w:val="18"/>
              </w:rPr>
            </w:pPr>
            <w:r>
              <w:rPr>
                <w:color w:val="231F20"/>
                <w:sz w:val="18"/>
              </w:rPr>
              <w:t>-33.9</w:t>
            </w:r>
          </w:p>
        </w:tc>
        <w:tc>
          <w:tcPr>
            <w:tcW w:w="1064" w:type="dxa"/>
          </w:tcPr>
          <w:p>
            <w:pPr>
              <w:pStyle w:val="TableParagraph"/>
              <w:spacing w:before="100"/>
              <w:ind w:left="84"/>
              <w:jc w:val="left"/>
              <w:rPr>
                <w:sz w:val="18"/>
              </w:rPr>
            </w:pPr>
            <w:r>
              <w:rPr>
                <w:color w:val="231F20"/>
                <w:sz w:val="18"/>
              </w:rPr>
              <w:t>Rusia</w:t>
            </w:r>
          </w:p>
        </w:tc>
        <w:tc>
          <w:tcPr>
            <w:tcW w:w="1247" w:type="dxa"/>
          </w:tcPr>
          <w:p>
            <w:pPr>
              <w:pStyle w:val="TableParagraph"/>
              <w:spacing w:before="100"/>
              <w:ind w:left="199"/>
              <w:jc w:val="left"/>
              <w:rPr>
                <w:sz w:val="18"/>
              </w:rPr>
            </w:pPr>
            <w:r>
              <w:rPr>
                <w:color w:val="231F20"/>
                <w:sz w:val="18"/>
              </w:rPr>
              <w:t>-59.6</w:t>
            </w:r>
          </w:p>
        </w:tc>
        <w:tc>
          <w:tcPr>
            <w:tcW w:w="1119" w:type="dxa"/>
          </w:tcPr>
          <w:p>
            <w:pPr>
              <w:pStyle w:val="TableParagraph"/>
              <w:spacing w:before="100"/>
              <w:ind w:left="98"/>
              <w:jc w:val="left"/>
              <w:rPr>
                <w:sz w:val="18"/>
              </w:rPr>
            </w:pPr>
            <w:r>
              <w:rPr>
                <w:color w:val="231F20"/>
                <w:w w:val="105"/>
                <w:sz w:val="18"/>
              </w:rPr>
              <w:t>Otros</w:t>
            </w:r>
          </w:p>
        </w:tc>
        <w:tc>
          <w:tcPr>
            <w:tcW w:w="1204" w:type="dxa"/>
          </w:tcPr>
          <w:p>
            <w:pPr>
              <w:pStyle w:val="TableParagraph"/>
              <w:spacing w:before="100"/>
              <w:ind w:left="158"/>
              <w:jc w:val="left"/>
              <w:rPr>
                <w:sz w:val="18"/>
              </w:rPr>
            </w:pPr>
            <w:r>
              <w:rPr>
                <w:color w:val="231F20"/>
                <w:sz w:val="18"/>
              </w:rPr>
              <w:t>-24.8</w:t>
            </w:r>
          </w:p>
        </w:tc>
      </w:tr>
      <w:tr>
        <w:trPr>
          <w:trHeight w:val="453" w:hRule="exact"/>
        </w:trPr>
        <w:tc>
          <w:tcPr>
            <w:tcW w:w="1406" w:type="dxa"/>
          </w:tcPr>
          <w:p>
            <w:pPr>
              <w:pStyle w:val="TableParagraph"/>
              <w:spacing w:before="100"/>
              <w:ind w:left="54"/>
              <w:jc w:val="left"/>
              <w:rPr>
                <w:sz w:val="18"/>
              </w:rPr>
            </w:pPr>
            <w:r>
              <w:rPr>
                <w:color w:val="231F20"/>
                <w:sz w:val="18"/>
              </w:rPr>
              <w:t>República Checa</w:t>
            </w:r>
          </w:p>
        </w:tc>
        <w:tc>
          <w:tcPr>
            <w:tcW w:w="1150" w:type="dxa"/>
          </w:tcPr>
          <w:p>
            <w:pPr>
              <w:pStyle w:val="TableParagraph"/>
              <w:spacing w:before="100"/>
              <w:ind w:left="145"/>
              <w:jc w:val="left"/>
              <w:rPr>
                <w:sz w:val="18"/>
              </w:rPr>
            </w:pPr>
            <w:r>
              <w:rPr>
                <w:color w:val="231F20"/>
                <w:sz w:val="18"/>
              </w:rPr>
              <w:t>3.0</w:t>
            </w:r>
          </w:p>
        </w:tc>
        <w:tc>
          <w:tcPr>
            <w:tcW w:w="1064" w:type="dxa"/>
          </w:tcPr>
          <w:p>
            <w:pPr>
              <w:pStyle w:val="TableParagraph"/>
              <w:spacing w:before="100"/>
              <w:ind w:left="83"/>
              <w:jc w:val="left"/>
              <w:rPr>
                <w:sz w:val="18"/>
              </w:rPr>
            </w:pPr>
            <w:r>
              <w:rPr>
                <w:color w:val="231F20"/>
                <w:sz w:val="18"/>
              </w:rPr>
              <w:t>Bélgica</w:t>
            </w:r>
          </w:p>
        </w:tc>
        <w:tc>
          <w:tcPr>
            <w:tcW w:w="1247" w:type="dxa"/>
          </w:tcPr>
          <w:p>
            <w:pPr>
              <w:pStyle w:val="TableParagraph"/>
              <w:spacing w:before="100"/>
              <w:ind w:left="199"/>
              <w:jc w:val="left"/>
              <w:rPr>
                <w:sz w:val="18"/>
              </w:rPr>
            </w:pPr>
            <w:r>
              <w:rPr>
                <w:color w:val="231F20"/>
                <w:sz w:val="18"/>
              </w:rPr>
              <w:t>-27.8</w:t>
            </w:r>
          </w:p>
        </w:tc>
        <w:tc>
          <w:tcPr>
            <w:tcW w:w="1119" w:type="dxa"/>
          </w:tcPr>
          <w:p>
            <w:pPr/>
          </w:p>
        </w:tc>
        <w:tc>
          <w:tcPr>
            <w:tcW w:w="1204" w:type="dxa"/>
          </w:tcPr>
          <w:p>
            <w:pPr/>
          </w:p>
        </w:tc>
      </w:tr>
      <w:tr>
        <w:trPr>
          <w:trHeight w:val="430" w:hRule="exact"/>
        </w:trPr>
        <w:tc>
          <w:tcPr>
            <w:tcW w:w="1406" w:type="dxa"/>
            <w:tcBorders>
              <w:bottom w:val="single" w:sz="4" w:space="0" w:color="231F20"/>
            </w:tcBorders>
          </w:tcPr>
          <w:p>
            <w:pPr>
              <w:pStyle w:val="TableParagraph"/>
              <w:spacing w:before="101"/>
              <w:ind w:left="54"/>
              <w:jc w:val="left"/>
              <w:rPr>
                <w:sz w:val="18"/>
              </w:rPr>
            </w:pPr>
            <w:r>
              <w:rPr>
                <w:color w:val="231F20"/>
                <w:sz w:val="18"/>
              </w:rPr>
              <w:t>Tailandia</w:t>
            </w:r>
          </w:p>
        </w:tc>
        <w:tc>
          <w:tcPr>
            <w:tcW w:w="1150" w:type="dxa"/>
            <w:tcBorders>
              <w:bottom w:val="single" w:sz="4" w:space="0" w:color="231F20"/>
            </w:tcBorders>
          </w:tcPr>
          <w:p>
            <w:pPr>
              <w:pStyle w:val="TableParagraph"/>
              <w:spacing w:before="101"/>
              <w:ind w:left="145"/>
              <w:jc w:val="left"/>
              <w:rPr>
                <w:sz w:val="18"/>
              </w:rPr>
            </w:pPr>
            <w:r>
              <w:rPr>
                <w:color w:val="231F20"/>
                <w:sz w:val="18"/>
              </w:rPr>
              <w:t>-30.5</w:t>
            </w:r>
          </w:p>
        </w:tc>
        <w:tc>
          <w:tcPr>
            <w:tcW w:w="1064" w:type="dxa"/>
            <w:tcBorders>
              <w:bottom w:val="single" w:sz="4" w:space="0" w:color="231F20"/>
            </w:tcBorders>
          </w:tcPr>
          <w:p>
            <w:pPr>
              <w:pStyle w:val="TableParagraph"/>
              <w:spacing w:before="101"/>
              <w:ind w:left="83"/>
              <w:jc w:val="left"/>
              <w:rPr>
                <w:sz w:val="18"/>
              </w:rPr>
            </w:pPr>
            <w:r>
              <w:rPr>
                <w:color w:val="231F20"/>
                <w:sz w:val="18"/>
              </w:rPr>
              <w:t>Argentina</w:t>
            </w:r>
          </w:p>
        </w:tc>
        <w:tc>
          <w:tcPr>
            <w:tcW w:w="1247" w:type="dxa"/>
            <w:tcBorders>
              <w:bottom w:val="single" w:sz="4" w:space="0" w:color="231F20"/>
            </w:tcBorders>
          </w:tcPr>
          <w:p>
            <w:pPr>
              <w:pStyle w:val="TableParagraph"/>
              <w:spacing w:before="101"/>
              <w:ind w:left="199"/>
              <w:jc w:val="left"/>
              <w:rPr>
                <w:sz w:val="18"/>
              </w:rPr>
            </w:pPr>
            <w:r>
              <w:rPr>
                <w:color w:val="231F20"/>
                <w:sz w:val="18"/>
              </w:rPr>
              <w:t>-14.1</w:t>
            </w:r>
          </w:p>
        </w:tc>
        <w:tc>
          <w:tcPr>
            <w:tcW w:w="1119" w:type="dxa"/>
            <w:tcBorders>
              <w:bottom w:val="single" w:sz="4" w:space="0" w:color="231F20"/>
            </w:tcBorders>
          </w:tcPr>
          <w:p>
            <w:pPr>
              <w:pStyle w:val="TableParagraph"/>
              <w:spacing w:before="80"/>
              <w:ind w:left="97"/>
              <w:jc w:val="left"/>
              <w:rPr>
                <w:rFonts w:ascii="Palatino Linotype"/>
                <w:b/>
                <w:sz w:val="18"/>
              </w:rPr>
            </w:pPr>
            <w:r>
              <w:rPr>
                <w:rFonts w:ascii="Palatino Linotype"/>
                <w:b/>
                <w:color w:val="231F20"/>
                <w:sz w:val="18"/>
              </w:rPr>
              <w:t>Total</w:t>
            </w:r>
          </w:p>
        </w:tc>
        <w:tc>
          <w:tcPr>
            <w:tcW w:w="1204" w:type="dxa"/>
            <w:tcBorders>
              <w:bottom w:val="single" w:sz="4" w:space="0" w:color="231F20"/>
            </w:tcBorders>
          </w:tcPr>
          <w:p>
            <w:pPr>
              <w:pStyle w:val="TableParagraph"/>
              <w:spacing w:before="80"/>
              <w:ind w:left="158"/>
              <w:jc w:val="left"/>
              <w:rPr>
                <w:rFonts w:ascii="Palatino Linotype"/>
                <w:b/>
                <w:sz w:val="18"/>
              </w:rPr>
            </w:pPr>
            <w:r>
              <w:rPr>
                <w:rFonts w:ascii="Palatino Linotype"/>
                <w:b/>
                <w:color w:val="231F20"/>
                <w:sz w:val="18"/>
              </w:rPr>
              <w:t>-13.5</w:t>
            </w:r>
          </w:p>
        </w:tc>
      </w:tr>
    </w:tbl>
    <w:p>
      <w:pPr>
        <w:pStyle w:val="BodyText"/>
        <w:spacing w:before="3"/>
        <w:rPr>
          <w:rFonts w:ascii="Palatino Linotype"/>
          <w:b/>
          <w:sz w:val="9"/>
        </w:rPr>
      </w:pPr>
    </w:p>
    <w:p>
      <w:pPr>
        <w:spacing w:before="41"/>
        <w:ind w:left="653" w:right="673" w:firstLine="0"/>
        <w:jc w:val="left"/>
        <w:rPr>
          <w:sz w:val="19"/>
        </w:rPr>
      </w:pPr>
      <w:r>
        <w:rPr>
          <w:rFonts w:ascii="Palatino Linotype" w:hAnsi="Palatino Linotype"/>
          <w:i/>
          <w:color w:val="231F20"/>
          <w:sz w:val="19"/>
        </w:rPr>
        <w:t>Fuente: </w:t>
      </w:r>
      <w:r>
        <w:rPr>
          <w:color w:val="231F20"/>
          <w:sz w:val="19"/>
        </w:rPr>
        <w:t>Elaboración propia con datos de OICA (2010).</w:t>
      </w:r>
    </w:p>
    <w:p>
      <w:pPr>
        <w:spacing w:after="0"/>
        <w:jc w:val="left"/>
        <w:rPr>
          <w:sz w:val="19"/>
        </w:rPr>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03" w:right="651"/>
        <w:jc w:val="both"/>
      </w:pPr>
      <w:r>
        <w:rPr>
          <w:color w:val="231F20"/>
        </w:rPr>
        <w:t>Si</w:t>
      </w:r>
      <w:r>
        <w:rPr>
          <w:color w:val="231F20"/>
          <w:spacing w:val="-11"/>
        </w:rPr>
        <w:t> </w:t>
      </w:r>
      <w:r>
        <w:rPr>
          <w:color w:val="231F20"/>
        </w:rPr>
        <w:t>se</w:t>
      </w:r>
      <w:r>
        <w:rPr>
          <w:color w:val="231F20"/>
          <w:spacing w:val="-11"/>
        </w:rPr>
        <w:t> </w:t>
      </w:r>
      <w:r>
        <w:rPr>
          <w:color w:val="231F20"/>
        </w:rPr>
        <w:t>considera</w:t>
      </w:r>
      <w:r>
        <w:rPr>
          <w:color w:val="231F20"/>
          <w:spacing w:val="-11"/>
        </w:rPr>
        <w:t> </w:t>
      </w:r>
      <w:r>
        <w:rPr>
          <w:color w:val="231F20"/>
        </w:rPr>
        <w:t>la</w:t>
      </w:r>
      <w:r>
        <w:rPr>
          <w:color w:val="231F20"/>
          <w:spacing w:val="-11"/>
        </w:rPr>
        <w:t> </w:t>
      </w:r>
      <w:r>
        <w:rPr>
          <w:color w:val="231F20"/>
        </w:rPr>
        <w:t>producción</w:t>
      </w:r>
      <w:r>
        <w:rPr>
          <w:color w:val="231F20"/>
          <w:spacing w:val="-11"/>
        </w:rPr>
        <w:t> </w:t>
      </w:r>
      <w:r>
        <w:rPr>
          <w:color w:val="231F20"/>
        </w:rPr>
        <w:t>de</w:t>
      </w:r>
      <w:r>
        <w:rPr>
          <w:color w:val="231F20"/>
          <w:spacing w:val="-11"/>
        </w:rPr>
        <w:t> </w:t>
      </w:r>
      <w:r>
        <w:rPr>
          <w:color w:val="231F20"/>
        </w:rPr>
        <w:t>vehículos</w:t>
      </w:r>
      <w:r>
        <w:rPr>
          <w:color w:val="231F20"/>
          <w:spacing w:val="-11"/>
        </w:rPr>
        <w:t> </w:t>
      </w:r>
      <w:r>
        <w:rPr>
          <w:color w:val="231F20"/>
        </w:rPr>
        <w:t>por</w:t>
      </w:r>
      <w:r>
        <w:rPr>
          <w:color w:val="231F20"/>
          <w:spacing w:val="-11"/>
        </w:rPr>
        <w:t> </w:t>
      </w:r>
      <w:r>
        <w:rPr>
          <w:color w:val="231F20"/>
        </w:rPr>
        <w:t>regiones</w:t>
      </w:r>
      <w:r>
        <w:rPr>
          <w:color w:val="231F20"/>
          <w:spacing w:val="-11"/>
        </w:rPr>
        <w:t> </w:t>
      </w:r>
      <w:r>
        <w:rPr>
          <w:color w:val="231F20"/>
        </w:rPr>
        <w:t>del</w:t>
      </w:r>
      <w:r>
        <w:rPr>
          <w:color w:val="231F20"/>
          <w:spacing w:val="-11"/>
        </w:rPr>
        <w:t> </w:t>
      </w:r>
      <w:r>
        <w:rPr>
          <w:color w:val="231F20"/>
        </w:rPr>
        <w:t>mundo,</w:t>
      </w:r>
      <w:r>
        <w:rPr>
          <w:color w:val="231F20"/>
          <w:spacing w:val="-11"/>
        </w:rPr>
        <w:t> </w:t>
      </w:r>
      <w:r>
        <w:rPr>
          <w:color w:val="231F20"/>
        </w:rPr>
        <w:t>se</w:t>
      </w:r>
      <w:r>
        <w:rPr>
          <w:color w:val="231F20"/>
          <w:spacing w:val="-11"/>
        </w:rPr>
        <w:t> </w:t>
      </w:r>
      <w:r>
        <w:rPr>
          <w:color w:val="231F20"/>
        </w:rPr>
        <w:t>observa</w:t>
      </w:r>
      <w:r>
        <w:rPr>
          <w:color w:val="231F20"/>
          <w:spacing w:val="-11"/>
        </w:rPr>
        <w:t> </w:t>
      </w:r>
      <w:r>
        <w:rPr>
          <w:color w:val="231F20"/>
        </w:rPr>
        <w:t>un</w:t>
      </w:r>
      <w:r>
        <w:rPr>
          <w:color w:val="231F20"/>
          <w:spacing w:val="-11"/>
        </w:rPr>
        <w:t> </w:t>
      </w:r>
      <w:r>
        <w:rPr>
          <w:color w:val="231F20"/>
        </w:rPr>
        <w:t>cam- bio gradual. Durante los últimos años Europa Occidental y la región del TLCAN (Es- tados Unidos, Canadá y México) han disminuido drásticamente su participación:    de</w:t>
      </w:r>
    </w:p>
    <w:p>
      <w:pPr>
        <w:pStyle w:val="ListParagraph"/>
        <w:numPr>
          <w:ilvl w:val="1"/>
          <w:numId w:val="16"/>
        </w:numPr>
        <w:tabs>
          <w:tab w:pos="506" w:val="left" w:leader="none"/>
        </w:tabs>
        <w:spacing w:line="278" w:lineRule="auto" w:before="1" w:after="0"/>
        <w:ind w:left="103" w:right="651" w:firstLine="0"/>
        <w:jc w:val="both"/>
        <w:rPr>
          <w:sz w:val="21"/>
        </w:rPr>
      </w:pPr>
      <w:r>
        <w:rPr>
          <w:color w:val="231F20"/>
          <w:sz w:val="21"/>
        </w:rPr>
        <w:t>y</w:t>
      </w:r>
      <w:r>
        <w:rPr>
          <w:color w:val="231F20"/>
          <w:spacing w:val="-13"/>
          <w:sz w:val="21"/>
        </w:rPr>
        <w:t> </w:t>
      </w:r>
      <w:r>
        <w:rPr>
          <w:color w:val="231F20"/>
          <w:sz w:val="21"/>
        </w:rPr>
        <w:t>30.3%,</w:t>
      </w:r>
      <w:r>
        <w:rPr>
          <w:color w:val="231F20"/>
          <w:spacing w:val="-13"/>
          <w:sz w:val="21"/>
        </w:rPr>
        <w:t> </w:t>
      </w:r>
      <w:r>
        <w:rPr>
          <w:color w:val="231F20"/>
          <w:sz w:val="21"/>
        </w:rPr>
        <w:t>en</w:t>
      </w:r>
      <w:r>
        <w:rPr>
          <w:color w:val="231F20"/>
          <w:spacing w:val="-13"/>
          <w:sz w:val="21"/>
        </w:rPr>
        <w:t> </w:t>
      </w:r>
      <w:r>
        <w:rPr>
          <w:color w:val="231F20"/>
          <w:sz w:val="21"/>
        </w:rPr>
        <w:t>2000,</w:t>
      </w:r>
      <w:r>
        <w:rPr>
          <w:color w:val="231F20"/>
          <w:spacing w:val="-13"/>
          <w:sz w:val="21"/>
        </w:rPr>
        <w:t> </w:t>
      </w:r>
      <w:r>
        <w:rPr>
          <w:color w:val="231F20"/>
          <w:sz w:val="21"/>
        </w:rPr>
        <w:t>a</w:t>
      </w:r>
      <w:r>
        <w:rPr>
          <w:color w:val="231F20"/>
          <w:spacing w:val="-13"/>
          <w:sz w:val="21"/>
        </w:rPr>
        <w:t> </w:t>
      </w:r>
      <w:r>
        <w:rPr>
          <w:color w:val="231F20"/>
          <w:sz w:val="21"/>
        </w:rPr>
        <w:t>14.7</w:t>
      </w:r>
      <w:r>
        <w:rPr>
          <w:color w:val="231F20"/>
          <w:spacing w:val="-13"/>
          <w:sz w:val="21"/>
        </w:rPr>
        <w:t> </w:t>
      </w:r>
      <w:r>
        <w:rPr>
          <w:color w:val="231F20"/>
          <w:sz w:val="21"/>
        </w:rPr>
        <w:t>y</w:t>
      </w:r>
      <w:r>
        <w:rPr>
          <w:color w:val="231F20"/>
          <w:spacing w:val="-13"/>
          <w:sz w:val="21"/>
        </w:rPr>
        <w:t> </w:t>
      </w:r>
      <w:r>
        <w:rPr>
          <w:color w:val="231F20"/>
          <w:sz w:val="21"/>
        </w:rPr>
        <w:t>18.9%,</w:t>
      </w:r>
      <w:r>
        <w:rPr>
          <w:color w:val="231F20"/>
          <w:spacing w:val="-13"/>
          <w:sz w:val="21"/>
        </w:rPr>
        <w:t> </w:t>
      </w:r>
      <w:r>
        <w:rPr>
          <w:color w:val="231F20"/>
          <w:sz w:val="21"/>
        </w:rPr>
        <w:t>en</w:t>
      </w:r>
      <w:r>
        <w:rPr>
          <w:color w:val="231F20"/>
          <w:spacing w:val="-13"/>
          <w:sz w:val="21"/>
        </w:rPr>
        <w:t> </w:t>
      </w:r>
      <w:r>
        <w:rPr>
          <w:color w:val="231F20"/>
          <w:sz w:val="21"/>
        </w:rPr>
        <w:t>2013,</w:t>
      </w:r>
      <w:r>
        <w:rPr>
          <w:color w:val="231F20"/>
          <w:spacing w:val="-13"/>
          <w:sz w:val="21"/>
        </w:rPr>
        <w:t> </w:t>
      </w:r>
      <w:r>
        <w:rPr>
          <w:color w:val="231F20"/>
          <w:sz w:val="21"/>
        </w:rPr>
        <w:t>respectivamente.</w:t>
      </w:r>
      <w:r>
        <w:rPr>
          <w:color w:val="231F20"/>
          <w:spacing w:val="-13"/>
          <w:sz w:val="21"/>
        </w:rPr>
        <w:t> </w:t>
      </w:r>
      <w:r>
        <w:rPr>
          <w:color w:val="231F20"/>
          <w:sz w:val="21"/>
        </w:rPr>
        <w:t>La</w:t>
      </w:r>
      <w:r>
        <w:rPr>
          <w:color w:val="231F20"/>
          <w:spacing w:val="-13"/>
          <w:sz w:val="21"/>
        </w:rPr>
        <w:t> </w:t>
      </w:r>
      <w:r>
        <w:rPr>
          <w:color w:val="231F20"/>
          <w:sz w:val="21"/>
        </w:rPr>
        <w:t>disminución</w:t>
      </w:r>
      <w:r>
        <w:rPr>
          <w:color w:val="231F20"/>
          <w:spacing w:val="-13"/>
          <w:sz w:val="21"/>
        </w:rPr>
        <w:t> </w:t>
      </w:r>
      <w:r>
        <w:rPr>
          <w:color w:val="231F20"/>
          <w:sz w:val="21"/>
        </w:rPr>
        <w:t>en</w:t>
      </w:r>
      <w:r>
        <w:rPr>
          <w:color w:val="231F20"/>
          <w:spacing w:val="-13"/>
          <w:sz w:val="21"/>
        </w:rPr>
        <w:t> </w:t>
      </w:r>
      <w:r>
        <w:rPr>
          <w:color w:val="231F20"/>
          <w:sz w:val="21"/>
        </w:rPr>
        <w:t>la región</w:t>
      </w:r>
      <w:r>
        <w:rPr>
          <w:color w:val="231F20"/>
          <w:spacing w:val="-12"/>
          <w:sz w:val="21"/>
        </w:rPr>
        <w:t> </w:t>
      </w:r>
      <w:r>
        <w:rPr>
          <w:color w:val="231F20"/>
          <w:sz w:val="21"/>
        </w:rPr>
        <w:t>del</w:t>
      </w:r>
      <w:r>
        <w:rPr>
          <w:color w:val="231F20"/>
          <w:spacing w:val="-12"/>
          <w:sz w:val="21"/>
        </w:rPr>
        <w:t> </w:t>
      </w:r>
      <w:r>
        <w:rPr>
          <w:color w:val="231F20"/>
          <w:sz w:val="21"/>
        </w:rPr>
        <w:t>TLCAN</w:t>
      </w:r>
      <w:r>
        <w:rPr>
          <w:color w:val="231F20"/>
          <w:spacing w:val="-12"/>
          <w:sz w:val="21"/>
        </w:rPr>
        <w:t> </w:t>
      </w:r>
      <w:r>
        <w:rPr>
          <w:color w:val="231F20"/>
          <w:sz w:val="21"/>
        </w:rPr>
        <w:t>sin</w:t>
      </w:r>
      <w:r>
        <w:rPr>
          <w:color w:val="231F20"/>
          <w:spacing w:val="-12"/>
          <w:sz w:val="21"/>
        </w:rPr>
        <w:t> </w:t>
      </w:r>
      <w:r>
        <w:rPr>
          <w:color w:val="231F20"/>
          <w:sz w:val="21"/>
        </w:rPr>
        <w:t>duda</w:t>
      </w:r>
      <w:r>
        <w:rPr>
          <w:color w:val="231F20"/>
          <w:spacing w:val="-12"/>
          <w:sz w:val="21"/>
        </w:rPr>
        <w:t> </w:t>
      </w:r>
      <w:r>
        <w:rPr>
          <w:color w:val="231F20"/>
          <w:sz w:val="21"/>
        </w:rPr>
        <w:t>se</w:t>
      </w:r>
      <w:r>
        <w:rPr>
          <w:color w:val="231F20"/>
          <w:spacing w:val="-12"/>
          <w:sz w:val="21"/>
        </w:rPr>
        <w:t> </w:t>
      </w:r>
      <w:r>
        <w:rPr>
          <w:color w:val="231F20"/>
          <w:sz w:val="21"/>
        </w:rPr>
        <w:t>agravó</w:t>
      </w:r>
      <w:r>
        <w:rPr>
          <w:color w:val="231F20"/>
          <w:spacing w:val="-12"/>
          <w:sz w:val="21"/>
        </w:rPr>
        <w:t> </w:t>
      </w:r>
      <w:r>
        <w:rPr>
          <w:color w:val="231F20"/>
          <w:sz w:val="21"/>
        </w:rPr>
        <w:t>con</w:t>
      </w:r>
      <w:r>
        <w:rPr>
          <w:color w:val="231F20"/>
          <w:spacing w:val="-12"/>
          <w:sz w:val="21"/>
        </w:rPr>
        <w:t> </w:t>
      </w:r>
      <w:r>
        <w:rPr>
          <w:color w:val="231F20"/>
          <w:sz w:val="21"/>
        </w:rPr>
        <w:t>la</w:t>
      </w:r>
      <w:r>
        <w:rPr>
          <w:color w:val="231F20"/>
          <w:spacing w:val="-12"/>
          <w:sz w:val="21"/>
        </w:rPr>
        <w:t> </w:t>
      </w:r>
      <w:r>
        <w:rPr>
          <w:color w:val="231F20"/>
          <w:sz w:val="21"/>
        </w:rPr>
        <w:t>caída</w:t>
      </w:r>
      <w:r>
        <w:rPr>
          <w:color w:val="231F20"/>
          <w:spacing w:val="-12"/>
          <w:sz w:val="21"/>
        </w:rPr>
        <w:t> </w:t>
      </w:r>
      <w:r>
        <w:rPr>
          <w:color w:val="231F20"/>
          <w:sz w:val="21"/>
        </w:rPr>
        <w:t>de</w:t>
      </w:r>
      <w:r>
        <w:rPr>
          <w:color w:val="231F20"/>
          <w:spacing w:val="-12"/>
          <w:sz w:val="21"/>
        </w:rPr>
        <w:t> </w:t>
      </w:r>
      <w:r>
        <w:rPr>
          <w:color w:val="231F20"/>
          <w:sz w:val="21"/>
        </w:rPr>
        <w:t>la</w:t>
      </w:r>
      <w:r>
        <w:rPr>
          <w:color w:val="231F20"/>
          <w:spacing w:val="-12"/>
          <w:sz w:val="21"/>
        </w:rPr>
        <w:t> </w:t>
      </w:r>
      <w:r>
        <w:rPr>
          <w:color w:val="231F20"/>
          <w:sz w:val="21"/>
        </w:rPr>
        <w:t>producción</w:t>
      </w:r>
      <w:r>
        <w:rPr>
          <w:color w:val="231F20"/>
          <w:spacing w:val="-12"/>
          <w:sz w:val="21"/>
        </w:rPr>
        <w:t> </w:t>
      </w:r>
      <w:r>
        <w:rPr>
          <w:color w:val="231F20"/>
          <w:sz w:val="21"/>
        </w:rPr>
        <w:t>de</w:t>
      </w:r>
      <w:r>
        <w:rPr>
          <w:color w:val="231F20"/>
          <w:spacing w:val="-12"/>
          <w:sz w:val="21"/>
        </w:rPr>
        <w:t> </w:t>
      </w:r>
      <w:r>
        <w:rPr>
          <w:color w:val="231F20"/>
          <w:sz w:val="21"/>
        </w:rPr>
        <w:t>vehículos</w:t>
      </w:r>
      <w:r>
        <w:rPr>
          <w:color w:val="231F20"/>
          <w:spacing w:val="-12"/>
          <w:sz w:val="21"/>
        </w:rPr>
        <w:t> </w:t>
      </w:r>
      <w:r>
        <w:rPr>
          <w:color w:val="231F20"/>
          <w:sz w:val="21"/>
        </w:rPr>
        <w:t>en</w:t>
      </w:r>
      <w:r>
        <w:rPr>
          <w:color w:val="231F20"/>
          <w:spacing w:val="-12"/>
          <w:sz w:val="21"/>
        </w:rPr>
        <w:t> </w:t>
      </w:r>
      <w:r>
        <w:rPr>
          <w:color w:val="231F20"/>
          <w:sz w:val="21"/>
        </w:rPr>
        <w:t>los tres países integrantes como resultado de la crisis económica iniciada en 2008 (véase cuadro</w:t>
      </w:r>
      <w:r>
        <w:rPr>
          <w:color w:val="231F20"/>
          <w:spacing w:val="-10"/>
          <w:sz w:val="21"/>
        </w:rPr>
        <w:t> </w:t>
      </w:r>
      <w:r>
        <w:rPr>
          <w:color w:val="231F20"/>
          <w:sz w:val="21"/>
        </w:rPr>
        <w:t>II.4),</w:t>
      </w:r>
      <w:r>
        <w:rPr>
          <w:color w:val="231F20"/>
          <w:spacing w:val="-10"/>
          <w:sz w:val="21"/>
        </w:rPr>
        <w:t> </w:t>
      </w:r>
      <w:r>
        <w:rPr>
          <w:color w:val="231F20"/>
          <w:sz w:val="21"/>
        </w:rPr>
        <w:t>como</w:t>
      </w:r>
      <w:r>
        <w:rPr>
          <w:color w:val="231F20"/>
          <w:spacing w:val="-10"/>
          <w:sz w:val="21"/>
        </w:rPr>
        <w:t> </w:t>
      </w:r>
      <w:r>
        <w:rPr>
          <w:color w:val="231F20"/>
          <w:sz w:val="21"/>
        </w:rPr>
        <w:t>lo</w:t>
      </w:r>
      <w:r>
        <w:rPr>
          <w:color w:val="231F20"/>
          <w:spacing w:val="-10"/>
          <w:sz w:val="21"/>
        </w:rPr>
        <w:t> </w:t>
      </w:r>
      <w:r>
        <w:rPr>
          <w:color w:val="231F20"/>
          <w:sz w:val="21"/>
        </w:rPr>
        <w:t>reflejan</w:t>
      </w:r>
      <w:r>
        <w:rPr>
          <w:color w:val="231F20"/>
          <w:spacing w:val="-10"/>
          <w:sz w:val="21"/>
        </w:rPr>
        <w:t> </w:t>
      </w:r>
      <w:r>
        <w:rPr>
          <w:color w:val="231F20"/>
          <w:sz w:val="21"/>
        </w:rPr>
        <w:t>los</w:t>
      </w:r>
      <w:r>
        <w:rPr>
          <w:color w:val="231F20"/>
          <w:spacing w:val="-10"/>
          <w:sz w:val="21"/>
        </w:rPr>
        <w:t> </w:t>
      </w:r>
      <w:r>
        <w:rPr>
          <w:color w:val="231F20"/>
          <w:sz w:val="21"/>
        </w:rPr>
        <w:t>datos</w:t>
      </w:r>
      <w:r>
        <w:rPr>
          <w:color w:val="231F20"/>
          <w:spacing w:val="-10"/>
          <w:sz w:val="21"/>
        </w:rPr>
        <w:t> </w:t>
      </w:r>
      <w:r>
        <w:rPr>
          <w:color w:val="231F20"/>
          <w:sz w:val="21"/>
        </w:rPr>
        <w:t>de</w:t>
      </w:r>
      <w:r>
        <w:rPr>
          <w:color w:val="231F20"/>
          <w:spacing w:val="-10"/>
          <w:sz w:val="21"/>
        </w:rPr>
        <w:t> </w:t>
      </w:r>
      <w:r>
        <w:rPr>
          <w:color w:val="231F20"/>
          <w:sz w:val="21"/>
        </w:rPr>
        <w:t>2009.</w:t>
      </w:r>
    </w:p>
    <w:p>
      <w:pPr>
        <w:pStyle w:val="BodyText"/>
        <w:spacing w:line="278" w:lineRule="auto" w:before="1"/>
        <w:ind w:left="103" w:right="649" w:firstLine="396"/>
        <w:jc w:val="both"/>
      </w:pPr>
      <w:r>
        <w:rPr>
          <w:color w:val="231F20"/>
        </w:rPr>
        <w:t>En los años posteriores a 2009, Estados Unidos y Canadá han presentado un repunte en la producción de vehículos; sin embargo, aún están lejos de los niveles de producción que tenían en el año 2000. México, por su parte, parece estancado en los mismos márgenes de producción, sin ver realmente un incremento   sustantivo.</w:t>
      </w:r>
    </w:p>
    <w:p>
      <w:pPr>
        <w:pStyle w:val="BodyText"/>
        <w:spacing w:line="273" w:lineRule="auto" w:before="1"/>
        <w:ind w:left="103" w:right="650" w:firstLine="396"/>
        <w:jc w:val="both"/>
      </w:pPr>
      <w:r>
        <w:rPr>
          <w:color w:val="231F20"/>
          <w:spacing w:val="-4"/>
        </w:rPr>
        <w:t>Por</w:t>
      </w:r>
      <w:r>
        <w:rPr>
          <w:color w:val="231F20"/>
          <w:spacing w:val="-5"/>
        </w:rPr>
        <w:t> </w:t>
      </w:r>
      <w:r>
        <w:rPr>
          <w:color w:val="231F20"/>
        </w:rPr>
        <w:t>otro</w:t>
      </w:r>
      <w:r>
        <w:rPr>
          <w:color w:val="231F20"/>
          <w:spacing w:val="-5"/>
        </w:rPr>
        <w:t> </w:t>
      </w:r>
      <w:r>
        <w:rPr>
          <w:color w:val="231F20"/>
        </w:rPr>
        <w:t>lado,</w:t>
      </w:r>
      <w:r>
        <w:rPr>
          <w:color w:val="231F20"/>
          <w:spacing w:val="-5"/>
        </w:rPr>
        <w:t> </w:t>
      </w:r>
      <w:r>
        <w:rPr>
          <w:color w:val="231F20"/>
        </w:rPr>
        <w:t>la</w:t>
      </w:r>
      <w:r>
        <w:rPr>
          <w:color w:val="231F20"/>
          <w:spacing w:val="-5"/>
        </w:rPr>
        <w:t> </w:t>
      </w:r>
      <w:r>
        <w:rPr>
          <w:color w:val="231F20"/>
        </w:rPr>
        <w:t>región</w:t>
      </w:r>
      <w:r>
        <w:rPr>
          <w:color w:val="231F20"/>
          <w:spacing w:val="-5"/>
        </w:rPr>
        <w:t> </w:t>
      </w:r>
      <w:r>
        <w:rPr>
          <w:color w:val="231F20"/>
        </w:rPr>
        <w:t>de</w:t>
      </w:r>
      <w:r>
        <w:rPr>
          <w:color w:val="231F20"/>
          <w:spacing w:val="-5"/>
        </w:rPr>
        <w:t> </w:t>
      </w:r>
      <w:r>
        <w:rPr>
          <w:color w:val="231F20"/>
        </w:rPr>
        <w:t>Sudamérica,</w:t>
      </w:r>
      <w:r>
        <w:rPr>
          <w:color w:val="231F20"/>
          <w:spacing w:val="-5"/>
        </w:rPr>
        <w:t> </w:t>
      </w:r>
      <w:r>
        <w:rPr>
          <w:color w:val="231F20"/>
        </w:rPr>
        <w:t>como</w:t>
      </w:r>
      <w:r>
        <w:rPr>
          <w:color w:val="231F20"/>
          <w:spacing w:val="-5"/>
        </w:rPr>
        <w:t> </w:t>
      </w:r>
      <w:r>
        <w:rPr>
          <w:color w:val="231F20"/>
        </w:rPr>
        <w:t>resultado</w:t>
      </w:r>
      <w:r>
        <w:rPr>
          <w:color w:val="231F20"/>
          <w:spacing w:val="-5"/>
        </w:rPr>
        <w:t> </w:t>
      </w:r>
      <w:r>
        <w:rPr>
          <w:color w:val="231F20"/>
        </w:rPr>
        <w:t>del</w:t>
      </w:r>
      <w:r>
        <w:rPr>
          <w:color w:val="231F20"/>
          <w:spacing w:val="-5"/>
        </w:rPr>
        <w:t> </w:t>
      </w:r>
      <w:r>
        <w:rPr>
          <w:color w:val="231F20"/>
        </w:rPr>
        <w:t>importante</w:t>
      </w:r>
      <w:r>
        <w:rPr>
          <w:color w:val="231F20"/>
          <w:spacing w:val="-5"/>
        </w:rPr>
        <w:t> </w:t>
      </w:r>
      <w:r>
        <w:rPr>
          <w:color w:val="231F20"/>
        </w:rPr>
        <w:t>crecimien- to que ha tenido la industria automotriz brasileña durante los últimos años, ha incre- mentado</w:t>
      </w:r>
      <w:r>
        <w:rPr>
          <w:color w:val="231F20"/>
          <w:spacing w:val="-16"/>
        </w:rPr>
        <w:t> </w:t>
      </w:r>
      <w:r>
        <w:rPr>
          <w:color w:val="231F20"/>
        </w:rPr>
        <w:t>su</w:t>
      </w:r>
      <w:r>
        <w:rPr>
          <w:color w:val="231F20"/>
          <w:spacing w:val="-16"/>
        </w:rPr>
        <w:t> </w:t>
      </w:r>
      <w:r>
        <w:rPr>
          <w:color w:val="231F20"/>
        </w:rPr>
        <w:t>participación</w:t>
      </w:r>
      <w:r>
        <w:rPr>
          <w:color w:val="231F20"/>
          <w:spacing w:val="-16"/>
        </w:rPr>
        <w:t> </w:t>
      </w:r>
      <w:r>
        <w:rPr>
          <w:color w:val="231F20"/>
        </w:rPr>
        <w:t>de</w:t>
      </w:r>
      <w:r>
        <w:rPr>
          <w:color w:val="231F20"/>
          <w:spacing w:val="-16"/>
        </w:rPr>
        <w:t> </w:t>
      </w:r>
      <w:r>
        <w:rPr>
          <w:color w:val="231F20"/>
        </w:rPr>
        <w:t>3.5%</w:t>
      </w:r>
      <w:r>
        <w:rPr>
          <w:color w:val="231F20"/>
          <w:spacing w:val="-16"/>
        </w:rPr>
        <w:t> </w:t>
      </w:r>
      <w:r>
        <w:rPr>
          <w:color w:val="231F20"/>
        </w:rPr>
        <w:t>en</w:t>
      </w:r>
      <w:r>
        <w:rPr>
          <w:color w:val="231F20"/>
          <w:spacing w:val="-16"/>
        </w:rPr>
        <w:t> </w:t>
      </w:r>
      <w:r>
        <w:rPr>
          <w:color w:val="231F20"/>
        </w:rPr>
        <w:t>2000</w:t>
      </w:r>
      <w:r>
        <w:rPr>
          <w:color w:val="231F20"/>
          <w:spacing w:val="-16"/>
        </w:rPr>
        <w:t> </w:t>
      </w:r>
      <w:r>
        <w:rPr>
          <w:color w:val="231F20"/>
        </w:rPr>
        <w:t>a</w:t>
      </w:r>
      <w:r>
        <w:rPr>
          <w:color w:val="231F20"/>
          <w:spacing w:val="-16"/>
        </w:rPr>
        <w:t> </w:t>
      </w:r>
      <w:r>
        <w:rPr>
          <w:color w:val="231F20"/>
        </w:rPr>
        <w:t>5.2%</w:t>
      </w:r>
      <w:r>
        <w:rPr>
          <w:color w:val="231F20"/>
          <w:spacing w:val="-16"/>
        </w:rPr>
        <w:t> </w:t>
      </w:r>
      <w:r>
        <w:rPr>
          <w:color w:val="231F20"/>
        </w:rPr>
        <w:t>en</w:t>
      </w:r>
      <w:r>
        <w:rPr>
          <w:color w:val="231F20"/>
          <w:spacing w:val="-16"/>
        </w:rPr>
        <w:t> </w:t>
      </w:r>
      <w:r>
        <w:rPr>
          <w:color w:val="231F20"/>
        </w:rPr>
        <w:t>2013.</w:t>
      </w:r>
      <w:r>
        <w:rPr>
          <w:color w:val="231F20"/>
          <w:spacing w:val="-16"/>
        </w:rPr>
        <w:t> </w:t>
      </w:r>
      <w:r>
        <w:rPr>
          <w:color w:val="231F20"/>
        </w:rPr>
        <w:t>Para</w:t>
      </w:r>
      <w:r>
        <w:rPr>
          <w:color w:val="231F20"/>
          <w:spacing w:val="-16"/>
        </w:rPr>
        <w:t> </w:t>
      </w:r>
      <w:r>
        <w:rPr>
          <w:color w:val="231F20"/>
        </w:rPr>
        <w:t>2013</w:t>
      </w:r>
      <w:r>
        <w:rPr>
          <w:color w:val="231F20"/>
          <w:spacing w:val="-16"/>
        </w:rPr>
        <w:t> </w:t>
      </w:r>
      <w:r>
        <w:rPr>
          <w:color w:val="231F20"/>
        </w:rPr>
        <w:t>ese</w:t>
      </w:r>
      <w:r>
        <w:rPr>
          <w:color w:val="231F20"/>
          <w:spacing w:val="-16"/>
        </w:rPr>
        <w:t> </w:t>
      </w:r>
      <w:r>
        <w:rPr>
          <w:color w:val="231F20"/>
        </w:rPr>
        <w:t>país</w:t>
      </w:r>
      <w:r>
        <w:rPr>
          <w:color w:val="231F20"/>
          <w:spacing w:val="-16"/>
        </w:rPr>
        <w:t> </w:t>
      </w:r>
      <w:r>
        <w:rPr>
          <w:color w:val="231F20"/>
        </w:rPr>
        <w:t>se</w:t>
      </w:r>
      <w:r>
        <w:rPr>
          <w:color w:val="231F20"/>
          <w:spacing w:val="-16"/>
        </w:rPr>
        <w:t> </w:t>
      </w:r>
      <w:r>
        <w:rPr>
          <w:color w:val="231F20"/>
        </w:rPr>
        <w:t>colocó como el séptimo productor mundial de vehículos, al manufacturar 3.7 millones en ese </w:t>
      </w:r>
      <w:r>
        <w:rPr>
          <w:color w:val="231F20"/>
          <w:spacing w:val="-3"/>
        </w:rPr>
        <w:t>año, </w:t>
      </w:r>
      <w:r>
        <w:rPr>
          <w:color w:val="231F20"/>
        </w:rPr>
        <w:t>con lo cual superó a México, que produjo el 3.5% del total mundial y se ubicó como el octavo productor en el </w:t>
      </w:r>
      <w:r>
        <w:rPr>
          <w:rFonts w:ascii="Palatino Linotype" w:hAnsi="Palatino Linotype"/>
          <w:i/>
          <w:color w:val="231F20"/>
          <w:spacing w:val="-3"/>
        </w:rPr>
        <w:t>ranking</w:t>
      </w:r>
      <w:r>
        <w:rPr>
          <w:rFonts w:ascii="Palatino Linotype" w:hAnsi="Palatino Linotype"/>
          <w:i/>
          <w:color w:val="231F20"/>
          <w:spacing w:val="-29"/>
        </w:rPr>
        <w:t> </w:t>
      </w:r>
      <w:r>
        <w:rPr>
          <w:color w:val="231F20"/>
        </w:rPr>
        <w:t>mundial.</w:t>
      </w:r>
    </w:p>
    <w:p>
      <w:pPr>
        <w:pStyle w:val="BodyText"/>
        <w:spacing w:line="223" w:lineRule="exact"/>
        <w:ind w:left="103" w:firstLine="396"/>
        <w:jc w:val="both"/>
      </w:pPr>
      <w:r>
        <w:rPr>
          <w:color w:val="231F20"/>
        </w:rPr>
        <w:t>La región Asia Pacífico, sin considerar a Japón, ha sido la de mayor crecimiento</w:t>
      </w:r>
    </w:p>
    <w:p>
      <w:pPr>
        <w:pStyle w:val="BodyText"/>
        <w:spacing w:line="266" w:lineRule="auto" w:before="38"/>
        <w:ind w:left="103" w:right="650"/>
        <w:jc w:val="both"/>
      </w:pPr>
      <w:r>
        <w:rPr>
          <w:color w:val="231F20"/>
        </w:rPr>
        <w:t>en</w:t>
      </w:r>
      <w:r>
        <w:rPr>
          <w:color w:val="231F20"/>
          <w:spacing w:val="-10"/>
        </w:rPr>
        <w:t> </w:t>
      </w:r>
      <w:r>
        <w:rPr>
          <w:color w:val="231F20"/>
        </w:rPr>
        <w:t>estos</w:t>
      </w:r>
      <w:r>
        <w:rPr>
          <w:color w:val="231F20"/>
          <w:spacing w:val="-10"/>
        </w:rPr>
        <w:t> </w:t>
      </w:r>
      <w:r>
        <w:rPr>
          <w:color w:val="231F20"/>
        </w:rPr>
        <w:t>últimos</w:t>
      </w:r>
      <w:r>
        <w:rPr>
          <w:color w:val="231F20"/>
          <w:spacing w:val="-10"/>
        </w:rPr>
        <w:t> </w:t>
      </w:r>
      <w:r>
        <w:rPr>
          <w:color w:val="231F20"/>
        </w:rPr>
        <w:t>años,</w:t>
      </w:r>
      <w:r>
        <w:rPr>
          <w:color w:val="231F20"/>
          <w:spacing w:val="-10"/>
        </w:rPr>
        <w:t> </w:t>
      </w:r>
      <w:r>
        <w:rPr>
          <w:color w:val="231F20"/>
        </w:rPr>
        <w:t>al</w:t>
      </w:r>
      <w:r>
        <w:rPr>
          <w:color w:val="231F20"/>
          <w:spacing w:val="-10"/>
        </w:rPr>
        <w:t> </w:t>
      </w:r>
      <w:r>
        <w:rPr>
          <w:color w:val="231F20"/>
        </w:rPr>
        <w:t>pasar</w:t>
      </w:r>
      <w:r>
        <w:rPr>
          <w:color w:val="231F20"/>
          <w:spacing w:val="-10"/>
        </w:rPr>
        <w:t> </w:t>
      </w:r>
      <w:r>
        <w:rPr>
          <w:color w:val="231F20"/>
        </w:rPr>
        <w:t>de</w:t>
      </w:r>
      <w:r>
        <w:rPr>
          <w:color w:val="231F20"/>
          <w:spacing w:val="-10"/>
        </w:rPr>
        <w:t> </w:t>
      </w:r>
      <w:r>
        <w:rPr>
          <w:color w:val="231F20"/>
        </w:rPr>
        <w:t>13.5%</w:t>
      </w:r>
      <w:r>
        <w:rPr>
          <w:color w:val="231F20"/>
          <w:spacing w:val="-10"/>
        </w:rPr>
        <w:t> </w:t>
      </w:r>
      <w:r>
        <w:rPr>
          <w:color w:val="231F20"/>
        </w:rPr>
        <w:t>en</w:t>
      </w:r>
      <w:r>
        <w:rPr>
          <w:color w:val="231F20"/>
          <w:spacing w:val="-10"/>
        </w:rPr>
        <w:t> </w:t>
      </w:r>
      <w:r>
        <w:rPr>
          <w:color w:val="231F20"/>
        </w:rPr>
        <w:t>2000</w:t>
      </w:r>
      <w:r>
        <w:rPr>
          <w:color w:val="231F20"/>
          <w:spacing w:val="-10"/>
        </w:rPr>
        <w:t> </w:t>
      </w:r>
      <w:r>
        <w:rPr>
          <w:color w:val="231F20"/>
        </w:rPr>
        <w:t>a</w:t>
      </w:r>
      <w:r>
        <w:rPr>
          <w:color w:val="231F20"/>
          <w:spacing w:val="-10"/>
        </w:rPr>
        <w:t> </w:t>
      </w:r>
      <w:r>
        <w:rPr>
          <w:color w:val="231F20"/>
        </w:rPr>
        <w:t>40.5%</w:t>
      </w:r>
      <w:r>
        <w:rPr>
          <w:color w:val="231F20"/>
          <w:spacing w:val="-10"/>
        </w:rPr>
        <w:t> </w:t>
      </w:r>
      <w:r>
        <w:rPr>
          <w:color w:val="231F20"/>
        </w:rPr>
        <w:t>en</w:t>
      </w:r>
      <w:r>
        <w:rPr>
          <w:color w:val="231F20"/>
          <w:spacing w:val="-10"/>
        </w:rPr>
        <w:t> </w:t>
      </w:r>
      <w:r>
        <w:rPr>
          <w:color w:val="231F20"/>
        </w:rPr>
        <w:t>2013;</w:t>
      </w:r>
      <w:r>
        <w:rPr>
          <w:color w:val="231F20"/>
          <w:spacing w:val="-10"/>
        </w:rPr>
        <w:t> </w:t>
      </w:r>
      <w:r>
        <w:rPr>
          <w:color w:val="231F20"/>
        </w:rPr>
        <w:t>sin</w:t>
      </w:r>
      <w:r>
        <w:rPr>
          <w:color w:val="231F20"/>
          <w:spacing w:val="-10"/>
        </w:rPr>
        <w:t> </w:t>
      </w:r>
      <w:r>
        <w:rPr>
          <w:color w:val="231F20"/>
        </w:rPr>
        <w:t>duda,</w:t>
      </w:r>
      <w:r>
        <w:rPr>
          <w:color w:val="231F20"/>
          <w:spacing w:val="-10"/>
        </w:rPr>
        <w:t> </w:t>
      </w:r>
      <w:r>
        <w:rPr>
          <w:color w:val="231F20"/>
        </w:rPr>
        <w:t>este</w:t>
      </w:r>
      <w:r>
        <w:rPr>
          <w:color w:val="231F20"/>
          <w:spacing w:val="-10"/>
        </w:rPr>
        <w:t> </w:t>
      </w:r>
      <w:r>
        <w:rPr>
          <w:color w:val="231F20"/>
        </w:rPr>
        <w:t>creci- miento se explica en gran parte por la dinámica de países como China y la India, que han incrementado de manera considerable su producción de vehículos, de tal forma que en 2013 se ubicaron en la primera y la sexta posición del </w:t>
      </w:r>
      <w:r>
        <w:rPr>
          <w:rFonts w:ascii="Palatino Linotype" w:hAnsi="Palatino Linotype"/>
          <w:i/>
          <w:color w:val="231F20"/>
          <w:spacing w:val="-3"/>
        </w:rPr>
        <w:t>ranking </w:t>
      </w:r>
      <w:r>
        <w:rPr>
          <w:color w:val="231F20"/>
        </w:rPr>
        <w:t>mundial de ma- nufactura de vehículos,</w:t>
      </w:r>
      <w:r>
        <w:rPr>
          <w:color w:val="231F20"/>
          <w:spacing w:val="-26"/>
        </w:rPr>
        <w:t> </w:t>
      </w:r>
      <w:r>
        <w:rPr>
          <w:color w:val="231F20"/>
        </w:rPr>
        <w:t>respectivamente.</w:t>
      </w:r>
    </w:p>
    <w:p>
      <w:pPr>
        <w:pStyle w:val="BodyText"/>
        <w:spacing w:line="278" w:lineRule="auto" w:before="13"/>
        <w:ind w:left="103" w:right="651" w:firstLine="396"/>
        <w:jc w:val="both"/>
      </w:pPr>
      <w:r>
        <w:rPr>
          <w:color w:val="231F20"/>
          <w:spacing w:val="-4"/>
        </w:rPr>
        <w:t>Por </w:t>
      </w:r>
      <w:r>
        <w:rPr>
          <w:color w:val="231F20"/>
        </w:rPr>
        <w:t>su parte, Japón, que durante la última década había mantenido constante su participación dentro de la estructura de la producción mundial de vehículos, ubicán- dose por arriba del 16%, en 2009 sufrió una drástica caída; su producción bajó poco más</w:t>
      </w:r>
      <w:r>
        <w:rPr>
          <w:color w:val="231F20"/>
          <w:spacing w:val="-10"/>
        </w:rPr>
        <w:t> </w:t>
      </w:r>
      <w:r>
        <w:rPr>
          <w:color w:val="231F20"/>
        </w:rPr>
        <w:t>del</w:t>
      </w:r>
      <w:r>
        <w:rPr>
          <w:color w:val="231F20"/>
          <w:spacing w:val="-10"/>
        </w:rPr>
        <w:t> </w:t>
      </w:r>
      <w:r>
        <w:rPr>
          <w:color w:val="231F20"/>
        </w:rPr>
        <w:t>46%</w:t>
      </w:r>
      <w:r>
        <w:rPr>
          <w:color w:val="231F20"/>
          <w:spacing w:val="-10"/>
        </w:rPr>
        <w:t> </w:t>
      </w:r>
      <w:r>
        <w:rPr>
          <w:color w:val="231F20"/>
        </w:rPr>
        <w:t>en</w:t>
      </w:r>
      <w:r>
        <w:rPr>
          <w:color w:val="231F20"/>
          <w:spacing w:val="-10"/>
        </w:rPr>
        <w:t> </w:t>
      </w:r>
      <w:r>
        <w:rPr>
          <w:color w:val="231F20"/>
        </w:rPr>
        <w:t>sólo</w:t>
      </w:r>
      <w:r>
        <w:rPr>
          <w:color w:val="231F20"/>
          <w:spacing w:val="-10"/>
        </w:rPr>
        <w:t> </w:t>
      </w:r>
      <w:r>
        <w:rPr>
          <w:color w:val="231F20"/>
        </w:rPr>
        <w:t>un</w:t>
      </w:r>
      <w:r>
        <w:rPr>
          <w:color w:val="231F20"/>
          <w:spacing w:val="-10"/>
        </w:rPr>
        <w:t> </w:t>
      </w:r>
      <w:r>
        <w:rPr>
          <w:color w:val="231F20"/>
          <w:spacing w:val="-3"/>
        </w:rPr>
        <w:t>año,</w:t>
      </w:r>
      <w:r>
        <w:rPr>
          <w:color w:val="231F20"/>
          <w:spacing w:val="-10"/>
        </w:rPr>
        <w:t> </w:t>
      </w:r>
      <w:r>
        <w:rPr>
          <w:color w:val="231F20"/>
        </w:rPr>
        <w:t>al</w:t>
      </w:r>
      <w:r>
        <w:rPr>
          <w:color w:val="231F20"/>
          <w:spacing w:val="-10"/>
        </w:rPr>
        <w:t> </w:t>
      </w:r>
      <w:r>
        <w:rPr>
          <w:color w:val="231F20"/>
        </w:rPr>
        <w:t>pasar</w:t>
      </w:r>
      <w:r>
        <w:rPr>
          <w:color w:val="231F20"/>
          <w:spacing w:val="-10"/>
        </w:rPr>
        <w:t> </w:t>
      </w:r>
      <w:r>
        <w:rPr>
          <w:color w:val="231F20"/>
        </w:rPr>
        <w:t>de</w:t>
      </w:r>
      <w:r>
        <w:rPr>
          <w:color w:val="231F20"/>
          <w:spacing w:val="-10"/>
        </w:rPr>
        <w:t> </w:t>
      </w:r>
      <w:r>
        <w:rPr>
          <w:color w:val="231F20"/>
        </w:rPr>
        <w:t>11.6</w:t>
      </w:r>
      <w:r>
        <w:rPr>
          <w:color w:val="231F20"/>
          <w:spacing w:val="-10"/>
        </w:rPr>
        <w:t> </w:t>
      </w:r>
      <w:r>
        <w:rPr>
          <w:color w:val="231F20"/>
        </w:rPr>
        <w:t>millones</w:t>
      </w:r>
      <w:r>
        <w:rPr>
          <w:color w:val="231F20"/>
          <w:spacing w:val="-10"/>
        </w:rPr>
        <w:t> </w:t>
      </w:r>
      <w:r>
        <w:rPr>
          <w:color w:val="231F20"/>
        </w:rPr>
        <w:t>de</w:t>
      </w:r>
      <w:r>
        <w:rPr>
          <w:color w:val="231F20"/>
          <w:spacing w:val="-10"/>
        </w:rPr>
        <w:t> </w:t>
      </w:r>
      <w:r>
        <w:rPr>
          <w:color w:val="231F20"/>
        </w:rPr>
        <w:t>unidades</w:t>
      </w:r>
      <w:r>
        <w:rPr>
          <w:color w:val="231F20"/>
          <w:spacing w:val="-10"/>
        </w:rPr>
        <w:t> </w:t>
      </w:r>
      <w:r>
        <w:rPr>
          <w:color w:val="231F20"/>
        </w:rPr>
        <w:t>en</w:t>
      </w:r>
      <w:r>
        <w:rPr>
          <w:color w:val="231F20"/>
          <w:spacing w:val="-10"/>
        </w:rPr>
        <w:t> </w:t>
      </w:r>
      <w:r>
        <w:rPr>
          <w:color w:val="231F20"/>
        </w:rPr>
        <w:t>2008</w:t>
      </w:r>
      <w:r>
        <w:rPr>
          <w:color w:val="231F20"/>
          <w:spacing w:val="-10"/>
        </w:rPr>
        <w:t> </w:t>
      </w:r>
      <w:r>
        <w:rPr>
          <w:color w:val="231F20"/>
        </w:rPr>
        <w:t>a</w:t>
      </w:r>
      <w:r>
        <w:rPr>
          <w:color w:val="231F20"/>
          <w:spacing w:val="-10"/>
        </w:rPr>
        <w:t> </w:t>
      </w:r>
      <w:r>
        <w:rPr>
          <w:color w:val="231F20"/>
        </w:rPr>
        <w:t>sólo</w:t>
      </w:r>
      <w:r>
        <w:rPr>
          <w:color w:val="231F20"/>
          <w:spacing w:val="-10"/>
        </w:rPr>
        <w:t> </w:t>
      </w:r>
      <w:r>
        <w:rPr>
          <w:color w:val="231F20"/>
        </w:rPr>
        <w:t>7.9% en 2009, por lo que su participación en la producción mundial fue de 12.9% en ese último</w:t>
      </w:r>
      <w:r>
        <w:rPr>
          <w:color w:val="231F20"/>
          <w:spacing w:val="-5"/>
        </w:rPr>
        <w:t> </w:t>
      </w:r>
      <w:r>
        <w:rPr>
          <w:color w:val="231F20"/>
          <w:spacing w:val="-3"/>
        </w:rPr>
        <w:t>año.</w:t>
      </w:r>
      <w:r>
        <w:rPr>
          <w:color w:val="231F20"/>
          <w:spacing w:val="-5"/>
        </w:rPr>
        <w:t> </w:t>
      </w:r>
      <w:r>
        <w:rPr>
          <w:color w:val="231F20"/>
        </w:rPr>
        <w:t>Para</w:t>
      </w:r>
      <w:r>
        <w:rPr>
          <w:color w:val="231F20"/>
          <w:spacing w:val="-5"/>
        </w:rPr>
        <w:t> </w:t>
      </w:r>
      <w:r>
        <w:rPr>
          <w:color w:val="231F20"/>
        </w:rPr>
        <w:t>2013,</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automotriz</w:t>
      </w:r>
      <w:r>
        <w:rPr>
          <w:color w:val="231F20"/>
          <w:spacing w:val="-5"/>
        </w:rPr>
        <w:t> </w:t>
      </w:r>
      <w:r>
        <w:rPr>
          <w:color w:val="231F20"/>
        </w:rPr>
        <w:t>japonesa</w:t>
      </w:r>
      <w:r>
        <w:rPr>
          <w:color w:val="231F20"/>
          <w:spacing w:val="-5"/>
        </w:rPr>
        <w:t> </w:t>
      </w:r>
      <w:r>
        <w:rPr>
          <w:color w:val="231F20"/>
        </w:rPr>
        <w:t>fue</w:t>
      </w:r>
      <w:r>
        <w:rPr>
          <w:color w:val="231F20"/>
          <w:spacing w:val="-5"/>
        </w:rPr>
        <w:t> </w:t>
      </w:r>
      <w:r>
        <w:rPr>
          <w:color w:val="231F20"/>
        </w:rPr>
        <w:t>de</w:t>
      </w:r>
      <w:r>
        <w:rPr>
          <w:color w:val="231F20"/>
          <w:spacing w:val="-5"/>
        </w:rPr>
        <w:t> </w:t>
      </w:r>
      <w:r>
        <w:rPr>
          <w:color w:val="231F20"/>
        </w:rPr>
        <w:t>9.6</w:t>
      </w:r>
      <w:r>
        <w:rPr>
          <w:color w:val="231F20"/>
          <w:spacing w:val="-5"/>
        </w:rPr>
        <w:t> </w:t>
      </w:r>
      <w:r>
        <w:rPr>
          <w:color w:val="231F20"/>
        </w:rPr>
        <w:t>millones</w:t>
      </w:r>
      <w:r>
        <w:rPr>
          <w:color w:val="231F20"/>
          <w:spacing w:val="-5"/>
        </w:rPr>
        <w:t> </w:t>
      </w:r>
      <w:r>
        <w:rPr>
          <w:color w:val="231F20"/>
        </w:rPr>
        <w:t>de</w:t>
      </w:r>
      <w:r>
        <w:rPr>
          <w:color w:val="231F20"/>
          <w:spacing w:val="-5"/>
        </w:rPr>
        <w:t> </w:t>
      </w:r>
      <w:r>
        <w:rPr>
          <w:color w:val="231F20"/>
        </w:rPr>
        <w:t>vehí- culos,</w:t>
      </w:r>
      <w:r>
        <w:rPr>
          <w:color w:val="231F20"/>
          <w:spacing w:val="-8"/>
        </w:rPr>
        <w:t> </w:t>
      </w:r>
      <w:r>
        <w:rPr>
          <w:color w:val="231F20"/>
        </w:rPr>
        <w:t>lo</w:t>
      </w:r>
      <w:r>
        <w:rPr>
          <w:color w:val="231F20"/>
          <w:spacing w:val="-8"/>
        </w:rPr>
        <w:t> </w:t>
      </w:r>
      <w:r>
        <w:rPr>
          <w:color w:val="231F20"/>
        </w:rPr>
        <w:t>cual</w:t>
      </w:r>
      <w:r>
        <w:rPr>
          <w:color w:val="231F20"/>
          <w:spacing w:val="-8"/>
        </w:rPr>
        <w:t> </w:t>
      </w:r>
      <w:r>
        <w:rPr>
          <w:color w:val="231F20"/>
        </w:rPr>
        <w:t>representó</w:t>
      </w:r>
      <w:r>
        <w:rPr>
          <w:color w:val="231F20"/>
          <w:spacing w:val="-8"/>
        </w:rPr>
        <w:t> </w:t>
      </w:r>
      <w:r>
        <w:rPr>
          <w:color w:val="231F20"/>
        </w:rPr>
        <w:t>11%</w:t>
      </w:r>
      <w:r>
        <w:rPr>
          <w:color w:val="231F20"/>
          <w:spacing w:val="-8"/>
        </w:rPr>
        <w:t> </w:t>
      </w:r>
      <w:r>
        <w:rPr>
          <w:color w:val="231F20"/>
        </w:rPr>
        <w:t>del</w:t>
      </w:r>
      <w:r>
        <w:rPr>
          <w:color w:val="231F20"/>
          <w:spacing w:val="-8"/>
        </w:rPr>
        <w:t> </w:t>
      </w:r>
      <w:r>
        <w:rPr>
          <w:color w:val="231F20"/>
        </w:rPr>
        <w:t>total</w:t>
      </w:r>
      <w:r>
        <w:rPr>
          <w:color w:val="231F20"/>
          <w:spacing w:val="-8"/>
        </w:rPr>
        <w:t> </w:t>
      </w:r>
      <w:r>
        <w:rPr>
          <w:color w:val="231F20"/>
        </w:rPr>
        <w:t>mundial.</w:t>
      </w:r>
    </w:p>
    <w:p>
      <w:pPr>
        <w:pStyle w:val="BodyText"/>
        <w:spacing w:line="278" w:lineRule="auto" w:before="1"/>
        <w:ind w:left="103" w:right="651" w:firstLine="396"/>
        <w:jc w:val="both"/>
      </w:pPr>
      <w:r>
        <w:rPr>
          <w:color w:val="231F20"/>
          <w:spacing w:val="-4"/>
        </w:rPr>
        <w:t>Por</w:t>
      </w:r>
      <w:r>
        <w:rPr>
          <w:color w:val="231F20"/>
          <w:spacing w:val="-9"/>
        </w:rPr>
        <w:t> </w:t>
      </w:r>
      <w:r>
        <w:rPr>
          <w:color w:val="231F20"/>
        </w:rPr>
        <w:t>otro</w:t>
      </w:r>
      <w:r>
        <w:rPr>
          <w:color w:val="231F20"/>
          <w:spacing w:val="-9"/>
        </w:rPr>
        <w:t> </w:t>
      </w:r>
      <w:r>
        <w:rPr>
          <w:color w:val="231F20"/>
        </w:rPr>
        <w:t>lado,</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de</w:t>
      </w:r>
      <w:r>
        <w:rPr>
          <w:color w:val="231F20"/>
          <w:spacing w:val="-9"/>
        </w:rPr>
        <w:t> </w:t>
      </w:r>
      <w:r>
        <w:rPr>
          <w:color w:val="231F20"/>
        </w:rPr>
        <w:t>Europa</w:t>
      </w:r>
      <w:r>
        <w:rPr>
          <w:color w:val="231F20"/>
          <w:spacing w:val="-9"/>
        </w:rPr>
        <w:t> </w:t>
      </w:r>
      <w:r>
        <w:rPr>
          <w:color w:val="231F20"/>
        </w:rPr>
        <w:t>del</w:t>
      </w:r>
      <w:r>
        <w:rPr>
          <w:color w:val="231F20"/>
          <w:spacing w:val="-9"/>
        </w:rPr>
        <w:t> </w:t>
      </w:r>
      <w:r>
        <w:rPr>
          <w:color w:val="231F20"/>
        </w:rPr>
        <w:t>Este,</w:t>
      </w:r>
      <w:r>
        <w:rPr>
          <w:color w:val="231F20"/>
          <w:spacing w:val="-9"/>
        </w:rPr>
        <w:t> </w:t>
      </w:r>
      <w:r>
        <w:rPr>
          <w:color w:val="231F20"/>
        </w:rPr>
        <w:t>aun</w:t>
      </w:r>
      <w:r>
        <w:rPr>
          <w:color w:val="231F20"/>
          <w:spacing w:val="-9"/>
        </w:rPr>
        <w:t> </w:t>
      </w:r>
      <w:r>
        <w:rPr>
          <w:color w:val="231F20"/>
        </w:rPr>
        <w:t>cuando</w:t>
      </w:r>
      <w:r>
        <w:rPr>
          <w:color w:val="231F20"/>
          <w:spacing w:val="-9"/>
        </w:rPr>
        <w:t> </w:t>
      </w:r>
      <w:r>
        <w:rPr>
          <w:color w:val="231F20"/>
        </w:rPr>
        <w:t>de</w:t>
      </w:r>
      <w:r>
        <w:rPr>
          <w:color w:val="231F20"/>
          <w:spacing w:val="-9"/>
        </w:rPr>
        <w:t> </w:t>
      </w:r>
      <w:r>
        <w:rPr>
          <w:color w:val="231F20"/>
        </w:rPr>
        <w:t>2008</w:t>
      </w:r>
      <w:r>
        <w:rPr>
          <w:color w:val="231F20"/>
          <w:spacing w:val="-9"/>
        </w:rPr>
        <w:t> </w:t>
      </w:r>
      <w:r>
        <w:rPr>
          <w:color w:val="231F20"/>
        </w:rPr>
        <w:t>a</w:t>
      </w:r>
      <w:r>
        <w:rPr>
          <w:color w:val="231F20"/>
          <w:spacing w:val="-9"/>
        </w:rPr>
        <w:t> </w:t>
      </w:r>
      <w:r>
        <w:rPr>
          <w:color w:val="231F20"/>
        </w:rPr>
        <w:t>2009</w:t>
      </w:r>
      <w:r>
        <w:rPr>
          <w:color w:val="231F20"/>
          <w:spacing w:val="-9"/>
        </w:rPr>
        <w:t> </w:t>
      </w:r>
      <w:r>
        <w:rPr>
          <w:color w:val="231F20"/>
        </w:rPr>
        <w:t>disminuyó su participación en la producción mundial, de manera general ha incrementado du- rante</w:t>
      </w:r>
      <w:r>
        <w:rPr>
          <w:color w:val="231F20"/>
          <w:spacing w:val="-5"/>
        </w:rPr>
        <w:t> </w:t>
      </w:r>
      <w:r>
        <w:rPr>
          <w:color w:val="231F20"/>
        </w:rPr>
        <w:t>la</w:t>
      </w:r>
      <w:r>
        <w:rPr>
          <w:color w:val="231F20"/>
          <w:spacing w:val="-5"/>
        </w:rPr>
        <w:t> </w:t>
      </w:r>
      <w:r>
        <w:rPr>
          <w:color w:val="231F20"/>
        </w:rPr>
        <w:t>última</w:t>
      </w:r>
      <w:r>
        <w:rPr>
          <w:color w:val="231F20"/>
          <w:spacing w:val="-5"/>
        </w:rPr>
        <w:t> </w:t>
      </w:r>
      <w:r>
        <w:rPr>
          <w:color w:val="231F20"/>
        </w:rPr>
        <w:t>década</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vehículos,</w:t>
      </w:r>
      <w:r>
        <w:rPr>
          <w:color w:val="231F20"/>
          <w:spacing w:val="-5"/>
        </w:rPr>
        <w:t> </w:t>
      </w:r>
      <w:r>
        <w:rPr>
          <w:color w:val="231F20"/>
        </w:rPr>
        <w:t>al</w:t>
      </w:r>
      <w:r>
        <w:rPr>
          <w:color w:val="231F20"/>
          <w:spacing w:val="-5"/>
        </w:rPr>
        <w:t> </w:t>
      </w:r>
      <w:r>
        <w:rPr>
          <w:color w:val="231F20"/>
        </w:rPr>
        <w:t>pasar</w:t>
      </w:r>
      <w:r>
        <w:rPr>
          <w:color w:val="231F20"/>
          <w:spacing w:val="-5"/>
        </w:rPr>
        <w:t> </w:t>
      </w:r>
      <w:r>
        <w:rPr>
          <w:color w:val="231F20"/>
        </w:rPr>
        <w:t>de</w:t>
      </w:r>
      <w:r>
        <w:rPr>
          <w:color w:val="231F20"/>
          <w:spacing w:val="-5"/>
        </w:rPr>
        <w:t> </w:t>
      </w:r>
      <w:r>
        <w:rPr>
          <w:color w:val="231F20"/>
        </w:rPr>
        <w:t>4.6%</w:t>
      </w:r>
      <w:r>
        <w:rPr>
          <w:color w:val="231F20"/>
          <w:spacing w:val="-5"/>
        </w:rPr>
        <w:t> </w:t>
      </w:r>
      <w:r>
        <w:rPr>
          <w:color w:val="231F20"/>
        </w:rPr>
        <w:t>en</w:t>
      </w:r>
      <w:r>
        <w:rPr>
          <w:color w:val="231F20"/>
          <w:spacing w:val="-5"/>
        </w:rPr>
        <w:t> </w:t>
      </w:r>
      <w:r>
        <w:rPr>
          <w:color w:val="231F20"/>
        </w:rPr>
        <w:t>2000</w:t>
      </w:r>
      <w:r>
        <w:rPr>
          <w:color w:val="231F20"/>
          <w:spacing w:val="-5"/>
        </w:rPr>
        <w:t> </w:t>
      </w:r>
      <w:r>
        <w:rPr>
          <w:color w:val="231F20"/>
        </w:rPr>
        <w:t>a</w:t>
      </w:r>
      <w:r>
        <w:rPr>
          <w:color w:val="231F20"/>
          <w:spacing w:val="-5"/>
        </w:rPr>
        <w:t> </w:t>
      </w:r>
      <w:r>
        <w:rPr>
          <w:color w:val="231F20"/>
        </w:rPr>
        <w:t>7.7%</w:t>
      </w:r>
      <w:r>
        <w:rPr>
          <w:color w:val="231F20"/>
          <w:spacing w:val="-5"/>
        </w:rPr>
        <w:t> </w:t>
      </w:r>
      <w:r>
        <w:rPr>
          <w:color w:val="231F20"/>
        </w:rPr>
        <w:t>en 2013;</w:t>
      </w:r>
      <w:r>
        <w:rPr>
          <w:color w:val="231F20"/>
          <w:spacing w:val="-20"/>
        </w:rPr>
        <w:t> </w:t>
      </w:r>
      <w:r>
        <w:rPr>
          <w:color w:val="231F20"/>
        </w:rPr>
        <w:t>destacan</w:t>
      </w:r>
      <w:r>
        <w:rPr>
          <w:color w:val="231F20"/>
          <w:spacing w:val="-20"/>
        </w:rPr>
        <w:t> </w:t>
      </w:r>
      <w:r>
        <w:rPr>
          <w:color w:val="231F20"/>
        </w:rPr>
        <w:t>principalmente</w:t>
      </w:r>
      <w:r>
        <w:rPr>
          <w:color w:val="231F20"/>
          <w:spacing w:val="-20"/>
        </w:rPr>
        <w:t> </w:t>
      </w:r>
      <w:r>
        <w:rPr>
          <w:color w:val="231F20"/>
        </w:rPr>
        <w:t>Rusia,</w:t>
      </w:r>
      <w:r>
        <w:rPr>
          <w:color w:val="231F20"/>
          <w:spacing w:val="-20"/>
        </w:rPr>
        <w:t> </w:t>
      </w:r>
      <w:r>
        <w:rPr>
          <w:color w:val="231F20"/>
        </w:rPr>
        <w:t>la</w:t>
      </w:r>
      <w:r>
        <w:rPr>
          <w:color w:val="231F20"/>
          <w:spacing w:val="-20"/>
        </w:rPr>
        <w:t> </w:t>
      </w:r>
      <w:r>
        <w:rPr>
          <w:color w:val="231F20"/>
        </w:rPr>
        <w:t>República</w:t>
      </w:r>
      <w:r>
        <w:rPr>
          <w:color w:val="231F20"/>
          <w:spacing w:val="-20"/>
        </w:rPr>
        <w:t> </w:t>
      </w:r>
      <w:r>
        <w:rPr>
          <w:color w:val="231F20"/>
        </w:rPr>
        <w:t>Checa,</w:t>
      </w:r>
      <w:r>
        <w:rPr>
          <w:color w:val="231F20"/>
          <w:spacing w:val="-20"/>
        </w:rPr>
        <w:t> </w:t>
      </w:r>
      <w:r>
        <w:rPr>
          <w:color w:val="231F20"/>
          <w:spacing w:val="-4"/>
        </w:rPr>
        <w:t>Turquía</w:t>
      </w:r>
      <w:r>
        <w:rPr>
          <w:color w:val="231F20"/>
          <w:spacing w:val="-20"/>
        </w:rPr>
        <w:t> </w:t>
      </w:r>
      <w:r>
        <w:rPr>
          <w:color w:val="231F20"/>
        </w:rPr>
        <w:t>y</w:t>
      </w:r>
      <w:r>
        <w:rPr>
          <w:color w:val="231F20"/>
          <w:spacing w:val="-20"/>
        </w:rPr>
        <w:t> </w:t>
      </w:r>
      <w:r>
        <w:rPr>
          <w:color w:val="231F20"/>
        </w:rPr>
        <w:t>Polonia,</w:t>
      </w:r>
      <w:r>
        <w:rPr>
          <w:color w:val="231F20"/>
          <w:spacing w:val="-20"/>
        </w:rPr>
        <w:t> </w:t>
      </w:r>
      <w:r>
        <w:rPr>
          <w:color w:val="231F20"/>
        </w:rPr>
        <w:t>países</w:t>
      </w:r>
      <w:r>
        <w:rPr>
          <w:color w:val="231F20"/>
          <w:spacing w:val="-20"/>
        </w:rPr>
        <w:t> </w:t>
      </w:r>
      <w:r>
        <w:rPr>
          <w:color w:val="231F20"/>
        </w:rPr>
        <w:t>que concentran</w:t>
      </w:r>
      <w:r>
        <w:rPr>
          <w:color w:val="231F20"/>
          <w:spacing w:val="-9"/>
        </w:rPr>
        <w:t> </w:t>
      </w:r>
      <w:r>
        <w:rPr>
          <w:color w:val="231F20"/>
        </w:rPr>
        <w:t>5.7%</w:t>
      </w:r>
      <w:r>
        <w:rPr>
          <w:color w:val="231F20"/>
          <w:spacing w:val="-9"/>
        </w:rPr>
        <w:t> </w:t>
      </w:r>
      <w:r>
        <w:rPr>
          <w:color w:val="231F20"/>
        </w:rPr>
        <w:t>del</w:t>
      </w:r>
      <w:r>
        <w:rPr>
          <w:color w:val="231F20"/>
          <w:spacing w:val="-9"/>
        </w:rPr>
        <w:t> </w:t>
      </w:r>
      <w:r>
        <w:rPr>
          <w:color w:val="231F20"/>
        </w:rPr>
        <w:t>total</w:t>
      </w:r>
      <w:r>
        <w:rPr>
          <w:color w:val="231F20"/>
          <w:spacing w:val="-9"/>
        </w:rPr>
        <w:t> </w:t>
      </w:r>
      <w:r>
        <w:rPr>
          <w:color w:val="231F20"/>
        </w:rPr>
        <w:t>(véase</w:t>
      </w:r>
      <w:r>
        <w:rPr>
          <w:color w:val="231F20"/>
          <w:spacing w:val="-9"/>
        </w:rPr>
        <w:t> </w:t>
      </w:r>
      <w:r>
        <w:rPr>
          <w:color w:val="231F20"/>
        </w:rPr>
        <w:t>cuadro</w:t>
      </w:r>
      <w:r>
        <w:rPr>
          <w:color w:val="231F20"/>
          <w:spacing w:val="-9"/>
        </w:rPr>
        <w:t> </w:t>
      </w:r>
      <w:r>
        <w:rPr>
          <w:color w:val="231F20"/>
        </w:rPr>
        <w:t>II.4).</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5"/>
      </w:pPr>
    </w:p>
    <w:p>
      <w:pPr>
        <w:pStyle w:val="Heading4"/>
        <w:spacing w:before="35"/>
        <w:ind w:right="12"/>
      </w:pPr>
      <w:r>
        <w:rPr>
          <w:color w:val="231F20"/>
          <w:w w:val="95"/>
        </w:rPr>
        <w:t>Cuadro II.4</w:t>
      </w:r>
    </w:p>
    <w:p>
      <w:pPr>
        <w:spacing w:line="237" w:lineRule="auto" w:before="0"/>
        <w:ind w:left="1017" w:right="466" w:firstLine="0"/>
        <w:jc w:val="center"/>
        <w:rPr>
          <w:rFonts w:ascii="Palatino Linotype" w:hAnsi="Palatino Linotype"/>
          <w:b/>
          <w:sz w:val="21"/>
        </w:rPr>
      </w:pPr>
      <w:r>
        <w:rPr>
          <w:rFonts w:ascii="Palatino Linotype" w:hAnsi="Palatino Linotype"/>
          <w:b/>
          <w:color w:val="231F20"/>
          <w:w w:val="90"/>
          <w:sz w:val="21"/>
        </w:rPr>
        <w:t>Participación porcentual en la producción mundial de vehículos por región y principales países productores,  2000-2013</w:t>
      </w:r>
    </w:p>
    <w:p>
      <w:pPr>
        <w:pStyle w:val="BodyText"/>
        <w:rPr>
          <w:rFonts w:ascii="Palatino Linotype"/>
          <w:b/>
          <w:sz w:val="11"/>
        </w:rPr>
      </w:pPr>
      <w:r>
        <w:rPr/>
        <w:pict>
          <v:group style="position:absolute;margin-left:56.442902pt;margin-top:9.399514pt;width:359.95pt;height:.5pt;mso-position-horizontal-relative:page;mso-position-vertical-relative:paragraph;z-index:6568;mso-wrap-distance-left:0;mso-wrap-distance-right:0" coordorigin="1129,188" coordsize="7199,10">
            <v:line style="position:absolute" from="1134,193" to="2132,193" stroked="true" strokeweight=".5pt" strokecolor="#231f20"/>
            <v:line style="position:absolute" from="2132,193" to="2608,193" stroked="true" strokeweight=".5pt" strokecolor="#231f20"/>
            <v:line style="position:absolute" from="2608,193" to="3084,193" stroked="true" strokeweight=".5pt" strokecolor="#231f20"/>
            <v:line style="position:absolute" from="3084,193" to="3560,193" stroked="true" strokeweight=".5pt" strokecolor="#231f20"/>
            <v:line style="position:absolute" from="3560,193" to="4037,193" stroked="true" strokeweight=".5pt" strokecolor="#231f20"/>
            <v:line style="position:absolute" from="4037,193" to="4513,193" stroked="true" strokeweight=".5pt" strokecolor="#231f20"/>
            <v:line style="position:absolute" from="4513,193" to="4989,193" stroked="true" strokeweight=".5pt" strokecolor="#231f20"/>
            <v:line style="position:absolute" from="4989,193" to="5465,193" stroked="true" strokeweight=".5pt" strokecolor="#231f20"/>
            <v:line style="position:absolute" from="5465,193" to="5941,193" stroked="true" strokeweight=".5pt" strokecolor="#231f20"/>
            <v:line style="position:absolute" from="5941,193" to="6418,193" stroked="true" strokeweight=".5pt" strokecolor="#231f20"/>
            <v:line style="position:absolute" from="6418,193" to="6894,193" stroked="true" strokeweight=".5pt" strokecolor="#231f20"/>
            <v:line style="position:absolute" from="6894,193" to="7370,193" stroked="true" strokeweight=".5pt" strokecolor="#231f20"/>
            <v:line style="position:absolute" from="7370,193" to="7846,193" stroked="true" strokeweight=".5pt" strokecolor="#231f20"/>
            <v:line style="position:absolute" from="7846,193" to="8323,193" stroked="true" strokeweight=".5pt" strokecolor="#231f20"/>
            <w10:wrap type="topAndBottom"/>
          </v:group>
        </w:pict>
      </w:r>
    </w:p>
    <w:p>
      <w:pPr>
        <w:tabs>
          <w:tab w:pos="1729" w:val="left" w:leader="none"/>
        </w:tabs>
        <w:spacing w:before="12" w:after="45"/>
        <w:ind w:left="710" w:right="0" w:firstLine="0"/>
        <w:jc w:val="left"/>
        <w:rPr>
          <w:rFonts w:ascii="Palatino Linotype" w:hAnsi="Palatino Linotype"/>
          <w:b/>
          <w:sz w:val="16"/>
        </w:rPr>
      </w:pPr>
      <w:r>
        <w:rPr>
          <w:rFonts w:ascii="Palatino Linotype" w:hAnsi="Palatino Linotype"/>
          <w:b/>
          <w:color w:val="231F20"/>
          <w:w w:val="95"/>
          <w:sz w:val="16"/>
        </w:rPr>
        <w:t>Región/país</w:t>
        <w:tab/>
      </w:r>
      <w:r>
        <w:rPr>
          <w:rFonts w:ascii="Palatino Linotype" w:hAnsi="Palatino Linotype"/>
          <w:b/>
          <w:color w:val="231F20"/>
          <w:sz w:val="16"/>
        </w:rPr>
        <w:t>2000    2001    2002    2003    2004    2005    2006    2008    2009    2010    2011    2012 </w:t>
      </w:r>
      <w:r>
        <w:rPr>
          <w:rFonts w:ascii="Palatino Linotype" w:hAnsi="Palatino Linotype"/>
          <w:b/>
          <w:color w:val="231F20"/>
          <w:spacing w:val="32"/>
          <w:sz w:val="16"/>
        </w:rPr>
        <w:t> </w:t>
      </w:r>
      <w:r>
        <w:rPr>
          <w:rFonts w:ascii="Palatino Linotype" w:hAnsi="Palatino Linotype"/>
          <w:b/>
          <w:color w:val="231F20"/>
          <w:sz w:val="16"/>
        </w:rPr>
        <w:t>2013</w:t>
      </w:r>
    </w:p>
    <w:p>
      <w:pPr>
        <w:pStyle w:val="BodyText"/>
        <w:spacing w:line="20" w:lineRule="exact"/>
        <w:ind w:left="648"/>
        <w:rPr>
          <w:rFonts w:ascii="Palatino Linotype"/>
          <w:sz w:val="2"/>
        </w:rPr>
      </w:pPr>
      <w:r>
        <w:rPr>
          <w:rFonts w:ascii="Palatino Linotype"/>
          <w:sz w:val="2"/>
        </w:rPr>
        <w:pict>
          <v:group style="width:359.95pt;height:.5pt;mso-position-horizontal-relative:char;mso-position-vertical-relative:line" coordorigin="0,0" coordsize="7199,10">
            <v:line style="position:absolute" from="5,5" to="1003,5" stroked="true" strokeweight=".5pt" strokecolor="#231f20"/>
            <v:line style="position:absolute" from="1003,5" to="1479,5" stroked="true" strokeweight=".5pt" strokecolor="#231f20"/>
            <v:line style="position:absolute" from="1479,5" to="1955,5" stroked="true" strokeweight=".5pt" strokecolor="#231f20"/>
            <v:line style="position:absolute" from="1955,5" to="2431,5" stroked="true" strokeweight=".5pt" strokecolor="#231f20"/>
            <v:line style="position:absolute" from="2431,5" to="2908,5" stroked="true" strokeweight=".5pt" strokecolor="#231f20"/>
            <v:line style="position:absolute" from="2908,5" to="3384,5" stroked="true" strokeweight=".5pt" strokecolor="#231f20"/>
            <v:line style="position:absolute" from="3384,5" to="3860,5" stroked="true" strokeweight=".5pt" strokecolor="#231f20"/>
            <v:line style="position:absolute" from="3860,5" to="4336,5" stroked="true" strokeweight=".5pt" strokecolor="#231f20"/>
            <v:line style="position:absolute" from="4336,5" to="4813,5" stroked="true" strokeweight=".5pt" strokecolor="#231f20"/>
            <v:line style="position:absolute" from="4813,5" to="5289,5" stroked="true" strokeweight=".5pt" strokecolor="#231f20"/>
            <v:line style="position:absolute" from="5289,5" to="5765,5" stroked="true" strokeweight=".5pt" strokecolor="#231f20"/>
            <v:line style="position:absolute" from="5765,5" to="6241,5" stroked="true" strokeweight=".5pt" strokecolor="#231f20"/>
            <v:line style="position:absolute" from="6241,5" to="6717,5" stroked="true" strokeweight=".5pt" strokecolor="#231f20"/>
            <v:line style="position:absolute" from="6717,5" to="7194,5" stroked="true" strokeweight=".5pt" strokecolor="#231f20"/>
          </v:group>
        </w:pict>
      </w:r>
      <w:r>
        <w:rPr>
          <w:rFonts w:ascii="Palatino Linotype"/>
          <w:sz w:val="2"/>
        </w:rPr>
      </w:r>
    </w:p>
    <w:p>
      <w:pPr>
        <w:pStyle w:val="BodyText"/>
        <w:spacing w:before="1"/>
        <w:rPr>
          <w:rFonts w:ascii="Palatino Linotype"/>
          <w:b/>
          <w:sz w:val="16"/>
        </w:rPr>
      </w:pPr>
      <w:r>
        <w:rPr/>
        <w:pict>
          <v:group style="position:absolute;margin-left:56.442902pt;margin-top:12.81590pt;width:359.95pt;height:.5pt;mso-position-horizontal-relative:page;mso-position-vertical-relative:paragraph;z-index:6616;mso-wrap-distance-left:0;mso-wrap-distance-right:0" coordorigin="1129,256" coordsize="7199,10">
            <v:line style="position:absolute" from="1134,261" to="2132,261" stroked="true" strokeweight=".5pt" strokecolor="#231f20"/>
            <v:line style="position:absolute" from="2132,261" to="2608,261" stroked="true" strokeweight=".5pt" strokecolor="#231f20"/>
            <v:line style="position:absolute" from="2608,261" to="3084,261" stroked="true" strokeweight=".5pt" strokecolor="#231f20"/>
            <v:line style="position:absolute" from="3084,261" to="3560,261" stroked="true" strokeweight=".5pt" strokecolor="#231f20"/>
            <v:line style="position:absolute" from="3560,261" to="4037,261" stroked="true" strokeweight=".5pt" strokecolor="#231f20"/>
            <v:line style="position:absolute" from="4037,261" to="4513,261" stroked="true" strokeweight=".5pt" strokecolor="#231f20"/>
            <v:line style="position:absolute" from="4513,261" to="4989,261" stroked="true" strokeweight=".5pt" strokecolor="#231f20"/>
            <v:line style="position:absolute" from="4989,261" to="5465,261" stroked="true" strokeweight=".5pt" strokecolor="#231f20"/>
            <v:line style="position:absolute" from="5465,261" to="5941,261" stroked="true" strokeweight=".5pt" strokecolor="#231f20"/>
            <v:line style="position:absolute" from="5941,261" to="6418,261" stroked="true" strokeweight=".5pt" strokecolor="#231f20"/>
            <v:line style="position:absolute" from="6418,261" to="6894,261" stroked="true" strokeweight=".5pt" strokecolor="#231f20"/>
            <v:line style="position:absolute" from="6894,261" to="7370,261" stroked="true" strokeweight=".5pt" strokecolor="#231f20"/>
            <v:line style="position:absolute" from="7370,261" to="7846,261" stroked="true" strokeweight=".5pt" strokecolor="#231f20"/>
            <v:line style="position:absolute" from="7846,261" to="8323,261" stroked="true" strokeweight=".5pt" strokecolor="#231f20"/>
            <w10:wrap type="topAndBottom"/>
          </v:group>
        </w:pict>
      </w:r>
    </w:p>
    <w:p>
      <w:pPr>
        <w:spacing w:line="146" w:lineRule="exact" w:before="0"/>
        <w:ind w:left="708" w:right="673" w:firstLine="0"/>
        <w:jc w:val="left"/>
        <w:rPr>
          <w:rFonts w:ascii="Palatino Linotype"/>
          <w:b/>
          <w:sz w:val="16"/>
        </w:rPr>
      </w:pPr>
      <w:r>
        <w:rPr>
          <w:rFonts w:ascii="Palatino Linotype"/>
          <w:b/>
          <w:color w:val="231F20"/>
          <w:w w:val="90"/>
          <w:sz w:val="16"/>
        </w:rPr>
        <w:t>Europa del</w:t>
      </w:r>
    </w:p>
    <w:p>
      <w:pPr>
        <w:tabs>
          <w:tab w:pos="1747" w:val="left" w:leader="none"/>
        </w:tabs>
        <w:spacing w:line="242" w:lineRule="exact" w:before="0"/>
        <w:ind w:left="708" w:right="0" w:firstLine="0"/>
        <w:jc w:val="left"/>
        <w:rPr>
          <w:rFonts w:ascii="Palatino Linotype"/>
          <w:b/>
          <w:sz w:val="16"/>
        </w:rPr>
      </w:pPr>
      <w:r>
        <w:rPr>
          <w:rFonts w:ascii="Palatino Linotype"/>
          <w:b/>
          <w:color w:val="231F20"/>
          <w:position w:val="-8"/>
          <w:sz w:val="16"/>
        </w:rPr>
        <w:t>Oeste</w:t>
        <w:tab/>
      </w:r>
      <w:r>
        <w:rPr>
          <w:rFonts w:ascii="Palatino Linotype"/>
          <w:b/>
          <w:color w:val="231F20"/>
          <w:sz w:val="16"/>
        </w:rPr>
        <w:t>29.4     30.8     28.8     28.0     26.9     25.4     24.8     21.7     20.0     17.8     17.8     15.4  </w:t>
      </w:r>
      <w:r>
        <w:rPr>
          <w:rFonts w:ascii="Palatino Linotype"/>
          <w:b/>
          <w:color w:val="231F20"/>
          <w:spacing w:val="28"/>
          <w:sz w:val="16"/>
        </w:rPr>
        <w:t> </w:t>
      </w:r>
      <w:r>
        <w:rPr>
          <w:rFonts w:ascii="Palatino Linotype"/>
          <w:b/>
          <w:color w:val="231F20"/>
          <w:sz w:val="16"/>
        </w:rPr>
        <w:t>14.7</w:t>
      </w:r>
    </w:p>
    <w:p>
      <w:pPr>
        <w:tabs>
          <w:tab w:pos="1792" w:val="left" w:leader="none"/>
          <w:tab w:pos="2268" w:val="left" w:leader="none"/>
          <w:tab w:pos="2744" w:val="left" w:leader="none"/>
          <w:tab w:pos="3220" w:val="left" w:leader="none"/>
          <w:tab w:pos="3696" w:val="left" w:leader="none"/>
          <w:tab w:pos="4173" w:val="left" w:leader="none"/>
          <w:tab w:pos="4649" w:val="left" w:leader="none"/>
          <w:tab w:pos="5125" w:val="left" w:leader="none"/>
          <w:tab w:pos="5601" w:val="left" w:leader="none"/>
          <w:tab w:pos="6077" w:val="left" w:leader="none"/>
          <w:tab w:pos="6553" w:val="left" w:leader="none"/>
          <w:tab w:pos="7029" w:val="left" w:leader="none"/>
          <w:tab w:pos="7506" w:val="left" w:leader="none"/>
        </w:tabs>
        <w:spacing w:before="95"/>
        <w:ind w:left="708" w:right="0" w:firstLine="0"/>
        <w:jc w:val="left"/>
        <w:rPr>
          <w:sz w:val="16"/>
        </w:rPr>
      </w:pPr>
      <w:r>
        <w:rPr>
          <w:color w:val="231F20"/>
          <w:sz w:val="16"/>
        </w:rPr>
        <w:t>Alemania</w:t>
        <w:tab/>
        <w:t>8.9</w:t>
        <w:tab/>
        <w:t>9.6</w:t>
        <w:tab/>
        <w:t>8.8</w:t>
        <w:tab/>
        <w:t>8.7</w:t>
        <w:tab/>
        <w:t>8.5</w:t>
        <w:tab/>
        <w:t>8.5</w:t>
        <w:tab/>
        <w:t>8.4</w:t>
        <w:tab/>
        <w:t>8.5</w:t>
        <w:tab/>
        <w:t>8.4</w:t>
        <w:tab/>
        <w:t>7.6</w:t>
        <w:tab/>
        <w:t>7.7</w:t>
        <w:tab/>
        <w:t>6.7</w:t>
        <w:tab/>
        <w:t>6.6</w:t>
      </w:r>
    </w:p>
    <w:p>
      <w:pPr>
        <w:tabs>
          <w:tab w:pos="1791" w:val="left" w:leader="none"/>
          <w:tab w:pos="2267" w:val="left" w:leader="none"/>
          <w:tab w:pos="2743" w:val="left" w:leader="none"/>
          <w:tab w:pos="3219" w:val="left" w:leader="none"/>
          <w:tab w:pos="3696" w:val="left" w:leader="none"/>
          <w:tab w:pos="4172" w:val="left" w:leader="none"/>
          <w:tab w:pos="4648" w:val="left" w:leader="none"/>
          <w:tab w:pos="5124" w:val="left" w:leader="none"/>
          <w:tab w:pos="5600" w:val="left" w:leader="none"/>
          <w:tab w:pos="6076" w:val="left" w:leader="none"/>
          <w:tab w:pos="6553" w:val="left" w:leader="none"/>
          <w:tab w:pos="7029" w:val="left" w:leader="none"/>
          <w:tab w:pos="7505" w:val="left" w:leader="none"/>
        </w:tabs>
        <w:spacing w:before="128"/>
        <w:ind w:left="707" w:right="0" w:firstLine="0"/>
        <w:jc w:val="left"/>
        <w:rPr>
          <w:sz w:val="16"/>
        </w:rPr>
      </w:pPr>
      <w:r>
        <w:rPr>
          <w:color w:val="231F20"/>
          <w:sz w:val="16"/>
        </w:rPr>
        <w:t>España</w:t>
        <w:tab/>
        <w:t>5.7</w:t>
        <w:tab/>
        <w:t>6.5</w:t>
        <w:tab/>
        <w:t>6.3</w:t>
        <w:tab/>
        <w:t>6.0</w:t>
        <w:tab/>
        <w:t>5.8</w:t>
        <w:tab/>
        <w:t>5.4</w:t>
        <w:tab/>
        <w:t>5.0</w:t>
        <w:tab/>
        <w:t>3.6</w:t>
        <w:tab/>
        <w:t>3.5</w:t>
        <w:tab/>
        <w:t>3.1</w:t>
        <w:tab/>
        <w:t>3.0</w:t>
        <w:tab/>
        <w:t>2.4</w:t>
        <w:tab/>
        <w:t>2.5</w:t>
      </w:r>
    </w:p>
    <w:p>
      <w:pPr>
        <w:tabs>
          <w:tab w:pos="1790" w:val="left" w:leader="none"/>
          <w:tab w:pos="2266" w:val="left" w:leader="none"/>
          <w:tab w:pos="2742" w:val="left" w:leader="none"/>
          <w:tab w:pos="3219" w:val="left" w:leader="none"/>
          <w:tab w:pos="3695" w:val="left" w:leader="none"/>
          <w:tab w:pos="4171" w:val="left" w:leader="none"/>
          <w:tab w:pos="4647" w:val="left" w:leader="none"/>
          <w:tab w:pos="5123" w:val="left" w:leader="none"/>
          <w:tab w:pos="5599" w:val="left" w:leader="none"/>
          <w:tab w:pos="6076" w:val="left" w:leader="none"/>
          <w:tab w:pos="6552" w:val="left" w:leader="none"/>
          <w:tab w:pos="7028" w:val="left" w:leader="none"/>
          <w:tab w:pos="7504" w:val="left" w:leader="none"/>
        </w:tabs>
        <w:spacing w:before="128"/>
        <w:ind w:left="706" w:right="0" w:firstLine="0"/>
        <w:jc w:val="left"/>
        <w:rPr>
          <w:sz w:val="16"/>
        </w:rPr>
      </w:pPr>
      <w:r>
        <w:rPr>
          <w:color w:val="231F20"/>
          <w:sz w:val="16"/>
        </w:rPr>
        <w:t>Francia</w:t>
        <w:tab/>
        <w:t>5.2</w:t>
        <w:tab/>
        <w:t>5.1</w:t>
        <w:tab/>
        <w:t>4.9</w:t>
        <w:tab/>
        <w:t>5.0</w:t>
        <w:tab/>
        <w:t>4.8</w:t>
        <w:tab/>
        <w:t>4.2</w:t>
        <w:tab/>
        <w:t>4.1</w:t>
        <w:tab/>
        <w:t>3.6</w:t>
        <w:tab/>
        <w:t>3.3</w:t>
        <w:tab/>
        <w:t>2.9</w:t>
        <w:tab/>
        <w:t>2.8</w:t>
        <w:tab/>
        <w:t>2.3</w:t>
        <w:tab/>
        <w:t>2.0</w:t>
      </w:r>
    </w:p>
    <w:p>
      <w:pPr>
        <w:tabs>
          <w:tab w:pos="1789" w:val="left" w:leader="none"/>
          <w:tab w:pos="2265" w:val="left" w:leader="none"/>
          <w:tab w:pos="2742" w:val="left" w:leader="none"/>
          <w:tab w:pos="3218" w:val="left" w:leader="none"/>
          <w:tab w:pos="3694" w:val="left" w:leader="none"/>
          <w:tab w:pos="4170" w:val="left" w:leader="none"/>
          <w:tab w:pos="4646" w:val="left" w:leader="none"/>
          <w:tab w:pos="5122" w:val="left" w:leader="none"/>
          <w:tab w:pos="5599" w:val="left" w:leader="none"/>
          <w:tab w:pos="6075" w:val="left" w:leader="none"/>
          <w:tab w:pos="6551" w:val="left" w:leader="none"/>
          <w:tab w:pos="7027" w:val="left" w:leader="none"/>
          <w:tab w:pos="7503" w:val="left" w:leader="none"/>
        </w:tabs>
        <w:spacing w:before="128"/>
        <w:ind w:left="705" w:right="0" w:firstLine="0"/>
        <w:jc w:val="left"/>
        <w:rPr>
          <w:sz w:val="16"/>
        </w:rPr>
      </w:pPr>
      <w:r>
        <w:rPr>
          <w:color w:val="231F20"/>
          <w:sz w:val="16"/>
        </w:rPr>
        <w:t>Reino</w:t>
      </w:r>
      <w:r>
        <w:rPr>
          <w:color w:val="231F20"/>
          <w:spacing w:val="-4"/>
          <w:sz w:val="16"/>
        </w:rPr>
        <w:t> </w:t>
      </w:r>
      <w:r>
        <w:rPr>
          <w:color w:val="231F20"/>
          <w:sz w:val="16"/>
        </w:rPr>
        <w:t>Unido</w:t>
        <w:tab/>
        <w:t>3.1</w:t>
        <w:tab/>
        <w:t>3.0</w:t>
        <w:tab/>
        <w:t>3.1</w:t>
        <w:tab/>
        <w:t>3.1</w:t>
        <w:tab/>
        <w:t>2.9</w:t>
        <w:tab/>
        <w:t>2.8</w:t>
        <w:tab/>
        <w:t>2.6</w:t>
        <w:tab/>
        <w:t>2.3</w:t>
        <w:tab/>
        <w:t>1.8</w:t>
        <w:tab/>
        <w:t>1.8</w:t>
        <w:tab/>
        <w:t>1.8</w:t>
        <w:tab/>
        <w:t>1.9</w:t>
        <w:tab/>
        <w:t>1.8</w:t>
      </w:r>
    </w:p>
    <w:p>
      <w:pPr>
        <w:tabs>
          <w:tab w:pos="1789" w:val="left" w:leader="none"/>
          <w:tab w:pos="2265" w:val="left" w:leader="none"/>
          <w:tab w:pos="2741" w:val="left" w:leader="none"/>
          <w:tab w:pos="3217" w:val="left" w:leader="none"/>
          <w:tab w:pos="3693" w:val="left" w:leader="none"/>
          <w:tab w:pos="4169" w:val="left" w:leader="none"/>
          <w:tab w:pos="4645" w:val="left" w:leader="none"/>
          <w:tab w:pos="5122" w:val="left" w:leader="none"/>
          <w:tab w:pos="5598" w:val="left" w:leader="none"/>
          <w:tab w:pos="6074" w:val="left" w:leader="none"/>
          <w:tab w:pos="6550" w:val="left" w:leader="none"/>
          <w:tab w:pos="7026" w:val="left" w:leader="none"/>
          <w:tab w:pos="7502" w:val="left" w:leader="none"/>
        </w:tabs>
        <w:spacing w:before="128"/>
        <w:ind w:left="704" w:right="0" w:firstLine="0"/>
        <w:jc w:val="left"/>
        <w:rPr>
          <w:sz w:val="16"/>
        </w:rPr>
      </w:pPr>
      <w:r>
        <w:rPr>
          <w:color w:val="231F20"/>
          <w:sz w:val="16"/>
        </w:rPr>
        <w:t>Italia</w:t>
        <w:tab/>
        <w:t>3.0</w:t>
        <w:tab/>
        <w:t>2.8</w:t>
        <w:tab/>
        <w:t>2.4</w:t>
        <w:tab/>
        <w:t>2.2</w:t>
        <w:tab/>
        <w:t>1.8</w:t>
        <w:tab/>
        <w:t>1.6</w:t>
        <w:tab/>
        <w:t>1.8</w:t>
        <w:tab/>
        <w:t>1.4</w:t>
        <w:tab/>
        <w:t>1.4</w:t>
        <w:tab/>
        <w:t>1.1</w:t>
        <w:tab/>
        <w:t>1.0</w:t>
        <w:tab/>
        <w:t>0.8</w:t>
        <w:tab/>
        <w:t>0.8</w:t>
      </w:r>
    </w:p>
    <w:p>
      <w:pPr>
        <w:tabs>
          <w:tab w:pos="1788" w:val="left" w:leader="none"/>
          <w:tab w:pos="2264" w:val="left" w:leader="none"/>
          <w:tab w:pos="2740" w:val="left" w:leader="none"/>
          <w:tab w:pos="3216" w:val="left" w:leader="none"/>
          <w:tab w:pos="3692" w:val="left" w:leader="none"/>
          <w:tab w:pos="4169" w:val="left" w:leader="none"/>
          <w:tab w:pos="4645" w:val="left" w:leader="none"/>
          <w:tab w:pos="5121" w:val="left" w:leader="none"/>
          <w:tab w:pos="5597" w:val="left" w:leader="none"/>
          <w:tab w:pos="6073" w:val="left" w:leader="none"/>
          <w:tab w:pos="6549" w:val="left" w:leader="none"/>
          <w:tab w:pos="7025" w:val="left" w:leader="none"/>
          <w:tab w:pos="7502" w:val="left" w:leader="none"/>
        </w:tabs>
        <w:spacing w:before="128"/>
        <w:ind w:left="704" w:right="0" w:firstLine="0"/>
        <w:jc w:val="left"/>
        <w:rPr>
          <w:sz w:val="16"/>
        </w:rPr>
      </w:pPr>
      <w:r>
        <w:rPr/>
        <w:pict>
          <v:group style="position:absolute;margin-left:56.442902pt;margin-top:18.497147pt;width:359.95pt;height:.5pt;mso-position-horizontal-relative:page;mso-position-vertical-relative:paragraph;z-index:6640;mso-wrap-distance-left:0;mso-wrap-distance-right:0" coordorigin="1129,370" coordsize="7199,10">
            <v:line style="position:absolute" from="1134,375" to="2132,375" stroked="true" strokeweight=".5pt" strokecolor="#231f20"/>
            <v:line style="position:absolute" from="2132,375" to="2608,375" stroked="true" strokeweight=".5pt" strokecolor="#231f20"/>
            <v:line style="position:absolute" from="2608,375" to="3084,375" stroked="true" strokeweight=".5pt" strokecolor="#231f20"/>
            <v:line style="position:absolute" from="3084,375" to="3560,375" stroked="true" strokeweight=".5pt" strokecolor="#231f20"/>
            <v:line style="position:absolute" from="3560,375" to="4037,375" stroked="true" strokeweight=".5pt" strokecolor="#231f20"/>
            <v:line style="position:absolute" from="4037,375" to="4513,375" stroked="true" strokeweight=".5pt" strokecolor="#231f20"/>
            <v:line style="position:absolute" from="4513,375" to="4989,375" stroked="true" strokeweight=".5pt" strokecolor="#231f20"/>
            <v:line style="position:absolute" from="4989,375" to="5465,375" stroked="true" strokeweight=".5pt" strokecolor="#231f20"/>
            <v:line style="position:absolute" from="5465,375" to="5941,375" stroked="true" strokeweight=".5pt" strokecolor="#231f20"/>
            <v:line style="position:absolute" from="5941,375" to="6418,375" stroked="true" strokeweight=".5pt" strokecolor="#231f20"/>
            <v:line style="position:absolute" from="6418,375" to="6894,375" stroked="true" strokeweight=".5pt" strokecolor="#231f20"/>
            <v:line style="position:absolute" from="6894,375" to="7370,375" stroked="true" strokeweight=".5pt" strokecolor="#231f20"/>
            <v:line style="position:absolute" from="7370,375" to="7846,375" stroked="true" strokeweight=".5pt" strokecolor="#231f20"/>
            <v:line style="position:absolute" from="7846,375" to="8323,375" stroked="true" strokeweight=".5pt" strokecolor="#231f20"/>
            <w10:wrap type="topAndBottom"/>
          </v:group>
        </w:pict>
      </w:r>
      <w:r>
        <w:rPr/>
        <w:pict>
          <v:group style="position:absolute;margin-left:56.442902pt;margin-top:32.313046pt;width:359.95pt;height:.5pt;mso-position-horizontal-relative:page;mso-position-vertical-relative:paragraph;z-index:6664;mso-wrap-distance-left:0;mso-wrap-distance-right:0" coordorigin="1129,646" coordsize="7199,10">
            <v:line style="position:absolute" from="1134,651" to="2132,651" stroked="true" strokeweight=".5pt" strokecolor="#231f20"/>
            <v:line style="position:absolute" from="2132,651" to="2608,651" stroked="true" strokeweight=".5pt" strokecolor="#231f20"/>
            <v:line style="position:absolute" from="2608,651" to="3084,651" stroked="true" strokeweight=".5pt" strokecolor="#231f20"/>
            <v:line style="position:absolute" from="3084,651" to="3560,651" stroked="true" strokeweight=".5pt" strokecolor="#231f20"/>
            <v:line style="position:absolute" from="3560,651" to="4037,651" stroked="true" strokeweight=".5pt" strokecolor="#231f20"/>
            <v:line style="position:absolute" from="4037,651" to="4513,651" stroked="true" strokeweight=".5pt" strokecolor="#231f20"/>
            <v:line style="position:absolute" from="4513,651" to="4989,651" stroked="true" strokeweight=".5pt" strokecolor="#231f20"/>
            <v:line style="position:absolute" from="4989,651" to="5465,651" stroked="true" strokeweight=".5pt" strokecolor="#231f20"/>
            <v:line style="position:absolute" from="5465,651" to="5941,651" stroked="true" strokeweight=".5pt" strokecolor="#231f20"/>
            <v:line style="position:absolute" from="5941,651" to="6418,651" stroked="true" strokeweight=".5pt" strokecolor="#231f20"/>
            <v:line style="position:absolute" from="6418,651" to="6894,651" stroked="true" strokeweight=".5pt" strokecolor="#231f20"/>
            <v:line style="position:absolute" from="6894,651" to="7370,651" stroked="true" strokeweight=".5pt" strokecolor="#231f20"/>
            <v:line style="position:absolute" from="7370,651" to="7846,651" stroked="true" strokeweight=".5pt" strokecolor="#231f20"/>
            <v:line style="position:absolute" from="7846,651" to="8323,651" stroked="true" strokeweight=".5pt" strokecolor="#231f20"/>
            <w10:wrap type="topAndBottom"/>
          </v:group>
        </w:pict>
      </w:r>
      <w:r>
        <w:rPr>
          <w:color w:val="231F20"/>
          <w:sz w:val="16"/>
        </w:rPr>
        <w:t>Otros</w:t>
        <w:tab/>
        <w:t>3.5</w:t>
        <w:tab/>
        <w:t>3.8</w:t>
        <w:tab/>
        <w:t>3.3</w:t>
        <w:tab/>
        <w:t>2.9</w:t>
        <w:tab/>
        <w:t>3.0</w:t>
        <w:tab/>
        <w:t>2.9</w:t>
        <w:tab/>
        <w:t>2.9</w:t>
        <w:tab/>
        <w:t>2.1</w:t>
        <w:tab/>
        <w:t>1.6</w:t>
        <w:tab/>
        <w:t>1.5</w:t>
        <w:tab/>
        <w:t>1.5</w:t>
        <w:tab/>
        <w:t>1.3</w:t>
        <w:tab/>
        <w:t>1.1</w:t>
      </w:r>
    </w:p>
    <w:p>
      <w:pPr>
        <w:pStyle w:val="BodyText"/>
        <w:spacing w:before="2"/>
        <w:rPr>
          <w:sz w:val="17"/>
        </w:rPr>
      </w:pPr>
    </w:p>
    <w:p>
      <w:pPr>
        <w:tabs>
          <w:tab w:pos="1741" w:val="left" w:leader="none"/>
        </w:tabs>
        <w:spacing w:before="12"/>
        <w:ind w:left="702" w:right="0" w:firstLine="0"/>
        <w:jc w:val="left"/>
        <w:rPr>
          <w:rFonts w:ascii="Palatino Linotype"/>
          <w:b/>
          <w:sz w:val="16"/>
        </w:rPr>
      </w:pPr>
      <w:r>
        <w:rPr>
          <w:rFonts w:ascii="Palatino Linotype"/>
          <w:b/>
          <w:color w:val="231F20"/>
          <w:spacing w:val="-5"/>
          <w:sz w:val="16"/>
        </w:rPr>
        <w:t>NAFTA</w:t>
        <w:tab/>
      </w:r>
      <w:r>
        <w:rPr>
          <w:rFonts w:ascii="Palatino Linotype"/>
          <w:b/>
          <w:color w:val="231F20"/>
          <w:sz w:val="16"/>
        </w:rPr>
        <w:t>30.3     28.2     28.5     27.0     25.8     25.1     23.7     18.3     14.2     15.6     16.9     18.8  </w:t>
      </w:r>
      <w:r>
        <w:rPr>
          <w:rFonts w:ascii="Palatino Linotype"/>
          <w:b/>
          <w:color w:val="231F20"/>
          <w:spacing w:val="28"/>
          <w:sz w:val="16"/>
        </w:rPr>
        <w:t> </w:t>
      </w:r>
      <w:r>
        <w:rPr>
          <w:rFonts w:ascii="Palatino Linotype"/>
          <w:b/>
          <w:color w:val="231F20"/>
          <w:sz w:val="16"/>
        </w:rPr>
        <w:t>18.9</w:t>
      </w:r>
    </w:p>
    <w:p>
      <w:pPr>
        <w:tabs>
          <w:tab w:pos="1785" w:val="left" w:leader="none"/>
          <w:tab w:pos="2261" w:val="left" w:leader="none"/>
          <w:tab w:pos="2738" w:val="left" w:leader="none"/>
          <w:tab w:pos="3214" w:val="left" w:leader="none"/>
          <w:tab w:pos="3690" w:val="left" w:leader="none"/>
          <w:tab w:pos="4166" w:val="left" w:leader="none"/>
          <w:tab w:pos="4642" w:val="left" w:leader="none"/>
          <w:tab w:pos="5118" w:val="left" w:leader="none"/>
          <w:tab w:pos="5595" w:val="left" w:leader="none"/>
          <w:tab w:pos="6071" w:val="left" w:leader="none"/>
          <w:tab w:pos="6547" w:val="left" w:leader="none"/>
          <w:tab w:pos="7023" w:val="left" w:leader="none"/>
          <w:tab w:pos="7499" w:val="left" w:leader="none"/>
        </w:tabs>
        <w:spacing w:before="114"/>
        <w:ind w:left="701" w:right="0" w:firstLine="0"/>
        <w:jc w:val="left"/>
        <w:rPr>
          <w:sz w:val="16"/>
        </w:rPr>
      </w:pPr>
      <w:r>
        <w:rPr>
          <w:color w:val="231F20"/>
          <w:sz w:val="16"/>
        </w:rPr>
        <w:t>México</w:t>
        <w:tab/>
        <w:t>3.3</w:t>
        <w:tab/>
        <w:t>3.3</w:t>
        <w:tab/>
        <w:t>3.1</w:t>
        <w:tab/>
        <w:t>2.6</w:t>
        <w:tab/>
        <w:t>2.5</w:t>
        <w:tab/>
        <w:t>2.6</w:t>
        <w:tab/>
        <w:t>3.0</w:t>
        <w:tab/>
        <w:t>3.1</w:t>
        <w:tab/>
        <w:t>2.5</w:t>
        <w:tab/>
        <w:t>3.0</w:t>
        <w:tab/>
        <w:t>3.4</w:t>
        <w:tab/>
        <w:t>3.6</w:t>
        <w:tab/>
        <w:t>3.5</w:t>
      </w:r>
    </w:p>
    <w:p>
      <w:pPr>
        <w:tabs>
          <w:tab w:pos="1785" w:val="left" w:leader="none"/>
          <w:tab w:pos="2261" w:val="left" w:leader="none"/>
          <w:tab w:pos="2737" w:val="left" w:leader="none"/>
          <w:tab w:pos="3213" w:val="left" w:leader="none"/>
          <w:tab w:pos="3689" w:val="left" w:leader="none"/>
          <w:tab w:pos="4165" w:val="left" w:leader="none"/>
          <w:tab w:pos="4641" w:val="left" w:leader="none"/>
          <w:tab w:pos="5118" w:val="left" w:leader="none"/>
          <w:tab w:pos="5594" w:val="left" w:leader="none"/>
          <w:tab w:pos="6070" w:val="left" w:leader="none"/>
          <w:tab w:pos="6546" w:val="left" w:leader="none"/>
          <w:tab w:pos="7022" w:val="left" w:leader="none"/>
          <w:tab w:pos="7498" w:val="left" w:leader="none"/>
        </w:tabs>
        <w:spacing w:before="128"/>
        <w:ind w:left="700" w:right="0" w:firstLine="0"/>
        <w:jc w:val="left"/>
        <w:rPr>
          <w:sz w:val="16"/>
        </w:rPr>
      </w:pPr>
      <w:r>
        <w:rPr>
          <w:color w:val="231F20"/>
          <w:sz w:val="16"/>
        </w:rPr>
        <w:t>Canadá</w:t>
        <w:tab/>
        <w:t>5.1</w:t>
        <w:tab/>
        <w:t>4.5</w:t>
        <w:tab/>
        <w:t>4.5</w:t>
        <w:tab/>
        <w:t>4.3</w:t>
        <w:tab/>
        <w:t>4.3</w:t>
        <w:tab/>
        <w:t>4.1</w:t>
        <w:tab/>
        <w:t>3.8</w:t>
        <w:tab/>
        <w:t>2.9</w:t>
        <w:tab/>
        <w:t>2.4</w:t>
        <w:tab/>
        <w:t>2.7</w:t>
        <w:tab/>
        <w:t>2.7</w:t>
        <w:tab/>
        <w:t>2.9</w:t>
        <w:tab/>
        <w:t>2.7</w:t>
      </w:r>
    </w:p>
    <w:p>
      <w:pPr>
        <w:spacing w:line="136" w:lineRule="exact" w:before="110"/>
        <w:ind w:left="700" w:right="673" w:firstLine="0"/>
        <w:jc w:val="left"/>
        <w:rPr>
          <w:sz w:val="16"/>
        </w:rPr>
      </w:pPr>
      <w:r>
        <w:rPr>
          <w:color w:val="231F20"/>
          <w:sz w:val="16"/>
        </w:rPr>
        <w:t>Estados</w:t>
      </w:r>
    </w:p>
    <w:p>
      <w:pPr>
        <w:tabs>
          <w:tab w:pos="1745" w:val="left" w:leader="none"/>
          <w:tab w:pos="2221" w:val="left" w:leader="none"/>
          <w:tab w:pos="2698" w:val="left" w:leader="none"/>
          <w:tab w:pos="3174" w:val="left" w:leader="none"/>
          <w:tab w:pos="3650" w:val="left" w:leader="none"/>
          <w:tab w:pos="4126" w:val="left" w:leader="none"/>
          <w:tab w:pos="4602" w:val="left" w:leader="none"/>
          <w:tab w:pos="5078" w:val="left" w:leader="none"/>
          <w:tab w:pos="5593" w:val="left" w:leader="none"/>
          <w:tab w:pos="6031" w:val="left" w:leader="none"/>
          <w:tab w:pos="6507" w:val="left" w:leader="none"/>
          <w:tab w:pos="6983" w:val="left" w:leader="none"/>
          <w:tab w:pos="7459" w:val="left" w:leader="none"/>
        </w:tabs>
        <w:spacing w:line="226" w:lineRule="exact" w:before="0"/>
        <w:ind w:left="700" w:right="0" w:firstLine="0"/>
        <w:jc w:val="left"/>
        <w:rPr>
          <w:sz w:val="16"/>
        </w:rPr>
      </w:pPr>
      <w:r>
        <w:rPr/>
        <w:pict>
          <v:group style="position:absolute;margin-left:56.442902pt;margin-top:13.20505pt;width:359.95pt;height:.5pt;mso-position-horizontal-relative:page;mso-position-vertical-relative:paragraph;z-index:6688;mso-wrap-distance-left:0;mso-wrap-distance-right:0" coordorigin="1129,264" coordsize="7199,10">
            <v:line style="position:absolute" from="1134,269" to="2132,269" stroked="true" strokeweight=".5pt" strokecolor="#231f20"/>
            <v:line style="position:absolute" from="2132,269" to="2608,269" stroked="true" strokeweight=".5pt" strokecolor="#231f20"/>
            <v:line style="position:absolute" from="2608,269" to="3084,269" stroked="true" strokeweight=".5pt" strokecolor="#231f20"/>
            <v:line style="position:absolute" from="3084,269" to="3560,269" stroked="true" strokeweight=".5pt" strokecolor="#231f20"/>
            <v:line style="position:absolute" from="3560,269" to="4037,269" stroked="true" strokeweight=".5pt" strokecolor="#231f20"/>
            <v:line style="position:absolute" from="4037,269" to="4513,269" stroked="true" strokeweight=".5pt" strokecolor="#231f20"/>
            <v:line style="position:absolute" from="4513,269" to="4989,269" stroked="true" strokeweight=".5pt" strokecolor="#231f20"/>
            <v:line style="position:absolute" from="4989,269" to="5465,269" stroked="true" strokeweight=".5pt" strokecolor="#231f20"/>
            <v:line style="position:absolute" from="5465,269" to="5941,269" stroked="true" strokeweight=".5pt" strokecolor="#231f20"/>
            <v:line style="position:absolute" from="5941,269" to="6418,269" stroked="true" strokeweight=".5pt" strokecolor="#231f20"/>
            <v:line style="position:absolute" from="6418,269" to="6894,269" stroked="true" strokeweight=".5pt" strokecolor="#231f20"/>
            <v:line style="position:absolute" from="6894,269" to="7370,269" stroked="true" strokeweight=".5pt" strokecolor="#231f20"/>
            <v:line style="position:absolute" from="7370,269" to="7846,269" stroked="true" strokeweight=".5pt" strokecolor="#231f20"/>
            <v:line style="position:absolute" from="7846,269" to="8323,269" stroked="true" strokeweight=".5pt" strokecolor="#231f20"/>
            <w10:wrap type="topAndBottom"/>
          </v:group>
        </w:pict>
      </w:r>
      <w:r>
        <w:rPr/>
        <w:pict>
          <v:group style="position:absolute;margin-left:56.442902pt;margin-top:27.02095pt;width:359.95pt;height:.5pt;mso-position-horizontal-relative:page;mso-position-vertical-relative:paragraph;z-index:6712;mso-wrap-distance-left:0;mso-wrap-distance-right:0" coordorigin="1129,540" coordsize="7199,10">
            <v:line style="position:absolute" from="1134,545" to="2132,545" stroked="true" strokeweight=".5pt" strokecolor="#231f20"/>
            <v:line style="position:absolute" from="2132,545" to="2608,545" stroked="true" strokeweight=".5pt" strokecolor="#231f20"/>
            <v:line style="position:absolute" from="2608,545" to="3084,545" stroked="true" strokeweight=".5pt" strokecolor="#231f20"/>
            <v:line style="position:absolute" from="3084,545" to="3560,545" stroked="true" strokeweight=".5pt" strokecolor="#231f20"/>
            <v:line style="position:absolute" from="3560,545" to="4037,545" stroked="true" strokeweight=".5pt" strokecolor="#231f20"/>
            <v:line style="position:absolute" from="4037,545" to="4513,545" stroked="true" strokeweight=".5pt" strokecolor="#231f20"/>
            <v:line style="position:absolute" from="4513,545" to="4989,545" stroked="true" strokeweight=".5pt" strokecolor="#231f20"/>
            <v:line style="position:absolute" from="4989,545" to="5465,545" stroked="true" strokeweight=".5pt" strokecolor="#231f20"/>
            <v:line style="position:absolute" from="5465,545" to="5941,545" stroked="true" strokeweight=".5pt" strokecolor="#231f20"/>
            <v:line style="position:absolute" from="5941,545" to="6418,545" stroked="true" strokeweight=".5pt" strokecolor="#231f20"/>
            <v:line style="position:absolute" from="6418,545" to="6894,545" stroked="true" strokeweight=".5pt" strokecolor="#231f20"/>
            <v:line style="position:absolute" from="6894,545" to="7370,545" stroked="true" strokeweight=".5pt" strokecolor="#231f20"/>
            <v:line style="position:absolute" from="7370,545" to="7846,545" stroked="true" strokeweight=".5pt" strokecolor="#231f20"/>
            <v:line style="position:absolute" from="7846,545" to="8323,545" stroked="true" strokeweight=".5pt" strokecolor="#231f20"/>
            <w10:wrap type="topAndBottom"/>
          </v:group>
        </w:pict>
      </w:r>
      <w:r>
        <w:rPr>
          <w:color w:val="231F20"/>
          <w:position w:val="-8"/>
          <w:sz w:val="16"/>
        </w:rPr>
        <w:t>Unidos</w:t>
        <w:tab/>
      </w:r>
      <w:r>
        <w:rPr>
          <w:color w:val="231F20"/>
          <w:sz w:val="16"/>
        </w:rPr>
        <w:t>21.9</w:t>
        <w:tab/>
        <w:t>20.4</w:t>
        <w:tab/>
        <w:t>21.0</w:t>
        <w:tab/>
        <w:t>20.1</w:t>
        <w:tab/>
        <w:t>19.0</w:t>
        <w:tab/>
        <w:t>18.4</w:t>
        <w:tab/>
        <w:t>16.9</w:t>
        <w:tab/>
        <w:t>12.3</w:t>
        <w:tab/>
        <w:t>9.3</w:t>
        <w:tab/>
        <w:t>10.0</w:t>
        <w:tab/>
        <w:t>10.8</w:t>
        <w:tab/>
        <w:t>12.3</w:t>
        <w:tab/>
        <w:t>12.7</w:t>
      </w:r>
    </w:p>
    <w:p>
      <w:pPr>
        <w:pStyle w:val="BodyText"/>
        <w:spacing w:before="2"/>
        <w:rPr>
          <w:sz w:val="17"/>
        </w:rPr>
      </w:pPr>
    </w:p>
    <w:p>
      <w:pPr>
        <w:tabs>
          <w:tab w:pos="1777" w:val="left" w:leader="none"/>
          <w:tab w:pos="2253" w:val="left" w:leader="none"/>
          <w:tab w:pos="2729" w:val="left" w:leader="none"/>
          <w:tab w:pos="3205" w:val="left" w:leader="none"/>
          <w:tab w:pos="3681" w:val="left" w:leader="none"/>
          <w:tab w:pos="4158" w:val="left" w:leader="none"/>
          <w:tab w:pos="4634" w:val="left" w:leader="none"/>
          <w:tab w:pos="5110" w:val="left" w:leader="none"/>
          <w:tab w:pos="5586" w:val="left" w:leader="none"/>
          <w:tab w:pos="6062" w:val="left" w:leader="none"/>
          <w:tab w:pos="6538" w:val="left" w:leader="none"/>
          <w:tab w:pos="7015" w:val="left" w:leader="none"/>
          <w:tab w:pos="7491" w:val="left" w:leader="none"/>
        </w:tabs>
        <w:spacing w:before="12"/>
        <w:ind w:left="698" w:right="0" w:firstLine="0"/>
        <w:jc w:val="left"/>
        <w:rPr>
          <w:rFonts w:ascii="Palatino Linotype" w:hAnsi="Palatino Linotype"/>
          <w:b/>
          <w:sz w:val="16"/>
        </w:rPr>
      </w:pPr>
      <w:r>
        <w:rPr>
          <w:rFonts w:ascii="Palatino Linotype" w:hAnsi="Palatino Linotype"/>
          <w:b/>
          <w:color w:val="231F20"/>
          <w:w w:val="95"/>
          <w:sz w:val="16"/>
        </w:rPr>
        <w:t>Sudamérica</w:t>
        <w:tab/>
      </w:r>
      <w:r>
        <w:rPr>
          <w:rFonts w:ascii="Palatino Linotype" w:hAnsi="Palatino Linotype"/>
          <w:b/>
          <w:color w:val="231F20"/>
          <w:sz w:val="16"/>
        </w:rPr>
        <w:t>3.5</w:t>
        <w:tab/>
        <w:t>3.7</w:t>
        <w:tab/>
        <w:t>3.3</w:t>
        <w:tab/>
        <w:t>3.3</w:t>
        <w:tab/>
        <w:t>3.9</w:t>
        <w:tab/>
        <w:t>4.4</w:t>
        <w:tab/>
        <w:t>4.6</w:t>
        <w:tab/>
        <w:t>5.4</w:t>
        <w:tab/>
        <w:t>6.0</w:t>
        <w:tab/>
        <w:t>5.6</w:t>
        <w:tab/>
        <w:t>5.3</w:t>
        <w:tab/>
        <w:t>4.9</w:t>
        <w:tab/>
        <w:t>5.2</w:t>
      </w:r>
    </w:p>
    <w:p>
      <w:pPr>
        <w:tabs>
          <w:tab w:pos="1781" w:val="left" w:leader="none"/>
          <w:tab w:pos="2257" w:val="left" w:leader="none"/>
          <w:tab w:pos="2734" w:val="left" w:leader="none"/>
          <w:tab w:pos="3210" w:val="left" w:leader="none"/>
          <w:tab w:pos="3686" w:val="left" w:leader="none"/>
          <w:tab w:pos="4162" w:val="left" w:leader="none"/>
          <w:tab w:pos="4638" w:val="left" w:leader="none"/>
          <w:tab w:pos="5114" w:val="left" w:leader="none"/>
          <w:tab w:pos="5591" w:val="left" w:leader="none"/>
          <w:tab w:pos="6067" w:val="left" w:leader="none"/>
          <w:tab w:pos="6543" w:val="left" w:leader="none"/>
          <w:tab w:pos="7019" w:val="left" w:leader="none"/>
          <w:tab w:pos="7495" w:val="left" w:leader="none"/>
        </w:tabs>
        <w:spacing w:before="114"/>
        <w:ind w:left="697" w:right="0" w:firstLine="0"/>
        <w:jc w:val="left"/>
        <w:rPr>
          <w:sz w:val="16"/>
        </w:rPr>
      </w:pPr>
      <w:r>
        <w:rPr>
          <w:color w:val="231F20"/>
          <w:sz w:val="16"/>
        </w:rPr>
        <w:t>Brasil</w:t>
        <w:tab/>
        <w:t>2.9</w:t>
        <w:tab/>
        <w:t>3.2</w:t>
        <w:tab/>
        <w:t>3.1</w:t>
        <w:tab/>
        <w:t>3.0</w:t>
        <w:tab/>
        <w:t>3.5</w:t>
        <w:tab/>
        <w:t>3.9</w:t>
        <w:tab/>
        <w:t>4.0</w:t>
        <w:tab/>
        <w:t>4.6</w:t>
        <w:tab/>
        <w:t>5.2</w:t>
        <w:tab/>
        <w:t>4.7</w:t>
        <w:tab/>
        <w:t>4.3</w:t>
        <w:tab/>
        <w:t>4.0</w:t>
        <w:tab/>
        <w:t>4.3</w:t>
      </w:r>
    </w:p>
    <w:p>
      <w:pPr>
        <w:tabs>
          <w:tab w:pos="1781" w:val="left" w:leader="none"/>
          <w:tab w:pos="2257" w:val="left" w:leader="none"/>
          <w:tab w:pos="2733" w:val="left" w:leader="none"/>
          <w:tab w:pos="3209" w:val="left" w:leader="none"/>
          <w:tab w:pos="3685" w:val="left" w:leader="none"/>
          <w:tab w:pos="4161" w:val="left" w:leader="none"/>
          <w:tab w:pos="4637" w:val="left" w:leader="none"/>
          <w:tab w:pos="5114" w:val="left" w:leader="none"/>
          <w:tab w:pos="5590" w:val="left" w:leader="none"/>
          <w:tab w:pos="6066" w:val="left" w:leader="none"/>
          <w:tab w:pos="6542" w:val="left" w:leader="none"/>
          <w:tab w:pos="7018" w:val="left" w:leader="none"/>
          <w:tab w:pos="7494" w:val="left" w:leader="none"/>
        </w:tabs>
        <w:spacing w:before="128"/>
        <w:ind w:left="696" w:right="0" w:firstLine="0"/>
        <w:jc w:val="left"/>
        <w:rPr>
          <w:sz w:val="16"/>
        </w:rPr>
      </w:pPr>
      <w:r>
        <w:rPr/>
        <w:pict>
          <v:group style="position:absolute;margin-left:56.442902pt;margin-top:18.488243pt;width:359.95pt;height:.5pt;mso-position-horizontal-relative:page;mso-position-vertical-relative:paragraph;z-index:6736;mso-wrap-distance-left:0;mso-wrap-distance-right:0" coordorigin="1129,370" coordsize="7199,10">
            <v:line style="position:absolute" from="1134,375" to="2132,375" stroked="true" strokeweight=".5pt" strokecolor="#231f20"/>
            <v:line style="position:absolute" from="2132,375" to="2608,375" stroked="true" strokeweight=".5pt" strokecolor="#231f20"/>
            <v:line style="position:absolute" from="2608,375" to="3084,375" stroked="true" strokeweight=".5pt" strokecolor="#231f20"/>
            <v:line style="position:absolute" from="3084,375" to="3560,375" stroked="true" strokeweight=".5pt" strokecolor="#231f20"/>
            <v:line style="position:absolute" from="3560,375" to="4037,375" stroked="true" strokeweight=".5pt" strokecolor="#231f20"/>
            <v:line style="position:absolute" from="4037,375" to="4513,375" stroked="true" strokeweight=".5pt" strokecolor="#231f20"/>
            <v:line style="position:absolute" from="4513,375" to="4989,375" stroked="true" strokeweight=".5pt" strokecolor="#231f20"/>
            <v:line style="position:absolute" from="4989,375" to="5465,375" stroked="true" strokeweight=".5pt" strokecolor="#231f20"/>
            <v:line style="position:absolute" from="5465,375" to="5941,375" stroked="true" strokeweight=".5pt" strokecolor="#231f20"/>
            <v:line style="position:absolute" from="5941,375" to="6418,375" stroked="true" strokeweight=".5pt" strokecolor="#231f20"/>
            <v:line style="position:absolute" from="6418,375" to="6894,375" stroked="true" strokeweight=".5pt" strokecolor="#231f20"/>
            <v:line style="position:absolute" from="6894,375" to="7370,375" stroked="true" strokeweight=".5pt" strokecolor="#231f20"/>
            <v:line style="position:absolute" from="7370,375" to="7846,375" stroked="true" strokeweight=".5pt" strokecolor="#231f20"/>
            <v:line style="position:absolute" from="7846,375" to="8323,375" stroked="true" strokeweight=".5pt" strokecolor="#231f20"/>
            <w10:wrap type="topAndBottom"/>
          </v:group>
        </w:pict>
      </w:r>
      <w:r>
        <w:rPr/>
        <w:pict>
          <v:group style="position:absolute;margin-left:56.442902pt;margin-top:34.078743pt;width:359.95pt;height:.5pt;mso-position-horizontal-relative:page;mso-position-vertical-relative:paragraph;z-index:6760;mso-wrap-distance-left:0;mso-wrap-distance-right:0" coordorigin="1129,682" coordsize="7199,10">
            <v:line style="position:absolute" from="1134,687" to="2132,687" stroked="true" strokeweight=".5pt" strokecolor="#231f20"/>
            <v:line style="position:absolute" from="2132,687" to="2608,687" stroked="true" strokeweight=".5pt" strokecolor="#231f20"/>
            <v:line style="position:absolute" from="2608,687" to="3084,687" stroked="true" strokeweight=".5pt" strokecolor="#231f20"/>
            <v:line style="position:absolute" from="3084,687" to="3560,687" stroked="true" strokeweight=".5pt" strokecolor="#231f20"/>
            <v:line style="position:absolute" from="3560,687" to="4037,687" stroked="true" strokeweight=".5pt" strokecolor="#231f20"/>
            <v:line style="position:absolute" from="4037,687" to="4513,687" stroked="true" strokeweight=".5pt" strokecolor="#231f20"/>
            <v:line style="position:absolute" from="4513,687" to="4989,687" stroked="true" strokeweight=".5pt" strokecolor="#231f20"/>
            <v:line style="position:absolute" from="4989,687" to="5465,687" stroked="true" strokeweight=".5pt" strokecolor="#231f20"/>
            <v:line style="position:absolute" from="5465,687" to="5941,687" stroked="true" strokeweight=".5pt" strokecolor="#231f20"/>
            <v:line style="position:absolute" from="5941,687" to="6418,687" stroked="true" strokeweight=".5pt" strokecolor="#231f20"/>
            <v:line style="position:absolute" from="6418,687" to="6894,687" stroked="true" strokeweight=".5pt" strokecolor="#231f20"/>
            <v:line style="position:absolute" from="6894,687" to="7370,687" stroked="true" strokeweight=".5pt" strokecolor="#231f20"/>
            <v:line style="position:absolute" from="7370,687" to="7846,687" stroked="true" strokeweight=".5pt" strokecolor="#231f20"/>
            <v:line style="position:absolute" from="7846,687" to="8323,687" stroked="true" strokeweight=".5pt" strokecolor="#231f20"/>
            <w10:wrap type="topAndBottom"/>
          </v:group>
        </w:pict>
      </w:r>
      <w:r>
        <w:rPr>
          <w:color w:val="231F20"/>
          <w:sz w:val="16"/>
        </w:rPr>
        <w:t>Argentina</w:t>
        <w:tab/>
        <w:t>0.6</w:t>
        <w:tab/>
        <w:t>0.4</w:t>
        <w:tab/>
        <w:t>0.3</w:t>
        <w:tab/>
        <w:t>0.3</w:t>
        <w:tab/>
        <w:t>0.4</w:t>
        <w:tab/>
        <w:t>0.5</w:t>
        <w:tab/>
        <w:t>0.6</w:t>
        <w:tab/>
        <w:t>0.8</w:t>
        <w:tab/>
        <w:t>0.8</w:t>
        <w:tab/>
        <w:t>0.9</w:t>
        <w:tab/>
        <w:t>1.0</w:t>
        <w:tab/>
        <w:t>0.9</w:t>
        <w:tab/>
        <w:t>0.9</w:t>
      </w:r>
    </w:p>
    <w:p>
      <w:pPr>
        <w:pStyle w:val="BodyText"/>
        <w:spacing w:before="3"/>
        <w:rPr>
          <w:sz w:val="20"/>
        </w:rPr>
      </w:pPr>
    </w:p>
    <w:p>
      <w:pPr>
        <w:tabs>
          <w:tab w:pos="1734" w:val="left" w:leader="none"/>
        </w:tabs>
        <w:spacing w:before="12" w:after="44"/>
        <w:ind w:left="695" w:right="0" w:firstLine="0"/>
        <w:jc w:val="left"/>
        <w:rPr>
          <w:rFonts w:ascii="Palatino Linotype" w:hAnsi="Palatino Linotype"/>
          <w:b/>
          <w:sz w:val="16"/>
        </w:rPr>
      </w:pPr>
      <w:r>
        <w:rPr>
          <w:rFonts w:ascii="Palatino Linotype" w:hAnsi="Palatino Linotype"/>
          <w:b/>
          <w:color w:val="231F20"/>
          <w:sz w:val="16"/>
        </w:rPr>
        <w:t>Japón</w:t>
        <w:tab/>
        <w:t>17.4     17.5     17.5     17.1     16.7     16.6     16.7     16.3     12.9     12.4     10.5     11.8  </w:t>
      </w:r>
      <w:r>
        <w:rPr>
          <w:rFonts w:ascii="Palatino Linotype" w:hAnsi="Palatino Linotype"/>
          <w:b/>
          <w:color w:val="231F20"/>
          <w:spacing w:val="28"/>
          <w:sz w:val="16"/>
        </w:rPr>
        <w:t> </w:t>
      </w:r>
      <w:r>
        <w:rPr>
          <w:rFonts w:ascii="Palatino Linotype" w:hAnsi="Palatino Linotype"/>
          <w:b/>
          <w:color w:val="231F20"/>
          <w:sz w:val="16"/>
        </w:rPr>
        <w:t>11.0</w:t>
      </w:r>
    </w:p>
    <w:p>
      <w:pPr>
        <w:pStyle w:val="BodyText"/>
        <w:spacing w:line="20" w:lineRule="exact"/>
        <w:ind w:left="648"/>
        <w:rPr>
          <w:rFonts w:ascii="Palatino Linotype"/>
          <w:sz w:val="2"/>
        </w:rPr>
      </w:pPr>
      <w:r>
        <w:rPr>
          <w:rFonts w:ascii="Palatino Linotype"/>
          <w:sz w:val="2"/>
        </w:rPr>
        <w:pict>
          <v:group style="width:359.95pt;height:.5pt;mso-position-horizontal-relative:char;mso-position-vertical-relative:line" coordorigin="0,0" coordsize="7199,10">
            <v:line style="position:absolute" from="5,5" to="1003,5" stroked="true" strokeweight=".5pt" strokecolor="#231f20"/>
            <v:line style="position:absolute" from="1003,5" to="1479,5" stroked="true" strokeweight=".5pt" strokecolor="#231f20"/>
            <v:line style="position:absolute" from="1479,5" to="1955,5" stroked="true" strokeweight=".5pt" strokecolor="#231f20"/>
            <v:line style="position:absolute" from="1955,5" to="2431,5" stroked="true" strokeweight=".5pt" strokecolor="#231f20"/>
            <v:line style="position:absolute" from="2431,5" to="2908,5" stroked="true" strokeweight=".5pt" strokecolor="#231f20"/>
            <v:line style="position:absolute" from="2908,5" to="3384,5" stroked="true" strokeweight=".5pt" strokecolor="#231f20"/>
            <v:line style="position:absolute" from="3384,5" to="3860,5" stroked="true" strokeweight=".5pt" strokecolor="#231f20"/>
            <v:line style="position:absolute" from="3860,5" to="4336,5" stroked="true" strokeweight=".5pt" strokecolor="#231f20"/>
            <v:line style="position:absolute" from="4336,5" to="4813,5" stroked="true" strokeweight=".5pt" strokecolor="#231f20"/>
            <v:line style="position:absolute" from="4813,5" to="5289,5" stroked="true" strokeweight=".5pt" strokecolor="#231f20"/>
            <v:line style="position:absolute" from="5289,5" to="5765,5" stroked="true" strokeweight=".5pt" strokecolor="#231f20"/>
            <v:line style="position:absolute" from="5765,5" to="6241,5" stroked="true" strokeweight=".5pt" strokecolor="#231f20"/>
            <v:line style="position:absolute" from="6241,5" to="6717,5" stroked="true" strokeweight=".5pt" strokecolor="#231f20"/>
            <v:line style="position:absolute" from="6717,5" to="7194,5" stroked="true" strokeweight=".5pt" strokecolor="#231f20"/>
          </v:group>
        </w:pict>
      </w:r>
      <w:r>
        <w:rPr>
          <w:rFonts w:ascii="Palatino Linotype"/>
          <w:sz w:val="2"/>
        </w:rPr>
      </w:r>
    </w:p>
    <w:p>
      <w:pPr>
        <w:pStyle w:val="BodyText"/>
        <w:spacing w:before="1"/>
        <w:rPr>
          <w:rFonts w:ascii="Palatino Linotype"/>
          <w:b/>
          <w:sz w:val="16"/>
        </w:rPr>
      </w:pPr>
      <w:r>
        <w:rPr/>
        <w:pict>
          <v:group style="position:absolute;margin-left:56.442902pt;margin-top:12.81590pt;width:359.95pt;height:.5pt;mso-position-horizontal-relative:page;mso-position-vertical-relative:paragraph;z-index:6808;mso-wrap-distance-left:0;mso-wrap-distance-right:0" coordorigin="1129,256" coordsize="7199,10">
            <v:line style="position:absolute" from="1134,261" to="2132,261" stroked="true" strokeweight=".5pt" strokecolor="#231f20"/>
            <v:line style="position:absolute" from="2132,261" to="2608,261" stroked="true" strokeweight=".5pt" strokecolor="#231f20"/>
            <v:line style="position:absolute" from="2608,261" to="3084,261" stroked="true" strokeweight=".5pt" strokecolor="#231f20"/>
            <v:line style="position:absolute" from="3084,261" to="3560,261" stroked="true" strokeweight=".5pt" strokecolor="#231f20"/>
            <v:line style="position:absolute" from="3560,261" to="4037,261" stroked="true" strokeweight=".5pt" strokecolor="#231f20"/>
            <v:line style="position:absolute" from="4037,261" to="4513,261" stroked="true" strokeweight=".5pt" strokecolor="#231f20"/>
            <v:line style="position:absolute" from="4513,261" to="4989,261" stroked="true" strokeweight=".5pt" strokecolor="#231f20"/>
            <v:line style="position:absolute" from="4989,261" to="5465,261" stroked="true" strokeweight=".5pt" strokecolor="#231f20"/>
            <v:line style="position:absolute" from="5465,261" to="5941,261" stroked="true" strokeweight=".5pt" strokecolor="#231f20"/>
            <v:line style="position:absolute" from="5941,261" to="6418,261" stroked="true" strokeweight=".5pt" strokecolor="#231f20"/>
            <v:line style="position:absolute" from="6418,261" to="6894,261" stroked="true" strokeweight=".5pt" strokecolor="#231f20"/>
            <v:line style="position:absolute" from="6894,261" to="7370,261" stroked="true" strokeweight=".5pt" strokecolor="#231f20"/>
            <v:line style="position:absolute" from="7370,261" to="7846,261" stroked="true" strokeweight=".5pt" strokecolor="#231f20"/>
            <v:line style="position:absolute" from="7846,261" to="8323,261" stroked="true" strokeweight=".5pt" strokecolor="#231f20"/>
            <w10:wrap type="topAndBottom"/>
          </v:group>
        </w:pict>
      </w:r>
    </w:p>
    <w:p>
      <w:pPr>
        <w:spacing w:before="12"/>
        <w:ind w:left="693" w:right="0" w:firstLine="0"/>
        <w:jc w:val="left"/>
        <w:rPr>
          <w:rFonts w:ascii="Palatino Linotype" w:hAnsi="Palatino Linotype"/>
          <w:b/>
          <w:sz w:val="16"/>
        </w:rPr>
      </w:pPr>
      <w:r>
        <w:rPr>
          <w:rFonts w:ascii="Palatino Linotype" w:hAnsi="Palatino Linotype"/>
          <w:b/>
          <w:color w:val="231F20"/>
          <w:sz w:val="16"/>
        </w:rPr>
        <w:t>Asia Pacífico    13.5     14.3     16.2     18.8     20.1     21.5     22.6     26.1     36.2     37.9     38.1     38.8 40.5</w:t>
      </w:r>
    </w:p>
    <w:p>
      <w:pPr>
        <w:tabs>
          <w:tab w:pos="1777" w:val="left" w:leader="none"/>
          <w:tab w:pos="2253" w:val="left" w:leader="none"/>
          <w:tab w:pos="2729" w:val="left" w:leader="none"/>
          <w:tab w:pos="3205" w:val="left" w:leader="none"/>
          <w:tab w:pos="3681" w:val="left" w:leader="none"/>
          <w:tab w:pos="4157" w:val="left" w:leader="none"/>
          <w:tab w:pos="4633" w:val="left" w:leader="none"/>
          <w:tab w:pos="5110" w:val="left" w:leader="none"/>
          <w:tab w:pos="5586" w:val="left" w:leader="none"/>
          <w:tab w:pos="6062" w:val="left" w:leader="none"/>
          <w:tab w:pos="6538" w:val="left" w:leader="none"/>
          <w:tab w:pos="7014" w:val="left" w:leader="none"/>
          <w:tab w:pos="7490" w:val="left" w:leader="none"/>
        </w:tabs>
        <w:spacing w:before="114"/>
        <w:ind w:left="692" w:right="0" w:firstLine="0"/>
        <w:jc w:val="left"/>
        <w:rPr>
          <w:sz w:val="16"/>
        </w:rPr>
      </w:pPr>
      <w:r>
        <w:rPr>
          <w:color w:val="231F20"/>
          <w:sz w:val="16"/>
        </w:rPr>
        <w:t>Corea</w:t>
      </w:r>
      <w:r>
        <w:rPr>
          <w:color w:val="231F20"/>
          <w:spacing w:val="-6"/>
          <w:sz w:val="16"/>
        </w:rPr>
        <w:t> </w:t>
      </w:r>
      <w:r>
        <w:rPr>
          <w:color w:val="231F20"/>
          <w:sz w:val="16"/>
        </w:rPr>
        <w:t>del</w:t>
      </w:r>
      <w:r>
        <w:rPr>
          <w:color w:val="231F20"/>
          <w:spacing w:val="-6"/>
          <w:sz w:val="16"/>
        </w:rPr>
        <w:t> </w:t>
      </w:r>
      <w:r>
        <w:rPr>
          <w:color w:val="231F20"/>
          <w:sz w:val="16"/>
        </w:rPr>
        <w:t>Sur</w:t>
        <w:tab/>
        <w:t>5.3</w:t>
        <w:tab/>
        <w:t>5.2</w:t>
        <w:tab/>
        <w:t>5.4</w:t>
        <w:tab/>
        <w:t>5.3</w:t>
        <w:tab/>
        <w:t>5.5</w:t>
        <w:tab/>
        <w:t>5.7</w:t>
        <w:tab/>
        <w:t>5.6</w:t>
        <w:tab/>
        <w:t>5.4</w:t>
        <w:tab/>
        <w:t>5.7</w:t>
        <w:tab/>
        <w:t>5.5</w:t>
        <w:tab/>
        <w:t>5.8</w:t>
        <w:tab/>
        <w:t>5.4</w:t>
        <w:tab/>
        <w:t>5.2</w:t>
      </w:r>
    </w:p>
    <w:p>
      <w:pPr>
        <w:tabs>
          <w:tab w:pos="1776" w:val="left" w:leader="none"/>
          <w:tab w:pos="2252" w:val="left" w:leader="none"/>
          <w:tab w:pos="2728" w:val="left" w:leader="none"/>
          <w:tab w:pos="3204" w:val="left" w:leader="none"/>
          <w:tab w:pos="3680" w:val="left" w:leader="none"/>
          <w:tab w:pos="4157" w:val="left" w:leader="none"/>
          <w:tab w:pos="4633" w:val="left" w:leader="none"/>
          <w:tab w:pos="5109" w:val="left" w:leader="none"/>
          <w:tab w:pos="5585" w:val="left" w:leader="none"/>
          <w:tab w:pos="6061" w:val="left" w:leader="none"/>
          <w:tab w:pos="6537" w:val="left" w:leader="none"/>
          <w:tab w:pos="7013" w:val="left" w:leader="none"/>
          <w:tab w:pos="7490" w:val="left" w:leader="none"/>
        </w:tabs>
        <w:spacing w:before="128"/>
        <w:ind w:left="692" w:right="0" w:firstLine="0"/>
        <w:jc w:val="left"/>
        <w:rPr>
          <w:sz w:val="16"/>
        </w:rPr>
      </w:pPr>
      <w:r>
        <w:rPr>
          <w:color w:val="231F20"/>
          <w:spacing w:val="-3"/>
          <w:sz w:val="16"/>
        </w:rPr>
        <w:t>Tailandia</w:t>
        <w:tab/>
      </w:r>
      <w:r>
        <w:rPr>
          <w:color w:val="231F20"/>
          <w:sz w:val="16"/>
        </w:rPr>
        <w:t>0.7</w:t>
        <w:tab/>
        <w:t>0.8</w:t>
        <w:tab/>
        <w:t>1.0</w:t>
        <w:tab/>
        <w:t>1.2</w:t>
        <w:tab/>
        <w:t>1.4</w:t>
        <w:tab/>
        <w:t>1.5</w:t>
        <w:tab/>
        <w:t>1.6</w:t>
        <w:tab/>
        <w:t>2.0</w:t>
        <w:tab/>
        <w:t>1.6</w:t>
        <w:tab/>
        <w:t>2.1</w:t>
        <w:tab/>
        <w:t>1.8</w:t>
        <w:tab/>
        <w:t>3.0</w:t>
        <w:tab/>
        <w:t>2.8</w:t>
      </w:r>
    </w:p>
    <w:p>
      <w:pPr>
        <w:tabs>
          <w:tab w:pos="1775" w:val="left" w:leader="none"/>
          <w:tab w:pos="2251" w:val="left" w:leader="none"/>
          <w:tab w:pos="2727" w:val="left" w:leader="none"/>
          <w:tab w:pos="3203" w:val="left" w:leader="none"/>
          <w:tab w:pos="3680" w:val="left" w:leader="none"/>
          <w:tab w:pos="4156" w:val="left" w:leader="none"/>
          <w:tab w:pos="4632" w:val="left" w:leader="none"/>
          <w:tab w:pos="5108" w:val="left" w:leader="none"/>
          <w:tab w:pos="5584" w:val="left" w:leader="none"/>
          <w:tab w:pos="6060" w:val="left" w:leader="none"/>
          <w:tab w:pos="6537" w:val="left" w:leader="none"/>
          <w:tab w:pos="7013" w:val="left" w:leader="none"/>
          <w:tab w:pos="7489" w:val="left" w:leader="none"/>
        </w:tabs>
        <w:spacing w:before="128"/>
        <w:ind w:left="691" w:right="0" w:firstLine="0"/>
        <w:jc w:val="left"/>
        <w:rPr>
          <w:sz w:val="16"/>
        </w:rPr>
      </w:pPr>
      <w:r>
        <w:rPr>
          <w:color w:val="231F20"/>
          <w:sz w:val="16"/>
        </w:rPr>
        <w:t>Indonesia</w:t>
        <w:tab/>
        <w:t>0.5</w:t>
        <w:tab/>
        <w:t>0.5</w:t>
        <w:tab/>
        <w:t>0.5</w:t>
        <w:tab/>
        <w:t>0.5</w:t>
        <w:tab/>
        <w:t>0.6</w:t>
        <w:tab/>
        <w:t>0.8</w:t>
        <w:tab/>
        <w:t>0.7</w:t>
        <w:tab/>
        <w:t>0.8</w:t>
        <w:tab/>
        <w:t>0.8</w:t>
        <w:tab/>
        <w:t>0.9</w:t>
        <w:tab/>
        <w:t>1.0</w:t>
        <w:tab/>
        <w:t>1.3</w:t>
        <w:tab/>
        <w:t>1.4</w:t>
      </w:r>
    </w:p>
    <w:p>
      <w:pPr>
        <w:tabs>
          <w:tab w:pos="1774" w:val="left" w:leader="none"/>
          <w:tab w:pos="2250" w:val="left" w:leader="none"/>
          <w:tab w:pos="2726" w:val="left" w:leader="none"/>
          <w:tab w:pos="3203" w:val="left" w:leader="none"/>
          <w:tab w:pos="3679" w:val="left" w:leader="none"/>
          <w:tab w:pos="4155" w:val="left" w:leader="none"/>
          <w:tab w:pos="4631" w:val="left" w:leader="none"/>
          <w:tab w:pos="5069" w:val="left" w:leader="none"/>
          <w:tab w:pos="5545" w:val="left" w:leader="none"/>
          <w:tab w:pos="6021" w:val="left" w:leader="none"/>
          <w:tab w:pos="6497" w:val="left" w:leader="none"/>
          <w:tab w:pos="6973" w:val="left" w:leader="none"/>
          <w:tab w:pos="7450" w:val="left" w:leader="none"/>
        </w:tabs>
        <w:spacing w:before="128"/>
        <w:ind w:left="690" w:right="0" w:firstLine="0"/>
        <w:jc w:val="left"/>
        <w:rPr>
          <w:sz w:val="16"/>
        </w:rPr>
      </w:pPr>
      <w:r>
        <w:rPr>
          <w:color w:val="231F20"/>
          <w:sz w:val="16"/>
        </w:rPr>
        <w:t>China</w:t>
        <w:tab/>
        <w:t>3.6</w:t>
        <w:tab/>
        <w:t>4.2</w:t>
        <w:tab/>
        <w:t>5.7</w:t>
        <w:tab/>
        <w:t>7.6</w:t>
        <w:tab/>
        <w:t>8.1</w:t>
        <w:tab/>
        <w:t>8.8</w:t>
        <w:tab/>
        <w:t>9.9</w:t>
        <w:tab/>
        <w:t>13.2</w:t>
        <w:tab/>
        <w:t>22.3</w:t>
        <w:tab/>
        <w:t>23.5</w:t>
        <w:tab/>
        <w:t>23.1</w:t>
        <w:tab/>
        <w:t>22.9</w:t>
        <w:tab/>
        <w:t>25.3</w:t>
      </w:r>
    </w:p>
    <w:p>
      <w:pPr>
        <w:tabs>
          <w:tab w:pos="1773" w:val="left" w:leader="none"/>
          <w:tab w:pos="2249" w:val="left" w:leader="none"/>
          <w:tab w:pos="2726" w:val="left" w:leader="none"/>
          <w:tab w:pos="3202" w:val="left" w:leader="none"/>
          <w:tab w:pos="3678" w:val="left" w:leader="none"/>
          <w:tab w:pos="4154" w:val="left" w:leader="none"/>
          <w:tab w:pos="4630" w:val="left" w:leader="none"/>
          <w:tab w:pos="5106" w:val="left" w:leader="none"/>
          <w:tab w:pos="5583" w:val="left" w:leader="none"/>
          <w:tab w:pos="6059" w:val="left" w:leader="none"/>
          <w:tab w:pos="6535" w:val="left" w:leader="none"/>
          <w:tab w:pos="7011" w:val="left" w:leader="none"/>
          <w:tab w:pos="7487" w:val="left" w:leader="none"/>
        </w:tabs>
        <w:spacing w:before="128"/>
        <w:ind w:left="689" w:right="0" w:firstLine="0"/>
        <w:jc w:val="left"/>
        <w:rPr>
          <w:sz w:val="16"/>
        </w:rPr>
      </w:pPr>
      <w:r>
        <w:rPr>
          <w:color w:val="231F20"/>
          <w:sz w:val="16"/>
        </w:rPr>
        <w:t>India</w:t>
        <w:tab/>
        <w:t>1.7</w:t>
        <w:tab/>
        <w:t>1.9</w:t>
        <w:tab/>
        <w:t>1.8</w:t>
        <w:tab/>
        <w:t>2.3</w:t>
        <w:tab/>
        <w:t>2.6</w:t>
        <w:tab/>
        <w:t>2.7</w:t>
        <w:tab/>
        <w:t>2.9</w:t>
        <w:tab/>
        <w:t>3.3</w:t>
        <w:tab/>
        <w:t>4.3</w:t>
        <w:tab/>
        <w:t>4.5</w:t>
        <w:tab/>
        <w:t>4.9</w:t>
        <w:tab/>
        <w:t>4.9</w:t>
        <w:tab/>
        <w:t>4.4</w:t>
      </w:r>
    </w:p>
    <w:p>
      <w:pPr>
        <w:tabs>
          <w:tab w:pos="1773" w:val="left" w:leader="none"/>
          <w:tab w:pos="2249" w:val="left" w:leader="none"/>
          <w:tab w:pos="2725" w:val="left" w:leader="none"/>
          <w:tab w:pos="3201" w:val="left" w:leader="none"/>
          <w:tab w:pos="3677" w:val="left" w:leader="none"/>
          <w:tab w:pos="4153" w:val="left" w:leader="none"/>
          <w:tab w:pos="4629" w:val="left" w:leader="none"/>
          <w:tab w:pos="5106" w:val="left" w:leader="none"/>
          <w:tab w:pos="5582" w:val="left" w:leader="none"/>
          <w:tab w:pos="6058" w:val="left" w:leader="none"/>
          <w:tab w:pos="6534" w:val="left" w:leader="none"/>
          <w:tab w:pos="7010" w:val="left" w:leader="none"/>
          <w:tab w:pos="7486" w:val="left" w:leader="none"/>
        </w:tabs>
        <w:spacing w:before="128"/>
        <w:ind w:left="688" w:right="0" w:firstLine="0"/>
        <w:jc w:val="left"/>
        <w:rPr>
          <w:sz w:val="16"/>
        </w:rPr>
      </w:pPr>
      <w:r>
        <w:rPr>
          <w:color w:val="231F20"/>
          <w:sz w:val="16"/>
        </w:rPr>
        <w:t>Malasia</w:t>
        <w:tab/>
        <w:t>0.6</w:t>
        <w:tab/>
        <w:t>0.8</w:t>
        <w:tab/>
        <w:t>0.8</w:t>
        <w:tab/>
        <w:t>0.7</w:t>
        <w:tab/>
        <w:t>0.7</w:t>
        <w:tab/>
        <w:t>0.9</w:t>
        <w:tab/>
        <w:t>0.7</w:t>
        <w:tab/>
        <w:t>0.8</w:t>
        <w:tab/>
        <w:t>0.8</w:t>
        <w:tab/>
        <w:t>0.7</w:t>
        <w:tab/>
        <w:t>0.7</w:t>
        <w:tab/>
        <w:t>0.7</w:t>
        <w:tab/>
        <w:t>0.7</w:t>
      </w:r>
    </w:p>
    <w:p>
      <w:pPr>
        <w:tabs>
          <w:tab w:pos="1772" w:val="left" w:leader="none"/>
          <w:tab w:pos="2248" w:val="left" w:leader="none"/>
          <w:tab w:pos="2724" w:val="left" w:leader="none"/>
          <w:tab w:pos="3200" w:val="left" w:leader="none"/>
          <w:tab w:pos="3676" w:val="left" w:leader="none"/>
          <w:tab w:pos="4175" w:val="left" w:leader="none"/>
          <w:tab w:pos="4651" w:val="left" w:leader="none"/>
          <w:tab w:pos="5128" w:val="left" w:leader="none"/>
          <w:tab w:pos="5604" w:val="left" w:leader="none"/>
          <w:tab w:pos="6080" w:val="left" w:leader="none"/>
          <w:tab w:pos="6556" w:val="left" w:leader="none"/>
          <w:tab w:pos="7032" w:val="left" w:leader="none"/>
          <w:tab w:pos="7508" w:val="left" w:leader="none"/>
        </w:tabs>
        <w:spacing w:before="128"/>
        <w:ind w:left="688" w:right="0" w:firstLine="0"/>
        <w:jc w:val="left"/>
        <w:rPr>
          <w:sz w:val="16"/>
        </w:rPr>
      </w:pPr>
      <w:r>
        <w:rPr>
          <w:color w:val="231F20"/>
          <w:spacing w:val="-4"/>
          <w:sz w:val="16"/>
        </w:rPr>
        <w:t>Taiwán</w:t>
        <w:tab/>
      </w:r>
      <w:r>
        <w:rPr>
          <w:color w:val="231F20"/>
          <w:sz w:val="16"/>
        </w:rPr>
        <w:t>0.6</w:t>
        <w:tab/>
        <w:t>0.5</w:t>
        <w:tab/>
        <w:t>0.5</w:t>
        <w:tab/>
        <w:t>0.6</w:t>
        <w:tab/>
        <w:t>0.6</w:t>
        <w:tab/>
        <w:t>0.7</w:t>
        <w:tab/>
        <w:t>0.6</w:t>
        <w:tab/>
        <w:t>0.3</w:t>
        <w:tab/>
        <w:t>0.4</w:t>
        <w:tab/>
        <w:t>0.4</w:t>
        <w:tab/>
        <w:t>0.4</w:t>
        <w:tab/>
        <w:t>0.4</w:t>
        <w:tab/>
        <w:t>0.4</w:t>
      </w:r>
    </w:p>
    <w:p>
      <w:pPr>
        <w:tabs>
          <w:tab w:pos="1794" w:val="left" w:leader="none"/>
          <w:tab w:pos="2270" w:val="left" w:leader="none"/>
          <w:tab w:pos="2746" w:val="left" w:leader="none"/>
          <w:tab w:pos="3222" w:val="left" w:leader="none"/>
          <w:tab w:pos="3698" w:val="left" w:leader="none"/>
          <w:tab w:pos="4174" w:val="left" w:leader="none"/>
          <w:tab w:pos="4651" w:val="left" w:leader="none"/>
          <w:tab w:pos="5127" w:val="left" w:leader="none"/>
          <w:tab w:pos="5603" w:val="left" w:leader="none"/>
          <w:tab w:pos="6079" w:val="left" w:leader="none"/>
          <w:tab w:pos="6555" w:val="left" w:leader="none"/>
          <w:tab w:pos="7031" w:val="left" w:leader="none"/>
          <w:tab w:pos="7508" w:val="left" w:leader="none"/>
        </w:tabs>
        <w:spacing w:before="127"/>
        <w:ind w:left="710" w:right="0" w:firstLine="0"/>
        <w:jc w:val="left"/>
        <w:rPr>
          <w:sz w:val="16"/>
        </w:rPr>
      </w:pPr>
      <w:r>
        <w:rPr/>
        <w:pict>
          <v:group style="position:absolute;margin-left:56.442902pt;margin-top:18.45455pt;width:359.95pt;height:.5pt;mso-position-horizontal-relative:page;mso-position-vertical-relative:paragraph;z-index:6832;mso-wrap-distance-left:0;mso-wrap-distance-right:0" coordorigin="1129,369" coordsize="7199,10">
            <v:line style="position:absolute" from="1134,374" to="2132,374" stroked="true" strokeweight=".5pt" strokecolor="#231f20"/>
            <v:line style="position:absolute" from="2132,374" to="2608,374" stroked="true" strokeweight=".5pt" strokecolor="#231f20"/>
            <v:line style="position:absolute" from="2608,374" to="3084,374" stroked="true" strokeweight=".5pt" strokecolor="#231f20"/>
            <v:line style="position:absolute" from="3084,374" to="3560,374" stroked="true" strokeweight=".5pt" strokecolor="#231f20"/>
            <v:line style="position:absolute" from="3560,374" to="4037,374" stroked="true" strokeweight=".5pt" strokecolor="#231f20"/>
            <v:line style="position:absolute" from="4037,374" to="4513,374" stroked="true" strokeweight=".5pt" strokecolor="#231f20"/>
            <v:line style="position:absolute" from="4513,374" to="4989,374" stroked="true" strokeweight=".5pt" strokecolor="#231f20"/>
            <v:line style="position:absolute" from="4989,374" to="5465,374" stroked="true" strokeweight=".5pt" strokecolor="#231f20"/>
            <v:line style="position:absolute" from="5465,374" to="5941,374" stroked="true" strokeweight=".5pt" strokecolor="#231f20"/>
            <v:line style="position:absolute" from="5941,374" to="6418,374" stroked="true" strokeweight=".5pt" strokecolor="#231f20"/>
            <v:line style="position:absolute" from="6418,374" to="6894,374" stroked="true" strokeweight=".5pt" strokecolor="#231f20"/>
            <v:line style="position:absolute" from="6894,374" to="7370,374" stroked="true" strokeweight=".5pt" strokecolor="#231f20"/>
            <v:line style="position:absolute" from="7370,374" to="7846,374" stroked="true" strokeweight=".5pt" strokecolor="#231f20"/>
            <v:line style="position:absolute" from="7846,374" to="8323,374" stroked="true" strokeweight=".5pt" strokecolor="#231f20"/>
            <w10:wrap type="topAndBottom"/>
          </v:group>
        </w:pict>
      </w:r>
      <w:r>
        <w:rPr>
          <w:color w:val="231F20"/>
          <w:sz w:val="16"/>
        </w:rPr>
        <w:t>Australia</w:t>
        <w:tab/>
        <w:t>0.6</w:t>
        <w:tab/>
        <w:t>0.6</w:t>
        <w:tab/>
        <w:t>0.6</w:t>
        <w:tab/>
        <w:t>0.7</w:t>
        <w:tab/>
        <w:t>0.6</w:t>
        <w:tab/>
        <w:t>0.6</w:t>
        <w:tab/>
        <w:t>0.6</w:t>
        <w:tab/>
        <w:t>0.5</w:t>
        <w:tab/>
        <w:t>0.4</w:t>
        <w:tab/>
        <w:t>0.3</w:t>
        <w:tab/>
        <w:t>0.3</w:t>
        <w:tab/>
        <w:t>0.2</w:t>
        <w:tab/>
        <w:t>0.2</w:t>
      </w:r>
    </w:p>
    <w:p>
      <w:pPr>
        <w:spacing w:after="0"/>
        <w:jc w:val="left"/>
        <w:rPr>
          <w:sz w:val="16"/>
        </w:rPr>
        <w:sectPr>
          <w:pgSz w:w="9640" w:h="13040"/>
          <w:pgMar w:header="581" w:footer="654" w:top="780" w:bottom="840" w:left="480" w:right="1200"/>
        </w:sectPr>
      </w:pPr>
    </w:p>
    <w:p>
      <w:pPr>
        <w:pStyle w:val="BodyText"/>
        <w:rPr>
          <w:sz w:val="20"/>
        </w:rPr>
      </w:pPr>
    </w:p>
    <w:p>
      <w:pPr>
        <w:pStyle w:val="BodyText"/>
        <w:spacing w:before="9"/>
        <w:rPr>
          <w:sz w:val="15"/>
        </w:rPr>
      </w:pPr>
    </w:p>
    <w:p>
      <w:pPr>
        <w:pStyle w:val="Heading4"/>
        <w:spacing w:line="240" w:lineRule="auto"/>
        <w:ind w:left="2534" w:right="673"/>
        <w:jc w:val="left"/>
      </w:pPr>
      <w:r>
        <w:rPr>
          <w:color w:val="231F20"/>
          <w:w w:val="95"/>
        </w:rPr>
        <w:t>Cuadro II.4 (continuación)</w:t>
      </w:r>
    </w:p>
    <w:p>
      <w:pPr>
        <w:pStyle w:val="BodyText"/>
        <w:spacing w:before="1"/>
        <w:rPr>
          <w:rFonts w:ascii="Palatino Linotype"/>
          <w:b/>
          <w:sz w:val="8"/>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5"/>
        <w:gridCol w:w="476"/>
        <w:gridCol w:w="476"/>
        <w:gridCol w:w="476"/>
        <w:gridCol w:w="476"/>
        <w:gridCol w:w="476"/>
        <w:gridCol w:w="476"/>
        <w:gridCol w:w="476"/>
        <w:gridCol w:w="476"/>
        <w:gridCol w:w="476"/>
        <w:gridCol w:w="476"/>
        <w:gridCol w:w="476"/>
        <w:gridCol w:w="486"/>
      </w:tblGrid>
      <w:tr>
        <w:trPr>
          <w:trHeight w:val="403" w:hRule="exact"/>
        </w:trPr>
        <w:tc>
          <w:tcPr>
            <w:tcW w:w="1465" w:type="dxa"/>
            <w:tcBorders>
              <w:top w:val="single" w:sz="4" w:space="0" w:color="231F20"/>
            </w:tcBorders>
          </w:tcPr>
          <w:p>
            <w:pPr>
              <w:pStyle w:val="TableParagraph"/>
              <w:spacing w:line="151" w:lineRule="exact"/>
              <w:ind w:left="56"/>
              <w:jc w:val="left"/>
              <w:rPr>
                <w:rFonts w:ascii="Palatino Linotype"/>
                <w:b/>
                <w:sz w:val="16"/>
              </w:rPr>
            </w:pPr>
            <w:r>
              <w:rPr>
                <w:rFonts w:ascii="Palatino Linotype"/>
                <w:b/>
                <w:color w:val="231F20"/>
                <w:w w:val="90"/>
                <w:sz w:val="16"/>
              </w:rPr>
              <w:t>Europa del</w:t>
            </w:r>
          </w:p>
          <w:p>
            <w:pPr>
              <w:pStyle w:val="TableParagraph"/>
              <w:tabs>
                <w:tab w:pos="1336" w:val="right" w:leader="none"/>
              </w:tabs>
              <w:spacing w:line="241" w:lineRule="exact"/>
              <w:ind w:left="56"/>
              <w:jc w:val="left"/>
              <w:rPr>
                <w:rFonts w:ascii="Palatino Linotype"/>
                <w:b/>
                <w:sz w:val="16"/>
              </w:rPr>
            </w:pPr>
            <w:r>
              <w:rPr>
                <w:rFonts w:ascii="Palatino Linotype"/>
                <w:b/>
                <w:color w:val="231F20"/>
                <w:position w:val="-8"/>
                <w:sz w:val="16"/>
              </w:rPr>
              <w:t>Este</w:t>
            </w:r>
            <w:r>
              <w:rPr>
                <w:rFonts w:ascii="Palatino Linotype"/>
                <w:b/>
                <w:color w:val="231F20"/>
                <w:sz w:val="16"/>
              </w:rPr>
              <w:tab/>
              <w:t>4.6</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4.5</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4.4</w:t>
            </w:r>
          </w:p>
        </w:tc>
        <w:tc>
          <w:tcPr>
            <w:tcW w:w="476" w:type="dxa"/>
            <w:tcBorders>
              <w:top w:val="single" w:sz="4" w:space="0" w:color="231F20"/>
            </w:tcBorders>
          </w:tcPr>
          <w:p>
            <w:pPr>
              <w:pStyle w:val="TableParagraph"/>
              <w:spacing w:before="88"/>
              <w:ind w:right="126"/>
              <w:jc w:val="right"/>
              <w:rPr>
                <w:rFonts w:ascii="Palatino Linotype"/>
                <w:b/>
                <w:sz w:val="16"/>
              </w:rPr>
            </w:pPr>
            <w:r>
              <w:rPr>
                <w:rFonts w:ascii="Palatino Linotype"/>
                <w:b/>
                <w:color w:val="231F20"/>
                <w:sz w:val="16"/>
              </w:rPr>
              <w:t>4.3</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4.7</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5.0</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5.4</w:t>
            </w:r>
          </w:p>
        </w:tc>
        <w:tc>
          <w:tcPr>
            <w:tcW w:w="476" w:type="dxa"/>
            <w:tcBorders>
              <w:top w:val="single" w:sz="4" w:space="0" w:color="231F20"/>
            </w:tcBorders>
          </w:tcPr>
          <w:p>
            <w:pPr>
              <w:pStyle w:val="TableParagraph"/>
              <w:spacing w:before="88"/>
              <w:ind w:right="126"/>
              <w:jc w:val="right"/>
              <w:rPr>
                <w:rFonts w:ascii="Palatino Linotype"/>
                <w:b/>
                <w:sz w:val="16"/>
              </w:rPr>
            </w:pPr>
            <w:r>
              <w:rPr>
                <w:rFonts w:ascii="Palatino Linotype"/>
                <w:b/>
                <w:color w:val="231F20"/>
                <w:sz w:val="16"/>
              </w:rPr>
              <w:t>8.8</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7.5</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7.4</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8.2</w:t>
            </w:r>
          </w:p>
        </w:tc>
        <w:tc>
          <w:tcPr>
            <w:tcW w:w="476" w:type="dxa"/>
            <w:tcBorders>
              <w:top w:val="single" w:sz="4" w:space="0" w:color="231F20"/>
            </w:tcBorders>
          </w:tcPr>
          <w:p>
            <w:pPr>
              <w:pStyle w:val="TableParagraph"/>
              <w:spacing w:before="88"/>
              <w:ind w:left="98" w:right="80"/>
              <w:rPr>
                <w:rFonts w:ascii="Palatino Linotype"/>
                <w:b/>
                <w:sz w:val="16"/>
              </w:rPr>
            </w:pPr>
            <w:r>
              <w:rPr>
                <w:rFonts w:ascii="Palatino Linotype"/>
                <w:b/>
                <w:color w:val="231F20"/>
                <w:sz w:val="16"/>
              </w:rPr>
              <w:t>8.0</w:t>
            </w:r>
          </w:p>
        </w:tc>
        <w:tc>
          <w:tcPr>
            <w:tcW w:w="486" w:type="dxa"/>
            <w:tcBorders>
              <w:top w:val="single" w:sz="4" w:space="0" w:color="231F20"/>
            </w:tcBorders>
          </w:tcPr>
          <w:p>
            <w:pPr>
              <w:pStyle w:val="TableParagraph"/>
              <w:spacing w:before="88"/>
              <w:ind w:left="99" w:right="91"/>
              <w:rPr>
                <w:rFonts w:ascii="Palatino Linotype"/>
                <w:b/>
                <w:sz w:val="16"/>
              </w:rPr>
            </w:pPr>
            <w:r>
              <w:rPr>
                <w:rFonts w:ascii="Palatino Linotype"/>
                <w:b/>
                <w:color w:val="231F20"/>
                <w:sz w:val="16"/>
              </w:rPr>
              <w:t>7.7</w:t>
            </w:r>
          </w:p>
        </w:tc>
      </w:tr>
      <w:tr>
        <w:trPr>
          <w:trHeight w:val="371" w:hRule="exact"/>
        </w:trPr>
        <w:tc>
          <w:tcPr>
            <w:tcW w:w="1465" w:type="dxa"/>
          </w:tcPr>
          <w:p>
            <w:pPr>
              <w:pStyle w:val="TableParagraph"/>
              <w:tabs>
                <w:tab w:pos="1330" w:val="right" w:leader="none"/>
              </w:tabs>
              <w:spacing w:before="68"/>
              <w:ind w:left="55"/>
              <w:jc w:val="left"/>
              <w:rPr>
                <w:sz w:val="16"/>
              </w:rPr>
            </w:pPr>
            <w:r>
              <w:rPr>
                <w:color w:val="231F20"/>
                <w:sz w:val="16"/>
              </w:rPr>
              <w:t>Rep.</w:t>
            </w:r>
            <w:r>
              <w:rPr>
                <w:color w:val="231F20"/>
                <w:spacing w:val="-7"/>
                <w:sz w:val="16"/>
              </w:rPr>
              <w:t> </w:t>
            </w:r>
            <w:r>
              <w:rPr>
                <w:color w:val="231F20"/>
                <w:sz w:val="16"/>
              </w:rPr>
              <w:t>Checa</w:t>
              <w:tab/>
              <w:t>0.8</w:t>
            </w:r>
          </w:p>
        </w:tc>
        <w:tc>
          <w:tcPr>
            <w:tcW w:w="476" w:type="dxa"/>
          </w:tcPr>
          <w:p>
            <w:pPr>
              <w:pStyle w:val="TableParagraph"/>
              <w:spacing w:before="68"/>
              <w:ind w:left="98" w:right="81"/>
              <w:rPr>
                <w:sz w:val="16"/>
              </w:rPr>
            </w:pPr>
            <w:r>
              <w:rPr>
                <w:color w:val="231F20"/>
                <w:sz w:val="16"/>
              </w:rPr>
              <w:t>0.8</w:t>
            </w:r>
          </w:p>
        </w:tc>
        <w:tc>
          <w:tcPr>
            <w:tcW w:w="476" w:type="dxa"/>
          </w:tcPr>
          <w:p>
            <w:pPr>
              <w:pStyle w:val="TableParagraph"/>
              <w:spacing w:before="68"/>
              <w:ind w:left="98" w:right="81"/>
              <w:rPr>
                <w:sz w:val="16"/>
              </w:rPr>
            </w:pPr>
            <w:r>
              <w:rPr>
                <w:color w:val="231F20"/>
                <w:sz w:val="16"/>
              </w:rPr>
              <w:t>0.8</w:t>
            </w:r>
          </w:p>
        </w:tc>
        <w:tc>
          <w:tcPr>
            <w:tcW w:w="476" w:type="dxa"/>
          </w:tcPr>
          <w:p>
            <w:pPr>
              <w:pStyle w:val="TableParagraph"/>
              <w:spacing w:before="68"/>
              <w:ind w:right="132"/>
              <w:jc w:val="right"/>
              <w:rPr>
                <w:sz w:val="16"/>
              </w:rPr>
            </w:pPr>
            <w:r>
              <w:rPr>
                <w:color w:val="231F20"/>
                <w:w w:val="95"/>
                <w:sz w:val="16"/>
              </w:rPr>
              <w:t>0.7</w:t>
            </w:r>
          </w:p>
        </w:tc>
        <w:tc>
          <w:tcPr>
            <w:tcW w:w="476" w:type="dxa"/>
          </w:tcPr>
          <w:p>
            <w:pPr>
              <w:pStyle w:val="TableParagraph"/>
              <w:spacing w:before="68"/>
              <w:ind w:left="98" w:right="81"/>
              <w:rPr>
                <w:sz w:val="16"/>
              </w:rPr>
            </w:pPr>
            <w:r>
              <w:rPr>
                <w:color w:val="231F20"/>
                <w:sz w:val="16"/>
              </w:rPr>
              <w:t>0.7</w:t>
            </w:r>
          </w:p>
        </w:tc>
        <w:tc>
          <w:tcPr>
            <w:tcW w:w="476" w:type="dxa"/>
          </w:tcPr>
          <w:p>
            <w:pPr>
              <w:pStyle w:val="TableParagraph"/>
              <w:spacing w:before="68"/>
              <w:ind w:left="98" w:right="81"/>
              <w:rPr>
                <w:sz w:val="16"/>
              </w:rPr>
            </w:pPr>
            <w:r>
              <w:rPr>
                <w:color w:val="231F20"/>
                <w:sz w:val="16"/>
              </w:rPr>
              <w:t>0.9</w:t>
            </w:r>
          </w:p>
        </w:tc>
        <w:tc>
          <w:tcPr>
            <w:tcW w:w="476" w:type="dxa"/>
          </w:tcPr>
          <w:p>
            <w:pPr>
              <w:pStyle w:val="TableParagraph"/>
              <w:spacing w:before="68"/>
              <w:ind w:left="98" w:right="81"/>
              <w:rPr>
                <w:sz w:val="16"/>
              </w:rPr>
            </w:pPr>
            <w:r>
              <w:rPr>
                <w:color w:val="231F20"/>
                <w:sz w:val="16"/>
              </w:rPr>
              <w:t>1.2</w:t>
            </w:r>
          </w:p>
        </w:tc>
        <w:tc>
          <w:tcPr>
            <w:tcW w:w="476" w:type="dxa"/>
          </w:tcPr>
          <w:p>
            <w:pPr>
              <w:pStyle w:val="TableParagraph"/>
              <w:spacing w:before="68"/>
              <w:ind w:right="132"/>
              <w:jc w:val="right"/>
              <w:rPr>
                <w:sz w:val="16"/>
              </w:rPr>
            </w:pPr>
            <w:r>
              <w:rPr>
                <w:color w:val="231F20"/>
                <w:w w:val="95"/>
                <w:sz w:val="16"/>
              </w:rPr>
              <w:t>1.3</w:t>
            </w:r>
          </w:p>
        </w:tc>
        <w:tc>
          <w:tcPr>
            <w:tcW w:w="476" w:type="dxa"/>
          </w:tcPr>
          <w:p>
            <w:pPr>
              <w:pStyle w:val="TableParagraph"/>
              <w:spacing w:before="68"/>
              <w:ind w:left="98" w:right="81"/>
              <w:rPr>
                <w:sz w:val="16"/>
              </w:rPr>
            </w:pPr>
            <w:r>
              <w:rPr>
                <w:color w:val="231F20"/>
                <w:sz w:val="16"/>
              </w:rPr>
              <w:t>1.6</w:t>
            </w:r>
          </w:p>
        </w:tc>
        <w:tc>
          <w:tcPr>
            <w:tcW w:w="476" w:type="dxa"/>
          </w:tcPr>
          <w:p>
            <w:pPr>
              <w:pStyle w:val="TableParagraph"/>
              <w:spacing w:before="68"/>
              <w:ind w:left="98" w:right="81"/>
              <w:rPr>
                <w:sz w:val="16"/>
              </w:rPr>
            </w:pPr>
            <w:r>
              <w:rPr>
                <w:color w:val="231F20"/>
                <w:sz w:val="16"/>
              </w:rPr>
              <w:t>1.4</w:t>
            </w:r>
          </w:p>
        </w:tc>
        <w:tc>
          <w:tcPr>
            <w:tcW w:w="476" w:type="dxa"/>
          </w:tcPr>
          <w:p>
            <w:pPr>
              <w:pStyle w:val="TableParagraph"/>
              <w:spacing w:before="68"/>
              <w:ind w:left="98" w:right="81"/>
              <w:rPr>
                <w:sz w:val="16"/>
              </w:rPr>
            </w:pPr>
            <w:r>
              <w:rPr>
                <w:color w:val="231F20"/>
                <w:sz w:val="16"/>
              </w:rPr>
              <w:t>1.5</w:t>
            </w:r>
          </w:p>
        </w:tc>
        <w:tc>
          <w:tcPr>
            <w:tcW w:w="476" w:type="dxa"/>
          </w:tcPr>
          <w:p>
            <w:pPr>
              <w:pStyle w:val="TableParagraph"/>
              <w:spacing w:before="68"/>
              <w:ind w:left="98" w:right="81"/>
              <w:rPr>
                <w:sz w:val="16"/>
              </w:rPr>
            </w:pPr>
            <w:r>
              <w:rPr>
                <w:color w:val="231F20"/>
                <w:sz w:val="16"/>
              </w:rPr>
              <w:t>1.4</w:t>
            </w:r>
          </w:p>
        </w:tc>
        <w:tc>
          <w:tcPr>
            <w:tcW w:w="486" w:type="dxa"/>
          </w:tcPr>
          <w:p>
            <w:pPr>
              <w:pStyle w:val="TableParagraph"/>
              <w:spacing w:before="68"/>
              <w:ind w:left="99" w:right="92"/>
              <w:rPr>
                <w:sz w:val="16"/>
              </w:rPr>
            </w:pPr>
            <w:r>
              <w:rPr>
                <w:color w:val="231F20"/>
                <w:sz w:val="16"/>
              </w:rPr>
              <w:t>1.3</w:t>
            </w:r>
          </w:p>
        </w:tc>
      </w:tr>
      <w:tr>
        <w:trPr>
          <w:trHeight w:val="382" w:hRule="exact"/>
        </w:trPr>
        <w:tc>
          <w:tcPr>
            <w:tcW w:w="1465" w:type="dxa"/>
          </w:tcPr>
          <w:p>
            <w:pPr>
              <w:pStyle w:val="TableParagraph"/>
              <w:spacing w:line="126" w:lineRule="exact"/>
              <w:ind w:left="55"/>
              <w:jc w:val="left"/>
              <w:rPr>
                <w:sz w:val="16"/>
              </w:rPr>
            </w:pPr>
            <w:r>
              <w:rPr>
                <w:color w:val="231F20"/>
                <w:sz w:val="16"/>
              </w:rPr>
              <w:t>Rep. De</w:t>
            </w:r>
          </w:p>
          <w:p>
            <w:pPr>
              <w:pStyle w:val="TableParagraph"/>
              <w:tabs>
                <w:tab w:pos="1329" w:val="right" w:leader="none"/>
              </w:tabs>
              <w:spacing w:line="225" w:lineRule="exact"/>
              <w:ind w:left="55"/>
              <w:jc w:val="left"/>
              <w:rPr>
                <w:sz w:val="16"/>
              </w:rPr>
            </w:pPr>
            <w:r>
              <w:rPr>
                <w:color w:val="231F20"/>
                <w:sz w:val="16"/>
              </w:rPr>
              <w:t>Eslovaquia</w:t>
            </w:r>
            <w:r>
              <w:rPr>
                <w:color w:val="231F20"/>
                <w:position w:val="9"/>
                <w:sz w:val="16"/>
              </w:rPr>
              <w:tab/>
              <w:t>0.3</w:t>
            </w:r>
          </w:p>
        </w:tc>
        <w:tc>
          <w:tcPr>
            <w:tcW w:w="476" w:type="dxa"/>
          </w:tcPr>
          <w:p>
            <w:pPr>
              <w:pStyle w:val="TableParagraph"/>
              <w:spacing w:before="79"/>
              <w:ind w:left="98" w:right="83"/>
              <w:rPr>
                <w:sz w:val="16"/>
              </w:rPr>
            </w:pPr>
            <w:r>
              <w:rPr>
                <w:color w:val="231F20"/>
                <w:sz w:val="16"/>
              </w:rPr>
              <w:t>0.3</w:t>
            </w:r>
          </w:p>
        </w:tc>
        <w:tc>
          <w:tcPr>
            <w:tcW w:w="476" w:type="dxa"/>
          </w:tcPr>
          <w:p>
            <w:pPr>
              <w:pStyle w:val="TableParagraph"/>
              <w:spacing w:before="79"/>
              <w:ind w:left="98" w:right="83"/>
              <w:rPr>
                <w:sz w:val="16"/>
              </w:rPr>
            </w:pPr>
            <w:r>
              <w:rPr>
                <w:color w:val="231F20"/>
                <w:sz w:val="16"/>
              </w:rPr>
              <w:t>0.2</w:t>
            </w:r>
          </w:p>
        </w:tc>
        <w:tc>
          <w:tcPr>
            <w:tcW w:w="476" w:type="dxa"/>
          </w:tcPr>
          <w:p>
            <w:pPr>
              <w:pStyle w:val="TableParagraph"/>
              <w:spacing w:before="79"/>
              <w:ind w:right="133"/>
              <w:jc w:val="right"/>
              <w:rPr>
                <w:sz w:val="16"/>
              </w:rPr>
            </w:pPr>
            <w:r>
              <w:rPr>
                <w:color w:val="231F20"/>
                <w:w w:val="95"/>
                <w:sz w:val="16"/>
              </w:rPr>
              <w:t>0.2</w:t>
            </w:r>
          </w:p>
        </w:tc>
        <w:tc>
          <w:tcPr>
            <w:tcW w:w="476" w:type="dxa"/>
          </w:tcPr>
          <w:p>
            <w:pPr>
              <w:pStyle w:val="TableParagraph"/>
              <w:spacing w:before="79"/>
              <w:ind w:left="98" w:right="83"/>
              <w:rPr>
                <w:sz w:val="16"/>
              </w:rPr>
            </w:pPr>
            <w:r>
              <w:rPr>
                <w:color w:val="231F20"/>
                <w:sz w:val="16"/>
              </w:rPr>
              <w:t>0.2</w:t>
            </w:r>
          </w:p>
        </w:tc>
        <w:tc>
          <w:tcPr>
            <w:tcW w:w="476" w:type="dxa"/>
          </w:tcPr>
          <w:p>
            <w:pPr>
              <w:pStyle w:val="TableParagraph"/>
              <w:spacing w:before="79"/>
              <w:ind w:left="98" w:right="83"/>
              <w:rPr>
                <w:sz w:val="16"/>
              </w:rPr>
            </w:pPr>
            <w:r>
              <w:rPr>
                <w:color w:val="231F20"/>
                <w:sz w:val="16"/>
              </w:rPr>
              <w:t>0.2</w:t>
            </w:r>
          </w:p>
        </w:tc>
        <w:tc>
          <w:tcPr>
            <w:tcW w:w="476" w:type="dxa"/>
          </w:tcPr>
          <w:p>
            <w:pPr>
              <w:pStyle w:val="TableParagraph"/>
              <w:spacing w:before="79"/>
              <w:ind w:left="98" w:right="83"/>
              <w:rPr>
                <w:sz w:val="16"/>
              </w:rPr>
            </w:pPr>
            <w:r>
              <w:rPr>
                <w:color w:val="231F20"/>
                <w:sz w:val="16"/>
              </w:rPr>
              <w:t>0.3</w:t>
            </w:r>
          </w:p>
        </w:tc>
        <w:tc>
          <w:tcPr>
            <w:tcW w:w="476" w:type="dxa"/>
          </w:tcPr>
          <w:p>
            <w:pPr>
              <w:pStyle w:val="TableParagraph"/>
              <w:spacing w:before="79"/>
              <w:ind w:right="133"/>
              <w:jc w:val="right"/>
              <w:rPr>
                <w:sz w:val="16"/>
              </w:rPr>
            </w:pPr>
            <w:r>
              <w:rPr>
                <w:color w:val="231F20"/>
                <w:w w:val="95"/>
                <w:sz w:val="16"/>
              </w:rPr>
              <w:t>0.8</w:t>
            </w:r>
          </w:p>
        </w:tc>
        <w:tc>
          <w:tcPr>
            <w:tcW w:w="476" w:type="dxa"/>
          </w:tcPr>
          <w:p>
            <w:pPr>
              <w:pStyle w:val="TableParagraph"/>
              <w:spacing w:before="79"/>
              <w:ind w:left="98" w:right="83"/>
              <w:rPr>
                <w:sz w:val="16"/>
              </w:rPr>
            </w:pPr>
            <w:r>
              <w:rPr>
                <w:color w:val="231F20"/>
                <w:sz w:val="16"/>
              </w:rPr>
              <w:t>0.7</w:t>
            </w:r>
          </w:p>
        </w:tc>
        <w:tc>
          <w:tcPr>
            <w:tcW w:w="476" w:type="dxa"/>
          </w:tcPr>
          <w:p>
            <w:pPr>
              <w:pStyle w:val="TableParagraph"/>
              <w:spacing w:before="79"/>
              <w:ind w:left="98" w:right="83"/>
              <w:rPr>
                <w:sz w:val="16"/>
              </w:rPr>
            </w:pPr>
            <w:r>
              <w:rPr>
                <w:color w:val="231F20"/>
                <w:sz w:val="16"/>
              </w:rPr>
              <w:t>0.7</w:t>
            </w:r>
          </w:p>
        </w:tc>
        <w:tc>
          <w:tcPr>
            <w:tcW w:w="476" w:type="dxa"/>
          </w:tcPr>
          <w:p>
            <w:pPr>
              <w:pStyle w:val="TableParagraph"/>
              <w:spacing w:before="79"/>
              <w:ind w:left="98" w:right="83"/>
              <w:rPr>
                <w:sz w:val="16"/>
              </w:rPr>
            </w:pPr>
            <w:r>
              <w:rPr>
                <w:color w:val="231F20"/>
                <w:sz w:val="16"/>
              </w:rPr>
              <w:t>0.8</w:t>
            </w:r>
          </w:p>
        </w:tc>
        <w:tc>
          <w:tcPr>
            <w:tcW w:w="476" w:type="dxa"/>
          </w:tcPr>
          <w:p>
            <w:pPr>
              <w:pStyle w:val="TableParagraph"/>
              <w:spacing w:before="79"/>
              <w:ind w:left="98" w:right="83"/>
              <w:rPr>
                <w:sz w:val="16"/>
              </w:rPr>
            </w:pPr>
            <w:r>
              <w:rPr>
                <w:color w:val="231F20"/>
                <w:sz w:val="16"/>
              </w:rPr>
              <w:t>1.1</w:t>
            </w:r>
          </w:p>
        </w:tc>
        <w:tc>
          <w:tcPr>
            <w:tcW w:w="486" w:type="dxa"/>
          </w:tcPr>
          <w:p>
            <w:pPr>
              <w:pStyle w:val="TableParagraph"/>
              <w:spacing w:before="79"/>
              <w:ind w:left="99" w:right="94"/>
              <w:rPr>
                <w:sz w:val="16"/>
              </w:rPr>
            </w:pPr>
            <w:r>
              <w:rPr>
                <w:color w:val="231F20"/>
                <w:sz w:val="16"/>
              </w:rPr>
              <w:t>1.1</w:t>
            </w:r>
          </w:p>
        </w:tc>
      </w:tr>
      <w:tr>
        <w:trPr>
          <w:trHeight w:val="347" w:hRule="exact"/>
        </w:trPr>
        <w:tc>
          <w:tcPr>
            <w:tcW w:w="1465" w:type="dxa"/>
          </w:tcPr>
          <w:p>
            <w:pPr>
              <w:pStyle w:val="TableParagraph"/>
              <w:tabs>
                <w:tab w:pos="1328" w:val="right" w:leader="none"/>
              </w:tabs>
              <w:spacing w:before="79"/>
              <w:ind w:left="54"/>
              <w:jc w:val="left"/>
              <w:rPr>
                <w:sz w:val="16"/>
              </w:rPr>
            </w:pPr>
            <w:r>
              <w:rPr>
                <w:color w:val="231F20"/>
                <w:sz w:val="16"/>
              </w:rPr>
              <w:t>Polonia</w:t>
              <w:tab/>
              <w:t>0.9</w:t>
            </w:r>
          </w:p>
        </w:tc>
        <w:tc>
          <w:tcPr>
            <w:tcW w:w="476" w:type="dxa"/>
          </w:tcPr>
          <w:p>
            <w:pPr>
              <w:pStyle w:val="TableParagraph"/>
              <w:spacing w:before="79"/>
              <w:ind w:left="98" w:right="84"/>
              <w:rPr>
                <w:sz w:val="16"/>
              </w:rPr>
            </w:pPr>
            <w:r>
              <w:rPr>
                <w:color w:val="231F20"/>
                <w:sz w:val="16"/>
              </w:rPr>
              <w:t>0.7</w:t>
            </w:r>
          </w:p>
        </w:tc>
        <w:tc>
          <w:tcPr>
            <w:tcW w:w="476" w:type="dxa"/>
          </w:tcPr>
          <w:p>
            <w:pPr>
              <w:pStyle w:val="TableParagraph"/>
              <w:spacing w:before="79"/>
              <w:ind w:left="98" w:right="84"/>
              <w:rPr>
                <w:sz w:val="16"/>
              </w:rPr>
            </w:pPr>
            <w:r>
              <w:rPr>
                <w:color w:val="231F20"/>
                <w:sz w:val="16"/>
              </w:rPr>
              <w:t>0.6</w:t>
            </w:r>
          </w:p>
        </w:tc>
        <w:tc>
          <w:tcPr>
            <w:tcW w:w="476" w:type="dxa"/>
          </w:tcPr>
          <w:p>
            <w:pPr>
              <w:pStyle w:val="TableParagraph"/>
              <w:spacing w:before="79"/>
              <w:ind w:right="135"/>
              <w:jc w:val="right"/>
              <w:rPr>
                <w:sz w:val="16"/>
              </w:rPr>
            </w:pPr>
            <w:r>
              <w:rPr>
                <w:color w:val="231F20"/>
                <w:w w:val="95"/>
                <w:sz w:val="16"/>
              </w:rPr>
              <w:t>0.6</w:t>
            </w:r>
          </w:p>
        </w:tc>
        <w:tc>
          <w:tcPr>
            <w:tcW w:w="476" w:type="dxa"/>
          </w:tcPr>
          <w:p>
            <w:pPr>
              <w:pStyle w:val="TableParagraph"/>
              <w:spacing w:before="79"/>
              <w:ind w:left="98" w:right="84"/>
              <w:rPr>
                <w:sz w:val="16"/>
              </w:rPr>
            </w:pPr>
            <w:r>
              <w:rPr>
                <w:color w:val="231F20"/>
                <w:sz w:val="16"/>
              </w:rPr>
              <w:t>0.9</w:t>
            </w:r>
          </w:p>
        </w:tc>
        <w:tc>
          <w:tcPr>
            <w:tcW w:w="476" w:type="dxa"/>
          </w:tcPr>
          <w:p>
            <w:pPr>
              <w:pStyle w:val="TableParagraph"/>
              <w:spacing w:before="79"/>
              <w:ind w:left="98" w:right="84"/>
              <w:rPr>
                <w:sz w:val="16"/>
              </w:rPr>
            </w:pPr>
            <w:r>
              <w:rPr>
                <w:color w:val="231F20"/>
                <w:sz w:val="16"/>
              </w:rPr>
              <w:t>1.0</w:t>
            </w:r>
          </w:p>
        </w:tc>
        <w:tc>
          <w:tcPr>
            <w:tcW w:w="476" w:type="dxa"/>
          </w:tcPr>
          <w:p>
            <w:pPr>
              <w:pStyle w:val="TableParagraph"/>
              <w:spacing w:before="79"/>
              <w:ind w:left="98" w:right="84"/>
              <w:rPr>
                <w:sz w:val="16"/>
              </w:rPr>
            </w:pPr>
            <w:r>
              <w:rPr>
                <w:color w:val="231F20"/>
                <w:sz w:val="16"/>
              </w:rPr>
              <w:t>1.0</w:t>
            </w:r>
          </w:p>
        </w:tc>
        <w:tc>
          <w:tcPr>
            <w:tcW w:w="476" w:type="dxa"/>
          </w:tcPr>
          <w:p>
            <w:pPr>
              <w:pStyle w:val="TableParagraph"/>
              <w:spacing w:before="79"/>
              <w:ind w:right="135"/>
              <w:jc w:val="right"/>
              <w:rPr>
                <w:sz w:val="16"/>
              </w:rPr>
            </w:pPr>
            <w:r>
              <w:rPr>
                <w:color w:val="231F20"/>
                <w:w w:val="95"/>
                <w:sz w:val="16"/>
              </w:rPr>
              <w:t>1.3</w:t>
            </w:r>
          </w:p>
        </w:tc>
        <w:tc>
          <w:tcPr>
            <w:tcW w:w="476" w:type="dxa"/>
          </w:tcPr>
          <w:p>
            <w:pPr>
              <w:pStyle w:val="TableParagraph"/>
              <w:spacing w:before="79"/>
              <w:ind w:left="98" w:right="84"/>
              <w:rPr>
                <w:sz w:val="16"/>
              </w:rPr>
            </w:pPr>
            <w:r>
              <w:rPr>
                <w:color w:val="231F20"/>
                <w:sz w:val="16"/>
              </w:rPr>
              <w:t>1.4</w:t>
            </w:r>
          </w:p>
        </w:tc>
        <w:tc>
          <w:tcPr>
            <w:tcW w:w="476" w:type="dxa"/>
          </w:tcPr>
          <w:p>
            <w:pPr>
              <w:pStyle w:val="TableParagraph"/>
              <w:spacing w:before="79"/>
              <w:ind w:left="98" w:right="84"/>
              <w:rPr>
                <w:sz w:val="16"/>
              </w:rPr>
            </w:pPr>
            <w:r>
              <w:rPr>
                <w:color w:val="231F20"/>
                <w:sz w:val="16"/>
              </w:rPr>
              <w:t>1.1</w:t>
            </w:r>
          </w:p>
        </w:tc>
        <w:tc>
          <w:tcPr>
            <w:tcW w:w="476" w:type="dxa"/>
          </w:tcPr>
          <w:p>
            <w:pPr>
              <w:pStyle w:val="TableParagraph"/>
              <w:spacing w:before="79"/>
              <w:ind w:left="98" w:right="84"/>
              <w:rPr>
                <w:sz w:val="16"/>
              </w:rPr>
            </w:pPr>
            <w:r>
              <w:rPr>
                <w:color w:val="231F20"/>
                <w:sz w:val="16"/>
              </w:rPr>
              <w:t>1.0</w:t>
            </w:r>
          </w:p>
        </w:tc>
        <w:tc>
          <w:tcPr>
            <w:tcW w:w="476" w:type="dxa"/>
          </w:tcPr>
          <w:p>
            <w:pPr>
              <w:pStyle w:val="TableParagraph"/>
              <w:spacing w:before="79"/>
              <w:ind w:left="98" w:right="84"/>
              <w:rPr>
                <w:sz w:val="16"/>
              </w:rPr>
            </w:pPr>
            <w:r>
              <w:rPr>
                <w:color w:val="231F20"/>
                <w:sz w:val="16"/>
              </w:rPr>
              <w:t>0.8</w:t>
            </w:r>
          </w:p>
        </w:tc>
        <w:tc>
          <w:tcPr>
            <w:tcW w:w="486" w:type="dxa"/>
          </w:tcPr>
          <w:p>
            <w:pPr>
              <w:pStyle w:val="TableParagraph"/>
              <w:spacing w:before="79"/>
              <w:ind w:left="99" w:right="96"/>
              <w:rPr>
                <w:sz w:val="16"/>
              </w:rPr>
            </w:pPr>
            <w:r>
              <w:rPr>
                <w:color w:val="231F20"/>
                <w:sz w:val="16"/>
              </w:rPr>
              <w:t>0.7</w:t>
            </w:r>
          </w:p>
        </w:tc>
      </w:tr>
      <w:tr>
        <w:trPr>
          <w:trHeight w:val="312" w:hRule="exact"/>
        </w:trPr>
        <w:tc>
          <w:tcPr>
            <w:tcW w:w="1465" w:type="dxa"/>
          </w:tcPr>
          <w:p>
            <w:pPr>
              <w:pStyle w:val="TableParagraph"/>
              <w:tabs>
                <w:tab w:pos="1327" w:val="right" w:leader="none"/>
              </w:tabs>
              <w:spacing w:before="44"/>
              <w:ind w:left="53"/>
              <w:jc w:val="left"/>
              <w:rPr>
                <w:sz w:val="16"/>
              </w:rPr>
            </w:pPr>
            <w:r>
              <w:rPr>
                <w:color w:val="231F20"/>
                <w:sz w:val="16"/>
              </w:rPr>
              <w:t>Eslovenia</w:t>
              <w:tab/>
              <w:t>0.2</w:t>
            </w:r>
          </w:p>
        </w:tc>
        <w:tc>
          <w:tcPr>
            <w:tcW w:w="476" w:type="dxa"/>
          </w:tcPr>
          <w:p>
            <w:pPr>
              <w:pStyle w:val="TableParagraph"/>
              <w:spacing w:before="44"/>
              <w:ind w:left="98" w:right="86"/>
              <w:rPr>
                <w:sz w:val="16"/>
              </w:rPr>
            </w:pPr>
            <w:r>
              <w:rPr>
                <w:color w:val="231F20"/>
                <w:sz w:val="16"/>
              </w:rPr>
              <w:t>0.2</w:t>
            </w:r>
          </w:p>
        </w:tc>
        <w:tc>
          <w:tcPr>
            <w:tcW w:w="476" w:type="dxa"/>
          </w:tcPr>
          <w:p>
            <w:pPr>
              <w:pStyle w:val="TableParagraph"/>
              <w:spacing w:before="44"/>
              <w:ind w:left="98" w:right="86"/>
              <w:rPr>
                <w:sz w:val="16"/>
              </w:rPr>
            </w:pPr>
            <w:r>
              <w:rPr>
                <w:color w:val="231F20"/>
                <w:sz w:val="16"/>
              </w:rPr>
              <w:t>0.2</w:t>
            </w:r>
          </w:p>
        </w:tc>
        <w:tc>
          <w:tcPr>
            <w:tcW w:w="476" w:type="dxa"/>
          </w:tcPr>
          <w:p>
            <w:pPr>
              <w:pStyle w:val="TableParagraph"/>
              <w:spacing w:before="44"/>
              <w:ind w:right="134"/>
              <w:jc w:val="right"/>
              <w:rPr>
                <w:sz w:val="16"/>
              </w:rPr>
            </w:pPr>
            <w:r>
              <w:rPr>
                <w:color w:val="231F20"/>
                <w:w w:val="95"/>
                <w:sz w:val="16"/>
              </w:rPr>
              <w:t>0.2</w:t>
            </w:r>
          </w:p>
        </w:tc>
        <w:tc>
          <w:tcPr>
            <w:tcW w:w="476" w:type="dxa"/>
          </w:tcPr>
          <w:p>
            <w:pPr>
              <w:pStyle w:val="TableParagraph"/>
              <w:spacing w:before="44"/>
              <w:ind w:left="98" w:right="86"/>
              <w:rPr>
                <w:sz w:val="16"/>
              </w:rPr>
            </w:pPr>
            <w:r>
              <w:rPr>
                <w:color w:val="231F20"/>
                <w:sz w:val="16"/>
              </w:rPr>
              <w:t>0.2</w:t>
            </w:r>
          </w:p>
        </w:tc>
        <w:tc>
          <w:tcPr>
            <w:tcW w:w="476" w:type="dxa"/>
          </w:tcPr>
          <w:p>
            <w:pPr>
              <w:pStyle w:val="TableParagraph"/>
              <w:spacing w:before="44"/>
              <w:ind w:left="98" w:right="86"/>
              <w:rPr>
                <w:sz w:val="16"/>
              </w:rPr>
            </w:pPr>
            <w:r>
              <w:rPr>
                <w:color w:val="231F20"/>
                <w:sz w:val="16"/>
              </w:rPr>
              <w:t>0.3</w:t>
            </w:r>
          </w:p>
        </w:tc>
        <w:tc>
          <w:tcPr>
            <w:tcW w:w="476" w:type="dxa"/>
          </w:tcPr>
          <w:p>
            <w:pPr>
              <w:pStyle w:val="TableParagraph"/>
              <w:spacing w:before="44"/>
              <w:ind w:left="98" w:right="86"/>
              <w:rPr>
                <w:sz w:val="16"/>
              </w:rPr>
            </w:pPr>
            <w:r>
              <w:rPr>
                <w:color w:val="231F20"/>
                <w:sz w:val="16"/>
              </w:rPr>
              <w:t>0.2</w:t>
            </w:r>
          </w:p>
        </w:tc>
        <w:tc>
          <w:tcPr>
            <w:tcW w:w="476" w:type="dxa"/>
          </w:tcPr>
          <w:p>
            <w:pPr>
              <w:pStyle w:val="TableParagraph"/>
              <w:spacing w:before="44"/>
              <w:ind w:right="134"/>
              <w:jc w:val="right"/>
              <w:rPr>
                <w:sz w:val="16"/>
              </w:rPr>
            </w:pPr>
            <w:r>
              <w:rPr>
                <w:color w:val="231F20"/>
                <w:w w:val="95"/>
                <w:sz w:val="16"/>
              </w:rPr>
              <w:t>0.3</w:t>
            </w:r>
          </w:p>
        </w:tc>
        <w:tc>
          <w:tcPr>
            <w:tcW w:w="476" w:type="dxa"/>
          </w:tcPr>
          <w:p>
            <w:pPr>
              <w:pStyle w:val="TableParagraph"/>
              <w:spacing w:before="44"/>
              <w:ind w:left="98" w:right="86"/>
              <w:rPr>
                <w:sz w:val="16"/>
              </w:rPr>
            </w:pPr>
            <w:r>
              <w:rPr>
                <w:color w:val="231F20"/>
                <w:sz w:val="16"/>
              </w:rPr>
              <w:t>0.3</w:t>
            </w:r>
          </w:p>
        </w:tc>
        <w:tc>
          <w:tcPr>
            <w:tcW w:w="476" w:type="dxa"/>
          </w:tcPr>
          <w:p>
            <w:pPr>
              <w:pStyle w:val="TableParagraph"/>
              <w:spacing w:before="44"/>
              <w:ind w:left="98" w:right="86"/>
              <w:rPr>
                <w:sz w:val="16"/>
              </w:rPr>
            </w:pPr>
            <w:r>
              <w:rPr>
                <w:color w:val="231F20"/>
                <w:sz w:val="16"/>
              </w:rPr>
              <w:t>0.3</w:t>
            </w:r>
          </w:p>
        </w:tc>
        <w:tc>
          <w:tcPr>
            <w:tcW w:w="476" w:type="dxa"/>
          </w:tcPr>
          <w:p>
            <w:pPr>
              <w:pStyle w:val="TableParagraph"/>
              <w:spacing w:before="44"/>
              <w:ind w:left="98" w:right="86"/>
              <w:rPr>
                <w:sz w:val="16"/>
              </w:rPr>
            </w:pPr>
            <w:r>
              <w:rPr>
                <w:color w:val="231F20"/>
                <w:sz w:val="16"/>
              </w:rPr>
              <w:t>0.2</w:t>
            </w:r>
          </w:p>
        </w:tc>
        <w:tc>
          <w:tcPr>
            <w:tcW w:w="476" w:type="dxa"/>
          </w:tcPr>
          <w:p>
            <w:pPr>
              <w:pStyle w:val="TableParagraph"/>
              <w:spacing w:before="44"/>
              <w:ind w:left="98" w:right="86"/>
              <w:rPr>
                <w:sz w:val="16"/>
              </w:rPr>
            </w:pPr>
            <w:r>
              <w:rPr>
                <w:color w:val="231F20"/>
                <w:sz w:val="16"/>
              </w:rPr>
              <w:t>0.2</w:t>
            </w:r>
          </w:p>
        </w:tc>
        <w:tc>
          <w:tcPr>
            <w:tcW w:w="486" w:type="dxa"/>
          </w:tcPr>
          <w:p>
            <w:pPr>
              <w:pStyle w:val="TableParagraph"/>
              <w:spacing w:before="44"/>
              <w:ind w:left="99" w:right="97"/>
              <w:rPr>
                <w:sz w:val="16"/>
              </w:rPr>
            </w:pPr>
            <w:r>
              <w:rPr>
                <w:color w:val="231F20"/>
                <w:sz w:val="16"/>
              </w:rPr>
              <w:t>0.1</w:t>
            </w:r>
          </w:p>
        </w:tc>
      </w:tr>
      <w:tr>
        <w:trPr>
          <w:trHeight w:val="312" w:hRule="exact"/>
        </w:trPr>
        <w:tc>
          <w:tcPr>
            <w:tcW w:w="1465" w:type="dxa"/>
          </w:tcPr>
          <w:p>
            <w:pPr>
              <w:pStyle w:val="TableParagraph"/>
              <w:tabs>
                <w:tab w:pos="1326" w:val="right" w:leader="none"/>
              </w:tabs>
              <w:spacing w:before="44"/>
              <w:ind w:left="52"/>
              <w:jc w:val="left"/>
              <w:rPr>
                <w:sz w:val="16"/>
              </w:rPr>
            </w:pPr>
            <w:r>
              <w:rPr>
                <w:color w:val="231F20"/>
                <w:sz w:val="16"/>
              </w:rPr>
              <w:t>Hungría</w:t>
              <w:tab/>
              <w:t>0.3</w:t>
            </w:r>
          </w:p>
        </w:tc>
        <w:tc>
          <w:tcPr>
            <w:tcW w:w="476" w:type="dxa"/>
          </w:tcPr>
          <w:p>
            <w:pPr>
              <w:pStyle w:val="TableParagraph"/>
              <w:spacing w:before="44"/>
              <w:ind w:left="98" w:right="88"/>
              <w:rPr>
                <w:sz w:val="16"/>
              </w:rPr>
            </w:pPr>
            <w:r>
              <w:rPr>
                <w:color w:val="231F20"/>
                <w:sz w:val="16"/>
              </w:rPr>
              <w:t>0.2</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right="135"/>
              <w:jc w:val="right"/>
              <w:rPr>
                <w:sz w:val="16"/>
              </w:rPr>
            </w:pPr>
            <w:r>
              <w:rPr>
                <w:color w:val="231F20"/>
                <w:w w:val="95"/>
                <w:sz w:val="16"/>
              </w:rPr>
              <w:t>0.3</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left="98" w:right="88"/>
              <w:rPr>
                <w:sz w:val="16"/>
              </w:rPr>
            </w:pPr>
            <w:r>
              <w:rPr>
                <w:color w:val="231F20"/>
                <w:sz w:val="16"/>
              </w:rPr>
              <w:t>0.4</w:t>
            </w:r>
          </w:p>
        </w:tc>
        <w:tc>
          <w:tcPr>
            <w:tcW w:w="476" w:type="dxa"/>
          </w:tcPr>
          <w:p>
            <w:pPr>
              <w:pStyle w:val="TableParagraph"/>
              <w:spacing w:before="44"/>
              <w:ind w:right="135"/>
              <w:jc w:val="right"/>
              <w:rPr>
                <w:sz w:val="16"/>
              </w:rPr>
            </w:pPr>
            <w:r>
              <w:rPr>
                <w:color w:val="231F20"/>
                <w:w w:val="95"/>
                <w:sz w:val="16"/>
              </w:rPr>
              <w:t>0.5</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left="98" w:right="88"/>
              <w:rPr>
                <w:sz w:val="16"/>
              </w:rPr>
            </w:pPr>
            <w:r>
              <w:rPr>
                <w:color w:val="231F20"/>
                <w:sz w:val="16"/>
              </w:rPr>
              <w:t>0.3</w:t>
            </w:r>
          </w:p>
        </w:tc>
        <w:tc>
          <w:tcPr>
            <w:tcW w:w="476" w:type="dxa"/>
          </w:tcPr>
          <w:p>
            <w:pPr>
              <w:pStyle w:val="TableParagraph"/>
              <w:spacing w:before="44"/>
              <w:ind w:left="98" w:right="88"/>
              <w:rPr>
                <w:sz w:val="16"/>
              </w:rPr>
            </w:pPr>
            <w:r>
              <w:rPr>
                <w:color w:val="231F20"/>
                <w:sz w:val="16"/>
              </w:rPr>
              <w:t>0.3</w:t>
            </w:r>
          </w:p>
        </w:tc>
        <w:tc>
          <w:tcPr>
            <w:tcW w:w="486" w:type="dxa"/>
          </w:tcPr>
          <w:p>
            <w:pPr>
              <w:pStyle w:val="TableParagraph"/>
              <w:spacing w:before="44"/>
              <w:ind w:left="99" w:right="99"/>
              <w:rPr>
                <w:sz w:val="16"/>
              </w:rPr>
            </w:pPr>
            <w:r>
              <w:rPr>
                <w:color w:val="231F20"/>
                <w:sz w:val="16"/>
              </w:rPr>
              <w:t>0.3</w:t>
            </w:r>
          </w:p>
        </w:tc>
      </w:tr>
      <w:tr>
        <w:trPr>
          <w:trHeight w:val="312" w:hRule="exact"/>
        </w:trPr>
        <w:tc>
          <w:tcPr>
            <w:tcW w:w="1465" w:type="dxa"/>
          </w:tcPr>
          <w:p>
            <w:pPr>
              <w:pStyle w:val="TableParagraph"/>
              <w:tabs>
                <w:tab w:pos="1326" w:val="right" w:leader="none"/>
              </w:tabs>
              <w:spacing w:before="44"/>
              <w:ind w:left="51"/>
              <w:jc w:val="left"/>
              <w:rPr>
                <w:sz w:val="16"/>
              </w:rPr>
            </w:pPr>
            <w:r>
              <w:rPr>
                <w:color w:val="231F20"/>
                <w:sz w:val="16"/>
              </w:rPr>
              <w:t>Rumania</w:t>
              <w:tab/>
              <w:t>0.1</w:t>
            </w:r>
          </w:p>
        </w:tc>
        <w:tc>
          <w:tcPr>
            <w:tcW w:w="476" w:type="dxa"/>
          </w:tcPr>
          <w:p>
            <w:pPr>
              <w:pStyle w:val="TableParagraph"/>
              <w:spacing w:before="44"/>
              <w:ind w:left="98" w:right="89"/>
              <w:rPr>
                <w:sz w:val="16"/>
              </w:rPr>
            </w:pPr>
            <w:r>
              <w:rPr>
                <w:color w:val="231F20"/>
                <w:sz w:val="16"/>
              </w:rPr>
              <w:t>0.1</w:t>
            </w:r>
          </w:p>
        </w:tc>
        <w:tc>
          <w:tcPr>
            <w:tcW w:w="476" w:type="dxa"/>
          </w:tcPr>
          <w:p>
            <w:pPr>
              <w:pStyle w:val="TableParagraph"/>
              <w:spacing w:before="44"/>
              <w:ind w:left="98" w:right="89"/>
              <w:rPr>
                <w:sz w:val="16"/>
              </w:rPr>
            </w:pPr>
            <w:r>
              <w:rPr>
                <w:color w:val="231F20"/>
                <w:sz w:val="16"/>
              </w:rPr>
              <w:t>0.1</w:t>
            </w:r>
          </w:p>
        </w:tc>
        <w:tc>
          <w:tcPr>
            <w:tcW w:w="476" w:type="dxa"/>
          </w:tcPr>
          <w:p>
            <w:pPr>
              <w:pStyle w:val="TableParagraph"/>
              <w:spacing w:before="44"/>
              <w:ind w:right="136"/>
              <w:jc w:val="right"/>
              <w:rPr>
                <w:sz w:val="16"/>
              </w:rPr>
            </w:pPr>
            <w:r>
              <w:rPr>
                <w:color w:val="231F20"/>
                <w:w w:val="95"/>
                <w:sz w:val="16"/>
              </w:rPr>
              <w:t>0.2</w:t>
            </w:r>
          </w:p>
        </w:tc>
        <w:tc>
          <w:tcPr>
            <w:tcW w:w="476" w:type="dxa"/>
          </w:tcPr>
          <w:p>
            <w:pPr>
              <w:pStyle w:val="TableParagraph"/>
              <w:spacing w:before="44"/>
              <w:ind w:left="98" w:right="89"/>
              <w:rPr>
                <w:sz w:val="16"/>
              </w:rPr>
            </w:pPr>
            <w:r>
              <w:rPr>
                <w:color w:val="231F20"/>
                <w:sz w:val="16"/>
              </w:rPr>
              <w:t>0.2</w:t>
            </w:r>
          </w:p>
        </w:tc>
        <w:tc>
          <w:tcPr>
            <w:tcW w:w="476" w:type="dxa"/>
          </w:tcPr>
          <w:p>
            <w:pPr>
              <w:pStyle w:val="TableParagraph"/>
              <w:spacing w:before="44"/>
              <w:ind w:left="98" w:right="89"/>
              <w:rPr>
                <w:sz w:val="16"/>
              </w:rPr>
            </w:pPr>
            <w:r>
              <w:rPr>
                <w:color w:val="231F20"/>
                <w:sz w:val="16"/>
              </w:rPr>
              <w:t>0.3</w:t>
            </w:r>
          </w:p>
        </w:tc>
        <w:tc>
          <w:tcPr>
            <w:tcW w:w="476" w:type="dxa"/>
          </w:tcPr>
          <w:p>
            <w:pPr>
              <w:pStyle w:val="TableParagraph"/>
              <w:spacing w:before="44"/>
              <w:ind w:left="98" w:right="89"/>
              <w:rPr>
                <w:sz w:val="16"/>
              </w:rPr>
            </w:pPr>
            <w:r>
              <w:rPr>
                <w:color w:val="231F20"/>
                <w:sz w:val="16"/>
              </w:rPr>
              <w:t>0.3</w:t>
            </w:r>
          </w:p>
        </w:tc>
        <w:tc>
          <w:tcPr>
            <w:tcW w:w="476" w:type="dxa"/>
          </w:tcPr>
          <w:p>
            <w:pPr>
              <w:pStyle w:val="TableParagraph"/>
              <w:spacing w:before="44"/>
              <w:ind w:right="136"/>
              <w:jc w:val="right"/>
              <w:rPr>
                <w:sz w:val="16"/>
              </w:rPr>
            </w:pPr>
            <w:r>
              <w:rPr>
                <w:color w:val="231F20"/>
                <w:w w:val="95"/>
                <w:sz w:val="16"/>
              </w:rPr>
              <w:t>0.3</w:t>
            </w:r>
          </w:p>
        </w:tc>
        <w:tc>
          <w:tcPr>
            <w:tcW w:w="476" w:type="dxa"/>
          </w:tcPr>
          <w:p>
            <w:pPr>
              <w:pStyle w:val="TableParagraph"/>
              <w:spacing w:before="44"/>
              <w:ind w:left="98" w:right="89"/>
              <w:rPr>
                <w:sz w:val="16"/>
              </w:rPr>
            </w:pPr>
            <w:r>
              <w:rPr>
                <w:color w:val="231F20"/>
                <w:sz w:val="16"/>
              </w:rPr>
              <w:t>0.5</w:t>
            </w:r>
          </w:p>
        </w:tc>
        <w:tc>
          <w:tcPr>
            <w:tcW w:w="476" w:type="dxa"/>
          </w:tcPr>
          <w:p>
            <w:pPr>
              <w:pStyle w:val="TableParagraph"/>
              <w:spacing w:before="44"/>
              <w:ind w:left="98" w:right="89"/>
              <w:rPr>
                <w:sz w:val="16"/>
              </w:rPr>
            </w:pPr>
            <w:r>
              <w:rPr>
                <w:color w:val="231F20"/>
                <w:sz w:val="16"/>
              </w:rPr>
              <w:t>0.5</w:t>
            </w:r>
          </w:p>
        </w:tc>
        <w:tc>
          <w:tcPr>
            <w:tcW w:w="476" w:type="dxa"/>
          </w:tcPr>
          <w:p>
            <w:pPr>
              <w:pStyle w:val="TableParagraph"/>
              <w:spacing w:before="44"/>
              <w:ind w:left="98" w:right="89"/>
              <w:rPr>
                <w:sz w:val="16"/>
              </w:rPr>
            </w:pPr>
            <w:r>
              <w:rPr>
                <w:color w:val="231F20"/>
                <w:sz w:val="16"/>
              </w:rPr>
              <w:t>0.4</w:t>
            </w:r>
          </w:p>
        </w:tc>
        <w:tc>
          <w:tcPr>
            <w:tcW w:w="476" w:type="dxa"/>
          </w:tcPr>
          <w:p>
            <w:pPr>
              <w:pStyle w:val="TableParagraph"/>
              <w:spacing w:before="44"/>
              <w:ind w:left="98" w:right="89"/>
              <w:rPr>
                <w:sz w:val="16"/>
              </w:rPr>
            </w:pPr>
            <w:r>
              <w:rPr>
                <w:color w:val="231F20"/>
                <w:sz w:val="16"/>
              </w:rPr>
              <w:t>0.4</w:t>
            </w:r>
          </w:p>
        </w:tc>
        <w:tc>
          <w:tcPr>
            <w:tcW w:w="486" w:type="dxa"/>
          </w:tcPr>
          <w:p>
            <w:pPr>
              <w:pStyle w:val="TableParagraph"/>
              <w:spacing w:before="44"/>
              <w:ind w:left="99" w:right="99"/>
              <w:rPr>
                <w:sz w:val="16"/>
              </w:rPr>
            </w:pPr>
            <w:r>
              <w:rPr>
                <w:color w:val="231F20"/>
                <w:sz w:val="16"/>
              </w:rPr>
              <w:t>0.5</w:t>
            </w:r>
          </w:p>
        </w:tc>
      </w:tr>
      <w:tr>
        <w:trPr>
          <w:trHeight w:val="312" w:hRule="exact"/>
        </w:trPr>
        <w:tc>
          <w:tcPr>
            <w:tcW w:w="1465" w:type="dxa"/>
          </w:tcPr>
          <w:p>
            <w:pPr>
              <w:pStyle w:val="TableParagraph"/>
              <w:tabs>
                <w:tab w:pos="1325" w:val="right" w:leader="none"/>
              </w:tabs>
              <w:spacing w:before="44"/>
              <w:ind w:left="51"/>
              <w:jc w:val="left"/>
              <w:rPr>
                <w:sz w:val="16"/>
              </w:rPr>
            </w:pPr>
            <w:r>
              <w:rPr>
                <w:color w:val="231F20"/>
                <w:sz w:val="16"/>
              </w:rPr>
              <w:t>Rusia</w:t>
              <w:tab/>
              <w:t>2.1</w:t>
            </w:r>
          </w:p>
        </w:tc>
        <w:tc>
          <w:tcPr>
            <w:tcW w:w="476" w:type="dxa"/>
          </w:tcPr>
          <w:p>
            <w:pPr>
              <w:pStyle w:val="TableParagraph"/>
              <w:spacing w:before="44"/>
              <w:ind w:left="98" w:right="91"/>
              <w:rPr>
                <w:sz w:val="16"/>
              </w:rPr>
            </w:pPr>
            <w:r>
              <w:rPr>
                <w:color w:val="231F20"/>
                <w:sz w:val="16"/>
              </w:rPr>
              <w:t>2.3</w:t>
            </w:r>
          </w:p>
        </w:tc>
        <w:tc>
          <w:tcPr>
            <w:tcW w:w="476" w:type="dxa"/>
          </w:tcPr>
          <w:p>
            <w:pPr>
              <w:pStyle w:val="TableParagraph"/>
              <w:spacing w:before="44"/>
              <w:ind w:left="98" w:right="91"/>
              <w:rPr>
                <w:sz w:val="16"/>
              </w:rPr>
            </w:pPr>
            <w:r>
              <w:rPr>
                <w:color w:val="231F20"/>
                <w:sz w:val="16"/>
              </w:rPr>
              <w:t>2.1</w:t>
            </w:r>
          </w:p>
        </w:tc>
        <w:tc>
          <w:tcPr>
            <w:tcW w:w="476" w:type="dxa"/>
          </w:tcPr>
          <w:p>
            <w:pPr>
              <w:pStyle w:val="TableParagraph"/>
              <w:spacing w:before="44"/>
              <w:ind w:right="137"/>
              <w:jc w:val="right"/>
              <w:rPr>
                <w:sz w:val="16"/>
              </w:rPr>
            </w:pPr>
            <w:r>
              <w:rPr>
                <w:color w:val="231F20"/>
                <w:w w:val="95"/>
                <w:sz w:val="16"/>
              </w:rPr>
              <w:t>2.1</w:t>
            </w:r>
          </w:p>
        </w:tc>
        <w:tc>
          <w:tcPr>
            <w:tcW w:w="476" w:type="dxa"/>
          </w:tcPr>
          <w:p>
            <w:pPr>
              <w:pStyle w:val="TableParagraph"/>
              <w:spacing w:before="44"/>
              <w:ind w:left="98" w:right="91"/>
              <w:rPr>
                <w:sz w:val="16"/>
              </w:rPr>
            </w:pPr>
            <w:r>
              <w:rPr>
                <w:color w:val="231F20"/>
                <w:sz w:val="16"/>
              </w:rPr>
              <w:t>2.2</w:t>
            </w:r>
          </w:p>
        </w:tc>
        <w:tc>
          <w:tcPr>
            <w:tcW w:w="476" w:type="dxa"/>
          </w:tcPr>
          <w:p>
            <w:pPr>
              <w:pStyle w:val="TableParagraph"/>
              <w:spacing w:before="44"/>
              <w:ind w:left="98" w:right="91"/>
              <w:rPr>
                <w:sz w:val="16"/>
              </w:rPr>
            </w:pPr>
            <w:r>
              <w:rPr>
                <w:color w:val="231F20"/>
                <w:sz w:val="16"/>
              </w:rPr>
              <w:t>2.0</w:t>
            </w:r>
          </w:p>
        </w:tc>
        <w:tc>
          <w:tcPr>
            <w:tcW w:w="476" w:type="dxa"/>
          </w:tcPr>
          <w:p>
            <w:pPr>
              <w:pStyle w:val="TableParagraph"/>
              <w:spacing w:before="44"/>
              <w:ind w:left="98" w:right="91"/>
              <w:rPr>
                <w:sz w:val="16"/>
              </w:rPr>
            </w:pPr>
            <w:r>
              <w:rPr>
                <w:color w:val="231F20"/>
                <w:sz w:val="16"/>
              </w:rPr>
              <w:t>1.9</w:t>
            </w:r>
          </w:p>
        </w:tc>
        <w:tc>
          <w:tcPr>
            <w:tcW w:w="476" w:type="dxa"/>
          </w:tcPr>
          <w:p>
            <w:pPr>
              <w:pStyle w:val="TableParagraph"/>
              <w:spacing w:before="44"/>
              <w:ind w:right="137"/>
              <w:jc w:val="right"/>
              <w:rPr>
                <w:sz w:val="16"/>
              </w:rPr>
            </w:pPr>
            <w:r>
              <w:rPr>
                <w:color w:val="231F20"/>
                <w:w w:val="95"/>
                <w:sz w:val="16"/>
              </w:rPr>
              <w:t>2.5</w:t>
            </w:r>
          </w:p>
        </w:tc>
        <w:tc>
          <w:tcPr>
            <w:tcW w:w="476" w:type="dxa"/>
          </w:tcPr>
          <w:p>
            <w:pPr>
              <w:pStyle w:val="TableParagraph"/>
              <w:spacing w:before="44"/>
              <w:ind w:left="98" w:right="91"/>
              <w:rPr>
                <w:sz w:val="16"/>
              </w:rPr>
            </w:pPr>
            <w:r>
              <w:rPr>
                <w:color w:val="231F20"/>
                <w:sz w:val="16"/>
              </w:rPr>
              <w:t>1.2</w:t>
            </w:r>
          </w:p>
        </w:tc>
        <w:tc>
          <w:tcPr>
            <w:tcW w:w="476" w:type="dxa"/>
          </w:tcPr>
          <w:p>
            <w:pPr>
              <w:pStyle w:val="TableParagraph"/>
              <w:spacing w:before="44"/>
              <w:ind w:left="98" w:right="91"/>
              <w:rPr>
                <w:sz w:val="16"/>
              </w:rPr>
            </w:pPr>
            <w:r>
              <w:rPr>
                <w:color w:val="231F20"/>
                <w:sz w:val="16"/>
              </w:rPr>
              <w:t>1.8</w:t>
            </w:r>
          </w:p>
        </w:tc>
        <w:tc>
          <w:tcPr>
            <w:tcW w:w="476" w:type="dxa"/>
          </w:tcPr>
          <w:p>
            <w:pPr>
              <w:pStyle w:val="TableParagraph"/>
              <w:spacing w:before="44"/>
              <w:ind w:left="98" w:right="91"/>
              <w:rPr>
                <w:sz w:val="16"/>
              </w:rPr>
            </w:pPr>
            <w:r>
              <w:rPr>
                <w:color w:val="231F20"/>
                <w:sz w:val="16"/>
              </w:rPr>
              <w:t>2.5</w:t>
            </w:r>
          </w:p>
        </w:tc>
        <w:tc>
          <w:tcPr>
            <w:tcW w:w="476" w:type="dxa"/>
          </w:tcPr>
          <w:p>
            <w:pPr>
              <w:pStyle w:val="TableParagraph"/>
              <w:spacing w:before="44"/>
              <w:ind w:left="98" w:right="91"/>
              <w:rPr>
                <w:sz w:val="16"/>
              </w:rPr>
            </w:pPr>
            <w:r>
              <w:rPr>
                <w:color w:val="231F20"/>
                <w:sz w:val="16"/>
              </w:rPr>
              <w:t>2.7</w:t>
            </w:r>
          </w:p>
        </w:tc>
        <w:tc>
          <w:tcPr>
            <w:tcW w:w="486" w:type="dxa"/>
          </w:tcPr>
          <w:p>
            <w:pPr>
              <w:pStyle w:val="TableParagraph"/>
              <w:spacing w:before="44"/>
              <w:ind w:left="99" w:right="99"/>
              <w:rPr>
                <w:sz w:val="16"/>
              </w:rPr>
            </w:pPr>
            <w:r>
              <w:rPr>
                <w:color w:val="231F20"/>
                <w:sz w:val="16"/>
              </w:rPr>
              <w:t>2.5</w:t>
            </w:r>
          </w:p>
        </w:tc>
      </w:tr>
      <w:tr>
        <w:trPr>
          <w:trHeight w:val="291" w:hRule="exact"/>
        </w:trPr>
        <w:tc>
          <w:tcPr>
            <w:tcW w:w="1465" w:type="dxa"/>
            <w:tcBorders>
              <w:bottom w:val="single" w:sz="4" w:space="0" w:color="231F20"/>
            </w:tcBorders>
          </w:tcPr>
          <w:p>
            <w:pPr>
              <w:pStyle w:val="TableParagraph"/>
              <w:tabs>
                <w:tab w:pos="1219" w:val="left" w:leader="none"/>
              </w:tabs>
              <w:spacing w:before="44"/>
              <w:ind w:left="50"/>
              <w:jc w:val="left"/>
              <w:rPr>
                <w:sz w:val="16"/>
              </w:rPr>
            </w:pPr>
            <w:r>
              <w:rPr>
                <w:color w:val="231F20"/>
                <w:spacing w:val="-3"/>
                <w:w w:val="105"/>
                <w:sz w:val="16"/>
              </w:rPr>
              <w:t>Turquía</w:t>
              <w:tab/>
            </w:r>
            <w:r>
              <w:rPr>
                <w:color w:val="231F20"/>
                <w:w w:val="105"/>
                <w:sz w:val="16"/>
              </w:rPr>
              <w:t>-</w:t>
            </w:r>
          </w:p>
        </w:tc>
        <w:tc>
          <w:tcPr>
            <w:tcW w:w="476" w:type="dxa"/>
            <w:tcBorders>
              <w:bottom w:val="single" w:sz="4" w:space="0" w:color="231F20"/>
            </w:tcBorders>
          </w:tcPr>
          <w:p>
            <w:pPr>
              <w:pStyle w:val="TableParagraph"/>
              <w:spacing w:before="44"/>
              <w:ind w:left="42"/>
              <w:rPr>
                <w:sz w:val="16"/>
              </w:rPr>
            </w:pPr>
            <w:r>
              <w:rPr>
                <w:color w:val="231F20"/>
                <w:w w:val="106"/>
                <w:sz w:val="16"/>
              </w:rPr>
              <w:t>-</w:t>
            </w:r>
          </w:p>
        </w:tc>
        <w:tc>
          <w:tcPr>
            <w:tcW w:w="476" w:type="dxa"/>
            <w:tcBorders>
              <w:bottom w:val="single" w:sz="4" w:space="0" w:color="231F20"/>
            </w:tcBorders>
          </w:tcPr>
          <w:p>
            <w:pPr>
              <w:pStyle w:val="TableParagraph"/>
              <w:spacing w:before="44"/>
              <w:ind w:left="42"/>
              <w:rPr>
                <w:sz w:val="16"/>
              </w:rPr>
            </w:pPr>
            <w:r>
              <w:rPr>
                <w:color w:val="231F20"/>
                <w:w w:val="106"/>
                <w:sz w:val="16"/>
              </w:rPr>
              <w:t>-</w:t>
            </w:r>
          </w:p>
        </w:tc>
        <w:tc>
          <w:tcPr>
            <w:tcW w:w="476" w:type="dxa"/>
            <w:tcBorders>
              <w:bottom w:val="single" w:sz="4" w:space="0" w:color="231F20"/>
            </w:tcBorders>
          </w:tcPr>
          <w:p>
            <w:pPr>
              <w:pStyle w:val="TableParagraph"/>
              <w:spacing w:before="44"/>
              <w:ind w:right="186"/>
              <w:jc w:val="right"/>
              <w:rPr>
                <w:sz w:val="16"/>
              </w:rPr>
            </w:pPr>
            <w:r>
              <w:rPr>
                <w:color w:val="231F20"/>
                <w:w w:val="106"/>
                <w:sz w:val="16"/>
              </w:rPr>
              <w:t>-</w:t>
            </w:r>
          </w:p>
        </w:tc>
        <w:tc>
          <w:tcPr>
            <w:tcW w:w="476" w:type="dxa"/>
            <w:tcBorders>
              <w:bottom w:val="single" w:sz="4" w:space="0" w:color="231F20"/>
            </w:tcBorders>
          </w:tcPr>
          <w:p>
            <w:pPr>
              <w:pStyle w:val="TableParagraph"/>
              <w:spacing w:before="44"/>
              <w:ind w:left="42"/>
              <w:rPr>
                <w:sz w:val="16"/>
              </w:rPr>
            </w:pPr>
            <w:r>
              <w:rPr>
                <w:color w:val="231F20"/>
                <w:w w:val="106"/>
                <w:sz w:val="16"/>
              </w:rPr>
              <w:t>-</w:t>
            </w:r>
          </w:p>
        </w:tc>
        <w:tc>
          <w:tcPr>
            <w:tcW w:w="476" w:type="dxa"/>
            <w:tcBorders>
              <w:bottom w:val="single" w:sz="4" w:space="0" w:color="231F20"/>
            </w:tcBorders>
          </w:tcPr>
          <w:p>
            <w:pPr>
              <w:pStyle w:val="TableParagraph"/>
              <w:spacing w:before="44"/>
              <w:ind w:left="42"/>
              <w:rPr>
                <w:sz w:val="16"/>
              </w:rPr>
            </w:pPr>
            <w:r>
              <w:rPr>
                <w:color w:val="231F20"/>
                <w:w w:val="106"/>
                <w:sz w:val="16"/>
              </w:rPr>
              <w:t>-</w:t>
            </w:r>
          </w:p>
        </w:tc>
        <w:tc>
          <w:tcPr>
            <w:tcW w:w="476" w:type="dxa"/>
            <w:tcBorders>
              <w:bottom w:val="single" w:sz="4" w:space="0" w:color="231F20"/>
            </w:tcBorders>
          </w:tcPr>
          <w:p>
            <w:pPr>
              <w:pStyle w:val="TableParagraph"/>
              <w:spacing w:before="44"/>
              <w:ind w:left="42"/>
              <w:rPr>
                <w:sz w:val="16"/>
              </w:rPr>
            </w:pPr>
            <w:r>
              <w:rPr>
                <w:color w:val="231F20"/>
                <w:w w:val="106"/>
                <w:sz w:val="16"/>
              </w:rPr>
              <w:t>-</w:t>
            </w:r>
          </w:p>
        </w:tc>
        <w:tc>
          <w:tcPr>
            <w:tcW w:w="476" w:type="dxa"/>
            <w:tcBorders>
              <w:bottom w:val="single" w:sz="4" w:space="0" w:color="231F20"/>
            </w:tcBorders>
          </w:tcPr>
          <w:p>
            <w:pPr>
              <w:pStyle w:val="TableParagraph"/>
              <w:spacing w:before="44"/>
              <w:ind w:right="137"/>
              <w:jc w:val="right"/>
              <w:rPr>
                <w:sz w:val="16"/>
              </w:rPr>
            </w:pPr>
            <w:r>
              <w:rPr>
                <w:color w:val="231F20"/>
                <w:w w:val="95"/>
                <w:sz w:val="16"/>
              </w:rPr>
              <w:t>1.6</w:t>
            </w:r>
          </w:p>
        </w:tc>
        <w:tc>
          <w:tcPr>
            <w:tcW w:w="476" w:type="dxa"/>
            <w:tcBorders>
              <w:bottom w:val="single" w:sz="4" w:space="0" w:color="231F20"/>
            </w:tcBorders>
          </w:tcPr>
          <w:p>
            <w:pPr>
              <w:pStyle w:val="TableParagraph"/>
              <w:spacing w:before="44"/>
              <w:ind w:left="98" w:right="92"/>
              <w:rPr>
                <w:sz w:val="16"/>
              </w:rPr>
            </w:pPr>
            <w:r>
              <w:rPr>
                <w:color w:val="231F20"/>
                <w:sz w:val="16"/>
              </w:rPr>
              <w:t>1.4</w:t>
            </w:r>
          </w:p>
        </w:tc>
        <w:tc>
          <w:tcPr>
            <w:tcW w:w="476" w:type="dxa"/>
            <w:tcBorders>
              <w:bottom w:val="single" w:sz="4" w:space="0" w:color="231F20"/>
            </w:tcBorders>
          </w:tcPr>
          <w:p>
            <w:pPr>
              <w:pStyle w:val="TableParagraph"/>
              <w:spacing w:before="44"/>
              <w:ind w:left="98" w:right="92"/>
              <w:rPr>
                <w:sz w:val="16"/>
              </w:rPr>
            </w:pPr>
            <w:r>
              <w:rPr>
                <w:color w:val="231F20"/>
                <w:sz w:val="16"/>
              </w:rPr>
              <w:t>1.4</w:t>
            </w:r>
          </w:p>
        </w:tc>
        <w:tc>
          <w:tcPr>
            <w:tcW w:w="476" w:type="dxa"/>
            <w:tcBorders>
              <w:bottom w:val="single" w:sz="4" w:space="0" w:color="231F20"/>
            </w:tcBorders>
          </w:tcPr>
          <w:p>
            <w:pPr>
              <w:pStyle w:val="TableParagraph"/>
              <w:spacing w:before="44"/>
              <w:ind w:left="98" w:right="92"/>
              <w:rPr>
                <w:sz w:val="16"/>
              </w:rPr>
            </w:pPr>
            <w:r>
              <w:rPr>
                <w:color w:val="231F20"/>
                <w:sz w:val="16"/>
              </w:rPr>
              <w:t>1.5</w:t>
            </w:r>
          </w:p>
        </w:tc>
        <w:tc>
          <w:tcPr>
            <w:tcW w:w="476" w:type="dxa"/>
            <w:tcBorders>
              <w:bottom w:val="single" w:sz="4" w:space="0" w:color="231F20"/>
            </w:tcBorders>
          </w:tcPr>
          <w:p>
            <w:pPr>
              <w:pStyle w:val="TableParagraph"/>
              <w:spacing w:before="44"/>
              <w:ind w:left="98" w:right="92"/>
              <w:rPr>
                <w:sz w:val="16"/>
              </w:rPr>
            </w:pPr>
            <w:r>
              <w:rPr>
                <w:color w:val="231F20"/>
                <w:sz w:val="16"/>
              </w:rPr>
              <w:t>1.3</w:t>
            </w:r>
          </w:p>
        </w:tc>
        <w:tc>
          <w:tcPr>
            <w:tcW w:w="486" w:type="dxa"/>
            <w:tcBorders>
              <w:bottom w:val="single" w:sz="4" w:space="0" w:color="231F20"/>
            </w:tcBorders>
          </w:tcPr>
          <w:p>
            <w:pPr>
              <w:pStyle w:val="TableParagraph"/>
              <w:spacing w:before="44"/>
              <w:ind w:left="99" w:right="100"/>
              <w:rPr>
                <w:sz w:val="16"/>
              </w:rPr>
            </w:pPr>
            <w:r>
              <w:rPr>
                <w:color w:val="231F20"/>
                <w:sz w:val="16"/>
              </w:rPr>
              <w:t>1.3</w:t>
            </w:r>
          </w:p>
        </w:tc>
      </w:tr>
      <w:tr>
        <w:trPr>
          <w:trHeight w:val="230" w:hRule="exact"/>
        </w:trPr>
        <w:tc>
          <w:tcPr>
            <w:tcW w:w="1465"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86" w:type="dxa"/>
            <w:tcBorders>
              <w:top w:val="single" w:sz="4" w:space="0" w:color="231F20"/>
              <w:bottom w:val="single" w:sz="4" w:space="0" w:color="231F20"/>
            </w:tcBorders>
          </w:tcPr>
          <w:p>
            <w:pPr/>
          </w:p>
        </w:tc>
      </w:tr>
      <w:tr>
        <w:trPr>
          <w:trHeight w:val="312" w:hRule="exact"/>
        </w:trPr>
        <w:tc>
          <w:tcPr>
            <w:tcW w:w="1465" w:type="dxa"/>
            <w:tcBorders>
              <w:top w:val="single" w:sz="4" w:space="0" w:color="231F20"/>
              <w:bottom w:val="single" w:sz="4" w:space="0" w:color="231F20"/>
            </w:tcBorders>
          </w:tcPr>
          <w:p>
            <w:pPr>
              <w:pStyle w:val="TableParagraph"/>
              <w:tabs>
                <w:tab w:pos="1328" w:val="right" w:leader="none"/>
              </w:tabs>
              <w:spacing w:before="41"/>
              <w:ind w:left="48"/>
              <w:jc w:val="left"/>
              <w:rPr>
                <w:rFonts w:ascii="Palatino Linotype"/>
                <w:b/>
                <w:sz w:val="16"/>
              </w:rPr>
            </w:pPr>
            <w:r>
              <w:rPr>
                <w:rFonts w:ascii="Palatino Linotype"/>
                <w:b/>
                <w:color w:val="231F20"/>
                <w:sz w:val="16"/>
              </w:rPr>
              <w:t>Otros</w:t>
              <w:tab/>
              <w:t>1.2</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1.1</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1.2</w:t>
            </w:r>
          </w:p>
        </w:tc>
        <w:tc>
          <w:tcPr>
            <w:tcW w:w="476" w:type="dxa"/>
            <w:tcBorders>
              <w:top w:val="single" w:sz="4" w:space="0" w:color="231F20"/>
              <w:bottom w:val="single" w:sz="4" w:space="0" w:color="231F20"/>
            </w:tcBorders>
          </w:tcPr>
          <w:p>
            <w:pPr>
              <w:pStyle w:val="TableParagraph"/>
              <w:spacing w:before="41"/>
              <w:ind w:right="134"/>
              <w:jc w:val="right"/>
              <w:rPr>
                <w:rFonts w:ascii="Palatino Linotype"/>
                <w:b/>
                <w:sz w:val="16"/>
              </w:rPr>
            </w:pPr>
            <w:r>
              <w:rPr>
                <w:rFonts w:ascii="Palatino Linotype"/>
                <w:b/>
                <w:color w:val="231F20"/>
                <w:sz w:val="16"/>
              </w:rPr>
              <w:t>1.5</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1.9</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2.0</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2.3</w:t>
            </w:r>
          </w:p>
        </w:tc>
        <w:tc>
          <w:tcPr>
            <w:tcW w:w="476" w:type="dxa"/>
            <w:tcBorders>
              <w:top w:val="single" w:sz="4" w:space="0" w:color="231F20"/>
              <w:bottom w:val="single" w:sz="4" w:space="0" w:color="231F20"/>
            </w:tcBorders>
          </w:tcPr>
          <w:p>
            <w:pPr>
              <w:pStyle w:val="TableParagraph"/>
              <w:spacing w:before="41"/>
              <w:ind w:right="134"/>
              <w:jc w:val="right"/>
              <w:rPr>
                <w:rFonts w:ascii="Palatino Linotype"/>
                <w:b/>
                <w:sz w:val="16"/>
              </w:rPr>
            </w:pPr>
            <w:r>
              <w:rPr>
                <w:rFonts w:ascii="Palatino Linotype"/>
                <w:b/>
                <w:color w:val="231F20"/>
                <w:sz w:val="16"/>
              </w:rPr>
              <w:t>3.4</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3.3</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3.2</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3.2</w:t>
            </w:r>
          </w:p>
        </w:tc>
        <w:tc>
          <w:tcPr>
            <w:tcW w:w="476" w:type="dxa"/>
            <w:tcBorders>
              <w:top w:val="single" w:sz="4" w:space="0" w:color="231F20"/>
              <w:bottom w:val="single" w:sz="4" w:space="0" w:color="231F20"/>
            </w:tcBorders>
          </w:tcPr>
          <w:p>
            <w:pPr>
              <w:pStyle w:val="TableParagraph"/>
              <w:spacing w:before="41"/>
              <w:ind w:left="98" w:right="95"/>
              <w:rPr>
                <w:rFonts w:ascii="Palatino Linotype"/>
                <w:b/>
                <w:sz w:val="16"/>
              </w:rPr>
            </w:pPr>
            <w:r>
              <w:rPr>
                <w:rFonts w:ascii="Palatino Linotype"/>
                <w:b/>
                <w:color w:val="231F20"/>
                <w:sz w:val="16"/>
              </w:rPr>
              <w:t>2.4</w:t>
            </w:r>
          </w:p>
        </w:tc>
        <w:tc>
          <w:tcPr>
            <w:tcW w:w="486" w:type="dxa"/>
            <w:tcBorders>
              <w:top w:val="single" w:sz="4" w:space="0" w:color="231F20"/>
              <w:bottom w:val="single" w:sz="4" w:space="0" w:color="231F20"/>
            </w:tcBorders>
          </w:tcPr>
          <w:p>
            <w:pPr>
              <w:pStyle w:val="TableParagraph"/>
              <w:spacing w:before="41"/>
              <w:ind w:left="99" w:right="104"/>
              <w:rPr>
                <w:rFonts w:ascii="Palatino Linotype"/>
                <w:b/>
                <w:sz w:val="16"/>
              </w:rPr>
            </w:pPr>
            <w:r>
              <w:rPr>
                <w:rFonts w:ascii="Palatino Linotype"/>
                <w:b/>
                <w:color w:val="231F20"/>
                <w:sz w:val="16"/>
              </w:rPr>
              <w:t>2.0</w:t>
            </w:r>
          </w:p>
        </w:tc>
      </w:tr>
      <w:tr>
        <w:trPr>
          <w:trHeight w:val="227" w:hRule="exact"/>
        </w:trPr>
        <w:tc>
          <w:tcPr>
            <w:tcW w:w="1465"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76" w:type="dxa"/>
            <w:tcBorders>
              <w:top w:val="single" w:sz="4" w:space="0" w:color="231F20"/>
              <w:bottom w:val="single" w:sz="4" w:space="0" w:color="231F20"/>
            </w:tcBorders>
          </w:tcPr>
          <w:p>
            <w:pPr/>
          </w:p>
        </w:tc>
        <w:tc>
          <w:tcPr>
            <w:tcW w:w="486" w:type="dxa"/>
            <w:tcBorders>
              <w:top w:val="single" w:sz="4" w:space="0" w:color="231F20"/>
              <w:bottom w:val="single" w:sz="4" w:space="0" w:color="231F20"/>
            </w:tcBorders>
          </w:tcPr>
          <w:p>
            <w:pPr/>
          </w:p>
        </w:tc>
      </w:tr>
      <w:tr>
        <w:trPr>
          <w:trHeight w:val="406" w:hRule="exact"/>
        </w:trPr>
        <w:tc>
          <w:tcPr>
            <w:tcW w:w="1465" w:type="dxa"/>
            <w:tcBorders>
              <w:top w:val="single" w:sz="4" w:space="0" w:color="231F20"/>
              <w:bottom w:val="single" w:sz="4" w:space="0" w:color="231F20"/>
            </w:tcBorders>
          </w:tcPr>
          <w:p>
            <w:pPr>
              <w:pStyle w:val="TableParagraph"/>
              <w:spacing w:line="151" w:lineRule="exact"/>
              <w:ind w:left="47"/>
              <w:jc w:val="left"/>
              <w:rPr>
                <w:rFonts w:ascii="Palatino Linotype"/>
                <w:b/>
                <w:sz w:val="16"/>
              </w:rPr>
            </w:pPr>
            <w:r>
              <w:rPr>
                <w:rFonts w:ascii="Palatino Linotype"/>
                <w:b/>
                <w:color w:val="231F20"/>
                <w:sz w:val="16"/>
              </w:rPr>
              <w:t>Total</w:t>
            </w:r>
          </w:p>
          <w:p>
            <w:pPr>
              <w:pStyle w:val="TableParagraph"/>
              <w:tabs>
                <w:tab w:pos="1346" w:val="right" w:leader="none"/>
              </w:tabs>
              <w:spacing w:line="241" w:lineRule="exact"/>
              <w:ind w:left="47"/>
              <w:jc w:val="left"/>
              <w:rPr>
                <w:rFonts w:ascii="Palatino Linotype"/>
                <w:b/>
                <w:sz w:val="16"/>
              </w:rPr>
            </w:pPr>
            <w:r>
              <w:rPr>
                <w:rFonts w:ascii="Palatino Linotype"/>
                <w:b/>
                <w:color w:val="231F20"/>
                <w:sz w:val="16"/>
              </w:rPr>
              <w:t>Mundial</w:t>
            </w:r>
            <w:r>
              <w:rPr>
                <w:rFonts w:ascii="Palatino Linotype"/>
                <w:b/>
                <w:color w:val="231F20"/>
                <w:position w:val="9"/>
                <w:sz w:val="16"/>
              </w:rPr>
              <w:tab/>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right="116"/>
              <w:jc w:val="right"/>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right="116"/>
              <w:jc w:val="right"/>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76" w:type="dxa"/>
            <w:tcBorders>
              <w:top w:val="single" w:sz="4" w:space="0" w:color="231F20"/>
              <w:bottom w:val="single" w:sz="4" w:space="0" w:color="231F20"/>
            </w:tcBorders>
          </w:tcPr>
          <w:p>
            <w:pPr>
              <w:pStyle w:val="TableParagraph"/>
              <w:spacing w:before="88"/>
              <w:ind w:left="98" w:right="98"/>
              <w:rPr>
                <w:rFonts w:ascii="Palatino Linotype"/>
                <w:b/>
                <w:sz w:val="16"/>
              </w:rPr>
            </w:pPr>
            <w:r>
              <w:rPr>
                <w:rFonts w:ascii="Palatino Linotype"/>
                <w:b/>
                <w:color w:val="231F20"/>
                <w:sz w:val="16"/>
              </w:rPr>
              <w:t>100</w:t>
            </w:r>
          </w:p>
        </w:tc>
        <w:tc>
          <w:tcPr>
            <w:tcW w:w="486" w:type="dxa"/>
            <w:tcBorders>
              <w:top w:val="single" w:sz="4" w:space="0" w:color="231F20"/>
              <w:bottom w:val="single" w:sz="4" w:space="0" w:color="231F20"/>
            </w:tcBorders>
          </w:tcPr>
          <w:p>
            <w:pPr>
              <w:pStyle w:val="TableParagraph"/>
              <w:spacing w:before="88"/>
              <w:ind w:left="99" w:right="107"/>
              <w:rPr>
                <w:rFonts w:ascii="Palatino Linotype"/>
                <w:b/>
                <w:sz w:val="16"/>
              </w:rPr>
            </w:pPr>
            <w:r>
              <w:rPr>
                <w:rFonts w:ascii="Palatino Linotype"/>
                <w:b/>
                <w:color w:val="231F20"/>
                <w:sz w:val="16"/>
              </w:rPr>
              <w:t>100</w:t>
            </w:r>
          </w:p>
        </w:tc>
      </w:tr>
    </w:tbl>
    <w:p>
      <w:pPr>
        <w:pStyle w:val="BodyText"/>
        <w:spacing w:before="3"/>
        <w:rPr>
          <w:rFonts w:ascii="Palatino Linotype"/>
          <w:b/>
          <w:sz w:val="9"/>
        </w:rPr>
      </w:pPr>
    </w:p>
    <w:p>
      <w:pPr>
        <w:spacing w:line="283" w:lineRule="auto" w:before="41"/>
        <w:ind w:left="103" w:right="688" w:firstLine="0"/>
        <w:jc w:val="both"/>
        <w:rPr>
          <w:sz w:val="19"/>
        </w:rPr>
      </w:pPr>
      <w:r>
        <w:rPr>
          <w:rFonts w:ascii="Palatino Linotype" w:hAnsi="Palatino Linotype"/>
          <w:i/>
          <w:color w:val="231F20"/>
          <w:sz w:val="19"/>
        </w:rPr>
        <w:t>Fuente:</w:t>
      </w:r>
      <w:r>
        <w:rPr>
          <w:rFonts w:ascii="Palatino Linotype" w:hAnsi="Palatino Linotype"/>
          <w:i/>
          <w:color w:val="231F20"/>
          <w:spacing w:val="-11"/>
          <w:sz w:val="19"/>
        </w:rPr>
        <w:t> </w:t>
      </w:r>
      <w:r>
        <w:rPr>
          <w:color w:val="231F20"/>
          <w:sz w:val="19"/>
        </w:rPr>
        <w:t>Elaboración</w:t>
      </w:r>
      <w:r>
        <w:rPr>
          <w:color w:val="231F20"/>
          <w:spacing w:val="-12"/>
          <w:sz w:val="19"/>
        </w:rPr>
        <w:t> </w:t>
      </w:r>
      <w:r>
        <w:rPr>
          <w:color w:val="231F20"/>
          <w:sz w:val="19"/>
        </w:rPr>
        <w:t>propia.</w:t>
      </w:r>
      <w:r>
        <w:rPr>
          <w:color w:val="231F20"/>
          <w:spacing w:val="-12"/>
          <w:sz w:val="19"/>
        </w:rPr>
        <w:t> </w:t>
      </w:r>
      <w:r>
        <w:rPr>
          <w:color w:val="231F20"/>
          <w:sz w:val="19"/>
        </w:rPr>
        <w:t>De</w:t>
      </w:r>
      <w:r>
        <w:rPr>
          <w:color w:val="231F20"/>
          <w:spacing w:val="-12"/>
          <w:sz w:val="19"/>
        </w:rPr>
        <w:t> </w:t>
      </w:r>
      <w:r>
        <w:rPr>
          <w:color w:val="231F20"/>
          <w:sz w:val="19"/>
        </w:rPr>
        <w:t>2000</w:t>
      </w:r>
      <w:r>
        <w:rPr>
          <w:color w:val="231F20"/>
          <w:spacing w:val="-12"/>
          <w:sz w:val="19"/>
        </w:rPr>
        <w:t> </w:t>
      </w:r>
      <w:r>
        <w:rPr>
          <w:color w:val="231F20"/>
          <w:sz w:val="19"/>
        </w:rPr>
        <w:t>a</w:t>
      </w:r>
      <w:r>
        <w:rPr>
          <w:color w:val="231F20"/>
          <w:spacing w:val="-12"/>
          <w:sz w:val="19"/>
        </w:rPr>
        <w:t> </w:t>
      </w:r>
      <w:r>
        <w:rPr>
          <w:color w:val="231F20"/>
          <w:sz w:val="19"/>
        </w:rPr>
        <w:t>2006</w:t>
      </w:r>
      <w:r>
        <w:rPr>
          <w:color w:val="231F20"/>
          <w:spacing w:val="-12"/>
          <w:sz w:val="19"/>
        </w:rPr>
        <w:t> </w:t>
      </w:r>
      <w:r>
        <w:rPr>
          <w:color w:val="231F20"/>
          <w:sz w:val="19"/>
        </w:rPr>
        <w:t>son</w:t>
      </w:r>
      <w:r>
        <w:rPr>
          <w:color w:val="231F20"/>
          <w:spacing w:val="-12"/>
          <w:sz w:val="19"/>
        </w:rPr>
        <w:t> </w:t>
      </w:r>
      <w:r>
        <w:rPr>
          <w:color w:val="231F20"/>
          <w:sz w:val="19"/>
        </w:rPr>
        <w:t>datos</w:t>
      </w:r>
      <w:r>
        <w:rPr>
          <w:color w:val="231F20"/>
          <w:spacing w:val="-12"/>
          <w:sz w:val="19"/>
        </w:rPr>
        <w:t> </w:t>
      </w:r>
      <w:r>
        <w:rPr>
          <w:color w:val="231F20"/>
          <w:sz w:val="19"/>
        </w:rPr>
        <w:t>de</w:t>
      </w:r>
      <w:r>
        <w:rPr>
          <w:color w:val="231F20"/>
          <w:spacing w:val="-12"/>
          <w:sz w:val="19"/>
        </w:rPr>
        <w:t> </w:t>
      </w:r>
      <w:r>
        <w:rPr>
          <w:color w:val="231F20"/>
          <w:sz w:val="19"/>
        </w:rPr>
        <w:t>IMF</w:t>
      </w:r>
      <w:r>
        <w:rPr>
          <w:color w:val="231F20"/>
          <w:spacing w:val="-12"/>
          <w:sz w:val="19"/>
        </w:rPr>
        <w:t> </w:t>
      </w:r>
      <w:r>
        <w:rPr>
          <w:color w:val="231F20"/>
          <w:sz w:val="19"/>
        </w:rPr>
        <w:t>(2007);</w:t>
      </w:r>
      <w:r>
        <w:rPr>
          <w:color w:val="231F20"/>
          <w:spacing w:val="-12"/>
          <w:sz w:val="19"/>
        </w:rPr>
        <w:t> </w:t>
      </w:r>
      <w:r>
        <w:rPr>
          <w:color w:val="231F20"/>
          <w:sz w:val="19"/>
        </w:rPr>
        <w:t>de</w:t>
      </w:r>
      <w:r>
        <w:rPr>
          <w:color w:val="231F20"/>
          <w:spacing w:val="-12"/>
          <w:sz w:val="19"/>
        </w:rPr>
        <w:t> </w:t>
      </w:r>
      <w:r>
        <w:rPr>
          <w:color w:val="231F20"/>
          <w:sz w:val="19"/>
        </w:rPr>
        <w:t>2008</w:t>
      </w:r>
      <w:r>
        <w:rPr>
          <w:color w:val="231F20"/>
          <w:spacing w:val="-12"/>
          <w:sz w:val="19"/>
        </w:rPr>
        <w:t> </w:t>
      </w:r>
      <w:r>
        <w:rPr>
          <w:color w:val="231F20"/>
          <w:sz w:val="19"/>
        </w:rPr>
        <w:t>a</w:t>
      </w:r>
      <w:r>
        <w:rPr>
          <w:color w:val="231F20"/>
          <w:spacing w:val="-12"/>
          <w:sz w:val="19"/>
        </w:rPr>
        <w:t> </w:t>
      </w:r>
      <w:r>
        <w:rPr>
          <w:color w:val="231F20"/>
          <w:sz w:val="19"/>
        </w:rPr>
        <w:t>2012</w:t>
      </w:r>
      <w:r>
        <w:rPr>
          <w:color w:val="231F20"/>
          <w:spacing w:val="-12"/>
          <w:sz w:val="19"/>
        </w:rPr>
        <w:t> </w:t>
      </w:r>
      <w:r>
        <w:rPr>
          <w:color w:val="231F20"/>
          <w:sz w:val="19"/>
        </w:rPr>
        <w:t>son</w:t>
      </w:r>
      <w:r>
        <w:rPr>
          <w:color w:val="231F20"/>
          <w:spacing w:val="-12"/>
          <w:sz w:val="19"/>
        </w:rPr>
        <w:t> </w:t>
      </w:r>
      <w:r>
        <w:rPr>
          <w:color w:val="231F20"/>
          <w:sz w:val="19"/>
        </w:rPr>
        <w:t>datos de OICA</w:t>
      </w:r>
      <w:r>
        <w:rPr>
          <w:color w:val="231F20"/>
          <w:spacing w:val="-28"/>
          <w:sz w:val="19"/>
        </w:rPr>
        <w:t> </w:t>
      </w:r>
      <w:r>
        <w:rPr>
          <w:color w:val="231F20"/>
          <w:sz w:val="19"/>
        </w:rPr>
        <w:t>(2014).</w:t>
      </w:r>
    </w:p>
    <w:p>
      <w:pPr>
        <w:pStyle w:val="BodyText"/>
        <w:spacing w:before="1"/>
        <w:rPr>
          <w:sz w:val="20"/>
        </w:rPr>
      </w:pPr>
    </w:p>
    <w:p>
      <w:pPr>
        <w:pStyle w:val="BodyText"/>
        <w:spacing w:line="278" w:lineRule="auto"/>
        <w:ind w:left="103" w:right="651"/>
        <w:jc w:val="both"/>
      </w:pPr>
      <w:r>
        <w:rPr>
          <w:color w:val="231F20"/>
        </w:rPr>
        <w:t>De esta forma, en 2013 la producción mundial de vehículos ascendió a 87.3 millones de</w:t>
      </w:r>
      <w:r>
        <w:rPr>
          <w:color w:val="231F20"/>
          <w:spacing w:val="-10"/>
        </w:rPr>
        <w:t> </w:t>
      </w:r>
      <w:r>
        <w:rPr>
          <w:color w:val="231F20"/>
        </w:rPr>
        <w:t>unidades,</w:t>
      </w:r>
      <w:r>
        <w:rPr>
          <w:color w:val="231F20"/>
          <w:spacing w:val="-10"/>
        </w:rPr>
        <w:t> </w:t>
      </w:r>
      <w:r>
        <w:rPr>
          <w:color w:val="231F20"/>
        </w:rPr>
        <w:t>concentrándose</w:t>
      </w:r>
      <w:r>
        <w:rPr>
          <w:color w:val="231F20"/>
          <w:spacing w:val="-10"/>
        </w:rPr>
        <w:t> </w:t>
      </w:r>
      <w:r>
        <w:rPr>
          <w:color w:val="231F20"/>
        </w:rPr>
        <w:t>en</w:t>
      </w:r>
      <w:r>
        <w:rPr>
          <w:color w:val="231F20"/>
          <w:spacing w:val="-10"/>
        </w:rPr>
        <w:t> </w:t>
      </w:r>
      <w:r>
        <w:rPr>
          <w:color w:val="231F20"/>
        </w:rPr>
        <w:t>tres</w:t>
      </w:r>
      <w:r>
        <w:rPr>
          <w:color w:val="231F20"/>
          <w:spacing w:val="-10"/>
        </w:rPr>
        <w:t> </w:t>
      </w:r>
      <w:r>
        <w:rPr>
          <w:color w:val="231F20"/>
        </w:rPr>
        <w:t>zonas</w:t>
      </w:r>
      <w:r>
        <w:rPr>
          <w:color w:val="231F20"/>
          <w:spacing w:val="-10"/>
        </w:rPr>
        <w:t> </w:t>
      </w:r>
      <w:r>
        <w:rPr>
          <w:color w:val="231F20"/>
        </w:rPr>
        <w:t>geográficas:</w:t>
      </w:r>
      <w:r>
        <w:rPr>
          <w:color w:val="231F20"/>
          <w:spacing w:val="-10"/>
        </w:rPr>
        <w:t> </w:t>
      </w:r>
      <w:r>
        <w:rPr>
          <w:color w:val="231F20"/>
        </w:rPr>
        <w:t>la</w:t>
      </w:r>
      <w:r>
        <w:rPr>
          <w:color w:val="231F20"/>
          <w:spacing w:val="-10"/>
        </w:rPr>
        <w:t> </w:t>
      </w:r>
      <w:r>
        <w:rPr>
          <w:color w:val="231F20"/>
          <w:spacing w:val="-3"/>
        </w:rPr>
        <w:t>Unión</w:t>
      </w:r>
      <w:r>
        <w:rPr>
          <w:color w:val="231F20"/>
          <w:spacing w:val="-10"/>
        </w:rPr>
        <w:t> </w:t>
      </w:r>
      <w:r>
        <w:rPr>
          <w:color w:val="231F20"/>
        </w:rPr>
        <w:t>Europea,</w:t>
      </w:r>
      <w:r>
        <w:rPr>
          <w:color w:val="231F20"/>
          <w:spacing w:val="-10"/>
        </w:rPr>
        <w:t> </w:t>
      </w:r>
      <w:r>
        <w:rPr>
          <w:color w:val="231F20"/>
        </w:rPr>
        <w:t>América</w:t>
      </w:r>
      <w:r>
        <w:rPr>
          <w:color w:val="231F20"/>
          <w:spacing w:val="-10"/>
        </w:rPr>
        <w:t> </w:t>
      </w:r>
      <w:r>
        <w:rPr>
          <w:color w:val="231F20"/>
        </w:rPr>
        <w:t>del Norte</w:t>
      </w:r>
      <w:r>
        <w:rPr>
          <w:color w:val="231F20"/>
          <w:spacing w:val="-5"/>
        </w:rPr>
        <w:t> </w:t>
      </w:r>
      <w:r>
        <w:rPr>
          <w:color w:val="231F20"/>
        </w:rPr>
        <w:t>(TLCAN)</w:t>
      </w:r>
      <w:r>
        <w:rPr>
          <w:color w:val="231F20"/>
          <w:spacing w:val="-5"/>
        </w:rPr>
        <w:t> </w:t>
      </w:r>
      <w:r>
        <w:rPr>
          <w:color w:val="231F20"/>
        </w:rPr>
        <w:t>y</w:t>
      </w:r>
      <w:r>
        <w:rPr>
          <w:color w:val="231F20"/>
          <w:spacing w:val="-5"/>
        </w:rPr>
        <w:t> </w:t>
      </w:r>
      <w:r>
        <w:rPr>
          <w:color w:val="231F20"/>
        </w:rPr>
        <w:t>Asia</w:t>
      </w:r>
      <w:r>
        <w:rPr>
          <w:color w:val="231F20"/>
          <w:spacing w:val="-5"/>
        </w:rPr>
        <w:t> </w:t>
      </w:r>
      <w:r>
        <w:rPr>
          <w:color w:val="231F20"/>
        </w:rPr>
        <w:t>Pacífico;</w:t>
      </w:r>
      <w:r>
        <w:rPr>
          <w:color w:val="231F20"/>
          <w:spacing w:val="-5"/>
        </w:rPr>
        <w:t> </w:t>
      </w:r>
      <w:r>
        <w:rPr>
          <w:color w:val="231F20"/>
        </w:rPr>
        <w:t>esta</w:t>
      </w:r>
      <w:r>
        <w:rPr>
          <w:color w:val="231F20"/>
          <w:spacing w:val="-5"/>
        </w:rPr>
        <w:t> </w:t>
      </w:r>
      <w:r>
        <w:rPr>
          <w:color w:val="231F20"/>
        </w:rPr>
        <w:t>última</w:t>
      </w:r>
      <w:r>
        <w:rPr>
          <w:color w:val="231F20"/>
          <w:spacing w:val="-5"/>
        </w:rPr>
        <w:t> </w:t>
      </w:r>
      <w:r>
        <w:rPr>
          <w:color w:val="231F20"/>
        </w:rPr>
        <w:t>con</w:t>
      </w:r>
      <w:r>
        <w:rPr>
          <w:color w:val="231F20"/>
          <w:spacing w:val="-5"/>
        </w:rPr>
        <w:t> </w:t>
      </w:r>
      <w:r>
        <w:rPr>
          <w:color w:val="231F20"/>
        </w:rPr>
        <w:t>un</w:t>
      </w:r>
      <w:r>
        <w:rPr>
          <w:color w:val="231F20"/>
          <w:spacing w:val="-5"/>
        </w:rPr>
        <w:t> </w:t>
      </w:r>
      <w:r>
        <w:rPr>
          <w:color w:val="231F20"/>
        </w:rPr>
        <w:t>crecimiento</w:t>
      </w:r>
      <w:r>
        <w:rPr>
          <w:color w:val="231F20"/>
          <w:spacing w:val="-5"/>
        </w:rPr>
        <w:t> </w:t>
      </w:r>
      <w:r>
        <w:rPr>
          <w:color w:val="231F20"/>
        </w:rPr>
        <w:t>espectacular,</w:t>
      </w:r>
      <w:r>
        <w:rPr>
          <w:color w:val="231F20"/>
          <w:spacing w:val="-5"/>
        </w:rPr>
        <w:t> </w:t>
      </w:r>
      <w:r>
        <w:rPr>
          <w:color w:val="231F20"/>
        </w:rPr>
        <w:t>al</w:t>
      </w:r>
      <w:r>
        <w:rPr>
          <w:color w:val="231F20"/>
          <w:spacing w:val="-5"/>
        </w:rPr>
        <w:t> </w:t>
      </w:r>
      <w:r>
        <w:rPr>
          <w:color w:val="231F20"/>
        </w:rPr>
        <w:t>pasar de</w:t>
      </w:r>
      <w:r>
        <w:rPr>
          <w:color w:val="231F20"/>
          <w:spacing w:val="-17"/>
        </w:rPr>
        <w:t> </w:t>
      </w:r>
      <w:r>
        <w:rPr>
          <w:color w:val="231F20"/>
        </w:rPr>
        <w:t>14%</w:t>
      </w:r>
      <w:r>
        <w:rPr>
          <w:color w:val="231F20"/>
          <w:spacing w:val="-17"/>
        </w:rPr>
        <w:t> </w:t>
      </w:r>
      <w:r>
        <w:rPr>
          <w:color w:val="231F20"/>
        </w:rPr>
        <w:t>en</w:t>
      </w:r>
      <w:r>
        <w:rPr>
          <w:color w:val="231F20"/>
          <w:spacing w:val="-17"/>
        </w:rPr>
        <w:t> </w:t>
      </w:r>
      <w:r>
        <w:rPr>
          <w:color w:val="231F20"/>
        </w:rPr>
        <w:t>2000</w:t>
      </w:r>
      <w:r>
        <w:rPr>
          <w:color w:val="231F20"/>
          <w:spacing w:val="-17"/>
        </w:rPr>
        <w:t> </w:t>
      </w:r>
      <w:r>
        <w:rPr>
          <w:color w:val="231F20"/>
        </w:rPr>
        <w:t>a</w:t>
      </w:r>
      <w:r>
        <w:rPr>
          <w:color w:val="231F20"/>
          <w:spacing w:val="-17"/>
        </w:rPr>
        <w:t> </w:t>
      </w:r>
      <w:r>
        <w:rPr>
          <w:color w:val="231F20"/>
        </w:rPr>
        <w:t>40%</w:t>
      </w:r>
      <w:r>
        <w:rPr>
          <w:color w:val="231F20"/>
          <w:spacing w:val="-17"/>
        </w:rPr>
        <w:t> </w:t>
      </w:r>
      <w:r>
        <w:rPr>
          <w:color w:val="231F20"/>
        </w:rPr>
        <w:t>en</w:t>
      </w:r>
      <w:r>
        <w:rPr>
          <w:color w:val="231F20"/>
          <w:spacing w:val="-17"/>
        </w:rPr>
        <w:t> </w:t>
      </w:r>
      <w:r>
        <w:rPr>
          <w:color w:val="231F20"/>
        </w:rPr>
        <w:t>2013</w:t>
      </w:r>
      <w:r>
        <w:rPr>
          <w:color w:val="231F20"/>
          <w:spacing w:val="-17"/>
        </w:rPr>
        <w:t> </w:t>
      </w:r>
      <w:r>
        <w:rPr>
          <w:color w:val="231F20"/>
        </w:rPr>
        <w:t>(véase</w:t>
      </w:r>
      <w:r>
        <w:rPr>
          <w:color w:val="231F20"/>
          <w:spacing w:val="-17"/>
        </w:rPr>
        <w:t> </w:t>
      </w:r>
      <w:r>
        <w:rPr>
          <w:color w:val="231F20"/>
        </w:rPr>
        <w:t>gráfica</w:t>
      </w:r>
      <w:r>
        <w:rPr>
          <w:color w:val="231F20"/>
          <w:spacing w:val="-17"/>
        </w:rPr>
        <w:t> </w:t>
      </w:r>
      <w:r>
        <w:rPr>
          <w:color w:val="231F20"/>
        </w:rPr>
        <w:t>II.1).</w:t>
      </w:r>
    </w:p>
    <w:p>
      <w:pPr>
        <w:pStyle w:val="BodyText"/>
        <w:spacing w:before="8"/>
        <w:rPr>
          <w:sz w:val="17"/>
        </w:rPr>
      </w:pPr>
    </w:p>
    <w:p>
      <w:pPr>
        <w:pStyle w:val="Heading4"/>
        <w:ind w:left="127" w:right="674"/>
      </w:pPr>
      <w:r>
        <w:rPr>
          <w:color w:val="231F20"/>
          <w:w w:val="90"/>
        </w:rPr>
        <w:t>Gráfica II.1</w:t>
      </w:r>
    </w:p>
    <w:p>
      <w:pPr>
        <w:spacing w:line="282" w:lineRule="exact" w:before="0"/>
        <w:ind w:left="0" w:right="547" w:firstLine="0"/>
        <w:jc w:val="center"/>
        <w:rPr>
          <w:rFonts w:ascii="Palatino Linotype" w:hAnsi="Palatino Linotype"/>
          <w:b/>
          <w:sz w:val="21"/>
        </w:rPr>
      </w:pPr>
      <w:r>
        <w:rPr>
          <w:rFonts w:ascii="Palatino Linotype" w:hAnsi="Palatino Linotype"/>
          <w:b/>
          <w:color w:val="231F20"/>
          <w:w w:val="95"/>
          <w:sz w:val="21"/>
        </w:rPr>
        <w:t>Participación en la producción mundial de vehículos por región, 2000-2013</w:t>
      </w:r>
    </w:p>
    <w:p>
      <w:pPr>
        <w:tabs>
          <w:tab w:pos="5144" w:val="left" w:leader="none"/>
        </w:tabs>
        <w:spacing w:before="166"/>
        <w:ind w:left="1544" w:right="673" w:firstLine="0"/>
        <w:jc w:val="left"/>
        <w:rPr>
          <w:rFonts w:ascii="Palatino Linotype"/>
          <w:b/>
          <w:sz w:val="21"/>
        </w:rPr>
      </w:pPr>
      <w:r>
        <w:rPr/>
        <w:pict>
          <v:group style="position:absolute;margin-left:65.196999pt;margin-top:28.713615pt;width:362.85pt;height:101.6pt;mso-position-horizontal-relative:page;mso-position-vertical-relative:paragraph;z-index:7192;mso-wrap-distance-left:0;mso-wrap-distance-right:0" coordorigin="1304,574" coordsize="7257,2032">
            <v:shape style="position:absolute;left:1304;top:867;width:2945;height:1725" type="#_x0000_t75" stroked="false">
              <v:imagedata r:id="rId47" o:title=""/>
            </v:shape>
            <v:shape style="position:absolute;left:4226;top:867;width:606;height:1725" type="#_x0000_t75" stroked="false">
              <v:imagedata r:id="rId48" o:title=""/>
            </v:shape>
            <v:shape style="position:absolute;left:2798;top:685;width:133;height:216" coordorigin="2798,685" coordsize="133,216" path="m2926,685l2798,898,2803,901,2930,688,2926,685xe" filled="true" fillcolor="#231f20" stroked="false">
              <v:path arrowok="t"/>
              <v:fill type="solid"/>
            </v:shape>
            <v:shape style="position:absolute;left:1968;top:891;width:61;height:87" coordorigin="1968,891" coordsize="61,87" path="m1987,929l1977,929,1977,973,1976,974,1969,975,1969,978,1995,978,1995,975,1988,974,1987,973,1987,929xm2019,923l2013,924,2006,924,1971,924,1968,928,1969,929,2009,929,2010,930,2010,973,2009,974,2002,975,2002,978,2028,978,2028,975,2020,974,2019,973,2019,923xm2004,891l1999,891,1994,894,1989,898,1982,903,1980,909,1979,912,1978,915,1977,918,1977,924,1987,924,1987,911,1989,904,1991,901,1993,899,1995,897,2017,897,2017,897,2015,895,2011,891,2004,891xm2017,897l2004,897,2008,901,2011,904,2015,904,2017,901,2017,897xe" filled="true" fillcolor="#231f20" stroked="false">
              <v:path arrowok="t"/>
              <v:fill type="solid"/>
            </v:shape>
            <v:shape style="position:absolute;left:4416;top:817;width:4145;height:1765" type="#_x0000_t75" stroked="false">
              <v:imagedata r:id="rId49" o:title=""/>
            </v:shape>
            <v:shape style="position:absolute;left:4416;top:817;width:416;height:1765" type="#_x0000_t75" stroked="false">
              <v:imagedata r:id="rId50" o:title=""/>
            </v:shape>
            <v:shape style="position:absolute;left:6117;top:667;width:1110;height:222" coordorigin="6117,667" coordsize="1110,222" path="m7193,728l7188,729,7221,889,7226,888,7193,728xm6184,670l6181,670,6202,870,6208,870,6187,673,6184,673,6184,670xm6184,667l6117,667,6117,673,6181,673,6181,670,6184,670,6184,667xm6187,670l6184,670,6184,673,6187,673,6187,670xm6594,815l6578,839,6583,842,6598,819,6597,819,6597,817,6594,815xm6597,817l6597,819,6598,819,6599,818,6597,817xm6663,814l6597,814,6597,817,6599,818,6598,819,6663,819,6663,814xe" filled="true" fillcolor="#231f20" stroked="false">
              <v:path arrowok="t"/>
              <v:fill type="solid"/>
            </v:shape>
            <v:shape style="position:absolute;left:5732;top:1553;width:61;height:87" coordorigin="5732,1553" coordsize="61,87" path="m5751,1591l5741,1591,5741,1635,5740,1636,5732,1637,5732,1640,5759,1640,5759,1637,5751,1636,5751,1635,5751,1591xm5783,1585l5777,1586,5770,1587,5735,1587,5732,1590,5732,1591,5773,1591,5774,1592,5774,1635,5773,1636,5766,1637,5766,1640,5792,1640,5792,1637,5784,1636,5783,1635,5783,1585xm5768,1553l5763,1554,5757,1556,5752,1560,5746,1565,5743,1571,5742,1574,5742,1577,5741,1580,5741,1587,5751,1587,5751,1573,5752,1566,5755,1563,5756,1561,5759,1559,5781,1559,5781,1559,5779,1557,5775,1553,5768,1553xm5781,1559l5768,1559,5772,1563,5775,1566,5778,1566,5781,1563,5781,1559xe" filled="true" fillcolor="#231f20" stroked="false">
              <v:path arrowok="t"/>
              <v:fill type="solid"/>
            </v:shape>
            <v:shape style="position:absolute;left:2143;top:609;width:1104;height:282" type="#_x0000_t202" filled="false" stroked="false">
              <v:textbox inset="0,0,0,0">
                <w:txbxContent>
                  <w:p>
                    <w:pPr>
                      <w:spacing w:line="132" w:lineRule="exact" w:before="0"/>
                      <w:ind w:left="0" w:right="-13" w:firstLine="0"/>
                      <w:jc w:val="left"/>
                      <w:rPr>
                        <w:rFonts w:ascii="Palatino Linotype"/>
                        <w:sz w:val="12"/>
                      </w:rPr>
                    </w:pPr>
                    <w:r>
                      <w:rPr>
                        <w:rFonts w:ascii="Palatino Linotype"/>
                        <w:color w:val="231F20"/>
                        <w:w w:val="95"/>
                        <w:sz w:val="12"/>
                      </w:rPr>
                      <w:t>Europa del Este</w:t>
                    </w:r>
                    <w:r>
                      <w:rPr>
                        <w:rFonts w:ascii="Palatino Linotype"/>
                        <w:color w:val="231F20"/>
                        <w:spacing w:val="-10"/>
                        <w:w w:val="95"/>
                        <w:sz w:val="12"/>
                      </w:rPr>
                      <w:t> </w:t>
                    </w:r>
                    <w:r>
                      <w:rPr>
                        <w:rFonts w:ascii="Palatino Linotype"/>
                        <w:color w:val="231F20"/>
                        <w:w w:val="95"/>
                        <w:position w:val="2"/>
                        <w:sz w:val="12"/>
                      </w:rPr>
                      <w:t>Otros</w:t>
                    </w:r>
                  </w:p>
                  <w:p>
                    <w:pPr>
                      <w:spacing w:line="150" w:lineRule="exact" w:before="0"/>
                      <w:ind w:left="303" w:right="-13" w:firstLine="0"/>
                      <w:jc w:val="left"/>
                      <w:rPr>
                        <w:rFonts w:ascii="Palatino Linotype"/>
                        <w:sz w:val="12"/>
                      </w:rPr>
                    </w:pPr>
                    <w:r>
                      <w:rPr>
                        <w:rFonts w:ascii="Palatino Linotype"/>
                        <w:color w:val="231F20"/>
                        <w:sz w:val="12"/>
                      </w:rPr>
                      <w:t>5%</w:t>
                    </w:r>
                  </w:p>
                </w:txbxContent>
              </v:textbox>
              <w10:wrap type="none"/>
            </v:shape>
            <v:shape style="position:absolute;left:3030;top:753;width:151;height:123" type="#_x0000_t202" filled="false" stroked="false">
              <v:textbox inset="0,0,0,0">
                <w:txbxContent>
                  <w:p>
                    <w:pPr>
                      <w:spacing w:line="122" w:lineRule="exact" w:before="0"/>
                      <w:ind w:left="0" w:right="-14" w:firstLine="0"/>
                      <w:jc w:val="left"/>
                      <w:rPr>
                        <w:rFonts w:ascii="Palatino Linotype"/>
                        <w:sz w:val="12"/>
                      </w:rPr>
                    </w:pPr>
                    <w:r>
                      <w:rPr>
                        <w:rFonts w:ascii="Palatino Linotype"/>
                        <w:color w:val="231F20"/>
                        <w:w w:val="90"/>
                        <w:sz w:val="12"/>
                      </w:rPr>
                      <w:t>1%</w:t>
                    </w:r>
                  </w:p>
                </w:txbxContent>
              </v:textbox>
              <w10:wrap type="none"/>
            </v:shape>
            <v:shape style="position:absolute;left:5335;top:604;width:759;height:267" type="#_x0000_t202" filled="false" stroked="false">
              <v:textbox inset="0,0,0,0">
                <w:txbxContent>
                  <w:p>
                    <w:pPr>
                      <w:spacing w:line="117" w:lineRule="exact" w:before="0"/>
                      <w:ind w:left="-1" w:right="0" w:firstLine="0"/>
                      <w:jc w:val="center"/>
                      <w:rPr>
                        <w:rFonts w:ascii="Palatino Linotype"/>
                        <w:sz w:val="12"/>
                      </w:rPr>
                    </w:pPr>
                    <w:r>
                      <w:rPr>
                        <w:rFonts w:ascii="Palatino Linotype"/>
                        <w:color w:val="231F20"/>
                        <w:w w:val="90"/>
                        <w:sz w:val="12"/>
                      </w:rPr>
                      <w:t>Europa del</w:t>
                    </w:r>
                    <w:r>
                      <w:rPr>
                        <w:rFonts w:ascii="Palatino Linotype"/>
                        <w:color w:val="231F20"/>
                        <w:spacing w:val="1"/>
                        <w:w w:val="90"/>
                        <w:sz w:val="12"/>
                      </w:rPr>
                      <w:t> </w:t>
                    </w:r>
                    <w:r>
                      <w:rPr>
                        <w:rFonts w:ascii="Palatino Linotype"/>
                        <w:color w:val="231F20"/>
                        <w:w w:val="90"/>
                        <w:sz w:val="12"/>
                      </w:rPr>
                      <w:t>Este</w:t>
                    </w:r>
                  </w:p>
                  <w:p>
                    <w:pPr>
                      <w:spacing w:line="150" w:lineRule="exact" w:before="0"/>
                      <w:ind w:left="0" w:right="0" w:firstLine="0"/>
                      <w:jc w:val="center"/>
                      <w:rPr>
                        <w:rFonts w:ascii="Palatino Linotype"/>
                        <w:sz w:val="12"/>
                      </w:rPr>
                    </w:pPr>
                    <w:r>
                      <w:rPr>
                        <w:rFonts w:ascii="Palatino Linotype"/>
                        <w:color w:val="231F20"/>
                        <w:sz w:val="12"/>
                      </w:rPr>
                      <w:t>8%</w:t>
                    </w:r>
                  </w:p>
                </w:txbxContent>
              </v:textbox>
              <w10:wrap type="none"/>
            </v:shape>
            <v:shape style="position:absolute;left:6624;top:574;width:281;height:267" type="#_x0000_t202" filled="false" stroked="false">
              <v:textbox inset="0,0,0,0">
                <w:txbxContent>
                  <w:p>
                    <w:pPr>
                      <w:spacing w:line="117" w:lineRule="exact" w:before="0"/>
                      <w:ind w:left="64" w:right="-6" w:hanging="65"/>
                      <w:jc w:val="left"/>
                      <w:rPr>
                        <w:rFonts w:ascii="Palatino Linotype"/>
                        <w:sz w:val="12"/>
                      </w:rPr>
                    </w:pPr>
                    <w:r>
                      <w:rPr>
                        <w:rFonts w:ascii="Palatino Linotype"/>
                        <w:color w:val="231F20"/>
                        <w:w w:val="90"/>
                        <w:sz w:val="12"/>
                      </w:rPr>
                      <w:t>Otros</w:t>
                    </w:r>
                  </w:p>
                  <w:p>
                    <w:pPr>
                      <w:spacing w:line="150" w:lineRule="exact" w:before="0"/>
                      <w:ind w:left="64" w:right="-6" w:firstLine="0"/>
                      <w:jc w:val="left"/>
                      <w:rPr>
                        <w:rFonts w:ascii="Palatino Linotype"/>
                        <w:sz w:val="12"/>
                      </w:rPr>
                    </w:pPr>
                    <w:r>
                      <w:rPr>
                        <w:rFonts w:ascii="Palatino Linotype"/>
                        <w:color w:val="231F20"/>
                        <w:sz w:val="12"/>
                      </w:rPr>
                      <w:t>2%</w:t>
                    </w:r>
                  </w:p>
                </w:txbxContent>
              </v:textbox>
              <w10:wrap type="none"/>
            </v:shape>
            <v:shape style="position:absolute;left:1519;top:888;width:625;height:267" type="#_x0000_t202" filled="false" stroked="false">
              <v:textbox inset="0,0,0,0">
                <w:txbxContent>
                  <w:p>
                    <w:pPr>
                      <w:spacing w:line="117" w:lineRule="exact" w:before="0"/>
                      <w:ind w:left="0" w:right="0" w:firstLine="0"/>
                      <w:jc w:val="center"/>
                      <w:rPr>
                        <w:rFonts w:ascii="Palatino Linotype" w:hAnsi="Palatino Linotype"/>
                        <w:sz w:val="12"/>
                      </w:rPr>
                    </w:pPr>
                    <w:r>
                      <w:rPr>
                        <w:rFonts w:ascii="Palatino Linotype" w:hAnsi="Palatino Linotype"/>
                        <w:color w:val="231F20"/>
                        <w:sz w:val="12"/>
                      </w:rPr>
                      <w:t>Asia Pací</w:t>
                    </w:r>
                    <w:r>
                      <w:rPr>
                        <w:rFonts w:ascii="Palatino Linotype" w:hAnsi="Palatino Linotype"/>
                        <w:color w:val="231F20"/>
                        <w:spacing w:val="-16"/>
                        <w:sz w:val="12"/>
                      </w:rPr>
                      <w:t> </w:t>
                    </w:r>
                    <w:r>
                      <w:rPr>
                        <w:rFonts w:ascii="Palatino Linotype" w:hAnsi="Palatino Linotype"/>
                        <w:color w:val="231F20"/>
                        <w:sz w:val="12"/>
                      </w:rPr>
                      <w:t>co</w:t>
                    </w:r>
                  </w:p>
                  <w:p>
                    <w:pPr>
                      <w:spacing w:line="150" w:lineRule="exact" w:before="0"/>
                      <w:ind w:left="0" w:right="0" w:firstLine="0"/>
                      <w:jc w:val="center"/>
                      <w:rPr>
                        <w:rFonts w:ascii="Palatino Linotype"/>
                        <w:sz w:val="12"/>
                      </w:rPr>
                    </w:pPr>
                    <w:r>
                      <w:rPr>
                        <w:rFonts w:ascii="Palatino Linotype"/>
                        <w:color w:val="231F20"/>
                        <w:sz w:val="12"/>
                      </w:rPr>
                      <w:t>14%</w:t>
                    </w:r>
                  </w:p>
                </w:txbxContent>
              </v:textbox>
              <w10:wrap type="none"/>
            </v:shape>
            <v:shape style="position:absolute;left:4002;top:733;width:531;height:411" type="#_x0000_t202" filled="false" stroked="false">
              <v:textbox inset="0,0,0,0">
                <w:txbxContent>
                  <w:p>
                    <w:pPr>
                      <w:spacing w:line="117" w:lineRule="exact" w:before="0"/>
                      <w:ind w:left="0" w:right="0" w:firstLine="0"/>
                      <w:jc w:val="center"/>
                      <w:rPr>
                        <w:rFonts w:ascii="Palatino Linotype"/>
                        <w:sz w:val="12"/>
                      </w:rPr>
                    </w:pPr>
                    <w:r>
                      <w:rPr>
                        <w:rFonts w:ascii="Palatino Linotype"/>
                        <w:color w:val="231F20"/>
                        <w:w w:val="90"/>
                        <w:sz w:val="12"/>
                      </w:rPr>
                      <w:t>Europa del</w:t>
                    </w:r>
                  </w:p>
                  <w:p>
                    <w:pPr>
                      <w:spacing w:line="144" w:lineRule="exact" w:before="2"/>
                      <w:ind w:left="126" w:right="125" w:firstLine="0"/>
                      <w:jc w:val="center"/>
                      <w:rPr>
                        <w:rFonts w:ascii="Palatino Linotype"/>
                        <w:sz w:val="12"/>
                      </w:rPr>
                    </w:pPr>
                    <w:r>
                      <w:rPr>
                        <w:rFonts w:ascii="Palatino Linotype"/>
                        <w:color w:val="231F20"/>
                        <w:w w:val="90"/>
                        <w:sz w:val="12"/>
                      </w:rPr>
                      <w:t>Oeste </w:t>
                    </w:r>
                    <w:r>
                      <w:rPr>
                        <w:rFonts w:ascii="Palatino Linotype"/>
                        <w:color w:val="231F20"/>
                        <w:sz w:val="12"/>
                      </w:rPr>
                      <w:t>29%</w:t>
                    </w:r>
                  </w:p>
                </w:txbxContent>
              </v:textbox>
              <w10:wrap type="none"/>
            </v:shape>
            <v:shape style="position:absolute;left:7214;top:668;width:833;height:267" type="#_x0000_t202" filled="false" stroked="false">
              <v:textbox inset="0,0,0,0">
                <w:txbxContent>
                  <w:p>
                    <w:pPr>
                      <w:spacing w:line="117" w:lineRule="exact" w:before="0"/>
                      <w:ind w:left="0" w:right="0" w:firstLine="0"/>
                      <w:jc w:val="center"/>
                      <w:rPr>
                        <w:rFonts w:ascii="Palatino Linotype"/>
                        <w:sz w:val="12"/>
                      </w:rPr>
                    </w:pPr>
                    <w:r>
                      <w:rPr>
                        <w:rFonts w:ascii="Palatino Linotype"/>
                        <w:color w:val="231F20"/>
                        <w:w w:val="90"/>
                        <w:sz w:val="12"/>
                      </w:rPr>
                      <w:t>Europa del Oeste</w:t>
                    </w:r>
                  </w:p>
                  <w:p>
                    <w:pPr>
                      <w:spacing w:line="150" w:lineRule="exact" w:before="0"/>
                      <w:ind w:left="0" w:right="0" w:firstLine="0"/>
                      <w:jc w:val="center"/>
                      <w:rPr>
                        <w:rFonts w:ascii="Palatino Linotype"/>
                        <w:sz w:val="12"/>
                      </w:rPr>
                    </w:pPr>
                    <w:r>
                      <w:rPr>
                        <w:rFonts w:ascii="Palatino Linotype"/>
                        <w:color w:val="231F20"/>
                        <w:sz w:val="12"/>
                      </w:rPr>
                      <w:t>15%</w:t>
                    </w:r>
                  </w:p>
                </w:txbxContent>
              </v:textbox>
              <w10:wrap type="none"/>
            </v:shape>
            <v:shape style="position:absolute;left:8093;top:1067;width:386;height:267" type="#_x0000_t202" filled="false" stroked="false">
              <v:textbox inset="0,0,0,0">
                <w:txbxContent>
                  <w:p>
                    <w:pPr>
                      <w:spacing w:line="117" w:lineRule="exact" w:before="0"/>
                      <w:ind w:left="88" w:right="-19" w:hanging="89"/>
                      <w:jc w:val="left"/>
                      <w:rPr>
                        <w:rFonts w:ascii="Palatino Linotype"/>
                        <w:sz w:val="12"/>
                      </w:rPr>
                    </w:pPr>
                    <w:r>
                      <w:rPr>
                        <w:rFonts w:ascii="Palatino Linotype"/>
                        <w:color w:val="231F20"/>
                        <w:spacing w:val="-4"/>
                        <w:w w:val="95"/>
                        <w:sz w:val="12"/>
                      </w:rPr>
                      <w:t>NAFTA</w:t>
                    </w:r>
                  </w:p>
                  <w:p>
                    <w:pPr>
                      <w:spacing w:line="150" w:lineRule="exact" w:before="0"/>
                      <w:ind w:left="88" w:right="-19" w:firstLine="0"/>
                      <w:jc w:val="left"/>
                      <w:rPr>
                        <w:rFonts w:ascii="Palatino Linotype"/>
                        <w:sz w:val="12"/>
                      </w:rPr>
                    </w:pPr>
                    <w:r>
                      <w:rPr>
                        <w:rFonts w:ascii="Palatino Linotype"/>
                        <w:color w:val="231F20"/>
                        <w:sz w:val="12"/>
                      </w:rPr>
                      <w:t>19%</w:t>
                    </w:r>
                  </w:p>
                </w:txbxContent>
              </v:textbox>
              <w10:wrap type="none"/>
            </v:shape>
            <v:shape style="position:absolute;left:1717;top:1452;width:287;height:267" type="#_x0000_t202" filled="false" stroked="false">
              <v:textbox inset="0,0,0,0">
                <w:txbxContent>
                  <w:p>
                    <w:pPr>
                      <w:spacing w:line="117" w:lineRule="exact" w:before="0"/>
                      <w:ind w:left="30" w:right="-9" w:hanging="31"/>
                      <w:jc w:val="left"/>
                      <w:rPr>
                        <w:rFonts w:ascii="Palatino Linotype" w:hAnsi="Palatino Linotype"/>
                        <w:sz w:val="12"/>
                      </w:rPr>
                    </w:pPr>
                    <w:r>
                      <w:rPr>
                        <w:rFonts w:ascii="Palatino Linotype" w:hAnsi="Palatino Linotype"/>
                        <w:color w:val="231F20"/>
                        <w:w w:val="90"/>
                        <w:sz w:val="12"/>
                      </w:rPr>
                      <w:t>Japón</w:t>
                    </w:r>
                  </w:p>
                  <w:p>
                    <w:pPr>
                      <w:spacing w:line="150" w:lineRule="exact" w:before="0"/>
                      <w:ind w:left="30" w:right="-9" w:firstLine="0"/>
                      <w:jc w:val="left"/>
                      <w:rPr>
                        <w:rFonts w:ascii="Palatino Linotype"/>
                        <w:sz w:val="12"/>
                      </w:rPr>
                    </w:pPr>
                    <w:r>
                      <w:rPr>
                        <w:rFonts w:ascii="Palatino Linotype"/>
                        <w:color w:val="231F20"/>
                        <w:sz w:val="12"/>
                      </w:rPr>
                      <w:t>17%</w:t>
                    </w:r>
                  </w:p>
                </w:txbxContent>
              </v:textbox>
              <w10:wrap type="none"/>
            </v:shape>
            <v:shape style="position:absolute;left:5283;top:1551;width:625;height:267" type="#_x0000_t202" filled="false" stroked="false">
              <v:textbox inset="0,0,0,0">
                <w:txbxContent>
                  <w:p>
                    <w:pPr>
                      <w:spacing w:line="117" w:lineRule="exact" w:before="0"/>
                      <w:ind w:left="0" w:right="0" w:firstLine="0"/>
                      <w:jc w:val="center"/>
                      <w:rPr>
                        <w:rFonts w:ascii="Palatino Linotype" w:hAnsi="Palatino Linotype"/>
                        <w:sz w:val="12"/>
                      </w:rPr>
                    </w:pPr>
                    <w:r>
                      <w:rPr>
                        <w:rFonts w:ascii="Palatino Linotype" w:hAnsi="Palatino Linotype"/>
                        <w:color w:val="231F20"/>
                        <w:sz w:val="12"/>
                      </w:rPr>
                      <w:t>Asia Pací</w:t>
                    </w:r>
                    <w:r>
                      <w:rPr>
                        <w:rFonts w:ascii="Palatino Linotype" w:hAnsi="Palatino Linotype"/>
                        <w:color w:val="231F20"/>
                        <w:spacing w:val="-16"/>
                        <w:sz w:val="12"/>
                      </w:rPr>
                      <w:t> </w:t>
                    </w:r>
                    <w:r>
                      <w:rPr>
                        <w:rFonts w:ascii="Palatino Linotype" w:hAnsi="Palatino Linotype"/>
                        <w:color w:val="231F20"/>
                        <w:sz w:val="12"/>
                      </w:rPr>
                      <w:t>co</w:t>
                    </w:r>
                  </w:p>
                  <w:p>
                    <w:pPr>
                      <w:spacing w:line="150" w:lineRule="exact" w:before="0"/>
                      <w:ind w:left="0" w:right="0" w:firstLine="0"/>
                      <w:jc w:val="center"/>
                      <w:rPr>
                        <w:rFonts w:ascii="Palatino Linotype"/>
                        <w:sz w:val="12"/>
                      </w:rPr>
                    </w:pPr>
                    <w:r>
                      <w:rPr>
                        <w:rFonts w:ascii="Palatino Linotype"/>
                        <w:color w:val="231F20"/>
                        <w:sz w:val="12"/>
                      </w:rPr>
                      <w:t>40%</w:t>
                    </w:r>
                  </w:p>
                </w:txbxContent>
              </v:textbox>
              <w10:wrap type="none"/>
            </v:shape>
            <v:shape style="position:absolute;left:6857;top:1839;width:281;height:267" type="#_x0000_t202" filled="false" stroked="false">
              <v:textbox inset="0,0,0,0">
                <w:txbxContent>
                  <w:p>
                    <w:pPr>
                      <w:spacing w:line="117" w:lineRule="exact" w:before="0"/>
                      <w:ind w:left="35" w:right="-15" w:hanging="36"/>
                      <w:jc w:val="left"/>
                      <w:rPr>
                        <w:rFonts w:ascii="Palatino Linotype" w:hAnsi="Palatino Linotype"/>
                        <w:sz w:val="12"/>
                      </w:rPr>
                    </w:pPr>
                    <w:r>
                      <w:rPr>
                        <w:rFonts w:ascii="Palatino Linotype" w:hAnsi="Palatino Linotype"/>
                        <w:color w:val="231F20"/>
                        <w:w w:val="90"/>
                        <w:sz w:val="12"/>
                      </w:rPr>
                      <w:t>Japón</w:t>
                    </w:r>
                  </w:p>
                  <w:p>
                    <w:pPr>
                      <w:spacing w:line="150" w:lineRule="exact" w:before="0"/>
                      <w:ind w:left="35" w:right="-6" w:firstLine="0"/>
                      <w:jc w:val="left"/>
                      <w:rPr>
                        <w:rFonts w:ascii="Palatino Linotype"/>
                        <w:sz w:val="12"/>
                      </w:rPr>
                    </w:pPr>
                    <w:r>
                      <w:rPr>
                        <w:rFonts w:ascii="Palatino Linotype"/>
                        <w:color w:val="231F20"/>
                        <w:sz w:val="12"/>
                      </w:rPr>
                      <w:t>11%</w:t>
                    </w:r>
                  </w:p>
                </w:txbxContent>
              </v:textbox>
              <w10:wrap type="none"/>
            </v:shape>
            <v:shape style="position:absolute;left:1328;top:2339;width:575;height:267" type="#_x0000_t202" filled="false" stroked="false">
              <v:textbox inset="0,0,0,0">
                <w:txbxContent>
                  <w:p>
                    <w:pPr>
                      <w:spacing w:line="117" w:lineRule="exact" w:before="0"/>
                      <w:ind w:left="0" w:right="0" w:firstLine="0"/>
                      <w:jc w:val="center"/>
                      <w:rPr>
                        <w:rFonts w:ascii="Palatino Linotype" w:hAnsi="Palatino Linotype"/>
                        <w:sz w:val="12"/>
                      </w:rPr>
                    </w:pPr>
                    <w:r>
                      <w:rPr>
                        <w:rFonts w:ascii="Palatino Linotype" w:hAnsi="Palatino Linotype"/>
                        <w:color w:val="231F20"/>
                        <w:w w:val="90"/>
                        <w:sz w:val="12"/>
                      </w:rPr>
                      <w:t>Sudamérica</w:t>
                    </w:r>
                  </w:p>
                  <w:p>
                    <w:pPr>
                      <w:spacing w:line="150" w:lineRule="exact" w:before="0"/>
                      <w:ind w:left="0" w:right="1" w:firstLine="0"/>
                      <w:jc w:val="center"/>
                      <w:rPr>
                        <w:rFonts w:ascii="Palatino Linotype"/>
                        <w:sz w:val="12"/>
                      </w:rPr>
                    </w:pPr>
                    <w:r>
                      <w:rPr>
                        <w:rFonts w:ascii="Palatino Linotype"/>
                        <w:color w:val="231F20"/>
                        <w:sz w:val="12"/>
                      </w:rPr>
                      <w:t>4%</w:t>
                    </w:r>
                  </w:p>
                </w:txbxContent>
              </v:textbox>
              <w10:wrap type="none"/>
            </v:shape>
            <v:shape style="position:absolute;left:4310;top:2267;width:303;height:267" type="#_x0000_t202" filled="false" stroked="false">
              <v:textbox inset="0,0,0,0">
                <w:txbxContent>
                  <w:p>
                    <w:pPr>
                      <w:spacing w:line="117" w:lineRule="exact" w:before="0"/>
                      <w:ind w:left="152" w:right="-19" w:firstLine="0"/>
                      <w:jc w:val="left"/>
                      <w:rPr>
                        <w:rFonts w:ascii="Palatino Linotype"/>
                        <w:sz w:val="12"/>
                      </w:rPr>
                    </w:pPr>
                    <w:r>
                      <w:rPr>
                        <w:rFonts w:ascii="Palatino Linotype"/>
                        <w:color w:val="231F20"/>
                        <w:spacing w:val="-76"/>
                        <w:w w:val="102"/>
                        <w:sz w:val="12"/>
                      </w:rPr>
                      <w:t>T</w:t>
                    </w:r>
                    <w:r>
                      <w:rPr>
                        <w:rFonts w:ascii="Palatino Linotype"/>
                        <w:color w:val="231F20"/>
                        <w:spacing w:val="-10"/>
                        <w:w w:val="102"/>
                        <w:sz w:val="12"/>
                      </w:rPr>
                      <w:t>T</w:t>
                    </w:r>
                    <w:r>
                      <w:rPr>
                        <w:rFonts w:ascii="Palatino Linotype"/>
                        <w:color w:val="231F20"/>
                        <w:w w:val="90"/>
                        <w:sz w:val="12"/>
                      </w:rPr>
                      <w:t>A</w:t>
                    </w:r>
                  </w:p>
                  <w:p>
                    <w:pPr>
                      <w:spacing w:line="150" w:lineRule="exact" w:before="0"/>
                      <w:ind w:left="0" w:right="-19" w:firstLine="0"/>
                      <w:jc w:val="left"/>
                      <w:rPr>
                        <w:rFonts w:ascii="Palatino Linotype"/>
                        <w:sz w:val="12"/>
                      </w:rPr>
                    </w:pPr>
                    <w:r>
                      <w:rPr>
                        <w:rFonts w:ascii="Palatino Linotype"/>
                        <w:color w:val="231F20"/>
                        <w:sz w:val="12"/>
                      </w:rPr>
                      <w:t>3 %</w:t>
                    </w:r>
                  </w:p>
                </w:txbxContent>
              </v:textbox>
              <w10:wrap type="none"/>
            </v:shape>
            <v:shape style="position:absolute;left:7949;top:2238;width:575;height:267" type="#_x0000_t202" filled="false" stroked="false">
              <v:textbox inset="0,0,0,0">
                <w:txbxContent>
                  <w:p>
                    <w:pPr>
                      <w:spacing w:line="117" w:lineRule="exact" w:before="0"/>
                      <w:ind w:left="-1" w:right="0" w:firstLine="0"/>
                      <w:jc w:val="center"/>
                      <w:rPr>
                        <w:rFonts w:ascii="Palatino Linotype" w:hAnsi="Palatino Linotype"/>
                        <w:sz w:val="12"/>
                      </w:rPr>
                    </w:pPr>
                    <w:r>
                      <w:rPr>
                        <w:rFonts w:ascii="Palatino Linotype" w:hAnsi="Palatino Linotype"/>
                        <w:color w:val="231F20"/>
                        <w:spacing w:val="-1"/>
                        <w:w w:val="90"/>
                        <w:sz w:val="12"/>
                      </w:rPr>
                      <w:t>Sudamérica</w:t>
                    </w:r>
                  </w:p>
                  <w:p>
                    <w:pPr>
                      <w:spacing w:line="150" w:lineRule="exact" w:before="0"/>
                      <w:ind w:left="0" w:right="1" w:firstLine="0"/>
                      <w:jc w:val="center"/>
                      <w:rPr>
                        <w:rFonts w:ascii="Palatino Linotype"/>
                        <w:sz w:val="12"/>
                      </w:rPr>
                    </w:pPr>
                    <w:r>
                      <w:rPr>
                        <w:rFonts w:ascii="Palatino Linotype"/>
                        <w:color w:val="231F20"/>
                        <w:sz w:val="12"/>
                      </w:rPr>
                      <w:t>5%</w:t>
                    </w:r>
                  </w:p>
                </w:txbxContent>
              </v:textbox>
              <w10:wrap type="none"/>
            </v:shape>
            <w10:wrap type="topAndBottom"/>
          </v:group>
        </w:pict>
      </w:r>
      <w:r>
        <w:rPr>
          <w:rFonts w:ascii="Palatino Linotype"/>
          <w:b/>
          <w:color w:val="231F20"/>
          <w:sz w:val="21"/>
        </w:rPr>
        <w:t>2000</w:t>
        <w:tab/>
        <w:t>2013</w:t>
      </w:r>
    </w:p>
    <w:p>
      <w:pPr>
        <w:pStyle w:val="BodyText"/>
        <w:spacing w:before="11"/>
        <w:rPr>
          <w:rFonts w:ascii="Palatino Linotype"/>
          <w:b/>
          <w:sz w:val="10"/>
        </w:rPr>
      </w:pPr>
    </w:p>
    <w:p>
      <w:pPr>
        <w:spacing w:before="40"/>
        <w:ind w:left="103" w:right="673" w:firstLine="0"/>
        <w:jc w:val="left"/>
        <w:rPr>
          <w:sz w:val="19"/>
        </w:rPr>
      </w:pPr>
      <w:r>
        <w:rPr/>
        <w:pict>
          <v:shape style="position:absolute;margin-left:211.180023pt;margin-top:-25.688425pt;width:12pt;height:6.15pt;mso-position-horizontal-relative:page;mso-position-vertical-relative:paragraph;z-index:-612376" type="#_x0000_t202" filled="false" stroked="false">
            <v:textbox inset="0,0,0,0">
              <w:txbxContent>
                <w:p>
                  <w:pPr>
                    <w:spacing w:line="122" w:lineRule="exact" w:before="0"/>
                    <w:ind w:left="0" w:right="-14" w:firstLine="0"/>
                    <w:jc w:val="left"/>
                    <w:rPr>
                      <w:rFonts w:ascii="Palatino Linotype"/>
                      <w:sz w:val="12"/>
                    </w:rPr>
                  </w:pPr>
                  <w:r>
                    <w:rPr>
                      <w:rFonts w:ascii="Palatino Linotype"/>
                      <w:color w:val="231F20"/>
                      <w:w w:val="90"/>
                      <w:sz w:val="12"/>
                    </w:rPr>
                    <w:t>NAF</w:t>
                  </w:r>
                </w:p>
              </w:txbxContent>
            </v:textbox>
            <w10:wrap type="none"/>
          </v:shape>
        </w:pict>
      </w:r>
      <w:r>
        <w:rPr/>
        <w:pict>
          <v:shape style="position:absolute;margin-left:226.433777pt;margin-top:-25.688425pt;width:4.150pt;height:6.15pt;mso-position-horizontal-relative:page;mso-position-vertical-relative:paragraph;z-index:-612352" type="#_x0000_t202" filled="false" stroked="false">
            <v:textbox inset="0,0,0,0">
              <w:txbxContent>
                <w:p>
                  <w:pPr>
                    <w:spacing w:line="122" w:lineRule="exact" w:before="0"/>
                    <w:ind w:left="0" w:right="0" w:firstLine="0"/>
                    <w:jc w:val="left"/>
                    <w:rPr>
                      <w:rFonts w:ascii="Palatino Linotype"/>
                      <w:sz w:val="12"/>
                    </w:rPr>
                  </w:pPr>
                  <w:r>
                    <w:rPr>
                      <w:rFonts w:ascii="Palatino Linotype"/>
                      <w:color w:val="231F20"/>
                      <w:spacing w:val="-10"/>
                      <w:w w:val="90"/>
                      <w:sz w:val="12"/>
                    </w:rPr>
                    <w:t>A</w:t>
                  </w:r>
                </w:p>
              </w:txbxContent>
            </v:textbox>
            <w10:wrap type="none"/>
          </v:shape>
        </w:pict>
      </w:r>
      <w:r>
        <w:rPr/>
        <w:pict>
          <v:shape style="position:absolute;margin-left:218.440811pt;margin-top:-18.476452pt;width:7.55pt;height:6.15pt;mso-position-horizontal-relative:page;mso-position-vertical-relative:paragraph;z-index:-612328" type="#_x0000_t202" filled="false" stroked="false">
            <v:textbox inset="0,0,0,0">
              <w:txbxContent>
                <w:p>
                  <w:pPr>
                    <w:spacing w:line="122" w:lineRule="exact" w:before="0"/>
                    <w:ind w:left="0" w:right="-14" w:firstLine="0"/>
                    <w:jc w:val="left"/>
                    <w:rPr>
                      <w:rFonts w:ascii="Palatino Linotype"/>
                      <w:sz w:val="12"/>
                    </w:rPr>
                  </w:pPr>
                  <w:r>
                    <w:rPr>
                      <w:rFonts w:ascii="Palatino Linotype"/>
                      <w:color w:val="231F20"/>
                      <w:w w:val="90"/>
                      <w:sz w:val="12"/>
                    </w:rPr>
                    <w:t>0%</w:t>
                  </w:r>
                </w:p>
              </w:txbxContent>
            </v:textbox>
            <w10:wrap type="none"/>
          </v:shape>
        </w:pict>
      </w:r>
      <w:r>
        <w:rPr>
          <w:rFonts w:ascii="Palatino Linotype" w:hAnsi="Palatino Linotype"/>
          <w:i/>
          <w:color w:val="231F20"/>
          <w:sz w:val="19"/>
        </w:rPr>
        <w:t>Fuente: </w:t>
      </w:r>
      <w:r>
        <w:rPr>
          <w:color w:val="231F20"/>
          <w:sz w:val="19"/>
        </w:rPr>
        <w:t>Elaboración propia con datos de IMF (2007) y OICA (2014).</w:t>
      </w:r>
    </w:p>
    <w:p>
      <w:pPr>
        <w:spacing w:after="0"/>
        <w:jc w:val="left"/>
        <w:rPr>
          <w:sz w:val="19"/>
        </w:rPr>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21" w:firstLine="396"/>
        <w:jc w:val="both"/>
      </w:pPr>
      <w:r>
        <w:rPr>
          <w:color w:val="231F20"/>
          <w:spacing w:val="-4"/>
        </w:rPr>
        <w:t>Por</w:t>
      </w:r>
      <w:r>
        <w:rPr>
          <w:color w:val="231F20"/>
          <w:spacing w:val="-7"/>
        </w:rPr>
        <w:t> </w:t>
      </w:r>
      <w:r>
        <w:rPr>
          <w:color w:val="231F20"/>
        </w:rPr>
        <w:t>el</w:t>
      </w:r>
      <w:r>
        <w:rPr>
          <w:color w:val="231F20"/>
          <w:spacing w:val="-7"/>
        </w:rPr>
        <w:t> </w:t>
      </w:r>
      <w:r>
        <w:rPr>
          <w:color w:val="231F20"/>
        </w:rPr>
        <w:t>lado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ventas,</w:t>
      </w:r>
      <w:r>
        <w:rPr>
          <w:color w:val="231F20"/>
          <w:spacing w:val="-7"/>
        </w:rPr>
        <w:t> </w:t>
      </w:r>
      <w:r>
        <w:rPr>
          <w:color w:val="231F20"/>
        </w:rPr>
        <w:t>el</w:t>
      </w:r>
      <w:r>
        <w:rPr>
          <w:color w:val="231F20"/>
          <w:spacing w:val="-7"/>
        </w:rPr>
        <w:t> </w:t>
      </w:r>
      <w:r>
        <w:rPr>
          <w:color w:val="231F20"/>
        </w:rPr>
        <w:t>incremento</w:t>
      </w:r>
      <w:r>
        <w:rPr>
          <w:color w:val="231F20"/>
          <w:spacing w:val="-7"/>
        </w:rPr>
        <w:t> </w:t>
      </w:r>
      <w:r>
        <w:rPr>
          <w:color w:val="231F20"/>
        </w:rPr>
        <w:t>más</w:t>
      </w:r>
      <w:r>
        <w:rPr>
          <w:color w:val="231F20"/>
          <w:spacing w:val="-7"/>
        </w:rPr>
        <w:t> </w:t>
      </w:r>
      <w:r>
        <w:rPr>
          <w:color w:val="231F20"/>
        </w:rPr>
        <w:t>importante</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presentado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re- giones</w:t>
      </w:r>
      <w:r>
        <w:rPr>
          <w:color w:val="231F20"/>
          <w:spacing w:val="-9"/>
        </w:rPr>
        <w:t> </w:t>
      </w:r>
      <w:r>
        <w:rPr>
          <w:color w:val="231F20"/>
        </w:rPr>
        <w:t>de</w:t>
      </w:r>
      <w:r>
        <w:rPr>
          <w:color w:val="231F20"/>
          <w:spacing w:val="-9"/>
        </w:rPr>
        <w:t> </w:t>
      </w:r>
      <w:r>
        <w:rPr>
          <w:color w:val="231F20"/>
        </w:rPr>
        <w:t>Sudamérica</w:t>
      </w:r>
      <w:r>
        <w:rPr>
          <w:color w:val="231F20"/>
          <w:spacing w:val="-9"/>
        </w:rPr>
        <w:t> </w:t>
      </w:r>
      <w:r>
        <w:rPr>
          <w:color w:val="231F20"/>
        </w:rPr>
        <w:t>y</w:t>
      </w:r>
      <w:r>
        <w:rPr>
          <w:color w:val="231F20"/>
          <w:spacing w:val="-9"/>
        </w:rPr>
        <w:t> </w:t>
      </w:r>
      <w:r>
        <w:rPr>
          <w:color w:val="231F20"/>
        </w:rPr>
        <w:t>Asia</w:t>
      </w:r>
      <w:r>
        <w:rPr>
          <w:color w:val="231F20"/>
          <w:spacing w:val="-9"/>
        </w:rPr>
        <w:t> </w:t>
      </w:r>
      <w:r>
        <w:rPr>
          <w:color w:val="231F20"/>
        </w:rPr>
        <w:t>Pacífico,</w:t>
      </w:r>
      <w:r>
        <w:rPr>
          <w:color w:val="231F20"/>
          <w:spacing w:val="-9"/>
        </w:rPr>
        <w:t> </w:t>
      </w:r>
      <w:r>
        <w:rPr>
          <w:color w:val="231F20"/>
        </w:rPr>
        <w:t>es</w:t>
      </w:r>
      <w:r>
        <w:rPr>
          <w:color w:val="231F20"/>
          <w:spacing w:val="-9"/>
        </w:rPr>
        <w:t> </w:t>
      </w:r>
      <w:r>
        <w:rPr>
          <w:color w:val="231F20"/>
          <w:spacing w:val="-3"/>
        </w:rPr>
        <w:t>decir,</w:t>
      </w:r>
      <w:r>
        <w:rPr>
          <w:color w:val="231F20"/>
          <w:spacing w:val="-9"/>
        </w:rPr>
        <w:t> </w:t>
      </w:r>
      <w:r>
        <w:rPr>
          <w:color w:val="231F20"/>
        </w:rPr>
        <w:t>los</w:t>
      </w:r>
      <w:r>
        <w:rPr>
          <w:color w:val="231F20"/>
          <w:spacing w:val="-9"/>
        </w:rPr>
        <w:t> </w:t>
      </w:r>
      <w:r>
        <w:rPr>
          <w:color w:val="231F20"/>
        </w:rPr>
        <w:t>llamados</w:t>
      </w:r>
      <w:r>
        <w:rPr>
          <w:color w:val="231F20"/>
          <w:spacing w:val="-9"/>
        </w:rPr>
        <w:t> </w:t>
      </w:r>
      <w:r>
        <w:rPr>
          <w:color w:val="231F20"/>
        </w:rPr>
        <w:t>mercados</w:t>
      </w:r>
      <w:r>
        <w:rPr>
          <w:color w:val="231F20"/>
          <w:spacing w:val="-9"/>
        </w:rPr>
        <w:t> </w:t>
      </w:r>
      <w:r>
        <w:rPr>
          <w:color w:val="231F20"/>
        </w:rPr>
        <w:t>emergentes</w:t>
      </w:r>
      <w:r>
        <w:rPr>
          <w:color w:val="231F20"/>
          <w:spacing w:val="-9"/>
        </w:rPr>
        <w:t> </w:t>
      </w:r>
      <w:r>
        <w:rPr>
          <w:color w:val="231F20"/>
        </w:rPr>
        <w:t>han tenido</w:t>
      </w:r>
      <w:r>
        <w:rPr>
          <w:color w:val="231F20"/>
          <w:spacing w:val="-7"/>
        </w:rPr>
        <w:t> </w:t>
      </w:r>
      <w:r>
        <w:rPr>
          <w:color w:val="231F20"/>
        </w:rPr>
        <w:t>un</w:t>
      </w:r>
      <w:r>
        <w:rPr>
          <w:color w:val="231F20"/>
          <w:spacing w:val="-7"/>
        </w:rPr>
        <w:t> </w:t>
      </w:r>
      <w:r>
        <w:rPr>
          <w:color w:val="231F20"/>
        </w:rPr>
        <w:t>significativo</w:t>
      </w:r>
      <w:r>
        <w:rPr>
          <w:color w:val="231F20"/>
          <w:spacing w:val="-7"/>
        </w:rPr>
        <w:t> </w:t>
      </w:r>
      <w:r>
        <w:rPr>
          <w:color w:val="231F20"/>
        </w:rPr>
        <w:t>repunte,</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demanda</w:t>
      </w:r>
      <w:r>
        <w:rPr>
          <w:color w:val="231F20"/>
          <w:spacing w:val="-7"/>
        </w:rPr>
        <w:t> </w:t>
      </w:r>
      <w:r>
        <w:rPr>
          <w:color w:val="231F20"/>
        </w:rPr>
        <w:t>de</w:t>
      </w:r>
      <w:r>
        <w:rPr>
          <w:color w:val="231F20"/>
          <w:spacing w:val="-7"/>
        </w:rPr>
        <w:t> </w:t>
      </w:r>
      <w:r>
        <w:rPr>
          <w:color w:val="231F20"/>
        </w:rPr>
        <w:t>vehículos</w:t>
      </w:r>
      <w:r>
        <w:rPr>
          <w:color w:val="231F20"/>
          <w:spacing w:val="-7"/>
        </w:rPr>
        <w:t> </w:t>
      </w:r>
      <w:r>
        <w:rPr>
          <w:color w:val="231F20"/>
        </w:rPr>
        <w:t>en</w:t>
      </w:r>
      <w:r>
        <w:rPr>
          <w:color w:val="231F20"/>
          <w:spacing w:val="-7"/>
        </w:rPr>
        <w:t> </w:t>
      </w:r>
      <w:r>
        <w:rPr>
          <w:color w:val="231F20"/>
        </w:rPr>
        <w:t>Estados</w:t>
      </w:r>
      <w:r>
        <w:rPr>
          <w:color w:val="231F20"/>
          <w:spacing w:val="-7"/>
        </w:rPr>
        <w:t> </w:t>
      </w:r>
      <w:r>
        <w:rPr>
          <w:color w:val="231F20"/>
          <w:spacing w:val="-3"/>
        </w:rPr>
        <w:t>Uni- </w:t>
      </w:r>
      <w:r>
        <w:rPr>
          <w:color w:val="231F20"/>
        </w:rPr>
        <w:t>dos, </w:t>
      </w:r>
      <w:r>
        <w:rPr>
          <w:color w:val="231F20"/>
          <w:spacing w:val="-3"/>
        </w:rPr>
        <w:t>Japón </w:t>
      </w:r>
      <w:r>
        <w:rPr>
          <w:color w:val="231F20"/>
        </w:rPr>
        <w:t>y los países de Europa Occidental se ha estancado, tendencia que, al igual que</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se</w:t>
      </w:r>
      <w:r>
        <w:rPr>
          <w:color w:val="231F20"/>
          <w:spacing w:val="-8"/>
        </w:rPr>
        <w:t> </w:t>
      </w:r>
      <w:r>
        <w:rPr>
          <w:color w:val="231F20"/>
        </w:rPr>
        <w:t>agudizó</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crisis</w:t>
      </w:r>
      <w:r>
        <w:rPr>
          <w:color w:val="231F20"/>
          <w:spacing w:val="-8"/>
        </w:rPr>
        <w:t> </w:t>
      </w:r>
      <w:r>
        <w:rPr>
          <w:color w:val="231F20"/>
        </w:rPr>
        <w:t>económica</w:t>
      </w:r>
      <w:r>
        <w:rPr>
          <w:color w:val="231F20"/>
          <w:spacing w:val="-8"/>
        </w:rPr>
        <w:t> </w:t>
      </w:r>
      <w:r>
        <w:rPr>
          <w:color w:val="231F20"/>
        </w:rPr>
        <w:t>de</w:t>
      </w:r>
      <w:r>
        <w:rPr>
          <w:color w:val="231F20"/>
          <w:spacing w:val="-8"/>
        </w:rPr>
        <w:t> </w:t>
      </w:r>
      <w:r>
        <w:rPr>
          <w:color w:val="231F20"/>
        </w:rPr>
        <w:t>2008</w:t>
      </w:r>
      <w:r>
        <w:rPr>
          <w:color w:val="231F20"/>
          <w:spacing w:val="-8"/>
        </w:rPr>
        <w:t> </w:t>
      </w:r>
      <w:r>
        <w:rPr>
          <w:color w:val="231F20"/>
        </w:rPr>
        <w:t>(véase</w:t>
      </w:r>
      <w:r>
        <w:rPr>
          <w:color w:val="231F20"/>
          <w:spacing w:val="-8"/>
        </w:rPr>
        <w:t> </w:t>
      </w:r>
      <w:r>
        <w:rPr>
          <w:color w:val="231F20"/>
        </w:rPr>
        <w:t>cuadro</w:t>
      </w:r>
      <w:r>
        <w:rPr>
          <w:color w:val="231F20"/>
          <w:spacing w:val="-8"/>
        </w:rPr>
        <w:t> </w:t>
      </w:r>
      <w:r>
        <w:rPr>
          <w:color w:val="231F20"/>
        </w:rPr>
        <w:t>II.5).</w:t>
      </w:r>
    </w:p>
    <w:p>
      <w:pPr>
        <w:pStyle w:val="BodyText"/>
        <w:spacing w:line="278" w:lineRule="auto" w:before="1"/>
        <w:ind w:left="653" w:right="120" w:firstLine="396"/>
        <w:jc w:val="both"/>
      </w:pPr>
      <w:r>
        <w:rPr>
          <w:color w:val="231F20"/>
        </w:rPr>
        <w:t>Los datos indican que en Europa Occidental las ventas disminuyeron de 30.9% en</w:t>
      </w:r>
      <w:r>
        <w:rPr>
          <w:color w:val="231F20"/>
          <w:spacing w:val="-7"/>
        </w:rPr>
        <w:t> </w:t>
      </w:r>
      <w:r>
        <w:rPr>
          <w:color w:val="231F20"/>
        </w:rPr>
        <w:t>2000</w:t>
      </w:r>
      <w:r>
        <w:rPr>
          <w:color w:val="231F20"/>
          <w:spacing w:val="-7"/>
        </w:rPr>
        <w:t> </w:t>
      </w:r>
      <w:r>
        <w:rPr>
          <w:color w:val="231F20"/>
        </w:rPr>
        <w:t>a</w:t>
      </w:r>
      <w:r>
        <w:rPr>
          <w:color w:val="231F20"/>
          <w:spacing w:val="-7"/>
        </w:rPr>
        <w:t> </w:t>
      </w:r>
      <w:r>
        <w:rPr>
          <w:color w:val="231F20"/>
        </w:rPr>
        <w:t>23.2%</w:t>
      </w:r>
      <w:r>
        <w:rPr>
          <w:color w:val="231F20"/>
          <w:spacing w:val="-7"/>
        </w:rPr>
        <w:t> </w:t>
      </w:r>
      <w:r>
        <w:rPr>
          <w:color w:val="231F20"/>
        </w:rPr>
        <w:t>en</w:t>
      </w:r>
      <w:r>
        <w:rPr>
          <w:color w:val="231F20"/>
          <w:spacing w:val="-7"/>
        </w:rPr>
        <w:t> </w:t>
      </w:r>
      <w:r>
        <w:rPr>
          <w:color w:val="231F20"/>
        </w:rPr>
        <w:t>2009,</w:t>
      </w:r>
      <w:r>
        <w:rPr>
          <w:color w:val="231F20"/>
          <w:spacing w:val="-7"/>
        </w:rPr>
        <w:t> </w:t>
      </w:r>
      <w:r>
        <w:rPr>
          <w:color w:val="231F20"/>
        </w:rPr>
        <w:t>continuando</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caída</w:t>
      </w:r>
      <w:r>
        <w:rPr>
          <w:color w:val="231F20"/>
          <w:spacing w:val="-7"/>
        </w:rPr>
        <w:t> </w:t>
      </w:r>
      <w:r>
        <w:rPr>
          <w:color w:val="231F20"/>
        </w:rPr>
        <w:t>hasta</w:t>
      </w:r>
      <w:r>
        <w:rPr>
          <w:color w:val="231F20"/>
          <w:spacing w:val="-7"/>
        </w:rPr>
        <w:t> </w:t>
      </w:r>
      <w:r>
        <w:rPr>
          <w:color w:val="231F20"/>
        </w:rPr>
        <w:t>llegar</w:t>
      </w:r>
      <w:r>
        <w:rPr>
          <w:color w:val="231F20"/>
          <w:spacing w:val="-7"/>
        </w:rPr>
        <w:t> </w:t>
      </w:r>
      <w:r>
        <w:rPr>
          <w:color w:val="231F20"/>
        </w:rPr>
        <w:t>a</w:t>
      </w:r>
      <w:r>
        <w:rPr>
          <w:color w:val="231F20"/>
          <w:spacing w:val="-7"/>
        </w:rPr>
        <w:t> </w:t>
      </w:r>
      <w:r>
        <w:rPr>
          <w:color w:val="231F20"/>
        </w:rPr>
        <w:t>15.4%</w:t>
      </w:r>
      <w:r>
        <w:rPr>
          <w:color w:val="231F20"/>
          <w:spacing w:val="-7"/>
        </w:rPr>
        <w:t> </w:t>
      </w:r>
      <w:r>
        <w:rPr>
          <w:color w:val="231F20"/>
        </w:rPr>
        <w:t>en</w:t>
      </w:r>
      <w:r>
        <w:rPr>
          <w:color w:val="231F20"/>
          <w:spacing w:val="-7"/>
        </w:rPr>
        <w:t> </w:t>
      </w:r>
      <w:r>
        <w:rPr>
          <w:color w:val="231F20"/>
        </w:rPr>
        <w:t>2013,</w:t>
      </w:r>
      <w:r>
        <w:rPr>
          <w:color w:val="231F20"/>
          <w:spacing w:val="-7"/>
        </w:rPr>
        <w:t> </w:t>
      </w:r>
      <w:r>
        <w:rPr>
          <w:color w:val="231F20"/>
        </w:rPr>
        <w:t>con reducciones</w:t>
      </w:r>
      <w:r>
        <w:rPr>
          <w:color w:val="231F20"/>
          <w:spacing w:val="-14"/>
        </w:rPr>
        <w:t> </w:t>
      </w:r>
      <w:r>
        <w:rPr>
          <w:color w:val="231F20"/>
        </w:rPr>
        <w:t>en</w:t>
      </w:r>
      <w:r>
        <w:rPr>
          <w:color w:val="231F20"/>
          <w:spacing w:val="-14"/>
        </w:rPr>
        <w:t> </w:t>
      </w:r>
      <w:r>
        <w:rPr>
          <w:color w:val="231F20"/>
        </w:rPr>
        <w:t>prácticamente</w:t>
      </w:r>
      <w:r>
        <w:rPr>
          <w:color w:val="231F20"/>
          <w:spacing w:val="-14"/>
        </w:rPr>
        <w:t> </w:t>
      </w:r>
      <w:r>
        <w:rPr>
          <w:color w:val="231F20"/>
        </w:rPr>
        <w:t>todos</w:t>
      </w:r>
      <w:r>
        <w:rPr>
          <w:color w:val="231F20"/>
          <w:spacing w:val="-14"/>
        </w:rPr>
        <w:t> </w:t>
      </w:r>
      <w:r>
        <w:rPr>
          <w:color w:val="231F20"/>
        </w:rPr>
        <w:t>los</w:t>
      </w:r>
      <w:r>
        <w:rPr>
          <w:color w:val="231F20"/>
          <w:spacing w:val="-14"/>
        </w:rPr>
        <w:t> </w:t>
      </w:r>
      <w:r>
        <w:rPr>
          <w:color w:val="231F20"/>
        </w:rPr>
        <w:t>países</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De</w:t>
      </w:r>
      <w:r>
        <w:rPr>
          <w:color w:val="231F20"/>
          <w:spacing w:val="-14"/>
        </w:rPr>
        <w:t> </w:t>
      </w:r>
      <w:r>
        <w:rPr>
          <w:color w:val="231F20"/>
        </w:rPr>
        <w:t>igual</w:t>
      </w:r>
      <w:r>
        <w:rPr>
          <w:color w:val="231F20"/>
          <w:spacing w:val="-14"/>
        </w:rPr>
        <w:t> </w:t>
      </w:r>
      <w:r>
        <w:rPr>
          <w:color w:val="231F20"/>
        </w:rPr>
        <w:t>forma,</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región del</w:t>
      </w:r>
      <w:r>
        <w:rPr>
          <w:color w:val="231F20"/>
          <w:spacing w:val="-6"/>
        </w:rPr>
        <w:t> </w:t>
      </w:r>
      <w:r>
        <w:rPr>
          <w:color w:val="231F20"/>
        </w:rPr>
        <w:t>TLCAN</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presentado</w:t>
      </w:r>
      <w:r>
        <w:rPr>
          <w:color w:val="231F20"/>
          <w:spacing w:val="-6"/>
        </w:rPr>
        <w:t> </w:t>
      </w:r>
      <w:r>
        <w:rPr>
          <w:color w:val="231F20"/>
        </w:rPr>
        <w:t>una</w:t>
      </w:r>
      <w:r>
        <w:rPr>
          <w:color w:val="231F20"/>
          <w:spacing w:val="-6"/>
        </w:rPr>
        <w:t> </w:t>
      </w:r>
      <w:r>
        <w:rPr>
          <w:color w:val="231F20"/>
        </w:rPr>
        <w:t>disminución</w:t>
      </w:r>
      <w:r>
        <w:rPr>
          <w:color w:val="231F20"/>
          <w:spacing w:val="-6"/>
        </w:rPr>
        <w:t> </w:t>
      </w:r>
      <w:r>
        <w:rPr>
          <w:color w:val="231F20"/>
        </w:rPr>
        <w:t>importante</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variable,</w:t>
      </w:r>
      <w:r>
        <w:rPr>
          <w:color w:val="231F20"/>
          <w:spacing w:val="-6"/>
        </w:rPr>
        <w:t> </w:t>
      </w:r>
      <w:r>
        <w:rPr>
          <w:color w:val="231F20"/>
        </w:rPr>
        <w:t>al</w:t>
      </w:r>
      <w:r>
        <w:rPr>
          <w:color w:val="231F20"/>
          <w:spacing w:val="-6"/>
        </w:rPr>
        <w:t> </w:t>
      </w:r>
      <w:r>
        <w:rPr>
          <w:color w:val="231F20"/>
        </w:rPr>
        <w:t>pasar</w:t>
      </w:r>
      <w:r>
        <w:rPr>
          <w:color w:val="231F20"/>
          <w:spacing w:val="-6"/>
        </w:rPr>
        <w:t> </w:t>
      </w:r>
      <w:r>
        <w:rPr>
          <w:color w:val="231F20"/>
        </w:rPr>
        <w:t>las ventas</w:t>
      </w:r>
      <w:r>
        <w:rPr>
          <w:color w:val="231F20"/>
          <w:spacing w:val="-3"/>
        </w:rPr>
        <w:t> </w:t>
      </w:r>
      <w:r>
        <w:rPr>
          <w:color w:val="231F20"/>
        </w:rPr>
        <w:t>de</w:t>
      </w:r>
      <w:r>
        <w:rPr>
          <w:color w:val="231F20"/>
          <w:spacing w:val="-3"/>
        </w:rPr>
        <w:t> </w:t>
      </w:r>
      <w:r>
        <w:rPr>
          <w:color w:val="231F20"/>
        </w:rPr>
        <w:t>36.7%</w:t>
      </w:r>
      <w:r>
        <w:rPr>
          <w:color w:val="231F20"/>
          <w:spacing w:val="-3"/>
        </w:rPr>
        <w:t> </w:t>
      </w:r>
      <w:r>
        <w:rPr>
          <w:color w:val="231F20"/>
        </w:rPr>
        <w:t>en</w:t>
      </w:r>
      <w:r>
        <w:rPr>
          <w:color w:val="231F20"/>
          <w:spacing w:val="-3"/>
        </w:rPr>
        <w:t> </w:t>
      </w:r>
      <w:r>
        <w:rPr>
          <w:color w:val="231F20"/>
        </w:rPr>
        <w:t>2000</w:t>
      </w:r>
      <w:r>
        <w:rPr>
          <w:color w:val="231F20"/>
          <w:spacing w:val="-3"/>
        </w:rPr>
        <w:t> </w:t>
      </w:r>
      <w:r>
        <w:rPr>
          <w:color w:val="231F20"/>
        </w:rPr>
        <w:t>a</w:t>
      </w:r>
      <w:r>
        <w:rPr>
          <w:color w:val="231F20"/>
          <w:spacing w:val="-3"/>
        </w:rPr>
        <w:t> </w:t>
      </w:r>
      <w:r>
        <w:rPr>
          <w:color w:val="231F20"/>
        </w:rPr>
        <w:t>22%</w:t>
      </w:r>
      <w:r>
        <w:rPr>
          <w:color w:val="231F20"/>
          <w:spacing w:val="-3"/>
        </w:rPr>
        <w:t> </w:t>
      </w:r>
      <w:r>
        <w:rPr>
          <w:color w:val="231F20"/>
        </w:rPr>
        <w:t>en</w:t>
      </w:r>
      <w:r>
        <w:rPr>
          <w:color w:val="231F20"/>
          <w:spacing w:val="-3"/>
        </w:rPr>
        <w:t> </w:t>
      </w:r>
      <w:r>
        <w:rPr>
          <w:color w:val="231F20"/>
        </w:rPr>
        <w:t>2013.</w:t>
      </w:r>
      <w:r>
        <w:rPr>
          <w:color w:val="231F20"/>
          <w:spacing w:val="-3"/>
        </w:rPr>
        <w:t> </w:t>
      </w:r>
      <w:r>
        <w:rPr>
          <w:color w:val="231F20"/>
          <w:spacing w:val="-4"/>
        </w:rPr>
        <w:t>Por</w:t>
      </w:r>
      <w:r>
        <w:rPr>
          <w:color w:val="231F20"/>
          <w:spacing w:val="-3"/>
        </w:rPr>
        <w:t> </w:t>
      </w:r>
      <w:r>
        <w:rPr>
          <w:color w:val="231F20"/>
        </w:rPr>
        <w:t>su</w:t>
      </w:r>
      <w:r>
        <w:rPr>
          <w:color w:val="231F20"/>
          <w:spacing w:val="-3"/>
        </w:rPr>
        <w:t> </w:t>
      </w:r>
      <w:r>
        <w:rPr>
          <w:color w:val="231F20"/>
        </w:rPr>
        <w:t>parte,</w:t>
      </w:r>
      <w:r>
        <w:rPr>
          <w:color w:val="231F20"/>
          <w:spacing w:val="-3"/>
        </w:rPr>
        <w:t> </w:t>
      </w:r>
      <w:r>
        <w:rPr>
          <w:color w:val="231F20"/>
        </w:rPr>
        <w:t>la</w:t>
      </w:r>
      <w:r>
        <w:rPr>
          <w:color w:val="231F20"/>
          <w:spacing w:val="-3"/>
        </w:rPr>
        <w:t> </w:t>
      </w:r>
      <w:r>
        <w:rPr>
          <w:color w:val="231F20"/>
        </w:rPr>
        <w:t>región</w:t>
      </w:r>
      <w:r>
        <w:rPr>
          <w:color w:val="231F20"/>
          <w:spacing w:val="-3"/>
        </w:rPr>
        <w:t> </w:t>
      </w:r>
      <w:r>
        <w:rPr>
          <w:color w:val="231F20"/>
        </w:rPr>
        <w:t>de</w:t>
      </w:r>
      <w:r>
        <w:rPr>
          <w:color w:val="231F20"/>
          <w:spacing w:val="-3"/>
        </w:rPr>
        <w:t> </w:t>
      </w:r>
      <w:r>
        <w:rPr>
          <w:color w:val="231F20"/>
        </w:rPr>
        <w:t>Europa</w:t>
      </w:r>
      <w:r>
        <w:rPr>
          <w:color w:val="231F20"/>
          <w:spacing w:val="-3"/>
        </w:rPr>
        <w:t> </w:t>
      </w:r>
      <w:r>
        <w:rPr>
          <w:color w:val="231F20"/>
        </w:rPr>
        <w:t>del</w:t>
      </w:r>
      <w:r>
        <w:rPr>
          <w:color w:val="231F20"/>
          <w:spacing w:val="-3"/>
        </w:rPr>
        <w:t> </w:t>
      </w:r>
      <w:r>
        <w:rPr>
          <w:color w:val="231F20"/>
        </w:rPr>
        <w:t>Este</w:t>
      </w:r>
      <w:r>
        <w:rPr>
          <w:color w:val="231F20"/>
          <w:spacing w:val="-3"/>
        </w:rPr>
        <w:t> </w:t>
      </w:r>
      <w:r>
        <w:rPr>
          <w:color w:val="231F20"/>
        </w:rPr>
        <w:t>ha incrementado</w:t>
      </w:r>
      <w:r>
        <w:rPr>
          <w:color w:val="231F20"/>
          <w:spacing w:val="-5"/>
        </w:rPr>
        <w:t> </w:t>
      </w:r>
      <w:r>
        <w:rPr>
          <w:color w:val="231F20"/>
        </w:rPr>
        <w:t>moderadamente</w:t>
      </w:r>
      <w:r>
        <w:rPr>
          <w:color w:val="231F20"/>
          <w:spacing w:val="-5"/>
        </w:rPr>
        <w:t> </w:t>
      </w:r>
      <w:r>
        <w:rPr>
          <w:color w:val="231F20"/>
        </w:rPr>
        <w:t>su</w:t>
      </w:r>
      <w:r>
        <w:rPr>
          <w:color w:val="231F20"/>
          <w:spacing w:val="-5"/>
        </w:rPr>
        <w:t> </w:t>
      </w:r>
      <w:r>
        <w:rPr>
          <w:color w:val="231F20"/>
        </w:rPr>
        <w:t>participación,</w:t>
      </w:r>
      <w:r>
        <w:rPr>
          <w:color w:val="231F20"/>
          <w:spacing w:val="-5"/>
        </w:rPr>
        <w:t> </w:t>
      </w:r>
      <w:r>
        <w:rPr>
          <w:color w:val="231F20"/>
        </w:rPr>
        <w:t>al</w:t>
      </w:r>
      <w:r>
        <w:rPr>
          <w:color w:val="231F20"/>
          <w:spacing w:val="-5"/>
        </w:rPr>
        <w:t> </w:t>
      </w:r>
      <w:r>
        <w:rPr>
          <w:color w:val="231F20"/>
        </w:rPr>
        <w:t>pasar</w:t>
      </w:r>
      <w:r>
        <w:rPr>
          <w:color w:val="231F20"/>
          <w:spacing w:val="-5"/>
        </w:rPr>
        <w:t> </w:t>
      </w:r>
      <w:r>
        <w:rPr>
          <w:color w:val="231F20"/>
        </w:rPr>
        <w:t>de</w:t>
      </w:r>
      <w:r>
        <w:rPr>
          <w:color w:val="231F20"/>
          <w:spacing w:val="-5"/>
        </w:rPr>
        <w:t> </w:t>
      </w:r>
      <w:r>
        <w:rPr>
          <w:color w:val="231F20"/>
        </w:rPr>
        <w:t>4.2%</w:t>
      </w:r>
      <w:r>
        <w:rPr>
          <w:color w:val="231F20"/>
          <w:spacing w:val="-5"/>
        </w:rPr>
        <w:t> </w:t>
      </w:r>
      <w:r>
        <w:rPr>
          <w:color w:val="231F20"/>
        </w:rPr>
        <w:t>a</w:t>
      </w:r>
      <w:r>
        <w:rPr>
          <w:color w:val="231F20"/>
          <w:spacing w:val="-5"/>
        </w:rPr>
        <w:t> </w:t>
      </w:r>
      <w:r>
        <w:rPr>
          <w:color w:val="231F20"/>
        </w:rPr>
        <w:t>4.5%,</w:t>
      </w:r>
      <w:r>
        <w:rPr>
          <w:color w:val="231F20"/>
          <w:spacing w:val="-5"/>
        </w:rPr>
        <w:t> </w:t>
      </w:r>
      <w:r>
        <w:rPr>
          <w:color w:val="231F20"/>
        </w:rPr>
        <w:t>mientras</w:t>
      </w:r>
      <w:r>
        <w:rPr>
          <w:color w:val="231F20"/>
          <w:spacing w:val="-5"/>
        </w:rPr>
        <w:t> </w:t>
      </w:r>
      <w:r>
        <w:rPr>
          <w:color w:val="231F20"/>
        </w:rPr>
        <w:t>que Sudamérica</w:t>
      </w:r>
      <w:r>
        <w:rPr>
          <w:color w:val="231F20"/>
          <w:spacing w:val="-17"/>
        </w:rPr>
        <w:t> </w:t>
      </w:r>
      <w:r>
        <w:rPr>
          <w:color w:val="231F20"/>
        </w:rPr>
        <w:t>lo</w:t>
      </w:r>
      <w:r>
        <w:rPr>
          <w:color w:val="231F20"/>
          <w:spacing w:val="-17"/>
        </w:rPr>
        <w:t> </w:t>
      </w:r>
      <w:r>
        <w:rPr>
          <w:color w:val="231F20"/>
        </w:rPr>
        <w:t>hizo</w:t>
      </w:r>
      <w:r>
        <w:rPr>
          <w:color w:val="231F20"/>
          <w:spacing w:val="-17"/>
        </w:rPr>
        <w:t> </w:t>
      </w:r>
      <w:r>
        <w:rPr>
          <w:color w:val="231F20"/>
        </w:rPr>
        <w:t>de</w:t>
      </w:r>
      <w:r>
        <w:rPr>
          <w:color w:val="231F20"/>
          <w:spacing w:val="-17"/>
        </w:rPr>
        <w:t> </w:t>
      </w:r>
      <w:r>
        <w:rPr>
          <w:color w:val="231F20"/>
        </w:rPr>
        <w:t>manera</w:t>
      </w:r>
      <w:r>
        <w:rPr>
          <w:color w:val="231F20"/>
          <w:spacing w:val="-17"/>
        </w:rPr>
        <w:t> </w:t>
      </w:r>
      <w:r>
        <w:rPr>
          <w:color w:val="231F20"/>
        </w:rPr>
        <w:t>más</w:t>
      </w:r>
      <w:r>
        <w:rPr>
          <w:color w:val="231F20"/>
          <w:spacing w:val="-17"/>
        </w:rPr>
        <w:t> </w:t>
      </w:r>
      <w:r>
        <w:rPr>
          <w:color w:val="231F20"/>
        </w:rPr>
        <w:t>significativa,</w:t>
      </w:r>
      <w:r>
        <w:rPr>
          <w:color w:val="231F20"/>
          <w:spacing w:val="-17"/>
        </w:rPr>
        <w:t> </w:t>
      </w:r>
      <w:r>
        <w:rPr>
          <w:color w:val="231F20"/>
        </w:rPr>
        <w:t>al</w:t>
      </w:r>
      <w:r>
        <w:rPr>
          <w:color w:val="231F20"/>
          <w:spacing w:val="-17"/>
        </w:rPr>
        <w:t> </w:t>
      </w:r>
      <w:r>
        <w:rPr>
          <w:color w:val="231F20"/>
        </w:rPr>
        <w:t>incrementar</w:t>
      </w:r>
      <w:r>
        <w:rPr>
          <w:color w:val="231F20"/>
          <w:spacing w:val="-17"/>
        </w:rPr>
        <w:t> </w:t>
      </w:r>
      <w:r>
        <w:rPr>
          <w:color w:val="231F20"/>
        </w:rPr>
        <w:t>de</w:t>
      </w:r>
      <w:r>
        <w:rPr>
          <w:color w:val="231F20"/>
          <w:spacing w:val="-17"/>
        </w:rPr>
        <w:t> </w:t>
      </w:r>
      <w:r>
        <w:rPr>
          <w:color w:val="231F20"/>
        </w:rPr>
        <w:t>3.5%</w:t>
      </w:r>
      <w:r>
        <w:rPr>
          <w:color w:val="231F20"/>
          <w:spacing w:val="-17"/>
        </w:rPr>
        <w:t> </w:t>
      </w:r>
      <w:r>
        <w:rPr>
          <w:color w:val="231F20"/>
        </w:rPr>
        <w:t>a</w:t>
      </w:r>
      <w:r>
        <w:rPr>
          <w:color w:val="231F20"/>
          <w:spacing w:val="-17"/>
        </w:rPr>
        <w:t> </w:t>
      </w:r>
      <w:r>
        <w:rPr>
          <w:color w:val="231F20"/>
        </w:rPr>
        <w:t>6.1%</w:t>
      </w:r>
      <w:r>
        <w:rPr>
          <w:color w:val="231F20"/>
          <w:spacing w:val="-17"/>
        </w:rPr>
        <w:t> </w:t>
      </w:r>
      <w:r>
        <w:rPr>
          <w:color w:val="231F20"/>
        </w:rPr>
        <w:t>para</w:t>
      </w:r>
      <w:r>
        <w:rPr>
          <w:color w:val="231F20"/>
          <w:spacing w:val="-17"/>
        </w:rPr>
        <w:t> </w:t>
      </w:r>
      <w:r>
        <w:rPr>
          <w:color w:val="231F20"/>
        </w:rPr>
        <w:t>los mismos</w:t>
      </w:r>
      <w:r>
        <w:rPr>
          <w:color w:val="231F20"/>
          <w:spacing w:val="-9"/>
        </w:rPr>
        <w:t> </w:t>
      </w:r>
      <w:r>
        <w:rPr>
          <w:color w:val="231F20"/>
        </w:rPr>
        <w:t>años,</w:t>
      </w:r>
      <w:r>
        <w:rPr>
          <w:color w:val="231F20"/>
          <w:spacing w:val="-9"/>
        </w:rPr>
        <w:t> </w:t>
      </w:r>
      <w:r>
        <w:rPr>
          <w:color w:val="231F20"/>
        </w:rPr>
        <w:t>siendo</w:t>
      </w:r>
      <w:r>
        <w:rPr>
          <w:color w:val="231F20"/>
          <w:spacing w:val="-9"/>
        </w:rPr>
        <w:t> </w:t>
      </w:r>
      <w:r>
        <w:rPr>
          <w:color w:val="231F20"/>
        </w:rPr>
        <w:t>nuevamente</w:t>
      </w:r>
      <w:r>
        <w:rPr>
          <w:color w:val="231F20"/>
          <w:spacing w:val="-9"/>
        </w:rPr>
        <w:t> </w:t>
      </w:r>
      <w:r>
        <w:rPr>
          <w:color w:val="231F20"/>
        </w:rPr>
        <w:t>Brasil</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más</w:t>
      </w:r>
      <w:r>
        <w:rPr>
          <w:color w:val="231F20"/>
          <w:spacing w:val="-9"/>
        </w:rPr>
        <w:t> </w:t>
      </w:r>
      <w:r>
        <w:rPr>
          <w:color w:val="231F20"/>
        </w:rPr>
        <w:t>representativo.</w:t>
      </w:r>
    </w:p>
    <w:p>
      <w:pPr>
        <w:pStyle w:val="BodyText"/>
        <w:spacing w:line="278" w:lineRule="auto" w:before="1"/>
        <w:ind w:left="653" w:right="120" w:firstLine="396"/>
        <w:jc w:val="both"/>
      </w:pPr>
      <w:r>
        <w:rPr>
          <w:color w:val="231F20"/>
          <w:spacing w:val="-3"/>
        </w:rPr>
        <w:t>Sin </w:t>
      </w:r>
      <w:r>
        <w:rPr>
          <w:color w:val="231F20"/>
          <w:spacing w:val="-4"/>
        </w:rPr>
        <w:t>embargo, </w:t>
      </w:r>
      <w:r>
        <w:rPr>
          <w:color w:val="231F20"/>
        </w:rPr>
        <w:t>el </w:t>
      </w:r>
      <w:r>
        <w:rPr>
          <w:color w:val="231F20"/>
          <w:spacing w:val="-4"/>
        </w:rPr>
        <w:t>crecimiento </w:t>
      </w:r>
      <w:r>
        <w:rPr>
          <w:color w:val="231F20"/>
        </w:rPr>
        <w:t>más </w:t>
      </w:r>
      <w:r>
        <w:rPr>
          <w:color w:val="231F20"/>
          <w:spacing w:val="-4"/>
        </w:rPr>
        <w:t>importante </w:t>
      </w:r>
      <w:r>
        <w:rPr>
          <w:color w:val="231F20"/>
        </w:rPr>
        <w:t>se ha dado en la </w:t>
      </w:r>
      <w:r>
        <w:rPr>
          <w:color w:val="231F20"/>
          <w:spacing w:val="-3"/>
        </w:rPr>
        <w:t>región Asia </w:t>
      </w:r>
      <w:r>
        <w:rPr>
          <w:color w:val="231F20"/>
          <w:spacing w:val="-4"/>
        </w:rPr>
        <w:t>Pacífico, </w:t>
      </w:r>
      <w:r>
        <w:rPr>
          <w:color w:val="231F20"/>
        </w:rPr>
        <w:t>al pasar de </w:t>
      </w:r>
      <w:r>
        <w:rPr>
          <w:color w:val="231F20"/>
          <w:spacing w:val="-3"/>
        </w:rPr>
        <w:t>12.4% </w:t>
      </w:r>
      <w:r>
        <w:rPr>
          <w:color w:val="231F20"/>
        </w:rPr>
        <w:t>en </w:t>
      </w:r>
      <w:r>
        <w:rPr>
          <w:color w:val="231F20"/>
          <w:spacing w:val="-3"/>
        </w:rPr>
        <w:t>2000 </w:t>
      </w:r>
      <w:r>
        <w:rPr>
          <w:color w:val="231F20"/>
        </w:rPr>
        <w:t>a </w:t>
      </w:r>
      <w:r>
        <w:rPr>
          <w:color w:val="231F20"/>
          <w:spacing w:val="-3"/>
        </w:rPr>
        <w:t>37.2% </w:t>
      </w:r>
      <w:r>
        <w:rPr>
          <w:color w:val="231F20"/>
        </w:rPr>
        <w:t>en </w:t>
      </w:r>
      <w:r>
        <w:rPr>
          <w:color w:val="231F20"/>
          <w:spacing w:val="-3"/>
        </w:rPr>
        <w:t>2013, destacando </w:t>
      </w:r>
      <w:r>
        <w:rPr>
          <w:color w:val="231F20"/>
          <w:spacing w:val="-4"/>
        </w:rPr>
        <w:t>nuevamente </w:t>
      </w:r>
      <w:r>
        <w:rPr>
          <w:color w:val="231F20"/>
        </w:rPr>
        <w:t>de </w:t>
      </w:r>
      <w:r>
        <w:rPr>
          <w:color w:val="231F20"/>
          <w:spacing w:val="-3"/>
        </w:rPr>
        <w:t>manera signifi- </w:t>
      </w:r>
      <w:r>
        <w:rPr>
          <w:color w:val="231F20"/>
          <w:spacing w:val="-4"/>
        </w:rPr>
        <w:t>cativamente </w:t>
      </w:r>
      <w:r>
        <w:rPr>
          <w:color w:val="231F20"/>
          <w:spacing w:val="-3"/>
        </w:rPr>
        <w:t>China </w:t>
      </w:r>
      <w:r>
        <w:rPr>
          <w:color w:val="231F20"/>
        </w:rPr>
        <w:t>y la </w:t>
      </w:r>
      <w:r>
        <w:rPr>
          <w:color w:val="231F20"/>
          <w:spacing w:val="-3"/>
        </w:rPr>
        <w:t>India, donde </w:t>
      </w:r>
      <w:r>
        <w:rPr>
          <w:color w:val="231F20"/>
        </w:rPr>
        <w:t>se </w:t>
      </w:r>
      <w:r>
        <w:rPr>
          <w:color w:val="231F20"/>
          <w:spacing w:val="-4"/>
        </w:rPr>
        <w:t>vendieron </w:t>
      </w:r>
      <w:r>
        <w:rPr>
          <w:color w:val="231F20"/>
        </w:rPr>
        <w:t>3, 081 300 </w:t>
      </w:r>
      <w:r>
        <w:rPr>
          <w:color w:val="231F20"/>
          <w:spacing w:val="-3"/>
        </w:rPr>
        <w:t>vehículos </w:t>
      </w:r>
      <w:r>
        <w:rPr>
          <w:color w:val="231F20"/>
        </w:rPr>
        <w:t>en el </w:t>
      </w:r>
      <w:r>
        <w:rPr>
          <w:color w:val="231F20"/>
          <w:spacing w:val="-3"/>
        </w:rPr>
        <w:t>año 2000, mientras que para 2013 </w:t>
      </w:r>
      <w:r>
        <w:rPr>
          <w:color w:val="231F20"/>
        </w:rPr>
        <w:t>esta </w:t>
      </w:r>
      <w:r>
        <w:rPr>
          <w:color w:val="231F20"/>
          <w:spacing w:val="-3"/>
        </w:rPr>
        <w:t>cantidad </w:t>
      </w:r>
      <w:r>
        <w:rPr>
          <w:color w:val="231F20"/>
        </w:rPr>
        <w:t>se </w:t>
      </w:r>
      <w:r>
        <w:rPr>
          <w:color w:val="231F20"/>
          <w:spacing w:val="-4"/>
        </w:rPr>
        <w:t>incrementó </w:t>
      </w:r>
      <w:r>
        <w:rPr>
          <w:color w:val="231F20"/>
        </w:rPr>
        <w:t>a 25, </w:t>
      </w:r>
      <w:r>
        <w:rPr>
          <w:color w:val="231F20"/>
          <w:spacing w:val="-3"/>
        </w:rPr>
        <w:t>225, </w:t>
      </w:r>
      <w:r>
        <w:rPr>
          <w:color w:val="231F20"/>
        </w:rPr>
        <w:t>309 </w:t>
      </w:r>
      <w:r>
        <w:rPr>
          <w:color w:val="231F20"/>
          <w:spacing w:val="-3"/>
        </w:rPr>
        <w:t>unidades; </w:t>
      </w:r>
      <w:r>
        <w:rPr>
          <w:color w:val="231F20"/>
        </w:rPr>
        <w:t>es </w:t>
      </w:r>
      <w:r>
        <w:rPr>
          <w:color w:val="231F20"/>
          <w:spacing w:val="-5"/>
        </w:rPr>
        <w:t>decir, </w:t>
      </w:r>
      <w:r>
        <w:rPr>
          <w:color w:val="231F20"/>
        </w:rPr>
        <w:t>el </w:t>
      </w:r>
      <w:r>
        <w:rPr>
          <w:color w:val="231F20"/>
          <w:spacing w:val="-3"/>
        </w:rPr>
        <w:t>29.5% </w:t>
      </w:r>
      <w:r>
        <w:rPr>
          <w:color w:val="231F20"/>
        </w:rPr>
        <w:t>de las </w:t>
      </w:r>
      <w:r>
        <w:rPr>
          <w:color w:val="231F20"/>
          <w:spacing w:val="-3"/>
        </w:rPr>
        <w:t>ventas totales mundiales </w:t>
      </w:r>
      <w:r>
        <w:rPr>
          <w:color w:val="231F20"/>
        </w:rPr>
        <w:t>se </w:t>
      </w:r>
      <w:r>
        <w:rPr>
          <w:color w:val="231F20"/>
          <w:spacing w:val="-3"/>
        </w:rPr>
        <w:t>realizó </w:t>
      </w:r>
      <w:r>
        <w:rPr>
          <w:color w:val="231F20"/>
        </w:rPr>
        <w:t>en </w:t>
      </w:r>
      <w:r>
        <w:rPr>
          <w:color w:val="231F20"/>
          <w:spacing w:val="-3"/>
        </w:rPr>
        <w:t>estos </w:t>
      </w:r>
      <w:r>
        <w:rPr>
          <w:color w:val="231F20"/>
        </w:rPr>
        <w:t>dos </w:t>
      </w:r>
      <w:r>
        <w:rPr>
          <w:color w:val="231F20"/>
          <w:spacing w:val="-3"/>
        </w:rPr>
        <w:t>países. </w:t>
      </w:r>
      <w:r>
        <w:rPr>
          <w:color w:val="231F20"/>
        </w:rPr>
        <w:t>De </w:t>
      </w:r>
      <w:r>
        <w:rPr>
          <w:color w:val="231F20"/>
          <w:spacing w:val="-3"/>
        </w:rPr>
        <w:t>nueva cuenta, China </w:t>
      </w:r>
      <w:r>
        <w:rPr>
          <w:color w:val="231F20"/>
        </w:rPr>
        <w:t>es el </w:t>
      </w:r>
      <w:r>
        <w:rPr>
          <w:color w:val="231F20"/>
          <w:spacing w:val="-3"/>
        </w:rPr>
        <w:t>país con </w:t>
      </w:r>
      <w:r>
        <w:rPr>
          <w:color w:val="231F20"/>
        </w:rPr>
        <w:t>el </w:t>
      </w:r>
      <w:r>
        <w:rPr>
          <w:color w:val="231F20"/>
          <w:spacing w:val="-4"/>
        </w:rPr>
        <w:t>mayor crecimiento, </w:t>
      </w:r>
      <w:r>
        <w:rPr>
          <w:color w:val="231F20"/>
          <w:spacing w:val="-3"/>
        </w:rPr>
        <w:t>pues </w:t>
      </w:r>
      <w:r>
        <w:rPr>
          <w:color w:val="231F20"/>
        </w:rPr>
        <w:t>en sólo </w:t>
      </w:r>
      <w:r>
        <w:rPr>
          <w:color w:val="231F20"/>
          <w:spacing w:val="-3"/>
        </w:rPr>
        <w:t>nueve años </w:t>
      </w:r>
      <w:r>
        <w:rPr>
          <w:color w:val="231F20"/>
        </w:rPr>
        <w:t>ha </w:t>
      </w:r>
      <w:r>
        <w:rPr>
          <w:color w:val="231F20"/>
          <w:spacing w:val="-3"/>
        </w:rPr>
        <w:t>cuadruplicado </w:t>
      </w:r>
      <w:r>
        <w:rPr>
          <w:color w:val="231F20"/>
        </w:rPr>
        <w:t>su </w:t>
      </w:r>
      <w:r>
        <w:rPr>
          <w:color w:val="231F20"/>
          <w:spacing w:val="-3"/>
        </w:rPr>
        <w:t>participación</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spacing w:val="-3"/>
        </w:rPr>
        <w:t>venta</w:t>
      </w:r>
      <w:r>
        <w:rPr>
          <w:color w:val="231F20"/>
          <w:spacing w:val="-21"/>
        </w:rPr>
        <w:t> </w:t>
      </w:r>
      <w:r>
        <w:rPr>
          <w:color w:val="231F20"/>
          <w:spacing w:val="-3"/>
        </w:rPr>
        <w:t>mundial</w:t>
      </w:r>
      <w:r>
        <w:rPr>
          <w:color w:val="231F20"/>
          <w:spacing w:val="-21"/>
        </w:rPr>
        <w:t> </w:t>
      </w:r>
      <w:r>
        <w:rPr>
          <w:color w:val="231F20"/>
        </w:rPr>
        <w:t>de</w:t>
      </w:r>
      <w:r>
        <w:rPr>
          <w:color w:val="231F20"/>
          <w:spacing w:val="-21"/>
        </w:rPr>
        <w:t> </w:t>
      </w:r>
      <w:r>
        <w:rPr>
          <w:color w:val="231F20"/>
          <w:spacing w:val="-3"/>
        </w:rPr>
        <w:t>vehículos,</w:t>
      </w:r>
      <w:r>
        <w:rPr>
          <w:color w:val="231F20"/>
          <w:spacing w:val="-21"/>
        </w:rPr>
        <w:t> </w:t>
      </w:r>
      <w:r>
        <w:rPr>
          <w:color w:val="231F20"/>
        </w:rPr>
        <w:t>al</w:t>
      </w:r>
      <w:r>
        <w:rPr>
          <w:color w:val="231F20"/>
          <w:spacing w:val="-21"/>
        </w:rPr>
        <w:t> </w:t>
      </w:r>
      <w:r>
        <w:rPr>
          <w:color w:val="231F20"/>
        </w:rPr>
        <w:t>pasar</w:t>
      </w:r>
      <w:r>
        <w:rPr>
          <w:color w:val="231F20"/>
          <w:spacing w:val="-21"/>
        </w:rPr>
        <w:t> </w:t>
      </w:r>
      <w:r>
        <w:rPr>
          <w:color w:val="231F20"/>
        </w:rPr>
        <w:t>de</w:t>
      </w:r>
      <w:r>
        <w:rPr>
          <w:color w:val="231F20"/>
          <w:spacing w:val="-21"/>
        </w:rPr>
        <w:t> </w:t>
      </w:r>
      <w:r>
        <w:rPr>
          <w:color w:val="231F20"/>
          <w:spacing w:val="-3"/>
        </w:rPr>
        <w:t>3.8%</w:t>
      </w:r>
      <w:r>
        <w:rPr>
          <w:color w:val="231F20"/>
          <w:spacing w:val="-21"/>
        </w:rPr>
        <w:t> </w:t>
      </w:r>
      <w:r>
        <w:rPr>
          <w:color w:val="231F20"/>
        </w:rPr>
        <w:t>en</w:t>
      </w:r>
      <w:r>
        <w:rPr>
          <w:color w:val="231F20"/>
          <w:spacing w:val="-21"/>
        </w:rPr>
        <w:t> </w:t>
      </w:r>
      <w:r>
        <w:rPr>
          <w:color w:val="231F20"/>
          <w:spacing w:val="-3"/>
        </w:rPr>
        <w:t>2000</w:t>
      </w:r>
      <w:r>
        <w:rPr>
          <w:color w:val="231F20"/>
          <w:spacing w:val="-21"/>
        </w:rPr>
        <w:t> </w:t>
      </w:r>
      <w:r>
        <w:rPr>
          <w:color w:val="231F20"/>
        </w:rPr>
        <w:t>a</w:t>
      </w:r>
      <w:r>
        <w:rPr>
          <w:color w:val="231F20"/>
          <w:spacing w:val="-21"/>
        </w:rPr>
        <w:t> </w:t>
      </w:r>
      <w:r>
        <w:rPr>
          <w:color w:val="231F20"/>
          <w:spacing w:val="-3"/>
        </w:rPr>
        <w:t>25.7%</w:t>
      </w:r>
      <w:r>
        <w:rPr>
          <w:color w:val="231F20"/>
          <w:spacing w:val="-21"/>
        </w:rPr>
        <w:t> </w:t>
      </w:r>
      <w:r>
        <w:rPr>
          <w:color w:val="231F20"/>
        </w:rPr>
        <w:t>en</w:t>
      </w:r>
      <w:r>
        <w:rPr>
          <w:color w:val="231F20"/>
          <w:spacing w:val="-21"/>
        </w:rPr>
        <w:t> </w:t>
      </w:r>
      <w:r>
        <w:rPr>
          <w:color w:val="231F20"/>
          <w:spacing w:val="-3"/>
        </w:rPr>
        <w:t>2013.</w:t>
      </w:r>
    </w:p>
    <w:p>
      <w:pPr>
        <w:pStyle w:val="BodyText"/>
        <w:spacing w:before="8"/>
        <w:rPr>
          <w:sz w:val="17"/>
        </w:rPr>
      </w:pPr>
    </w:p>
    <w:p>
      <w:pPr>
        <w:pStyle w:val="Heading4"/>
        <w:ind w:left="791" w:right="262"/>
      </w:pPr>
      <w:r>
        <w:rPr>
          <w:color w:val="231F20"/>
          <w:w w:val="95"/>
        </w:rPr>
        <w:t>Cuadro II.5</w:t>
      </w:r>
    </w:p>
    <w:p>
      <w:pPr>
        <w:spacing w:line="282" w:lineRule="exact" w:before="0"/>
        <w:ind w:left="791" w:right="261" w:firstLine="0"/>
        <w:jc w:val="center"/>
        <w:rPr>
          <w:rFonts w:ascii="Palatino Linotype" w:hAnsi="Palatino Linotype"/>
          <w:b/>
          <w:sz w:val="21"/>
        </w:rPr>
      </w:pPr>
      <w:r>
        <w:rPr>
          <w:rFonts w:ascii="Palatino Linotype" w:hAnsi="Palatino Linotype"/>
          <w:b/>
          <w:color w:val="231F20"/>
          <w:w w:val="90"/>
          <w:sz w:val="21"/>
        </w:rPr>
        <w:t>Venta mundial de vehículos por región y principales países, 2000-2013</w:t>
      </w:r>
    </w:p>
    <w:p>
      <w:pPr>
        <w:pStyle w:val="BodyText"/>
        <w:spacing w:before="4"/>
        <w:rPr>
          <w:rFonts w:ascii="Palatino Linotype"/>
          <w:b/>
          <w:sz w:val="14"/>
        </w:rPr>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3"/>
        <w:gridCol w:w="442"/>
        <w:gridCol w:w="442"/>
        <w:gridCol w:w="442"/>
        <w:gridCol w:w="442"/>
        <w:gridCol w:w="442"/>
        <w:gridCol w:w="442"/>
        <w:gridCol w:w="442"/>
        <w:gridCol w:w="442"/>
        <w:gridCol w:w="442"/>
        <w:gridCol w:w="442"/>
        <w:gridCol w:w="442"/>
        <w:gridCol w:w="442"/>
        <w:gridCol w:w="442"/>
      </w:tblGrid>
      <w:tr>
        <w:trPr>
          <w:trHeight w:val="300" w:hRule="exact"/>
        </w:trPr>
        <w:tc>
          <w:tcPr>
            <w:tcW w:w="1463" w:type="dxa"/>
            <w:tcBorders>
              <w:top w:val="single" w:sz="4" w:space="0" w:color="231F20"/>
              <w:bottom w:val="single" w:sz="4" w:space="0" w:color="231F20"/>
            </w:tcBorders>
          </w:tcPr>
          <w:p>
            <w:pPr>
              <w:pStyle w:val="TableParagraph"/>
              <w:spacing w:before="35"/>
              <w:ind w:left="70" w:right="21"/>
              <w:rPr>
                <w:rFonts w:ascii="Palatino Linotype" w:hAnsi="Palatino Linotype"/>
                <w:b/>
                <w:sz w:val="16"/>
              </w:rPr>
            </w:pPr>
            <w:r>
              <w:rPr>
                <w:rFonts w:ascii="Palatino Linotype" w:hAnsi="Palatino Linotype"/>
                <w:b/>
                <w:color w:val="231F20"/>
                <w:sz w:val="16"/>
              </w:rPr>
              <w:t>Región/país  2000</w:t>
            </w:r>
          </w:p>
        </w:tc>
        <w:tc>
          <w:tcPr>
            <w:tcW w:w="442" w:type="dxa"/>
            <w:tcBorders>
              <w:top w:val="single" w:sz="4" w:space="0" w:color="231F20"/>
              <w:bottom w:val="single" w:sz="4" w:space="0" w:color="231F20"/>
            </w:tcBorders>
          </w:tcPr>
          <w:p>
            <w:pPr>
              <w:pStyle w:val="TableParagraph"/>
              <w:spacing w:before="35"/>
              <w:ind w:left="41" w:right="41"/>
              <w:rPr>
                <w:rFonts w:ascii="Palatino Linotype"/>
                <w:b/>
                <w:sz w:val="16"/>
              </w:rPr>
            </w:pPr>
            <w:r>
              <w:rPr>
                <w:rFonts w:ascii="Palatino Linotype"/>
                <w:b/>
                <w:color w:val="231F20"/>
                <w:sz w:val="16"/>
              </w:rPr>
              <w:t>2001</w:t>
            </w:r>
          </w:p>
        </w:tc>
        <w:tc>
          <w:tcPr>
            <w:tcW w:w="442" w:type="dxa"/>
            <w:tcBorders>
              <w:top w:val="single" w:sz="4" w:space="0" w:color="231F20"/>
              <w:bottom w:val="single" w:sz="4" w:space="0" w:color="231F20"/>
            </w:tcBorders>
          </w:tcPr>
          <w:p>
            <w:pPr>
              <w:pStyle w:val="TableParagraph"/>
              <w:spacing w:before="35"/>
              <w:ind w:left="61"/>
              <w:jc w:val="left"/>
              <w:rPr>
                <w:rFonts w:ascii="Palatino Linotype"/>
                <w:b/>
                <w:sz w:val="16"/>
              </w:rPr>
            </w:pPr>
            <w:r>
              <w:rPr>
                <w:rFonts w:ascii="Palatino Linotype"/>
                <w:b/>
                <w:color w:val="231F20"/>
                <w:sz w:val="16"/>
              </w:rPr>
              <w:t>2002</w:t>
            </w:r>
          </w:p>
        </w:tc>
        <w:tc>
          <w:tcPr>
            <w:tcW w:w="442" w:type="dxa"/>
            <w:tcBorders>
              <w:top w:val="single" w:sz="4" w:space="0" w:color="231F20"/>
              <w:bottom w:val="single" w:sz="4" w:space="0" w:color="231F20"/>
            </w:tcBorders>
          </w:tcPr>
          <w:p>
            <w:pPr>
              <w:pStyle w:val="TableParagraph"/>
              <w:spacing w:before="35"/>
              <w:ind w:right="59"/>
              <w:jc w:val="right"/>
              <w:rPr>
                <w:rFonts w:ascii="Palatino Linotype"/>
                <w:b/>
                <w:sz w:val="16"/>
              </w:rPr>
            </w:pPr>
            <w:r>
              <w:rPr>
                <w:rFonts w:ascii="Palatino Linotype"/>
                <w:b/>
                <w:color w:val="231F20"/>
                <w:sz w:val="16"/>
              </w:rPr>
              <w:t>2003</w:t>
            </w:r>
          </w:p>
        </w:tc>
        <w:tc>
          <w:tcPr>
            <w:tcW w:w="442" w:type="dxa"/>
            <w:tcBorders>
              <w:top w:val="single" w:sz="4" w:space="0" w:color="231F20"/>
              <w:bottom w:val="single" w:sz="4" w:space="0" w:color="231F20"/>
            </w:tcBorders>
          </w:tcPr>
          <w:p>
            <w:pPr>
              <w:pStyle w:val="TableParagraph"/>
              <w:spacing w:before="35"/>
              <w:ind w:left="61"/>
              <w:jc w:val="left"/>
              <w:rPr>
                <w:rFonts w:ascii="Palatino Linotype"/>
                <w:b/>
                <w:sz w:val="16"/>
              </w:rPr>
            </w:pPr>
            <w:r>
              <w:rPr>
                <w:rFonts w:ascii="Palatino Linotype"/>
                <w:b/>
                <w:color w:val="231F20"/>
                <w:sz w:val="16"/>
              </w:rPr>
              <w:t>2004</w:t>
            </w:r>
          </w:p>
        </w:tc>
        <w:tc>
          <w:tcPr>
            <w:tcW w:w="442" w:type="dxa"/>
            <w:tcBorders>
              <w:top w:val="single" w:sz="4" w:space="0" w:color="231F20"/>
              <w:bottom w:val="single" w:sz="4" w:space="0" w:color="231F20"/>
            </w:tcBorders>
          </w:tcPr>
          <w:p>
            <w:pPr>
              <w:pStyle w:val="TableParagraph"/>
              <w:spacing w:before="35"/>
              <w:ind w:right="59"/>
              <w:jc w:val="right"/>
              <w:rPr>
                <w:rFonts w:ascii="Palatino Linotype"/>
                <w:b/>
                <w:sz w:val="16"/>
              </w:rPr>
            </w:pPr>
            <w:r>
              <w:rPr>
                <w:rFonts w:ascii="Palatino Linotype"/>
                <w:b/>
                <w:color w:val="231F20"/>
                <w:sz w:val="16"/>
              </w:rPr>
              <w:t>2005</w:t>
            </w:r>
          </w:p>
        </w:tc>
        <w:tc>
          <w:tcPr>
            <w:tcW w:w="442" w:type="dxa"/>
            <w:tcBorders>
              <w:top w:val="single" w:sz="4" w:space="0" w:color="231F20"/>
              <w:bottom w:val="single" w:sz="4" w:space="0" w:color="231F20"/>
            </w:tcBorders>
          </w:tcPr>
          <w:p>
            <w:pPr>
              <w:pStyle w:val="TableParagraph"/>
              <w:spacing w:before="35"/>
              <w:ind w:left="61"/>
              <w:jc w:val="left"/>
              <w:rPr>
                <w:rFonts w:ascii="Palatino Linotype"/>
                <w:b/>
                <w:sz w:val="16"/>
              </w:rPr>
            </w:pPr>
            <w:r>
              <w:rPr>
                <w:rFonts w:ascii="Palatino Linotype"/>
                <w:b/>
                <w:color w:val="231F20"/>
                <w:sz w:val="16"/>
              </w:rPr>
              <w:t>2006</w:t>
            </w:r>
          </w:p>
        </w:tc>
        <w:tc>
          <w:tcPr>
            <w:tcW w:w="442" w:type="dxa"/>
            <w:tcBorders>
              <w:top w:val="single" w:sz="4" w:space="0" w:color="231F20"/>
              <w:bottom w:val="single" w:sz="4" w:space="0" w:color="231F20"/>
            </w:tcBorders>
          </w:tcPr>
          <w:p>
            <w:pPr>
              <w:pStyle w:val="TableParagraph"/>
              <w:spacing w:before="35"/>
              <w:ind w:right="59"/>
              <w:jc w:val="right"/>
              <w:rPr>
                <w:rFonts w:ascii="Palatino Linotype"/>
                <w:b/>
                <w:sz w:val="16"/>
              </w:rPr>
            </w:pPr>
            <w:r>
              <w:rPr>
                <w:rFonts w:ascii="Palatino Linotype"/>
                <w:b/>
                <w:color w:val="231F20"/>
                <w:sz w:val="16"/>
              </w:rPr>
              <w:t>2007</w:t>
            </w:r>
          </w:p>
        </w:tc>
        <w:tc>
          <w:tcPr>
            <w:tcW w:w="442" w:type="dxa"/>
            <w:tcBorders>
              <w:top w:val="single" w:sz="4" w:space="0" w:color="231F20"/>
              <w:bottom w:val="single" w:sz="4" w:space="0" w:color="231F20"/>
            </w:tcBorders>
          </w:tcPr>
          <w:p>
            <w:pPr>
              <w:pStyle w:val="TableParagraph"/>
              <w:spacing w:before="35"/>
              <w:ind w:left="61"/>
              <w:jc w:val="left"/>
              <w:rPr>
                <w:rFonts w:ascii="Palatino Linotype"/>
                <w:b/>
                <w:sz w:val="16"/>
              </w:rPr>
            </w:pPr>
            <w:r>
              <w:rPr>
                <w:rFonts w:ascii="Palatino Linotype"/>
                <w:b/>
                <w:color w:val="231F20"/>
                <w:sz w:val="16"/>
              </w:rPr>
              <w:t>2008</w:t>
            </w:r>
          </w:p>
        </w:tc>
        <w:tc>
          <w:tcPr>
            <w:tcW w:w="442" w:type="dxa"/>
            <w:tcBorders>
              <w:top w:val="single" w:sz="4" w:space="0" w:color="231F20"/>
              <w:bottom w:val="single" w:sz="4" w:space="0" w:color="231F20"/>
            </w:tcBorders>
          </w:tcPr>
          <w:p>
            <w:pPr>
              <w:pStyle w:val="TableParagraph"/>
              <w:spacing w:before="35"/>
              <w:ind w:right="59"/>
              <w:jc w:val="right"/>
              <w:rPr>
                <w:rFonts w:ascii="Palatino Linotype"/>
                <w:b/>
                <w:sz w:val="16"/>
              </w:rPr>
            </w:pPr>
            <w:r>
              <w:rPr>
                <w:rFonts w:ascii="Palatino Linotype"/>
                <w:b/>
                <w:color w:val="231F20"/>
                <w:sz w:val="16"/>
              </w:rPr>
              <w:t>2009</w:t>
            </w:r>
          </w:p>
        </w:tc>
        <w:tc>
          <w:tcPr>
            <w:tcW w:w="442" w:type="dxa"/>
            <w:tcBorders>
              <w:top w:val="single" w:sz="4" w:space="0" w:color="231F20"/>
              <w:bottom w:val="single" w:sz="4" w:space="0" w:color="231F20"/>
            </w:tcBorders>
          </w:tcPr>
          <w:p>
            <w:pPr>
              <w:pStyle w:val="TableParagraph"/>
              <w:spacing w:before="35"/>
              <w:ind w:left="61"/>
              <w:jc w:val="left"/>
              <w:rPr>
                <w:rFonts w:ascii="Palatino Linotype"/>
                <w:b/>
                <w:sz w:val="16"/>
              </w:rPr>
            </w:pPr>
            <w:r>
              <w:rPr>
                <w:rFonts w:ascii="Palatino Linotype"/>
                <w:b/>
                <w:color w:val="231F20"/>
                <w:sz w:val="16"/>
              </w:rPr>
              <w:t>2010</w:t>
            </w:r>
          </w:p>
        </w:tc>
        <w:tc>
          <w:tcPr>
            <w:tcW w:w="442" w:type="dxa"/>
            <w:tcBorders>
              <w:top w:val="single" w:sz="4" w:space="0" w:color="231F20"/>
              <w:bottom w:val="single" w:sz="4" w:space="0" w:color="231F20"/>
            </w:tcBorders>
          </w:tcPr>
          <w:p>
            <w:pPr>
              <w:pStyle w:val="TableParagraph"/>
              <w:spacing w:before="35"/>
              <w:ind w:left="41" w:right="41"/>
              <w:rPr>
                <w:rFonts w:ascii="Palatino Linotype"/>
                <w:b/>
                <w:sz w:val="16"/>
              </w:rPr>
            </w:pPr>
            <w:r>
              <w:rPr>
                <w:rFonts w:ascii="Palatino Linotype"/>
                <w:b/>
                <w:color w:val="231F20"/>
                <w:sz w:val="16"/>
              </w:rPr>
              <w:t>2011</w:t>
            </w:r>
          </w:p>
        </w:tc>
        <w:tc>
          <w:tcPr>
            <w:tcW w:w="442" w:type="dxa"/>
            <w:tcBorders>
              <w:top w:val="single" w:sz="4" w:space="0" w:color="231F20"/>
              <w:bottom w:val="single" w:sz="4" w:space="0" w:color="231F20"/>
            </w:tcBorders>
          </w:tcPr>
          <w:p>
            <w:pPr>
              <w:pStyle w:val="TableParagraph"/>
              <w:spacing w:before="35"/>
              <w:ind w:left="41" w:right="41"/>
              <w:rPr>
                <w:rFonts w:ascii="Palatino Linotype"/>
                <w:b/>
                <w:sz w:val="16"/>
              </w:rPr>
            </w:pPr>
            <w:r>
              <w:rPr>
                <w:rFonts w:ascii="Palatino Linotype"/>
                <w:b/>
                <w:color w:val="231F20"/>
                <w:sz w:val="16"/>
              </w:rPr>
              <w:t>2012</w:t>
            </w:r>
          </w:p>
        </w:tc>
        <w:tc>
          <w:tcPr>
            <w:tcW w:w="442" w:type="dxa"/>
            <w:tcBorders>
              <w:top w:val="single" w:sz="4" w:space="0" w:color="231F20"/>
              <w:bottom w:val="single" w:sz="4" w:space="0" w:color="231F20"/>
            </w:tcBorders>
          </w:tcPr>
          <w:p>
            <w:pPr>
              <w:pStyle w:val="TableParagraph"/>
              <w:spacing w:before="35"/>
              <w:ind w:left="40" w:right="40"/>
              <w:rPr>
                <w:rFonts w:ascii="Palatino Linotype"/>
                <w:b/>
                <w:sz w:val="16"/>
              </w:rPr>
            </w:pPr>
            <w:r>
              <w:rPr>
                <w:rFonts w:ascii="Palatino Linotype"/>
                <w:b/>
                <w:color w:val="231F20"/>
                <w:sz w:val="16"/>
              </w:rPr>
              <w:t>2013</w:t>
            </w:r>
          </w:p>
        </w:tc>
      </w:tr>
      <w:tr>
        <w:trPr>
          <w:trHeight w:val="204" w:hRule="exact"/>
        </w:trPr>
        <w:tc>
          <w:tcPr>
            <w:tcW w:w="1463"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r>
      <w:tr>
        <w:trPr>
          <w:trHeight w:val="452" w:hRule="exact"/>
        </w:trPr>
        <w:tc>
          <w:tcPr>
            <w:tcW w:w="1463" w:type="dxa"/>
            <w:tcBorders>
              <w:top w:val="single" w:sz="4" w:space="0" w:color="231F20"/>
              <w:bottom w:val="single" w:sz="4" w:space="0" w:color="231F20"/>
            </w:tcBorders>
          </w:tcPr>
          <w:p>
            <w:pPr>
              <w:pStyle w:val="TableParagraph"/>
              <w:spacing w:line="151" w:lineRule="exact" w:before="23"/>
              <w:ind w:left="57"/>
              <w:jc w:val="left"/>
              <w:rPr>
                <w:rFonts w:ascii="Palatino Linotype"/>
                <w:b/>
                <w:sz w:val="16"/>
              </w:rPr>
            </w:pPr>
            <w:r>
              <w:rPr>
                <w:rFonts w:ascii="Palatino Linotype"/>
                <w:b/>
                <w:color w:val="231F20"/>
                <w:w w:val="90"/>
                <w:sz w:val="16"/>
              </w:rPr>
              <w:t>Europa del</w:t>
            </w:r>
          </w:p>
          <w:p>
            <w:pPr>
              <w:pStyle w:val="TableParagraph"/>
              <w:tabs>
                <w:tab w:pos="1382" w:val="right" w:leader="none"/>
              </w:tabs>
              <w:spacing w:line="241" w:lineRule="exact"/>
              <w:ind w:left="57"/>
              <w:jc w:val="left"/>
              <w:rPr>
                <w:rFonts w:ascii="Palatino Linotype"/>
                <w:b/>
                <w:sz w:val="16"/>
              </w:rPr>
            </w:pPr>
            <w:r>
              <w:rPr>
                <w:rFonts w:ascii="Palatino Linotype"/>
                <w:b/>
                <w:color w:val="231F20"/>
                <w:position w:val="-8"/>
                <w:sz w:val="16"/>
              </w:rPr>
              <w:t>Oeste</w:t>
            </w:r>
            <w:r>
              <w:rPr>
                <w:rFonts w:ascii="Palatino Linotype"/>
                <w:b/>
                <w:color w:val="231F20"/>
                <w:sz w:val="16"/>
              </w:rPr>
              <w:tab/>
              <w:t>30.9</w:t>
            </w:r>
          </w:p>
        </w:tc>
        <w:tc>
          <w:tcPr>
            <w:tcW w:w="442" w:type="dxa"/>
            <w:tcBorders>
              <w:top w:val="single" w:sz="4" w:space="0" w:color="231F20"/>
              <w:bottom w:val="single" w:sz="4" w:space="0" w:color="231F20"/>
            </w:tcBorders>
          </w:tcPr>
          <w:p>
            <w:pPr>
              <w:pStyle w:val="TableParagraph"/>
              <w:spacing w:before="111"/>
              <w:ind w:left="41" w:right="41"/>
              <w:rPr>
                <w:rFonts w:ascii="Palatino Linotype"/>
                <w:b/>
                <w:sz w:val="16"/>
              </w:rPr>
            </w:pPr>
            <w:r>
              <w:rPr>
                <w:rFonts w:ascii="Palatino Linotype"/>
                <w:b/>
                <w:color w:val="231F20"/>
                <w:sz w:val="16"/>
              </w:rPr>
              <w:t>32.8</w:t>
            </w:r>
          </w:p>
        </w:tc>
        <w:tc>
          <w:tcPr>
            <w:tcW w:w="442" w:type="dxa"/>
            <w:tcBorders>
              <w:top w:val="single" w:sz="4" w:space="0" w:color="231F20"/>
              <w:bottom w:val="single" w:sz="4" w:space="0" w:color="231F20"/>
            </w:tcBorders>
          </w:tcPr>
          <w:p>
            <w:pPr>
              <w:pStyle w:val="TableParagraph"/>
              <w:spacing w:before="111"/>
              <w:ind w:left="81"/>
              <w:jc w:val="left"/>
              <w:rPr>
                <w:rFonts w:ascii="Palatino Linotype"/>
                <w:b/>
                <w:sz w:val="16"/>
              </w:rPr>
            </w:pPr>
            <w:r>
              <w:rPr>
                <w:rFonts w:ascii="Palatino Linotype"/>
                <w:b/>
                <w:color w:val="231F20"/>
                <w:sz w:val="16"/>
              </w:rPr>
              <w:t>30.0</w:t>
            </w:r>
          </w:p>
        </w:tc>
        <w:tc>
          <w:tcPr>
            <w:tcW w:w="442" w:type="dxa"/>
            <w:tcBorders>
              <w:top w:val="single" w:sz="4" w:space="0" w:color="231F20"/>
              <w:bottom w:val="single" w:sz="4" w:space="0" w:color="231F20"/>
            </w:tcBorders>
          </w:tcPr>
          <w:p>
            <w:pPr>
              <w:pStyle w:val="TableParagraph"/>
              <w:spacing w:before="111"/>
              <w:ind w:right="78"/>
              <w:jc w:val="right"/>
              <w:rPr>
                <w:rFonts w:ascii="Palatino Linotype"/>
                <w:b/>
                <w:sz w:val="16"/>
              </w:rPr>
            </w:pPr>
            <w:r>
              <w:rPr>
                <w:rFonts w:ascii="Palatino Linotype"/>
                <w:b/>
                <w:color w:val="231F20"/>
                <w:sz w:val="16"/>
              </w:rPr>
              <w:t>28.8</w:t>
            </w:r>
          </w:p>
        </w:tc>
        <w:tc>
          <w:tcPr>
            <w:tcW w:w="442" w:type="dxa"/>
            <w:tcBorders>
              <w:top w:val="single" w:sz="4" w:space="0" w:color="231F20"/>
              <w:bottom w:val="single" w:sz="4" w:space="0" w:color="231F20"/>
            </w:tcBorders>
          </w:tcPr>
          <w:p>
            <w:pPr>
              <w:pStyle w:val="TableParagraph"/>
              <w:spacing w:before="111"/>
              <w:ind w:left="81"/>
              <w:jc w:val="left"/>
              <w:rPr>
                <w:rFonts w:ascii="Palatino Linotype"/>
                <w:b/>
                <w:sz w:val="16"/>
              </w:rPr>
            </w:pPr>
            <w:r>
              <w:rPr>
                <w:rFonts w:ascii="Palatino Linotype"/>
                <w:b/>
                <w:color w:val="231F20"/>
                <w:sz w:val="16"/>
              </w:rPr>
              <w:t>28.1</w:t>
            </w:r>
          </w:p>
        </w:tc>
        <w:tc>
          <w:tcPr>
            <w:tcW w:w="442" w:type="dxa"/>
            <w:tcBorders>
              <w:top w:val="single" w:sz="4" w:space="0" w:color="231F20"/>
              <w:bottom w:val="single" w:sz="4" w:space="0" w:color="231F20"/>
            </w:tcBorders>
          </w:tcPr>
          <w:p>
            <w:pPr>
              <w:pStyle w:val="TableParagraph"/>
              <w:spacing w:before="111"/>
              <w:ind w:right="78"/>
              <w:jc w:val="right"/>
              <w:rPr>
                <w:rFonts w:ascii="Palatino Linotype"/>
                <w:b/>
                <w:sz w:val="16"/>
              </w:rPr>
            </w:pPr>
            <w:r>
              <w:rPr>
                <w:rFonts w:ascii="Palatino Linotype"/>
                <w:b/>
                <w:color w:val="231F20"/>
                <w:sz w:val="16"/>
              </w:rPr>
              <w:t>25.7</w:t>
            </w:r>
          </w:p>
        </w:tc>
        <w:tc>
          <w:tcPr>
            <w:tcW w:w="442" w:type="dxa"/>
            <w:tcBorders>
              <w:top w:val="single" w:sz="4" w:space="0" w:color="231F20"/>
              <w:bottom w:val="single" w:sz="4" w:space="0" w:color="231F20"/>
            </w:tcBorders>
          </w:tcPr>
          <w:p>
            <w:pPr>
              <w:pStyle w:val="TableParagraph"/>
              <w:spacing w:before="111"/>
              <w:ind w:left="81"/>
              <w:jc w:val="left"/>
              <w:rPr>
                <w:rFonts w:ascii="Palatino Linotype"/>
                <w:b/>
                <w:sz w:val="16"/>
              </w:rPr>
            </w:pPr>
            <w:r>
              <w:rPr>
                <w:rFonts w:ascii="Palatino Linotype"/>
                <w:b/>
                <w:color w:val="231F20"/>
                <w:sz w:val="16"/>
              </w:rPr>
              <w:t>25.1</w:t>
            </w:r>
          </w:p>
        </w:tc>
        <w:tc>
          <w:tcPr>
            <w:tcW w:w="442" w:type="dxa"/>
            <w:tcBorders>
              <w:top w:val="single" w:sz="4" w:space="0" w:color="231F20"/>
              <w:bottom w:val="single" w:sz="4" w:space="0" w:color="231F20"/>
            </w:tcBorders>
          </w:tcPr>
          <w:p>
            <w:pPr>
              <w:pStyle w:val="TableParagraph"/>
              <w:spacing w:before="111"/>
              <w:ind w:right="78"/>
              <w:jc w:val="right"/>
              <w:rPr>
                <w:rFonts w:ascii="Palatino Linotype"/>
                <w:b/>
                <w:sz w:val="16"/>
              </w:rPr>
            </w:pPr>
            <w:r>
              <w:rPr>
                <w:rFonts w:ascii="Palatino Linotype"/>
                <w:b/>
                <w:color w:val="231F20"/>
                <w:sz w:val="16"/>
              </w:rPr>
              <w:t>24.2</w:t>
            </w:r>
          </w:p>
        </w:tc>
        <w:tc>
          <w:tcPr>
            <w:tcW w:w="442" w:type="dxa"/>
            <w:tcBorders>
              <w:top w:val="single" w:sz="4" w:space="0" w:color="231F20"/>
              <w:bottom w:val="single" w:sz="4" w:space="0" w:color="231F20"/>
            </w:tcBorders>
          </w:tcPr>
          <w:p>
            <w:pPr>
              <w:pStyle w:val="TableParagraph"/>
              <w:spacing w:before="111"/>
              <w:ind w:left="81"/>
              <w:jc w:val="left"/>
              <w:rPr>
                <w:rFonts w:ascii="Palatino Linotype"/>
                <w:b/>
                <w:sz w:val="16"/>
              </w:rPr>
            </w:pPr>
            <w:r>
              <w:rPr>
                <w:rFonts w:ascii="Palatino Linotype"/>
                <w:b/>
                <w:color w:val="231F20"/>
                <w:sz w:val="16"/>
              </w:rPr>
              <w:t>23.2</w:t>
            </w:r>
          </w:p>
        </w:tc>
        <w:tc>
          <w:tcPr>
            <w:tcW w:w="442" w:type="dxa"/>
            <w:tcBorders>
              <w:top w:val="single" w:sz="4" w:space="0" w:color="231F20"/>
              <w:bottom w:val="single" w:sz="4" w:space="0" w:color="231F20"/>
            </w:tcBorders>
          </w:tcPr>
          <w:p>
            <w:pPr>
              <w:pStyle w:val="TableParagraph"/>
              <w:spacing w:before="111"/>
              <w:ind w:right="78"/>
              <w:jc w:val="right"/>
              <w:rPr>
                <w:rFonts w:ascii="Palatino Linotype"/>
                <w:b/>
                <w:sz w:val="16"/>
              </w:rPr>
            </w:pPr>
            <w:r>
              <w:rPr>
                <w:rFonts w:ascii="Palatino Linotype"/>
                <w:b/>
                <w:color w:val="231F20"/>
                <w:sz w:val="16"/>
              </w:rPr>
              <w:t>23.2</w:t>
            </w:r>
          </w:p>
        </w:tc>
        <w:tc>
          <w:tcPr>
            <w:tcW w:w="442" w:type="dxa"/>
            <w:tcBorders>
              <w:top w:val="single" w:sz="4" w:space="0" w:color="231F20"/>
              <w:bottom w:val="single" w:sz="4" w:space="0" w:color="231F20"/>
            </w:tcBorders>
          </w:tcPr>
          <w:p>
            <w:pPr>
              <w:pStyle w:val="TableParagraph"/>
              <w:spacing w:before="111"/>
              <w:ind w:left="81"/>
              <w:jc w:val="left"/>
              <w:rPr>
                <w:rFonts w:ascii="Palatino Linotype"/>
                <w:b/>
                <w:sz w:val="16"/>
              </w:rPr>
            </w:pPr>
            <w:r>
              <w:rPr>
                <w:rFonts w:ascii="Palatino Linotype"/>
                <w:b/>
                <w:color w:val="231F20"/>
                <w:sz w:val="16"/>
              </w:rPr>
              <w:t>19.6</w:t>
            </w:r>
          </w:p>
        </w:tc>
        <w:tc>
          <w:tcPr>
            <w:tcW w:w="442" w:type="dxa"/>
            <w:tcBorders>
              <w:top w:val="single" w:sz="4" w:space="0" w:color="231F20"/>
              <w:bottom w:val="single" w:sz="4" w:space="0" w:color="231F20"/>
            </w:tcBorders>
          </w:tcPr>
          <w:p>
            <w:pPr>
              <w:pStyle w:val="TableParagraph"/>
              <w:spacing w:before="111"/>
              <w:ind w:left="41" w:right="41"/>
              <w:rPr>
                <w:rFonts w:ascii="Palatino Linotype"/>
                <w:b/>
                <w:sz w:val="16"/>
              </w:rPr>
            </w:pPr>
            <w:r>
              <w:rPr>
                <w:rFonts w:ascii="Palatino Linotype"/>
                <w:b/>
                <w:color w:val="231F20"/>
                <w:sz w:val="16"/>
              </w:rPr>
              <w:t>18.8</w:t>
            </w:r>
          </w:p>
        </w:tc>
        <w:tc>
          <w:tcPr>
            <w:tcW w:w="442" w:type="dxa"/>
            <w:tcBorders>
              <w:top w:val="single" w:sz="4" w:space="0" w:color="231F20"/>
              <w:bottom w:val="single" w:sz="4" w:space="0" w:color="231F20"/>
            </w:tcBorders>
          </w:tcPr>
          <w:p>
            <w:pPr>
              <w:pStyle w:val="TableParagraph"/>
              <w:spacing w:before="111"/>
              <w:ind w:left="41" w:right="41"/>
              <w:rPr>
                <w:rFonts w:ascii="Palatino Linotype"/>
                <w:b/>
                <w:sz w:val="16"/>
              </w:rPr>
            </w:pPr>
            <w:r>
              <w:rPr>
                <w:rFonts w:ascii="Palatino Linotype"/>
                <w:b/>
                <w:color w:val="231F20"/>
                <w:sz w:val="16"/>
              </w:rPr>
              <w:t>16.3</w:t>
            </w:r>
          </w:p>
        </w:tc>
        <w:tc>
          <w:tcPr>
            <w:tcW w:w="442" w:type="dxa"/>
            <w:tcBorders>
              <w:top w:val="single" w:sz="4" w:space="0" w:color="231F20"/>
              <w:bottom w:val="single" w:sz="4" w:space="0" w:color="231F20"/>
            </w:tcBorders>
          </w:tcPr>
          <w:p>
            <w:pPr>
              <w:pStyle w:val="TableParagraph"/>
              <w:spacing w:before="111"/>
              <w:ind w:left="40" w:right="39"/>
              <w:rPr>
                <w:rFonts w:ascii="Palatino Linotype"/>
                <w:b/>
                <w:sz w:val="16"/>
              </w:rPr>
            </w:pPr>
            <w:r>
              <w:rPr>
                <w:rFonts w:ascii="Palatino Linotype"/>
                <w:b/>
                <w:color w:val="231F20"/>
                <w:sz w:val="16"/>
              </w:rPr>
              <w:t>15.4</w:t>
            </w:r>
          </w:p>
        </w:tc>
      </w:tr>
      <w:tr>
        <w:trPr>
          <w:trHeight w:val="301" w:hRule="exact"/>
        </w:trPr>
        <w:tc>
          <w:tcPr>
            <w:tcW w:w="1463" w:type="dxa"/>
            <w:tcBorders>
              <w:top w:val="single" w:sz="4" w:space="0" w:color="231F20"/>
            </w:tcBorders>
          </w:tcPr>
          <w:p>
            <w:pPr>
              <w:pStyle w:val="TableParagraph"/>
              <w:tabs>
                <w:tab w:pos="1279" w:val="right" w:leader="none"/>
              </w:tabs>
              <w:spacing w:before="43"/>
              <w:ind w:right="65"/>
              <w:rPr>
                <w:sz w:val="16"/>
              </w:rPr>
            </w:pPr>
            <w:r>
              <w:rPr>
                <w:color w:val="231F20"/>
                <w:sz w:val="16"/>
              </w:rPr>
              <w:t>Alemania</w:t>
              <w:tab/>
              <w:t>6.7</w:t>
            </w:r>
          </w:p>
        </w:tc>
        <w:tc>
          <w:tcPr>
            <w:tcW w:w="442" w:type="dxa"/>
            <w:tcBorders>
              <w:top w:val="single" w:sz="4" w:space="0" w:color="231F20"/>
            </w:tcBorders>
          </w:tcPr>
          <w:p>
            <w:pPr>
              <w:pStyle w:val="TableParagraph"/>
              <w:spacing w:before="43"/>
              <w:ind w:left="41" w:right="40"/>
              <w:rPr>
                <w:sz w:val="16"/>
              </w:rPr>
            </w:pPr>
            <w:r>
              <w:rPr>
                <w:color w:val="231F20"/>
                <w:sz w:val="16"/>
              </w:rPr>
              <w:t>7.0</w:t>
            </w:r>
          </w:p>
        </w:tc>
        <w:tc>
          <w:tcPr>
            <w:tcW w:w="442" w:type="dxa"/>
            <w:tcBorders>
              <w:top w:val="single" w:sz="4" w:space="0" w:color="231F20"/>
            </w:tcBorders>
          </w:tcPr>
          <w:p>
            <w:pPr>
              <w:pStyle w:val="TableParagraph"/>
              <w:spacing w:before="43"/>
              <w:ind w:left="127"/>
              <w:jc w:val="left"/>
              <w:rPr>
                <w:sz w:val="16"/>
              </w:rPr>
            </w:pPr>
            <w:r>
              <w:rPr>
                <w:color w:val="231F20"/>
                <w:sz w:val="16"/>
              </w:rPr>
              <w:t>6.4</w:t>
            </w:r>
          </w:p>
        </w:tc>
        <w:tc>
          <w:tcPr>
            <w:tcW w:w="442" w:type="dxa"/>
            <w:tcBorders>
              <w:top w:val="single" w:sz="4" w:space="0" w:color="231F20"/>
            </w:tcBorders>
          </w:tcPr>
          <w:p>
            <w:pPr>
              <w:pStyle w:val="TableParagraph"/>
              <w:spacing w:before="43"/>
              <w:ind w:left="127"/>
              <w:jc w:val="left"/>
              <w:rPr>
                <w:sz w:val="16"/>
              </w:rPr>
            </w:pPr>
            <w:r>
              <w:rPr>
                <w:color w:val="231F20"/>
                <w:sz w:val="16"/>
              </w:rPr>
              <w:t>6.2</w:t>
            </w:r>
          </w:p>
        </w:tc>
        <w:tc>
          <w:tcPr>
            <w:tcW w:w="442" w:type="dxa"/>
            <w:tcBorders>
              <w:top w:val="single" w:sz="4" w:space="0" w:color="231F20"/>
            </w:tcBorders>
          </w:tcPr>
          <w:p>
            <w:pPr>
              <w:pStyle w:val="TableParagraph"/>
              <w:spacing w:before="43"/>
              <w:ind w:left="127"/>
              <w:jc w:val="left"/>
              <w:rPr>
                <w:sz w:val="16"/>
              </w:rPr>
            </w:pPr>
            <w:r>
              <w:rPr>
                <w:color w:val="231F20"/>
                <w:sz w:val="16"/>
              </w:rPr>
              <w:t>5.9</w:t>
            </w:r>
          </w:p>
        </w:tc>
        <w:tc>
          <w:tcPr>
            <w:tcW w:w="442" w:type="dxa"/>
            <w:tcBorders>
              <w:top w:val="single" w:sz="4" w:space="0" w:color="231F20"/>
            </w:tcBorders>
          </w:tcPr>
          <w:p>
            <w:pPr>
              <w:pStyle w:val="TableParagraph"/>
              <w:spacing w:before="43"/>
              <w:ind w:right="123"/>
              <w:jc w:val="right"/>
              <w:rPr>
                <w:sz w:val="16"/>
              </w:rPr>
            </w:pPr>
            <w:r>
              <w:rPr>
                <w:color w:val="231F20"/>
                <w:w w:val="95"/>
                <w:sz w:val="16"/>
              </w:rPr>
              <w:t>5.5</w:t>
            </w:r>
          </w:p>
        </w:tc>
        <w:tc>
          <w:tcPr>
            <w:tcW w:w="442" w:type="dxa"/>
            <w:tcBorders>
              <w:top w:val="single" w:sz="4" w:space="0" w:color="231F20"/>
            </w:tcBorders>
          </w:tcPr>
          <w:p>
            <w:pPr>
              <w:pStyle w:val="TableParagraph"/>
              <w:spacing w:before="43"/>
              <w:ind w:left="127"/>
              <w:jc w:val="left"/>
              <w:rPr>
                <w:sz w:val="16"/>
              </w:rPr>
            </w:pPr>
            <w:r>
              <w:rPr>
                <w:color w:val="231F20"/>
                <w:sz w:val="16"/>
              </w:rPr>
              <w:t>5.5</w:t>
            </w:r>
          </w:p>
        </w:tc>
        <w:tc>
          <w:tcPr>
            <w:tcW w:w="442" w:type="dxa"/>
            <w:tcBorders>
              <w:top w:val="single" w:sz="4" w:space="0" w:color="231F20"/>
            </w:tcBorders>
          </w:tcPr>
          <w:p>
            <w:pPr>
              <w:pStyle w:val="TableParagraph"/>
              <w:spacing w:before="43"/>
              <w:ind w:right="123"/>
              <w:jc w:val="right"/>
              <w:rPr>
                <w:sz w:val="16"/>
              </w:rPr>
            </w:pPr>
            <w:r>
              <w:rPr>
                <w:color w:val="231F20"/>
                <w:w w:val="95"/>
                <w:sz w:val="16"/>
              </w:rPr>
              <w:t>4.9</w:t>
            </w:r>
          </w:p>
        </w:tc>
        <w:tc>
          <w:tcPr>
            <w:tcW w:w="442" w:type="dxa"/>
            <w:tcBorders>
              <w:top w:val="single" w:sz="4" w:space="0" w:color="231F20"/>
            </w:tcBorders>
          </w:tcPr>
          <w:p>
            <w:pPr>
              <w:pStyle w:val="TableParagraph"/>
              <w:spacing w:before="43"/>
              <w:ind w:left="127"/>
              <w:jc w:val="left"/>
              <w:rPr>
                <w:sz w:val="16"/>
              </w:rPr>
            </w:pPr>
            <w:r>
              <w:rPr>
                <w:color w:val="231F20"/>
                <w:sz w:val="16"/>
              </w:rPr>
              <w:t>5.0</w:t>
            </w:r>
          </w:p>
        </w:tc>
        <w:tc>
          <w:tcPr>
            <w:tcW w:w="442" w:type="dxa"/>
            <w:tcBorders>
              <w:top w:val="single" w:sz="4" w:space="0" w:color="231F20"/>
            </w:tcBorders>
          </w:tcPr>
          <w:p>
            <w:pPr>
              <w:pStyle w:val="TableParagraph"/>
              <w:spacing w:before="43"/>
              <w:ind w:right="123"/>
              <w:jc w:val="right"/>
              <w:rPr>
                <w:sz w:val="16"/>
              </w:rPr>
            </w:pPr>
            <w:r>
              <w:rPr>
                <w:color w:val="231F20"/>
                <w:w w:val="95"/>
                <w:sz w:val="16"/>
              </w:rPr>
              <w:t>6.2</w:t>
            </w:r>
          </w:p>
        </w:tc>
        <w:tc>
          <w:tcPr>
            <w:tcW w:w="442" w:type="dxa"/>
            <w:tcBorders>
              <w:top w:val="single" w:sz="4" w:space="0" w:color="231F20"/>
            </w:tcBorders>
          </w:tcPr>
          <w:p>
            <w:pPr>
              <w:pStyle w:val="TableParagraph"/>
              <w:spacing w:before="43"/>
              <w:ind w:left="127"/>
              <w:jc w:val="left"/>
              <w:rPr>
                <w:sz w:val="16"/>
              </w:rPr>
            </w:pPr>
            <w:r>
              <w:rPr>
                <w:color w:val="231F20"/>
                <w:sz w:val="16"/>
              </w:rPr>
              <w:t>4.3</w:t>
            </w:r>
          </w:p>
        </w:tc>
        <w:tc>
          <w:tcPr>
            <w:tcW w:w="442" w:type="dxa"/>
            <w:tcBorders>
              <w:top w:val="single" w:sz="4" w:space="0" w:color="231F20"/>
            </w:tcBorders>
          </w:tcPr>
          <w:p>
            <w:pPr>
              <w:pStyle w:val="TableParagraph"/>
              <w:spacing w:before="43"/>
              <w:ind w:left="41" w:right="40"/>
              <w:rPr>
                <w:sz w:val="16"/>
              </w:rPr>
            </w:pPr>
            <w:r>
              <w:rPr>
                <w:color w:val="231F20"/>
                <w:sz w:val="16"/>
              </w:rPr>
              <w:t>4.5</w:t>
            </w:r>
          </w:p>
        </w:tc>
        <w:tc>
          <w:tcPr>
            <w:tcW w:w="442" w:type="dxa"/>
            <w:tcBorders>
              <w:top w:val="single" w:sz="4" w:space="0" w:color="231F20"/>
            </w:tcBorders>
          </w:tcPr>
          <w:p>
            <w:pPr>
              <w:pStyle w:val="TableParagraph"/>
              <w:spacing w:before="43"/>
              <w:ind w:left="41" w:right="40"/>
              <w:rPr>
                <w:sz w:val="16"/>
              </w:rPr>
            </w:pPr>
            <w:r>
              <w:rPr>
                <w:color w:val="231F20"/>
                <w:sz w:val="16"/>
              </w:rPr>
              <w:t>4.1</w:t>
            </w:r>
          </w:p>
        </w:tc>
        <w:tc>
          <w:tcPr>
            <w:tcW w:w="442" w:type="dxa"/>
            <w:tcBorders>
              <w:top w:val="single" w:sz="4" w:space="0" w:color="231F20"/>
            </w:tcBorders>
          </w:tcPr>
          <w:p>
            <w:pPr>
              <w:pStyle w:val="TableParagraph"/>
              <w:spacing w:before="43"/>
              <w:ind w:left="40" w:right="38"/>
              <w:rPr>
                <w:sz w:val="16"/>
              </w:rPr>
            </w:pPr>
            <w:r>
              <w:rPr>
                <w:color w:val="231F20"/>
                <w:sz w:val="16"/>
              </w:rPr>
              <w:t>3.8</w:t>
            </w:r>
          </w:p>
        </w:tc>
      </w:tr>
      <w:tr>
        <w:trPr>
          <w:trHeight w:val="280" w:hRule="exact"/>
        </w:trPr>
        <w:tc>
          <w:tcPr>
            <w:tcW w:w="1463" w:type="dxa"/>
          </w:tcPr>
          <w:p>
            <w:pPr>
              <w:pStyle w:val="TableParagraph"/>
              <w:tabs>
                <w:tab w:pos="1279" w:val="right" w:leader="none"/>
              </w:tabs>
              <w:spacing w:before="28"/>
              <w:ind w:right="64"/>
              <w:rPr>
                <w:sz w:val="16"/>
              </w:rPr>
            </w:pPr>
            <w:r>
              <w:rPr>
                <w:color w:val="231F20"/>
                <w:sz w:val="16"/>
              </w:rPr>
              <w:t>España</w:t>
              <w:tab/>
              <w:t>3.1</w:t>
            </w:r>
          </w:p>
        </w:tc>
        <w:tc>
          <w:tcPr>
            <w:tcW w:w="442" w:type="dxa"/>
          </w:tcPr>
          <w:p>
            <w:pPr>
              <w:pStyle w:val="TableParagraph"/>
              <w:spacing w:before="28"/>
              <w:ind w:left="41" w:right="39"/>
              <w:rPr>
                <w:sz w:val="16"/>
              </w:rPr>
            </w:pPr>
            <w:r>
              <w:rPr>
                <w:color w:val="231F20"/>
                <w:sz w:val="16"/>
              </w:rPr>
              <w:t>3.4</w:t>
            </w:r>
          </w:p>
        </w:tc>
        <w:tc>
          <w:tcPr>
            <w:tcW w:w="442" w:type="dxa"/>
          </w:tcPr>
          <w:p>
            <w:pPr>
              <w:pStyle w:val="TableParagraph"/>
              <w:spacing w:before="28"/>
              <w:ind w:left="127"/>
              <w:jc w:val="left"/>
              <w:rPr>
                <w:sz w:val="16"/>
              </w:rPr>
            </w:pPr>
            <w:r>
              <w:rPr>
                <w:color w:val="231F20"/>
                <w:sz w:val="16"/>
              </w:rPr>
              <w:t>3.0</w:t>
            </w:r>
          </w:p>
        </w:tc>
        <w:tc>
          <w:tcPr>
            <w:tcW w:w="442" w:type="dxa"/>
          </w:tcPr>
          <w:p>
            <w:pPr>
              <w:pStyle w:val="TableParagraph"/>
              <w:spacing w:before="28"/>
              <w:ind w:left="127"/>
              <w:jc w:val="left"/>
              <w:rPr>
                <w:sz w:val="16"/>
              </w:rPr>
            </w:pPr>
            <w:r>
              <w:rPr>
                <w:color w:val="231F20"/>
                <w:sz w:val="16"/>
              </w:rPr>
              <w:t>3.0</w:t>
            </w:r>
          </w:p>
        </w:tc>
        <w:tc>
          <w:tcPr>
            <w:tcW w:w="442" w:type="dxa"/>
          </w:tcPr>
          <w:p>
            <w:pPr>
              <w:pStyle w:val="TableParagraph"/>
              <w:spacing w:before="28"/>
              <w:ind w:left="127"/>
              <w:jc w:val="left"/>
              <w:rPr>
                <w:sz w:val="16"/>
              </w:rPr>
            </w:pPr>
            <w:r>
              <w:rPr>
                <w:color w:val="231F20"/>
                <w:sz w:val="16"/>
              </w:rPr>
              <w:t>3.2</w:t>
            </w:r>
          </w:p>
        </w:tc>
        <w:tc>
          <w:tcPr>
            <w:tcW w:w="442" w:type="dxa"/>
          </w:tcPr>
          <w:p>
            <w:pPr>
              <w:pStyle w:val="TableParagraph"/>
              <w:spacing w:before="28"/>
              <w:ind w:right="122"/>
              <w:jc w:val="right"/>
              <w:rPr>
                <w:sz w:val="16"/>
              </w:rPr>
            </w:pPr>
            <w:r>
              <w:rPr>
                <w:color w:val="231F20"/>
                <w:w w:val="95"/>
                <w:sz w:val="16"/>
              </w:rPr>
              <w:t>3.0</w:t>
            </w:r>
          </w:p>
        </w:tc>
        <w:tc>
          <w:tcPr>
            <w:tcW w:w="442" w:type="dxa"/>
          </w:tcPr>
          <w:p>
            <w:pPr>
              <w:pStyle w:val="TableParagraph"/>
              <w:spacing w:before="28"/>
              <w:ind w:left="127"/>
              <w:jc w:val="left"/>
              <w:rPr>
                <w:sz w:val="16"/>
              </w:rPr>
            </w:pPr>
            <w:r>
              <w:rPr>
                <w:color w:val="231F20"/>
                <w:sz w:val="16"/>
              </w:rPr>
              <w:t>2.9</w:t>
            </w:r>
          </w:p>
        </w:tc>
        <w:tc>
          <w:tcPr>
            <w:tcW w:w="442" w:type="dxa"/>
          </w:tcPr>
          <w:p>
            <w:pPr>
              <w:pStyle w:val="TableParagraph"/>
              <w:spacing w:before="28"/>
              <w:ind w:right="122"/>
              <w:jc w:val="right"/>
              <w:rPr>
                <w:sz w:val="16"/>
              </w:rPr>
            </w:pPr>
            <w:r>
              <w:rPr>
                <w:color w:val="231F20"/>
                <w:w w:val="95"/>
                <w:sz w:val="16"/>
              </w:rPr>
              <w:t>2.7</w:t>
            </w:r>
          </w:p>
        </w:tc>
        <w:tc>
          <w:tcPr>
            <w:tcW w:w="442" w:type="dxa"/>
          </w:tcPr>
          <w:p>
            <w:pPr>
              <w:pStyle w:val="TableParagraph"/>
              <w:spacing w:before="28"/>
              <w:ind w:left="127"/>
              <w:jc w:val="left"/>
              <w:rPr>
                <w:sz w:val="16"/>
              </w:rPr>
            </w:pPr>
            <w:r>
              <w:rPr>
                <w:color w:val="231F20"/>
                <w:sz w:val="16"/>
              </w:rPr>
              <w:t>2.0</w:t>
            </w:r>
          </w:p>
        </w:tc>
        <w:tc>
          <w:tcPr>
            <w:tcW w:w="442" w:type="dxa"/>
          </w:tcPr>
          <w:p>
            <w:pPr>
              <w:pStyle w:val="TableParagraph"/>
              <w:spacing w:before="28"/>
              <w:ind w:right="122"/>
              <w:jc w:val="right"/>
              <w:rPr>
                <w:sz w:val="16"/>
              </w:rPr>
            </w:pPr>
            <w:r>
              <w:rPr>
                <w:color w:val="231F20"/>
                <w:w w:val="95"/>
                <w:sz w:val="16"/>
              </w:rPr>
              <w:t>1.6</w:t>
            </w:r>
          </w:p>
        </w:tc>
        <w:tc>
          <w:tcPr>
            <w:tcW w:w="442" w:type="dxa"/>
          </w:tcPr>
          <w:p>
            <w:pPr>
              <w:pStyle w:val="TableParagraph"/>
              <w:spacing w:before="28"/>
              <w:ind w:left="127"/>
              <w:jc w:val="left"/>
              <w:rPr>
                <w:sz w:val="16"/>
              </w:rPr>
            </w:pPr>
            <w:r>
              <w:rPr>
                <w:color w:val="231F20"/>
                <w:sz w:val="16"/>
              </w:rPr>
              <w:t>1.5</w:t>
            </w:r>
          </w:p>
        </w:tc>
        <w:tc>
          <w:tcPr>
            <w:tcW w:w="442" w:type="dxa"/>
          </w:tcPr>
          <w:p>
            <w:pPr>
              <w:pStyle w:val="TableParagraph"/>
              <w:spacing w:before="28"/>
              <w:ind w:left="41" w:right="39"/>
              <w:rPr>
                <w:sz w:val="16"/>
              </w:rPr>
            </w:pPr>
            <w:r>
              <w:rPr>
                <w:color w:val="231F20"/>
                <w:sz w:val="16"/>
              </w:rPr>
              <w:t>1.2</w:t>
            </w:r>
          </w:p>
        </w:tc>
        <w:tc>
          <w:tcPr>
            <w:tcW w:w="442" w:type="dxa"/>
          </w:tcPr>
          <w:p>
            <w:pPr>
              <w:pStyle w:val="TableParagraph"/>
              <w:spacing w:before="28"/>
              <w:ind w:left="41" w:right="39"/>
              <w:rPr>
                <w:sz w:val="16"/>
              </w:rPr>
            </w:pPr>
            <w:r>
              <w:rPr>
                <w:color w:val="231F20"/>
                <w:sz w:val="16"/>
              </w:rPr>
              <w:t>1.0</w:t>
            </w:r>
          </w:p>
        </w:tc>
        <w:tc>
          <w:tcPr>
            <w:tcW w:w="442" w:type="dxa"/>
          </w:tcPr>
          <w:p>
            <w:pPr>
              <w:pStyle w:val="TableParagraph"/>
              <w:spacing w:before="28"/>
              <w:ind w:left="40" w:right="37"/>
              <w:rPr>
                <w:sz w:val="16"/>
              </w:rPr>
            </w:pPr>
            <w:r>
              <w:rPr>
                <w:color w:val="231F20"/>
                <w:sz w:val="16"/>
              </w:rPr>
              <w:t>1.0</w:t>
            </w:r>
          </w:p>
        </w:tc>
      </w:tr>
      <w:tr>
        <w:trPr>
          <w:trHeight w:val="280" w:hRule="exact"/>
        </w:trPr>
        <w:tc>
          <w:tcPr>
            <w:tcW w:w="1463" w:type="dxa"/>
          </w:tcPr>
          <w:p>
            <w:pPr>
              <w:pStyle w:val="TableParagraph"/>
              <w:tabs>
                <w:tab w:pos="1279" w:val="right" w:leader="none"/>
              </w:tabs>
              <w:spacing w:before="28"/>
              <w:ind w:right="63"/>
              <w:rPr>
                <w:sz w:val="16"/>
              </w:rPr>
            </w:pPr>
            <w:r>
              <w:rPr>
                <w:color w:val="231F20"/>
                <w:sz w:val="16"/>
              </w:rPr>
              <w:t>Francia</w:t>
              <w:tab/>
              <w:t>4.7</w:t>
            </w:r>
          </w:p>
        </w:tc>
        <w:tc>
          <w:tcPr>
            <w:tcW w:w="442" w:type="dxa"/>
          </w:tcPr>
          <w:p>
            <w:pPr>
              <w:pStyle w:val="TableParagraph"/>
              <w:spacing w:before="28"/>
              <w:ind w:left="41" w:right="38"/>
              <w:rPr>
                <w:sz w:val="16"/>
              </w:rPr>
            </w:pPr>
            <w:r>
              <w:rPr>
                <w:color w:val="231F20"/>
                <w:sz w:val="16"/>
              </w:rPr>
              <w:t>5.3</w:t>
            </w:r>
          </w:p>
        </w:tc>
        <w:tc>
          <w:tcPr>
            <w:tcW w:w="442" w:type="dxa"/>
          </w:tcPr>
          <w:p>
            <w:pPr>
              <w:pStyle w:val="TableParagraph"/>
              <w:spacing w:before="28"/>
              <w:ind w:left="127"/>
              <w:jc w:val="left"/>
              <w:rPr>
                <w:sz w:val="16"/>
              </w:rPr>
            </w:pPr>
            <w:r>
              <w:rPr>
                <w:color w:val="231F20"/>
                <w:sz w:val="16"/>
              </w:rPr>
              <w:t>4.7</w:t>
            </w:r>
          </w:p>
        </w:tc>
        <w:tc>
          <w:tcPr>
            <w:tcW w:w="442" w:type="dxa"/>
          </w:tcPr>
          <w:p>
            <w:pPr>
              <w:pStyle w:val="TableParagraph"/>
              <w:spacing w:before="28"/>
              <w:ind w:left="127"/>
              <w:jc w:val="left"/>
              <w:rPr>
                <w:sz w:val="16"/>
              </w:rPr>
            </w:pPr>
            <w:r>
              <w:rPr>
                <w:color w:val="231F20"/>
                <w:sz w:val="16"/>
              </w:rPr>
              <w:t>4.3</w:t>
            </w:r>
          </w:p>
        </w:tc>
        <w:tc>
          <w:tcPr>
            <w:tcW w:w="442" w:type="dxa"/>
          </w:tcPr>
          <w:p>
            <w:pPr>
              <w:pStyle w:val="TableParagraph"/>
              <w:spacing w:before="28"/>
              <w:ind w:left="127"/>
              <w:jc w:val="left"/>
              <w:rPr>
                <w:sz w:val="16"/>
              </w:rPr>
            </w:pPr>
            <w:r>
              <w:rPr>
                <w:color w:val="231F20"/>
                <w:sz w:val="16"/>
              </w:rPr>
              <w:t>4.1</w:t>
            </w:r>
          </w:p>
        </w:tc>
        <w:tc>
          <w:tcPr>
            <w:tcW w:w="442" w:type="dxa"/>
          </w:tcPr>
          <w:p>
            <w:pPr>
              <w:pStyle w:val="TableParagraph"/>
              <w:spacing w:before="28"/>
              <w:ind w:right="122"/>
              <w:jc w:val="right"/>
              <w:rPr>
                <w:sz w:val="16"/>
              </w:rPr>
            </w:pPr>
            <w:r>
              <w:rPr>
                <w:color w:val="231F20"/>
                <w:w w:val="95"/>
                <w:sz w:val="16"/>
              </w:rPr>
              <w:t>3.9</w:t>
            </w:r>
          </w:p>
        </w:tc>
        <w:tc>
          <w:tcPr>
            <w:tcW w:w="442" w:type="dxa"/>
          </w:tcPr>
          <w:p>
            <w:pPr>
              <w:pStyle w:val="TableParagraph"/>
              <w:spacing w:before="28"/>
              <w:ind w:left="127"/>
              <w:jc w:val="left"/>
              <w:rPr>
                <w:sz w:val="16"/>
              </w:rPr>
            </w:pPr>
            <w:r>
              <w:rPr>
                <w:color w:val="231F20"/>
                <w:sz w:val="16"/>
              </w:rPr>
              <w:t>3.7</w:t>
            </w:r>
          </w:p>
        </w:tc>
        <w:tc>
          <w:tcPr>
            <w:tcW w:w="442" w:type="dxa"/>
          </w:tcPr>
          <w:p>
            <w:pPr>
              <w:pStyle w:val="TableParagraph"/>
              <w:spacing w:before="28"/>
              <w:ind w:right="122"/>
              <w:jc w:val="right"/>
              <w:rPr>
                <w:sz w:val="16"/>
              </w:rPr>
            </w:pPr>
            <w:r>
              <w:rPr>
                <w:color w:val="231F20"/>
                <w:w w:val="95"/>
                <w:sz w:val="16"/>
              </w:rPr>
              <w:t>3.7</w:t>
            </w:r>
          </w:p>
        </w:tc>
        <w:tc>
          <w:tcPr>
            <w:tcW w:w="442" w:type="dxa"/>
          </w:tcPr>
          <w:p>
            <w:pPr>
              <w:pStyle w:val="TableParagraph"/>
              <w:spacing w:before="28"/>
              <w:ind w:left="127"/>
              <w:jc w:val="left"/>
              <w:rPr>
                <w:sz w:val="16"/>
              </w:rPr>
            </w:pPr>
            <w:r>
              <w:rPr>
                <w:color w:val="231F20"/>
                <w:sz w:val="16"/>
              </w:rPr>
              <w:t>3.8</w:t>
            </w:r>
          </w:p>
        </w:tc>
        <w:tc>
          <w:tcPr>
            <w:tcW w:w="442" w:type="dxa"/>
          </w:tcPr>
          <w:p>
            <w:pPr>
              <w:pStyle w:val="TableParagraph"/>
              <w:spacing w:before="28"/>
              <w:ind w:right="122"/>
              <w:jc w:val="right"/>
              <w:rPr>
                <w:sz w:val="16"/>
              </w:rPr>
            </w:pPr>
            <w:r>
              <w:rPr>
                <w:color w:val="231F20"/>
                <w:w w:val="95"/>
                <w:sz w:val="16"/>
              </w:rPr>
              <w:t>4.1</w:t>
            </w:r>
          </w:p>
        </w:tc>
        <w:tc>
          <w:tcPr>
            <w:tcW w:w="442" w:type="dxa"/>
          </w:tcPr>
          <w:p>
            <w:pPr>
              <w:pStyle w:val="TableParagraph"/>
              <w:spacing w:before="28"/>
              <w:ind w:left="127"/>
              <w:jc w:val="left"/>
              <w:rPr>
                <w:sz w:val="16"/>
              </w:rPr>
            </w:pPr>
            <w:r>
              <w:rPr>
                <w:color w:val="231F20"/>
                <w:sz w:val="16"/>
              </w:rPr>
              <w:t>3.6</w:t>
            </w:r>
          </w:p>
        </w:tc>
        <w:tc>
          <w:tcPr>
            <w:tcW w:w="442" w:type="dxa"/>
          </w:tcPr>
          <w:p>
            <w:pPr>
              <w:pStyle w:val="TableParagraph"/>
              <w:spacing w:before="28"/>
              <w:ind w:left="41" w:right="38"/>
              <w:rPr>
                <w:sz w:val="16"/>
              </w:rPr>
            </w:pPr>
            <w:r>
              <w:rPr>
                <w:color w:val="231F20"/>
                <w:sz w:val="16"/>
              </w:rPr>
              <w:t>3.4</w:t>
            </w:r>
          </w:p>
        </w:tc>
        <w:tc>
          <w:tcPr>
            <w:tcW w:w="442" w:type="dxa"/>
          </w:tcPr>
          <w:p>
            <w:pPr>
              <w:pStyle w:val="TableParagraph"/>
              <w:spacing w:before="28"/>
              <w:ind w:left="41" w:right="38"/>
              <w:rPr>
                <w:sz w:val="16"/>
              </w:rPr>
            </w:pPr>
            <w:r>
              <w:rPr>
                <w:color w:val="231F20"/>
                <w:sz w:val="16"/>
              </w:rPr>
              <w:t>2.8</w:t>
            </w:r>
          </w:p>
        </w:tc>
        <w:tc>
          <w:tcPr>
            <w:tcW w:w="442" w:type="dxa"/>
          </w:tcPr>
          <w:p>
            <w:pPr>
              <w:pStyle w:val="TableParagraph"/>
              <w:spacing w:before="28"/>
              <w:ind w:left="40" w:right="36"/>
              <w:rPr>
                <w:sz w:val="16"/>
              </w:rPr>
            </w:pPr>
            <w:r>
              <w:rPr>
                <w:color w:val="231F20"/>
                <w:sz w:val="16"/>
              </w:rPr>
              <w:t>2.6</w:t>
            </w:r>
          </w:p>
        </w:tc>
      </w:tr>
      <w:tr>
        <w:trPr>
          <w:trHeight w:val="280" w:hRule="exact"/>
        </w:trPr>
        <w:tc>
          <w:tcPr>
            <w:tcW w:w="1463" w:type="dxa"/>
          </w:tcPr>
          <w:p>
            <w:pPr>
              <w:pStyle w:val="TableParagraph"/>
              <w:tabs>
                <w:tab w:pos="1089" w:val="left" w:leader="none"/>
              </w:tabs>
              <w:spacing w:before="28"/>
              <w:ind w:right="62"/>
              <w:rPr>
                <w:sz w:val="16"/>
              </w:rPr>
            </w:pPr>
            <w:r>
              <w:rPr>
                <w:color w:val="231F20"/>
                <w:sz w:val="16"/>
              </w:rPr>
              <w:t>Reino</w:t>
            </w:r>
            <w:r>
              <w:rPr>
                <w:color w:val="231F20"/>
                <w:spacing w:val="-4"/>
                <w:sz w:val="16"/>
              </w:rPr>
              <w:t> </w:t>
            </w:r>
            <w:r>
              <w:rPr>
                <w:color w:val="231F20"/>
                <w:sz w:val="16"/>
              </w:rPr>
              <w:t>Unido</w:t>
              <w:tab/>
              <w:t>4.6</w:t>
            </w:r>
          </w:p>
        </w:tc>
        <w:tc>
          <w:tcPr>
            <w:tcW w:w="442" w:type="dxa"/>
          </w:tcPr>
          <w:p>
            <w:pPr>
              <w:pStyle w:val="TableParagraph"/>
              <w:spacing w:before="28"/>
              <w:ind w:left="41" w:right="37"/>
              <w:rPr>
                <w:sz w:val="16"/>
              </w:rPr>
            </w:pPr>
            <w:r>
              <w:rPr>
                <w:color w:val="231F20"/>
                <w:sz w:val="16"/>
              </w:rPr>
              <w:t>5.3</w:t>
            </w:r>
          </w:p>
        </w:tc>
        <w:tc>
          <w:tcPr>
            <w:tcW w:w="442" w:type="dxa"/>
          </w:tcPr>
          <w:p>
            <w:pPr>
              <w:pStyle w:val="TableParagraph"/>
              <w:spacing w:before="28"/>
              <w:ind w:left="128"/>
              <w:jc w:val="left"/>
              <w:rPr>
                <w:sz w:val="16"/>
              </w:rPr>
            </w:pPr>
            <w:r>
              <w:rPr>
                <w:color w:val="231F20"/>
                <w:sz w:val="16"/>
              </w:rPr>
              <w:t>5.2</w:t>
            </w:r>
          </w:p>
        </w:tc>
        <w:tc>
          <w:tcPr>
            <w:tcW w:w="442" w:type="dxa"/>
          </w:tcPr>
          <w:p>
            <w:pPr>
              <w:pStyle w:val="TableParagraph"/>
              <w:spacing w:before="28"/>
              <w:ind w:left="128"/>
              <w:jc w:val="left"/>
              <w:rPr>
                <w:sz w:val="16"/>
              </w:rPr>
            </w:pPr>
            <w:r>
              <w:rPr>
                <w:color w:val="231F20"/>
                <w:sz w:val="16"/>
              </w:rPr>
              <w:t>5.2</w:t>
            </w:r>
          </w:p>
        </w:tc>
        <w:tc>
          <w:tcPr>
            <w:tcW w:w="442" w:type="dxa"/>
          </w:tcPr>
          <w:p>
            <w:pPr>
              <w:pStyle w:val="TableParagraph"/>
              <w:spacing w:before="28"/>
              <w:ind w:left="128"/>
              <w:jc w:val="left"/>
              <w:rPr>
                <w:sz w:val="16"/>
              </w:rPr>
            </w:pPr>
            <w:r>
              <w:rPr>
                <w:color w:val="231F20"/>
                <w:sz w:val="16"/>
              </w:rPr>
              <w:t>4.9</w:t>
            </w:r>
          </w:p>
        </w:tc>
        <w:tc>
          <w:tcPr>
            <w:tcW w:w="442" w:type="dxa"/>
          </w:tcPr>
          <w:p>
            <w:pPr>
              <w:pStyle w:val="TableParagraph"/>
              <w:spacing w:before="28"/>
              <w:ind w:right="121"/>
              <w:jc w:val="right"/>
              <w:rPr>
                <w:sz w:val="16"/>
              </w:rPr>
            </w:pPr>
            <w:r>
              <w:rPr>
                <w:color w:val="231F20"/>
                <w:w w:val="95"/>
                <w:sz w:val="16"/>
              </w:rPr>
              <w:t>4.3</w:t>
            </w:r>
          </w:p>
        </w:tc>
        <w:tc>
          <w:tcPr>
            <w:tcW w:w="442" w:type="dxa"/>
          </w:tcPr>
          <w:p>
            <w:pPr>
              <w:pStyle w:val="TableParagraph"/>
              <w:spacing w:before="28"/>
              <w:ind w:left="128"/>
              <w:jc w:val="left"/>
              <w:rPr>
                <w:sz w:val="16"/>
              </w:rPr>
            </w:pPr>
            <w:r>
              <w:rPr>
                <w:color w:val="231F20"/>
                <w:sz w:val="16"/>
              </w:rPr>
              <w:t>4.0</w:t>
            </w:r>
          </w:p>
        </w:tc>
        <w:tc>
          <w:tcPr>
            <w:tcW w:w="442" w:type="dxa"/>
          </w:tcPr>
          <w:p>
            <w:pPr>
              <w:pStyle w:val="TableParagraph"/>
              <w:spacing w:before="28"/>
              <w:ind w:right="121"/>
              <w:jc w:val="right"/>
              <w:rPr>
                <w:sz w:val="16"/>
              </w:rPr>
            </w:pPr>
            <w:r>
              <w:rPr>
                <w:color w:val="231F20"/>
                <w:w w:val="95"/>
                <w:sz w:val="16"/>
              </w:rPr>
              <w:t>3.9</w:t>
            </w:r>
          </w:p>
        </w:tc>
        <w:tc>
          <w:tcPr>
            <w:tcW w:w="442" w:type="dxa"/>
          </w:tcPr>
          <w:p>
            <w:pPr>
              <w:pStyle w:val="TableParagraph"/>
              <w:spacing w:before="28"/>
              <w:ind w:left="128"/>
              <w:jc w:val="left"/>
              <w:rPr>
                <w:sz w:val="16"/>
              </w:rPr>
            </w:pPr>
            <w:r>
              <w:rPr>
                <w:color w:val="231F20"/>
                <w:sz w:val="16"/>
              </w:rPr>
              <w:t>3.6</w:t>
            </w:r>
          </w:p>
        </w:tc>
        <w:tc>
          <w:tcPr>
            <w:tcW w:w="442" w:type="dxa"/>
          </w:tcPr>
          <w:p>
            <w:pPr>
              <w:pStyle w:val="TableParagraph"/>
              <w:spacing w:before="28"/>
              <w:ind w:right="121"/>
              <w:jc w:val="right"/>
              <w:rPr>
                <w:sz w:val="16"/>
              </w:rPr>
            </w:pPr>
            <w:r>
              <w:rPr>
                <w:color w:val="231F20"/>
                <w:w w:val="95"/>
                <w:sz w:val="16"/>
              </w:rPr>
              <w:t>3.4</w:t>
            </w:r>
          </w:p>
        </w:tc>
        <w:tc>
          <w:tcPr>
            <w:tcW w:w="442" w:type="dxa"/>
          </w:tcPr>
          <w:p>
            <w:pPr>
              <w:pStyle w:val="TableParagraph"/>
              <w:spacing w:before="28"/>
              <w:ind w:left="128"/>
              <w:jc w:val="left"/>
              <w:rPr>
                <w:sz w:val="16"/>
              </w:rPr>
            </w:pPr>
            <w:r>
              <w:rPr>
                <w:color w:val="231F20"/>
                <w:sz w:val="16"/>
              </w:rPr>
              <w:t>3.1</w:t>
            </w:r>
          </w:p>
        </w:tc>
        <w:tc>
          <w:tcPr>
            <w:tcW w:w="442" w:type="dxa"/>
          </w:tcPr>
          <w:p>
            <w:pPr>
              <w:pStyle w:val="TableParagraph"/>
              <w:spacing w:before="28"/>
              <w:ind w:left="41" w:right="37"/>
              <w:rPr>
                <w:sz w:val="16"/>
              </w:rPr>
            </w:pPr>
            <w:r>
              <w:rPr>
                <w:color w:val="231F20"/>
                <w:sz w:val="16"/>
              </w:rPr>
              <w:t>2.9</w:t>
            </w:r>
          </w:p>
        </w:tc>
        <w:tc>
          <w:tcPr>
            <w:tcW w:w="442" w:type="dxa"/>
          </w:tcPr>
          <w:p>
            <w:pPr>
              <w:pStyle w:val="TableParagraph"/>
              <w:spacing w:before="28"/>
              <w:ind w:left="41" w:right="37"/>
              <w:rPr>
                <w:sz w:val="16"/>
              </w:rPr>
            </w:pPr>
            <w:r>
              <w:rPr>
                <w:color w:val="231F20"/>
                <w:sz w:val="16"/>
              </w:rPr>
              <w:t>2.8</w:t>
            </w:r>
          </w:p>
        </w:tc>
        <w:tc>
          <w:tcPr>
            <w:tcW w:w="442" w:type="dxa"/>
          </w:tcPr>
          <w:p>
            <w:pPr>
              <w:pStyle w:val="TableParagraph"/>
              <w:spacing w:before="28"/>
              <w:ind w:left="40" w:right="35"/>
              <w:rPr>
                <w:sz w:val="16"/>
              </w:rPr>
            </w:pPr>
            <w:r>
              <w:rPr>
                <w:color w:val="231F20"/>
                <w:sz w:val="16"/>
              </w:rPr>
              <w:t>3.0</w:t>
            </w:r>
          </w:p>
        </w:tc>
      </w:tr>
      <w:tr>
        <w:trPr>
          <w:trHeight w:val="323" w:hRule="exact"/>
        </w:trPr>
        <w:tc>
          <w:tcPr>
            <w:tcW w:w="1463" w:type="dxa"/>
          </w:tcPr>
          <w:p>
            <w:pPr>
              <w:pStyle w:val="TableParagraph"/>
              <w:tabs>
                <w:tab w:pos="1279" w:val="right" w:leader="none"/>
              </w:tabs>
              <w:spacing w:before="28"/>
              <w:ind w:right="61"/>
              <w:rPr>
                <w:sz w:val="16"/>
              </w:rPr>
            </w:pPr>
            <w:r>
              <w:rPr>
                <w:color w:val="231F20"/>
                <w:sz w:val="16"/>
              </w:rPr>
              <w:t>Italia</w:t>
              <w:tab/>
              <w:t>4.9</w:t>
            </w:r>
          </w:p>
        </w:tc>
        <w:tc>
          <w:tcPr>
            <w:tcW w:w="442" w:type="dxa"/>
          </w:tcPr>
          <w:p>
            <w:pPr>
              <w:pStyle w:val="TableParagraph"/>
              <w:spacing w:before="28"/>
              <w:ind w:left="41" w:right="36"/>
              <w:rPr>
                <w:sz w:val="16"/>
              </w:rPr>
            </w:pPr>
            <w:r>
              <w:rPr>
                <w:color w:val="231F20"/>
                <w:sz w:val="16"/>
              </w:rPr>
              <w:t>5.2</w:t>
            </w:r>
          </w:p>
        </w:tc>
        <w:tc>
          <w:tcPr>
            <w:tcW w:w="442" w:type="dxa"/>
          </w:tcPr>
          <w:p>
            <w:pPr>
              <w:pStyle w:val="TableParagraph"/>
              <w:spacing w:before="28"/>
              <w:ind w:left="128"/>
              <w:jc w:val="left"/>
              <w:rPr>
                <w:sz w:val="16"/>
              </w:rPr>
            </w:pPr>
            <w:r>
              <w:rPr>
                <w:color w:val="231F20"/>
                <w:sz w:val="16"/>
              </w:rPr>
              <w:t>4.8</w:t>
            </w:r>
          </w:p>
        </w:tc>
        <w:tc>
          <w:tcPr>
            <w:tcW w:w="442" w:type="dxa"/>
          </w:tcPr>
          <w:p>
            <w:pPr>
              <w:pStyle w:val="TableParagraph"/>
              <w:spacing w:before="28"/>
              <w:ind w:left="128"/>
              <w:jc w:val="left"/>
              <w:rPr>
                <w:sz w:val="16"/>
              </w:rPr>
            </w:pPr>
            <w:r>
              <w:rPr>
                <w:color w:val="231F20"/>
                <w:sz w:val="16"/>
              </w:rPr>
              <w:t>4.5</w:t>
            </w:r>
          </w:p>
        </w:tc>
        <w:tc>
          <w:tcPr>
            <w:tcW w:w="442" w:type="dxa"/>
          </w:tcPr>
          <w:p>
            <w:pPr>
              <w:pStyle w:val="TableParagraph"/>
              <w:spacing w:before="28"/>
              <w:ind w:left="128"/>
              <w:jc w:val="left"/>
              <w:rPr>
                <w:sz w:val="16"/>
              </w:rPr>
            </w:pPr>
            <w:r>
              <w:rPr>
                <w:color w:val="231F20"/>
                <w:sz w:val="16"/>
              </w:rPr>
              <w:t>4.3</w:t>
            </w:r>
          </w:p>
        </w:tc>
        <w:tc>
          <w:tcPr>
            <w:tcW w:w="442" w:type="dxa"/>
          </w:tcPr>
          <w:p>
            <w:pPr>
              <w:pStyle w:val="TableParagraph"/>
              <w:spacing w:before="28"/>
              <w:ind w:right="121"/>
              <w:jc w:val="right"/>
              <w:rPr>
                <w:sz w:val="16"/>
              </w:rPr>
            </w:pPr>
            <w:r>
              <w:rPr>
                <w:color w:val="231F20"/>
                <w:w w:val="95"/>
                <w:sz w:val="16"/>
              </w:rPr>
              <w:t>3.8</w:t>
            </w:r>
          </w:p>
        </w:tc>
        <w:tc>
          <w:tcPr>
            <w:tcW w:w="442" w:type="dxa"/>
          </w:tcPr>
          <w:p>
            <w:pPr>
              <w:pStyle w:val="TableParagraph"/>
              <w:spacing w:before="28"/>
              <w:ind w:left="128"/>
              <w:jc w:val="left"/>
              <w:rPr>
                <w:sz w:val="16"/>
              </w:rPr>
            </w:pPr>
            <w:r>
              <w:rPr>
                <w:color w:val="231F20"/>
                <w:sz w:val="16"/>
              </w:rPr>
              <w:t>3.8</w:t>
            </w:r>
          </w:p>
        </w:tc>
        <w:tc>
          <w:tcPr>
            <w:tcW w:w="442" w:type="dxa"/>
          </w:tcPr>
          <w:p>
            <w:pPr>
              <w:pStyle w:val="TableParagraph"/>
              <w:spacing w:before="28"/>
              <w:ind w:right="121"/>
              <w:jc w:val="right"/>
              <w:rPr>
                <w:sz w:val="16"/>
              </w:rPr>
            </w:pPr>
            <w:r>
              <w:rPr>
                <w:color w:val="231F20"/>
                <w:w w:val="95"/>
                <w:sz w:val="16"/>
              </w:rPr>
              <w:t>3.9</w:t>
            </w:r>
          </w:p>
        </w:tc>
        <w:tc>
          <w:tcPr>
            <w:tcW w:w="442" w:type="dxa"/>
          </w:tcPr>
          <w:p>
            <w:pPr>
              <w:pStyle w:val="TableParagraph"/>
              <w:spacing w:before="28"/>
              <w:ind w:left="128"/>
              <w:jc w:val="left"/>
              <w:rPr>
                <w:sz w:val="16"/>
              </w:rPr>
            </w:pPr>
            <w:r>
              <w:rPr>
                <w:color w:val="231F20"/>
                <w:sz w:val="16"/>
              </w:rPr>
              <w:t>3.5</w:t>
            </w:r>
          </w:p>
        </w:tc>
        <w:tc>
          <w:tcPr>
            <w:tcW w:w="442" w:type="dxa"/>
          </w:tcPr>
          <w:p>
            <w:pPr>
              <w:pStyle w:val="TableParagraph"/>
              <w:spacing w:before="28"/>
              <w:ind w:right="121"/>
              <w:jc w:val="right"/>
              <w:rPr>
                <w:sz w:val="16"/>
              </w:rPr>
            </w:pPr>
            <w:r>
              <w:rPr>
                <w:color w:val="231F20"/>
                <w:w w:val="95"/>
                <w:sz w:val="16"/>
              </w:rPr>
              <w:t>3.6</w:t>
            </w:r>
          </w:p>
        </w:tc>
        <w:tc>
          <w:tcPr>
            <w:tcW w:w="442" w:type="dxa"/>
          </w:tcPr>
          <w:p>
            <w:pPr>
              <w:pStyle w:val="TableParagraph"/>
              <w:spacing w:before="28"/>
              <w:ind w:left="128"/>
              <w:jc w:val="left"/>
              <w:rPr>
                <w:sz w:val="16"/>
              </w:rPr>
            </w:pPr>
            <w:r>
              <w:rPr>
                <w:color w:val="231F20"/>
                <w:sz w:val="16"/>
              </w:rPr>
              <w:t>2.9</w:t>
            </w:r>
          </w:p>
        </w:tc>
        <w:tc>
          <w:tcPr>
            <w:tcW w:w="442" w:type="dxa"/>
          </w:tcPr>
          <w:p>
            <w:pPr>
              <w:pStyle w:val="TableParagraph"/>
              <w:spacing w:before="28"/>
              <w:ind w:left="41" w:right="36"/>
              <w:rPr>
                <w:sz w:val="16"/>
              </w:rPr>
            </w:pPr>
            <w:r>
              <w:rPr>
                <w:color w:val="231F20"/>
                <w:sz w:val="16"/>
              </w:rPr>
              <w:t>2.5</w:t>
            </w:r>
          </w:p>
        </w:tc>
        <w:tc>
          <w:tcPr>
            <w:tcW w:w="442" w:type="dxa"/>
          </w:tcPr>
          <w:p>
            <w:pPr>
              <w:pStyle w:val="TableParagraph"/>
              <w:spacing w:before="28"/>
              <w:ind w:left="41" w:right="36"/>
              <w:rPr>
                <w:sz w:val="16"/>
              </w:rPr>
            </w:pPr>
            <w:r>
              <w:rPr>
                <w:color w:val="231F20"/>
                <w:sz w:val="16"/>
              </w:rPr>
              <w:t>1.9</w:t>
            </w:r>
          </w:p>
        </w:tc>
        <w:tc>
          <w:tcPr>
            <w:tcW w:w="442" w:type="dxa"/>
          </w:tcPr>
          <w:p>
            <w:pPr>
              <w:pStyle w:val="TableParagraph"/>
              <w:spacing w:before="28"/>
              <w:ind w:left="40" w:right="34"/>
              <w:rPr>
                <w:sz w:val="16"/>
              </w:rPr>
            </w:pPr>
            <w:r>
              <w:rPr>
                <w:color w:val="231F20"/>
                <w:sz w:val="16"/>
              </w:rPr>
              <w:t>1.7</w:t>
            </w:r>
          </w:p>
        </w:tc>
      </w:tr>
      <w:tr>
        <w:trPr>
          <w:trHeight w:val="388" w:hRule="exact"/>
        </w:trPr>
        <w:tc>
          <w:tcPr>
            <w:tcW w:w="1463" w:type="dxa"/>
            <w:tcBorders>
              <w:bottom w:val="single" w:sz="4" w:space="0" w:color="231F20"/>
            </w:tcBorders>
          </w:tcPr>
          <w:p>
            <w:pPr>
              <w:pStyle w:val="TableParagraph"/>
              <w:spacing w:line="118" w:lineRule="exact"/>
              <w:ind w:left="59"/>
              <w:jc w:val="left"/>
              <w:rPr>
                <w:sz w:val="16"/>
              </w:rPr>
            </w:pPr>
            <w:r>
              <w:rPr>
                <w:color w:val="231F20"/>
                <w:sz w:val="16"/>
              </w:rPr>
              <w:t>Resto de</w:t>
            </w:r>
          </w:p>
          <w:p>
            <w:pPr>
              <w:pStyle w:val="TableParagraph"/>
              <w:tabs>
                <w:tab w:pos="1146" w:val="left" w:leader="none"/>
              </w:tabs>
              <w:spacing w:line="225" w:lineRule="exact"/>
              <w:ind w:left="59"/>
              <w:jc w:val="left"/>
              <w:rPr>
                <w:sz w:val="16"/>
              </w:rPr>
            </w:pPr>
            <w:r>
              <w:rPr>
                <w:color w:val="231F20"/>
                <w:sz w:val="16"/>
              </w:rPr>
              <w:t>países</w:t>
            </w:r>
            <w:r>
              <w:rPr>
                <w:color w:val="231F20"/>
                <w:spacing w:val="-10"/>
                <w:sz w:val="16"/>
              </w:rPr>
              <w:t> </w:t>
            </w:r>
            <w:r>
              <w:rPr>
                <w:color w:val="231F20"/>
                <w:position w:val="5"/>
                <w:sz w:val="9"/>
              </w:rPr>
              <w:t>1</w:t>
            </w:r>
            <w:r>
              <w:rPr>
                <w:color w:val="231F20"/>
                <w:position w:val="9"/>
                <w:sz w:val="16"/>
              </w:rPr>
              <w:tab/>
              <w:t>7.0</w:t>
            </w:r>
          </w:p>
        </w:tc>
        <w:tc>
          <w:tcPr>
            <w:tcW w:w="442" w:type="dxa"/>
            <w:tcBorders>
              <w:bottom w:val="single" w:sz="4" w:space="0" w:color="231F20"/>
            </w:tcBorders>
          </w:tcPr>
          <w:p>
            <w:pPr>
              <w:pStyle w:val="TableParagraph"/>
              <w:spacing w:before="71"/>
              <w:ind w:left="41" w:right="41"/>
              <w:rPr>
                <w:sz w:val="16"/>
              </w:rPr>
            </w:pPr>
            <w:r>
              <w:rPr>
                <w:color w:val="231F20"/>
                <w:sz w:val="16"/>
              </w:rPr>
              <w:t>6.7</w:t>
            </w:r>
          </w:p>
        </w:tc>
        <w:tc>
          <w:tcPr>
            <w:tcW w:w="442" w:type="dxa"/>
            <w:tcBorders>
              <w:bottom w:val="single" w:sz="4" w:space="0" w:color="231F20"/>
            </w:tcBorders>
          </w:tcPr>
          <w:p>
            <w:pPr>
              <w:pStyle w:val="TableParagraph"/>
              <w:spacing w:before="71"/>
              <w:ind w:left="126"/>
              <w:jc w:val="left"/>
              <w:rPr>
                <w:sz w:val="16"/>
              </w:rPr>
            </w:pPr>
            <w:r>
              <w:rPr>
                <w:color w:val="231F20"/>
                <w:sz w:val="16"/>
              </w:rPr>
              <w:t>6.0</w:t>
            </w:r>
          </w:p>
        </w:tc>
        <w:tc>
          <w:tcPr>
            <w:tcW w:w="442" w:type="dxa"/>
            <w:tcBorders>
              <w:bottom w:val="single" w:sz="4" w:space="0" w:color="231F20"/>
            </w:tcBorders>
          </w:tcPr>
          <w:p>
            <w:pPr>
              <w:pStyle w:val="TableParagraph"/>
              <w:spacing w:before="71"/>
              <w:ind w:left="126"/>
              <w:jc w:val="left"/>
              <w:rPr>
                <w:sz w:val="16"/>
              </w:rPr>
            </w:pPr>
            <w:r>
              <w:rPr>
                <w:color w:val="231F20"/>
                <w:sz w:val="16"/>
              </w:rPr>
              <w:t>5.7</w:t>
            </w:r>
          </w:p>
        </w:tc>
        <w:tc>
          <w:tcPr>
            <w:tcW w:w="442" w:type="dxa"/>
            <w:tcBorders>
              <w:bottom w:val="single" w:sz="4" w:space="0" w:color="231F20"/>
            </w:tcBorders>
          </w:tcPr>
          <w:p>
            <w:pPr>
              <w:pStyle w:val="TableParagraph"/>
              <w:spacing w:before="71"/>
              <w:ind w:left="126"/>
              <w:jc w:val="left"/>
              <w:rPr>
                <w:sz w:val="16"/>
              </w:rPr>
            </w:pPr>
            <w:r>
              <w:rPr>
                <w:color w:val="231F20"/>
                <w:sz w:val="16"/>
              </w:rPr>
              <w:t>5.7</w:t>
            </w:r>
          </w:p>
        </w:tc>
        <w:tc>
          <w:tcPr>
            <w:tcW w:w="442" w:type="dxa"/>
            <w:tcBorders>
              <w:bottom w:val="single" w:sz="4" w:space="0" w:color="231F20"/>
            </w:tcBorders>
          </w:tcPr>
          <w:p>
            <w:pPr>
              <w:pStyle w:val="TableParagraph"/>
              <w:spacing w:before="71"/>
              <w:ind w:right="124"/>
              <w:jc w:val="right"/>
              <w:rPr>
                <w:sz w:val="16"/>
              </w:rPr>
            </w:pPr>
            <w:r>
              <w:rPr>
                <w:color w:val="231F20"/>
                <w:w w:val="95"/>
                <w:sz w:val="16"/>
              </w:rPr>
              <w:t>5.2</w:t>
            </w:r>
          </w:p>
        </w:tc>
        <w:tc>
          <w:tcPr>
            <w:tcW w:w="442" w:type="dxa"/>
            <w:tcBorders>
              <w:bottom w:val="single" w:sz="4" w:space="0" w:color="231F20"/>
            </w:tcBorders>
          </w:tcPr>
          <w:p>
            <w:pPr>
              <w:pStyle w:val="TableParagraph"/>
              <w:spacing w:before="71"/>
              <w:ind w:left="126"/>
              <w:jc w:val="left"/>
              <w:rPr>
                <w:sz w:val="16"/>
              </w:rPr>
            </w:pPr>
            <w:r>
              <w:rPr>
                <w:color w:val="231F20"/>
                <w:sz w:val="16"/>
              </w:rPr>
              <w:t>5.2</w:t>
            </w:r>
          </w:p>
        </w:tc>
        <w:tc>
          <w:tcPr>
            <w:tcW w:w="442" w:type="dxa"/>
            <w:tcBorders>
              <w:bottom w:val="single" w:sz="4" w:space="0" w:color="231F20"/>
            </w:tcBorders>
          </w:tcPr>
          <w:p>
            <w:pPr>
              <w:pStyle w:val="TableParagraph"/>
              <w:spacing w:before="71"/>
              <w:ind w:right="124"/>
              <w:jc w:val="right"/>
              <w:rPr>
                <w:sz w:val="16"/>
              </w:rPr>
            </w:pPr>
            <w:r>
              <w:rPr>
                <w:color w:val="231F20"/>
                <w:w w:val="95"/>
                <w:sz w:val="16"/>
              </w:rPr>
              <w:t>5.1</w:t>
            </w:r>
          </w:p>
        </w:tc>
        <w:tc>
          <w:tcPr>
            <w:tcW w:w="442" w:type="dxa"/>
            <w:tcBorders>
              <w:bottom w:val="single" w:sz="4" w:space="0" w:color="231F20"/>
            </w:tcBorders>
          </w:tcPr>
          <w:p>
            <w:pPr>
              <w:pStyle w:val="TableParagraph"/>
              <w:spacing w:before="71"/>
              <w:ind w:left="126"/>
              <w:jc w:val="left"/>
              <w:rPr>
                <w:sz w:val="16"/>
              </w:rPr>
            </w:pPr>
            <w:r>
              <w:rPr>
                <w:color w:val="231F20"/>
                <w:sz w:val="16"/>
              </w:rPr>
              <w:t>5.1</w:t>
            </w:r>
          </w:p>
        </w:tc>
        <w:tc>
          <w:tcPr>
            <w:tcW w:w="442" w:type="dxa"/>
            <w:tcBorders>
              <w:bottom w:val="single" w:sz="4" w:space="0" w:color="231F20"/>
            </w:tcBorders>
          </w:tcPr>
          <w:p>
            <w:pPr>
              <w:pStyle w:val="TableParagraph"/>
              <w:spacing w:before="71"/>
              <w:ind w:right="124"/>
              <w:jc w:val="right"/>
              <w:rPr>
                <w:sz w:val="16"/>
              </w:rPr>
            </w:pPr>
            <w:r>
              <w:rPr>
                <w:color w:val="231F20"/>
                <w:w w:val="95"/>
                <w:sz w:val="16"/>
              </w:rPr>
              <w:t>4.3</w:t>
            </w:r>
          </w:p>
        </w:tc>
        <w:tc>
          <w:tcPr>
            <w:tcW w:w="442" w:type="dxa"/>
            <w:tcBorders>
              <w:bottom w:val="single" w:sz="4" w:space="0" w:color="231F20"/>
            </w:tcBorders>
          </w:tcPr>
          <w:p>
            <w:pPr>
              <w:pStyle w:val="TableParagraph"/>
              <w:spacing w:before="71"/>
              <w:ind w:left="126"/>
              <w:jc w:val="left"/>
              <w:rPr>
                <w:sz w:val="16"/>
              </w:rPr>
            </w:pPr>
            <w:r>
              <w:rPr>
                <w:color w:val="231F20"/>
                <w:sz w:val="16"/>
              </w:rPr>
              <w:t>4.3</w:t>
            </w:r>
          </w:p>
        </w:tc>
        <w:tc>
          <w:tcPr>
            <w:tcW w:w="442" w:type="dxa"/>
            <w:tcBorders>
              <w:bottom w:val="single" w:sz="4" w:space="0" w:color="231F20"/>
            </w:tcBorders>
          </w:tcPr>
          <w:p>
            <w:pPr>
              <w:pStyle w:val="TableParagraph"/>
              <w:spacing w:before="71"/>
              <w:ind w:left="41" w:right="41"/>
              <w:rPr>
                <w:sz w:val="16"/>
              </w:rPr>
            </w:pPr>
            <w:r>
              <w:rPr>
                <w:color w:val="231F20"/>
                <w:sz w:val="16"/>
              </w:rPr>
              <w:t>4.3</w:t>
            </w:r>
          </w:p>
        </w:tc>
        <w:tc>
          <w:tcPr>
            <w:tcW w:w="442" w:type="dxa"/>
            <w:tcBorders>
              <w:bottom w:val="single" w:sz="4" w:space="0" w:color="231F20"/>
            </w:tcBorders>
          </w:tcPr>
          <w:p>
            <w:pPr>
              <w:pStyle w:val="TableParagraph"/>
              <w:spacing w:before="71"/>
              <w:ind w:left="41" w:right="41"/>
              <w:rPr>
                <w:sz w:val="16"/>
              </w:rPr>
            </w:pPr>
            <w:r>
              <w:rPr>
                <w:color w:val="231F20"/>
                <w:sz w:val="16"/>
              </w:rPr>
              <w:t>3.7</w:t>
            </w:r>
          </w:p>
        </w:tc>
        <w:tc>
          <w:tcPr>
            <w:tcW w:w="442" w:type="dxa"/>
            <w:tcBorders>
              <w:bottom w:val="single" w:sz="4" w:space="0" w:color="231F20"/>
            </w:tcBorders>
          </w:tcPr>
          <w:p>
            <w:pPr>
              <w:pStyle w:val="TableParagraph"/>
              <w:spacing w:before="71"/>
              <w:ind w:left="40" w:right="40"/>
              <w:rPr>
                <w:sz w:val="16"/>
              </w:rPr>
            </w:pPr>
            <w:r>
              <w:rPr>
                <w:color w:val="231F20"/>
                <w:sz w:val="16"/>
              </w:rPr>
              <w:t>3.4</w:t>
            </w:r>
          </w:p>
        </w:tc>
      </w:tr>
      <w:tr>
        <w:trPr>
          <w:trHeight w:val="201" w:hRule="exact"/>
        </w:trPr>
        <w:tc>
          <w:tcPr>
            <w:tcW w:w="1463"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r>
      <w:tr>
        <w:trPr>
          <w:trHeight w:val="280" w:hRule="exact"/>
        </w:trPr>
        <w:tc>
          <w:tcPr>
            <w:tcW w:w="1463" w:type="dxa"/>
            <w:tcBorders>
              <w:top w:val="single" w:sz="4" w:space="0" w:color="231F20"/>
              <w:bottom w:val="single" w:sz="4" w:space="0" w:color="231F20"/>
            </w:tcBorders>
          </w:tcPr>
          <w:p>
            <w:pPr>
              <w:pStyle w:val="TableParagraph"/>
              <w:tabs>
                <w:tab w:pos="1325" w:val="right" w:leader="none"/>
              </w:tabs>
              <w:spacing w:before="25"/>
              <w:ind w:right="21"/>
              <w:rPr>
                <w:rFonts w:ascii="Palatino Linotype"/>
                <w:b/>
                <w:sz w:val="16"/>
              </w:rPr>
            </w:pPr>
            <w:r>
              <w:rPr>
                <w:rFonts w:ascii="Palatino Linotype"/>
                <w:b/>
                <w:color w:val="231F20"/>
                <w:spacing w:val="-5"/>
                <w:sz w:val="16"/>
              </w:rPr>
              <w:t>NAFTA</w:t>
              <w:tab/>
            </w:r>
            <w:r>
              <w:rPr>
                <w:rFonts w:ascii="Palatino Linotype"/>
                <w:b/>
                <w:color w:val="231F20"/>
                <w:sz w:val="16"/>
              </w:rPr>
              <w:t>36.7</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38.4</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35.9</w:t>
            </w:r>
          </w:p>
        </w:tc>
        <w:tc>
          <w:tcPr>
            <w:tcW w:w="442" w:type="dxa"/>
            <w:tcBorders>
              <w:top w:val="single" w:sz="4" w:space="0" w:color="231F20"/>
              <w:bottom w:val="single" w:sz="4" w:space="0" w:color="231F20"/>
            </w:tcBorders>
          </w:tcPr>
          <w:p>
            <w:pPr>
              <w:pStyle w:val="TableParagraph"/>
              <w:spacing w:before="25"/>
              <w:ind w:right="78"/>
              <w:jc w:val="right"/>
              <w:rPr>
                <w:rFonts w:ascii="Palatino Linotype"/>
                <w:b/>
                <w:sz w:val="16"/>
              </w:rPr>
            </w:pPr>
            <w:r>
              <w:rPr>
                <w:rFonts w:ascii="Palatino Linotype"/>
                <w:b/>
                <w:color w:val="231F20"/>
                <w:sz w:val="16"/>
              </w:rPr>
              <w:t>34.5</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33.4</w:t>
            </w:r>
          </w:p>
        </w:tc>
        <w:tc>
          <w:tcPr>
            <w:tcW w:w="442" w:type="dxa"/>
            <w:tcBorders>
              <w:top w:val="single" w:sz="4" w:space="0" w:color="231F20"/>
              <w:bottom w:val="single" w:sz="4" w:space="0" w:color="231F20"/>
            </w:tcBorders>
          </w:tcPr>
          <w:p>
            <w:pPr>
              <w:pStyle w:val="TableParagraph"/>
              <w:spacing w:before="25"/>
              <w:ind w:right="78"/>
              <w:jc w:val="right"/>
              <w:rPr>
                <w:rFonts w:ascii="Palatino Linotype"/>
                <w:b/>
                <w:sz w:val="16"/>
              </w:rPr>
            </w:pPr>
            <w:r>
              <w:rPr>
                <w:rFonts w:ascii="Palatino Linotype"/>
                <w:b/>
                <w:color w:val="231F20"/>
                <w:sz w:val="16"/>
              </w:rPr>
              <w:t>30.7</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29.1</w:t>
            </w:r>
          </w:p>
        </w:tc>
        <w:tc>
          <w:tcPr>
            <w:tcW w:w="442" w:type="dxa"/>
            <w:tcBorders>
              <w:top w:val="single" w:sz="4" w:space="0" w:color="231F20"/>
              <w:bottom w:val="single" w:sz="4" w:space="0" w:color="231F20"/>
            </w:tcBorders>
          </w:tcPr>
          <w:p>
            <w:pPr>
              <w:pStyle w:val="TableParagraph"/>
              <w:spacing w:before="25"/>
              <w:ind w:right="78"/>
              <w:jc w:val="right"/>
              <w:rPr>
                <w:rFonts w:ascii="Palatino Linotype"/>
                <w:b/>
                <w:sz w:val="16"/>
              </w:rPr>
            </w:pPr>
            <w:r>
              <w:rPr>
                <w:rFonts w:ascii="Palatino Linotype"/>
                <w:b/>
                <w:color w:val="231F20"/>
                <w:sz w:val="16"/>
              </w:rPr>
              <w:t>27.0</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23.8</w:t>
            </w:r>
          </w:p>
        </w:tc>
        <w:tc>
          <w:tcPr>
            <w:tcW w:w="442" w:type="dxa"/>
            <w:tcBorders>
              <w:top w:val="single" w:sz="4" w:space="0" w:color="231F20"/>
              <w:bottom w:val="single" w:sz="4" w:space="0" w:color="231F20"/>
            </w:tcBorders>
          </w:tcPr>
          <w:p>
            <w:pPr>
              <w:pStyle w:val="TableParagraph"/>
              <w:spacing w:before="25"/>
              <w:ind w:right="78"/>
              <w:jc w:val="right"/>
              <w:rPr>
                <w:rFonts w:ascii="Palatino Linotype"/>
                <w:b/>
                <w:sz w:val="16"/>
              </w:rPr>
            </w:pPr>
            <w:r>
              <w:rPr>
                <w:rFonts w:ascii="Palatino Linotype"/>
                <w:b/>
                <w:color w:val="231F20"/>
                <w:sz w:val="16"/>
              </w:rPr>
              <w:t>19.6</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19.0</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20.0</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21.3</w:t>
            </w:r>
          </w:p>
        </w:tc>
        <w:tc>
          <w:tcPr>
            <w:tcW w:w="442" w:type="dxa"/>
            <w:tcBorders>
              <w:top w:val="single" w:sz="4" w:space="0" w:color="231F20"/>
              <w:bottom w:val="single" w:sz="4" w:space="0" w:color="231F20"/>
            </w:tcBorders>
          </w:tcPr>
          <w:p>
            <w:pPr>
              <w:pStyle w:val="TableParagraph"/>
              <w:spacing w:before="25"/>
              <w:ind w:left="40" w:right="39"/>
              <w:rPr>
                <w:rFonts w:ascii="Palatino Linotype"/>
                <w:b/>
                <w:sz w:val="16"/>
              </w:rPr>
            </w:pPr>
            <w:r>
              <w:rPr>
                <w:rFonts w:ascii="Palatino Linotype"/>
                <w:b/>
                <w:color w:val="231F20"/>
                <w:sz w:val="16"/>
              </w:rPr>
              <w:t>22.0</w:t>
            </w:r>
          </w:p>
        </w:tc>
      </w:tr>
      <w:tr>
        <w:trPr>
          <w:trHeight w:val="301" w:hRule="exact"/>
        </w:trPr>
        <w:tc>
          <w:tcPr>
            <w:tcW w:w="1463" w:type="dxa"/>
            <w:tcBorders>
              <w:top w:val="single" w:sz="4" w:space="0" w:color="231F20"/>
            </w:tcBorders>
          </w:tcPr>
          <w:p>
            <w:pPr>
              <w:pStyle w:val="TableParagraph"/>
              <w:tabs>
                <w:tab w:pos="1279" w:val="right" w:leader="none"/>
              </w:tabs>
              <w:spacing w:before="43"/>
              <w:ind w:right="65"/>
              <w:rPr>
                <w:sz w:val="16"/>
              </w:rPr>
            </w:pPr>
            <w:r>
              <w:rPr>
                <w:color w:val="231F20"/>
                <w:sz w:val="16"/>
              </w:rPr>
              <w:t>México</w:t>
              <w:tab/>
              <w:t>1.6</w:t>
            </w:r>
          </w:p>
        </w:tc>
        <w:tc>
          <w:tcPr>
            <w:tcW w:w="442" w:type="dxa"/>
            <w:tcBorders>
              <w:top w:val="single" w:sz="4" w:space="0" w:color="231F20"/>
            </w:tcBorders>
          </w:tcPr>
          <w:p>
            <w:pPr>
              <w:pStyle w:val="TableParagraph"/>
              <w:spacing w:before="43"/>
              <w:ind w:left="41" w:right="40"/>
              <w:rPr>
                <w:sz w:val="16"/>
              </w:rPr>
            </w:pPr>
            <w:r>
              <w:rPr>
                <w:color w:val="231F20"/>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1.9</w:t>
            </w:r>
          </w:p>
        </w:tc>
        <w:tc>
          <w:tcPr>
            <w:tcW w:w="442" w:type="dxa"/>
            <w:tcBorders>
              <w:top w:val="single" w:sz="4" w:space="0" w:color="231F20"/>
            </w:tcBorders>
          </w:tcPr>
          <w:p>
            <w:pPr>
              <w:pStyle w:val="TableParagraph"/>
              <w:spacing w:before="43"/>
              <w:ind w:right="123"/>
              <w:jc w:val="right"/>
              <w:rPr>
                <w:sz w:val="16"/>
              </w:rPr>
            </w:pPr>
            <w:r>
              <w:rPr>
                <w:color w:val="231F20"/>
                <w:w w:val="95"/>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1.7</w:t>
            </w:r>
          </w:p>
        </w:tc>
        <w:tc>
          <w:tcPr>
            <w:tcW w:w="442" w:type="dxa"/>
            <w:tcBorders>
              <w:top w:val="single" w:sz="4" w:space="0" w:color="231F20"/>
            </w:tcBorders>
          </w:tcPr>
          <w:p>
            <w:pPr>
              <w:pStyle w:val="TableParagraph"/>
              <w:spacing w:before="43"/>
              <w:ind w:right="123"/>
              <w:jc w:val="right"/>
              <w:rPr>
                <w:sz w:val="16"/>
              </w:rPr>
            </w:pPr>
            <w:r>
              <w:rPr>
                <w:color w:val="231F20"/>
                <w:w w:val="95"/>
                <w:sz w:val="16"/>
              </w:rPr>
              <w:t>1.6</w:t>
            </w:r>
          </w:p>
        </w:tc>
        <w:tc>
          <w:tcPr>
            <w:tcW w:w="442" w:type="dxa"/>
            <w:tcBorders>
              <w:top w:val="single" w:sz="4" w:space="0" w:color="231F20"/>
            </w:tcBorders>
          </w:tcPr>
          <w:p>
            <w:pPr>
              <w:pStyle w:val="TableParagraph"/>
              <w:spacing w:before="43"/>
              <w:ind w:left="127"/>
              <w:jc w:val="left"/>
              <w:rPr>
                <w:sz w:val="16"/>
              </w:rPr>
            </w:pPr>
            <w:r>
              <w:rPr>
                <w:color w:val="231F20"/>
                <w:sz w:val="16"/>
              </w:rPr>
              <w:t>1.6</w:t>
            </w:r>
          </w:p>
        </w:tc>
        <w:tc>
          <w:tcPr>
            <w:tcW w:w="442" w:type="dxa"/>
            <w:tcBorders>
              <w:top w:val="single" w:sz="4" w:space="0" w:color="231F20"/>
            </w:tcBorders>
          </w:tcPr>
          <w:p>
            <w:pPr>
              <w:pStyle w:val="TableParagraph"/>
              <w:spacing w:before="43"/>
              <w:ind w:right="123"/>
              <w:jc w:val="right"/>
              <w:rPr>
                <w:sz w:val="16"/>
              </w:rPr>
            </w:pPr>
            <w:r>
              <w:rPr>
                <w:color w:val="231F20"/>
                <w:w w:val="95"/>
                <w:sz w:val="16"/>
              </w:rPr>
              <w:t>1.2</w:t>
            </w:r>
          </w:p>
        </w:tc>
        <w:tc>
          <w:tcPr>
            <w:tcW w:w="442" w:type="dxa"/>
            <w:tcBorders>
              <w:top w:val="single" w:sz="4" w:space="0" w:color="231F20"/>
            </w:tcBorders>
          </w:tcPr>
          <w:p>
            <w:pPr>
              <w:pStyle w:val="TableParagraph"/>
              <w:spacing w:before="43"/>
              <w:ind w:left="127"/>
              <w:jc w:val="left"/>
              <w:rPr>
                <w:sz w:val="16"/>
              </w:rPr>
            </w:pPr>
            <w:r>
              <w:rPr>
                <w:color w:val="231F20"/>
                <w:sz w:val="16"/>
              </w:rPr>
              <w:t>1.1</w:t>
            </w:r>
          </w:p>
        </w:tc>
        <w:tc>
          <w:tcPr>
            <w:tcW w:w="442" w:type="dxa"/>
            <w:tcBorders>
              <w:top w:val="single" w:sz="4" w:space="0" w:color="231F20"/>
            </w:tcBorders>
          </w:tcPr>
          <w:p>
            <w:pPr>
              <w:pStyle w:val="TableParagraph"/>
              <w:spacing w:before="43"/>
              <w:ind w:left="41" w:right="40"/>
              <w:rPr>
                <w:sz w:val="16"/>
              </w:rPr>
            </w:pPr>
            <w:r>
              <w:rPr>
                <w:color w:val="231F20"/>
                <w:sz w:val="16"/>
              </w:rPr>
              <w:t>1.2</w:t>
            </w:r>
          </w:p>
        </w:tc>
        <w:tc>
          <w:tcPr>
            <w:tcW w:w="442" w:type="dxa"/>
            <w:tcBorders>
              <w:top w:val="single" w:sz="4" w:space="0" w:color="231F20"/>
            </w:tcBorders>
          </w:tcPr>
          <w:p>
            <w:pPr>
              <w:pStyle w:val="TableParagraph"/>
              <w:spacing w:before="43"/>
              <w:ind w:left="41" w:right="40"/>
              <w:rPr>
                <w:sz w:val="16"/>
              </w:rPr>
            </w:pPr>
            <w:r>
              <w:rPr>
                <w:color w:val="231F20"/>
                <w:sz w:val="16"/>
              </w:rPr>
              <w:t>1.2</w:t>
            </w:r>
          </w:p>
        </w:tc>
        <w:tc>
          <w:tcPr>
            <w:tcW w:w="442" w:type="dxa"/>
            <w:tcBorders>
              <w:top w:val="single" w:sz="4" w:space="0" w:color="231F20"/>
            </w:tcBorders>
          </w:tcPr>
          <w:p>
            <w:pPr>
              <w:pStyle w:val="TableParagraph"/>
              <w:spacing w:before="43"/>
              <w:ind w:left="40" w:right="38"/>
              <w:rPr>
                <w:sz w:val="16"/>
              </w:rPr>
            </w:pPr>
            <w:r>
              <w:rPr>
                <w:color w:val="231F20"/>
                <w:sz w:val="16"/>
              </w:rPr>
              <w:t>1.3</w:t>
            </w:r>
          </w:p>
        </w:tc>
      </w:tr>
      <w:tr>
        <w:trPr>
          <w:trHeight w:val="280" w:hRule="exact"/>
        </w:trPr>
        <w:tc>
          <w:tcPr>
            <w:tcW w:w="1463" w:type="dxa"/>
          </w:tcPr>
          <w:p>
            <w:pPr>
              <w:pStyle w:val="TableParagraph"/>
              <w:tabs>
                <w:tab w:pos="1279" w:val="right" w:leader="none"/>
              </w:tabs>
              <w:spacing w:before="28"/>
              <w:ind w:right="64"/>
              <w:rPr>
                <w:sz w:val="16"/>
              </w:rPr>
            </w:pPr>
            <w:r>
              <w:rPr>
                <w:color w:val="231F20"/>
                <w:sz w:val="16"/>
              </w:rPr>
              <w:t>Canadá</w:t>
              <w:tab/>
              <w:t>2.9</w:t>
            </w:r>
          </w:p>
        </w:tc>
        <w:tc>
          <w:tcPr>
            <w:tcW w:w="442" w:type="dxa"/>
          </w:tcPr>
          <w:p>
            <w:pPr>
              <w:pStyle w:val="TableParagraph"/>
              <w:spacing w:before="28"/>
              <w:ind w:left="41" w:right="39"/>
              <w:rPr>
                <w:sz w:val="16"/>
              </w:rPr>
            </w:pPr>
            <w:r>
              <w:rPr>
                <w:color w:val="231F20"/>
                <w:sz w:val="16"/>
              </w:rPr>
              <w:t>3.1</w:t>
            </w:r>
          </w:p>
        </w:tc>
        <w:tc>
          <w:tcPr>
            <w:tcW w:w="442" w:type="dxa"/>
          </w:tcPr>
          <w:p>
            <w:pPr>
              <w:pStyle w:val="TableParagraph"/>
              <w:spacing w:before="28"/>
              <w:ind w:left="127"/>
              <w:jc w:val="left"/>
              <w:rPr>
                <w:sz w:val="16"/>
              </w:rPr>
            </w:pPr>
            <w:r>
              <w:rPr>
                <w:color w:val="231F20"/>
                <w:sz w:val="16"/>
              </w:rPr>
              <w:t>3.1</w:t>
            </w:r>
          </w:p>
        </w:tc>
        <w:tc>
          <w:tcPr>
            <w:tcW w:w="442" w:type="dxa"/>
          </w:tcPr>
          <w:p>
            <w:pPr>
              <w:pStyle w:val="TableParagraph"/>
              <w:spacing w:before="28"/>
              <w:ind w:left="127"/>
              <w:jc w:val="left"/>
              <w:rPr>
                <w:sz w:val="16"/>
              </w:rPr>
            </w:pPr>
            <w:r>
              <w:rPr>
                <w:color w:val="231F20"/>
                <w:sz w:val="16"/>
              </w:rPr>
              <w:t>2.9</w:t>
            </w:r>
          </w:p>
        </w:tc>
        <w:tc>
          <w:tcPr>
            <w:tcW w:w="442" w:type="dxa"/>
          </w:tcPr>
          <w:p>
            <w:pPr>
              <w:pStyle w:val="TableParagraph"/>
              <w:spacing w:before="28"/>
              <w:ind w:left="127"/>
              <w:jc w:val="left"/>
              <w:rPr>
                <w:sz w:val="16"/>
              </w:rPr>
            </w:pPr>
            <w:r>
              <w:rPr>
                <w:color w:val="231F20"/>
                <w:sz w:val="16"/>
              </w:rPr>
              <w:t>2.6</w:t>
            </w:r>
          </w:p>
        </w:tc>
        <w:tc>
          <w:tcPr>
            <w:tcW w:w="442" w:type="dxa"/>
          </w:tcPr>
          <w:p>
            <w:pPr>
              <w:pStyle w:val="TableParagraph"/>
              <w:spacing w:before="28"/>
              <w:ind w:right="122"/>
              <w:jc w:val="right"/>
              <w:rPr>
                <w:sz w:val="16"/>
              </w:rPr>
            </w:pPr>
            <w:r>
              <w:rPr>
                <w:color w:val="231F20"/>
                <w:w w:val="95"/>
                <w:sz w:val="16"/>
              </w:rPr>
              <w:t>2.5</w:t>
            </w:r>
          </w:p>
        </w:tc>
        <w:tc>
          <w:tcPr>
            <w:tcW w:w="442" w:type="dxa"/>
          </w:tcPr>
          <w:p>
            <w:pPr>
              <w:pStyle w:val="TableParagraph"/>
              <w:spacing w:before="28"/>
              <w:ind w:left="127"/>
              <w:jc w:val="left"/>
              <w:rPr>
                <w:sz w:val="16"/>
              </w:rPr>
            </w:pPr>
            <w:r>
              <w:rPr>
                <w:color w:val="231F20"/>
                <w:sz w:val="16"/>
              </w:rPr>
              <w:t>2.4</w:t>
            </w:r>
          </w:p>
        </w:tc>
        <w:tc>
          <w:tcPr>
            <w:tcW w:w="442" w:type="dxa"/>
          </w:tcPr>
          <w:p>
            <w:pPr>
              <w:pStyle w:val="TableParagraph"/>
              <w:spacing w:before="28"/>
              <w:ind w:right="122"/>
              <w:jc w:val="right"/>
              <w:rPr>
                <w:sz w:val="16"/>
              </w:rPr>
            </w:pPr>
            <w:r>
              <w:rPr>
                <w:color w:val="231F20"/>
                <w:w w:val="95"/>
                <w:sz w:val="16"/>
              </w:rPr>
              <w:t>2.4</w:t>
            </w:r>
          </w:p>
        </w:tc>
        <w:tc>
          <w:tcPr>
            <w:tcW w:w="442" w:type="dxa"/>
          </w:tcPr>
          <w:p>
            <w:pPr>
              <w:pStyle w:val="TableParagraph"/>
              <w:spacing w:before="28"/>
              <w:ind w:left="127"/>
              <w:jc w:val="left"/>
              <w:rPr>
                <w:sz w:val="16"/>
              </w:rPr>
            </w:pPr>
            <w:r>
              <w:rPr>
                <w:color w:val="231F20"/>
                <w:sz w:val="16"/>
              </w:rPr>
              <w:t>2.5</w:t>
            </w:r>
          </w:p>
        </w:tc>
        <w:tc>
          <w:tcPr>
            <w:tcW w:w="442" w:type="dxa"/>
          </w:tcPr>
          <w:p>
            <w:pPr>
              <w:pStyle w:val="TableParagraph"/>
              <w:spacing w:before="28"/>
              <w:ind w:right="122"/>
              <w:jc w:val="right"/>
              <w:rPr>
                <w:sz w:val="16"/>
              </w:rPr>
            </w:pPr>
            <w:r>
              <w:rPr>
                <w:color w:val="231F20"/>
                <w:w w:val="95"/>
                <w:sz w:val="16"/>
              </w:rPr>
              <w:t>2.3</w:t>
            </w:r>
          </w:p>
        </w:tc>
        <w:tc>
          <w:tcPr>
            <w:tcW w:w="442" w:type="dxa"/>
          </w:tcPr>
          <w:p>
            <w:pPr>
              <w:pStyle w:val="TableParagraph"/>
              <w:spacing w:before="28"/>
              <w:ind w:left="127"/>
              <w:jc w:val="left"/>
              <w:rPr>
                <w:sz w:val="16"/>
              </w:rPr>
            </w:pPr>
            <w:r>
              <w:rPr>
                <w:color w:val="231F20"/>
                <w:sz w:val="16"/>
              </w:rPr>
              <w:t>2.1</w:t>
            </w:r>
          </w:p>
        </w:tc>
        <w:tc>
          <w:tcPr>
            <w:tcW w:w="442" w:type="dxa"/>
          </w:tcPr>
          <w:p>
            <w:pPr>
              <w:pStyle w:val="TableParagraph"/>
              <w:spacing w:before="28"/>
              <w:ind w:left="41" w:right="39"/>
              <w:rPr>
                <w:sz w:val="16"/>
              </w:rPr>
            </w:pPr>
            <w:r>
              <w:rPr>
                <w:color w:val="231F20"/>
                <w:sz w:val="16"/>
              </w:rPr>
              <w:t>2.1</w:t>
            </w:r>
          </w:p>
        </w:tc>
        <w:tc>
          <w:tcPr>
            <w:tcW w:w="442" w:type="dxa"/>
          </w:tcPr>
          <w:p>
            <w:pPr>
              <w:pStyle w:val="TableParagraph"/>
              <w:spacing w:before="28"/>
              <w:ind w:left="41" w:right="39"/>
              <w:rPr>
                <w:sz w:val="16"/>
              </w:rPr>
            </w:pPr>
            <w:r>
              <w:rPr>
                <w:color w:val="231F20"/>
                <w:sz w:val="16"/>
              </w:rPr>
              <w:t>2.1</w:t>
            </w:r>
          </w:p>
        </w:tc>
        <w:tc>
          <w:tcPr>
            <w:tcW w:w="442" w:type="dxa"/>
          </w:tcPr>
          <w:p>
            <w:pPr>
              <w:pStyle w:val="TableParagraph"/>
              <w:spacing w:before="28"/>
              <w:ind w:left="40" w:right="37"/>
              <w:rPr>
                <w:sz w:val="16"/>
              </w:rPr>
            </w:pPr>
            <w:r>
              <w:rPr>
                <w:color w:val="231F20"/>
                <w:sz w:val="16"/>
              </w:rPr>
              <w:t>2.1</w:t>
            </w:r>
          </w:p>
        </w:tc>
      </w:tr>
      <w:tr>
        <w:trPr>
          <w:trHeight w:val="259" w:hRule="exact"/>
        </w:trPr>
        <w:tc>
          <w:tcPr>
            <w:tcW w:w="1463" w:type="dxa"/>
            <w:tcBorders>
              <w:bottom w:val="single" w:sz="4" w:space="0" w:color="231F20"/>
            </w:tcBorders>
          </w:tcPr>
          <w:p>
            <w:pPr>
              <w:pStyle w:val="TableParagraph"/>
              <w:spacing w:before="28"/>
              <w:ind w:right="25"/>
              <w:rPr>
                <w:sz w:val="16"/>
              </w:rPr>
            </w:pPr>
            <w:r>
              <w:rPr>
                <w:color w:val="231F20"/>
                <w:spacing w:val="-7"/>
                <w:sz w:val="16"/>
              </w:rPr>
              <w:t>Estados </w:t>
            </w:r>
            <w:r>
              <w:rPr>
                <w:color w:val="231F20"/>
                <w:spacing w:val="-8"/>
                <w:sz w:val="16"/>
              </w:rPr>
              <w:t>Unidos    </w:t>
            </w:r>
            <w:r>
              <w:rPr>
                <w:color w:val="231F20"/>
                <w:sz w:val="16"/>
              </w:rPr>
              <w:t>32.2</w:t>
            </w:r>
          </w:p>
        </w:tc>
        <w:tc>
          <w:tcPr>
            <w:tcW w:w="442" w:type="dxa"/>
            <w:tcBorders>
              <w:bottom w:val="single" w:sz="4" w:space="0" w:color="231F20"/>
            </w:tcBorders>
          </w:tcPr>
          <w:p>
            <w:pPr>
              <w:pStyle w:val="TableParagraph"/>
              <w:spacing w:before="28"/>
              <w:ind w:left="41" w:right="38"/>
              <w:rPr>
                <w:sz w:val="16"/>
              </w:rPr>
            </w:pPr>
            <w:r>
              <w:rPr>
                <w:color w:val="231F20"/>
                <w:sz w:val="16"/>
              </w:rPr>
              <w:t>33.5</w:t>
            </w:r>
          </w:p>
        </w:tc>
        <w:tc>
          <w:tcPr>
            <w:tcW w:w="442" w:type="dxa"/>
            <w:tcBorders>
              <w:bottom w:val="single" w:sz="4" w:space="0" w:color="231F20"/>
            </w:tcBorders>
          </w:tcPr>
          <w:p>
            <w:pPr>
              <w:pStyle w:val="TableParagraph"/>
              <w:spacing w:before="28"/>
              <w:ind w:left="89"/>
              <w:jc w:val="left"/>
              <w:rPr>
                <w:sz w:val="16"/>
              </w:rPr>
            </w:pPr>
            <w:r>
              <w:rPr>
                <w:color w:val="231F20"/>
                <w:sz w:val="16"/>
              </w:rPr>
              <w:t>30.9</w:t>
            </w:r>
          </w:p>
        </w:tc>
        <w:tc>
          <w:tcPr>
            <w:tcW w:w="442" w:type="dxa"/>
            <w:tcBorders>
              <w:bottom w:val="single" w:sz="4" w:space="0" w:color="231F20"/>
            </w:tcBorders>
          </w:tcPr>
          <w:p>
            <w:pPr>
              <w:pStyle w:val="TableParagraph"/>
              <w:spacing w:before="28"/>
              <w:ind w:left="89"/>
              <w:jc w:val="left"/>
              <w:rPr>
                <w:sz w:val="16"/>
              </w:rPr>
            </w:pPr>
            <w:r>
              <w:rPr>
                <w:color w:val="231F20"/>
                <w:sz w:val="16"/>
              </w:rPr>
              <w:t>29.9</w:t>
            </w:r>
          </w:p>
        </w:tc>
        <w:tc>
          <w:tcPr>
            <w:tcW w:w="442" w:type="dxa"/>
            <w:tcBorders>
              <w:bottom w:val="single" w:sz="4" w:space="0" w:color="231F20"/>
            </w:tcBorders>
          </w:tcPr>
          <w:p>
            <w:pPr>
              <w:pStyle w:val="TableParagraph"/>
              <w:spacing w:before="28"/>
              <w:ind w:left="89"/>
              <w:jc w:val="left"/>
              <w:rPr>
                <w:sz w:val="16"/>
              </w:rPr>
            </w:pPr>
            <w:r>
              <w:rPr>
                <w:color w:val="231F20"/>
                <w:sz w:val="16"/>
              </w:rPr>
              <w:t>28.9</w:t>
            </w:r>
          </w:p>
        </w:tc>
        <w:tc>
          <w:tcPr>
            <w:tcW w:w="442" w:type="dxa"/>
            <w:tcBorders>
              <w:bottom w:val="single" w:sz="4" w:space="0" w:color="231F20"/>
            </w:tcBorders>
          </w:tcPr>
          <w:p>
            <w:pPr>
              <w:pStyle w:val="TableParagraph"/>
              <w:spacing w:before="28"/>
              <w:ind w:right="83"/>
              <w:jc w:val="right"/>
              <w:rPr>
                <w:sz w:val="16"/>
              </w:rPr>
            </w:pPr>
            <w:r>
              <w:rPr>
                <w:color w:val="231F20"/>
                <w:w w:val="95"/>
                <w:sz w:val="16"/>
              </w:rPr>
              <w:t>26.4</w:t>
            </w:r>
          </w:p>
        </w:tc>
        <w:tc>
          <w:tcPr>
            <w:tcW w:w="442" w:type="dxa"/>
            <w:tcBorders>
              <w:bottom w:val="single" w:sz="4" w:space="0" w:color="231F20"/>
            </w:tcBorders>
          </w:tcPr>
          <w:p>
            <w:pPr>
              <w:pStyle w:val="TableParagraph"/>
              <w:spacing w:before="28"/>
              <w:ind w:left="89"/>
              <w:jc w:val="left"/>
              <w:rPr>
                <w:sz w:val="16"/>
              </w:rPr>
            </w:pPr>
            <w:r>
              <w:rPr>
                <w:color w:val="231F20"/>
                <w:sz w:val="16"/>
              </w:rPr>
              <w:t>24.9</w:t>
            </w:r>
          </w:p>
        </w:tc>
        <w:tc>
          <w:tcPr>
            <w:tcW w:w="442" w:type="dxa"/>
            <w:tcBorders>
              <w:bottom w:val="single" w:sz="4" w:space="0" w:color="231F20"/>
            </w:tcBorders>
          </w:tcPr>
          <w:p>
            <w:pPr>
              <w:pStyle w:val="TableParagraph"/>
              <w:spacing w:before="28"/>
              <w:ind w:right="83"/>
              <w:jc w:val="right"/>
              <w:rPr>
                <w:sz w:val="16"/>
              </w:rPr>
            </w:pPr>
            <w:r>
              <w:rPr>
                <w:color w:val="231F20"/>
                <w:w w:val="95"/>
                <w:sz w:val="16"/>
              </w:rPr>
              <w:t>23.0</w:t>
            </w:r>
          </w:p>
        </w:tc>
        <w:tc>
          <w:tcPr>
            <w:tcW w:w="442" w:type="dxa"/>
            <w:tcBorders>
              <w:bottom w:val="single" w:sz="4" w:space="0" w:color="231F20"/>
            </w:tcBorders>
          </w:tcPr>
          <w:p>
            <w:pPr>
              <w:pStyle w:val="TableParagraph"/>
              <w:spacing w:before="28"/>
              <w:ind w:left="89"/>
              <w:jc w:val="left"/>
              <w:rPr>
                <w:sz w:val="16"/>
              </w:rPr>
            </w:pPr>
            <w:r>
              <w:rPr>
                <w:color w:val="231F20"/>
                <w:sz w:val="16"/>
              </w:rPr>
              <w:t>19.8</w:t>
            </w:r>
          </w:p>
        </w:tc>
        <w:tc>
          <w:tcPr>
            <w:tcW w:w="442" w:type="dxa"/>
            <w:tcBorders>
              <w:bottom w:val="single" w:sz="4" w:space="0" w:color="231F20"/>
            </w:tcBorders>
          </w:tcPr>
          <w:p>
            <w:pPr>
              <w:pStyle w:val="TableParagraph"/>
              <w:spacing w:before="28"/>
              <w:ind w:right="83"/>
              <w:jc w:val="right"/>
              <w:rPr>
                <w:sz w:val="16"/>
              </w:rPr>
            </w:pPr>
            <w:r>
              <w:rPr>
                <w:color w:val="231F20"/>
                <w:w w:val="95"/>
                <w:sz w:val="16"/>
              </w:rPr>
              <w:t>16.2</w:t>
            </w:r>
          </w:p>
        </w:tc>
        <w:tc>
          <w:tcPr>
            <w:tcW w:w="442" w:type="dxa"/>
            <w:tcBorders>
              <w:bottom w:val="single" w:sz="4" w:space="0" w:color="231F20"/>
            </w:tcBorders>
          </w:tcPr>
          <w:p>
            <w:pPr>
              <w:pStyle w:val="TableParagraph"/>
              <w:spacing w:before="28"/>
              <w:ind w:left="89"/>
              <w:jc w:val="left"/>
              <w:rPr>
                <w:sz w:val="16"/>
              </w:rPr>
            </w:pPr>
            <w:r>
              <w:rPr>
                <w:color w:val="231F20"/>
                <w:sz w:val="16"/>
              </w:rPr>
              <w:t>15.7</w:t>
            </w:r>
          </w:p>
        </w:tc>
        <w:tc>
          <w:tcPr>
            <w:tcW w:w="442" w:type="dxa"/>
            <w:tcBorders>
              <w:bottom w:val="single" w:sz="4" w:space="0" w:color="231F20"/>
            </w:tcBorders>
          </w:tcPr>
          <w:p>
            <w:pPr>
              <w:pStyle w:val="TableParagraph"/>
              <w:spacing w:before="28"/>
              <w:ind w:left="41" w:right="38"/>
              <w:rPr>
                <w:sz w:val="16"/>
              </w:rPr>
            </w:pPr>
            <w:r>
              <w:rPr>
                <w:color w:val="231F20"/>
                <w:sz w:val="16"/>
              </w:rPr>
              <w:t>16.7</w:t>
            </w:r>
          </w:p>
        </w:tc>
        <w:tc>
          <w:tcPr>
            <w:tcW w:w="442" w:type="dxa"/>
            <w:tcBorders>
              <w:bottom w:val="single" w:sz="4" w:space="0" w:color="231F20"/>
            </w:tcBorders>
          </w:tcPr>
          <w:p>
            <w:pPr>
              <w:pStyle w:val="TableParagraph"/>
              <w:spacing w:before="28"/>
              <w:ind w:left="41" w:right="38"/>
              <w:rPr>
                <w:sz w:val="16"/>
              </w:rPr>
            </w:pPr>
            <w:r>
              <w:rPr>
                <w:color w:val="231F20"/>
                <w:sz w:val="16"/>
              </w:rPr>
              <w:t>18.0</w:t>
            </w:r>
          </w:p>
        </w:tc>
        <w:tc>
          <w:tcPr>
            <w:tcW w:w="442" w:type="dxa"/>
            <w:tcBorders>
              <w:bottom w:val="single" w:sz="4" w:space="0" w:color="231F20"/>
            </w:tcBorders>
          </w:tcPr>
          <w:p>
            <w:pPr>
              <w:pStyle w:val="TableParagraph"/>
              <w:spacing w:before="28"/>
              <w:ind w:left="40" w:right="36"/>
              <w:rPr>
                <w:sz w:val="16"/>
              </w:rPr>
            </w:pPr>
            <w:r>
              <w:rPr>
                <w:color w:val="231F20"/>
                <w:sz w:val="16"/>
              </w:rPr>
              <w:t>18.6</w:t>
            </w:r>
          </w:p>
        </w:tc>
      </w:tr>
    </w:tbl>
    <w:p>
      <w:pPr>
        <w:spacing w:after="0"/>
        <w:rPr>
          <w:sz w:val="16"/>
        </w:rPr>
        <w:sectPr>
          <w:footerReference w:type="even" r:id="rId51"/>
          <w:footerReference w:type="default" r:id="rId52"/>
          <w:pgSz w:w="9640" w:h="13040"/>
          <w:pgMar w:footer="654" w:header="581" w:top="780" w:bottom="840" w:left="480" w:right="1180"/>
        </w:sectPr>
      </w:pPr>
    </w:p>
    <w:p>
      <w:pPr>
        <w:pStyle w:val="BodyText"/>
        <w:spacing w:before="13"/>
        <w:rPr>
          <w:rFonts w:ascii="Palatino Linotype"/>
          <w:b/>
          <w:sz w:val="27"/>
        </w:rPr>
      </w:pPr>
    </w:p>
    <w:p>
      <w:pPr>
        <w:spacing w:before="34"/>
        <w:ind w:left="2534" w:right="673" w:firstLine="0"/>
        <w:jc w:val="left"/>
        <w:rPr>
          <w:rFonts w:ascii="Palatino Linotype" w:hAnsi="Palatino Linotype"/>
          <w:b/>
          <w:sz w:val="21"/>
        </w:rPr>
      </w:pPr>
      <w:r>
        <w:rPr>
          <w:rFonts w:ascii="Palatino Linotype" w:hAnsi="Palatino Linotype"/>
          <w:b/>
          <w:color w:val="231F20"/>
          <w:w w:val="95"/>
          <w:sz w:val="21"/>
        </w:rPr>
        <w:t>Cuadro II.5 (continuación)</w:t>
      </w:r>
    </w:p>
    <w:p>
      <w:pPr>
        <w:pStyle w:val="BodyText"/>
        <w:spacing w:before="5"/>
        <w:rPr>
          <w:rFonts w:ascii="Palatino Linotype"/>
          <w:b/>
          <w:sz w:val="9"/>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65"/>
        <w:gridCol w:w="442"/>
        <w:gridCol w:w="442"/>
        <w:gridCol w:w="442"/>
        <w:gridCol w:w="441"/>
        <w:gridCol w:w="442"/>
        <w:gridCol w:w="442"/>
        <w:gridCol w:w="442"/>
        <w:gridCol w:w="442"/>
        <w:gridCol w:w="442"/>
        <w:gridCol w:w="442"/>
        <w:gridCol w:w="442"/>
        <w:gridCol w:w="442"/>
        <w:gridCol w:w="440"/>
      </w:tblGrid>
      <w:tr>
        <w:trPr>
          <w:trHeight w:val="280" w:hRule="exact"/>
        </w:trPr>
        <w:tc>
          <w:tcPr>
            <w:tcW w:w="1465" w:type="dxa"/>
            <w:tcBorders>
              <w:top w:val="single" w:sz="4" w:space="0" w:color="231F20"/>
              <w:bottom w:val="single" w:sz="4" w:space="0" w:color="231F20"/>
            </w:tcBorders>
          </w:tcPr>
          <w:p>
            <w:pPr>
              <w:pStyle w:val="TableParagraph"/>
              <w:tabs>
                <w:tab w:pos="1141" w:val="left" w:leader="none"/>
              </w:tabs>
              <w:spacing w:before="25"/>
              <w:ind w:left="56"/>
              <w:jc w:val="left"/>
              <w:rPr>
                <w:rFonts w:ascii="Palatino Linotype" w:hAnsi="Palatino Linotype"/>
                <w:b/>
                <w:sz w:val="16"/>
              </w:rPr>
            </w:pPr>
            <w:r>
              <w:rPr>
                <w:rFonts w:ascii="Palatino Linotype" w:hAnsi="Palatino Linotype"/>
                <w:b/>
                <w:color w:val="231F20"/>
                <w:w w:val="95"/>
                <w:sz w:val="16"/>
              </w:rPr>
              <w:t>Sudamérica</w:t>
              <w:tab/>
            </w:r>
            <w:r>
              <w:rPr>
                <w:rFonts w:ascii="Palatino Linotype" w:hAnsi="Palatino Linotype"/>
                <w:b/>
                <w:color w:val="231F20"/>
                <w:sz w:val="16"/>
              </w:rPr>
              <w:t>3.5</w:t>
            </w:r>
          </w:p>
        </w:tc>
        <w:tc>
          <w:tcPr>
            <w:tcW w:w="442" w:type="dxa"/>
            <w:tcBorders>
              <w:top w:val="single" w:sz="4" w:space="0" w:color="231F20"/>
              <w:bottom w:val="single" w:sz="4" w:space="0" w:color="231F20"/>
            </w:tcBorders>
          </w:tcPr>
          <w:p>
            <w:pPr>
              <w:pStyle w:val="TableParagraph"/>
              <w:spacing w:before="25"/>
              <w:ind w:left="59" w:right="61"/>
              <w:rPr>
                <w:rFonts w:ascii="Palatino Linotype"/>
                <w:b/>
                <w:sz w:val="16"/>
              </w:rPr>
            </w:pPr>
            <w:r>
              <w:rPr>
                <w:rFonts w:ascii="Palatino Linotype"/>
                <w:b/>
                <w:color w:val="231F20"/>
                <w:sz w:val="16"/>
              </w:rPr>
              <w:t>3.8</w:t>
            </w:r>
          </w:p>
        </w:tc>
        <w:tc>
          <w:tcPr>
            <w:tcW w:w="442" w:type="dxa"/>
            <w:tcBorders>
              <w:top w:val="single" w:sz="4" w:space="0" w:color="231F20"/>
              <w:bottom w:val="single" w:sz="4" w:space="0" w:color="231F20"/>
            </w:tcBorders>
          </w:tcPr>
          <w:p>
            <w:pPr>
              <w:pStyle w:val="TableParagraph"/>
              <w:spacing w:before="25"/>
              <w:ind w:left="118"/>
              <w:jc w:val="left"/>
              <w:rPr>
                <w:rFonts w:ascii="Palatino Linotype"/>
                <w:b/>
                <w:sz w:val="16"/>
              </w:rPr>
            </w:pPr>
            <w:r>
              <w:rPr>
                <w:rFonts w:ascii="Palatino Linotype"/>
                <w:b/>
                <w:color w:val="231F20"/>
                <w:sz w:val="16"/>
              </w:rPr>
              <w:t>2.9</w:t>
            </w:r>
          </w:p>
        </w:tc>
        <w:tc>
          <w:tcPr>
            <w:tcW w:w="442" w:type="dxa"/>
            <w:tcBorders>
              <w:top w:val="single" w:sz="4" w:space="0" w:color="231F20"/>
              <w:bottom w:val="single" w:sz="4" w:space="0" w:color="231F20"/>
            </w:tcBorders>
          </w:tcPr>
          <w:p>
            <w:pPr>
              <w:pStyle w:val="TableParagraph"/>
              <w:spacing w:before="25"/>
              <w:ind w:left="59" w:right="61"/>
              <w:rPr>
                <w:rFonts w:ascii="Palatino Linotype"/>
                <w:b/>
                <w:sz w:val="16"/>
              </w:rPr>
            </w:pPr>
            <w:r>
              <w:rPr>
                <w:rFonts w:ascii="Palatino Linotype"/>
                <w:b/>
                <w:color w:val="231F20"/>
                <w:sz w:val="16"/>
              </w:rPr>
              <w:t>2.8</w:t>
            </w:r>
          </w:p>
        </w:tc>
        <w:tc>
          <w:tcPr>
            <w:tcW w:w="441" w:type="dxa"/>
            <w:tcBorders>
              <w:top w:val="single" w:sz="4" w:space="0" w:color="231F20"/>
              <w:bottom w:val="single" w:sz="4" w:space="0" w:color="231F20"/>
            </w:tcBorders>
          </w:tcPr>
          <w:p>
            <w:pPr>
              <w:pStyle w:val="TableParagraph"/>
              <w:spacing w:before="25"/>
              <w:ind w:left="118"/>
              <w:jc w:val="left"/>
              <w:rPr>
                <w:rFonts w:ascii="Palatino Linotype"/>
                <w:b/>
                <w:sz w:val="16"/>
              </w:rPr>
            </w:pPr>
            <w:r>
              <w:rPr>
                <w:rFonts w:ascii="Palatino Linotype"/>
                <w:b/>
                <w:color w:val="231F20"/>
                <w:sz w:val="16"/>
              </w:rPr>
              <w:t>3.4</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3.7</w:t>
            </w:r>
          </w:p>
        </w:tc>
        <w:tc>
          <w:tcPr>
            <w:tcW w:w="442" w:type="dxa"/>
            <w:tcBorders>
              <w:top w:val="single" w:sz="4" w:space="0" w:color="231F20"/>
              <w:bottom w:val="single" w:sz="4" w:space="0" w:color="231F20"/>
            </w:tcBorders>
          </w:tcPr>
          <w:p>
            <w:pPr>
              <w:pStyle w:val="TableParagraph"/>
              <w:spacing w:before="25"/>
              <w:ind w:left="119"/>
              <w:jc w:val="left"/>
              <w:rPr>
                <w:rFonts w:ascii="Palatino Linotype"/>
                <w:b/>
                <w:sz w:val="16"/>
              </w:rPr>
            </w:pPr>
            <w:r>
              <w:rPr>
                <w:rFonts w:ascii="Palatino Linotype"/>
                <w:b/>
                <w:color w:val="231F20"/>
                <w:sz w:val="16"/>
              </w:rPr>
              <w:t>4.1</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5.0</w:t>
            </w:r>
          </w:p>
        </w:tc>
        <w:tc>
          <w:tcPr>
            <w:tcW w:w="442" w:type="dxa"/>
            <w:tcBorders>
              <w:top w:val="single" w:sz="4" w:space="0" w:color="231F20"/>
              <w:bottom w:val="single" w:sz="4" w:space="0" w:color="231F20"/>
            </w:tcBorders>
          </w:tcPr>
          <w:p>
            <w:pPr>
              <w:pStyle w:val="TableParagraph"/>
              <w:spacing w:before="25"/>
              <w:ind w:left="119"/>
              <w:jc w:val="left"/>
              <w:rPr>
                <w:rFonts w:ascii="Palatino Linotype"/>
                <w:b/>
                <w:sz w:val="16"/>
              </w:rPr>
            </w:pPr>
            <w:r>
              <w:rPr>
                <w:rFonts w:ascii="Palatino Linotype"/>
                <w:b/>
                <w:color w:val="231F20"/>
                <w:sz w:val="16"/>
              </w:rPr>
              <w:t>5.7</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6.0</w:t>
            </w:r>
          </w:p>
        </w:tc>
        <w:tc>
          <w:tcPr>
            <w:tcW w:w="442" w:type="dxa"/>
            <w:tcBorders>
              <w:top w:val="single" w:sz="4" w:space="0" w:color="231F20"/>
              <w:bottom w:val="single" w:sz="4" w:space="0" w:color="231F20"/>
            </w:tcBorders>
          </w:tcPr>
          <w:p>
            <w:pPr>
              <w:pStyle w:val="TableParagraph"/>
              <w:spacing w:before="25"/>
              <w:ind w:left="119"/>
              <w:jc w:val="left"/>
              <w:rPr>
                <w:rFonts w:ascii="Palatino Linotype"/>
                <w:b/>
                <w:sz w:val="16"/>
              </w:rPr>
            </w:pPr>
            <w:r>
              <w:rPr>
                <w:rFonts w:ascii="Palatino Linotype"/>
                <w:b/>
                <w:color w:val="231F20"/>
                <w:sz w:val="16"/>
              </w:rPr>
              <w:t>6.1</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6.3</w:t>
            </w:r>
          </w:p>
        </w:tc>
        <w:tc>
          <w:tcPr>
            <w:tcW w:w="442" w:type="dxa"/>
            <w:tcBorders>
              <w:top w:val="single" w:sz="4" w:space="0" w:color="231F20"/>
              <w:bottom w:val="single" w:sz="4" w:space="0" w:color="231F20"/>
            </w:tcBorders>
          </w:tcPr>
          <w:p>
            <w:pPr>
              <w:pStyle w:val="TableParagraph"/>
              <w:spacing w:before="25"/>
              <w:ind w:right="120"/>
              <w:jc w:val="right"/>
              <w:rPr>
                <w:rFonts w:ascii="Palatino Linotype"/>
                <w:b/>
                <w:sz w:val="16"/>
              </w:rPr>
            </w:pPr>
            <w:r>
              <w:rPr>
                <w:rFonts w:ascii="Palatino Linotype"/>
                <w:b/>
                <w:color w:val="231F20"/>
                <w:sz w:val="16"/>
              </w:rPr>
              <w:t>6.2</w:t>
            </w:r>
          </w:p>
        </w:tc>
        <w:tc>
          <w:tcPr>
            <w:tcW w:w="440" w:type="dxa"/>
            <w:tcBorders>
              <w:top w:val="single" w:sz="4" w:space="0" w:color="231F20"/>
              <w:bottom w:val="single" w:sz="4" w:space="0" w:color="231F20"/>
            </w:tcBorders>
          </w:tcPr>
          <w:p>
            <w:pPr>
              <w:pStyle w:val="TableParagraph"/>
              <w:spacing w:before="25"/>
              <w:ind w:left="56" w:right="56"/>
              <w:rPr>
                <w:rFonts w:ascii="Palatino Linotype"/>
                <w:b/>
                <w:sz w:val="16"/>
              </w:rPr>
            </w:pPr>
            <w:r>
              <w:rPr>
                <w:rFonts w:ascii="Palatino Linotype"/>
                <w:b/>
                <w:color w:val="231F20"/>
                <w:sz w:val="16"/>
              </w:rPr>
              <w:t>6.1</w:t>
            </w:r>
          </w:p>
        </w:tc>
      </w:tr>
      <w:tr>
        <w:trPr>
          <w:trHeight w:val="301" w:hRule="exact"/>
        </w:trPr>
        <w:tc>
          <w:tcPr>
            <w:tcW w:w="1465" w:type="dxa"/>
            <w:tcBorders>
              <w:top w:val="single" w:sz="4" w:space="0" w:color="231F20"/>
            </w:tcBorders>
          </w:tcPr>
          <w:p>
            <w:pPr>
              <w:pStyle w:val="TableParagraph"/>
              <w:tabs>
                <w:tab w:pos="1337" w:val="right" w:leader="none"/>
              </w:tabs>
              <w:spacing w:before="43"/>
              <w:ind w:left="57"/>
              <w:jc w:val="left"/>
              <w:rPr>
                <w:sz w:val="16"/>
              </w:rPr>
            </w:pPr>
            <w:r>
              <w:rPr>
                <w:color w:val="231F20"/>
                <w:sz w:val="16"/>
              </w:rPr>
              <w:t>Brasil</w:t>
              <w:tab/>
              <w:t>2.6</w:t>
            </w:r>
          </w:p>
        </w:tc>
        <w:tc>
          <w:tcPr>
            <w:tcW w:w="442" w:type="dxa"/>
            <w:tcBorders>
              <w:top w:val="single" w:sz="4" w:space="0" w:color="231F20"/>
            </w:tcBorders>
          </w:tcPr>
          <w:p>
            <w:pPr>
              <w:pStyle w:val="TableParagraph"/>
              <w:spacing w:before="43"/>
              <w:ind w:left="60" w:right="61"/>
              <w:rPr>
                <w:sz w:val="16"/>
              </w:rPr>
            </w:pPr>
            <w:r>
              <w:rPr>
                <w:color w:val="231F20"/>
                <w:sz w:val="16"/>
              </w:rPr>
              <w:t>3.0</w:t>
            </w:r>
          </w:p>
        </w:tc>
        <w:tc>
          <w:tcPr>
            <w:tcW w:w="442" w:type="dxa"/>
            <w:tcBorders>
              <w:top w:val="single" w:sz="4" w:space="0" w:color="231F20"/>
            </w:tcBorders>
          </w:tcPr>
          <w:p>
            <w:pPr>
              <w:pStyle w:val="TableParagraph"/>
              <w:spacing w:before="43"/>
              <w:ind w:left="124"/>
              <w:jc w:val="left"/>
              <w:rPr>
                <w:sz w:val="16"/>
              </w:rPr>
            </w:pPr>
            <w:r>
              <w:rPr>
                <w:color w:val="231F20"/>
                <w:sz w:val="16"/>
              </w:rPr>
              <w:t>2.5</w:t>
            </w:r>
          </w:p>
        </w:tc>
        <w:tc>
          <w:tcPr>
            <w:tcW w:w="442" w:type="dxa"/>
            <w:tcBorders>
              <w:top w:val="single" w:sz="4" w:space="0" w:color="231F20"/>
            </w:tcBorders>
          </w:tcPr>
          <w:p>
            <w:pPr>
              <w:pStyle w:val="TableParagraph"/>
              <w:spacing w:before="43"/>
              <w:ind w:left="60" w:right="61"/>
              <w:rPr>
                <w:sz w:val="16"/>
              </w:rPr>
            </w:pPr>
            <w:r>
              <w:rPr>
                <w:color w:val="231F20"/>
                <w:sz w:val="16"/>
              </w:rPr>
              <w:t>2.3</w:t>
            </w:r>
          </w:p>
        </w:tc>
        <w:tc>
          <w:tcPr>
            <w:tcW w:w="441" w:type="dxa"/>
            <w:tcBorders>
              <w:top w:val="single" w:sz="4" w:space="0" w:color="231F20"/>
            </w:tcBorders>
          </w:tcPr>
          <w:p>
            <w:pPr>
              <w:pStyle w:val="TableParagraph"/>
              <w:spacing w:before="43"/>
              <w:ind w:left="124"/>
              <w:jc w:val="left"/>
              <w:rPr>
                <w:sz w:val="16"/>
              </w:rPr>
            </w:pPr>
            <w:r>
              <w:rPr>
                <w:color w:val="231F20"/>
                <w:sz w:val="16"/>
              </w:rPr>
              <w:t>2.6</w:t>
            </w:r>
          </w:p>
        </w:tc>
        <w:tc>
          <w:tcPr>
            <w:tcW w:w="442" w:type="dxa"/>
            <w:tcBorders>
              <w:top w:val="single" w:sz="4" w:space="0" w:color="231F20"/>
            </w:tcBorders>
          </w:tcPr>
          <w:p>
            <w:pPr>
              <w:pStyle w:val="TableParagraph"/>
              <w:spacing w:before="43"/>
              <w:ind w:left="40" w:right="41"/>
              <w:rPr>
                <w:sz w:val="16"/>
              </w:rPr>
            </w:pPr>
            <w:r>
              <w:rPr>
                <w:color w:val="231F20"/>
                <w:sz w:val="16"/>
              </w:rPr>
              <w:t>2.6</w:t>
            </w:r>
          </w:p>
        </w:tc>
        <w:tc>
          <w:tcPr>
            <w:tcW w:w="442" w:type="dxa"/>
            <w:tcBorders>
              <w:top w:val="single" w:sz="4" w:space="0" w:color="231F20"/>
            </w:tcBorders>
          </w:tcPr>
          <w:p>
            <w:pPr>
              <w:pStyle w:val="TableParagraph"/>
              <w:spacing w:before="43"/>
              <w:ind w:left="125"/>
              <w:jc w:val="left"/>
              <w:rPr>
                <w:sz w:val="16"/>
              </w:rPr>
            </w:pPr>
            <w:r>
              <w:rPr>
                <w:color w:val="231F20"/>
                <w:sz w:val="16"/>
              </w:rPr>
              <w:t>2.8</w:t>
            </w:r>
          </w:p>
        </w:tc>
        <w:tc>
          <w:tcPr>
            <w:tcW w:w="442" w:type="dxa"/>
            <w:tcBorders>
              <w:top w:val="single" w:sz="4" w:space="0" w:color="231F20"/>
            </w:tcBorders>
          </w:tcPr>
          <w:p>
            <w:pPr>
              <w:pStyle w:val="TableParagraph"/>
              <w:spacing w:before="43"/>
              <w:ind w:left="40" w:right="41"/>
              <w:rPr>
                <w:sz w:val="16"/>
              </w:rPr>
            </w:pPr>
            <w:r>
              <w:rPr>
                <w:color w:val="231F20"/>
                <w:sz w:val="16"/>
              </w:rPr>
              <w:t>3.4</w:t>
            </w:r>
          </w:p>
        </w:tc>
        <w:tc>
          <w:tcPr>
            <w:tcW w:w="442" w:type="dxa"/>
            <w:tcBorders>
              <w:top w:val="single" w:sz="4" w:space="0" w:color="231F20"/>
            </w:tcBorders>
          </w:tcPr>
          <w:p>
            <w:pPr>
              <w:pStyle w:val="TableParagraph"/>
              <w:spacing w:before="43"/>
              <w:ind w:left="125"/>
              <w:jc w:val="left"/>
              <w:rPr>
                <w:sz w:val="16"/>
              </w:rPr>
            </w:pPr>
            <w:r>
              <w:rPr>
                <w:color w:val="231F20"/>
                <w:sz w:val="16"/>
              </w:rPr>
              <w:t>4.1</w:t>
            </w:r>
          </w:p>
        </w:tc>
        <w:tc>
          <w:tcPr>
            <w:tcW w:w="442" w:type="dxa"/>
            <w:tcBorders>
              <w:top w:val="single" w:sz="4" w:space="0" w:color="231F20"/>
            </w:tcBorders>
          </w:tcPr>
          <w:p>
            <w:pPr>
              <w:pStyle w:val="TableParagraph"/>
              <w:spacing w:before="43"/>
              <w:ind w:left="40" w:right="41"/>
              <w:rPr>
                <w:sz w:val="16"/>
              </w:rPr>
            </w:pPr>
            <w:r>
              <w:rPr>
                <w:color w:val="231F20"/>
                <w:sz w:val="16"/>
              </w:rPr>
              <w:t>4.8</w:t>
            </w:r>
          </w:p>
        </w:tc>
        <w:tc>
          <w:tcPr>
            <w:tcW w:w="442" w:type="dxa"/>
            <w:tcBorders>
              <w:top w:val="single" w:sz="4" w:space="0" w:color="231F20"/>
            </w:tcBorders>
          </w:tcPr>
          <w:p>
            <w:pPr>
              <w:pStyle w:val="TableParagraph"/>
              <w:spacing w:before="43"/>
              <w:ind w:left="125"/>
              <w:jc w:val="left"/>
              <w:rPr>
                <w:sz w:val="16"/>
              </w:rPr>
            </w:pPr>
            <w:r>
              <w:rPr>
                <w:color w:val="231F20"/>
                <w:sz w:val="16"/>
              </w:rPr>
              <w:t>4.7</w:t>
            </w:r>
          </w:p>
        </w:tc>
        <w:tc>
          <w:tcPr>
            <w:tcW w:w="442" w:type="dxa"/>
            <w:tcBorders>
              <w:top w:val="single" w:sz="4" w:space="0" w:color="231F20"/>
            </w:tcBorders>
          </w:tcPr>
          <w:p>
            <w:pPr>
              <w:pStyle w:val="TableParagraph"/>
              <w:spacing w:before="43"/>
              <w:ind w:left="40" w:right="41"/>
              <w:rPr>
                <w:sz w:val="16"/>
              </w:rPr>
            </w:pPr>
            <w:r>
              <w:rPr>
                <w:color w:val="231F20"/>
                <w:sz w:val="16"/>
              </w:rPr>
              <w:t>4.7</w:t>
            </w:r>
          </w:p>
        </w:tc>
        <w:tc>
          <w:tcPr>
            <w:tcW w:w="442" w:type="dxa"/>
            <w:tcBorders>
              <w:top w:val="single" w:sz="4" w:space="0" w:color="231F20"/>
            </w:tcBorders>
          </w:tcPr>
          <w:p>
            <w:pPr>
              <w:pStyle w:val="TableParagraph"/>
              <w:spacing w:before="43"/>
              <w:ind w:right="126"/>
              <w:jc w:val="right"/>
              <w:rPr>
                <w:sz w:val="16"/>
              </w:rPr>
            </w:pPr>
            <w:r>
              <w:rPr>
                <w:color w:val="231F20"/>
                <w:w w:val="95"/>
                <w:sz w:val="16"/>
              </w:rPr>
              <w:t>4.6</w:t>
            </w:r>
          </w:p>
        </w:tc>
        <w:tc>
          <w:tcPr>
            <w:tcW w:w="440" w:type="dxa"/>
            <w:tcBorders>
              <w:top w:val="single" w:sz="4" w:space="0" w:color="231F20"/>
            </w:tcBorders>
          </w:tcPr>
          <w:p>
            <w:pPr>
              <w:pStyle w:val="TableParagraph"/>
              <w:spacing w:before="43"/>
              <w:ind w:left="56" w:right="56"/>
              <w:rPr>
                <w:sz w:val="16"/>
              </w:rPr>
            </w:pPr>
            <w:r>
              <w:rPr>
                <w:color w:val="231F20"/>
                <w:sz w:val="16"/>
              </w:rPr>
              <w:t>4.4</w:t>
            </w:r>
          </w:p>
        </w:tc>
      </w:tr>
      <w:tr>
        <w:trPr>
          <w:trHeight w:val="280" w:hRule="exact"/>
        </w:trPr>
        <w:tc>
          <w:tcPr>
            <w:tcW w:w="1465" w:type="dxa"/>
          </w:tcPr>
          <w:p>
            <w:pPr>
              <w:pStyle w:val="TableParagraph"/>
              <w:tabs>
                <w:tab w:pos="1337" w:val="right" w:leader="none"/>
              </w:tabs>
              <w:spacing w:before="28"/>
              <w:ind w:left="57"/>
              <w:jc w:val="left"/>
              <w:rPr>
                <w:sz w:val="16"/>
              </w:rPr>
            </w:pPr>
            <w:r>
              <w:rPr>
                <w:color w:val="231F20"/>
                <w:sz w:val="16"/>
              </w:rPr>
              <w:t>Argentina</w:t>
              <w:tab/>
              <w:t>0.6</w:t>
            </w:r>
          </w:p>
        </w:tc>
        <w:tc>
          <w:tcPr>
            <w:tcW w:w="442" w:type="dxa"/>
          </w:tcPr>
          <w:p>
            <w:pPr>
              <w:pStyle w:val="TableParagraph"/>
              <w:spacing w:before="28"/>
              <w:ind w:left="61" w:right="61"/>
              <w:rPr>
                <w:sz w:val="16"/>
              </w:rPr>
            </w:pPr>
            <w:r>
              <w:rPr>
                <w:color w:val="231F20"/>
                <w:sz w:val="16"/>
              </w:rPr>
              <w:t>0.3</w:t>
            </w:r>
          </w:p>
        </w:tc>
        <w:tc>
          <w:tcPr>
            <w:tcW w:w="442" w:type="dxa"/>
          </w:tcPr>
          <w:p>
            <w:pPr>
              <w:pStyle w:val="TableParagraph"/>
              <w:spacing w:before="28"/>
              <w:ind w:left="124"/>
              <w:jc w:val="left"/>
              <w:rPr>
                <w:sz w:val="16"/>
              </w:rPr>
            </w:pPr>
            <w:r>
              <w:rPr>
                <w:color w:val="231F20"/>
                <w:sz w:val="16"/>
              </w:rPr>
              <w:t>0.2</w:t>
            </w:r>
          </w:p>
        </w:tc>
        <w:tc>
          <w:tcPr>
            <w:tcW w:w="442" w:type="dxa"/>
          </w:tcPr>
          <w:p>
            <w:pPr>
              <w:pStyle w:val="TableParagraph"/>
              <w:spacing w:before="28"/>
              <w:ind w:left="61" w:right="61"/>
              <w:rPr>
                <w:sz w:val="16"/>
              </w:rPr>
            </w:pPr>
            <w:r>
              <w:rPr>
                <w:color w:val="231F20"/>
                <w:sz w:val="16"/>
              </w:rPr>
              <w:t>0.3</w:t>
            </w:r>
          </w:p>
        </w:tc>
        <w:tc>
          <w:tcPr>
            <w:tcW w:w="441" w:type="dxa"/>
          </w:tcPr>
          <w:p>
            <w:pPr>
              <w:pStyle w:val="TableParagraph"/>
              <w:spacing w:before="28"/>
              <w:ind w:left="124"/>
              <w:jc w:val="left"/>
              <w:rPr>
                <w:sz w:val="16"/>
              </w:rPr>
            </w:pPr>
            <w:r>
              <w:rPr>
                <w:color w:val="231F20"/>
                <w:sz w:val="16"/>
              </w:rPr>
              <w:t>0.5</w:t>
            </w:r>
          </w:p>
        </w:tc>
        <w:tc>
          <w:tcPr>
            <w:tcW w:w="442" w:type="dxa"/>
          </w:tcPr>
          <w:p>
            <w:pPr>
              <w:pStyle w:val="TableParagraph"/>
              <w:spacing w:before="28"/>
              <w:ind w:left="41" w:right="41"/>
              <w:rPr>
                <w:sz w:val="16"/>
              </w:rPr>
            </w:pPr>
            <w:r>
              <w:rPr>
                <w:color w:val="231F20"/>
                <w:sz w:val="16"/>
              </w:rPr>
              <w:t>0.6</w:t>
            </w:r>
          </w:p>
        </w:tc>
        <w:tc>
          <w:tcPr>
            <w:tcW w:w="442" w:type="dxa"/>
          </w:tcPr>
          <w:p>
            <w:pPr>
              <w:pStyle w:val="TableParagraph"/>
              <w:spacing w:before="28"/>
              <w:ind w:left="125"/>
              <w:jc w:val="left"/>
              <w:rPr>
                <w:sz w:val="16"/>
              </w:rPr>
            </w:pPr>
            <w:r>
              <w:rPr>
                <w:color w:val="231F20"/>
                <w:sz w:val="16"/>
              </w:rPr>
              <w:t>0.6</w:t>
            </w:r>
          </w:p>
        </w:tc>
        <w:tc>
          <w:tcPr>
            <w:tcW w:w="442" w:type="dxa"/>
          </w:tcPr>
          <w:p>
            <w:pPr>
              <w:pStyle w:val="TableParagraph"/>
              <w:spacing w:before="28"/>
              <w:ind w:left="41" w:right="41"/>
              <w:rPr>
                <w:sz w:val="16"/>
              </w:rPr>
            </w:pPr>
            <w:r>
              <w:rPr>
                <w:color w:val="231F20"/>
                <w:sz w:val="16"/>
              </w:rPr>
              <w:t>0.8</w:t>
            </w:r>
          </w:p>
        </w:tc>
        <w:tc>
          <w:tcPr>
            <w:tcW w:w="442" w:type="dxa"/>
          </w:tcPr>
          <w:p>
            <w:pPr>
              <w:pStyle w:val="TableParagraph"/>
              <w:spacing w:before="28"/>
              <w:ind w:left="125"/>
              <w:jc w:val="left"/>
              <w:rPr>
                <w:sz w:val="16"/>
              </w:rPr>
            </w:pPr>
            <w:r>
              <w:rPr>
                <w:color w:val="231F20"/>
                <w:sz w:val="16"/>
              </w:rPr>
              <w:t>0.9</w:t>
            </w:r>
          </w:p>
        </w:tc>
        <w:tc>
          <w:tcPr>
            <w:tcW w:w="442" w:type="dxa"/>
          </w:tcPr>
          <w:p>
            <w:pPr>
              <w:pStyle w:val="TableParagraph"/>
              <w:spacing w:before="28"/>
              <w:ind w:left="41" w:right="41"/>
              <w:rPr>
                <w:sz w:val="16"/>
              </w:rPr>
            </w:pPr>
            <w:r>
              <w:rPr>
                <w:color w:val="231F20"/>
                <w:sz w:val="16"/>
              </w:rPr>
              <w:t>0.8</w:t>
            </w:r>
          </w:p>
        </w:tc>
        <w:tc>
          <w:tcPr>
            <w:tcW w:w="442" w:type="dxa"/>
          </w:tcPr>
          <w:p>
            <w:pPr>
              <w:pStyle w:val="TableParagraph"/>
              <w:spacing w:before="28"/>
              <w:ind w:left="125"/>
              <w:jc w:val="left"/>
              <w:rPr>
                <w:sz w:val="16"/>
              </w:rPr>
            </w:pPr>
            <w:r>
              <w:rPr>
                <w:color w:val="231F20"/>
                <w:sz w:val="16"/>
              </w:rPr>
              <w:t>0.9</w:t>
            </w:r>
          </w:p>
        </w:tc>
        <w:tc>
          <w:tcPr>
            <w:tcW w:w="442" w:type="dxa"/>
          </w:tcPr>
          <w:p>
            <w:pPr>
              <w:pStyle w:val="TableParagraph"/>
              <w:spacing w:before="28"/>
              <w:ind w:left="41" w:right="41"/>
              <w:rPr>
                <w:sz w:val="16"/>
              </w:rPr>
            </w:pPr>
            <w:r>
              <w:rPr>
                <w:color w:val="231F20"/>
                <w:sz w:val="16"/>
              </w:rPr>
              <w:t>1.1</w:t>
            </w:r>
          </w:p>
        </w:tc>
        <w:tc>
          <w:tcPr>
            <w:tcW w:w="442" w:type="dxa"/>
          </w:tcPr>
          <w:p>
            <w:pPr>
              <w:pStyle w:val="TableParagraph"/>
              <w:spacing w:before="28"/>
              <w:ind w:right="124"/>
              <w:jc w:val="right"/>
              <w:rPr>
                <w:sz w:val="16"/>
              </w:rPr>
            </w:pPr>
            <w:r>
              <w:rPr>
                <w:color w:val="231F20"/>
                <w:w w:val="95"/>
                <w:sz w:val="16"/>
              </w:rPr>
              <w:t>1.0</w:t>
            </w:r>
          </w:p>
        </w:tc>
        <w:tc>
          <w:tcPr>
            <w:tcW w:w="440" w:type="dxa"/>
          </w:tcPr>
          <w:p>
            <w:pPr>
              <w:pStyle w:val="TableParagraph"/>
              <w:spacing w:before="28"/>
              <w:ind w:left="57" w:right="56"/>
              <w:rPr>
                <w:sz w:val="16"/>
              </w:rPr>
            </w:pPr>
            <w:r>
              <w:rPr>
                <w:color w:val="231F20"/>
                <w:sz w:val="16"/>
              </w:rPr>
              <w:t>1.1</w:t>
            </w:r>
          </w:p>
        </w:tc>
      </w:tr>
      <w:tr>
        <w:trPr>
          <w:trHeight w:val="259" w:hRule="exact"/>
        </w:trPr>
        <w:tc>
          <w:tcPr>
            <w:tcW w:w="1465" w:type="dxa"/>
            <w:tcBorders>
              <w:bottom w:val="single" w:sz="4" w:space="0" w:color="231F20"/>
            </w:tcBorders>
          </w:tcPr>
          <w:p>
            <w:pPr>
              <w:pStyle w:val="TableParagraph"/>
              <w:tabs>
                <w:tab w:pos="1338" w:val="right" w:leader="none"/>
              </w:tabs>
              <w:spacing w:before="28"/>
              <w:ind w:left="58"/>
              <w:jc w:val="left"/>
              <w:rPr>
                <w:sz w:val="16"/>
              </w:rPr>
            </w:pPr>
            <w:r>
              <w:rPr>
                <w:color w:val="231F20"/>
                <w:sz w:val="16"/>
              </w:rPr>
              <w:t>Otros</w:t>
            </w:r>
            <w:r>
              <w:rPr>
                <w:color w:val="231F20"/>
                <w:spacing w:val="-5"/>
                <w:sz w:val="16"/>
              </w:rPr>
              <w:t> </w:t>
            </w:r>
            <w:r>
              <w:rPr>
                <w:color w:val="231F20"/>
                <w:sz w:val="16"/>
              </w:rPr>
              <w:t>2</w:t>
              <w:tab/>
              <w:t>0.3</w:t>
            </w:r>
          </w:p>
        </w:tc>
        <w:tc>
          <w:tcPr>
            <w:tcW w:w="442" w:type="dxa"/>
            <w:tcBorders>
              <w:bottom w:val="single" w:sz="4" w:space="0" w:color="231F20"/>
            </w:tcBorders>
          </w:tcPr>
          <w:p>
            <w:pPr>
              <w:pStyle w:val="TableParagraph"/>
              <w:spacing w:before="28"/>
              <w:ind w:left="60" w:right="61"/>
              <w:rPr>
                <w:sz w:val="16"/>
              </w:rPr>
            </w:pPr>
            <w:r>
              <w:rPr>
                <w:color w:val="231F20"/>
                <w:sz w:val="16"/>
              </w:rPr>
              <w:t>0.4</w:t>
            </w:r>
          </w:p>
        </w:tc>
        <w:tc>
          <w:tcPr>
            <w:tcW w:w="442" w:type="dxa"/>
            <w:tcBorders>
              <w:bottom w:val="single" w:sz="4" w:space="0" w:color="231F20"/>
            </w:tcBorders>
          </w:tcPr>
          <w:p>
            <w:pPr>
              <w:pStyle w:val="TableParagraph"/>
              <w:spacing w:before="28"/>
              <w:ind w:left="125"/>
              <w:jc w:val="left"/>
              <w:rPr>
                <w:sz w:val="16"/>
              </w:rPr>
            </w:pPr>
            <w:r>
              <w:rPr>
                <w:color w:val="231F20"/>
                <w:sz w:val="16"/>
              </w:rPr>
              <w:t>0.3</w:t>
            </w:r>
          </w:p>
        </w:tc>
        <w:tc>
          <w:tcPr>
            <w:tcW w:w="442" w:type="dxa"/>
            <w:tcBorders>
              <w:bottom w:val="single" w:sz="4" w:space="0" w:color="231F20"/>
            </w:tcBorders>
          </w:tcPr>
          <w:p>
            <w:pPr>
              <w:pStyle w:val="TableParagraph"/>
              <w:spacing w:before="28"/>
              <w:ind w:left="60" w:right="61"/>
              <w:rPr>
                <w:sz w:val="16"/>
              </w:rPr>
            </w:pPr>
            <w:r>
              <w:rPr>
                <w:color w:val="231F20"/>
                <w:sz w:val="16"/>
              </w:rPr>
              <w:t>0.2</w:t>
            </w:r>
          </w:p>
        </w:tc>
        <w:tc>
          <w:tcPr>
            <w:tcW w:w="441" w:type="dxa"/>
            <w:tcBorders>
              <w:bottom w:val="single" w:sz="4" w:space="0" w:color="231F20"/>
            </w:tcBorders>
          </w:tcPr>
          <w:p>
            <w:pPr>
              <w:pStyle w:val="TableParagraph"/>
              <w:spacing w:before="28"/>
              <w:ind w:left="125"/>
              <w:jc w:val="left"/>
              <w:rPr>
                <w:sz w:val="16"/>
              </w:rPr>
            </w:pPr>
            <w:r>
              <w:rPr>
                <w:color w:val="231F20"/>
                <w:sz w:val="16"/>
              </w:rPr>
              <w:t>0.3</w:t>
            </w:r>
          </w:p>
        </w:tc>
        <w:tc>
          <w:tcPr>
            <w:tcW w:w="442" w:type="dxa"/>
            <w:tcBorders>
              <w:bottom w:val="single" w:sz="4" w:space="0" w:color="231F20"/>
            </w:tcBorders>
          </w:tcPr>
          <w:p>
            <w:pPr>
              <w:pStyle w:val="TableParagraph"/>
              <w:spacing w:before="28"/>
              <w:ind w:left="41" w:right="41"/>
              <w:rPr>
                <w:sz w:val="16"/>
              </w:rPr>
            </w:pPr>
            <w:r>
              <w:rPr>
                <w:color w:val="231F20"/>
                <w:sz w:val="16"/>
              </w:rPr>
              <w:t>0.6</w:t>
            </w:r>
          </w:p>
        </w:tc>
        <w:tc>
          <w:tcPr>
            <w:tcW w:w="442" w:type="dxa"/>
            <w:tcBorders>
              <w:bottom w:val="single" w:sz="4" w:space="0" w:color="231F20"/>
            </w:tcBorders>
          </w:tcPr>
          <w:p>
            <w:pPr>
              <w:pStyle w:val="TableParagraph"/>
              <w:spacing w:before="28"/>
              <w:ind w:left="126"/>
              <w:jc w:val="left"/>
              <w:rPr>
                <w:sz w:val="16"/>
              </w:rPr>
            </w:pPr>
            <w:r>
              <w:rPr>
                <w:color w:val="231F20"/>
                <w:sz w:val="16"/>
              </w:rPr>
              <w:t>0.6</w:t>
            </w:r>
          </w:p>
        </w:tc>
        <w:tc>
          <w:tcPr>
            <w:tcW w:w="442" w:type="dxa"/>
            <w:tcBorders>
              <w:bottom w:val="single" w:sz="4" w:space="0" w:color="231F20"/>
            </w:tcBorders>
          </w:tcPr>
          <w:p>
            <w:pPr>
              <w:pStyle w:val="TableParagraph"/>
              <w:spacing w:before="28"/>
              <w:ind w:left="41" w:right="41"/>
              <w:rPr>
                <w:sz w:val="16"/>
              </w:rPr>
            </w:pPr>
            <w:r>
              <w:rPr>
                <w:color w:val="231F20"/>
                <w:sz w:val="16"/>
              </w:rPr>
              <w:t>0.8</w:t>
            </w:r>
          </w:p>
        </w:tc>
        <w:tc>
          <w:tcPr>
            <w:tcW w:w="442" w:type="dxa"/>
            <w:tcBorders>
              <w:bottom w:val="single" w:sz="4" w:space="0" w:color="231F20"/>
            </w:tcBorders>
          </w:tcPr>
          <w:p>
            <w:pPr>
              <w:pStyle w:val="TableParagraph"/>
              <w:spacing w:before="28"/>
              <w:ind w:left="126"/>
              <w:jc w:val="left"/>
              <w:rPr>
                <w:sz w:val="16"/>
              </w:rPr>
            </w:pPr>
            <w:r>
              <w:rPr>
                <w:color w:val="231F20"/>
                <w:sz w:val="16"/>
              </w:rPr>
              <w:t>0.7</w:t>
            </w:r>
          </w:p>
        </w:tc>
        <w:tc>
          <w:tcPr>
            <w:tcW w:w="442" w:type="dxa"/>
            <w:tcBorders>
              <w:bottom w:val="single" w:sz="4" w:space="0" w:color="231F20"/>
            </w:tcBorders>
          </w:tcPr>
          <w:p>
            <w:pPr>
              <w:pStyle w:val="TableParagraph"/>
              <w:spacing w:before="28"/>
              <w:ind w:left="41" w:right="41"/>
              <w:rPr>
                <w:sz w:val="16"/>
              </w:rPr>
            </w:pPr>
            <w:r>
              <w:rPr>
                <w:color w:val="231F20"/>
                <w:sz w:val="16"/>
              </w:rPr>
              <w:t>0.5</w:t>
            </w:r>
          </w:p>
        </w:tc>
        <w:tc>
          <w:tcPr>
            <w:tcW w:w="442" w:type="dxa"/>
            <w:tcBorders>
              <w:bottom w:val="single" w:sz="4" w:space="0" w:color="231F20"/>
            </w:tcBorders>
          </w:tcPr>
          <w:p>
            <w:pPr>
              <w:pStyle w:val="TableParagraph"/>
              <w:spacing w:before="28"/>
              <w:ind w:left="126"/>
              <w:jc w:val="left"/>
              <w:rPr>
                <w:sz w:val="16"/>
              </w:rPr>
            </w:pPr>
            <w:r>
              <w:rPr>
                <w:color w:val="231F20"/>
                <w:sz w:val="16"/>
              </w:rPr>
              <w:t>0.6</w:t>
            </w:r>
          </w:p>
        </w:tc>
        <w:tc>
          <w:tcPr>
            <w:tcW w:w="442" w:type="dxa"/>
            <w:tcBorders>
              <w:bottom w:val="single" w:sz="4" w:space="0" w:color="231F20"/>
            </w:tcBorders>
          </w:tcPr>
          <w:p>
            <w:pPr>
              <w:pStyle w:val="TableParagraph"/>
              <w:spacing w:before="28"/>
              <w:ind w:left="41" w:right="41"/>
              <w:rPr>
                <w:sz w:val="16"/>
              </w:rPr>
            </w:pPr>
            <w:r>
              <w:rPr>
                <w:color w:val="231F20"/>
                <w:sz w:val="16"/>
              </w:rPr>
              <w:t>0.6</w:t>
            </w:r>
          </w:p>
        </w:tc>
        <w:tc>
          <w:tcPr>
            <w:tcW w:w="442" w:type="dxa"/>
            <w:tcBorders>
              <w:bottom w:val="single" w:sz="4" w:space="0" w:color="231F20"/>
            </w:tcBorders>
          </w:tcPr>
          <w:p>
            <w:pPr>
              <w:pStyle w:val="TableParagraph"/>
              <w:spacing w:before="28"/>
              <w:ind w:right="124"/>
              <w:jc w:val="right"/>
              <w:rPr>
                <w:sz w:val="16"/>
              </w:rPr>
            </w:pPr>
            <w:r>
              <w:rPr>
                <w:color w:val="231F20"/>
                <w:w w:val="95"/>
                <w:sz w:val="16"/>
              </w:rPr>
              <w:t>0.6</w:t>
            </w:r>
          </w:p>
        </w:tc>
        <w:tc>
          <w:tcPr>
            <w:tcW w:w="440" w:type="dxa"/>
            <w:tcBorders>
              <w:bottom w:val="single" w:sz="4" w:space="0" w:color="231F20"/>
            </w:tcBorders>
          </w:tcPr>
          <w:p>
            <w:pPr>
              <w:pStyle w:val="TableParagraph"/>
              <w:spacing w:before="28"/>
              <w:ind w:left="58" w:right="56"/>
              <w:rPr>
                <w:sz w:val="16"/>
              </w:rPr>
            </w:pPr>
            <w:r>
              <w:rPr>
                <w:color w:val="231F20"/>
                <w:sz w:val="16"/>
              </w:rPr>
              <w:t>0.6</w:t>
            </w:r>
          </w:p>
        </w:tc>
      </w:tr>
      <w:tr>
        <w:trPr>
          <w:trHeight w:val="170" w:hRule="exact"/>
        </w:trPr>
        <w:tc>
          <w:tcPr>
            <w:tcW w:w="1465"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1"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0" w:type="dxa"/>
            <w:tcBorders>
              <w:top w:val="single" w:sz="4" w:space="0" w:color="231F20"/>
              <w:bottom w:val="single" w:sz="4" w:space="0" w:color="231F20"/>
            </w:tcBorders>
          </w:tcPr>
          <w:p>
            <w:pPr/>
          </w:p>
        </w:tc>
      </w:tr>
      <w:tr>
        <w:trPr>
          <w:trHeight w:val="280" w:hRule="exact"/>
        </w:trPr>
        <w:tc>
          <w:tcPr>
            <w:tcW w:w="1465" w:type="dxa"/>
            <w:tcBorders>
              <w:top w:val="single" w:sz="4" w:space="0" w:color="231F20"/>
              <w:bottom w:val="single" w:sz="4" w:space="0" w:color="231F20"/>
            </w:tcBorders>
          </w:tcPr>
          <w:p>
            <w:pPr>
              <w:pStyle w:val="TableParagraph"/>
              <w:tabs>
                <w:tab w:pos="1383" w:val="right" w:leader="none"/>
              </w:tabs>
              <w:spacing w:before="25"/>
              <w:ind w:left="58"/>
              <w:jc w:val="left"/>
              <w:rPr>
                <w:rFonts w:ascii="Palatino Linotype" w:hAnsi="Palatino Linotype"/>
                <w:b/>
                <w:sz w:val="16"/>
              </w:rPr>
            </w:pPr>
            <w:r>
              <w:rPr>
                <w:rFonts w:ascii="Palatino Linotype" w:hAnsi="Palatino Linotype"/>
                <w:b/>
                <w:color w:val="231F20"/>
                <w:sz w:val="16"/>
              </w:rPr>
              <w:t>Japón</w:t>
              <w:tab/>
              <w:t>10.8</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5.6</w:t>
            </w:r>
          </w:p>
        </w:tc>
        <w:tc>
          <w:tcPr>
            <w:tcW w:w="442" w:type="dxa"/>
            <w:tcBorders>
              <w:top w:val="single" w:sz="4" w:space="0" w:color="231F20"/>
              <w:bottom w:val="single" w:sz="4" w:space="0" w:color="231F20"/>
            </w:tcBorders>
          </w:tcPr>
          <w:p>
            <w:pPr>
              <w:pStyle w:val="TableParagraph"/>
              <w:spacing w:before="25"/>
              <w:ind w:left="80"/>
              <w:jc w:val="left"/>
              <w:rPr>
                <w:rFonts w:ascii="Palatino Linotype"/>
                <w:b/>
                <w:sz w:val="16"/>
              </w:rPr>
            </w:pPr>
            <w:r>
              <w:rPr>
                <w:rFonts w:ascii="Palatino Linotype"/>
                <w:b/>
                <w:color w:val="231F20"/>
                <w:sz w:val="16"/>
              </w:rPr>
              <w:t>10.5</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10.3</w:t>
            </w:r>
          </w:p>
        </w:tc>
        <w:tc>
          <w:tcPr>
            <w:tcW w:w="441" w:type="dxa"/>
            <w:tcBorders>
              <w:top w:val="single" w:sz="4" w:space="0" w:color="231F20"/>
              <w:bottom w:val="single" w:sz="4" w:space="0" w:color="231F20"/>
            </w:tcBorders>
          </w:tcPr>
          <w:p>
            <w:pPr>
              <w:pStyle w:val="TableParagraph"/>
              <w:spacing w:before="25"/>
              <w:ind w:left="120"/>
              <w:jc w:val="left"/>
              <w:rPr>
                <w:rFonts w:ascii="Palatino Linotype"/>
                <w:b/>
                <w:sz w:val="16"/>
              </w:rPr>
            </w:pPr>
            <w:r>
              <w:rPr>
                <w:rFonts w:ascii="Palatino Linotype"/>
                <w:b/>
                <w:color w:val="231F20"/>
                <w:sz w:val="16"/>
              </w:rPr>
              <w:t>9.6</w:t>
            </w:r>
          </w:p>
        </w:tc>
        <w:tc>
          <w:tcPr>
            <w:tcW w:w="442" w:type="dxa"/>
            <w:tcBorders>
              <w:top w:val="single" w:sz="4" w:space="0" w:color="231F20"/>
              <w:bottom w:val="single" w:sz="4" w:space="0" w:color="231F20"/>
            </w:tcBorders>
          </w:tcPr>
          <w:p>
            <w:pPr>
              <w:pStyle w:val="TableParagraph"/>
              <w:spacing w:before="25"/>
              <w:ind w:left="41" w:right="40"/>
              <w:rPr>
                <w:rFonts w:ascii="Palatino Linotype"/>
                <w:b/>
                <w:sz w:val="16"/>
              </w:rPr>
            </w:pPr>
            <w:r>
              <w:rPr>
                <w:rFonts w:ascii="Palatino Linotype"/>
                <w:b/>
                <w:color w:val="231F20"/>
                <w:sz w:val="16"/>
              </w:rPr>
              <w:t>8.9</w:t>
            </w:r>
          </w:p>
        </w:tc>
        <w:tc>
          <w:tcPr>
            <w:tcW w:w="442" w:type="dxa"/>
            <w:tcBorders>
              <w:top w:val="single" w:sz="4" w:space="0" w:color="231F20"/>
              <w:bottom w:val="single" w:sz="4" w:space="0" w:color="231F20"/>
            </w:tcBorders>
          </w:tcPr>
          <w:p>
            <w:pPr>
              <w:pStyle w:val="TableParagraph"/>
              <w:spacing w:before="25"/>
              <w:ind w:left="121"/>
              <w:jc w:val="left"/>
              <w:rPr>
                <w:rFonts w:ascii="Palatino Linotype"/>
                <w:b/>
                <w:sz w:val="16"/>
              </w:rPr>
            </w:pPr>
            <w:r>
              <w:rPr>
                <w:rFonts w:ascii="Palatino Linotype"/>
                <w:b/>
                <w:color w:val="231F20"/>
                <w:sz w:val="16"/>
              </w:rPr>
              <w:t>8.4</w:t>
            </w:r>
          </w:p>
        </w:tc>
        <w:tc>
          <w:tcPr>
            <w:tcW w:w="442" w:type="dxa"/>
            <w:tcBorders>
              <w:top w:val="single" w:sz="4" w:space="0" w:color="231F20"/>
              <w:bottom w:val="single" w:sz="4" w:space="0" w:color="231F20"/>
            </w:tcBorders>
          </w:tcPr>
          <w:p>
            <w:pPr>
              <w:pStyle w:val="TableParagraph"/>
              <w:spacing w:before="25"/>
              <w:ind w:left="41" w:right="40"/>
              <w:rPr>
                <w:rFonts w:ascii="Palatino Linotype"/>
                <w:b/>
                <w:sz w:val="16"/>
              </w:rPr>
            </w:pPr>
            <w:r>
              <w:rPr>
                <w:rFonts w:ascii="Palatino Linotype"/>
                <w:b/>
                <w:color w:val="231F20"/>
                <w:sz w:val="16"/>
              </w:rPr>
              <w:t>7.4</w:t>
            </w:r>
          </w:p>
        </w:tc>
        <w:tc>
          <w:tcPr>
            <w:tcW w:w="442" w:type="dxa"/>
            <w:tcBorders>
              <w:top w:val="single" w:sz="4" w:space="0" w:color="231F20"/>
              <w:bottom w:val="single" w:sz="4" w:space="0" w:color="231F20"/>
            </w:tcBorders>
          </w:tcPr>
          <w:p>
            <w:pPr>
              <w:pStyle w:val="TableParagraph"/>
              <w:spacing w:before="25"/>
              <w:ind w:left="121"/>
              <w:jc w:val="left"/>
              <w:rPr>
                <w:rFonts w:ascii="Palatino Linotype"/>
                <w:b/>
                <w:sz w:val="16"/>
              </w:rPr>
            </w:pPr>
            <w:r>
              <w:rPr>
                <w:rFonts w:ascii="Palatino Linotype"/>
                <w:b/>
                <w:color w:val="231F20"/>
                <w:sz w:val="16"/>
              </w:rPr>
              <w:t>7.4</w:t>
            </w:r>
          </w:p>
        </w:tc>
        <w:tc>
          <w:tcPr>
            <w:tcW w:w="442" w:type="dxa"/>
            <w:tcBorders>
              <w:top w:val="single" w:sz="4" w:space="0" w:color="231F20"/>
              <w:bottom w:val="single" w:sz="4" w:space="0" w:color="231F20"/>
            </w:tcBorders>
          </w:tcPr>
          <w:p>
            <w:pPr>
              <w:pStyle w:val="TableParagraph"/>
              <w:spacing w:before="25"/>
              <w:ind w:left="41" w:right="40"/>
              <w:rPr>
                <w:rFonts w:ascii="Palatino Linotype"/>
                <w:b/>
                <w:sz w:val="16"/>
              </w:rPr>
            </w:pPr>
            <w:r>
              <w:rPr>
                <w:rFonts w:ascii="Palatino Linotype"/>
                <w:b/>
                <w:color w:val="231F20"/>
                <w:sz w:val="16"/>
              </w:rPr>
              <w:t>7.0</w:t>
            </w:r>
          </w:p>
        </w:tc>
        <w:tc>
          <w:tcPr>
            <w:tcW w:w="442" w:type="dxa"/>
            <w:tcBorders>
              <w:top w:val="single" w:sz="4" w:space="0" w:color="231F20"/>
              <w:bottom w:val="single" w:sz="4" w:space="0" w:color="231F20"/>
            </w:tcBorders>
          </w:tcPr>
          <w:p>
            <w:pPr>
              <w:pStyle w:val="TableParagraph"/>
              <w:spacing w:before="25"/>
              <w:ind w:left="121"/>
              <w:jc w:val="left"/>
              <w:rPr>
                <w:rFonts w:ascii="Palatino Linotype"/>
                <w:b/>
                <w:sz w:val="16"/>
              </w:rPr>
            </w:pPr>
            <w:r>
              <w:rPr>
                <w:rFonts w:ascii="Palatino Linotype"/>
                <w:b/>
                <w:color w:val="231F20"/>
                <w:sz w:val="16"/>
              </w:rPr>
              <w:t>6.6</w:t>
            </w:r>
          </w:p>
        </w:tc>
        <w:tc>
          <w:tcPr>
            <w:tcW w:w="442" w:type="dxa"/>
            <w:tcBorders>
              <w:top w:val="single" w:sz="4" w:space="0" w:color="231F20"/>
              <w:bottom w:val="single" w:sz="4" w:space="0" w:color="231F20"/>
            </w:tcBorders>
          </w:tcPr>
          <w:p>
            <w:pPr>
              <w:pStyle w:val="TableParagraph"/>
              <w:spacing w:before="25"/>
              <w:ind w:left="41" w:right="40"/>
              <w:rPr>
                <w:rFonts w:ascii="Palatino Linotype"/>
                <w:b/>
                <w:sz w:val="16"/>
              </w:rPr>
            </w:pPr>
            <w:r>
              <w:rPr>
                <w:rFonts w:ascii="Palatino Linotype"/>
                <w:b/>
                <w:color w:val="231F20"/>
                <w:sz w:val="16"/>
              </w:rPr>
              <w:t>5.4</w:t>
            </w:r>
          </w:p>
        </w:tc>
        <w:tc>
          <w:tcPr>
            <w:tcW w:w="442" w:type="dxa"/>
            <w:tcBorders>
              <w:top w:val="single" w:sz="4" w:space="0" w:color="231F20"/>
              <w:bottom w:val="single" w:sz="4" w:space="0" w:color="231F20"/>
            </w:tcBorders>
          </w:tcPr>
          <w:p>
            <w:pPr>
              <w:pStyle w:val="TableParagraph"/>
              <w:spacing w:before="25"/>
              <w:ind w:right="118"/>
              <w:jc w:val="right"/>
              <w:rPr>
                <w:rFonts w:ascii="Palatino Linotype"/>
                <w:b/>
                <w:sz w:val="16"/>
              </w:rPr>
            </w:pPr>
            <w:r>
              <w:rPr>
                <w:rFonts w:ascii="Palatino Linotype"/>
                <w:b/>
                <w:color w:val="231F20"/>
                <w:sz w:val="16"/>
              </w:rPr>
              <w:t>6.5</w:t>
            </w:r>
          </w:p>
        </w:tc>
        <w:tc>
          <w:tcPr>
            <w:tcW w:w="440" w:type="dxa"/>
            <w:tcBorders>
              <w:top w:val="single" w:sz="4" w:space="0" w:color="231F20"/>
              <w:bottom w:val="single" w:sz="4" w:space="0" w:color="231F20"/>
            </w:tcBorders>
          </w:tcPr>
          <w:p>
            <w:pPr>
              <w:pStyle w:val="TableParagraph"/>
              <w:spacing w:before="25"/>
              <w:ind w:left="58" w:right="56"/>
              <w:rPr>
                <w:rFonts w:ascii="Palatino Linotype"/>
                <w:b/>
                <w:sz w:val="16"/>
              </w:rPr>
            </w:pPr>
            <w:r>
              <w:rPr>
                <w:rFonts w:ascii="Palatino Linotype"/>
                <w:b/>
                <w:color w:val="231F20"/>
                <w:sz w:val="16"/>
              </w:rPr>
              <w:t>6.3</w:t>
            </w:r>
          </w:p>
        </w:tc>
      </w:tr>
      <w:tr>
        <w:trPr>
          <w:trHeight w:val="170" w:hRule="exact"/>
        </w:trPr>
        <w:tc>
          <w:tcPr>
            <w:tcW w:w="1465"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1"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0" w:type="dxa"/>
            <w:tcBorders>
              <w:top w:val="single" w:sz="4" w:space="0" w:color="231F20"/>
              <w:bottom w:val="single" w:sz="4" w:space="0" w:color="231F20"/>
            </w:tcBorders>
          </w:tcPr>
          <w:p>
            <w:pPr/>
          </w:p>
        </w:tc>
      </w:tr>
      <w:tr>
        <w:trPr>
          <w:trHeight w:val="280" w:hRule="exact"/>
        </w:trPr>
        <w:tc>
          <w:tcPr>
            <w:tcW w:w="1465" w:type="dxa"/>
            <w:tcBorders>
              <w:top w:val="single" w:sz="4" w:space="0" w:color="231F20"/>
              <w:bottom w:val="single" w:sz="4" w:space="0" w:color="231F20"/>
            </w:tcBorders>
          </w:tcPr>
          <w:p>
            <w:pPr>
              <w:pStyle w:val="TableParagraph"/>
              <w:spacing w:before="25"/>
              <w:ind w:left="59"/>
              <w:jc w:val="left"/>
              <w:rPr>
                <w:rFonts w:ascii="Palatino Linotype" w:hAnsi="Palatino Linotype"/>
                <w:b/>
                <w:sz w:val="16"/>
              </w:rPr>
            </w:pPr>
            <w:r>
              <w:rPr>
                <w:rFonts w:ascii="Palatino Linotype" w:hAnsi="Palatino Linotype"/>
                <w:b/>
                <w:color w:val="231F20"/>
                <w:sz w:val="16"/>
              </w:rPr>
              <w:t>Asia Pacífico  12.4</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13.8</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15.6</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17.8</w:t>
            </w:r>
          </w:p>
        </w:tc>
        <w:tc>
          <w:tcPr>
            <w:tcW w:w="441" w:type="dxa"/>
            <w:tcBorders>
              <w:top w:val="single" w:sz="4" w:space="0" w:color="231F20"/>
              <w:bottom w:val="single" w:sz="4" w:space="0" w:color="231F20"/>
            </w:tcBorders>
          </w:tcPr>
          <w:p>
            <w:pPr>
              <w:pStyle w:val="TableParagraph"/>
              <w:spacing w:before="25"/>
              <w:ind w:left="80"/>
              <w:jc w:val="left"/>
              <w:rPr>
                <w:rFonts w:ascii="Palatino Linotype"/>
                <w:b/>
                <w:sz w:val="16"/>
              </w:rPr>
            </w:pPr>
            <w:r>
              <w:rPr>
                <w:rFonts w:ascii="Palatino Linotype"/>
                <w:b/>
                <w:color w:val="231F20"/>
                <w:sz w:val="16"/>
              </w:rPr>
              <w:t>18.8</w:t>
            </w:r>
          </w:p>
        </w:tc>
        <w:tc>
          <w:tcPr>
            <w:tcW w:w="442" w:type="dxa"/>
            <w:tcBorders>
              <w:top w:val="single" w:sz="4" w:space="0" w:color="231F20"/>
              <w:bottom w:val="single" w:sz="4" w:space="0" w:color="231F20"/>
            </w:tcBorders>
          </w:tcPr>
          <w:p>
            <w:pPr>
              <w:pStyle w:val="TableParagraph"/>
              <w:spacing w:before="25"/>
              <w:ind w:left="41" w:right="39"/>
              <w:rPr>
                <w:rFonts w:ascii="Palatino Linotype"/>
                <w:b/>
                <w:sz w:val="16"/>
              </w:rPr>
            </w:pPr>
            <w:r>
              <w:rPr>
                <w:rFonts w:ascii="Palatino Linotype"/>
                <w:b/>
                <w:color w:val="231F20"/>
                <w:sz w:val="16"/>
              </w:rPr>
              <w:t>18.1</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19.4</w:t>
            </w:r>
          </w:p>
        </w:tc>
        <w:tc>
          <w:tcPr>
            <w:tcW w:w="442" w:type="dxa"/>
            <w:tcBorders>
              <w:top w:val="single" w:sz="4" w:space="0" w:color="231F20"/>
              <w:bottom w:val="single" w:sz="4" w:space="0" w:color="231F20"/>
            </w:tcBorders>
          </w:tcPr>
          <w:p>
            <w:pPr>
              <w:pStyle w:val="TableParagraph"/>
              <w:spacing w:before="25"/>
              <w:ind w:left="41" w:right="39"/>
              <w:rPr>
                <w:rFonts w:ascii="Palatino Linotype"/>
                <w:b/>
                <w:sz w:val="16"/>
              </w:rPr>
            </w:pPr>
            <w:r>
              <w:rPr>
                <w:rFonts w:ascii="Palatino Linotype"/>
                <w:b/>
                <w:color w:val="231F20"/>
                <w:sz w:val="16"/>
              </w:rPr>
              <w:t>21.4</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23.2</w:t>
            </w:r>
          </w:p>
        </w:tc>
        <w:tc>
          <w:tcPr>
            <w:tcW w:w="442" w:type="dxa"/>
            <w:tcBorders>
              <w:top w:val="single" w:sz="4" w:space="0" w:color="231F20"/>
              <w:bottom w:val="single" w:sz="4" w:space="0" w:color="231F20"/>
            </w:tcBorders>
          </w:tcPr>
          <w:p>
            <w:pPr>
              <w:pStyle w:val="TableParagraph"/>
              <w:spacing w:before="25"/>
              <w:ind w:left="41" w:right="39"/>
              <w:rPr>
                <w:rFonts w:ascii="Palatino Linotype"/>
                <w:b/>
                <w:sz w:val="16"/>
              </w:rPr>
            </w:pPr>
            <w:r>
              <w:rPr>
                <w:rFonts w:ascii="Palatino Linotype"/>
                <w:b/>
                <w:color w:val="231F20"/>
                <w:sz w:val="16"/>
              </w:rPr>
              <w:t>31.1</w:t>
            </w:r>
          </w:p>
        </w:tc>
        <w:tc>
          <w:tcPr>
            <w:tcW w:w="442" w:type="dxa"/>
            <w:tcBorders>
              <w:top w:val="single" w:sz="4" w:space="0" w:color="231F20"/>
              <w:bottom w:val="single" w:sz="4" w:space="0" w:color="231F20"/>
            </w:tcBorders>
          </w:tcPr>
          <w:p>
            <w:pPr>
              <w:pStyle w:val="TableParagraph"/>
              <w:spacing w:before="25"/>
              <w:ind w:left="81"/>
              <w:jc w:val="left"/>
              <w:rPr>
                <w:rFonts w:ascii="Palatino Linotype"/>
                <w:b/>
                <w:sz w:val="16"/>
              </w:rPr>
            </w:pPr>
            <w:r>
              <w:rPr>
                <w:rFonts w:ascii="Palatino Linotype"/>
                <w:b/>
                <w:color w:val="231F20"/>
                <w:sz w:val="16"/>
              </w:rPr>
              <w:t>35.3</w:t>
            </w:r>
          </w:p>
        </w:tc>
        <w:tc>
          <w:tcPr>
            <w:tcW w:w="442" w:type="dxa"/>
            <w:tcBorders>
              <w:top w:val="single" w:sz="4" w:space="0" w:color="231F20"/>
              <w:bottom w:val="single" w:sz="4" w:space="0" w:color="231F20"/>
            </w:tcBorders>
          </w:tcPr>
          <w:p>
            <w:pPr>
              <w:pStyle w:val="TableParagraph"/>
              <w:spacing w:before="25"/>
              <w:ind w:left="41" w:right="39"/>
              <w:rPr>
                <w:rFonts w:ascii="Palatino Linotype"/>
                <w:b/>
                <w:sz w:val="16"/>
              </w:rPr>
            </w:pPr>
            <w:r>
              <w:rPr>
                <w:rFonts w:ascii="Palatino Linotype"/>
                <w:b/>
                <w:color w:val="231F20"/>
                <w:sz w:val="16"/>
              </w:rPr>
              <w:t>34.9</w:t>
            </w:r>
          </w:p>
        </w:tc>
        <w:tc>
          <w:tcPr>
            <w:tcW w:w="442" w:type="dxa"/>
            <w:tcBorders>
              <w:top w:val="single" w:sz="4" w:space="0" w:color="231F20"/>
              <w:bottom w:val="single" w:sz="4" w:space="0" w:color="231F20"/>
            </w:tcBorders>
          </w:tcPr>
          <w:p>
            <w:pPr>
              <w:pStyle w:val="TableParagraph"/>
              <w:spacing w:before="25"/>
              <w:ind w:right="77"/>
              <w:jc w:val="right"/>
              <w:rPr>
                <w:rFonts w:ascii="Palatino Linotype"/>
                <w:b/>
                <w:sz w:val="16"/>
              </w:rPr>
            </w:pPr>
            <w:r>
              <w:rPr>
                <w:rFonts w:ascii="Palatino Linotype"/>
                <w:b/>
                <w:color w:val="231F20"/>
                <w:sz w:val="16"/>
              </w:rPr>
              <w:t>35.7</w:t>
            </w:r>
          </w:p>
        </w:tc>
        <w:tc>
          <w:tcPr>
            <w:tcW w:w="440" w:type="dxa"/>
            <w:tcBorders>
              <w:top w:val="single" w:sz="4" w:space="0" w:color="231F20"/>
              <w:bottom w:val="single" w:sz="4" w:space="0" w:color="231F20"/>
            </w:tcBorders>
          </w:tcPr>
          <w:p>
            <w:pPr>
              <w:pStyle w:val="TableParagraph"/>
              <w:spacing w:before="25"/>
              <w:ind w:left="59" w:right="56"/>
              <w:rPr>
                <w:rFonts w:ascii="Palatino Linotype"/>
                <w:b/>
                <w:sz w:val="16"/>
              </w:rPr>
            </w:pPr>
            <w:r>
              <w:rPr>
                <w:rFonts w:ascii="Palatino Linotype"/>
                <w:b/>
                <w:color w:val="231F20"/>
                <w:sz w:val="16"/>
              </w:rPr>
              <w:t>37.2</w:t>
            </w:r>
          </w:p>
        </w:tc>
      </w:tr>
      <w:tr>
        <w:trPr>
          <w:trHeight w:val="301" w:hRule="exact"/>
        </w:trPr>
        <w:tc>
          <w:tcPr>
            <w:tcW w:w="1465" w:type="dxa"/>
            <w:tcBorders>
              <w:top w:val="single" w:sz="4" w:space="0" w:color="231F20"/>
            </w:tcBorders>
          </w:tcPr>
          <w:p>
            <w:pPr>
              <w:pStyle w:val="TableParagraph"/>
              <w:tabs>
                <w:tab w:pos="1149" w:val="left" w:leader="none"/>
              </w:tabs>
              <w:spacing w:before="43"/>
              <w:ind w:left="59"/>
              <w:jc w:val="left"/>
              <w:rPr>
                <w:sz w:val="16"/>
              </w:rPr>
            </w:pPr>
            <w:r>
              <w:rPr>
                <w:color w:val="231F20"/>
                <w:sz w:val="16"/>
              </w:rPr>
              <w:t>Corea</w:t>
            </w:r>
            <w:r>
              <w:rPr>
                <w:color w:val="231F20"/>
                <w:spacing w:val="-6"/>
                <w:sz w:val="16"/>
              </w:rPr>
              <w:t> </w:t>
            </w:r>
            <w:r>
              <w:rPr>
                <w:color w:val="231F20"/>
                <w:sz w:val="16"/>
              </w:rPr>
              <w:t>del</w:t>
            </w:r>
            <w:r>
              <w:rPr>
                <w:color w:val="231F20"/>
                <w:spacing w:val="-6"/>
                <w:sz w:val="16"/>
              </w:rPr>
              <w:t> </w:t>
            </w:r>
            <w:r>
              <w:rPr>
                <w:color w:val="231F20"/>
                <w:sz w:val="16"/>
              </w:rPr>
              <w:t>Sur</w:t>
              <w:tab/>
              <w:t>2.6</w:t>
            </w:r>
          </w:p>
        </w:tc>
        <w:tc>
          <w:tcPr>
            <w:tcW w:w="442" w:type="dxa"/>
            <w:tcBorders>
              <w:top w:val="single" w:sz="4" w:space="0" w:color="231F20"/>
            </w:tcBorders>
          </w:tcPr>
          <w:p>
            <w:pPr>
              <w:pStyle w:val="TableParagraph"/>
              <w:spacing w:before="43"/>
              <w:ind w:left="61" w:right="60"/>
              <w:rPr>
                <w:sz w:val="16"/>
              </w:rPr>
            </w:pPr>
            <w:r>
              <w:rPr>
                <w:color w:val="231F20"/>
                <w:sz w:val="16"/>
              </w:rPr>
              <w:t>2.8</w:t>
            </w:r>
          </w:p>
        </w:tc>
        <w:tc>
          <w:tcPr>
            <w:tcW w:w="442" w:type="dxa"/>
            <w:tcBorders>
              <w:top w:val="single" w:sz="4" w:space="0" w:color="231F20"/>
            </w:tcBorders>
          </w:tcPr>
          <w:p>
            <w:pPr>
              <w:pStyle w:val="TableParagraph"/>
              <w:spacing w:before="43"/>
              <w:ind w:left="126"/>
              <w:jc w:val="left"/>
              <w:rPr>
                <w:sz w:val="16"/>
              </w:rPr>
            </w:pPr>
            <w:r>
              <w:rPr>
                <w:color w:val="231F20"/>
                <w:sz w:val="16"/>
              </w:rPr>
              <w:t>2.9</w:t>
            </w:r>
          </w:p>
        </w:tc>
        <w:tc>
          <w:tcPr>
            <w:tcW w:w="442" w:type="dxa"/>
            <w:tcBorders>
              <w:top w:val="single" w:sz="4" w:space="0" w:color="231F20"/>
            </w:tcBorders>
          </w:tcPr>
          <w:p>
            <w:pPr>
              <w:pStyle w:val="TableParagraph"/>
              <w:spacing w:before="43"/>
              <w:ind w:left="61" w:right="60"/>
              <w:rPr>
                <w:sz w:val="16"/>
              </w:rPr>
            </w:pPr>
            <w:r>
              <w:rPr>
                <w:color w:val="231F20"/>
                <w:sz w:val="16"/>
              </w:rPr>
              <w:t>2.3</w:t>
            </w:r>
          </w:p>
        </w:tc>
        <w:tc>
          <w:tcPr>
            <w:tcW w:w="441" w:type="dxa"/>
            <w:tcBorders>
              <w:top w:val="single" w:sz="4" w:space="0" w:color="231F20"/>
            </w:tcBorders>
          </w:tcPr>
          <w:p>
            <w:pPr>
              <w:pStyle w:val="TableParagraph"/>
              <w:spacing w:before="43"/>
              <w:ind w:left="126"/>
              <w:jc w:val="left"/>
              <w:rPr>
                <w:sz w:val="16"/>
              </w:rPr>
            </w:pPr>
            <w:r>
              <w:rPr>
                <w:color w:val="231F20"/>
                <w:sz w:val="16"/>
              </w:rPr>
              <w:t>1.8</w:t>
            </w:r>
          </w:p>
        </w:tc>
        <w:tc>
          <w:tcPr>
            <w:tcW w:w="442" w:type="dxa"/>
            <w:tcBorders>
              <w:top w:val="single" w:sz="4" w:space="0" w:color="231F20"/>
            </w:tcBorders>
          </w:tcPr>
          <w:p>
            <w:pPr>
              <w:pStyle w:val="TableParagraph"/>
              <w:spacing w:before="43"/>
              <w:ind w:left="41" w:right="39"/>
              <w:rPr>
                <w:sz w:val="16"/>
              </w:rPr>
            </w:pPr>
            <w:r>
              <w:rPr>
                <w:color w:val="231F20"/>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1.8</w:t>
            </w:r>
          </w:p>
        </w:tc>
        <w:tc>
          <w:tcPr>
            <w:tcW w:w="442" w:type="dxa"/>
            <w:tcBorders>
              <w:top w:val="single" w:sz="4" w:space="0" w:color="231F20"/>
            </w:tcBorders>
          </w:tcPr>
          <w:p>
            <w:pPr>
              <w:pStyle w:val="TableParagraph"/>
              <w:spacing w:before="43"/>
              <w:ind w:left="41" w:right="39"/>
              <w:rPr>
                <w:sz w:val="16"/>
              </w:rPr>
            </w:pPr>
            <w:r>
              <w:rPr>
                <w:color w:val="231F20"/>
                <w:sz w:val="16"/>
              </w:rPr>
              <w:t>1.8</w:t>
            </w:r>
          </w:p>
        </w:tc>
        <w:tc>
          <w:tcPr>
            <w:tcW w:w="442" w:type="dxa"/>
            <w:tcBorders>
              <w:top w:val="single" w:sz="4" w:space="0" w:color="231F20"/>
            </w:tcBorders>
          </w:tcPr>
          <w:p>
            <w:pPr>
              <w:pStyle w:val="TableParagraph"/>
              <w:spacing w:before="43"/>
              <w:ind w:left="127"/>
              <w:jc w:val="left"/>
              <w:rPr>
                <w:sz w:val="16"/>
              </w:rPr>
            </w:pPr>
            <w:r>
              <w:rPr>
                <w:color w:val="231F20"/>
                <w:sz w:val="16"/>
              </w:rPr>
              <w:t>1.8</w:t>
            </w:r>
          </w:p>
        </w:tc>
        <w:tc>
          <w:tcPr>
            <w:tcW w:w="442" w:type="dxa"/>
            <w:tcBorders>
              <w:top w:val="single" w:sz="4" w:space="0" w:color="231F20"/>
            </w:tcBorders>
          </w:tcPr>
          <w:p>
            <w:pPr>
              <w:pStyle w:val="TableParagraph"/>
              <w:spacing w:before="43"/>
              <w:ind w:left="41" w:right="39"/>
              <w:rPr>
                <w:sz w:val="16"/>
              </w:rPr>
            </w:pPr>
            <w:r>
              <w:rPr>
                <w:color w:val="231F20"/>
                <w:sz w:val="16"/>
              </w:rPr>
              <w:t>2.2</w:t>
            </w:r>
          </w:p>
        </w:tc>
        <w:tc>
          <w:tcPr>
            <w:tcW w:w="442" w:type="dxa"/>
            <w:tcBorders>
              <w:top w:val="single" w:sz="4" w:space="0" w:color="231F20"/>
            </w:tcBorders>
          </w:tcPr>
          <w:p>
            <w:pPr>
              <w:pStyle w:val="TableParagraph"/>
              <w:spacing w:before="43"/>
              <w:ind w:left="127"/>
              <w:jc w:val="left"/>
              <w:rPr>
                <w:sz w:val="16"/>
              </w:rPr>
            </w:pPr>
            <w:r>
              <w:rPr>
                <w:color w:val="231F20"/>
                <w:sz w:val="16"/>
              </w:rPr>
              <w:t>2.1</w:t>
            </w:r>
          </w:p>
        </w:tc>
        <w:tc>
          <w:tcPr>
            <w:tcW w:w="442" w:type="dxa"/>
            <w:tcBorders>
              <w:top w:val="single" w:sz="4" w:space="0" w:color="231F20"/>
            </w:tcBorders>
          </w:tcPr>
          <w:p>
            <w:pPr>
              <w:pStyle w:val="TableParagraph"/>
              <w:spacing w:before="43"/>
              <w:ind w:left="41" w:right="39"/>
              <w:rPr>
                <w:sz w:val="16"/>
              </w:rPr>
            </w:pPr>
            <w:r>
              <w:rPr>
                <w:color w:val="231F20"/>
                <w:sz w:val="16"/>
              </w:rPr>
              <w:t>2.0</w:t>
            </w:r>
          </w:p>
        </w:tc>
        <w:tc>
          <w:tcPr>
            <w:tcW w:w="442" w:type="dxa"/>
            <w:tcBorders>
              <w:top w:val="single" w:sz="4" w:space="0" w:color="231F20"/>
            </w:tcBorders>
          </w:tcPr>
          <w:p>
            <w:pPr>
              <w:pStyle w:val="TableParagraph"/>
              <w:spacing w:before="43"/>
              <w:ind w:right="122"/>
              <w:jc w:val="right"/>
              <w:rPr>
                <w:sz w:val="16"/>
              </w:rPr>
            </w:pPr>
            <w:r>
              <w:rPr>
                <w:color w:val="231F20"/>
                <w:w w:val="95"/>
                <w:sz w:val="16"/>
              </w:rPr>
              <w:t>1.9</w:t>
            </w:r>
          </w:p>
        </w:tc>
        <w:tc>
          <w:tcPr>
            <w:tcW w:w="440" w:type="dxa"/>
            <w:tcBorders>
              <w:top w:val="single" w:sz="4" w:space="0" w:color="231F20"/>
            </w:tcBorders>
          </w:tcPr>
          <w:p>
            <w:pPr>
              <w:pStyle w:val="TableParagraph"/>
              <w:spacing w:before="43"/>
              <w:ind w:left="60" w:right="56"/>
              <w:rPr>
                <w:sz w:val="16"/>
              </w:rPr>
            </w:pPr>
            <w:r>
              <w:rPr>
                <w:color w:val="231F20"/>
                <w:sz w:val="16"/>
              </w:rPr>
              <w:t>1.8</w:t>
            </w:r>
          </w:p>
        </w:tc>
      </w:tr>
      <w:tr>
        <w:trPr>
          <w:trHeight w:val="280" w:hRule="exact"/>
        </w:trPr>
        <w:tc>
          <w:tcPr>
            <w:tcW w:w="1465" w:type="dxa"/>
          </w:tcPr>
          <w:p>
            <w:pPr>
              <w:pStyle w:val="TableParagraph"/>
              <w:tabs>
                <w:tab w:pos="1339" w:val="right" w:leader="none"/>
              </w:tabs>
              <w:spacing w:before="28"/>
              <w:ind w:left="60"/>
              <w:jc w:val="left"/>
              <w:rPr>
                <w:sz w:val="16"/>
              </w:rPr>
            </w:pPr>
            <w:r>
              <w:rPr>
                <w:color w:val="231F20"/>
                <w:spacing w:val="-3"/>
                <w:sz w:val="16"/>
              </w:rPr>
              <w:t>Tailandia</w:t>
              <w:tab/>
            </w:r>
            <w:r>
              <w:rPr>
                <w:color w:val="231F20"/>
                <w:sz w:val="16"/>
              </w:rPr>
              <w:t>0.5</w:t>
            </w:r>
          </w:p>
        </w:tc>
        <w:tc>
          <w:tcPr>
            <w:tcW w:w="442" w:type="dxa"/>
          </w:tcPr>
          <w:p>
            <w:pPr>
              <w:pStyle w:val="TableParagraph"/>
              <w:spacing w:before="28"/>
              <w:ind w:left="61" w:right="59"/>
              <w:rPr>
                <w:sz w:val="16"/>
              </w:rPr>
            </w:pPr>
            <w:r>
              <w:rPr>
                <w:color w:val="231F20"/>
                <w:sz w:val="16"/>
              </w:rPr>
              <w:t>0.6</w:t>
            </w:r>
          </w:p>
        </w:tc>
        <w:tc>
          <w:tcPr>
            <w:tcW w:w="442" w:type="dxa"/>
          </w:tcPr>
          <w:p>
            <w:pPr>
              <w:pStyle w:val="TableParagraph"/>
              <w:spacing w:before="28"/>
              <w:ind w:left="127"/>
              <w:jc w:val="left"/>
              <w:rPr>
                <w:sz w:val="16"/>
              </w:rPr>
            </w:pPr>
            <w:r>
              <w:rPr>
                <w:color w:val="231F20"/>
                <w:sz w:val="16"/>
              </w:rPr>
              <w:t>0.7</w:t>
            </w:r>
          </w:p>
        </w:tc>
        <w:tc>
          <w:tcPr>
            <w:tcW w:w="442" w:type="dxa"/>
          </w:tcPr>
          <w:p>
            <w:pPr>
              <w:pStyle w:val="TableParagraph"/>
              <w:spacing w:before="28"/>
              <w:ind w:left="61" w:right="59"/>
              <w:rPr>
                <w:sz w:val="16"/>
              </w:rPr>
            </w:pPr>
            <w:r>
              <w:rPr>
                <w:color w:val="231F20"/>
                <w:sz w:val="16"/>
              </w:rPr>
              <w:t>0.9</w:t>
            </w:r>
          </w:p>
        </w:tc>
        <w:tc>
          <w:tcPr>
            <w:tcW w:w="441" w:type="dxa"/>
          </w:tcPr>
          <w:p>
            <w:pPr>
              <w:pStyle w:val="TableParagraph"/>
              <w:spacing w:before="28"/>
              <w:ind w:left="127"/>
              <w:jc w:val="left"/>
              <w:rPr>
                <w:sz w:val="16"/>
              </w:rPr>
            </w:pPr>
            <w:r>
              <w:rPr>
                <w:color w:val="231F20"/>
                <w:sz w:val="16"/>
              </w:rPr>
              <w:t>1.0</w:t>
            </w:r>
          </w:p>
        </w:tc>
        <w:tc>
          <w:tcPr>
            <w:tcW w:w="442" w:type="dxa"/>
          </w:tcPr>
          <w:p>
            <w:pPr>
              <w:pStyle w:val="TableParagraph"/>
              <w:spacing w:before="28"/>
              <w:ind w:left="41" w:right="38"/>
              <w:rPr>
                <w:sz w:val="16"/>
              </w:rPr>
            </w:pPr>
            <w:r>
              <w:rPr>
                <w:color w:val="231F20"/>
                <w:sz w:val="16"/>
              </w:rPr>
              <w:t>1.0</w:t>
            </w:r>
          </w:p>
        </w:tc>
        <w:tc>
          <w:tcPr>
            <w:tcW w:w="442" w:type="dxa"/>
          </w:tcPr>
          <w:p>
            <w:pPr>
              <w:pStyle w:val="TableParagraph"/>
              <w:spacing w:before="28"/>
              <w:ind w:left="128"/>
              <w:jc w:val="left"/>
              <w:rPr>
                <w:sz w:val="16"/>
              </w:rPr>
            </w:pPr>
            <w:r>
              <w:rPr>
                <w:color w:val="231F20"/>
                <w:sz w:val="16"/>
              </w:rPr>
              <w:t>1.0</w:t>
            </w:r>
          </w:p>
        </w:tc>
        <w:tc>
          <w:tcPr>
            <w:tcW w:w="442" w:type="dxa"/>
          </w:tcPr>
          <w:p>
            <w:pPr>
              <w:pStyle w:val="TableParagraph"/>
              <w:spacing w:before="28"/>
              <w:ind w:left="41" w:right="38"/>
              <w:rPr>
                <w:sz w:val="16"/>
              </w:rPr>
            </w:pPr>
            <w:r>
              <w:rPr>
                <w:color w:val="231F20"/>
                <w:sz w:val="16"/>
              </w:rPr>
              <w:t>0.9</w:t>
            </w:r>
          </w:p>
        </w:tc>
        <w:tc>
          <w:tcPr>
            <w:tcW w:w="442" w:type="dxa"/>
          </w:tcPr>
          <w:p>
            <w:pPr>
              <w:pStyle w:val="TableParagraph"/>
              <w:spacing w:before="28"/>
              <w:ind w:left="128"/>
              <w:jc w:val="left"/>
              <w:rPr>
                <w:sz w:val="16"/>
              </w:rPr>
            </w:pPr>
            <w:r>
              <w:rPr>
                <w:color w:val="231F20"/>
                <w:sz w:val="16"/>
              </w:rPr>
              <w:t>0.9</w:t>
            </w:r>
          </w:p>
        </w:tc>
        <w:tc>
          <w:tcPr>
            <w:tcW w:w="442" w:type="dxa"/>
          </w:tcPr>
          <w:p>
            <w:pPr>
              <w:pStyle w:val="TableParagraph"/>
              <w:spacing w:before="28"/>
              <w:ind w:left="41" w:right="38"/>
              <w:rPr>
                <w:sz w:val="16"/>
              </w:rPr>
            </w:pPr>
            <w:r>
              <w:rPr>
                <w:color w:val="231F20"/>
                <w:sz w:val="16"/>
              </w:rPr>
              <w:t>0.8</w:t>
            </w:r>
          </w:p>
        </w:tc>
        <w:tc>
          <w:tcPr>
            <w:tcW w:w="442" w:type="dxa"/>
          </w:tcPr>
          <w:p>
            <w:pPr>
              <w:pStyle w:val="TableParagraph"/>
              <w:spacing w:before="28"/>
              <w:ind w:left="128"/>
              <w:jc w:val="left"/>
              <w:rPr>
                <w:sz w:val="16"/>
              </w:rPr>
            </w:pPr>
            <w:r>
              <w:rPr>
                <w:color w:val="231F20"/>
                <w:sz w:val="16"/>
              </w:rPr>
              <w:t>1.1</w:t>
            </w:r>
          </w:p>
        </w:tc>
        <w:tc>
          <w:tcPr>
            <w:tcW w:w="442" w:type="dxa"/>
          </w:tcPr>
          <w:p>
            <w:pPr>
              <w:pStyle w:val="TableParagraph"/>
              <w:spacing w:before="28"/>
              <w:ind w:left="41" w:right="38"/>
              <w:rPr>
                <w:sz w:val="16"/>
              </w:rPr>
            </w:pPr>
            <w:r>
              <w:rPr>
                <w:color w:val="231F20"/>
                <w:sz w:val="16"/>
              </w:rPr>
              <w:t>1.0</w:t>
            </w:r>
          </w:p>
        </w:tc>
        <w:tc>
          <w:tcPr>
            <w:tcW w:w="442" w:type="dxa"/>
          </w:tcPr>
          <w:p>
            <w:pPr>
              <w:pStyle w:val="TableParagraph"/>
              <w:spacing w:before="28"/>
              <w:ind w:right="122"/>
              <w:jc w:val="right"/>
              <w:rPr>
                <w:sz w:val="16"/>
              </w:rPr>
            </w:pPr>
            <w:r>
              <w:rPr>
                <w:color w:val="231F20"/>
                <w:w w:val="95"/>
                <w:sz w:val="16"/>
              </w:rPr>
              <w:t>1.7</w:t>
            </w:r>
          </w:p>
        </w:tc>
        <w:tc>
          <w:tcPr>
            <w:tcW w:w="440" w:type="dxa"/>
          </w:tcPr>
          <w:p>
            <w:pPr>
              <w:pStyle w:val="TableParagraph"/>
              <w:spacing w:before="28"/>
              <w:ind w:left="60" w:right="55"/>
              <w:rPr>
                <w:sz w:val="16"/>
              </w:rPr>
            </w:pPr>
            <w:r>
              <w:rPr>
                <w:color w:val="231F20"/>
                <w:sz w:val="16"/>
              </w:rPr>
              <w:t>1.6</w:t>
            </w:r>
          </w:p>
        </w:tc>
      </w:tr>
      <w:tr>
        <w:trPr>
          <w:trHeight w:val="280" w:hRule="exact"/>
        </w:trPr>
        <w:tc>
          <w:tcPr>
            <w:tcW w:w="1465" w:type="dxa"/>
          </w:tcPr>
          <w:p>
            <w:pPr>
              <w:pStyle w:val="TableParagraph"/>
              <w:tabs>
                <w:tab w:pos="1340" w:val="right" w:leader="none"/>
              </w:tabs>
              <w:spacing w:before="28"/>
              <w:ind w:left="60"/>
              <w:jc w:val="left"/>
              <w:rPr>
                <w:sz w:val="16"/>
              </w:rPr>
            </w:pPr>
            <w:r>
              <w:rPr>
                <w:color w:val="231F20"/>
                <w:sz w:val="16"/>
              </w:rPr>
              <w:t>Indonesia</w:t>
              <w:tab/>
              <w:t>0.5</w:t>
            </w:r>
          </w:p>
        </w:tc>
        <w:tc>
          <w:tcPr>
            <w:tcW w:w="442" w:type="dxa"/>
          </w:tcPr>
          <w:p>
            <w:pPr>
              <w:pStyle w:val="TableParagraph"/>
              <w:spacing w:before="28"/>
              <w:ind w:left="61" w:right="58"/>
              <w:rPr>
                <w:sz w:val="16"/>
              </w:rPr>
            </w:pPr>
            <w:r>
              <w:rPr>
                <w:color w:val="231F20"/>
                <w:sz w:val="16"/>
              </w:rPr>
              <w:t>0.6</w:t>
            </w:r>
          </w:p>
        </w:tc>
        <w:tc>
          <w:tcPr>
            <w:tcW w:w="442" w:type="dxa"/>
          </w:tcPr>
          <w:p>
            <w:pPr>
              <w:pStyle w:val="TableParagraph"/>
              <w:spacing w:before="28"/>
              <w:ind w:left="127"/>
              <w:jc w:val="left"/>
              <w:rPr>
                <w:sz w:val="16"/>
              </w:rPr>
            </w:pPr>
            <w:r>
              <w:rPr>
                <w:color w:val="231F20"/>
                <w:sz w:val="16"/>
              </w:rPr>
              <w:t>0.6</w:t>
            </w:r>
          </w:p>
        </w:tc>
        <w:tc>
          <w:tcPr>
            <w:tcW w:w="442" w:type="dxa"/>
          </w:tcPr>
          <w:p>
            <w:pPr>
              <w:pStyle w:val="TableParagraph"/>
              <w:spacing w:before="28"/>
              <w:ind w:left="61" w:right="58"/>
              <w:rPr>
                <w:sz w:val="16"/>
              </w:rPr>
            </w:pPr>
            <w:r>
              <w:rPr>
                <w:color w:val="231F20"/>
                <w:sz w:val="16"/>
              </w:rPr>
              <w:t>0.7</w:t>
            </w:r>
          </w:p>
        </w:tc>
        <w:tc>
          <w:tcPr>
            <w:tcW w:w="441" w:type="dxa"/>
          </w:tcPr>
          <w:p>
            <w:pPr>
              <w:pStyle w:val="TableParagraph"/>
              <w:spacing w:before="28"/>
              <w:ind w:left="127"/>
              <w:jc w:val="left"/>
              <w:rPr>
                <w:sz w:val="16"/>
              </w:rPr>
            </w:pPr>
            <w:r>
              <w:rPr>
                <w:color w:val="231F20"/>
                <w:sz w:val="16"/>
              </w:rPr>
              <w:t>0.8</w:t>
            </w:r>
          </w:p>
        </w:tc>
        <w:tc>
          <w:tcPr>
            <w:tcW w:w="442" w:type="dxa"/>
          </w:tcPr>
          <w:p>
            <w:pPr>
              <w:pStyle w:val="TableParagraph"/>
              <w:spacing w:before="28"/>
              <w:ind w:left="41" w:right="37"/>
              <w:rPr>
                <w:sz w:val="16"/>
              </w:rPr>
            </w:pPr>
            <w:r>
              <w:rPr>
                <w:color w:val="231F20"/>
                <w:sz w:val="16"/>
              </w:rPr>
              <w:t>0.8</w:t>
            </w:r>
          </w:p>
        </w:tc>
        <w:tc>
          <w:tcPr>
            <w:tcW w:w="442" w:type="dxa"/>
          </w:tcPr>
          <w:p>
            <w:pPr>
              <w:pStyle w:val="TableParagraph"/>
              <w:spacing w:before="28"/>
              <w:ind w:left="128"/>
              <w:jc w:val="left"/>
              <w:rPr>
                <w:sz w:val="16"/>
              </w:rPr>
            </w:pPr>
            <w:r>
              <w:rPr>
                <w:color w:val="231F20"/>
                <w:sz w:val="16"/>
              </w:rPr>
              <w:t>0.5</w:t>
            </w:r>
          </w:p>
        </w:tc>
        <w:tc>
          <w:tcPr>
            <w:tcW w:w="442" w:type="dxa"/>
          </w:tcPr>
          <w:p>
            <w:pPr>
              <w:pStyle w:val="TableParagraph"/>
              <w:spacing w:before="28"/>
              <w:ind w:left="41" w:right="37"/>
              <w:rPr>
                <w:sz w:val="16"/>
              </w:rPr>
            </w:pPr>
            <w:r>
              <w:rPr>
                <w:color w:val="231F20"/>
                <w:sz w:val="16"/>
              </w:rPr>
              <w:t>0.6</w:t>
            </w:r>
          </w:p>
        </w:tc>
        <w:tc>
          <w:tcPr>
            <w:tcW w:w="442" w:type="dxa"/>
          </w:tcPr>
          <w:p>
            <w:pPr>
              <w:pStyle w:val="TableParagraph"/>
              <w:spacing w:before="28"/>
              <w:ind w:left="128"/>
              <w:jc w:val="left"/>
              <w:rPr>
                <w:sz w:val="16"/>
              </w:rPr>
            </w:pPr>
            <w:r>
              <w:rPr>
                <w:color w:val="231F20"/>
                <w:sz w:val="16"/>
              </w:rPr>
              <w:t>0.9</w:t>
            </w:r>
          </w:p>
        </w:tc>
        <w:tc>
          <w:tcPr>
            <w:tcW w:w="442" w:type="dxa"/>
          </w:tcPr>
          <w:p>
            <w:pPr>
              <w:pStyle w:val="TableParagraph"/>
              <w:spacing w:before="28"/>
              <w:ind w:left="41" w:right="37"/>
              <w:rPr>
                <w:sz w:val="16"/>
              </w:rPr>
            </w:pPr>
            <w:r>
              <w:rPr>
                <w:color w:val="231F20"/>
                <w:sz w:val="16"/>
              </w:rPr>
              <w:t>0.7</w:t>
            </w:r>
          </w:p>
        </w:tc>
        <w:tc>
          <w:tcPr>
            <w:tcW w:w="442" w:type="dxa"/>
          </w:tcPr>
          <w:p>
            <w:pPr>
              <w:pStyle w:val="TableParagraph"/>
              <w:spacing w:before="28"/>
              <w:ind w:left="128"/>
              <w:jc w:val="left"/>
              <w:rPr>
                <w:sz w:val="16"/>
              </w:rPr>
            </w:pPr>
            <w:r>
              <w:rPr>
                <w:color w:val="231F20"/>
                <w:sz w:val="16"/>
              </w:rPr>
              <w:t>1.0</w:t>
            </w:r>
          </w:p>
        </w:tc>
        <w:tc>
          <w:tcPr>
            <w:tcW w:w="442" w:type="dxa"/>
          </w:tcPr>
          <w:p>
            <w:pPr>
              <w:pStyle w:val="TableParagraph"/>
              <w:spacing w:before="28"/>
              <w:ind w:left="41" w:right="37"/>
              <w:rPr>
                <w:sz w:val="16"/>
              </w:rPr>
            </w:pPr>
            <w:r>
              <w:rPr>
                <w:color w:val="231F20"/>
                <w:sz w:val="16"/>
              </w:rPr>
              <w:t>1.1</w:t>
            </w:r>
          </w:p>
        </w:tc>
        <w:tc>
          <w:tcPr>
            <w:tcW w:w="442" w:type="dxa"/>
          </w:tcPr>
          <w:p>
            <w:pPr>
              <w:pStyle w:val="TableParagraph"/>
              <w:spacing w:before="28"/>
              <w:ind w:right="121"/>
              <w:jc w:val="right"/>
              <w:rPr>
                <w:sz w:val="16"/>
              </w:rPr>
            </w:pPr>
            <w:r>
              <w:rPr>
                <w:color w:val="231F20"/>
                <w:w w:val="95"/>
                <w:sz w:val="16"/>
              </w:rPr>
              <w:t>1.4</w:t>
            </w:r>
          </w:p>
        </w:tc>
        <w:tc>
          <w:tcPr>
            <w:tcW w:w="440" w:type="dxa"/>
          </w:tcPr>
          <w:p>
            <w:pPr>
              <w:pStyle w:val="TableParagraph"/>
              <w:spacing w:before="28"/>
              <w:ind w:left="60" w:right="54"/>
              <w:rPr>
                <w:sz w:val="16"/>
              </w:rPr>
            </w:pPr>
            <w:r>
              <w:rPr>
                <w:color w:val="231F20"/>
                <w:sz w:val="16"/>
              </w:rPr>
              <w:t>1.4</w:t>
            </w:r>
          </w:p>
        </w:tc>
      </w:tr>
      <w:tr>
        <w:trPr>
          <w:trHeight w:val="280" w:hRule="exact"/>
        </w:trPr>
        <w:tc>
          <w:tcPr>
            <w:tcW w:w="1465" w:type="dxa"/>
          </w:tcPr>
          <w:p>
            <w:pPr>
              <w:pStyle w:val="TableParagraph"/>
              <w:tabs>
                <w:tab w:pos="1340" w:val="right" w:leader="none"/>
              </w:tabs>
              <w:spacing w:before="28"/>
              <w:ind w:left="60"/>
              <w:jc w:val="left"/>
              <w:rPr>
                <w:sz w:val="16"/>
              </w:rPr>
            </w:pPr>
            <w:r>
              <w:rPr>
                <w:color w:val="231F20"/>
                <w:sz w:val="16"/>
              </w:rPr>
              <w:t>China</w:t>
              <w:tab/>
              <w:t>3.8</w:t>
            </w:r>
          </w:p>
        </w:tc>
        <w:tc>
          <w:tcPr>
            <w:tcW w:w="442" w:type="dxa"/>
          </w:tcPr>
          <w:p>
            <w:pPr>
              <w:pStyle w:val="TableParagraph"/>
              <w:spacing w:before="28"/>
              <w:ind w:left="61" w:right="57"/>
              <w:rPr>
                <w:sz w:val="16"/>
              </w:rPr>
            </w:pPr>
            <w:r>
              <w:rPr>
                <w:color w:val="231F20"/>
                <w:sz w:val="16"/>
              </w:rPr>
              <w:t>4.6</w:t>
            </w:r>
          </w:p>
        </w:tc>
        <w:tc>
          <w:tcPr>
            <w:tcW w:w="442" w:type="dxa"/>
          </w:tcPr>
          <w:p>
            <w:pPr>
              <w:pStyle w:val="TableParagraph"/>
              <w:spacing w:before="28"/>
              <w:ind w:left="128"/>
              <w:jc w:val="left"/>
              <w:rPr>
                <w:sz w:val="16"/>
              </w:rPr>
            </w:pPr>
            <w:r>
              <w:rPr>
                <w:color w:val="231F20"/>
                <w:sz w:val="16"/>
              </w:rPr>
              <w:t>6.0</w:t>
            </w:r>
          </w:p>
        </w:tc>
        <w:tc>
          <w:tcPr>
            <w:tcW w:w="442" w:type="dxa"/>
          </w:tcPr>
          <w:p>
            <w:pPr>
              <w:pStyle w:val="TableParagraph"/>
              <w:spacing w:before="28"/>
              <w:ind w:left="61" w:right="57"/>
              <w:rPr>
                <w:sz w:val="16"/>
              </w:rPr>
            </w:pPr>
            <w:r>
              <w:rPr>
                <w:color w:val="231F20"/>
                <w:sz w:val="16"/>
              </w:rPr>
              <w:t>7.9</w:t>
            </w:r>
          </w:p>
        </w:tc>
        <w:tc>
          <w:tcPr>
            <w:tcW w:w="441" w:type="dxa"/>
          </w:tcPr>
          <w:p>
            <w:pPr>
              <w:pStyle w:val="TableParagraph"/>
              <w:spacing w:before="28"/>
              <w:ind w:left="127"/>
              <w:jc w:val="left"/>
              <w:rPr>
                <w:sz w:val="16"/>
              </w:rPr>
            </w:pPr>
            <w:r>
              <w:rPr>
                <w:color w:val="231F20"/>
                <w:sz w:val="16"/>
              </w:rPr>
              <w:t>8.7</w:t>
            </w:r>
          </w:p>
        </w:tc>
        <w:tc>
          <w:tcPr>
            <w:tcW w:w="442" w:type="dxa"/>
          </w:tcPr>
          <w:p>
            <w:pPr>
              <w:pStyle w:val="TableParagraph"/>
              <w:spacing w:before="28"/>
              <w:ind w:left="41" w:right="36"/>
              <w:rPr>
                <w:sz w:val="16"/>
              </w:rPr>
            </w:pPr>
            <w:r>
              <w:rPr>
                <w:color w:val="231F20"/>
                <w:sz w:val="16"/>
              </w:rPr>
              <w:t>8.7</w:t>
            </w:r>
          </w:p>
        </w:tc>
        <w:tc>
          <w:tcPr>
            <w:tcW w:w="442" w:type="dxa"/>
          </w:tcPr>
          <w:p>
            <w:pPr>
              <w:pStyle w:val="TableParagraph"/>
              <w:spacing w:before="28"/>
              <w:ind w:left="90"/>
              <w:jc w:val="left"/>
              <w:rPr>
                <w:sz w:val="16"/>
              </w:rPr>
            </w:pPr>
            <w:r>
              <w:rPr>
                <w:color w:val="231F20"/>
                <w:sz w:val="16"/>
              </w:rPr>
              <w:t>10.6</w:t>
            </w:r>
          </w:p>
        </w:tc>
        <w:tc>
          <w:tcPr>
            <w:tcW w:w="442" w:type="dxa"/>
          </w:tcPr>
          <w:p>
            <w:pPr>
              <w:pStyle w:val="TableParagraph"/>
              <w:spacing w:before="28"/>
              <w:ind w:left="41" w:right="36"/>
              <w:rPr>
                <w:sz w:val="16"/>
              </w:rPr>
            </w:pPr>
            <w:r>
              <w:rPr>
                <w:color w:val="231F20"/>
                <w:sz w:val="16"/>
              </w:rPr>
              <w:t>12.3</w:t>
            </w:r>
          </w:p>
        </w:tc>
        <w:tc>
          <w:tcPr>
            <w:tcW w:w="442" w:type="dxa"/>
          </w:tcPr>
          <w:p>
            <w:pPr>
              <w:pStyle w:val="TableParagraph"/>
              <w:spacing w:before="28"/>
              <w:ind w:left="90"/>
              <w:jc w:val="left"/>
              <w:rPr>
                <w:sz w:val="16"/>
              </w:rPr>
            </w:pPr>
            <w:r>
              <w:rPr>
                <w:color w:val="231F20"/>
                <w:sz w:val="16"/>
              </w:rPr>
              <w:t>13.7</w:t>
            </w:r>
          </w:p>
        </w:tc>
        <w:tc>
          <w:tcPr>
            <w:tcW w:w="442" w:type="dxa"/>
          </w:tcPr>
          <w:p>
            <w:pPr>
              <w:pStyle w:val="TableParagraph"/>
              <w:spacing w:before="28"/>
              <w:ind w:left="41" w:right="36"/>
              <w:rPr>
                <w:sz w:val="16"/>
              </w:rPr>
            </w:pPr>
            <w:r>
              <w:rPr>
                <w:color w:val="231F20"/>
                <w:sz w:val="16"/>
              </w:rPr>
              <w:t>20.8</w:t>
            </w:r>
          </w:p>
        </w:tc>
        <w:tc>
          <w:tcPr>
            <w:tcW w:w="442" w:type="dxa"/>
          </w:tcPr>
          <w:p>
            <w:pPr>
              <w:pStyle w:val="TableParagraph"/>
              <w:spacing w:before="28"/>
              <w:ind w:left="90"/>
              <w:jc w:val="left"/>
              <w:rPr>
                <w:sz w:val="16"/>
              </w:rPr>
            </w:pPr>
            <w:r>
              <w:rPr>
                <w:color w:val="231F20"/>
                <w:sz w:val="16"/>
              </w:rPr>
              <w:t>24.1</w:t>
            </w:r>
          </w:p>
        </w:tc>
        <w:tc>
          <w:tcPr>
            <w:tcW w:w="442" w:type="dxa"/>
          </w:tcPr>
          <w:p>
            <w:pPr>
              <w:pStyle w:val="TableParagraph"/>
              <w:spacing w:before="28"/>
              <w:ind w:left="41" w:right="36"/>
              <w:rPr>
                <w:sz w:val="16"/>
              </w:rPr>
            </w:pPr>
            <w:r>
              <w:rPr>
                <w:color w:val="231F20"/>
                <w:sz w:val="16"/>
              </w:rPr>
              <w:t>23.7</w:t>
            </w:r>
          </w:p>
        </w:tc>
        <w:tc>
          <w:tcPr>
            <w:tcW w:w="442" w:type="dxa"/>
          </w:tcPr>
          <w:p>
            <w:pPr>
              <w:pStyle w:val="TableParagraph"/>
              <w:spacing w:before="28"/>
              <w:ind w:right="82"/>
              <w:jc w:val="right"/>
              <w:rPr>
                <w:sz w:val="16"/>
              </w:rPr>
            </w:pPr>
            <w:r>
              <w:rPr>
                <w:color w:val="231F20"/>
                <w:w w:val="95"/>
                <w:sz w:val="16"/>
              </w:rPr>
              <w:t>23.5</w:t>
            </w:r>
          </w:p>
        </w:tc>
        <w:tc>
          <w:tcPr>
            <w:tcW w:w="440" w:type="dxa"/>
          </w:tcPr>
          <w:p>
            <w:pPr>
              <w:pStyle w:val="TableParagraph"/>
              <w:spacing w:before="28"/>
              <w:ind w:left="60" w:right="53"/>
              <w:rPr>
                <w:sz w:val="16"/>
              </w:rPr>
            </w:pPr>
            <w:r>
              <w:rPr>
                <w:color w:val="231F20"/>
                <w:sz w:val="16"/>
              </w:rPr>
              <w:t>25.7</w:t>
            </w:r>
          </w:p>
        </w:tc>
      </w:tr>
      <w:tr>
        <w:trPr>
          <w:trHeight w:val="280" w:hRule="exact"/>
        </w:trPr>
        <w:tc>
          <w:tcPr>
            <w:tcW w:w="1465" w:type="dxa"/>
          </w:tcPr>
          <w:p>
            <w:pPr>
              <w:pStyle w:val="TableParagraph"/>
              <w:tabs>
                <w:tab w:pos="1341" w:val="right" w:leader="none"/>
              </w:tabs>
              <w:spacing w:before="28"/>
              <w:ind w:left="61"/>
              <w:jc w:val="left"/>
              <w:rPr>
                <w:sz w:val="16"/>
              </w:rPr>
            </w:pPr>
            <w:r>
              <w:rPr>
                <w:color w:val="231F20"/>
                <w:sz w:val="16"/>
              </w:rPr>
              <w:t>India</w:t>
              <w:tab/>
              <w:t>1.8</w:t>
            </w:r>
          </w:p>
        </w:tc>
        <w:tc>
          <w:tcPr>
            <w:tcW w:w="442" w:type="dxa"/>
          </w:tcPr>
          <w:p>
            <w:pPr>
              <w:pStyle w:val="TableParagraph"/>
              <w:spacing w:before="28"/>
              <w:ind w:left="61" w:right="56"/>
              <w:rPr>
                <w:sz w:val="16"/>
              </w:rPr>
            </w:pPr>
            <w:r>
              <w:rPr>
                <w:color w:val="231F20"/>
                <w:sz w:val="16"/>
              </w:rPr>
              <w:t>1.8</w:t>
            </w:r>
          </w:p>
        </w:tc>
        <w:tc>
          <w:tcPr>
            <w:tcW w:w="442" w:type="dxa"/>
          </w:tcPr>
          <w:p>
            <w:pPr>
              <w:pStyle w:val="TableParagraph"/>
              <w:spacing w:before="28"/>
              <w:ind w:left="128"/>
              <w:jc w:val="left"/>
              <w:rPr>
                <w:sz w:val="16"/>
              </w:rPr>
            </w:pPr>
            <w:r>
              <w:rPr>
                <w:color w:val="231F20"/>
                <w:sz w:val="16"/>
              </w:rPr>
              <w:t>1.8</w:t>
            </w:r>
          </w:p>
        </w:tc>
        <w:tc>
          <w:tcPr>
            <w:tcW w:w="442" w:type="dxa"/>
          </w:tcPr>
          <w:p>
            <w:pPr>
              <w:pStyle w:val="TableParagraph"/>
              <w:spacing w:before="28"/>
              <w:ind w:left="61" w:right="56"/>
              <w:rPr>
                <w:sz w:val="16"/>
              </w:rPr>
            </w:pPr>
            <w:r>
              <w:rPr>
                <w:color w:val="231F20"/>
                <w:sz w:val="16"/>
              </w:rPr>
              <w:t>2.2</w:t>
            </w:r>
          </w:p>
        </w:tc>
        <w:tc>
          <w:tcPr>
            <w:tcW w:w="441" w:type="dxa"/>
          </w:tcPr>
          <w:p>
            <w:pPr>
              <w:pStyle w:val="TableParagraph"/>
              <w:spacing w:before="28"/>
              <w:ind w:left="128"/>
              <w:jc w:val="left"/>
              <w:rPr>
                <w:sz w:val="16"/>
              </w:rPr>
            </w:pPr>
            <w:r>
              <w:rPr>
                <w:color w:val="231F20"/>
                <w:sz w:val="16"/>
              </w:rPr>
              <w:t>2.6</w:t>
            </w:r>
          </w:p>
        </w:tc>
        <w:tc>
          <w:tcPr>
            <w:tcW w:w="442" w:type="dxa"/>
          </w:tcPr>
          <w:p>
            <w:pPr>
              <w:pStyle w:val="TableParagraph"/>
              <w:spacing w:before="28"/>
              <w:ind w:left="41" w:right="35"/>
              <w:rPr>
                <w:sz w:val="16"/>
              </w:rPr>
            </w:pPr>
            <w:r>
              <w:rPr>
                <w:color w:val="231F20"/>
                <w:sz w:val="16"/>
              </w:rPr>
              <w:t>2.2</w:t>
            </w:r>
          </w:p>
        </w:tc>
        <w:tc>
          <w:tcPr>
            <w:tcW w:w="442" w:type="dxa"/>
          </w:tcPr>
          <w:p>
            <w:pPr>
              <w:pStyle w:val="TableParagraph"/>
              <w:spacing w:before="28"/>
              <w:ind w:left="129"/>
              <w:jc w:val="left"/>
              <w:rPr>
                <w:sz w:val="16"/>
              </w:rPr>
            </w:pPr>
            <w:r>
              <w:rPr>
                <w:color w:val="231F20"/>
                <w:sz w:val="16"/>
              </w:rPr>
              <w:t>2.6</w:t>
            </w:r>
          </w:p>
        </w:tc>
        <w:tc>
          <w:tcPr>
            <w:tcW w:w="442" w:type="dxa"/>
          </w:tcPr>
          <w:p>
            <w:pPr>
              <w:pStyle w:val="TableParagraph"/>
              <w:spacing w:before="28"/>
              <w:ind w:left="41" w:right="35"/>
              <w:rPr>
                <w:sz w:val="16"/>
              </w:rPr>
            </w:pPr>
            <w:r>
              <w:rPr>
                <w:color w:val="231F20"/>
                <w:sz w:val="16"/>
              </w:rPr>
              <w:t>2.8</w:t>
            </w:r>
          </w:p>
        </w:tc>
        <w:tc>
          <w:tcPr>
            <w:tcW w:w="442" w:type="dxa"/>
          </w:tcPr>
          <w:p>
            <w:pPr>
              <w:pStyle w:val="TableParagraph"/>
              <w:spacing w:before="28"/>
              <w:ind w:left="129"/>
              <w:jc w:val="left"/>
              <w:rPr>
                <w:sz w:val="16"/>
              </w:rPr>
            </w:pPr>
            <w:r>
              <w:rPr>
                <w:color w:val="231F20"/>
                <w:sz w:val="16"/>
              </w:rPr>
              <w:t>2.9</w:t>
            </w:r>
          </w:p>
        </w:tc>
        <w:tc>
          <w:tcPr>
            <w:tcW w:w="442" w:type="dxa"/>
          </w:tcPr>
          <w:p>
            <w:pPr>
              <w:pStyle w:val="TableParagraph"/>
              <w:spacing w:before="28"/>
              <w:ind w:left="41" w:right="35"/>
              <w:rPr>
                <w:sz w:val="16"/>
              </w:rPr>
            </w:pPr>
            <w:r>
              <w:rPr>
                <w:color w:val="231F20"/>
                <w:sz w:val="16"/>
              </w:rPr>
              <w:t>3.5</w:t>
            </w:r>
          </w:p>
        </w:tc>
        <w:tc>
          <w:tcPr>
            <w:tcW w:w="442" w:type="dxa"/>
          </w:tcPr>
          <w:p>
            <w:pPr>
              <w:pStyle w:val="TableParagraph"/>
              <w:spacing w:before="28"/>
              <w:ind w:left="129"/>
              <w:jc w:val="left"/>
              <w:rPr>
                <w:sz w:val="16"/>
              </w:rPr>
            </w:pPr>
            <w:r>
              <w:rPr>
                <w:color w:val="231F20"/>
                <w:sz w:val="16"/>
              </w:rPr>
              <w:t>4.1</w:t>
            </w:r>
          </w:p>
        </w:tc>
        <w:tc>
          <w:tcPr>
            <w:tcW w:w="442" w:type="dxa"/>
          </w:tcPr>
          <w:p>
            <w:pPr>
              <w:pStyle w:val="TableParagraph"/>
              <w:spacing w:before="28"/>
              <w:ind w:left="41" w:right="35"/>
              <w:rPr>
                <w:sz w:val="16"/>
              </w:rPr>
            </w:pPr>
            <w:r>
              <w:rPr>
                <w:color w:val="231F20"/>
                <w:sz w:val="16"/>
              </w:rPr>
              <w:t>4.2</w:t>
            </w:r>
          </w:p>
        </w:tc>
        <w:tc>
          <w:tcPr>
            <w:tcW w:w="442" w:type="dxa"/>
          </w:tcPr>
          <w:p>
            <w:pPr>
              <w:pStyle w:val="TableParagraph"/>
              <w:spacing w:before="28"/>
              <w:ind w:right="120"/>
              <w:jc w:val="right"/>
              <w:rPr>
                <w:sz w:val="16"/>
              </w:rPr>
            </w:pPr>
            <w:r>
              <w:rPr>
                <w:color w:val="231F20"/>
                <w:w w:val="95"/>
                <w:sz w:val="16"/>
              </w:rPr>
              <w:t>4.4</w:t>
            </w:r>
          </w:p>
        </w:tc>
        <w:tc>
          <w:tcPr>
            <w:tcW w:w="440" w:type="dxa"/>
          </w:tcPr>
          <w:p>
            <w:pPr>
              <w:pStyle w:val="TableParagraph"/>
              <w:spacing w:before="28"/>
              <w:ind w:left="60" w:right="52"/>
              <w:rPr>
                <w:sz w:val="16"/>
              </w:rPr>
            </w:pPr>
            <w:r>
              <w:rPr>
                <w:color w:val="231F20"/>
                <w:sz w:val="16"/>
              </w:rPr>
              <w:t>3.8</w:t>
            </w:r>
          </w:p>
        </w:tc>
      </w:tr>
      <w:tr>
        <w:trPr>
          <w:trHeight w:val="280" w:hRule="exact"/>
        </w:trPr>
        <w:tc>
          <w:tcPr>
            <w:tcW w:w="1465" w:type="dxa"/>
          </w:tcPr>
          <w:p>
            <w:pPr>
              <w:pStyle w:val="TableParagraph"/>
              <w:tabs>
                <w:tab w:pos="1341" w:val="right" w:leader="none"/>
              </w:tabs>
              <w:spacing w:before="28"/>
              <w:ind w:left="61"/>
              <w:jc w:val="left"/>
              <w:rPr>
                <w:sz w:val="16"/>
              </w:rPr>
            </w:pPr>
            <w:r>
              <w:rPr>
                <w:color w:val="231F20"/>
                <w:sz w:val="16"/>
              </w:rPr>
              <w:t>Malasia</w:t>
              <w:tab/>
              <w:t>0.6</w:t>
            </w:r>
          </w:p>
        </w:tc>
        <w:tc>
          <w:tcPr>
            <w:tcW w:w="442" w:type="dxa"/>
          </w:tcPr>
          <w:p>
            <w:pPr>
              <w:pStyle w:val="TableParagraph"/>
              <w:spacing w:before="28"/>
              <w:ind w:left="61" w:right="56"/>
              <w:rPr>
                <w:sz w:val="16"/>
              </w:rPr>
            </w:pPr>
            <w:r>
              <w:rPr>
                <w:color w:val="231F20"/>
                <w:sz w:val="16"/>
              </w:rPr>
              <w:t>0.8</w:t>
            </w:r>
          </w:p>
        </w:tc>
        <w:tc>
          <w:tcPr>
            <w:tcW w:w="442" w:type="dxa"/>
          </w:tcPr>
          <w:p>
            <w:pPr>
              <w:pStyle w:val="TableParagraph"/>
              <w:spacing w:before="28"/>
              <w:ind w:left="129"/>
              <w:jc w:val="left"/>
              <w:rPr>
                <w:sz w:val="16"/>
              </w:rPr>
            </w:pPr>
            <w:r>
              <w:rPr>
                <w:color w:val="231F20"/>
                <w:sz w:val="16"/>
              </w:rPr>
              <w:t>0.8</w:t>
            </w:r>
          </w:p>
        </w:tc>
        <w:tc>
          <w:tcPr>
            <w:tcW w:w="442" w:type="dxa"/>
          </w:tcPr>
          <w:p>
            <w:pPr>
              <w:pStyle w:val="TableParagraph"/>
              <w:spacing w:before="28"/>
              <w:ind w:left="61" w:right="56"/>
              <w:rPr>
                <w:sz w:val="16"/>
              </w:rPr>
            </w:pPr>
            <w:r>
              <w:rPr>
                <w:color w:val="231F20"/>
                <w:sz w:val="16"/>
              </w:rPr>
              <w:t>0.7</w:t>
            </w:r>
          </w:p>
        </w:tc>
        <w:tc>
          <w:tcPr>
            <w:tcW w:w="441" w:type="dxa"/>
          </w:tcPr>
          <w:p>
            <w:pPr>
              <w:pStyle w:val="TableParagraph"/>
              <w:spacing w:before="28"/>
              <w:ind w:left="128"/>
              <w:jc w:val="left"/>
              <w:rPr>
                <w:sz w:val="16"/>
              </w:rPr>
            </w:pPr>
            <w:r>
              <w:rPr>
                <w:color w:val="231F20"/>
                <w:sz w:val="16"/>
              </w:rPr>
              <w:t>0.8</w:t>
            </w:r>
          </w:p>
        </w:tc>
        <w:tc>
          <w:tcPr>
            <w:tcW w:w="442" w:type="dxa"/>
          </w:tcPr>
          <w:p>
            <w:pPr>
              <w:pStyle w:val="TableParagraph"/>
              <w:spacing w:before="28"/>
              <w:ind w:left="41" w:right="34"/>
              <w:rPr>
                <w:sz w:val="16"/>
              </w:rPr>
            </w:pPr>
            <w:r>
              <w:rPr>
                <w:color w:val="231F20"/>
                <w:sz w:val="16"/>
              </w:rPr>
              <w:t>0.8</w:t>
            </w:r>
          </w:p>
        </w:tc>
        <w:tc>
          <w:tcPr>
            <w:tcW w:w="442" w:type="dxa"/>
          </w:tcPr>
          <w:p>
            <w:pPr>
              <w:pStyle w:val="TableParagraph"/>
              <w:spacing w:before="28"/>
              <w:ind w:left="129"/>
              <w:jc w:val="left"/>
              <w:rPr>
                <w:sz w:val="16"/>
              </w:rPr>
            </w:pPr>
            <w:r>
              <w:rPr>
                <w:color w:val="231F20"/>
                <w:sz w:val="16"/>
              </w:rPr>
              <w:t>0.7</w:t>
            </w:r>
          </w:p>
        </w:tc>
        <w:tc>
          <w:tcPr>
            <w:tcW w:w="442" w:type="dxa"/>
          </w:tcPr>
          <w:p>
            <w:pPr>
              <w:pStyle w:val="TableParagraph"/>
              <w:spacing w:before="28"/>
              <w:ind w:left="41" w:right="34"/>
              <w:rPr>
                <w:sz w:val="16"/>
              </w:rPr>
            </w:pPr>
            <w:r>
              <w:rPr>
                <w:color w:val="231F20"/>
                <w:sz w:val="16"/>
              </w:rPr>
              <w:t>0.7</w:t>
            </w:r>
          </w:p>
        </w:tc>
        <w:tc>
          <w:tcPr>
            <w:tcW w:w="442" w:type="dxa"/>
          </w:tcPr>
          <w:p>
            <w:pPr>
              <w:pStyle w:val="TableParagraph"/>
              <w:spacing w:before="28"/>
              <w:ind w:left="129"/>
              <w:jc w:val="left"/>
              <w:rPr>
                <w:sz w:val="16"/>
              </w:rPr>
            </w:pPr>
            <w:r>
              <w:rPr>
                <w:color w:val="231F20"/>
                <w:sz w:val="16"/>
              </w:rPr>
              <w:t>0.8</w:t>
            </w:r>
          </w:p>
        </w:tc>
        <w:tc>
          <w:tcPr>
            <w:tcW w:w="442" w:type="dxa"/>
          </w:tcPr>
          <w:p>
            <w:pPr>
              <w:pStyle w:val="TableParagraph"/>
              <w:spacing w:before="28"/>
              <w:ind w:left="41" w:right="34"/>
              <w:rPr>
                <w:sz w:val="16"/>
              </w:rPr>
            </w:pPr>
            <w:r>
              <w:rPr>
                <w:color w:val="231F20"/>
                <w:sz w:val="16"/>
              </w:rPr>
              <w:t>0.8</w:t>
            </w:r>
          </w:p>
        </w:tc>
        <w:tc>
          <w:tcPr>
            <w:tcW w:w="442" w:type="dxa"/>
          </w:tcPr>
          <w:p>
            <w:pPr>
              <w:pStyle w:val="TableParagraph"/>
              <w:spacing w:before="28"/>
              <w:ind w:left="129"/>
              <w:jc w:val="left"/>
              <w:rPr>
                <w:sz w:val="16"/>
              </w:rPr>
            </w:pPr>
            <w:r>
              <w:rPr>
                <w:color w:val="231F20"/>
                <w:sz w:val="16"/>
              </w:rPr>
              <w:t>0.8</w:t>
            </w:r>
          </w:p>
        </w:tc>
        <w:tc>
          <w:tcPr>
            <w:tcW w:w="442" w:type="dxa"/>
          </w:tcPr>
          <w:p>
            <w:pPr>
              <w:pStyle w:val="TableParagraph"/>
              <w:spacing w:before="28"/>
              <w:ind w:left="41" w:right="34"/>
              <w:rPr>
                <w:sz w:val="16"/>
              </w:rPr>
            </w:pPr>
            <w:r>
              <w:rPr>
                <w:color w:val="231F20"/>
                <w:sz w:val="16"/>
              </w:rPr>
              <w:t>0.8</w:t>
            </w:r>
          </w:p>
        </w:tc>
        <w:tc>
          <w:tcPr>
            <w:tcW w:w="442" w:type="dxa"/>
          </w:tcPr>
          <w:p>
            <w:pPr>
              <w:pStyle w:val="TableParagraph"/>
              <w:spacing w:before="28"/>
              <w:ind w:right="120"/>
              <w:jc w:val="right"/>
              <w:rPr>
                <w:sz w:val="16"/>
              </w:rPr>
            </w:pPr>
            <w:r>
              <w:rPr>
                <w:color w:val="231F20"/>
                <w:w w:val="95"/>
                <w:sz w:val="16"/>
              </w:rPr>
              <w:t>0.8</w:t>
            </w:r>
          </w:p>
        </w:tc>
        <w:tc>
          <w:tcPr>
            <w:tcW w:w="440" w:type="dxa"/>
          </w:tcPr>
          <w:p>
            <w:pPr>
              <w:pStyle w:val="TableParagraph"/>
              <w:spacing w:before="28"/>
              <w:ind w:left="60" w:right="51"/>
              <w:rPr>
                <w:sz w:val="16"/>
              </w:rPr>
            </w:pPr>
            <w:r>
              <w:rPr>
                <w:color w:val="231F20"/>
                <w:sz w:val="16"/>
              </w:rPr>
              <w:t>0.8</w:t>
            </w:r>
          </w:p>
        </w:tc>
      </w:tr>
      <w:tr>
        <w:trPr>
          <w:trHeight w:val="280" w:hRule="exact"/>
        </w:trPr>
        <w:tc>
          <w:tcPr>
            <w:tcW w:w="1465" w:type="dxa"/>
          </w:tcPr>
          <w:p>
            <w:pPr>
              <w:pStyle w:val="TableParagraph"/>
              <w:tabs>
                <w:tab w:pos="1342" w:val="right" w:leader="none"/>
              </w:tabs>
              <w:spacing w:before="28"/>
              <w:ind w:left="62"/>
              <w:jc w:val="left"/>
              <w:rPr>
                <w:sz w:val="16"/>
              </w:rPr>
            </w:pPr>
            <w:r>
              <w:rPr>
                <w:color w:val="231F20"/>
                <w:spacing w:val="-4"/>
                <w:sz w:val="16"/>
              </w:rPr>
              <w:t>Taiwán</w:t>
              <w:tab/>
            </w:r>
            <w:r>
              <w:rPr>
                <w:color w:val="231F20"/>
                <w:sz w:val="16"/>
              </w:rPr>
              <w:t>0.8</w:t>
            </w:r>
          </w:p>
        </w:tc>
        <w:tc>
          <w:tcPr>
            <w:tcW w:w="442" w:type="dxa"/>
          </w:tcPr>
          <w:p>
            <w:pPr>
              <w:pStyle w:val="TableParagraph"/>
              <w:spacing w:before="28"/>
              <w:ind w:left="61" w:right="55"/>
              <w:rPr>
                <w:sz w:val="16"/>
              </w:rPr>
            </w:pPr>
            <w:r>
              <w:rPr>
                <w:color w:val="231F20"/>
                <w:sz w:val="16"/>
              </w:rPr>
              <w:t>0.7</w:t>
            </w:r>
          </w:p>
        </w:tc>
        <w:tc>
          <w:tcPr>
            <w:tcW w:w="442" w:type="dxa"/>
          </w:tcPr>
          <w:p>
            <w:pPr>
              <w:pStyle w:val="TableParagraph"/>
              <w:spacing w:before="28"/>
              <w:ind w:left="129"/>
              <w:jc w:val="left"/>
              <w:rPr>
                <w:sz w:val="16"/>
              </w:rPr>
            </w:pPr>
            <w:r>
              <w:rPr>
                <w:color w:val="231F20"/>
                <w:sz w:val="16"/>
              </w:rPr>
              <w:t>0.8</w:t>
            </w:r>
          </w:p>
        </w:tc>
        <w:tc>
          <w:tcPr>
            <w:tcW w:w="442" w:type="dxa"/>
          </w:tcPr>
          <w:p>
            <w:pPr>
              <w:pStyle w:val="TableParagraph"/>
              <w:spacing w:before="28"/>
              <w:ind w:left="61" w:right="55"/>
              <w:rPr>
                <w:sz w:val="16"/>
              </w:rPr>
            </w:pPr>
            <w:r>
              <w:rPr>
                <w:color w:val="231F20"/>
                <w:sz w:val="16"/>
              </w:rPr>
              <w:t>0.9</w:t>
            </w:r>
          </w:p>
        </w:tc>
        <w:tc>
          <w:tcPr>
            <w:tcW w:w="441" w:type="dxa"/>
          </w:tcPr>
          <w:p>
            <w:pPr>
              <w:pStyle w:val="TableParagraph"/>
              <w:spacing w:before="28"/>
              <w:ind w:left="129"/>
              <w:jc w:val="left"/>
              <w:rPr>
                <w:sz w:val="16"/>
              </w:rPr>
            </w:pPr>
            <w:r>
              <w:rPr>
                <w:color w:val="231F20"/>
                <w:sz w:val="16"/>
              </w:rPr>
              <w:t>0.9</w:t>
            </w:r>
          </w:p>
        </w:tc>
        <w:tc>
          <w:tcPr>
            <w:tcW w:w="442" w:type="dxa"/>
          </w:tcPr>
          <w:p>
            <w:pPr>
              <w:pStyle w:val="TableParagraph"/>
              <w:spacing w:before="28"/>
              <w:ind w:left="41" w:right="33"/>
              <w:rPr>
                <w:sz w:val="16"/>
              </w:rPr>
            </w:pPr>
            <w:r>
              <w:rPr>
                <w:color w:val="231F20"/>
                <w:sz w:val="16"/>
              </w:rPr>
              <w:t>0.7</w:t>
            </w:r>
          </w:p>
        </w:tc>
        <w:tc>
          <w:tcPr>
            <w:tcW w:w="442" w:type="dxa"/>
          </w:tcPr>
          <w:p>
            <w:pPr>
              <w:pStyle w:val="TableParagraph"/>
              <w:spacing w:before="28"/>
              <w:ind w:left="130"/>
              <w:jc w:val="left"/>
              <w:rPr>
                <w:sz w:val="16"/>
              </w:rPr>
            </w:pPr>
            <w:r>
              <w:rPr>
                <w:color w:val="231F20"/>
                <w:sz w:val="16"/>
              </w:rPr>
              <w:t>0.4</w:t>
            </w:r>
          </w:p>
        </w:tc>
        <w:tc>
          <w:tcPr>
            <w:tcW w:w="442" w:type="dxa"/>
          </w:tcPr>
          <w:p>
            <w:pPr>
              <w:pStyle w:val="TableParagraph"/>
              <w:spacing w:before="28"/>
              <w:ind w:left="41" w:right="33"/>
              <w:rPr>
                <w:sz w:val="16"/>
              </w:rPr>
            </w:pPr>
            <w:r>
              <w:rPr>
                <w:color w:val="231F20"/>
                <w:sz w:val="16"/>
              </w:rPr>
              <w:t>0.4</w:t>
            </w:r>
          </w:p>
        </w:tc>
        <w:tc>
          <w:tcPr>
            <w:tcW w:w="442" w:type="dxa"/>
          </w:tcPr>
          <w:p>
            <w:pPr>
              <w:pStyle w:val="TableParagraph"/>
              <w:spacing w:before="28"/>
              <w:ind w:left="130"/>
              <w:jc w:val="left"/>
              <w:rPr>
                <w:sz w:val="16"/>
              </w:rPr>
            </w:pPr>
            <w:r>
              <w:rPr>
                <w:color w:val="231F20"/>
                <w:sz w:val="16"/>
              </w:rPr>
              <w:t>0.3</w:t>
            </w:r>
          </w:p>
        </w:tc>
        <w:tc>
          <w:tcPr>
            <w:tcW w:w="442" w:type="dxa"/>
          </w:tcPr>
          <w:p>
            <w:pPr>
              <w:pStyle w:val="TableParagraph"/>
              <w:spacing w:before="28"/>
              <w:ind w:left="41" w:right="33"/>
              <w:rPr>
                <w:sz w:val="16"/>
              </w:rPr>
            </w:pPr>
            <w:r>
              <w:rPr>
                <w:color w:val="231F20"/>
                <w:sz w:val="16"/>
              </w:rPr>
              <w:t>0.3</w:t>
            </w:r>
          </w:p>
        </w:tc>
        <w:tc>
          <w:tcPr>
            <w:tcW w:w="442" w:type="dxa"/>
          </w:tcPr>
          <w:p>
            <w:pPr>
              <w:pStyle w:val="TableParagraph"/>
              <w:spacing w:before="28"/>
              <w:ind w:left="130"/>
              <w:jc w:val="left"/>
              <w:rPr>
                <w:sz w:val="16"/>
              </w:rPr>
            </w:pPr>
            <w:r>
              <w:rPr>
                <w:color w:val="231F20"/>
                <w:sz w:val="16"/>
              </w:rPr>
              <w:t>0.3</w:t>
            </w:r>
          </w:p>
        </w:tc>
        <w:tc>
          <w:tcPr>
            <w:tcW w:w="442" w:type="dxa"/>
          </w:tcPr>
          <w:p>
            <w:pPr>
              <w:pStyle w:val="TableParagraph"/>
              <w:spacing w:before="28"/>
              <w:ind w:left="41" w:right="33"/>
              <w:rPr>
                <w:sz w:val="16"/>
              </w:rPr>
            </w:pPr>
            <w:r>
              <w:rPr>
                <w:color w:val="231F20"/>
                <w:sz w:val="16"/>
              </w:rPr>
              <w:t>0.4</w:t>
            </w:r>
          </w:p>
        </w:tc>
        <w:tc>
          <w:tcPr>
            <w:tcW w:w="442" w:type="dxa"/>
          </w:tcPr>
          <w:p>
            <w:pPr>
              <w:pStyle w:val="TableParagraph"/>
              <w:spacing w:before="28"/>
              <w:ind w:right="119"/>
              <w:jc w:val="right"/>
              <w:rPr>
                <w:sz w:val="16"/>
              </w:rPr>
            </w:pPr>
            <w:r>
              <w:rPr>
                <w:color w:val="231F20"/>
                <w:w w:val="95"/>
                <w:sz w:val="16"/>
              </w:rPr>
              <w:t>0.3</w:t>
            </w:r>
          </w:p>
        </w:tc>
        <w:tc>
          <w:tcPr>
            <w:tcW w:w="440" w:type="dxa"/>
          </w:tcPr>
          <w:p>
            <w:pPr>
              <w:pStyle w:val="TableParagraph"/>
              <w:spacing w:before="28"/>
              <w:ind w:left="60" w:right="50"/>
              <w:rPr>
                <w:sz w:val="16"/>
              </w:rPr>
            </w:pPr>
            <w:r>
              <w:rPr>
                <w:color w:val="231F20"/>
                <w:sz w:val="16"/>
              </w:rPr>
              <w:t>0.3</w:t>
            </w:r>
          </w:p>
        </w:tc>
      </w:tr>
      <w:tr>
        <w:trPr>
          <w:trHeight w:val="280" w:hRule="exact"/>
        </w:trPr>
        <w:tc>
          <w:tcPr>
            <w:tcW w:w="1465" w:type="dxa"/>
          </w:tcPr>
          <w:p>
            <w:pPr>
              <w:pStyle w:val="TableParagraph"/>
              <w:tabs>
                <w:tab w:pos="1342" w:val="right" w:leader="none"/>
              </w:tabs>
              <w:spacing w:before="28"/>
              <w:ind w:left="62"/>
              <w:jc w:val="left"/>
              <w:rPr>
                <w:sz w:val="16"/>
              </w:rPr>
            </w:pPr>
            <w:r>
              <w:rPr>
                <w:color w:val="231F20"/>
                <w:sz w:val="16"/>
              </w:rPr>
              <w:t>Australia</w:t>
              <w:tab/>
              <w:t>1.4</w:t>
            </w:r>
          </w:p>
        </w:tc>
        <w:tc>
          <w:tcPr>
            <w:tcW w:w="442" w:type="dxa"/>
          </w:tcPr>
          <w:p>
            <w:pPr>
              <w:pStyle w:val="TableParagraph"/>
              <w:spacing w:before="28"/>
              <w:ind w:left="61" w:right="54"/>
              <w:rPr>
                <w:sz w:val="16"/>
              </w:rPr>
            </w:pPr>
            <w:r>
              <w:rPr>
                <w:color w:val="231F20"/>
                <w:sz w:val="16"/>
              </w:rPr>
              <w:t>1.5</w:t>
            </w:r>
          </w:p>
        </w:tc>
        <w:tc>
          <w:tcPr>
            <w:tcW w:w="442" w:type="dxa"/>
          </w:tcPr>
          <w:p>
            <w:pPr>
              <w:pStyle w:val="TableParagraph"/>
              <w:spacing w:before="28"/>
              <w:ind w:left="130"/>
              <w:jc w:val="left"/>
              <w:rPr>
                <w:sz w:val="16"/>
              </w:rPr>
            </w:pPr>
            <w:r>
              <w:rPr>
                <w:color w:val="231F20"/>
                <w:sz w:val="16"/>
              </w:rPr>
              <w:t>1.5</w:t>
            </w:r>
          </w:p>
        </w:tc>
        <w:tc>
          <w:tcPr>
            <w:tcW w:w="442" w:type="dxa"/>
          </w:tcPr>
          <w:p>
            <w:pPr>
              <w:pStyle w:val="TableParagraph"/>
              <w:spacing w:before="28"/>
              <w:ind w:left="61" w:right="54"/>
              <w:rPr>
                <w:sz w:val="16"/>
              </w:rPr>
            </w:pPr>
            <w:r>
              <w:rPr>
                <w:color w:val="231F20"/>
                <w:sz w:val="16"/>
              </w:rPr>
              <w:t>1.6</w:t>
            </w:r>
          </w:p>
        </w:tc>
        <w:tc>
          <w:tcPr>
            <w:tcW w:w="441" w:type="dxa"/>
          </w:tcPr>
          <w:p>
            <w:pPr>
              <w:pStyle w:val="TableParagraph"/>
              <w:spacing w:before="28"/>
              <w:ind w:left="129"/>
              <w:jc w:val="left"/>
              <w:rPr>
                <w:sz w:val="16"/>
              </w:rPr>
            </w:pPr>
            <w:r>
              <w:rPr>
                <w:color w:val="231F20"/>
                <w:sz w:val="16"/>
              </w:rPr>
              <w:t>1.6</w:t>
            </w:r>
          </w:p>
        </w:tc>
        <w:tc>
          <w:tcPr>
            <w:tcW w:w="442" w:type="dxa"/>
          </w:tcPr>
          <w:p>
            <w:pPr>
              <w:pStyle w:val="TableParagraph"/>
              <w:spacing w:before="28"/>
              <w:ind w:left="41" w:right="32"/>
              <w:rPr>
                <w:sz w:val="16"/>
              </w:rPr>
            </w:pPr>
            <w:r>
              <w:rPr>
                <w:color w:val="231F20"/>
                <w:sz w:val="16"/>
              </w:rPr>
              <w:t>1.5</w:t>
            </w:r>
          </w:p>
        </w:tc>
        <w:tc>
          <w:tcPr>
            <w:tcW w:w="442" w:type="dxa"/>
          </w:tcPr>
          <w:p>
            <w:pPr>
              <w:pStyle w:val="TableParagraph"/>
              <w:spacing w:before="28"/>
              <w:ind w:left="130"/>
              <w:jc w:val="left"/>
              <w:rPr>
                <w:sz w:val="16"/>
              </w:rPr>
            </w:pPr>
            <w:r>
              <w:rPr>
                <w:color w:val="231F20"/>
                <w:sz w:val="16"/>
              </w:rPr>
              <w:t>1.4</w:t>
            </w:r>
          </w:p>
        </w:tc>
        <w:tc>
          <w:tcPr>
            <w:tcW w:w="442" w:type="dxa"/>
          </w:tcPr>
          <w:p>
            <w:pPr>
              <w:pStyle w:val="TableParagraph"/>
              <w:spacing w:before="28"/>
              <w:ind w:left="41" w:right="32"/>
              <w:rPr>
                <w:sz w:val="16"/>
              </w:rPr>
            </w:pPr>
            <w:r>
              <w:rPr>
                <w:color w:val="231F20"/>
                <w:sz w:val="16"/>
              </w:rPr>
              <w:t>1.5</w:t>
            </w:r>
          </w:p>
        </w:tc>
        <w:tc>
          <w:tcPr>
            <w:tcW w:w="442" w:type="dxa"/>
          </w:tcPr>
          <w:p>
            <w:pPr>
              <w:pStyle w:val="TableParagraph"/>
              <w:spacing w:before="28"/>
              <w:ind w:left="130"/>
              <w:jc w:val="left"/>
              <w:rPr>
                <w:sz w:val="16"/>
              </w:rPr>
            </w:pPr>
            <w:r>
              <w:rPr>
                <w:color w:val="231F20"/>
                <w:sz w:val="16"/>
              </w:rPr>
              <w:t>1.5</w:t>
            </w:r>
          </w:p>
        </w:tc>
        <w:tc>
          <w:tcPr>
            <w:tcW w:w="442" w:type="dxa"/>
          </w:tcPr>
          <w:p>
            <w:pPr>
              <w:pStyle w:val="TableParagraph"/>
              <w:spacing w:before="28"/>
              <w:ind w:left="41" w:right="32"/>
              <w:rPr>
                <w:sz w:val="16"/>
              </w:rPr>
            </w:pPr>
            <w:r>
              <w:rPr>
                <w:color w:val="231F20"/>
                <w:sz w:val="16"/>
              </w:rPr>
              <w:t>1.4</w:t>
            </w:r>
          </w:p>
        </w:tc>
        <w:tc>
          <w:tcPr>
            <w:tcW w:w="442" w:type="dxa"/>
          </w:tcPr>
          <w:p>
            <w:pPr>
              <w:pStyle w:val="TableParagraph"/>
              <w:spacing w:before="28"/>
              <w:ind w:left="130"/>
              <w:jc w:val="left"/>
              <w:rPr>
                <w:sz w:val="16"/>
              </w:rPr>
            </w:pPr>
            <w:r>
              <w:rPr>
                <w:color w:val="231F20"/>
                <w:sz w:val="16"/>
              </w:rPr>
              <w:t>1.4</w:t>
            </w:r>
          </w:p>
        </w:tc>
        <w:tc>
          <w:tcPr>
            <w:tcW w:w="442" w:type="dxa"/>
          </w:tcPr>
          <w:p>
            <w:pPr>
              <w:pStyle w:val="TableParagraph"/>
              <w:spacing w:before="28"/>
              <w:ind w:left="41" w:right="32"/>
              <w:rPr>
                <w:sz w:val="16"/>
              </w:rPr>
            </w:pPr>
            <w:r>
              <w:rPr>
                <w:color w:val="231F20"/>
                <w:sz w:val="16"/>
              </w:rPr>
              <w:t>1.3</w:t>
            </w:r>
          </w:p>
        </w:tc>
        <w:tc>
          <w:tcPr>
            <w:tcW w:w="442" w:type="dxa"/>
          </w:tcPr>
          <w:p>
            <w:pPr>
              <w:pStyle w:val="TableParagraph"/>
              <w:spacing w:before="28"/>
              <w:ind w:right="119"/>
              <w:jc w:val="right"/>
              <w:rPr>
                <w:sz w:val="16"/>
              </w:rPr>
            </w:pPr>
            <w:r>
              <w:rPr>
                <w:color w:val="231F20"/>
                <w:w w:val="95"/>
                <w:sz w:val="16"/>
              </w:rPr>
              <w:t>1.4</w:t>
            </w:r>
          </w:p>
        </w:tc>
        <w:tc>
          <w:tcPr>
            <w:tcW w:w="440" w:type="dxa"/>
          </w:tcPr>
          <w:p>
            <w:pPr>
              <w:pStyle w:val="TableParagraph"/>
              <w:spacing w:before="28"/>
              <w:ind w:left="60" w:right="49"/>
              <w:rPr>
                <w:sz w:val="16"/>
              </w:rPr>
            </w:pPr>
            <w:r>
              <w:rPr>
                <w:color w:val="231F20"/>
                <w:sz w:val="16"/>
              </w:rPr>
              <w:t>1.3</w:t>
            </w:r>
          </w:p>
        </w:tc>
      </w:tr>
      <w:tr>
        <w:trPr>
          <w:trHeight w:val="259" w:hRule="exact"/>
        </w:trPr>
        <w:tc>
          <w:tcPr>
            <w:tcW w:w="1465" w:type="dxa"/>
            <w:tcBorders>
              <w:bottom w:val="single" w:sz="4" w:space="0" w:color="231F20"/>
            </w:tcBorders>
          </w:tcPr>
          <w:p>
            <w:pPr>
              <w:pStyle w:val="TableParagraph"/>
              <w:tabs>
                <w:tab w:pos="1336" w:val="right" w:leader="none"/>
              </w:tabs>
              <w:spacing w:before="28"/>
              <w:ind w:left="63"/>
              <w:jc w:val="left"/>
              <w:rPr>
                <w:sz w:val="16"/>
              </w:rPr>
            </w:pPr>
            <w:r>
              <w:rPr>
                <w:color w:val="231F20"/>
                <w:sz w:val="16"/>
              </w:rPr>
              <w:t>Otros</w:t>
            </w:r>
            <w:r>
              <w:rPr>
                <w:color w:val="231F20"/>
                <w:spacing w:val="-6"/>
                <w:sz w:val="16"/>
              </w:rPr>
              <w:t> </w:t>
            </w:r>
            <w:r>
              <w:rPr>
                <w:color w:val="231F20"/>
                <w:sz w:val="16"/>
              </w:rPr>
              <w:t>países</w:t>
            </w:r>
            <w:r>
              <w:rPr>
                <w:color w:val="231F20"/>
                <w:spacing w:val="-13"/>
                <w:sz w:val="16"/>
              </w:rPr>
              <w:t> </w:t>
            </w:r>
            <w:r>
              <w:rPr>
                <w:color w:val="231F20"/>
                <w:position w:val="5"/>
                <w:sz w:val="9"/>
              </w:rPr>
              <w:t>3</w:t>
            </w:r>
            <w:r>
              <w:rPr>
                <w:color w:val="231F20"/>
                <w:sz w:val="16"/>
              </w:rPr>
              <w:tab/>
              <w:t>0.4</w:t>
            </w:r>
          </w:p>
        </w:tc>
        <w:tc>
          <w:tcPr>
            <w:tcW w:w="442" w:type="dxa"/>
            <w:tcBorders>
              <w:bottom w:val="single" w:sz="4" w:space="0" w:color="231F20"/>
            </w:tcBorders>
          </w:tcPr>
          <w:p>
            <w:pPr>
              <w:pStyle w:val="TableParagraph"/>
              <w:spacing w:before="28"/>
              <w:ind w:left="59" w:right="61"/>
              <w:rPr>
                <w:sz w:val="16"/>
              </w:rPr>
            </w:pPr>
            <w:r>
              <w:rPr>
                <w:color w:val="231F20"/>
                <w:sz w:val="16"/>
              </w:rPr>
              <w:t>0.4</w:t>
            </w:r>
          </w:p>
        </w:tc>
        <w:tc>
          <w:tcPr>
            <w:tcW w:w="442" w:type="dxa"/>
            <w:tcBorders>
              <w:bottom w:val="single" w:sz="4" w:space="0" w:color="231F20"/>
            </w:tcBorders>
          </w:tcPr>
          <w:p>
            <w:pPr>
              <w:pStyle w:val="TableParagraph"/>
              <w:spacing w:before="28"/>
              <w:ind w:left="123"/>
              <w:jc w:val="left"/>
              <w:rPr>
                <w:sz w:val="16"/>
              </w:rPr>
            </w:pPr>
            <w:r>
              <w:rPr>
                <w:color w:val="231F20"/>
                <w:sz w:val="16"/>
              </w:rPr>
              <w:t>0.4</w:t>
            </w:r>
          </w:p>
        </w:tc>
        <w:tc>
          <w:tcPr>
            <w:tcW w:w="442" w:type="dxa"/>
            <w:tcBorders>
              <w:bottom w:val="single" w:sz="4" w:space="0" w:color="231F20"/>
            </w:tcBorders>
          </w:tcPr>
          <w:p>
            <w:pPr>
              <w:pStyle w:val="TableParagraph"/>
              <w:spacing w:before="28"/>
              <w:ind w:left="59" w:right="61"/>
              <w:rPr>
                <w:sz w:val="16"/>
              </w:rPr>
            </w:pPr>
            <w:r>
              <w:rPr>
                <w:color w:val="231F20"/>
                <w:sz w:val="16"/>
              </w:rPr>
              <w:t>0.5</w:t>
            </w:r>
          </w:p>
        </w:tc>
        <w:tc>
          <w:tcPr>
            <w:tcW w:w="441" w:type="dxa"/>
            <w:tcBorders>
              <w:bottom w:val="single" w:sz="4" w:space="0" w:color="231F20"/>
            </w:tcBorders>
          </w:tcPr>
          <w:p>
            <w:pPr>
              <w:pStyle w:val="TableParagraph"/>
              <w:spacing w:before="28"/>
              <w:ind w:left="123"/>
              <w:jc w:val="left"/>
              <w:rPr>
                <w:sz w:val="16"/>
              </w:rPr>
            </w:pPr>
            <w:r>
              <w:rPr>
                <w:color w:val="231F20"/>
                <w:sz w:val="16"/>
              </w:rPr>
              <w:t>0.5</w:t>
            </w:r>
          </w:p>
        </w:tc>
        <w:tc>
          <w:tcPr>
            <w:tcW w:w="442" w:type="dxa"/>
            <w:tcBorders>
              <w:bottom w:val="single" w:sz="4" w:space="0" w:color="231F20"/>
            </w:tcBorders>
          </w:tcPr>
          <w:p>
            <w:pPr>
              <w:pStyle w:val="TableParagraph"/>
              <w:spacing w:before="28"/>
              <w:ind w:left="41" w:right="41"/>
              <w:rPr>
                <w:sz w:val="16"/>
              </w:rPr>
            </w:pPr>
            <w:r>
              <w:rPr>
                <w:color w:val="231F20"/>
                <w:sz w:val="16"/>
              </w:rPr>
              <w:t>0.5</w:t>
            </w:r>
          </w:p>
        </w:tc>
        <w:tc>
          <w:tcPr>
            <w:tcW w:w="442" w:type="dxa"/>
            <w:tcBorders>
              <w:bottom w:val="single" w:sz="4" w:space="0" w:color="231F20"/>
            </w:tcBorders>
          </w:tcPr>
          <w:p>
            <w:pPr>
              <w:pStyle w:val="TableParagraph"/>
              <w:spacing w:before="28"/>
              <w:ind w:left="124"/>
              <w:jc w:val="left"/>
              <w:rPr>
                <w:sz w:val="16"/>
              </w:rPr>
            </w:pPr>
            <w:r>
              <w:rPr>
                <w:color w:val="231F20"/>
                <w:sz w:val="16"/>
              </w:rPr>
              <w:t>0.5</w:t>
            </w:r>
          </w:p>
        </w:tc>
        <w:tc>
          <w:tcPr>
            <w:tcW w:w="442" w:type="dxa"/>
            <w:tcBorders>
              <w:bottom w:val="single" w:sz="4" w:space="0" w:color="231F20"/>
            </w:tcBorders>
          </w:tcPr>
          <w:p>
            <w:pPr>
              <w:pStyle w:val="TableParagraph"/>
              <w:spacing w:before="28"/>
              <w:ind w:left="41" w:right="41"/>
              <w:rPr>
                <w:sz w:val="16"/>
              </w:rPr>
            </w:pPr>
            <w:r>
              <w:rPr>
                <w:color w:val="231F20"/>
                <w:sz w:val="16"/>
              </w:rPr>
              <w:t>0.5</w:t>
            </w:r>
          </w:p>
        </w:tc>
        <w:tc>
          <w:tcPr>
            <w:tcW w:w="442" w:type="dxa"/>
            <w:tcBorders>
              <w:bottom w:val="single" w:sz="4" w:space="0" w:color="231F20"/>
            </w:tcBorders>
          </w:tcPr>
          <w:p>
            <w:pPr>
              <w:pStyle w:val="TableParagraph"/>
              <w:spacing w:before="28"/>
              <w:ind w:left="124"/>
              <w:jc w:val="left"/>
              <w:rPr>
                <w:sz w:val="16"/>
              </w:rPr>
            </w:pPr>
            <w:r>
              <w:rPr>
                <w:color w:val="231F20"/>
                <w:sz w:val="16"/>
              </w:rPr>
              <w:t>0.5</w:t>
            </w:r>
          </w:p>
        </w:tc>
        <w:tc>
          <w:tcPr>
            <w:tcW w:w="442" w:type="dxa"/>
            <w:tcBorders>
              <w:bottom w:val="single" w:sz="4" w:space="0" w:color="231F20"/>
            </w:tcBorders>
          </w:tcPr>
          <w:p>
            <w:pPr>
              <w:pStyle w:val="TableParagraph"/>
              <w:spacing w:before="28"/>
              <w:ind w:left="41" w:right="41"/>
              <w:rPr>
                <w:sz w:val="16"/>
              </w:rPr>
            </w:pPr>
            <w:r>
              <w:rPr>
                <w:color w:val="231F20"/>
                <w:sz w:val="16"/>
              </w:rPr>
              <w:t>0.4</w:t>
            </w:r>
          </w:p>
        </w:tc>
        <w:tc>
          <w:tcPr>
            <w:tcW w:w="442" w:type="dxa"/>
            <w:tcBorders>
              <w:bottom w:val="single" w:sz="4" w:space="0" w:color="231F20"/>
            </w:tcBorders>
          </w:tcPr>
          <w:p>
            <w:pPr>
              <w:pStyle w:val="TableParagraph"/>
              <w:spacing w:before="28"/>
              <w:ind w:left="124"/>
              <w:jc w:val="left"/>
              <w:rPr>
                <w:sz w:val="16"/>
              </w:rPr>
            </w:pPr>
            <w:r>
              <w:rPr>
                <w:color w:val="231F20"/>
                <w:sz w:val="16"/>
              </w:rPr>
              <w:t>0.4</w:t>
            </w:r>
          </w:p>
        </w:tc>
        <w:tc>
          <w:tcPr>
            <w:tcW w:w="442" w:type="dxa"/>
            <w:tcBorders>
              <w:bottom w:val="single" w:sz="4" w:space="0" w:color="231F20"/>
            </w:tcBorders>
          </w:tcPr>
          <w:p>
            <w:pPr>
              <w:pStyle w:val="TableParagraph"/>
              <w:spacing w:before="28"/>
              <w:ind w:left="41" w:right="41"/>
              <w:rPr>
                <w:sz w:val="16"/>
              </w:rPr>
            </w:pPr>
            <w:r>
              <w:rPr>
                <w:color w:val="231F20"/>
                <w:sz w:val="16"/>
              </w:rPr>
              <w:t>0.4</w:t>
            </w:r>
          </w:p>
        </w:tc>
        <w:tc>
          <w:tcPr>
            <w:tcW w:w="442" w:type="dxa"/>
            <w:tcBorders>
              <w:bottom w:val="single" w:sz="4" w:space="0" w:color="231F20"/>
            </w:tcBorders>
          </w:tcPr>
          <w:p>
            <w:pPr>
              <w:pStyle w:val="TableParagraph"/>
              <w:spacing w:before="28"/>
              <w:ind w:right="125"/>
              <w:jc w:val="right"/>
              <w:rPr>
                <w:sz w:val="16"/>
              </w:rPr>
            </w:pPr>
            <w:r>
              <w:rPr>
                <w:color w:val="231F20"/>
                <w:w w:val="95"/>
                <w:sz w:val="16"/>
              </w:rPr>
              <w:t>0.4</w:t>
            </w:r>
          </w:p>
        </w:tc>
        <w:tc>
          <w:tcPr>
            <w:tcW w:w="440" w:type="dxa"/>
            <w:tcBorders>
              <w:bottom w:val="single" w:sz="4" w:space="0" w:color="231F20"/>
            </w:tcBorders>
          </w:tcPr>
          <w:p>
            <w:pPr>
              <w:pStyle w:val="TableParagraph"/>
              <w:spacing w:before="28"/>
              <w:ind w:left="55" w:right="56"/>
              <w:rPr>
                <w:sz w:val="16"/>
              </w:rPr>
            </w:pPr>
            <w:r>
              <w:rPr>
                <w:color w:val="231F20"/>
                <w:sz w:val="16"/>
              </w:rPr>
              <w:t>0.4</w:t>
            </w:r>
          </w:p>
        </w:tc>
      </w:tr>
      <w:tr>
        <w:trPr>
          <w:trHeight w:val="170" w:hRule="exact"/>
        </w:trPr>
        <w:tc>
          <w:tcPr>
            <w:tcW w:w="1465"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1"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0" w:type="dxa"/>
            <w:tcBorders>
              <w:top w:val="single" w:sz="4" w:space="0" w:color="231F20"/>
              <w:bottom w:val="single" w:sz="4" w:space="0" w:color="231F20"/>
            </w:tcBorders>
          </w:tcPr>
          <w:p>
            <w:pPr/>
          </w:p>
        </w:tc>
      </w:tr>
      <w:tr>
        <w:trPr>
          <w:trHeight w:val="406" w:hRule="exact"/>
        </w:trPr>
        <w:tc>
          <w:tcPr>
            <w:tcW w:w="1465" w:type="dxa"/>
            <w:tcBorders>
              <w:top w:val="single" w:sz="4" w:space="0" w:color="231F20"/>
              <w:bottom w:val="single" w:sz="4" w:space="0" w:color="231F20"/>
            </w:tcBorders>
          </w:tcPr>
          <w:p>
            <w:pPr>
              <w:pStyle w:val="TableParagraph"/>
              <w:spacing w:line="151" w:lineRule="exact"/>
              <w:ind w:left="57"/>
              <w:jc w:val="left"/>
              <w:rPr>
                <w:rFonts w:ascii="Palatino Linotype"/>
                <w:b/>
                <w:sz w:val="16"/>
              </w:rPr>
            </w:pPr>
            <w:r>
              <w:rPr>
                <w:rFonts w:ascii="Palatino Linotype"/>
                <w:b/>
                <w:color w:val="231F20"/>
                <w:w w:val="90"/>
                <w:sz w:val="16"/>
              </w:rPr>
              <w:t>Europa del</w:t>
            </w:r>
          </w:p>
          <w:p>
            <w:pPr>
              <w:pStyle w:val="TableParagraph"/>
              <w:tabs>
                <w:tab w:pos="1342" w:val="right" w:leader="none"/>
              </w:tabs>
              <w:spacing w:line="241" w:lineRule="exact"/>
              <w:ind w:left="57"/>
              <w:jc w:val="left"/>
              <w:rPr>
                <w:rFonts w:ascii="Palatino Linotype"/>
                <w:b/>
                <w:sz w:val="16"/>
              </w:rPr>
            </w:pPr>
            <w:r>
              <w:rPr>
                <w:rFonts w:ascii="Palatino Linotype"/>
                <w:b/>
                <w:color w:val="231F20"/>
                <w:spacing w:val="-8"/>
                <w:position w:val="-8"/>
                <w:sz w:val="16"/>
              </w:rPr>
              <w:t>Este</w:t>
            </w:r>
            <w:r>
              <w:rPr>
                <w:rFonts w:ascii="Palatino Linotype"/>
                <w:b/>
                <w:color w:val="231F20"/>
                <w:spacing w:val="-8"/>
                <w:sz w:val="16"/>
              </w:rPr>
              <w:tab/>
            </w:r>
            <w:r>
              <w:rPr>
                <w:rFonts w:ascii="Palatino Linotype"/>
                <w:b/>
                <w:color w:val="231F20"/>
                <w:sz w:val="16"/>
              </w:rPr>
              <w:t>4.2</w:t>
            </w:r>
          </w:p>
        </w:tc>
        <w:tc>
          <w:tcPr>
            <w:tcW w:w="442" w:type="dxa"/>
            <w:tcBorders>
              <w:top w:val="single" w:sz="4" w:space="0" w:color="231F20"/>
              <w:bottom w:val="single" w:sz="4" w:space="0" w:color="231F20"/>
            </w:tcBorders>
          </w:tcPr>
          <w:p>
            <w:pPr>
              <w:pStyle w:val="TableParagraph"/>
              <w:spacing w:before="88"/>
              <w:ind w:left="60" w:right="61"/>
              <w:rPr>
                <w:rFonts w:ascii="Palatino Linotype"/>
                <w:b/>
                <w:sz w:val="16"/>
              </w:rPr>
            </w:pPr>
            <w:r>
              <w:rPr>
                <w:rFonts w:ascii="Palatino Linotype"/>
                <w:b/>
                <w:color w:val="231F20"/>
                <w:sz w:val="16"/>
              </w:rPr>
              <w:t>4.4</w:t>
            </w:r>
          </w:p>
        </w:tc>
        <w:tc>
          <w:tcPr>
            <w:tcW w:w="442" w:type="dxa"/>
            <w:tcBorders>
              <w:top w:val="single" w:sz="4" w:space="0" w:color="231F20"/>
              <w:bottom w:val="single" w:sz="4" w:space="0" w:color="231F20"/>
            </w:tcBorders>
          </w:tcPr>
          <w:p>
            <w:pPr>
              <w:pStyle w:val="TableParagraph"/>
              <w:spacing w:before="88"/>
              <w:ind w:left="119"/>
              <w:jc w:val="left"/>
              <w:rPr>
                <w:rFonts w:ascii="Palatino Linotype"/>
                <w:b/>
                <w:sz w:val="16"/>
              </w:rPr>
            </w:pPr>
            <w:r>
              <w:rPr>
                <w:rFonts w:ascii="Palatino Linotype"/>
                <w:b/>
                <w:color w:val="231F20"/>
                <w:sz w:val="16"/>
              </w:rPr>
              <w:t>4.1</w:t>
            </w:r>
          </w:p>
        </w:tc>
        <w:tc>
          <w:tcPr>
            <w:tcW w:w="442" w:type="dxa"/>
            <w:tcBorders>
              <w:top w:val="single" w:sz="4" w:space="0" w:color="231F20"/>
              <w:bottom w:val="single" w:sz="4" w:space="0" w:color="231F20"/>
            </w:tcBorders>
          </w:tcPr>
          <w:p>
            <w:pPr>
              <w:pStyle w:val="TableParagraph"/>
              <w:spacing w:before="88"/>
              <w:ind w:left="60" w:right="61"/>
              <w:rPr>
                <w:rFonts w:ascii="Palatino Linotype"/>
                <w:b/>
                <w:sz w:val="16"/>
              </w:rPr>
            </w:pPr>
            <w:r>
              <w:rPr>
                <w:rFonts w:ascii="Palatino Linotype"/>
                <w:b/>
                <w:color w:val="231F20"/>
                <w:sz w:val="16"/>
              </w:rPr>
              <w:t>4.6</w:t>
            </w:r>
          </w:p>
        </w:tc>
        <w:tc>
          <w:tcPr>
            <w:tcW w:w="441" w:type="dxa"/>
            <w:tcBorders>
              <w:top w:val="single" w:sz="4" w:space="0" w:color="231F20"/>
              <w:bottom w:val="single" w:sz="4" w:space="0" w:color="231F20"/>
            </w:tcBorders>
          </w:tcPr>
          <w:p>
            <w:pPr>
              <w:pStyle w:val="TableParagraph"/>
              <w:spacing w:before="88"/>
              <w:ind w:left="118"/>
              <w:jc w:val="left"/>
              <w:rPr>
                <w:rFonts w:ascii="Palatino Linotype"/>
                <w:b/>
                <w:sz w:val="16"/>
              </w:rPr>
            </w:pPr>
            <w:r>
              <w:rPr>
                <w:rFonts w:ascii="Palatino Linotype"/>
                <w:b/>
                <w:color w:val="231F20"/>
                <w:sz w:val="16"/>
              </w:rPr>
              <w:t>4.9</w:t>
            </w:r>
          </w:p>
        </w:tc>
        <w:tc>
          <w:tcPr>
            <w:tcW w:w="442" w:type="dxa"/>
            <w:tcBorders>
              <w:top w:val="single" w:sz="4" w:space="0" w:color="231F20"/>
              <w:bottom w:val="single" w:sz="4" w:space="0" w:color="231F20"/>
            </w:tcBorders>
          </w:tcPr>
          <w:p>
            <w:pPr>
              <w:pStyle w:val="TableParagraph"/>
              <w:spacing w:before="88"/>
              <w:ind w:left="41" w:right="41"/>
              <w:rPr>
                <w:rFonts w:ascii="Palatino Linotype"/>
                <w:b/>
                <w:sz w:val="16"/>
              </w:rPr>
            </w:pPr>
            <w:r>
              <w:rPr>
                <w:rFonts w:ascii="Palatino Linotype"/>
                <w:b/>
                <w:color w:val="231F20"/>
                <w:sz w:val="16"/>
              </w:rPr>
              <w:t>4.6</w:t>
            </w:r>
          </w:p>
        </w:tc>
        <w:tc>
          <w:tcPr>
            <w:tcW w:w="442" w:type="dxa"/>
            <w:tcBorders>
              <w:top w:val="single" w:sz="4" w:space="0" w:color="231F20"/>
              <w:bottom w:val="single" w:sz="4" w:space="0" w:color="231F20"/>
            </w:tcBorders>
          </w:tcPr>
          <w:p>
            <w:pPr>
              <w:pStyle w:val="TableParagraph"/>
              <w:spacing w:before="88"/>
              <w:ind w:left="119"/>
              <w:jc w:val="left"/>
              <w:rPr>
                <w:rFonts w:ascii="Palatino Linotype"/>
                <w:b/>
                <w:sz w:val="16"/>
              </w:rPr>
            </w:pPr>
            <w:r>
              <w:rPr>
                <w:rFonts w:ascii="Palatino Linotype"/>
                <w:b/>
                <w:color w:val="231F20"/>
                <w:sz w:val="16"/>
              </w:rPr>
              <w:t>5.2</w:t>
            </w:r>
          </w:p>
        </w:tc>
        <w:tc>
          <w:tcPr>
            <w:tcW w:w="442" w:type="dxa"/>
            <w:tcBorders>
              <w:top w:val="single" w:sz="4" w:space="0" w:color="231F20"/>
              <w:bottom w:val="single" w:sz="4" w:space="0" w:color="231F20"/>
            </w:tcBorders>
          </w:tcPr>
          <w:p>
            <w:pPr>
              <w:pStyle w:val="TableParagraph"/>
              <w:spacing w:before="88"/>
              <w:ind w:left="41" w:right="41"/>
              <w:rPr>
                <w:rFonts w:ascii="Palatino Linotype"/>
                <w:b/>
                <w:sz w:val="16"/>
              </w:rPr>
            </w:pPr>
            <w:r>
              <w:rPr>
                <w:rFonts w:ascii="Palatino Linotype"/>
                <w:b/>
                <w:color w:val="231F20"/>
                <w:sz w:val="16"/>
              </w:rPr>
              <w:t>6.2</w:t>
            </w:r>
          </w:p>
        </w:tc>
        <w:tc>
          <w:tcPr>
            <w:tcW w:w="442" w:type="dxa"/>
            <w:tcBorders>
              <w:top w:val="single" w:sz="4" w:space="0" w:color="231F20"/>
              <w:bottom w:val="single" w:sz="4" w:space="0" w:color="231F20"/>
            </w:tcBorders>
          </w:tcPr>
          <w:p>
            <w:pPr>
              <w:pStyle w:val="TableParagraph"/>
              <w:spacing w:before="88"/>
              <w:ind w:left="119"/>
              <w:jc w:val="left"/>
              <w:rPr>
                <w:rFonts w:ascii="Palatino Linotype"/>
                <w:b/>
                <w:sz w:val="16"/>
              </w:rPr>
            </w:pPr>
            <w:r>
              <w:rPr>
                <w:rFonts w:ascii="Palatino Linotype"/>
                <w:b/>
                <w:color w:val="231F20"/>
                <w:sz w:val="16"/>
              </w:rPr>
              <w:t>7.0</w:t>
            </w:r>
          </w:p>
        </w:tc>
        <w:tc>
          <w:tcPr>
            <w:tcW w:w="442" w:type="dxa"/>
            <w:tcBorders>
              <w:top w:val="single" w:sz="4" w:space="0" w:color="231F20"/>
              <w:bottom w:val="single" w:sz="4" w:space="0" w:color="231F20"/>
            </w:tcBorders>
          </w:tcPr>
          <w:p>
            <w:pPr>
              <w:pStyle w:val="TableParagraph"/>
              <w:spacing w:before="88"/>
              <w:ind w:left="41" w:right="41"/>
              <w:rPr>
                <w:rFonts w:ascii="Palatino Linotype"/>
                <w:b/>
                <w:sz w:val="16"/>
              </w:rPr>
            </w:pPr>
            <w:r>
              <w:rPr>
                <w:rFonts w:ascii="Palatino Linotype"/>
                <w:b/>
                <w:color w:val="231F20"/>
                <w:sz w:val="16"/>
              </w:rPr>
              <w:t>3.9</w:t>
            </w:r>
          </w:p>
        </w:tc>
        <w:tc>
          <w:tcPr>
            <w:tcW w:w="442" w:type="dxa"/>
            <w:tcBorders>
              <w:top w:val="single" w:sz="4" w:space="0" w:color="231F20"/>
              <w:bottom w:val="single" w:sz="4" w:space="0" w:color="231F20"/>
            </w:tcBorders>
          </w:tcPr>
          <w:p>
            <w:pPr>
              <w:pStyle w:val="TableParagraph"/>
              <w:spacing w:before="88"/>
              <w:ind w:left="119"/>
              <w:jc w:val="left"/>
              <w:rPr>
                <w:rFonts w:ascii="Palatino Linotype"/>
                <w:b/>
                <w:sz w:val="16"/>
              </w:rPr>
            </w:pPr>
            <w:r>
              <w:rPr>
                <w:rFonts w:ascii="Palatino Linotype"/>
                <w:b/>
                <w:color w:val="231F20"/>
                <w:sz w:val="16"/>
              </w:rPr>
              <w:t>4.1</w:t>
            </w:r>
          </w:p>
        </w:tc>
        <w:tc>
          <w:tcPr>
            <w:tcW w:w="442" w:type="dxa"/>
            <w:tcBorders>
              <w:top w:val="single" w:sz="4" w:space="0" w:color="231F20"/>
              <w:bottom w:val="single" w:sz="4" w:space="0" w:color="231F20"/>
            </w:tcBorders>
          </w:tcPr>
          <w:p>
            <w:pPr>
              <w:pStyle w:val="TableParagraph"/>
              <w:spacing w:before="88"/>
              <w:ind w:left="41" w:right="41"/>
              <w:rPr>
                <w:rFonts w:ascii="Palatino Linotype"/>
                <w:b/>
                <w:sz w:val="16"/>
              </w:rPr>
            </w:pPr>
            <w:r>
              <w:rPr>
                <w:rFonts w:ascii="Palatino Linotype"/>
                <w:b/>
                <w:color w:val="231F20"/>
                <w:sz w:val="16"/>
              </w:rPr>
              <w:t>5.0</w:t>
            </w:r>
          </w:p>
        </w:tc>
        <w:tc>
          <w:tcPr>
            <w:tcW w:w="442" w:type="dxa"/>
            <w:tcBorders>
              <w:top w:val="single" w:sz="4" w:space="0" w:color="231F20"/>
              <w:bottom w:val="single" w:sz="4" w:space="0" w:color="231F20"/>
            </w:tcBorders>
          </w:tcPr>
          <w:p>
            <w:pPr>
              <w:pStyle w:val="TableParagraph"/>
              <w:spacing w:before="88"/>
              <w:ind w:right="119"/>
              <w:jc w:val="right"/>
              <w:rPr>
                <w:rFonts w:ascii="Palatino Linotype"/>
                <w:b/>
                <w:sz w:val="16"/>
              </w:rPr>
            </w:pPr>
            <w:r>
              <w:rPr>
                <w:rFonts w:ascii="Palatino Linotype"/>
                <w:b/>
                <w:color w:val="231F20"/>
                <w:sz w:val="16"/>
              </w:rPr>
              <w:t>4.9</w:t>
            </w:r>
          </w:p>
        </w:tc>
        <w:tc>
          <w:tcPr>
            <w:tcW w:w="440" w:type="dxa"/>
            <w:tcBorders>
              <w:top w:val="single" w:sz="4" w:space="0" w:color="231F20"/>
              <w:bottom w:val="single" w:sz="4" w:space="0" w:color="231F20"/>
            </w:tcBorders>
          </w:tcPr>
          <w:p>
            <w:pPr>
              <w:pStyle w:val="TableParagraph"/>
              <w:spacing w:before="88"/>
              <w:ind w:left="56" w:right="56"/>
              <w:rPr>
                <w:rFonts w:ascii="Palatino Linotype"/>
                <w:b/>
                <w:sz w:val="16"/>
              </w:rPr>
            </w:pPr>
            <w:r>
              <w:rPr>
                <w:rFonts w:ascii="Palatino Linotype"/>
                <w:b/>
                <w:color w:val="231F20"/>
                <w:sz w:val="16"/>
              </w:rPr>
              <w:t>4.5</w:t>
            </w:r>
          </w:p>
        </w:tc>
      </w:tr>
      <w:tr>
        <w:trPr>
          <w:trHeight w:val="344" w:hRule="exact"/>
        </w:trPr>
        <w:tc>
          <w:tcPr>
            <w:tcW w:w="1465" w:type="dxa"/>
            <w:tcBorders>
              <w:top w:val="single" w:sz="4" w:space="0" w:color="231F20"/>
            </w:tcBorders>
          </w:tcPr>
          <w:p>
            <w:pPr>
              <w:pStyle w:val="TableParagraph"/>
              <w:tabs>
                <w:tab w:pos="1337" w:val="right" w:leader="none"/>
              </w:tabs>
              <w:spacing w:before="44"/>
              <w:ind w:left="57"/>
              <w:jc w:val="left"/>
              <w:rPr>
                <w:sz w:val="16"/>
              </w:rPr>
            </w:pPr>
            <w:r>
              <w:rPr>
                <w:color w:val="231F20"/>
                <w:sz w:val="16"/>
              </w:rPr>
              <w:t>Rep.</w:t>
            </w:r>
            <w:r>
              <w:rPr>
                <w:color w:val="231F20"/>
                <w:spacing w:val="-7"/>
                <w:sz w:val="16"/>
              </w:rPr>
              <w:t> </w:t>
            </w:r>
            <w:r>
              <w:rPr>
                <w:color w:val="231F20"/>
                <w:sz w:val="16"/>
              </w:rPr>
              <w:t>Checa</w:t>
              <w:tab/>
              <w:t>0.3</w:t>
            </w:r>
          </w:p>
        </w:tc>
        <w:tc>
          <w:tcPr>
            <w:tcW w:w="442" w:type="dxa"/>
            <w:tcBorders>
              <w:top w:val="single" w:sz="4" w:space="0" w:color="231F20"/>
            </w:tcBorders>
          </w:tcPr>
          <w:p>
            <w:pPr>
              <w:pStyle w:val="TableParagraph"/>
              <w:spacing w:before="44"/>
              <w:ind w:left="61" w:right="61"/>
              <w:rPr>
                <w:sz w:val="16"/>
              </w:rPr>
            </w:pPr>
            <w:r>
              <w:rPr>
                <w:color w:val="231F20"/>
                <w:sz w:val="16"/>
              </w:rPr>
              <w:t>0.3</w:t>
            </w:r>
          </w:p>
        </w:tc>
        <w:tc>
          <w:tcPr>
            <w:tcW w:w="442" w:type="dxa"/>
            <w:tcBorders>
              <w:top w:val="single" w:sz="4" w:space="0" w:color="231F20"/>
            </w:tcBorders>
          </w:tcPr>
          <w:p>
            <w:pPr>
              <w:pStyle w:val="TableParagraph"/>
              <w:spacing w:before="44"/>
              <w:ind w:left="124"/>
              <w:jc w:val="left"/>
              <w:rPr>
                <w:sz w:val="16"/>
              </w:rPr>
            </w:pPr>
            <w:r>
              <w:rPr>
                <w:color w:val="231F20"/>
                <w:sz w:val="16"/>
              </w:rPr>
              <w:t>0.3</w:t>
            </w:r>
          </w:p>
        </w:tc>
        <w:tc>
          <w:tcPr>
            <w:tcW w:w="442" w:type="dxa"/>
            <w:tcBorders>
              <w:top w:val="single" w:sz="4" w:space="0" w:color="231F20"/>
            </w:tcBorders>
          </w:tcPr>
          <w:p>
            <w:pPr>
              <w:pStyle w:val="TableParagraph"/>
              <w:spacing w:before="44"/>
              <w:ind w:left="61" w:right="61"/>
              <w:rPr>
                <w:sz w:val="16"/>
              </w:rPr>
            </w:pPr>
            <w:r>
              <w:rPr>
                <w:color w:val="231F20"/>
                <w:sz w:val="16"/>
              </w:rPr>
              <w:t>0.3</w:t>
            </w:r>
          </w:p>
        </w:tc>
        <w:tc>
          <w:tcPr>
            <w:tcW w:w="441" w:type="dxa"/>
            <w:tcBorders>
              <w:top w:val="single" w:sz="4" w:space="0" w:color="231F20"/>
            </w:tcBorders>
          </w:tcPr>
          <w:p>
            <w:pPr>
              <w:pStyle w:val="TableParagraph"/>
              <w:spacing w:before="44"/>
              <w:ind w:left="124"/>
              <w:jc w:val="left"/>
              <w:rPr>
                <w:sz w:val="16"/>
              </w:rPr>
            </w:pPr>
            <w:r>
              <w:rPr>
                <w:color w:val="231F20"/>
                <w:sz w:val="16"/>
              </w:rPr>
              <w:t>0.3</w:t>
            </w:r>
          </w:p>
        </w:tc>
        <w:tc>
          <w:tcPr>
            <w:tcW w:w="442" w:type="dxa"/>
            <w:tcBorders>
              <w:top w:val="single" w:sz="4" w:space="0" w:color="231F20"/>
            </w:tcBorders>
          </w:tcPr>
          <w:p>
            <w:pPr>
              <w:pStyle w:val="TableParagraph"/>
              <w:spacing w:before="44"/>
              <w:ind w:left="40" w:right="41"/>
              <w:rPr>
                <w:sz w:val="16"/>
              </w:rPr>
            </w:pPr>
            <w:r>
              <w:rPr>
                <w:color w:val="231F20"/>
                <w:sz w:val="16"/>
              </w:rPr>
              <w:t>0.3</w:t>
            </w:r>
          </w:p>
        </w:tc>
        <w:tc>
          <w:tcPr>
            <w:tcW w:w="442" w:type="dxa"/>
            <w:tcBorders>
              <w:top w:val="single" w:sz="4" w:space="0" w:color="231F20"/>
            </w:tcBorders>
          </w:tcPr>
          <w:p>
            <w:pPr>
              <w:pStyle w:val="TableParagraph"/>
              <w:spacing w:before="44"/>
              <w:ind w:left="125"/>
              <w:jc w:val="left"/>
              <w:rPr>
                <w:sz w:val="16"/>
              </w:rPr>
            </w:pPr>
            <w:r>
              <w:rPr>
                <w:color w:val="231F20"/>
                <w:sz w:val="16"/>
              </w:rPr>
              <w:t>0.3</w:t>
            </w:r>
          </w:p>
        </w:tc>
        <w:tc>
          <w:tcPr>
            <w:tcW w:w="442" w:type="dxa"/>
            <w:tcBorders>
              <w:top w:val="single" w:sz="4" w:space="0" w:color="231F20"/>
            </w:tcBorders>
          </w:tcPr>
          <w:p>
            <w:pPr>
              <w:pStyle w:val="TableParagraph"/>
              <w:spacing w:before="44"/>
              <w:ind w:left="40" w:right="41"/>
              <w:rPr>
                <w:sz w:val="16"/>
              </w:rPr>
            </w:pPr>
            <w:r>
              <w:rPr>
                <w:color w:val="231F20"/>
                <w:sz w:val="16"/>
              </w:rPr>
              <w:t>0.3</w:t>
            </w:r>
          </w:p>
        </w:tc>
        <w:tc>
          <w:tcPr>
            <w:tcW w:w="442" w:type="dxa"/>
            <w:tcBorders>
              <w:top w:val="single" w:sz="4" w:space="0" w:color="231F20"/>
            </w:tcBorders>
          </w:tcPr>
          <w:p>
            <w:pPr>
              <w:pStyle w:val="TableParagraph"/>
              <w:spacing w:before="44"/>
              <w:ind w:left="125"/>
              <w:jc w:val="left"/>
              <w:rPr>
                <w:sz w:val="16"/>
              </w:rPr>
            </w:pPr>
            <w:r>
              <w:rPr>
                <w:color w:val="231F20"/>
                <w:sz w:val="16"/>
              </w:rPr>
              <w:t>0.3</w:t>
            </w:r>
          </w:p>
        </w:tc>
        <w:tc>
          <w:tcPr>
            <w:tcW w:w="442" w:type="dxa"/>
            <w:tcBorders>
              <w:top w:val="single" w:sz="4" w:space="0" w:color="231F20"/>
            </w:tcBorders>
          </w:tcPr>
          <w:p>
            <w:pPr>
              <w:pStyle w:val="TableParagraph"/>
              <w:spacing w:before="44"/>
              <w:ind w:left="40" w:right="41"/>
              <w:rPr>
                <w:sz w:val="16"/>
              </w:rPr>
            </w:pPr>
            <w:r>
              <w:rPr>
                <w:color w:val="231F20"/>
                <w:sz w:val="16"/>
              </w:rPr>
              <w:t>0.3</w:t>
            </w:r>
          </w:p>
        </w:tc>
        <w:tc>
          <w:tcPr>
            <w:tcW w:w="442" w:type="dxa"/>
            <w:tcBorders>
              <w:top w:val="single" w:sz="4" w:space="0" w:color="231F20"/>
            </w:tcBorders>
          </w:tcPr>
          <w:p>
            <w:pPr>
              <w:pStyle w:val="TableParagraph"/>
              <w:spacing w:before="44"/>
              <w:ind w:left="125"/>
              <w:jc w:val="left"/>
              <w:rPr>
                <w:sz w:val="16"/>
              </w:rPr>
            </w:pPr>
            <w:r>
              <w:rPr>
                <w:color w:val="231F20"/>
                <w:sz w:val="16"/>
              </w:rPr>
              <w:t>0.2</w:t>
            </w:r>
          </w:p>
        </w:tc>
        <w:tc>
          <w:tcPr>
            <w:tcW w:w="442" w:type="dxa"/>
            <w:tcBorders>
              <w:top w:val="single" w:sz="4" w:space="0" w:color="231F20"/>
            </w:tcBorders>
          </w:tcPr>
          <w:p>
            <w:pPr>
              <w:pStyle w:val="TableParagraph"/>
              <w:spacing w:before="44"/>
              <w:ind w:left="40" w:right="41"/>
              <w:rPr>
                <w:sz w:val="16"/>
              </w:rPr>
            </w:pPr>
            <w:r>
              <w:rPr>
                <w:color w:val="231F20"/>
                <w:sz w:val="16"/>
              </w:rPr>
              <w:t>0.2</w:t>
            </w:r>
          </w:p>
        </w:tc>
        <w:tc>
          <w:tcPr>
            <w:tcW w:w="442" w:type="dxa"/>
            <w:tcBorders>
              <w:top w:val="single" w:sz="4" w:space="0" w:color="231F20"/>
            </w:tcBorders>
          </w:tcPr>
          <w:p>
            <w:pPr>
              <w:pStyle w:val="TableParagraph"/>
              <w:spacing w:before="44"/>
              <w:ind w:right="124"/>
              <w:jc w:val="right"/>
              <w:rPr>
                <w:sz w:val="16"/>
              </w:rPr>
            </w:pPr>
            <w:r>
              <w:rPr>
                <w:color w:val="231F20"/>
                <w:w w:val="95"/>
                <w:sz w:val="16"/>
              </w:rPr>
              <w:t>0.2</w:t>
            </w:r>
          </w:p>
        </w:tc>
        <w:tc>
          <w:tcPr>
            <w:tcW w:w="440" w:type="dxa"/>
            <w:tcBorders>
              <w:top w:val="single" w:sz="4" w:space="0" w:color="231F20"/>
            </w:tcBorders>
          </w:tcPr>
          <w:p>
            <w:pPr>
              <w:pStyle w:val="TableParagraph"/>
              <w:spacing w:before="44"/>
              <w:ind w:left="56" w:right="56"/>
              <w:rPr>
                <w:sz w:val="16"/>
              </w:rPr>
            </w:pPr>
            <w:r>
              <w:rPr>
                <w:color w:val="231F20"/>
                <w:sz w:val="16"/>
              </w:rPr>
              <w:t>0.2</w:t>
            </w:r>
          </w:p>
        </w:tc>
      </w:tr>
      <w:tr>
        <w:trPr>
          <w:trHeight w:val="366" w:hRule="exact"/>
        </w:trPr>
        <w:tc>
          <w:tcPr>
            <w:tcW w:w="1465" w:type="dxa"/>
          </w:tcPr>
          <w:p>
            <w:pPr>
              <w:pStyle w:val="TableParagraph"/>
              <w:spacing w:line="118" w:lineRule="exact"/>
              <w:ind w:left="58"/>
              <w:jc w:val="left"/>
              <w:rPr>
                <w:sz w:val="16"/>
              </w:rPr>
            </w:pPr>
            <w:r>
              <w:rPr>
                <w:color w:val="231F20"/>
                <w:sz w:val="16"/>
              </w:rPr>
              <w:t>Rep. De</w:t>
            </w:r>
          </w:p>
          <w:p>
            <w:pPr>
              <w:pStyle w:val="TableParagraph"/>
              <w:tabs>
                <w:tab w:pos="1337" w:val="right" w:leader="none"/>
              </w:tabs>
              <w:spacing w:line="225" w:lineRule="exact"/>
              <w:ind w:left="58"/>
              <w:jc w:val="left"/>
              <w:rPr>
                <w:sz w:val="16"/>
              </w:rPr>
            </w:pPr>
            <w:r>
              <w:rPr>
                <w:color w:val="231F20"/>
                <w:sz w:val="16"/>
              </w:rPr>
              <w:t>Eslovaquia</w:t>
            </w:r>
            <w:r>
              <w:rPr>
                <w:color w:val="231F20"/>
                <w:position w:val="9"/>
                <w:sz w:val="16"/>
              </w:rPr>
              <w:tab/>
              <w:t>0.1</w:t>
            </w:r>
          </w:p>
        </w:tc>
        <w:tc>
          <w:tcPr>
            <w:tcW w:w="442" w:type="dxa"/>
          </w:tcPr>
          <w:p>
            <w:pPr>
              <w:pStyle w:val="TableParagraph"/>
              <w:spacing w:before="71"/>
              <w:ind w:left="60" w:right="61"/>
              <w:rPr>
                <w:sz w:val="16"/>
              </w:rPr>
            </w:pPr>
            <w:r>
              <w:rPr>
                <w:color w:val="231F20"/>
                <w:sz w:val="16"/>
              </w:rPr>
              <w:t>0.1</w:t>
            </w:r>
          </w:p>
        </w:tc>
        <w:tc>
          <w:tcPr>
            <w:tcW w:w="442" w:type="dxa"/>
          </w:tcPr>
          <w:p>
            <w:pPr>
              <w:pStyle w:val="TableParagraph"/>
              <w:spacing w:before="71"/>
              <w:ind w:left="125"/>
              <w:jc w:val="left"/>
              <w:rPr>
                <w:sz w:val="16"/>
              </w:rPr>
            </w:pPr>
            <w:r>
              <w:rPr>
                <w:color w:val="231F20"/>
                <w:sz w:val="16"/>
              </w:rPr>
              <w:t>0.1</w:t>
            </w:r>
          </w:p>
        </w:tc>
        <w:tc>
          <w:tcPr>
            <w:tcW w:w="442" w:type="dxa"/>
          </w:tcPr>
          <w:p>
            <w:pPr>
              <w:pStyle w:val="TableParagraph"/>
              <w:spacing w:before="71"/>
              <w:ind w:left="60" w:right="61"/>
              <w:rPr>
                <w:sz w:val="16"/>
              </w:rPr>
            </w:pPr>
            <w:r>
              <w:rPr>
                <w:color w:val="231F20"/>
                <w:sz w:val="16"/>
              </w:rPr>
              <w:t>0.1</w:t>
            </w:r>
          </w:p>
        </w:tc>
        <w:tc>
          <w:tcPr>
            <w:tcW w:w="441" w:type="dxa"/>
          </w:tcPr>
          <w:p>
            <w:pPr>
              <w:pStyle w:val="TableParagraph"/>
              <w:spacing w:before="71"/>
              <w:ind w:left="125"/>
              <w:jc w:val="left"/>
              <w:rPr>
                <w:sz w:val="16"/>
              </w:rPr>
            </w:pPr>
            <w:r>
              <w:rPr>
                <w:color w:val="231F20"/>
                <w:sz w:val="16"/>
              </w:rPr>
              <w:t>0.1</w:t>
            </w:r>
          </w:p>
        </w:tc>
        <w:tc>
          <w:tcPr>
            <w:tcW w:w="442" w:type="dxa"/>
          </w:tcPr>
          <w:p>
            <w:pPr>
              <w:pStyle w:val="TableParagraph"/>
              <w:spacing w:before="71"/>
              <w:ind w:left="41" w:right="41"/>
              <w:rPr>
                <w:sz w:val="16"/>
              </w:rPr>
            </w:pPr>
            <w:r>
              <w:rPr>
                <w:color w:val="231F20"/>
                <w:sz w:val="16"/>
              </w:rPr>
              <w:t>0.1</w:t>
            </w:r>
          </w:p>
        </w:tc>
        <w:tc>
          <w:tcPr>
            <w:tcW w:w="442" w:type="dxa"/>
          </w:tcPr>
          <w:p>
            <w:pPr>
              <w:pStyle w:val="TableParagraph"/>
              <w:spacing w:before="71"/>
              <w:ind w:left="126"/>
              <w:jc w:val="left"/>
              <w:rPr>
                <w:sz w:val="16"/>
              </w:rPr>
            </w:pPr>
            <w:r>
              <w:rPr>
                <w:color w:val="231F20"/>
                <w:sz w:val="16"/>
              </w:rPr>
              <w:t>0.1</w:t>
            </w:r>
          </w:p>
        </w:tc>
        <w:tc>
          <w:tcPr>
            <w:tcW w:w="442" w:type="dxa"/>
          </w:tcPr>
          <w:p>
            <w:pPr>
              <w:pStyle w:val="TableParagraph"/>
              <w:spacing w:before="71"/>
              <w:ind w:left="41" w:right="41"/>
              <w:rPr>
                <w:sz w:val="16"/>
              </w:rPr>
            </w:pPr>
            <w:r>
              <w:rPr>
                <w:color w:val="231F20"/>
                <w:sz w:val="16"/>
              </w:rPr>
              <w:t>0.1</w:t>
            </w:r>
          </w:p>
        </w:tc>
        <w:tc>
          <w:tcPr>
            <w:tcW w:w="442" w:type="dxa"/>
          </w:tcPr>
          <w:p>
            <w:pPr>
              <w:pStyle w:val="TableParagraph"/>
              <w:spacing w:before="71"/>
              <w:ind w:left="126"/>
              <w:jc w:val="left"/>
              <w:rPr>
                <w:sz w:val="16"/>
              </w:rPr>
            </w:pPr>
            <w:r>
              <w:rPr>
                <w:color w:val="231F20"/>
                <w:sz w:val="16"/>
              </w:rPr>
              <w:t>0.1</w:t>
            </w:r>
          </w:p>
        </w:tc>
        <w:tc>
          <w:tcPr>
            <w:tcW w:w="442" w:type="dxa"/>
          </w:tcPr>
          <w:p>
            <w:pPr>
              <w:pStyle w:val="TableParagraph"/>
              <w:spacing w:before="71"/>
              <w:ind w:left="41" w:right="41"/>
              <w:rPr>
                <w:sz w:val="16"/>
              </w:rPr>
            </w:pPr>
            <w:r>
              <w:rPr>
                <w:color w:val="231F20"/>
                <w:sz w:val="16"/>
              </w:rPr>
              <w:t>0.1</w:t>
            </w:r>
          </w:p>
        </w:tc>
        <w:tc>
          <w:tcPr>
            <w:tcW w:w="442" w:type="dxa"/>
          </w:tcPr>
          <w:p>
            <w:pPr>
              <w:pStyle w:val="TableParagraph"/>
              <w:spacing w:before="71"/>
              <w:ind w:left="126"/>
              <w:jc w:val="left"/>
              <w:rPr>
                <w:sz w:val="16"/>
              </w:rPr>
            </w:pPr>
            <w:r>
              <w:rPr>
                <w:color w:val="231F20"/>
                <w:sz w:val="16"/>
              </w:rPr>
              <w:t>0.1</w:t>
            </w:r>
          </w:p>
        </w:tc>
        <w:tc>
          <w:tcPr>
            <w:tcW w:w="442" w:type="dxa"/>
          </w:tcPr>
          <w:p>
            <w:pPr>
              <w:pStyle w:val="TableParagraph"/>
              <w:spacing w:before="71"/>
              <w:ind w:left="41" w:right="41"/>
              <w:rPr>
                <w:sz w:val="16"/>
              </w:rPr>
            </w:pPr>
            <w:r>
              <w:rPr>
                <w:color w:val="231F20"/>
                <w:sz w:val="16"/>
              </w:rPr>
              <w:t>0.1</w:t>
            </w:r>
          </w:p>
        </w:tc>
        <w:tc>
          <w:tcPr>
            <w:tcW w:w="442" w:type="dxa"/>
          </w:tcPr>
          <w:p>
            <w:pPr>
              <w:pStyle w:val="TableParagraph"/>
              <w:spacing w:before="71"/>
              <w:ind w:right="124"/>
              <w:jc w:val="right"/>
              <w:rPr>
                <w:sz w:val="16"/>
              </w:rPr>
            </w:pPr>
            <w:r>
              <w:rPr>
                <w:color w:val="231F20"/>
                <w:w w:val="95"/>
                <w:sz w:val="16"/>
              </w:rPr>
              <w:t>0.1</w:t>
            </w:r>
          </w:p>
        </w:tc>
        <w:tc>
          <w:tcPr>
            <w:tcW w:w="440" w:type="dxa"/>
          </w:tcPr>
          <w:p>
            <w:pPr>
              <w:pStyle w:val="TableParagraph"/>
              <w:spacing w:before="71"/>
              <w:ind w:left="57" w:right="56"/>
              <w:rPr>
                <w:sz w:val="16"/>
              </w:rPr>
            </w:pPr>
            <w:r>
              <w:rPr>
                <w:color w:val="231F20"/>
                <w:sz w:val="16"/>
              </w:rPr>
              <w:t>0.1</w:t>
            </w:r>
          </w:p>
        </w:tc>
      </w:tr>
      <w:tr>
        <w:trPr>
          <w:trHeight w:val="323" w:hRule="exact"/>
        </w:trPr>
        <w:tc>
          <w:tcPr>
            <w:tcW w:w="1465" w:type="dxa"/>
          </w:tcPr>
          <w:p>
            <w:pPr>
              <w:pStyle w:val="TableParagraph"/>
              <w:tabs>
                <w:tab w:pos="1338" w:val="right" w:leader="none"/>
              </w:tabs>
              <w:spacing w:before="71"/>
              <w:ind w:left="58"/>
              <w:jc w:val="left"/>
              <w:rPr>
                <w:sz w:val="16"/>
              </w:rPr>
            </w:pPr>
            <w:r>
              <w:rPr>
                <w:color w:val="231F20"/>
                <w:sz w:val="16"/>
              </w:rPr>
              <w:t>Polonia</w:t>
              <w:tab/>
              <w:t>0.9</w:t>
            </w:r>
          </w:p>
        </w:tc>
        <w:tc>
          <w:tcPr>
            <w:tcW w:w="442" w:type="dxa"/>
          </w:tcPr>
          <w:p>
            <w:pPr>
              <w:pStyle w:val="TableParagraph"/>
              <w:spacing w:before="71"/>
              <w:ind w:left="61" w:right="61"/>
              <w:rPr>
                <w:sz w:val="16"/>
              </w:rPr>
            </w:pPr>
            <w:r>
              <w:rPr>
                <w:color w:val="231F20"/>
                <w:sz w:val="16"/>
              </w:rPr>
              <w:t>0.7</w:t>
            </w:r>
          </w:p>
        </w:tc>
        <w:tc>
          <w:tcPr>
            <w:tcW w:w="442" w:type="dxa"/>
          </w:tcPr>
          <w:p>
            <w:pPr>
              <w:pStyle w:val="TableParagraph"/>
              <w:spacing w:before="71"/>
              <w:ind w:left="125"/>
              <w:jc w:val="left"/>
              <w:rPr>
                <w:sz w:val="16"/>
              </w:rPr>
            </w:pPr>
            <w:r>
              <w:rPr>
                <w:color w:val="231F20"/>
                <w:sz w:val="16"/>
              </w:rPr>
              <w:t>0.6</w:t>
            </w:r>
          </w:p>
        </w:tc>
        <w:tc>
          <w:tcPr>
            <w:tcW w:w="442" w:type="dxa"/>
          </w:tcPr>
          <w:p>
            <w:pPr>
              <w:pStyle w:val="TableParagraph"/>
              <w:spacing w:before="71"/>
              <w:ind w:left="61" w:right="61"/>
              <w:rPr>
                <w:sz w:val="16"/>
              </w:rPr>
            </w:pPr>
            <w:r>
              <w:rPr>
                <w:color w:val="231F20"/>
                <w:sz w:val="16"/>
              </w:rPr>
              <w:t>0.7</w:t>
            </w:r>
          </w:p>
        </w:tc>
        <w:tc>
          <w:tcPr>
            <w:tcW w:w="441" w:type="dxa"/>
          </w:tcPr>
          <w:p>
            <w:pPr>
              <w:pStyle w:val="TableParagraph"/>
              <w:spacing w:before="71"/>
              <w:ind w:left="125"/>
              <w:jc w:val="left"/>
              <w:rPr>
                <w:sz w:val="16"/>
              </w:rPr>
            </w:pPr>
            <w:r>
              <w:rPr>
                <w:color w:val="231F20"/>
                <w:sz w:val="16"/>
              </w:rPr>
              <w:t>0.6</w:t>
            </w:r>
          </w:p>
        </w:tc>
        <w:tc>
          <w:tcPr>
            <w:tcW w:w="442" w:type="dxa"/>
          </w:tcPr>
          <w:p>
            <w:pPr>
              <w:pStyle w:val="TableParagraph"/>
              <w:spacing w:before="71"/>
              <w:ind w:left="41" w:right="41"/>
              <w:rPr>
                <w:sz w:val="16"/>
              </w:rPr>
            </w:pPr>
            <w:r>
              <w:rPr>
                <w:color w:val="231F20"/>
                <w:sz w:val="16"/>
              </w:rPr>
              <w:t>0.4</w:t>
            </w:r>
          </w:p>
        </w:tc>
        <w:tc>
          <w:tcPr>
            <w:tcW w:w="442" w:type="dxa"/>
          </w:tcPr>
          <w:p>
            <w:pPr>
              <w:pStyle w:val="TableParagraph"/>
              <w:spacing w:before="71"/>
              <w:ind w:left="126"/>
              <w:jc w:val="left"/>
              <w:rPr>
                <w:sz w:val="16"/>
              </w:rPr>
            </w:pPr>
            <w:r>
              <w:rPr>
                <w:color w:val="231F20"/>
                <w:sz w:val="16"/>
              </w:rPr>
              <w:t>0.4</w:t>
            </w:r>
          </w:p>
        </w:tc>
        <w:tc>
          <w:tcPr>
            <w:tcW w:w="442" w:type="dxa"/>
          </w:tcPr>
          <w:p>
            <w:pPr>
              <w:pStyle w:val="TableParagraph"/>
              <w:spacing w:before="71"/>
              <w:ind w:left="41" w:right="41"/>
              <w:rPr>
                <w:sz w:val="16"/>
              </w:rPr>
            </w:pPr>
            <w:r>
              <w:rPr>
                <w:color w:val="231F20"/>
                <w:sz w:val="16"/>
              </w:rPr>
              <w:t>0.5</w:t>
            </w:r>
          </w:p>
        </w:tc>
        <w:tc>
          <w:tcPr>
            <w:tcW w:w="442" w:type="dxa"/>
          </w:tcPr>
          <w:p>
            <w:pPr>
              <w:pStyle w:val="TableParagraph"/>
              <w:spacing w:before="71"/>
              <w:ind w:left="126"/>
              <w:jc w:val="left"/>
              <w:rPr>
                <w:sz w:val="16"/>
              </w:rPr>
            </w:pPr>
            <w:r>
              <w:rPr>
                <w:color w:val="231F20"/>
                <w:sz w:val="16"/>
              </w:rPr>
              <w:t>0.6</w:t>
            </w:r>
          </w:p>
        </w:tc>
        <w:tc>
          <w:tcPr>
            <w:tcW w:w="442" w:type="dxa"/>
          </w:tcPr>
          <w:p>
            <w:pPr>
              <w:pStyle w:val="TableParagraph"/>
              <w:spacing w:before="71"/>
              <w:ind w:left="41" w:right="41"/>
              <w:rPr>
                <w:sz w:val="16"/>
              </w:rPr>
            </w:pPr>
            <w:r>
              <w:rPr>
                <w:color w:val="231F20"/>
                <w:sz w:val="16"/>
              </w:rPr>
              <w:t>0.5</w:t>
            </w:r>
          </w:p>
        </w:tc>
        <w:tc>
          <w:tcPr>
            <w:tcW w:w="442" w:type="dxa"/>
          </w:tcPr>
          <w:p>
            <w:pPr>
              <w:pStyle w:val="TableParagraph"/>
              <w:spacing w:before="71"/>
              <w:ind w:left="126"/>
              <w:jc w:val="left"/>
              <w:rPr>
                <w:sz w:val="16"/>
              </w:rPr>
            </w:pPr>
            <w:r>
              <w:rPr>
                <w:color w:val="231F20"/>
                <w:sz w:val="16"/>
              </w:rPr>
              <w:t>0.5</w:t>
            </w:r>
          </w:p>
        </w:tc>
        <w:tc>
          <w:tcPr>
            <w:tcW w:w="442" w:type="dxa"/>
          </w:tcPr>
          <w:p>
            <w:pPr>
              <w:pStyle w:val="TableParagraph"/>
              <w:spacing w:before="71"/>
              <w:ind w:left="41" w:right="41"/>
              <w:rPr>
                <w:sz w:val="16"/>
              </w:rPr>
            </w:pPr>
            <w:r>
              <w:rPr>
                <w:color w:val="231F20"/>
                <w:sz w:val="16"/>
              </w:rPr>
              <w:t>0.4</w:t>
            </w:r>
          </w:p>
        </w:tc>
        <w:tc>
          <w:tcPr>
            <w:tcW w:w="442" w:type="dxa"/>
          </w:tcPr>
          <w:p>
            <w:pPr>
              <w:pStyle w:val="TableParagraph"/>
              <w:spacing w:before="71"/>
              <w:ind w:right="123"/>
              <w:jc w:val="right"/>
              <w:rPr>
                <w:sz w:val="16"/>
              </w:rPr>
            </w:pPr>
            <w:r>
              <w:rPr>
                <w:color w:val="231F20"/>
                <w:w w:val="95"/>
                <w:sz w:val="16"/>
              </w:rPr>
              <w:t>0.4</w:t>
            </w:r>
          </w:p>
        </w:tc>
        <w:tc>
          <w:tcPr>
            <w:tcW w:w="440" w:type="dxa"/>
          </w:tcPr>
          <w:p>
            <w:pPr>
              <w:pStyle w:val="TableParagraph"/>
              <w:spacing w:before="71"/>
              <w:ind w:left="58" w:right="56"/>
              <w:rPr>
                <w:sz w:val="16"/>
              </w:rPr>
            </w:pPr>
            <w:r>
              <w:rPr>
                <w:color w:val="231F20"/>
                <w:sz w:val="16"/>
              </w:rPr>
              <w:t>0.4</w:t>
            </w:r>
          </w:p>
        </w:tc>
      </w:tr>
      <w:tr>
        <w:trPr>
          <w:trHeight w:val="280" w:hRule="exact"/>
        </w:trPr>
        <w:tc>
          <w:tcPr>
            <w:tcW w:w="1465" w:type="dxa"/>
          </w:tcPr>
          <w:p>
            <w:pPr>
              <w:pStyle w:val="TableParagraph"/>
              <w:tabs>
                <w:tab w:pos="1338" w:val="right" w:leader="none"/>
              </w:tabs>
              <w:spacing w:before="28"/>
              <w:ind w:left="58"/>
              <w:jc w:val="left"/>
              <w:rPr>
                <w:sz w:val="16"/>
              </w:rPr>
            </w:pPr>
            <w:r>
              <w:rPr>
                <w:color w:val="231F20"/>
                <w:sz w:val="16"/>
              </w:rPr>
              <w:t>Eslovenia</w:t>
              <w:tab/>
              <w:t>0.1</w:t>
            </w:r>
          </w:p>
        </w:tc>
        <w:tc>
          <w:tcPr>
            <w:tcW w:w="442" w:type="dxa"/>
          </w:tcPr>
          <w:p>
            <w:pPr>
              <w:pStyle w:val="TableParagraph"/>
              <w:spacing w:before="28"/>
              <w:ind w:left="61" w:right="61"/>
              <w:rPr>
                <w:sz w:val="16"/>
              </w:rPr>
            </w:pPr>
            <w:r>
              <w:rPr>
                <w:color w:val="231F20"/>
                <w:sz w:val="16"/>
              </w:rPr>
              <w:t>0.1</w:t>
            </w:r>
          </w:p>
        </w:tc>
        <w:tc>
          <w:tcPr>
            <w:tcW w:w="442" w:type="dxa"/>
          </w:tcPr>
          <w:p>
            <w:pPr>
              <w:pStyle w:val="TableParagraph"/>
              <w:spacing w:before="28"/>
              <w:ind w:left="126"/>
              <w:jc w:val="left"/>
              <w:rPr>
                <w:sz w:val="16"/>
              </w:rPr>
            </w:pPr>
            <w:r>
              <w:rPr>
                <w:color w:val="231F20"/>
                <w:sz w:val="16"/>
              </w:rPr>
              <w:t>0.1</w:t>
            </w:r>
          </w:p>
        </w:tc>
        <w:tc>
          <w:tcPr>
            <w:tcW w:w="442" w:type="dxa"/>
          </w:tcPr>
          <w:p>
            <w:pPr>
              <w:pStyle w:val="TableParagraph"/>
              <w:spacing w:before="28"/>
              <w:ind w:left="61" w:right="61"/>
              <w:rPr>
                <w:sz w:val="16"/>
              </w:rPr>
            </w:pPr>
            <w:r>
              <w:rPr>
                <w:color w:val="231F20"/>
                <w:sz w:val="16"/>
              </w:rPr>
              <w:t>0.1</w:t>
            </w:r>
          </w:p>
        </w:tc>
        <w:tc>
          <w:tcPr>
            <w:tcW w:w="441" w:type="dxa"/>
          </w:tcPr>
          <w:p>
            <w:pPr>
              <w:pStyle w:val="TableParagraph"/>
              <w:spacing w:before="28"/>
              <w:ind w:left="125"/>
              <w:jc w:val="left"/>
              <w:rPr>
                <w:sz w:val="16"/>
              </w:rPr>
            </w:pPr>
            <w:r>
              <w:rPr>
                <w:color w:val="231F20"/>
                <w:sz w:val="16"/>
              </w:rPr>
              <w:t>0.1</w:t>
            </w:r>
          </w:p>
        </w:tc>
        <w:tc>
          <w:tcPr>
            <w:tcW w:w="442" w:type="dxa"/>
          </w:tcPr>
          <w:p>
            <w:pPr>
              <w:pStyle w:val="TableParagraph"/>
              <w:spacing w:before="28"/>
              <w:ind w:left="41" w:right="40"/>
              <w:rPr>
                <w:sz w:val="16"/>
              </w:rPr>
            </w:pPr>
            <w:r>
              <w:rPr>
                <w:color w:val="231F20"/>
                <w:sz w:val="16"/>
              </w:rPr>
              <w:t>0.1</w:t>
            </w:r>
          </w:p>
        </w:tc>
        <w:tc>
          <w:tcPr>
            <w:tcW w:w="442" w:type="dxa"/>
          </w:tcPr>
          <w:p>
            <w:pPr>
              <w:pStyle w:val="TableParagraph"/>
              <w:spacing w:before="28"/>
              <w:ind w:left="126"/>
              <w:jc w:val="left"/>
              <w:rPr>
                <w:sz w:val="16"/>
              </w:rPr>
            </w:pPr>
            <w:r>
              <w:rPr>
                <w:color w:val="231F20"/>
                <w:sz w:val="16"/>
              </w:rPr>
              <w:t>0.1</w:t>
            </w:r>
          </w:p>
        </w:tc>
        <w:tc>
          <w:tcPr>
            <w:tcW w:w="442" w:type="dxa"/>
          </w:tcPr>
          <w:p>
            <w:pPr>
              <w:pStyle w:val="TableParagraph"/>
              <w:spacing w:before="28"/>
              <w:ind w:left="41" w:right="40"/>
              <w:rPr>
                <w:sz w:val="16"/>
              </w:rPr>
            </w:pPr>
            <w:r>
              <w:rPr>
                <w:color w:val="231F20"/>
                <w:sz w:val="16"/>
              </w:rPr>
              <w:t>0.1</w:t>
            </w:r>
          </w:p>
        </w:tc>
        <w:tc>
          <w:tcPr>
            <w:tcW w:w="442" w:type="dxa"/>
          </w:tcPr>
          <w:p>
            <w:pPr>
              <w:pStyle w:val="TableParagraph"/>
              <w:spacing w:before="28"/>
              <w:ind w:left="126"/>
              <w:jc w:val="left"/>
              <w:rPr>
                <w:sz w:val="16"/>
              </w:rPr>
            </w:pPr>
            <w:r>
              <w:rPr>
                <w:color w:val="231F20"/>
                <w:sz w:val="16"/>
              </w:rPr>
              <w:t>0.1</w:t>
            </w:r>
          </w:p>
        </w:tc>
        <w:tc>
          <w:tcPr>
            <w:tcW w:w="442" w:type="dxa"/>
          </w:tcPr>
          <w:p>
            <w:pPr>
              <w:pStyle w:val="TableParagraph"/>
              <w:spacing w:before="28"/>
              <w:ind w:left="41" w:right="40"/>
              <w:rPr>
                <w:sz w:val="16"/>
              </w:rPr>
            </w:pPr>
            <w:r>
              <w:rPr>
                <w:color w:val="231F20"/>
                <w:sz w:val="16"/>
              </w:rPr>
              <w:t>0.1</w:t>
            </w:r>
          </w:p>
        </w:tc>
        <w:tc>
          <w:tcPr>
            <w:tcW w:w="442" w:type="dxa"/>
          </w:tcPr>
          <w:p>
            <w:pPr>
              <w:pStyle w:val="TableParagraph"/>
              <w:spacing w:before="28"/>
              <w:ind w:left="126"/>
              <w:jc w:val="left"/>
              <w:rPr>
                <w:sz w:val="16"/>
              </w:rPr>
            </w:pPr>
            <w:r>
              <w:rPr>
                <w:color w:val="231F20"/>
                <w:sz w:val="16"/>
              </w:rPr>
              <w:t>0.1</w:t>
            </w:r>
          </w:p>
        </w:tc>
        <w:tc>
          <w:tcPr>
            <w:tcW w:w="442" w:type="dxa"/>
          </w:tcPr>
          <w:p>
            <w:pPr>
              <w:pStyle w:val="TableParagraph"/>
              <w:spacing w:before="28"/>
              <w:ind w:left="41" w:right="40"/>
              <w:rPr>
                <w:sz w:val="16"/>
              </w:rPr>
            </w:pPr>
            <w:r>
              <w:rPr>
                <w:color w:val="231F20"/>
                <w:sz w:val="16"/>
              </w:rPr>
              <w:t>0.1</w:t>
            </w:r>
          </w:p>
        </w:tc>
        <w:tc>
          <w:tcPr>
            <w:tcW w:w="442" w:type="dxa"/>
          </w:tcPr>
          <w:p>
            <w:pPr>
              <w:pStyle w:val="TableParagraph"/>
              <w:spacing w:before="28"/>
              <w:ind w:right="123"/>
              <w:jc w:val="right"/>
              <w:rPr>
                <w:sz w:val="16"/>
              </w:rPr>
            </w:pPr>
            <w:r>
              <w:rPr>
                <w:color w:val="231F20"/>
                <w:w w:val="95"/>
                <w:sz w:val="16"/>
              </w:rPr>
              <w:t>0.1</w:t>
            </w:r>
          </w:p>
        </w:tc>
        <w:tc>
          <w:tcPr>
            <w:tcW w:w="440" w:type="dxa"/>
          </w:tcPr>
          <w:p>
            <w:pPr>
              <w:pStyle w:val="TableParagraph"/>
              <w:spacing w:before="28"/>
              <w:ind w:left="59" w:right="56"/>
              <w:rPr>
                <w:sz w:val="16"/>
              </w:rPr>
            </w:pPr>
            <w:r>
              <w:rPr>
                <w:color w:val="231F20"/>
                <w:sz w:val="16"/>
              </w:rPr>
              <w:t>0.1</w:t>
            </w:r>
          </w:p>
        </w:tc>
      </w:tr>
      <w:tr>
        <w:trPr>
          <w:trHeight w:val="280" w:hRule="exact"/>
        </w:trPr>
        <w:tc>
          <w:tcPr>
            <w:tcW w:w="1465" w:type="dxa"/>
          </w:tcPr>
          <w:p>
            <w:pPr>
              <w:pStyle w:val="TableParagraph"/>
              <w:tabs>
                <w:tab w:pos="1339" w:val="right" w:leader="none"/>
              </w:tabs>
              <w:spacing w:before="28"/>
              <w:ind w:left="59"/>
              <w:jc w:val="left"/>
              <w:rPr>
                <w:sz w:val="16"/>
              </w:rPr>
            </w:pPr>
            <w:r>
              <w:rPr>
                <w:color w:val="231F20"/>
                <w:sz w:val="16"/>
              </w:rPr>
              <w:t>Hungría</w:t>
              <w:tab/>
              <w:t>0.3</w:t>
            </w:r>
          </w:p>
        </w:tc>
        <w:tc>
          <w:tcPr>
            <w:tcW w:w="442" w:type="dxa"/>
          </w:tcPr>
          <w:p>
            <w:pPr>
              <w:pStyle w:val="TableParagraph"/>
              <w:spacing w:before="28"/>
              <w:ind w:left="61" w:right="60"/>
              <w:rPr>
                <w:sz w:val="16"/>
              </w:rPr>
            </w:pPr>
            <w:r>
              <w:rPr>
                <w:color w:val="231F20"/>
                <w:sz w:val="16"/>
              </w:rPr>
              <w:t>0.3</w:t>
            </w:r>
          </w:p>
        </w:tc>
        <w:tc>
          <w:tcPr>
            <w:tcW w:w="442" w:type="dxa"/>
          </w:tcPr>
          <w:p>
            <w:pPr>
              <w:pStyle w:val="TableParagraph"/>
              <w:spacing w:before="28"/>
              <w:ind w:left="126"/>
              <w:jc w:val="left"/>
              <w:rPr>
                <w:sz w:val="16"/>
              </w:rPr>
            </w:pPr>
            <w:r>
              <w:rPr>
                <w:color w:val="231F20"/>
                <w:sz w:val="16"/>
              </w:rPr>
              <w:t>0.4</w:t>
            </w:r>
          </w:p>
        </w:tc>
        <w:tc>
          <w:tcPr>
            <w:tcW w:w="442" w:type="dxa"/>
          </w:tcPr>
          <w:p>
            <w:pPr>
              <w:pStyle w:val="TableParagraph"/>
              <w:spacing w:before="28"/>
              <w:ind w:left="61" w:right="60"/>
              <w:rPr>
                <w:sz w:val="16"/>
              </w:rPr>
            </w:pPr>
            <w:r>
              <w:rPr>
                <w:color w:val="231F20"/>
                <w:sz w:val="16"/>
              </w:rPr>
              <w:t>0.4</w:t>
            </w:r>
          </w:p>
        </w:tc>
        <w:tc>
          <w:tcPr>
            <w:tcW w:w="441" w:type="dxa"/>
          </w:tcPr>
          <w:p>
            <w:pPr>
              <w:pStyle w:val="TableParagraph"/>
              <w:spacing w:before="28"/>
              <w:ind w:left="126"/>
              <w:jc w:val="left"/>
              <w:rPr>
                <w:sz w:val="16"/>
              </w:rPr>
            </w:pPr>
            <w:r>
              <w:rPr>
                <w:color w:val="231F20"/>
                <w:sz w:val="16"/>
              </w:rPr>
              <w:t>0.4</w:t>
            </w:r>
          </w:p>
        </w:tc>
        <w:tc>
          <w:tcPr>
            <w:tcW w:w="442" w:type="dxa"/>
          </w:tcPr>
          <w:p>
            <w:pPr>
              <w:pStyle w:val="TableParagraph"/>
              <w:spacing w:before="28"/>
              <w:ind w:left="41" w:right="39"/>
              <w:rPr>
                <w:sz w:val="16"/>
              </w:rPr>
            </w:pPr>
            <w:r>
              <w:rPr>
                <w:color w:val="231F20"/>
                <w:sz w:val="16"/>
              </w:rPr>
              <w:t>0.3</w:t>
            </w:r>
          </w:p>
        </w:tc>
        <w:tc>
          <w:tcPr>
            <w:tcW w:w="442" w:type="dxa"/>
          </w:tcPr>
          <w:p>
            <w:pPr>
              <w:pStyle w:val="TableParagraph"/>
              <w:spacing w:before="28"/>
              <w:ind w:left="127"/>
              <w:jc w:val="left"/>
              <w:rPr>
                <w:sz w:val="16"/>
              </w:rPr>
            </w:pPr>
            <w:r>
              <w:rPr>
                <w:color w:val="231F20"/>
                <w:sz w:val="16"/>
              </w:rPr>
              <w:t>0.3</w:t>
            </w:r>
          </w:p>
        </w:tc>
        <w:tc>
          <w:tcPr>
            <w:tcW w:w="442" w:type="dxa"/>
          </w:tcPr>
          <w:p>
            <w:pPr>
              <w:pStyle w:val="TableParagraph"/>
              <w:spacing w:before="28"/>
              <w:ind w:left="41" w:right="39"/>
              <w:rPr>
                <w:sz w:val="16"/>
              </w:rPr>
            </w:pPr>
            <w:r>
              <w:rPr>
                <w:color w:val="231F20"/>
                <w:sz w:val="16"/>
              </w:rPr>
              <w:t>0.3</w:t>
            </w:r>
          </w:p>
        </w:tc>
        <w:tc>
          <w:tcPr>
            <w:tcW w:w="442" w:type="dxa"/>
          </w:tcPr>
          <w:p>
            <w:pPr>
              <w:pStyle w:val="TableParagraph"/>
              <w:spacing w:before="28"/>
              <w:ind w:left="127"/>
              <w:jc w:val="left"/>
              <w:rPr>
                <w:sz w:val="16"/>
              </w:rPr>
            </w:pPr>
            <w:r>
              <w:rPr>
                <w:color w:val="231F20"/>
                <w:sz w:val="16"/>
              </w:rPr>
              <w:t>0.3</w:t>
            </w:r>
          </w:p>
        </w:tc>
        <w:tc>
          <w:tcPr>
            <w:tcW w:w="442" w:type="dxa"/>
          </w:tcPr>
          <w:p>
            <w:pPr>
              <w:pStyle w:val="TableParagraph"/>
              <w:spacing w:before="28"/>
              <w:ind w:left="41" w:right="39"/>
              <w:rPr>
                <w:sz w:val="16"/>
              </w:rPr>
            </w:pPr>
            <w:r>
              <w:rPr>
                <w:color w:val="231F20"/>
                <w:sz w:val="16"/>
              </w:rPr>
              <w:t>0.1</w:t>
            </w:r>
          </w:p>
        </w:tc>
        <w:tc>
          <w:tcPr>
            <w:tcW w:w="442" w:type="dxa"/>
          </w:tcPr>
          <w:p>
            <w:pPr>
              <w:pStyle w:val="TableParagraph"/>
              <w:spacing w:before="28"/>
              <w:ind w:left="127"/>
              <w:jc w:val="left"/>
              <w:rPr>
                <w:sz w:val="16"/>
              </w:rPr>
            </w:pPr>
            <w:r>
              <w:rPr>
                <w:color w:val="231F20"/>
                <w:sz w:val="16"/>
              </w:rPr>
              <w:t>0.1</w:t>
            </w:r>
          </w:p>
        </w:tc>
        <w:tc>
          <w:tcPr>
            <w:tcW w:w="442" w:type="dxa"/>
          </w:tcPr>
          <w:p>
            <w:pPr>
              <w:pStyle w:val="TableParagraph"/>
              <w:spacing w:before="28"/>
              <w:ind w:left="41" w:right="39"/>
              <w:rPr>
                <w:sz w:val="16"/>
              </w:rPr>
            </w:pPr>
            <w:r>
              <w:rPr>
                <w:color w:val="231F20"/>
                <w:sz w:val="16"/>
              </w:rPr>
              <w:t>0.1</w:t>
            </w:r>
          </w:p>
        </w:tc>
        <w:tc>
          <w:tcPr>
            <w:tcW w:w="442" w:type="dxa"/>
          </w:tcPr>
          <w:p>
            <w:pPr>
              <w:pStyle w:val="TableParagraph"/>
              <w:spacing w:before="28"/>
              <w:ind w:right="122"/>
              <w:jc w:val="right"/>
              <w:rPr>
                <w:sz w:val="16"/>
              </w:rPr>
            </w:pPr>
            <w:r>
              <w:rPr>
                <w:color w:val="231F20"/>
                <w:w w:val="95"/>
                <w:sz w:val="16"/>
              </w:rPr>
              <w:t>0.1</w:t>
            </w:r>
          </w:p>
        </w:tc>
        <w:tc>
          <w:tcPr>
            <w:tcW w:w="440" w:type="dxa"/>
          </w:tcPr>
          <w:p>
            <w:pPr>
              <w:pStyle w:val="TableParagraph"/>
              <w:spacing w:before="28"/>
              <w:ind w:left="60" w:right="56"/>
              <w:rPr>
                <w:sz w:val="16"/>
              </w:rPr>
            </w:pPr>
            <w:r>
              <w:rPr>
                <w:color w:val="231F20"/>
                <w:sz w:val="16"/>
              </w:rPr>
              <w:t>0.1</w:t>
            </w:r>
          </w:p>
        </w:tc>
      </w:tr>
      <w:tr>
        <w:trPr>
          <w:trHeight w:val="280" w:hRule="exact"/>
        </w:trPr>
        <w:tc>
          <w:tcPr>
            <w:tcW w:w="1465" w:type="dxa"/>
          </w:tcPr>
          <w:p>
            <w:pPr>
              <w:pStyle w:val="TableParagraph"/>
              <w:tabs>
                <w:tab w:pos="1339" w:val="right" w:leader="none"/>
              </w:tabs>
              <w:spacing w:before="28"/>
              <w:ind w:left="59"/>
              <w:jc w:val="left"/>
              <w:rPr>
                <w:sz w:val="16"/>
              </w:rPr>
            </w:pPr>
            <w:r>
              <w:rPr>
                <w:color w:val="231F20"/>
                <w:sz w:val="16"/>
              </w:rPr>
              <w:t>Rumania</w:t>
              <w:tab/>
              <w:t>0.2</w:t>
            </w:r>
          </w:p>
        </w:tc>
        <w:tc>
          <w:tcPr>
            <w:tcW w:w="442" w:type="dxa"/>
          </w:tcPr>
          <w:p>
            <w:pPr>
              <w:pStyle w:val="TableParagraph"/>
              <w:spacing w:before="28"/>
              <w:ind w:left="61" w:right="60"/>
              <w:rPr>
                <w:sz w:val="16"/>
              </w:rPr>
            </w:pPr>
            <w:r>
              <w:rPr>
                <w:color w:val="231F20"/>
                <w:sz w:val="16"/>
              </w:rPr>
              <w:t>0.2</w:t>
            </w:r>
          </w:p>
        </w:tc>
        <w:tc>
          <w:tcPr>
            <w:tcW w:w="442" w:type="dxa"/>
          </w:tcPr>
          <w:p>
            <w:pPr>
              <w:pStyle w:val="TableParagraph"/>
              <w:spacing w:before="28"/>
              <w:ind w:left="127"/>
              <w:jc w:val="left"/>
              <w:rPr>
                <w:sz w:val="16"/>
              </w:rPr>
            </w:pPr>
            <w:r>
              <w:rPr>
                <w:color w:val="231F20"/>
                <w:sz w:val="16"/>
              </w:rPr>
              <w:t>0.2</w:t>
            </w:r>
          </w:p>
        </w:tc>
        <w:tc>
          <w:tcPr>
            <w:tcW w:w="442" w:type="dxa"/>
          </w:tcPr>
          <w:p>
            <w:pPr>
              <w:pStyle w:val="TableParagraph"/>
              <w:spacing w:before="28"/>
              <w:ind w:left="61" w:right="60"/>
              <w:rPr>
                <w:sz w:val="16"/>
              </w:rPr>
            </w:pPr>
            <w:r>
              <w:rPr>
                <w:color w:val="231F20"/>
                <w:sz w:val="16"/>
              </w:rPr>
              <w:t>0.2</w:t>
            </w:r>
          </w:p>
        </w:tc>
        <w:tc>
          <w:tcPr>
            <w:tcW w:w="441" w:type="dxa"/>
          </w:tcPr>
          <w:p>
            <w:pPr>
              <w:pStyle w:val="TableParagraph"/>
              <w:spacing w:before="28"/>
              <w:ind w:left="126"/>
              <w:jc w:val="left"/>
              <w:rPr>
                <w:sz w:val="16"/>
              </w:rPr>
            </w:pPr>
            <w:r>
              <w:rPr>
                <w:color w:val="231F20"/>
                <w:sz w:val="16"/>
              </w:rPr>
              <w:t>0.3</w:t>
            </w:r>
          </w:p>
        </w:tc>
        <w:tc>
          <w:tcPr>
            <w:tcW w:w="442" w:type="dxa"/>
          </w:tcPr>
          <w:p>
            <w:pPr>
              <w:pStyle w:val="TableParagraph"/>
              <w:spacing w:before="28"/>
              <w:ind w:left="41" w:right="38"/>
              <w:rPr>
                <w:sz w:val="16"/>
              </w:rPr>
            </w:pPr>
            <w:r>
              <w:rPr>
                <w:color w:val="231F20"/>
                <w:sz w:val="16"/>
              </w:rPr>
              <w:t>0.4</w:t>
            </w:r>
          </w:p>
        </w:tc>
        <w:tc>
          <w:tcPr>
            <w:tcW w:w="442" w:type="dxa"/>
          </w:tcPr>
          <w:p>
            <w:pPr>
              <w:pStyle w:val="TableParagraph"/>
              <w:spacing w:before="28"/>
              <w:ind w:left="127"/>
              <w:jc w:val="left"/>
              <w:rPr>
                <w:sz w:val="16"/>
              </w:rPr>
            </w:pPr>
            <w:r>
              <w:rPr>
                <w:color w:val="231F20"/>
                <w:sz w:val="16"/>
              </w:rPr>
              <w:t>0.4</w:t>
            </w:r>
          </w:p>
        </w:tc>
        <w:tc>
          <w:tcPr>
            <w:tcW w:w="442" w:type="dxa"/>
          </w:tcPr>
          <w:p>
            <w:pPr>
              <w:pStyle w:val="TableParagraph"/>
              <w:spacing w:before="28"/>
              <w:ind w:left="41" w:right="38"/>
              <w:rPr>
                <w:sz w:val="16"/>
              </w:rPr>
            </w:pPr>
            <w:r>
              <w:rPr>
                <w:color w:val="231F20"/>
                <w:sz w:val="16"/>
              </w:rPr>
              <w:t>0.5</w:t>
            </w:r>
          </w:p>
        </w:tc>
        <w:tc>
          <w:tcPr>
            <w:tcW w:w="442" w:type="dxa"/>
          </w:tcPr>
          <w:p>
            <w:pPr>
              <w:pStyle w:val="TableParagraph"/>
              <w:spacing w:before="28"/>
              <w:ind w:left="127"/>
              <w:jc w:val="left"/>
              <w:rPr>
                <w:sz w:val="16"/>
              </w:rPr>
            </w:pPr>
            <w:r>
              <w:rPr>
                <w:color w:val="231F20"/>
                <w:sz w:val="16"/>
              </w:rPr>
              <w:t>0.5</w:t>
            </w:r>
          </w:p>
        </w:tc>
        <w:tc>
          <w:tcPr>
            <w:tcW w:w="442" w:type="dxa"/>
          </w:tcPr>
          <w:p>
            <w:pPr>
              <w:pStyle w:val="TableParagraph"/>
              <w:spacing w:before="28"/>
              <w:ind w:left="41" w:right="38"/>
              <w:rPr>
                <w:sz w:val="16"/>
              </w:rPr>
            </w:pPr>
            <w:r>
              <w:rPr>
                <w:color w:val="231F20"/>
                <w:sz w:val="16"/>
              </w:rPr>
              <w:t>0.2</w:t>
            </w:r>
          </w:p>
        </w:tc>
        <w:tc>
          <w:tcPr>
            <w:tcW w:w="442" w:type="dxa"/>
          </w:tcPr>
          <w:p>
            <w:pPr>
              <w:pStyle w:val="TableParagraph"/>
              <w:spacing w:before="28"/>
              <w:ind w:left="127"/>
              <w:jc w:val="left"/>
              <w:rPr>
                <w:sz w:val="16"/>
              </w:rPr>
            </w:pPr>
            <w:r>
              <w:rPr>
                <w:color w:val="231F20"/>
                <w:sz w:val="16"/>
              </w:rPr>
              <w:t>0.1</w:t>
            </w:r>
          </w:p>
        </w:tc>
        <w:tc>
          <w:tcPr>
            <w:tcW w:w="442" w:type="dxa"/>
          </w:tcPr>
          <w:p>
            <w:pPr>
              <w:pStyle w:val="TableParagraph"/>
              <w:spacing w:before="28"/>
              <w:ind w:left="41" w:right="38"/>
              <w:rPr>
                <w:sz w:val="16"/>
              </w:rPr>
            </w:pPr>
            <w:r>
              <w:rPr>
                <w:color w:val="231F20"/>
                <w:sz w:val="16"/>
              </w:rPr>
              <w:t>0.1</w:t>
            </w:r>
          </w:p>
        </w:tc>
        <w:tc>
          <w:tcPr>
            <w:tcW w:w="442" w:type="dxa"/>
          </w:tcPr>
          <w:p>
            <w:pPr>
              <w:pStyle w:val="TableParagraph"/>
              <w:spacing w:before="28"/>
              <w:ind w:right="122"/>
              <w:jc w:val="right"/>
              <w:rPr>
                <w:sz w:val="16"/>
              </w:rPr>
            </w:pPr>
            <w:r>
              <w:rPr>
                <w:color w:val="231F20"/>
                <w:w w:val="95"/>
                <w:sz w:val="16"/>
              </w:rPr>
              <w:t>0.1</w:t>
            </w:r>
          </w:p>
        </w:tc>
        <w:tc>
          <w:tcPr>
            <w:tcW w:w="440" w:type="dxa"/>
          </w:tcPr>
          <w:p>
            <w:pPr>
              <w:pStyle w:val="TableParagraph"/>
              <w:spacing w:before="28"/>
              <w:ind w:left="60" w:right="55"/>
              <w:rPr>
                <w:sz w:val="16"/>
              </w:rPr>
            </w:pPr>
            <w:r>
              <w:rPr>
                <w:color w:val="231F20"/>
                <w:sz w:val="16"/>
              </w:rPr>
              <w:t>0.1</w:t>
            </w:r>
          </w:p>
        </w:tc>
      </w:tr>
      <w:tr>
        <w:trPr>
          <w:trHeight w:val="311" w:hRule="exact"/>
        </w:trPr>
        <w:tc>
          <w:tcPr>
            <w:tcW w:w="1465" w:type="dxa"/>
          </w:tcPr>
          <w:p>
            <w:pPr>
              <w:pStyle w:val="TableParagraph"/>
              <w:tabs>
                <w:tab w:pos="1340" w:val="right" w:leader="none"/>
              </w:tabs>
              <w:spacing w:before="28"/>
              <w:ind w:left="60"/>
              <w:jc w:val="left"/>
              <w:rPr>
                <w:sz w:val="16"/>
              </w:rPr>
            </w:pPr>
            <w:r>
              <w:rPr>
                <w:color w:val="231F20"/>
                <w:sz w:val="16"/>
              </w:rPr>
              <w:t>Rusia</w:t>
              <w:tab/>
              <w:t>2.1</w:t>
            </w:r>
          </w:p>
        </w:tc>
        <w:tc>
          <w:tcPr>
            <w:tcW w:w="442" w:type="dxa"/>
          </w:tcPr>
          <w:p>
            <w:pPr>
              <w:pStyle w:val="TableParagraph"/>
              <w:spacing w:before="28"/>
              <w:ind w:left="61" w:right="59"/>
              <w:rPr>
                <w:sz w:val="16"/>
              </w:rPr>
            </w:pPr>
            <w:r>
              <w:rPr>
                <w:color w:val="231F20"/>
                <w:sz w:val="16"/>
              </w:rPr>
              <w:t>2.4</w:t>
            </w:r>
          </w:p>
        </w:tc>
        <w:tc>
          <w:tcPr>
            <w:tcW w:w="442" w:type="dxa"/>
          </w:tcPr>
          <w:p>
            <w:pPr>
              <w:pStyle w:val="TableParagraph"/>
              <w:spacing w:before="28"/>
              <w:ind w:left="127"/>
              <w:jc w:val="left"/>
              <w:rPr>
                <w:sz w:val="16"/>
              </w:rPr>
            </w:pPr>
            <w:r>
              <w:rPr>
                <w:color w:val="231F20"/>
                <w:sz w:val="16"/>
              </w:rPr>
              <w:t>2.2</w:t>
            </w:r>
          </w:p>
        </w:tc>
        <w:tc>
          <w:tcPr>
            <w:tcW w:w="442" w:type="dxa"/>
          </w:tcPr>
          <w:p>
            <w:pPr>
              <w:pStyle w:val="TableParagraph"/>
              <w:spacing w:before="28"/>
              <w:ind w:left="61" w:right="59"/>
              <w:rPr>
                <w:sz w:val="16"/>
              </w:rPr>
            </w:pPr>
            <w:r>
              <w:rPr>
                <w:color w:val="231F20"/>
                <w:sz w:val="16"/>
              </w:rPr>
              <w:t>2.4</w:t>
            </w:r>
          </w:p>
        </w:tc>
        <w:tc>
          <w:tcPr>
            <w:tcW w:w="441" w:type="dxa"/>
          </w:tcPr>
          <w:p>
            <w:pPr>
              <w:pStyle w:val="TableParagraph"/>
              <w:spacing w:before="28"/>
              <w:ind w:left="127"/>
              <w:jc w:val="left"/>
              <w:rPr>
                <w:sz w:val="16"/>
              </w:rPr>
            </w:pPr>
            <w:r>
              <w:rPr>
                <w:color w:val="231F20"/>
                <w:sz w:val="16"/>
              </w:rPr>
              <w:t>2.8</w:t>
            </w:r>
          </w:p>
        </w:tc>
        <w:tc>
          <w:tcPr>
            <w:tcW w:w="442" w:type="dxa"/>
          </w:tcPr>
          <w:p>
            <w:pPr>
              <w:pStyle w:val="TableParagraph"/>
              <w:spacing w:before="28"/>
              <w:ind w:left="41" w:right="37"/>
              <w:rPr>
                <w:sz w:val="16"/>
              </w:rPr>
            </w:pPr>
            <w:r>
              <w:rPr>
                <w:color w:val="231F20"/>
                <w:sz w:val="16"/>
              </w:rPr>
              <w:t>2.7</w:t>
            </w:r>
          </w:p>
        </w:tc>
        <w:tc>
          <w:tcPr>
            <w:tcW w:w="442" w:type="dxa"/>
          </w:tcPr>
          <w:p>
            <w:pPr>
              <w:pStyle w:val="TableParagraph"/>
              <w:spacing w:before="28"/>
              <w:ind w:left="128"/>
              <w:jc w:val="left"/>
              <w:rPr>
                <w:sz w:val="16"/>
              </w:rPr>
            </w:pPr>
            <w:r>
              <w:rPr>
                <w:color w:val="231F20"/>
                <w:sz w:val="16"/>
              </w:rPr>
              <w:t>3.3</w:t>
            </w:r>
          </w:p>
        </w:tc>
        <w:tc>
          <w:tcPr>
            <w:tcW w:w="442" w:type="dxa"/>
          </w:tcPr>
          <w:p>
            <w:pPr>
              <w:pStyle w:val="TableParagraph"/>
              <w:spacing w:before="28"/>
              <w:ind w:left="41" w:right="37"/>
              <w:rPr>
                <w:sz w:val="16"/>
              </w:rPr>
            </w:pPr>
            <w:r>
              <w:rPr>
                <w:color w:val="231F20"/>
                <w:sz w:val="16"/>
              </w:rPr>
              <w:t>4.0</w:t>
            </w:r>
          </w:p>
        </w:tc>
        <w:tc>
          <w:tcPr>
            <w:tcW w:w="442" w:type="dxa"/>
          </w:tcPr>
          <w:p>
            <w:pPr>
              <w:pStyle w:val="TableParagraph"/>
              <w:spacing w:before="28"/>
              <w:ind w:left="128"/>
              <w:jc w:val="left"/>
              <w:rPr>
                <w:sz w:val="16"/>
              </w:rPr>
            </w:pPr>
            <w:r>
              <w:rPr>
                <w:color w:val="231F20"/>
                <w:sz w:val="16"/>
              </w:rPr>
              <w:t>4.7</w:t>
            </w:r>
          </w:p>
        </w:tc>
        <w:tc>
          <w:tcPr>
            <w:tcW w:w="442" w:type="dxa"/>
          </w:tcPr>
          <w:p>
            <w:pPr>
              <w:pStyle w:val="TableParagraph"/>
              <w:spacing w:before="28"/>
              <w:ind w:left="41" w:right="37"/>
              <w:rPr>
                <w:sz w:val="16"/>
              </w:rPr>
            </w:pPr>
            <w:r>
              <w:rPr>
                <w:color w:val="231F20"/>
                <w:sz w:val="16"/>
              </w:rPr>
              <w:t>2.4</w:t>
            </w:r>
          </w:p>
        </w:tc>
        <w:tc>
          <w:tcPr>
            <w:tcW w:w="442" w:type="dxa"/>
          </w:tcPr>
          <w:p>
            <w:pPr>
              <w:pStyle w:val="TableParagraph"/>
              <w:spacing w:before="28"/>
              <w:ind w:left="128"/>
              <w:jc w:val="left"/>
              <w:rPr>
                <w:sz w:val="16"/>
              </w:rPr>
            </w:pPr>
            <w:r>
              <w:rPr>
                <w:color w:val="231F20"/>
                <w:sz w:val="16"/>
              </w:rPr>
              <w:t>2.8</w:t>
            </w:r>
          </w:p>
        </w:tc>
        <w:tc>
          <w:tcPr>
            <w:tcW w:w="442" w:type="dxa"/>
          </w:tcPr>
          <w:p>
            <w:pPr>
              <w:pStyle w:val="TableParagraph"/>
              <w:spacing w:before="28"/>
              <w:ind w:left="41" w:right="37"/>
              <w:rPr>
                <w:sz w:val="16"/>
              </w:rPr>
            </w:pPr>
            <w:r>
              <w:rPr>
                <w:color w:val="231F20"/>
                <w:sz w:val="16"/>
              </w:rPr>
              <w:t>3.7</w:t>
            </w:r>
          </w:p>
        </w:tc>
        <w:tc>
          <w:tcPr>
            <w:tcW w:w="442" w:type="dxa"/>
          </w:tcPr>
          <w:p>
            <w:pPr>
              <w:pStyle w:val="TableParagraph"/>
              <w:spacing w:before="28"/>
              <w:ind w:right="121"/>
              <w:jc w:val="right"/>
              <w:rPr>
                <w:sz w:val="16"/>
              </w:rPr>
            </w:pPr>
            <w:r>
              <w:rPr>
                <w:color w:val="231F20"/>
                <w:w w:val="95"/>
                <w:sz w:val="16"/>
              </w:rPr>
              <w:t>3.8</w:t>
            </w:r>
          </w:p>
        </w:tc>
        <w:tc>
          <w:tcPr>
            <w:tcW w:w="440" w:type="dxa"/>
          </w:tcPr>
          <w:p>
            <w:pPr>
              <w:pStyle w:val="TableParagraph"/>
              <w:spacing w:before="28"/>
              <w:ind w:left="60" w:right="54"/>
              <w:rPr>
                <w:sz w:val="16"/>
              </w:rPr>
            </w:pPr>
            <w:r>
              <w:rPr>
                <w:color w:val="231F20"/>
                <w:sz w:val="16"/>
              </w:rPr>
              <w:t>3.5</w:t>
            </w:r>
          </w:p>
        </w:tc>
      </w:tr>
      <w:tr>
        <w:trPr>
          <w:trHeight w:val="353" w:hRule="exact"/>
        </w:trPr>
        <w:tc>
          <w:tcPr>
            <w:tcW w:w="1465" w:type="dxa"/>
            <w:tcBorders>
              <w:bottom w:val="single" w:sz="4" w:space="0" w:color="231F20"/>
            </w:tcBorders>
          </w:tcPr>
          <w:p>
            <w:pPr>
              <w:pStyle w:val="TableParagraph"/>
              <w:spacing w:line="106" w:lineRule="exact"/>
              <w:ind w:left="60"/>
              <w:jc w:val="left"/>
              <w:rPr>
                <w:sz w:val="16"/>
              </w:rPr>
            </w:pPr>
            <w:r>
              <w:rPr>
                <w:color w:val="231F20"/>
                <w:sz w:val="16"/>
              </w:rPr>
              <w:t>Resto de</w:t>
            </w:r>
          </w:p>
          <w:p>
            <w:pPr>
              <w:pStyle w:val="TableParagraph"/>
              <w:tabs>
                <w:tab w:pos="1336" w:val="right" w:leader="none"/>
              </w:tabs>
              <w:spacing w:line="225" w:lineRule="exact"/>
              <w:ind w:left="60"/>
              <w:jc w:val="left"/>
              <w:rPr>
                <w:sz w:val="16"/>
              </w:rPr>
            </w:pPr>
            <w:r>
              <w:rPr>
                <w:color w:val="231F20"/>
                <w:sz w:val="16"/>
              </w:rPr>
              <w:t>países</w:t>
            </w:r>
            <w:r>
              <w:rPr>
                <w:color w:val="231F20"/>
                <w:spacing w:val="-9"/>
                <w:sz w:val="16"/>
              </w:rPr>
              <w:t> </w:t>
            </w:r>
            <w:r>
              <w:rPr>
                <w:color w:val="231F20"/>
                <w:position w:val="5"/>
                <w:sz w:val="9"/>
              </w:rPr>
              <w:t>4</w:t>
            </w:r>
            <w:r>
              <w:rPr>
                <w:color w:val="231F20"/>
                <w:position w:val="9"/>
                <w:sz w:val="16"/>
              </w:rPr>
              <w:tab/>
              <w:t>0.2</w:t>
            </w:r>
          </w:p>
        </w:tc>
        <w:tc>
          <w:tcPr>
            <w:tcW w:w="442" w:type="dxa"/>
            <w:tcBorders>
              <w:bottom w:val="single" w:sz="4" w:space="0" w:color="231F20"/>
            </w:tcBorders>
          </w:tcPr>
          <w:p>
            <w:pPr>
              <w:pStyle w:val="TableParagraph"/>
              <w:spacing w:before="59"/>
              <w:ind w:left="59" w:right="61"/>
              <w:rPr>
                <w:sz w:val="16"/>
              </w:rPr>
            </w:pPr>
            <w:r>
              <w:rPr>
                <w:color w:val="231F20"/>
                <w:sz w:val="16"/>
              </w:rPr>
              <w:t>0.2</w:t>
            </w:r>
          </w:p>
        </w:tc>
        <w:tc>
          <w:tcPr>
            <w:tcW w:w="442" w:type="dxa"/>
            <w:tcBorders>
              <w:bottom w:val="single" w:sz="4" w:space="0" w:color="231F20"/>
            </w:tcBorders>
          </w:tcPr>
          <w:p>
            <w:pPr>
              <w:pStyle w:val="TableParagraph"/>
              <w:spacing w:before="59"/>
              <w:ind w:left="123"/>
              <w:jc w:val="left"/>
              <w:rPr>
                <w:sz w:val="16"/>
              </w:rPr>
            </w:pPr>
            <w:r>
              <w:rPr>
                <w:color w:val="231F20"/>
                <w:sz w:val="16"/>
              </w:rPr>
              <w:t>0.2</w:t>
            </w:r>
          </w:p>
        </w:tc>
        <w:tc>
          <w:tcPr>
            <w:tcW w:w="442" w:type="dxa"/>
            <w:tcBorders>
              <w:bottom w:val="single" w:sz="4" w:space="0" w:color="231F20"/>
            </w:tcBorders>
          </w:tcPr>
          <w:p>
            <w:pPr>
              <w:pStyle w:val="TableParagraph"/>
              <w:spacing w:before="59"/>
              <w:ind w:left="59" w:right="61"/>
              <w:rPr>
                <w:sz w:val="16"/>
              </w:rPr>
            </w:pPr>
            <w:r>
              <w:rPr>
                <w:color w:val="231F20"/>
                <w:sz w:val="16"/>
              </w:rPr>
              <w:t>0.2</w:t>
            </w:r>
          </w:p>
        </w:tc>
        <w:tc>
          <w:tcPr>
            <w:tcW w:w="441" w:type="dxa"/>
            <w:tcBorders>
              <w:bottom w:val="single" w:sz="4" w:space="0" w:color="231F20"/>
            </w:tcBorders>
          </w:tcPr>
          <w:p>
            <w:pPr>
              <w:pStyle w:val="TableParagraph"/>
              <w:spacing w:before="59"/>
              <w:ind w:left="123"/>
              <w:jc w:val="left"/>
              <w:rPr>
                <w:sz w:val="16"/>
              </w:rPr>
            </w:pPr>
            <w:r>
              <w:rPr>
                <w:color w:val="231F20"/>
                <w:sz w:val="16"/>
              </w:rPr>
              <w:t>0.2</w:t>
            </w:r>
          </w:p>
        </w:tc>
        <w:tc>
          <w:tcPr>
            <w:tcW w:w="442" w:type="dxa"/>
            <w:tcBorders>
              <w:bottom w:val="single" w:sz="4" w:space="0" w:color="231F20"/>
            </w:tcBorders>
          </w:tcPr>
          <w:p>
            <w:pPr>
              <w:pStyle w:val="TableParagraph"/>
              <w:spacing w:before="59"/>
              <w:ind w:left="39" w:right="41"/>
              <w:rPr>
                <w:sz w:val="16"/>
              </w:rPr>
            </w:pPr>
            <w:r>
              <w:rPr>
                <w:color w:val="231F20"/>
                <w:sz w:val="16"/>
              </w:rPr>
              <w:t>0.3</w:t>
            </w:r>
          </w:p>
        </w:tc>
        <w:tc>
          <w:tcPr>
            <w:tcW w:w="442" w:type="dxa"/>
            <w:tcBorders>
              <w:bottom w:val="single" w:sz="4" w:space="0" w:color="231F20"/>
            </w:tcBorders>
          </w:tcPr>
          <w:p>
            <w:pPr>
              <w:pStyle w:val="TableParagraph"/>
              <w:spacing w:before="59"/>
              <w:ind w:left="124"/>
              <w:jc w:val="left"/>
              <w:rPr>
                <w:sz w:val="16"/>
              </w:rPr>
            </w:pPr>
            <w:r>
              <w:rPr>
                <w:color w:val="231F20"/>
                <w:sz w:val="16"/>
              </w:rPr>
              <w:t>0.3</w:t>
            </w:r>
          </w:p>
        </w:tc>
        <w:tc>
          <w:tcPr>
            <w:tcW w:w="442" w:type="dxa"/>
            <w:tcBorders>
              <w:bottom w:val="single" w:sz="4" w:space="0" w:color="231F20"/>
            </w:tcBorders>
          </w:tcPr>
          <w:p>
            <w:pPr>
              <w:pStyle w:val="TableParagraph"/>
              <w:spacing w:before="59"/>
              <w:ind w:left="39" w:right="41"/>
              <w:rPr>
                <w:sz w:val="16"/>
              </w:rPr>
            </w:pPr>
            <w:r>
              <w:rPr>
                <w:color w:val="231F20"/>
                <w:sz w:val="16"/>
              </w:rPr>
              <w:t>0.3</w:t>
            </w:r>
          </w:p>
        </w:tc>
        <w:tc>
          <w:tcPr>
            <w:tcW w:w="442" w:type="dxa"/>
            <w:tcBorders>
              <w:bottom w:val="single" w:sz="4" w:space="0" w:color="231F20"/>
            </w:tcBorders>
          </w:tcPr>
          <w:p>
            <w:pPr>
              <w:pStyle w:val="TableParagraph"/>
              <w:spacing w:before="59"/>
              <w:ind w:left="124"/>
              <w:jc w:val="left"/>
              <w:rPr>
                <w:sz w:val="16"/>
              </w:rPr>
            </w:pPr>
            <w:r>
              <w:rPr>
                <w:color w:val="231F20"/>
                <w:sz w:val="16"/>
              </w:rPr>
              <w:t>0.3</w:t>
            </w:r>
          </w:p>
        </w:tc>
        <w:tc>
          <w:tcPr>
            <w:tcW w:w="442" w:type="dxa"/>
            <w:tcBorders>
              <w:bottom w:val="single" w:sz="4" w:space="0" w:color="231F20"/>
            </w:tcBorders>
          </w:tcPr>
          <w:p>
            <w:pPr>
              <w:pStyle w:val="TableParagraph"/>
              <w:spacing w:before="59"/>
              <w:ind w:left="39" w:right="41"/>
              <w:rPr>
                <w:sz w:val="16"/>
              </w:rPr>
            </w:pPr>
            <w:r>
              <w:rPr>
                <w:color w:val="231F20"/>
                <w:sz w:val="16"/>
              </w:rPr>
              <w:t>0.2</w:t>
            </w:r>
          </w:p>
        </w:tc>
        <w:tc>
          <w:tcPr>
            <w:tcW w:w="442" w:type="dxa"/>
            <w:tcBorders>
              <w:bottom w:val="single" w:sz="4" w:space="0" w:color="231F20"/>
            </w:tcBorders>
          </w:tcPr>
          <w:p>
            <w:pPr>
              <w:pStyle w:val="TableParagraph"/>
              <w:spacing w:before="59"/>
              <w:ind w:left="124"/>
              <w:jc w:val="left"/>
              <w:rPr>
                <w:sz w:val="16"/>
              </w:rPr>
            </w:pPr>
            <w:r>
              <w:rPr>
                <w:color w:val="231F20"/>
                <w:sz w:val="16"/>
              </w:rPr>
              <w:t>0.2</w:t>
            </w:r>
          </w:p>
        </w:tc>
        <w:tc>
          <w:tcPr>
            <w:tcW w:w="442" w:type="dxa"/>
            <w:tcBorders>
              <w:bottom w:val="single" w:sz="4" w:space="0" w:color="231F20"/>
            </w:tcBorders>
          </w:tcPr>
          <w:p>
            <w:pPr>
              <w:pStyle w:val="TableParagraph"/>
              <w:spacing w:before="59"/>
              <w:ind w:left="39" w:right="41"/>
              <w:rPr>
                <w:sz w:val="16"/>
              </w:rPr>
            </w:pPr>
            <w:r>
              <w:rPr>
                <w:color w:val="231F20"/>
                <w:sz w:val="16"/>
              </w:rPr>
              <w:t>0.2</w:t>
            </w:r>
          </w:p>
        </w:tc>
        <w:tc>
          <w:tcPr>
            <w:tcW w:w="442" w:type="dxa"/>
            <w:tcBorders>
              <w:bottom w:val="single" w:sz="4" w:space="0" w:color="231F20"/>
            </w:tcBorders>
          </w:tcPr>
          <w:p>
            <w:pPr>
              <w:pStyle w:val="TableParagraph"/>
              <w:spacing w:before="59"/>
              <w:ind w:right="125"/>
              <w:jc w:val="right"/>
              <w:rPr>
                <w:sz w:val="16"/>
              </w:rPr>
            </w:pPr>
            <w:r>
              <w:rPr>
                <w:color w:val="231F20"/>
                <w:w w:val="95"/>
                <w:sz w:val="16"/>
              </w:rPr>
              <w:t>0.1</w:t>
            </w:r>
          </w:p>
        </w:tc>
        <w:tc>
          <w:tcPr>
            <w:tcW w:w="440" w:type="dxa"/>
            <w:tcBorders>
              <w:bottom w:val="single" w:sz="4" w:space="0" w:color="231F20"/>
            </w:tcBorders>
          </w:tcPr>
          <w:p>
            <w:pPr>
              <w:pStyle w:val="TableParagraph"/>
              <w:spacing w:before="59"/>
              <w:ind w:left="55" w:right="56"/>
              <w:rPr>
                <w:sz w:val="16"/>
              </w:rPr>
            </w:pPr>
            <w:r>
              <w:rPr>
                <w:color w:val="231F20"/>
                <w:sz w:val="16"/>
              </w:rPr>
              <w:t>0.1</w:t>
            </w:r>
          </w:p>
        </w:tc>
      </w:tr>
      <w:tr>
        <w:trPr>
          <w:trHeight w:val="170" w:hRule="exact"/>
        </w:trPr>
        <w:tc>
          <w:tcPr>
            <w:tcW w:w="1465"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1"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0" w:type="dxa"/>
            <w:tcBorders>
              <w:top w:val="single" w:sz="4" w:space="0" w:color="231F20"/>
              <w:bottom w:val="single" w:sz="4" w:space="0" w:color="231F20"/>
            </w:tcBorders>
          </w:tcPr>
          <w:p>
            <w:pPr/>
          </w:p>
        </w:tc>
      </w:tr>
      <w:tr>
        <w:trPr>
          <w:trHeight w:val="280" w:hRule="exact"/>
        </w:trPr>
        <w:tc>
          <w:tcPr>
            <w:tcW w:w="1465" w:type="dxa"/>
            <w:tcBorders>
              <w:top w:val="single" w:sz="4" w:space="0" w:color="231F20"/>
              <w:bottom w:val="single" w:sz="4" w:space="0" w:color="231F20"/>
            </w:tcBorders>
          </w:tcPr>
          <w:p>
            <w:pPr>
              <w:pStyle w:val="TableParagraph"/>
              <w:tabs>
                <w:tab w:pos="1342" w:val="right" w:leader="none"/>
              </w:tabs>
              <w:spacing w:before="25"/>
              <w:ind w:left="57"/>
              <w:jc w:val="left"/>
              <w:rPr>
                <w:rFonts w:ascii="Palatino Linotype"/>
                <w:b/>
                <w:sz w:val="16"/>
              </w:rPr>
            </w:pPr>
            <w:r>
              <w:rPr>
                <w:rFonts w:ascii="Palatino Linotype"/>
                <w:b/>
                <w:color w:val="231F20"/>
                <w:sz w:val="16"/>
              </w:rPr>
              <w:t>Otros</w:t>
              <w:tab/>
              <w:t>1.4</w:t>
            </w:r>
          </w:p>
        </w:tc>
        <w:tc>
          <w:tcPr>
            <w:tcW w:w="442" w:type="dxa"/>
            <w:tcBorders>
              <w:top w:val="single" w:sz="4" w:space="0" w:color="231F20"/>
              <w:bottom w:val="single" w:sz="4" w:space="0" w:color="231F20"/>
            </w:tcBorders>
          </w:tcPr>
          <w:p>
            <w:pPr>
              <w:pStyle w:val="TableParagraph"/>
              <w:spacing w:before="25"/>
              <w:ind w:left="60" w:right="61"/>
              <w:rPr>
                <w:rFonts w:ascii="Palatino Linotype"/>
                <w:b/>
                <w:sz w:val="16"/>
              </w:rPr>
            </w:pPr>
            <w:r>
              <w:rPr>
                <w:rFonts w:ascii="Palatino Linotype"/>
                <w:b/>
                <w:color w:val="231F20"/>
                <w:sz w:val="16"/>
              </w:rPr>
              <w:t>1.2</w:t>
            </w:r>
          </w:p>
        </w:tc>
        <w:tc>
          <w:tcPr>
            <w:tcW w:w="442" w:type="dxa"/>
            <w:tcBorders>
              <w:top w:val="single" w:sz="4" w:space="0" w:color="231F20"/>
              <w:bottom w:val="single" w:sz="4" w:space="0" w:color="231F20"/>
            </w:tcBorders>
          </w:tcPr>
          <w:p>
            <w:pPr>
              <w:pStyle w:val="TableParagraph"/>
              <w:spacing w:before="25"/>
              <w:ind w:left="119"/>
              <w:jc w:val="left"/>
              <w:rPr>
                <w:rFonts w:ascii="Palatino Linotype"/>
                <w:b/>
                <w:sz w:val="16"/>
              </w:rPr>
            </w:pPr>
            <w:r>
              <w:rPr>
                <w:rFonts w:ascii="Palatino Linotype"/>
                <w:b/>
                <w:color w:val="231F20"/>
                <w:sz w:val="16"/>
              </w:rPr>
              <w:t>1.0</w:t>
            </w:r>
          </w:p>
        </w:tc>
        <w:tc>
          <w:tcPr>
            <w:tcW w:w="442" w:type="dxa"/>
            <w:tcBorders>
              <w:top w:val="single" w:sz="4" w:space="0" w:color="231F20"/>
              <w:bottom w:val="single" w:sz="4" w:space="0" w:color="231F20"/>
            </w:tcBorders>
          </w:tcPr>
          <w:p>
            <w:pPr>
              <w:pStyle w:val="TableParagraph"/>
              <w:spacing w:before="25"/>
              <w:ind w:left="60" w:right="61"/>
              <w:rPr>
                <w:rFonts w:ascii="Palatino Linotype"/>
                <w:b/>
                <w:sz w:val="16"/>
              </w:rPr>
            </w:pPr>
            <w:r>
              <w:rPr>
                <w:rFonts w:ascii="Palatino Linotype"/>
                <w:b/>
                <w:color w:val="231F20"/>
                <w:sz w:val="16"/>
              </w:rPr>
              <w:t>1.3</w:t>
            </w:r>
          </w:p>
        </w:tc>
        <w:tc>
          <w:tcPr>
            <w:tcW w:w="441" w:type="dxa"/>
            <w:tcBorders>
              <w:top w:val="single" w:sz="4" w:space="0" w:color="231F20"/>
              <w:bottom w:val="single" w:sz="4" w:space="0" w:color="231F20"/>
            </w:tcBorders>
          </w:tcPr>
          <w:p>
            <w:pPr>
              <w:pStyle w:val="TableParagraph"/>
              <w:spacing w:before="25"/>
              <w:ind w:left="118"/>
              <w:jc w:val="left"/>
              <w:rPr>
                <w:rFonts w:ascii="Palatino Linotype"/>
                <w:b/>
                <w:sz w:val="16"/>
              </w:rPr>
            </w:pPr>
            <w:r>
              <w:rPr>
                <w:rFonts w:ascii="Palatino Linotype"/>
                <w:b/>
                <w:color w:val="231F20"/>
                <w:sz w:val="16"/>
              </w:rPr>
              <w:t>1.7</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17.4</w:t>
            </w:r>
          </w:p>
        </w:tc>
        <w:tc>
          <w:tcPr>
            <w:tcW w:w="442" w:type="dxa"/>
            <w:tcBorders>
              <w:top w:val="single" w:sz="4" w:space="0" w:color="231F20"/>
              <w:bottom w:val="single" w:sz="4" w:space="0" w:color="231F20"/>
            </w:tcBorders>
          </w:tcPr>
          <w:p>
            <w:pPr>
              <w:pStyle w:val="TableParagraph"/>
              <w:spacing w:before="25"/>
              <w:ind w:left="79"/>
              <w:jc w:val="left"/>
              <w:rPr>
                <w:rFonts w:ascii="Palatino Linotype"/>
                <w:b/>
                <w:sz w:val="16"/>
              </w:rPr>
            </w:pPr>
            <w:r>
              <w:rPr>
                <w:rFonts w:ascii="Palatino Linotype"/>
                <w:b/>
                <w:color w:val="231F20"/>
                <w:sz w:val="16"/>
              </w:rPr>
              <w:t>17.2</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16.4</w:t>
            </w:r>
          </w:p>
        </w:tc>
        <w:tc>
          <w:tcPr>
            <w:tcW w:w="442" w:type="dxa"/>
            <w:tcBorders>
              <w:top w:val="single" w:sz="4" w:space="0" w:color="231F20"/>
              <w:bottom w:val="single" w:sz="4" w:space="0" w:color="231F20"/>
            </w:tcBorders>
          </w:tcPr>
          <w:p>
            <w:pPr>
              <w:pStyle w:val="TableParagraph"/>
              <w:spacing w:before="25"/>
              <w:ind w:left="79"/>
              <w:jc w:val="left"/>
              <w:rPr>
                <w:rFonts w:ascii="Palatino Linotype"/>
                <w:b/>
                <w:sz w:val="16"/>
              </w:rPr>
            </w:pPr>
            <w:r>
              <w:rPr>
                <w:rFonts w:ascii="Palatino Linotype"/>
                <w:b/>
                <w:color w:val="231F20"/>
                <w:sz w:val="16"/>
              </w:rPr>
              <w:t>17.1</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16.0</w:t>
            </w:r>
          </w:p>
        </w:tc>
        <w:tc>
          <w:tcPr>
            <w:tcW w:w="442" w:type="dxa"/>
            <w:tcBorders>
              <w:top w:val="single" w:sz="4" w:space="0" w:color="231F20"/>
              <w:bottom w:val="single" w:sz="4" w:space="0" w:color="231F20"/>
            </w:tcBorders>
          </w:tcPr>
          <w:p>
            <w:pPr>
              <w:pStyle w:val="TableParagraph"/>
              <w:spacing w:before="25"/>
              <w:ind w:left="79"/>
              <w:jc w:val="left"/>
              <w:rPr>
                <w:rFonts w:ascii="Palatino Linotype"/>
                <w:b/>
                <w:sz w:val="16"/>
              </w:rPr>
            </w:pPr>
            <w:r>
              <w:rPr>
                <w:rFonts w:ascii="Palatino Linotype"/>
                <w:b/>
                <w:color w:val="231F20"/>
                <w:sz w:val="16"/>
              </w:rPr>
              <w:t>15.5</w:t>
            </w:r>
          </w:p>
        </w:tc>
        <w:tc>
          <w:tcPr>
            <w:tcW w:w="442" w:type="dxa"/>
            <w:tcBorders>
              <w:top w:val="single" w:sz="4" w:space="0" w:color="231F20"/>
              <w:bottom w:val="single" w:sz="4" w:space="0" w:color="231F20"/>
            </w:tcBorders>
          </w:tcPr>
          <w:p>
            <w:pPr>
              <w:pStyle w:val="TableParagraph"/>
              <w:spacing w:before="25"/>
              <w:ind w:left="41" w:right="41"/>
              <w:rPr>
                <w:rFonts w:ascii="Palatino Linotype"/>
                <w:b/>
                <w:sz w:val="16"/>
              </w:rPr>
            </w:pPr>
            <w:r>
              <w:rPr>
                <w:rFonts w:ascii="Palatino Linotype"/>
                <w:b/>
                <w:color w:val="231F20"/>
                <w:sz w:val="16"/>
              </w:rPr>
              <w:t>14.6</w:t>
            </w:r>
          </w:p>
        </w:tc>
        <w:tc>
          <w:tcPr>
            <w:tcW w:w="442" w:type="dxa"/>
            <w:tcBorders>
              <w:top w:val="single" w:sz="4" w:space="0" w:color="231F20"/>
              <w:bottom w:val="single" w:sz="4" w:space="0" w:color="231F20"/>
            </w:tcBorders>
          </w:tcPr>
          <w:p>
            <w:pPr>
              <w:pStyle w:val="TableParagraph"/>
              <w:spacing w:before="25"/>
              <w:ind w:right="79"/>
              <w:jc w:val="right"/>
              <w:rPr>
                <w:rFonts w:ascii="Palatino Linotype"/>
                <w:b/>
                <w:sz w:val="16"/>
              </w:rPr>
            </w:pPr>
            <w:r>
              <w:rPr>
                <w:rFonts w:ascii="Palatino Linotype"/>
                <w:b/>
                <w:color w:val="231F20"/>
                <w:sz w:val="16"/>
              </w:rPr>
              <w:t>15.0</w:t>
            </w:r>
          </w:p>
        </w:tc>
        <w:tc>
          <w:tcPr>
            <w:tcW w:w="440" w:type="dxa"/>
            <w:tcBorders>
              <w:top w:val="single" w:sz="4" w:space="0" w:color="231F20"/>
              <w:bottom w:val="single" w:sz="4" w:space="0" w:color="231F20"/>
            </w:tcBorders>
          </w:tcPr>
          <w:p>
            <w:pPr>
              <w:pStyle w:val="TableParagraph"/>
              <w:spacing w:before="25"/>
              <w:ind w:left="56" w:right="56"/>
              <w:rPr>
                <w:rFonts w:ascii="Palatino Linotype"/>
                <w:b/>
                <w:sz w:val="16"/>
              </w:rPr>
            </w:pPr>
            <w:r>
              <w:rPr>
                <w:rFonts w:ascii="Palatino Linotype"/>
                <w:b/>
                <w:color w:val="231F20"/>
                <w:sz w:val="16"/>
              </w:rPr>
              <w:t>14.4</w:t>
            </w:r>
          </w:p>
        </w:tc>
      </w:tr>
      <w:tr>
        <w:trPr>
          <w:trHeight w:val="170" w:hRule="exact"/>
        </w:trPr>
        <w:tc>
          <w:tcPr>
            <w:tcW w:w="1465"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1"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2" w:type="dxa"/>
            <w:tcBorders>
              <w:top w:val="single" w:sz="4" w:space="0" w:color="231F20"/>
              <w:bottom w:val="single" w:sz="4" w:space="0" w:color="231F20"/>
            </w:tcBorders>
          </w:tcPr>
          <w:p>
            <w:pPr/>
          </w:p>
        </w:tc>
        <w:tc>
          <w:tcPr>
            <w:tcW w:w="440" w:type="dxa"/>
            <w:tcBorders>
              <w:top w:val="single" w:sz="4" w:space="0" w:color="231F20"/>
              <w:bottom w:val="single" w:sz="4" w:space="0" w:color="231F20"/>
            </w:tcBorders>
          </w:tcPr>
          <w:p>
            <w:pPr/>
          </w:p>
        </w:tc>
      </w:tr>
      <w:tr>
        <w:trPr>
          <w:trHeight w:val="280" w:hRule="exact"/>
        </w:trPr>
        <w:tc>
          <w:tcPr>
            <w:tcW w:w="1465" w:type="dxa"/>
            <w:tcBorders>
              <w:top w:val="single" w:sz="4" w:space="0" w:color="231F20"/>
              <w:bottom w:val="single" w:sz="4" w:space="0" w:color="231F20"/>
            </w:tcBorders>
          </w:tcPr>
          <w:p>
            <w:pPr>
              <w:pStyle w:val="TableParagraph"/>
              <w:spacing w:before="25"/>
              <w:ind w:left="57"/>
              <w:jc w:val="left"/>
              <w:rPr>
                <w:rFonts w:ascii="Palatino Linotype"/>
                <w:b/>
                <w:sz w:val="16"/>
              </w:rPr>
            </w:pPr>
            <w:r>
              <w:rPr>
                <w:rFonts w:ascii="Palatino Linotype"/>
                <w:b/>
                <w:color w:val="231F20"/>
                <w:sz w:val="16"/>
              </w:rPr>
              <w:t>Total Mundial 100</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99"/>
              <w:jc w:val="left"/>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61" w:right="61"/>
              <w:rPr>
                <w:rFonts w:ascii="Palatino Linotype"/>
                <w:b/>
                <w:sz w:val="16"/>
              </w:rPr>
            </w:pPr>
            <w:r>
              <w:rPr>
                <w:rFonts w:ascii="Palatino Linotype"/>
                <w:b/>
                <w:color w:val="231F20"/>
                <w:sz w:val="16"/>
              </w:rPr>
              <w:t>100</w:t>
            </w:r>
          </w:p>
        </w:tc>
        <w:tc>
          <w:tcPr>
            <w:tcW w:w="441" w:type="dxa"/>
            <w:tcBorders>
              <w:top w:val="single" w:sz="4" w:space="0" w:color="231F20"/>
              <w:bottom w:val="single" w:sz="4" w:space="0" w:color="231F20"/>
            </w:tcBorders>
          </w:tcPr>
          <w:p>
            <w:pPr>
              <w:pStyle w:val="TableParagraph"/>
              <w:spacing w:before="25"/>
              <w:ind w:left="99"/>
              <w:jc w:val="left"/>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40" w:right="41"/>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100"/>
              <w:jc w:val="left"/>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40" w:right="41"/>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100"/>
              <w:jc w:val="left"/>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40" w:right="41"/>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100"/>
              <w:jc w:val="left"/>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left="40" w:right="41"/>
              <w:rPr>
                <w:rFonts w:ascii="Palatino Linotype"/>
                <w:b/>
                <w:sz w:val="16"/>
              </w:rPr>
            </w:pPr>
            <w:r>
              <w:rPr>
                <w:rFonts w:ascii="Palatino Linotype"/>
                <w:b/>
                <w:color w:val="231F20"/>
                <w:sz w:val="16"/>
              </w:rPr>
              <w:t>100</w:t>
            </w:r>
          </w:p>
        </w:tc>
        <w:tc>
          <w:tcPr>
            <w:tcW w:w="442" w:type="dxa"/>
            <w:tcBorders>
              <w:top w:val="single" w:sz="4" w:space="0" w:color="231F20"/>
              <w:bottom w:val="single" w:sz="4" w:space="0" w:color="231F20"/>
            </w:tcBorders>
          </w:tcPr>
          <w:p>
            <w:pPr>
              <w:pStyle w:val="TableParagraph"/>
              <w:spacing w:before="25"/>
              <w:ind w:right="99"/>
              <w:jc w:val="right"/>
              <w:rPr>
                <w:rFonts w:ascii="Palatino Linotype"/>
                <w:b/>
                <w:sz w:val="16"/>
              </w:rPr>
            </w:pPr>
            <w:r>
              <w:rPr>
                <w:rFonts w:ascii="Palatino Linotype"/>
                <w:b/>
                <w:color w:val="231F20"/>
                <w:sz w:val="16"/>
              </w:rPr>
              <w:t>100</w:t>
            </w:r>
          </w:p>
        </w:tc>
        <w:tc>
          <w:tcPr>
            <w:tcW w:w="440" w:type="dxa"/>
            <w:tcBorders>
              <w:top w:val="single" w:sz="4" w:space="0" w:color="231F20"/>
              <w:bottom w:val="single" w:sz="4" w:space="0" w:color="231F20"/>
            </w:tcBorders>
          </w:tcPr>
          <w:p>
            <w:pPr>
              <w:pStyle w:val="TableParagraph"/>
              <w:spacing w:before="25"/>
              <w:ind w:left="56" w:right="56"/>
              <w:rPr>
                <w:rFonts w:ascii="Palatino Linotype"/>
                <w:b/>
                <w:sz w:val="16"/>
              </w:rPr>
            </w:pPr>
            <w:r>
              <w:rPr>
                <w:rFonts w:ascii="Palatino Linotype"/>
                <w:b/>
                <w:color w:val="231F20"/>
                <w:sz w:val="16"/>
              </w:rPr>
              <w:t>100</w:t>
            </w:r>
          </w:p>
        </w:tc>
      </w:tr>
    </w:tbl>
    <w:p>
      <w:pPr>
        <w:pStyle w:val="BodyText"/>
        <w:spacing w:before="12"/>
        <w:rPr>
          <w:rFonts w:ascii="Palatino Linotype"/>
          <w:b/>
          <w:sz w:val="8"/>
        </w:rPr>
      </w:pPr>
    </w:p>
    <w:p>
      <w:pPr>
        <w:spacing w:line="285" w:lineRule="auto" w:before="67"/>
        <w:ind w:left="103" w:right="673" w:hanging="1"/>
        <w:jc w:val="left"/>
        <w:rPr>
          <w:sz w:val="19"/>
        </w:rPr>
      </w:pPr>
      <w:r>
        <w:rPr>
          <w:color w:val="231F20"/>
          <w:position w:val="6"/>
          <w:sz w:val="11"/>
        </w:rPr>
        <w:t>1</w:t>
      </w:r>
      <w:r>
        <w:rPr>
          <w:color w:val="231F20"/>
          <w:spacing w:val="-12"/>
          <w:position w:val="6"/>
          <w:sz w:val="11"/>
        </w:rPr>
        <w:t> </w:t>
      </w:r>
      <w:r>
        <w:rPr>
          <w:color w:val="231F20"/>
          <w:sz w:val="19"/>
        </w:rPr>
        <w:t>Bélgica,</w:t>
      </w:r>
      <w:r>
        <w:rPr>
          <w:color w:val="231F20"/>
          <w:spacing w:val="-19"/>
          <w:sz w:val="19"/>
        </w:rPr>
        <w:t> </w:t>
      </w:r>
      <w:r>
        <w:rPr>
          <w:color w:val="231F20"/>
          <w:sz w:val="19"/>
        </w:rPr>
        <w:t>Países</w:t>
      </w:r>
      <w:r>
        <w:rPr>
          <w:color w:val="231F20"/>
          <w:spacing w:val="-19"/>
          <w:sz w:val="19"/>
        </w:rPr>
        <w:t> </w:t>
      </w:r>
      <w:r>
        <w:rPr>
          <w:color w:val="231F20"/>
          <w:sz w:val="19"/>
        </w:rPr>
        <w:t>Bajos,</w:t>
      </w:r>
      <w:r>
        <w:rPr>
          <w:color w:val="231F20"/>
          <w:spacing w:val="-19"/>
          <w:sz w:val="19"/>
        </w:rPr>
        <w:t> </w:t>
      </w:r>
      <w:r>
        <w:rPr>
          <w:color w:val="231F20"/>
          <w:sz w:val="19"/>
        </w:rPr>
        <w:t>Austria,</w:t>
      </w:r>
      <w:r>
        <w:rPr>
          <w:color w:val="231F20"/>
          <w:spacing w:val="-19"/>
          <w:sz w:val="19"/>
        </w:rPr>
        <w:t> </w:t>
      </w:r>
      <w:r>
        <w:rPr>
          <w:color w:val="231F20"/>
          <w:sz w:val="19"/>
        </w:rPr>
        <w:t>Suecia,</w:t>
      </w:r>
      <w:r>
        <w:rPr>
          <w:color w:val="231F20"/>
          <w:spacing w:val="-19"/>
          <w:sz w:val="19"/>
        </w:rPr>
        <w:t> </w:t>
      </w:r>
      <w:r>
        <w:rPr>
          <w:color w:val="231F20"/>
          <w:sz w:val="19"/>
        </w:rPr>
        <w:t>Suiza,</w:t>
      </w:r>
      <w:r>
        <w:rPr>
          <w:color w:val="231F20"/>
          <w:spacing w:val="-19"/>
          <w:sz w:val="19"/>
        </w:rPr>
        <w:t> </w:t>
      </w:r>
      <w:r>
        <w:rPr>
          <w:color w:val="231F20"/>
          <w:sz w:val="19"/>
        </w:rPr>
        <w:t>Grecia,</w:t>
      </w:r>
      <w:r>
        <w:rPr>
          <w:color w:val="231F20"/>
          <w:spacing w:val="-19"/>
          <w:sz w:val="19"/>
        </w:rPr>
        <w:t> </w:t>
      </w:r>
      <w:r>
        <w:rPr>
          <w:color w:val="231F20"/>
          <w:sz w:val="19"/>
        </w:rPr>
        <w:t>Portugal,</w:t>
      </w:r>
      <w:r>
        <w:rPr>
          <w:color w:val="231F20"/>
          <w:spacing w:val="-19"/>
          <w:sz w:val="19"/>
        </w:rPr>
        <w:t> </w:t>
      </w:r>
      <w:r>
        <w:rPr>
          <w:color w:val="231F20"/>
          <w:sz w:val="19"/>
        </w:rPr>
        <w:t>Irlanda,</w:t>
      </w:r>
      <w:r>
        <w:rPr>
          <w:color w:val="231F20"/>
          <w:spacing w:val="-19"/>
          <w:sz w:val="19"/>
        </w:rPr>
        <w:t> </w:t>
      </w:r>
      <w:r>
        <w:rPr>
          <w:color w:val="231F20"/>
          <w:sz w:val="19"/>
        </w:rPr>
        <w:t>Dinamarca,</w:t>
      </w:r>
      <w:r>
        <w:rPr>
          <w:color w:val="231F20"/>
          <w:spacing w:val="-19"/>
          <w:sz w:val="19"/>
        </w:rPr>
        <w:t> </w:t>
      </w:r>
      <w:r>
        <w:rPr>
          <w:color w:val="231F20"/>
          <w:sz w:val="19"/>
        </w:rPr>
        <w:t>Finlandia, Noruega,</w:t>
      </w:r>
      <w:r>
        <w:rPr>
          <w:color w:val="231F20"/>
          <w:spacing w:val="-24"/>
          <w:sz w:val="19"/>
        </w:rPr>
        <w:t> </w:t>
      </w:r>
      <w:r>
        <w:rPr>
          <w:color w:val="231F20"/>
          <w:sz w:val="19"/>
        </w:rPr>
        <w:t>Luxemburgo,</w:t>
      </w:r>
      <w:r>
        <w:rPr>
          <w:color w:val="231F20"/>
          <w:spacing w:val="-24"/>
          <w:sz w:val="19"/>
        </w:rPr>
        <w:t> </w:t>
      </w:r>
      <w:r>
        <w:rPr>
          <w:color w:val="231F20"/>
          <w:sz w:val="19"/>
        </w:rPr>
        <w:t>Islandia.</w:t>
      </w:r>
    </w:p>
    <w:p>
      <w:pPr>
        <w:spacing w:before="1"/>
        <w:ind w:left="103" w:right="673" w:firstLine="0"/>
        <w:jc w:val="left"/>
        <w:rPr>
          <w:sz w:val="19"/>
        </w:rPr>
      </w:pPr>
      <w:r>
        <w:rPr>
          <w:color w:val="231F20"/>
          <w:position w:val="6"/>
          <w:sz w:val="11"/>
        </w:rPr>
        <w:t>2 </w:t>
      </w:r>
      <w:r>
        <w:rPr>
          <w:color w:val="231F20"/>
          <w:sz w:val="19"/>
        </w:rPr>
        <w:t>Venezuela y Chile.</w:t>
      </w:r>
    </w:p>
    <w:p>
      <w:pPr>
        <w:spacing w:before="41"/>
        <w:ind w:left="103" w:right="673" w:firstLine="0"/>
        <w:jc w:val="left"/>
        <w:rPr>
          <w:sz w:val="19"/>
        </w:rPr>
      </w:pPr>
      <w:r>
        <w:rPr>
          <w:color w:val="231F20"/>
          <w:position w:val="6"/>
          <w:sz w:val="11"/>
        </w:rPr>
        <w:t>3 </w:t>
      </w:r>
      <w:r>
        <w:rPr>
          <w:color w:val="231F20"/>
          <w:sz w:val="19"/>
        </w:rPr>
        <w:t>Singapur, Nueva Zelanda y Filipinas.</w:t>
      </w:r>
    </w:p>
    <w:p>
      <w:pPr>
        <w:spacing w:before="61"/>
        <w:ind w:left="103" w:right="673" w:firstLine="0"/>
        <w:jc w:val="left"/>
        <w:rPr>
          <w:sz w:val="19"/>
        </w:rPr>
      </w:pPr>
      <w:r>
        <w:rPr>
          <w:color w:val="231F20"/>
          <w:position w:val="6"/>
          <w:sz w:val="11"/>
        </w:rPr>
        <w:t>4 </w:t>
      </w:r>
      <w:r>
        <w:rPr>
          <w:color w:val="231F20"/>
          <w:sz w:val="19"/>
        </w:rPr>
        <w:t>Croacia, Serbia y Montenegro, Estonia, Letonia, Bosnia y Herzegovina, Macedonia.</w:t>
      </w:r>
    </w:p>
    <w:p>
      <w:pPr>
        <w:spacing w:before="39"/>
        <w:ind w:left="103" w:right="0" w:firstLine="0"/>
        <w:jc w:val="left"/>
        <w:rPr>
          <w:sz w:val="19"/>
        </w:rPr>
      </w:pPr>
      <w:r>
        <w:rPr>
          <w:rFonts w:ascii="Palatino Linotype" w:hAnsi="Palatino Linotype"/>
          <w:i/>
          <w:color w:val="231F20"/>
          <w:spacing w:val="-9"/>
          <w:sz w:val="19"/>
        </w:rPr>
        <w:t>Fuente: </w:t>
      </w:r>
      <w:r>
        <w:rPr>
          <w:color w:val="231F20"/>
          <w:spacing w:val="-8"/>
          <w:sz w:val="19"/>
        </w:rPr>
        <w:t>Elaboración propia. </w:t>
      </w:r>
      <w:r>
        <w:rPr>
          <w:color w:val="231F20"/>
          <w:spacing w:val="-4"/>
          <w:sz w:val="19"/>
        </w:rPr>
        <w:t>De </w:t>
      </w:r>
      <w:r>
        <w:rPr>
          <w:color w:val="231F20"/>
          <w:spacing w:val="-6"/>
          <w:sz w:val="19"/>
        </w:rPr>
        <w:t>2000 </w:t>
      </w:r>
      <w:r>
        <w:rPr>
          <w:color w:val="231F20"/>
          <w:sz w:val="19"/>
        </w:rPr>
        <w:t>a </w:t>
      </w:r>
      <w:r>
        <w:rPr>
          <w:color w:val="231F20"/>
          <w:spacing w:val="-7"/>
          <w:sz w:val="19"/>
        </w:rPr>
        <w:t>2007, datos </w:t>
      </w:r>
      <w:r>
        <w:rPr>
          <w:color w:val="231F20"/>
          <w:spacing w:val="-4"/>
          <w:sz w:val="19"/>
        </w:rPr>
        <w:t>de </w:t>
      </w:r>
      <w:r>
        <w:rPr>
          <w:color w:val="231F20"/>
          <w:spacing w:val="-6"/>
          <w:sz w:val="19"/>
        </w:rPr>
        <w:t>IMF </w:t>
      </w:r>
      <w:r>
        <w:rPr>
          <w:color w:val="231F20"/>
          <w:spacing w:val="-7"/>
          <w:sz w:val="19"/>
        </w:rPr>
        <w:t>(2007); </w:t>
      </w:r>
      <w:r>
        <w:rPr>
          <w:color w:val="231F20"/>
          <w:spacing w:val="-4"/>
          <w:sz w:val="19"/>
        </w:rPr>
        <w:t>de </w:t>
      </w:r>
      <w:r>
        <w:rPr>
          <w:color w:val="231F20"/>
          <w:spacing w:val="-6"/>
          <w:sz w:val="19"/>
        </w:rPr>
        <w:t>2008 </w:t>
      </w:r>
      <w:r>
        <w:rPr>
          <w:color w:val="231F20"/>
          <w:sz w:val="19"/>
        </w:rPr>
        <w:t>a </w:t>
      </w:r>
      <w:r>
        <w:rPr>
          <w:color w:val="231F20"/>
          <w:spacing w:val="-7"/>
          <w:sz w:val="19"/>
        </w:rPr>
        <w:t>2013, datos </w:t>
      </w:r>
      <w:r>
        <w:rPr>
          <w:color w:val="231F20"/>
          <w:spacing w:val="-4"/>
          <w:sz w:val="19"/>
        </w:rPr>
        <w:t>de </w:t>
      </w:r>
      <w:r>
        <w:rPr>
          <w:color w:val="231F20"/>
          <w:spacing w:val="-7"/>
          <w:sz w:val="19"/>
        </w:rPr>
        <w:t>OICA </w:t>
      </w:r>
      <w:r>
        <w:rPr>
          <w:color w:val="231F20"/>
          <w:spacing w:val="-8"/>
          <w:sz w:val="19"/>
        </w:rPr>
        <w:t>(2014).</w:t>
      </w:r>
    </w:p>
    <w:p>
      <w:pPr>
        <w:spacing w:after="0"/>
        <w:jc w:val="left"/>
        <w:rPr>
          <w:sz w:val="19"/>
        </w:rPr>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587" w:right="100"/>
        <w:jc w:val="right"/>
      </w:pPr>
      <w:r>
        <w:rPr>
          <w:color w:val="231F20"/>
          <w:spacing w:val="-6"/>
        </w:rPr>
        <w:t>Por </w:t>
      </w:r>
      <w:r>
        <w:rPr>
          <w:color w:val="231F20"/>
          <w:spacing w:val="-3"/>
        </w:rPr>
        <w:t>otra parte, </w:t>
      </w:r>
      <w:r>
        <w:rPr>
          <w:color w:val="231F20"/>
        </w:rPr>
        <w:t>si se </w:t>
      </w:r>
      <w:r>
        <w:rPr>
          <w:color w:val="231F20"/>
          <w:spacing w:val="-4"/>
        </w:rPr>
        <w:t>considera </w:t>
      </w:r>
      <w:r>
        <w:rPr>
          <w:color w:val="231F20"/>
        </w:rPr>
        <w:t>la </w:t>
      </w:r>
      <w:r>
        <w:rPr>
          <w:color w:val="231F20"/>
          <w:spacing w:val="-4"/>
        </w:rPr>
        <w:t>producción </w:t>
      </w:r>
      <w:r>
        <w:rPr>
          <w:color w:val="231F20"/>
        </w:rPr>
        <w:t>de </w:t>
      </w:r>
      <w:r>
        <w:rPr>
          <w:color w:val="231F20"/>
          <w:spacing w:val="-3"/>
        </w:rPr>
        <w:t>vehículos por </w:t>
      </w:r>
      <w:r>
        <w:rPr>
          <w:color w:val="231F20"/>
          <w:spacing w:val="-4"/>
        </w:rPr>
        <w:t>empresa, </w:t>
      </w:r>
      <w:r>
        <w:rPr>
          <w:color w:val="231F20"/>
        </w:rPr>
        <w:t>es</w:t>
      </w:r>
      <w:r>
        <w:rPr>
          <w:color w:val="231F20"/>
          <w:spacing w:val="41"/>
        </w:rPr>
        <w:t> </w:t>
      </w:r>
      <w:r>
        <w:rPr>
          <w:color w:val="231F20"/>
          <w:spacing w:val="-3"/>
        </w:rPr>
        <w:t>evidente</w:t>
      </w:r>
      <w:r>
        <w:rPr>
          <w:color w:val="231F20"/>
          <w:spacing w:val="8"/>
        </w:rPr>
        <w:t> </w:t>
      </w:r>
      <w:r>
        <w:rPr>
          <w:color w:val="231F20"/>
          <w:spacing w:val="-4"/>
        </w:rPr>
        <w:t>que</w:t>
      </w:r>
      <w:r>
        <w:rPr>
          <w:color w:val="231F20"/>
          <w:spacing w:val="-3"/>
          <w:w w:val="101"/>
        </w:rPr>
        <w:t> </w:t>
      </w:r>
      <w:r>
        <w:rPr>
          <w:color w:val="231F20"/>
          <w:spacing w:val="-3"/>
        </w:rPr>
        <w:t>cerca del </w:t>
      </w:r>
      <w:r>
        <w:rPr>
          <w:color w:val="231F20"/>
        </w:rPr>
        <w:t>50% de la </w:t>
      </w:r>
      <w:r>
        <w:rPr>
          <w:color w:val="231F20"/>
          <w:spacing w:val="-4"/>
        </w:rPr>
        <w:t>producción </w:t>
      </w:r>
      <w:r>
        <w:rPr>
          <w:color w:val="231F20"/>
          <w:spacing w:val="-3"/>
        </w:rPr>
        <w:t>mundial </w:t>
      </w:r>
      <w:r>
        <w:rPr>
          <w:color w:val="231F20"/>
        </w:rPr>
        <w:t>se </w:t>
      </w:r>
      <w:r>
        <w:rPr>
          <w:color w:val="231F20"/>
          <w:spacing w:val="-4"/>
        </w:rPr>
        <w:t>concentra </w:t>
      </w:r>
      <w:r>
        <w:rPr>
          <w:color w:val="231F20"/>
        </w:rPr>
        <w:t>en 6 </w:t>
      </w:r>
      <w:r>
        <w:rPr>
          <w:color w:val="231F20"/>
          <w:spacing w:val="-4"/>
        </w:rPr>
        <w:t>ensambladoras:</w:t>
      </w:r>
      <w:r>
        <w:rPr>
          <w:color w:val="231F20"/>
          <w:spacing w:val="-2"/>
        </w:rPr>
        <w:t> </w:t>
      </w:r>
      <w:r>
        <w:rPr>
          <w:color w:val="231F20"/>
          <w:spacing w:val="-7"/>
        </w:rPr>
        <w:t>Toyota,</w:t>
      </w:r>
      <w:r>
        <w:rPr>
          <w:color w:val="231F20"/>
          <w:spacing w:val="6"/>
        </w:rPr>
        <w:t> </w:t>
      </w:r>
      <w:r>
        <w:rPr>
          <w:color w:val="231F20"/>
        </w:rPr>
        <w:t>Ge-</w:t>
      </w:r>
      <w:r>
        <w:rPr>
          <w:color w:val="231F20"/>
          <w:w w:val="106"/>
        </w:rPr>
        <w:t> </w:t>
      </w:r>
      <w:r>
        <w:rPr>
          <w:color w:val="231F20"/>
          <w:spacing w:val="-3"/>
        </w:rPr>
        <w:t>neral </w:t>
      </w:r>
      <w:r>
        <w:rPr>
          <w:color w:val="231F20"/>
          <w:spacing w:val="-5"/>
        </w:rPr>
        <w:t>Motors, Ford, Volkswagen, </w:t>
      </w:r>
      <w:r>
        <w:rPr>
          <w:color w:val="231F20"/>
          <w:spacing w:val="-4"/>
        </w:rPr>
        <w:t>Honda </w:t>
      </w:r>
      <w:r>
        <w:rPr>
          <w:color w:val="231F20"/>
        </w:rPr>
        <w:t>y </w:t>
      </w:r>
      <w:r>
        <w:rPr>
          <w:color w:val="231F20"/>
          <w:spacing w:val="-4"/>
        </w:rPr>
        <w:t>Nissan. </w:t>
      </w:r>
      <w:r>
        <w:rPr>
          <w:color w:val="231F20"/>
        </w:rPr>
        <w:t>De igual </w:t>
      </w:r>
      <w:r>
        <w:rPr>
          <w:color w:val="231F20"/>
          <w:spacing w:val="-4"/>
        </w:rPr>
        <w:t>forma, </w:t>
      </w:r>
      <w:r>
        <w:rPr>
          <w:color w:val="231F20"/>
        </w:rPr>
        <w:t>es </w:t>
      </w:r>
      <w:r>
        <w:rPr>
          <w:color w:val="231F20"/>
          <w:spacing w:val="-3"/>
        </w:rPr>
        <w:t>evidente</w:t>
      </w:r>
      <w:r>
        <w:rPr>
          <w:color w:val="231F20"/>
          <w:spacing w:val="32"/>
        </w:rPr>
        <w:t> </w:t>
      </w:r>
      <w:r>
        <w:rPr>
          <w:color w:val="231F20"/>
          <w:spacing w:val="-4"/>
        </w:rPr>
        <w:t>cómo</w:t>
      </w:r>
      <w:r>
        <w:rPr>
          <w:color w:val="231F20"/>
        </w:rPr>
        <w:t> </w:t>
      </w:r>
      <w:r>
        <w:rPr>
          <w:color w:val="231F20"/>
          <w:spacing w:val="-2"/>
        </w:rPr>
        <w:t>las</w:t>
      </w:r>
      <w:r>
        <w:rPr>
          <w:color w:val="231F20"/>
          <w:w w:val="94"/>
        </w:rPr>
        <w:t> </w:t>
      </w:r>
      <w:r>
        <w:rPr>
          <w:color w:val="231F20"/>
          <w:spacing w:val="-4"/>
        </w:rPr>
        <w:t>armadoras norteamericanas </w:t>
      </w:r>
      <w:r>
        <w:rPr>
          <w:color w:val="231F20"/>
          <w:spacing w:val="-3"/>
        </w:rPr>
        <w:t>han perdido espacios </w:t>
      </w:r>
      <w:r>
        <w:rPr>
          <w:color w:val="231F20"/>
          <w:spacing w:val="-4"/>
        </w:rPr>
        <w:t>frente </w:t>
      </w:r>
      <w:r>
        <w:rPr>
          <w:color w:val="231F20"/>
        </w:rPr>
        <w:t>a </w:t>
      </w:r>
      <w:r>
        <w:rPr>
          <w:color w:val="231F20"/>
          <w:spacing w:val="-2"/>
        </w:rPr>
        <w:t>las </w:t>
      </w:r>
      <w:r>
        <w:rPr>
          <w:color w:val="231F20"/>
          <w:spacing w:val="-4"/>
        </w:rPr>
        <w:t>japonesas, sobre</w:t>
      </w:r>
      <w:r>
        <w:rPr>
          <w:color w:val="231F20"/>
          <w:spacing w:val="9"/>
        </w:rPr>
        <w:t> </w:t>
      </w:r>
      <w:r>
        <w:rPr>
          <w:color w:val="231F20"/>
        </w:rPr>
        <w:t>todo</w:t>
      </w:r>
      <w:r>
        <w:rPr>
          <w:color w:val="231F20"/>
          <w:spacing w:val="7"/>
        </w:rPr>
        <w:t> </w:t>
      </w:r>
      <w:r>
        <w:rPr>
          <w:color w:val="231F20"/>
        </w:rPr>
        <w:t>Ge-</w:t>
      </w:r>
      <w:r>
        <w:rPr>
          <w:color w:val="231F20"/>
          <w:w w:val="106"/>
        </w:rPr>
        <w:t> </w:t>
      </w:r>
      <w:r>
        <w:rPr>
          <w:color w:val="231F20"/>
          <w:spacing w:val="-3"/>
        </w:rPr>
        <w:t>neral </w:t>
      </w:r>
      <w:r>
        <w:rPr>
          <w:color w:val="231F20"/>
          <w:spacing w:val="-5"/>
        </w:rPr>
        <w:t>Motors </w:t>
      </w:r>
      <w:r>
        <w:rPr>
          <w:color w:val="231F20"/>
        </w:rPr>
        <w:t>y </w:t>
      </w:r>
      <w:r>
        <w:rPr>
          <w:color w:val="231F20"/>
          <w:spacing w:val="-5"/>
        </w:rPr>
        <w:t>Ford, </w:t>
      </w:r>
      <w:r>
        <w:rPr>
          <w:color w:val="231F20"/>
          <w:spacing w:val="-3"/>
        </w:rPr>
        <w:t>quienes han </w:t>
      </w:r>
      <w:r>
        <w:rPr>
          <w:color w:val="231F20"/>
          <w:spacing w:val="-4"/>
        </w:rPr>
        <w:t>disminuido </w:t>
      </w:r>
      <w:r>
        <w:rPr>
          <w:color w:val="231F20"/>
        </w:rPr>
        <w:t>su </w:t>
      </w:r>
      <w:r>
        <w:rPr>
          <w:color w:val="231F20"/>
          <w:spacing w:val="-3"/>
        </w:rPr>
        <w:t>participación </w:t>
      </w:r>
      <w:r>
        <w:rPr>
          <w:color w:val="231F20"/>
        </w:rPr>
        <w:t>en la</w:t>
      </w:r>
      <w:r>
        <w:rPr>
          <w:color w:val="231F20"/>
          <w:spacing w:val="10"/>
        </w:rPr>
        <w:t> </w:t>
      </w:r>
      <w:r>
        <w:rPr>
          <w:color w:val="231F20"/>
          <w:spacing w:val="-4"/>
        </w:rPr>
        <w:t>producción</w:t>
      </w:r>
      <w:r>
        <w:rPr>
          <w:color w:val="231F20"/>
          <w:spacing w:val="3"/>
        </w:rPr>
        <w:t> </w:t>
      </w:r>
      <w:r>
        <w:rPr>
          <w:color w:val="231F20"/>
          <w:spacing w:val="-3"/>
        </w:rPr>
        <w:t>mundial</w:t>
      </w:r>
      <w:r>
        <w:rPr>
          <w:color w:val="231F20"/>
          <w:w w:val="91"/>
        </w:rPr>
        <w:t> </w:t>
      </w:r>
      <w:r>
        <w:rPr>
          <w:color w:val="231F20"/>
        </w:rPr>
        <w:t>de</w:t>
      </w:r>
      <w:r>
        <w:rPr>
          <w:color w:val="231F20"/>
          <w:spacing w:val="-19"/>
        </w:rPr>
        <w:t> </w:t>
      </w:r>
      <w:r>
        <w:rPr>
          <w:color w:val="231F20"/>
          <w:spacing w:val="-3"/>
        </w:rPr>
        <w:t>25.2%</w:t>
      </w:r>
      <w:r>
        <w:rPr>
          <w:color w:val="231F20"/>
          <w:spacing w:val="-19"/>
        </w:rPr>
        <w:t> </w:t>
      </w:r>
      <w:r>
        <w:rPr>
          <w:color w:val="231F20"/>
        </w:rPr>
        <w:t>en</w:t>
      </w:r>
      <w:r>
        <w:rPr>
          <w:color w:val="231F20"/>
          <w:spacing w:val="-19"/>
        </w:rPr>
        <w:t> </w:t>
      </w:r>
      <w:r>
        <w:rPr>
          <w:color w:val="231F20"/>
          <w:spacing w:val="-3"/>
        </w:rPr>
        <w:t>1985</w:t>
      </w:r>
      <w:r>
        <w:rPr>
          <w:color w:val="231F20"/>
          <w:spacing w:val="-19"/>
        </w:rPr>
        <w:t> </w:t>
      </w:r>
      <w:r>
        <w:rPr>
          <w:color w:val="231F20"/>
        </w:rPr>
        <w:t>a</w:t>
      </w:r>
      <w:r>
        <w:rPr>
          <w:color w:val="231F20"/>
          <w:spacing w:val="-19"/>
        </w:rPr>
        <w:t> </w:t>
      </w:r>
      <w:r>
        <w:rPr>
          <w:color w:val="231F20"/>
        </w:rPr>
        <w:t>11%</w:t>
      </w:r>
      <w:r>
        <w:rPr>
          <w:color w:val="231F20"/>
          <w:spacing w:val="-19"/>
        </w:rPr>
        <w:t> </w:t>
      </w:r>
      <w:r>
        <w:rPr>
          <w:color w:val="231F20"/>
        </w:rPr>
        <w:t>en</w:t>
      </w:r>
      <w:r>
        <w:rPr>
          <w:color w:val="231F20"/>
          <w:spacing w:val="-19"/>
        </w:rPr>
        <w:t> </w:t>
      </w:r>
      <w:r>
        <w:rPr>
          <w:color w:val="231F20"/>
          <w:spacing w:val="-3"/>
        </w:rPr>
        <w:t>2012</w:t>
      </w:r>
      <w:r>
        <w:rPr>
          <w:color w:val="231F20"/>
          <w:spacing w:val="-19"/>
        </w:rPr>
        <w:t> </w:t>
      </w:r>
      <w:r>
        <w:rPr>
          <w:color w:val="231F20"/>
        </w:rPr>
        <w:t>y</w:t>
      </w:r>
      <w:r>
        <w:rPr>
          <w:color w:val="231F20"/>
          <w:spacing w:val="-19"/>
        </w:rPr>
        <w:t> </w:t>
      </w:r>
      <w:r>
        <w:rPr>
          <w:color w:val="231F20"/>
        </w:rPr>
        <w:t>de</w:t>
      </w:r>
      <w:r>
        <w:rPr>
          <w:color w:val="231F20"/>
          <w:spacing w:val="-19"/>
        </w:rPr>
        <w:t> </w:t>
      </w:r>
      <w:r>
        <w:rPr>
          <w:color w:val="231F20"/>
          <w:spacing w:val="-3"/>
        </w:rPr>
        <w:t>15.3%</w:t>
      </w:r>
      <w:r>
        <w:rPr>
          <w:color w:val="231F20"/>
          <w:spacing w:val="-19"/>
        </w:rPr>
        <w:t> </w:t>
      </w:r>
      <w:r>
        <w:rPr>
          <w:color w:val="231F20"/>
        </w:rPr>
        <w:t>a</w:t>
      </w:r>
      <w:r>
        <w:rPr>
          <w:color w:val="231F20"/>
          <w:spacing w:val="-19"/>
        </w:rPr>
        <w:t> </w:t>
      </w:r>
      <w:r>
        <w:rPr>
          <w:color w:val="231F20"/>
          <w:spacing w:val="-3"/>
        </w:rPr>
        <w:t>6.6%,</w:t>
      </w:r>
      <w:r>
        <w:rPr>
          <w:color w:val="231F20"/>
          <w:spacing w:val="-19"/>
        </w:rPr>
        <w:t> </w:t>
      </w:r>
      <w:r>
        <w:rPr>
          <w:color w:val="231F20"/>
          <w:spacing w:val="-4"/>
        </w:rPr>
        <w:t>respectivamente</w:t>
      </w:r>
      <w:r>
        <w:rPr>
          <w:color w:val="231F20"/>
          <w:spacing w:val="-19"/>
        </w:rPr>
        <w:t> </w:t>
      </w:r>
      <w:r>
        <w:rPr>
          <w:color w:val="231F20"/>
          <w:spacing w:val="-3"/>
        </w:rPr>
        <w:t>(véase</w:t>
      </w:r>
      <w:r>
        <w:rPr>
          <w:color w:val="231F20"/>
          <w:spacing w:val="-19"/>
        </w:rPr>
        <w:t> </w:t>
      </w:r>
      <w:r>
        <w:rPr>
          <w:color w:val="231F20"/>
          <w:spacing w:val="-3"/>
        </w:rPr>
        <w:t>cuadro</w:t>
      </w:r>
      <w:r>
        <w:rPr>
          <w:color w:val="231F20"/>
          <w:spacing w:val="-19"/>
        </w:rPr>
        <w:t> </w:t>
      </w:r>
      <w:r>
        <w:rPr>
          <w:color w:val="231F20"/>
          <w:spacing w:val="-3"/>
        </w:rPr>
        <w:t>II.6).</w:t>
      </w:r>
      <w:r>
        <w:rPr>
          <w:color w:val="231F20"/>
          <w:spacing w:val="-3"/>
          <w:w w:val="98"/>
        </w:rPr>
        <w:t> </w:t>
      </w:r>
      <w:r>
        <w:rPr>
          <w:color w:val="231F20"/>
          <w:spacing w:val="-5"/>
        </w:rPr>
        <w:t>Un </w:t>
      </w:r>
      <w:r>
        <w:rPr>
          <w:color w:val="231F20"/>
        </w:rPr>
        <w:t>caso a destacar es el de la armadora coreana Hyundai, que en pocos</w:t>
      </w:r>
      <w:r>
        <w:rPr>
          <w:color w:val="231F20"/>
          <w:spacing w:val="11"/>
        </w:rPr>
        <w:t> </w:t>
      </w:r>
      <w:r>
        <w:rPr>
          <w:color w:val="231F20"/>
        </w:rPr>
        <w:t>años</w:t>
      </w:r>
      <w:r>
        <w:rPr>
          <w:color w:val="231F20"/>
          <w:spacing w:val="8"/>
        </w:rPr>
        <w:t> </w:t>
      </w:r>
      <w:r>
        <w:rPr>
          <w:color w:val="231F20"/>
        </w:rPr>
        <w:t>ha</w:t>
      </w:r>
      <w:r>
        <w:rPr>
          <w:color w:val="231F20"/>
          <w:w w:val="98"/>
        </w:rPr>
        <w:t> </w:t>
      </w:r>
      <w:r>
        <w:rPr>
          <w:color w:val="231F20"/>
        </w:rPr>
        <w:t>llegado</w:t>
      </w:r>
      <w:r>
        <w:rPr>
          <w:color w:val="231F20"/>
          <w:spacing w:val="-10"/>
        </w:rPr>
        <w:t> </w:t>
      </w:r>
      <w:r>
        <w:rPr>
          <w:color w:val="231F20"/>
        </w:rPr>
        <w:t>a</w:t>
      </w:r>
      <w:r>
        <w:rPr>
          <w:color w:val="231F20"/>
          <w:spacing w:val="-10"/>
        </w:rPr>
        <w:t> </w:t>
      </w:r>
      <w:r>
        <w:rPr>
          <w:color w:val="231F20"/>
        </w:rPr>
        <w:t>consolidarse</w:t>
      </w:r>
      <w:r>
        <w:rPr>
          <w:color w:val="231F20"/>
          <w:spacing w:val="-10"/>
        </w:rPr>
        <w:t> </w:t>
      </w:r>
      <w:r>
        <w:rPr>
          <w:color w:val="231F20"/>
        </w:rPr>
        <w:t>como</w:t>
      </w:r>
      <w:r>
        <w:rPr>
          <w:color w:val="231F20"/>
          <w:spacing w:val="-10"/>
        </w:rPr>
        <w:t> </w:t>
      </w:r>
      <w:r>
        <w:rPr>
          <w:color w:val="231F20"/>
        </w:rPr>
        <w:t>una</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más</w:t>
      </w:r>
      <w:r>
        <w:rPr>
          <w:color w:val="231F20"/>
          <w:spacing w:val="-10"/>
        </w:rPr>
        <w:t> </w:t>
      </w:r>
      <w:r>
        <w:rPr>
          <w:color w:val="231F20"/>
        </w:rPr>
        <w:t>importantes;</w:t>
      </w:r>
      <w:r>
        <w:rPr>
          <w:color w:val="231F20"/>
          <w:spacing w:val="-10"/>
        </w:rPr>
        <w:t> </w:t>
      </w:r>
      <w:r>
        <w:rPr>
          <w:color w:val="231F20"/>
        </w:rPr>
        <w:t>en</w:t>
      </w:r>
      <w:r>
        <w:rPr>
          <w:color w:val="231F20"/>
          <w:spacing w:val="-10"/>
        </w:rPr>
        <w:t> </w:t>
      </w:r>
      <w:r>
        <w:rPr>
          <w:color w:val="231F20"/>
        </w:rPr>
        <w:t>2012</w:t>
      </w:r>
      <w:r>
        <w:rPr>
          <w:color w:val="231F20"/>
          <w:spacing w:val="-10"/>
        </w:rPr>
        <w:t> </w:t>
      </w:r>
      <w:r>
        <w:rPr>
          <w:color w:val="231F20"/>
        </w:rPr>
        <w:t>manufacturó</w:t>
      </w:r>
      <w:r>
        <w:rPr>
          <w:color w:val="231F20"/>
          <w:spacing w:val="-10"/>
        </w:rPr>
        <w:t> </w:t>
      </w:r>
      <w:r>
        <w:rPr>
          <w:color w:val="231F20"/>
        </w:rPr>
        <w:t>el</w:t>
      </w:r>
      <w:r>
        <w:rPr>
          <w:color w:val="231F20"/>
          <w:spacing w:val="-10"/>
        </w:rPr>
        <w:t> </w:t>
      </w:r>
      <w:r>
        <w:rPr>
          <w:color w:val="231F20"/>
        </w:rPr>
        <w:t>8.4%</w:t>
      </w:r>
    </w:p>
    <w:p>
      <w:pPr>
        <w:pStyle w:val="BodyText"/>
        <w:spacing w:before="1"/>
        <w:ind w:left="653" w:right="673"/>
      </w:pPr>
      <w:r>
        <w:rPr>
          <w:color w:val="231F20"/>
        </w:rPr>
        <w:t>del total de vehículos en el mundo.</w:t>
      </w:r>
    </w:p>
    <w:p>
      <w:pPr>
        <w:pStyle w:val="BodyText"/>
        <w:spacing w:before="10"/>
        <w:rPr>
          <w:sz w:val="20"/>
        </w:rPr>
      </w:pPr>
    </w:p>
    <w:p>
      <w:pPr>
        <w:pStyle w:val="Heading4"/>
        <w:spacing w:before="1"/>
        <w:ind w:right="12"/>
      </w:pPr>
      <w:r>
        <w:rPr>
          <w:color w:val="231F20"/>
          <w:w w:val="95"/>
        </w:rPr>
        <w:t>Cuadro II.6</w:t>
      </w:r>
    </w:p>
    <w:p>
      <w:pPr>
        <w:spacing w:line="237" w:lineRule="auto" w:before="0"/>
        <w:ind w:left="1418" w:right="867" w:firstLine="0"/>
        <w:jc w:val="center"/>
        <w:rPr>
          <w:rFonts w:ascii="Palatino Linotype" w:hAnsi="Palatino Linotype"/>
          <w:b/>
          <w:sz w:val="21"/>
        </w:rPr>
      </w:pPr>
      <w:r>
        <w:rPr>
          <w:rFonts w:ascii="Palatino Linotype" w:hAnsi="Palatino Linotype"/>
          <w:b/>
          <w:color w:val="231F20"/>
          <w:w w:val="90"/>
          <w:sz w:val="21"/>
        </w:rPr>
        <w:t>Participación porcentual en la producción mundial de vehículos por principales empresas productoras,  1985-2012</w:t>
      </w:r>
    </w:p>
    <w:p>
      <w:pPr>
        <w:pStyle w:val="BodyText"/>
        <w:spacing w:before="4"/>
        <w:rPr>
          <w:rFonts w:ascii="Palatino Linotype"/>
          <w:b/>
          <w:sz w:val="14"/>
        </w:rPr>
      </w:pPr>
    </w:p>
    <w:tbl>
      <w:tblPr>
        <w:tblW w:w="0" w:type="auto"/>
        <w:jc w:val="left"/>
        <w:tblInd w:w="13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94"/>
        <w:gridCol w:w="752"/>
        <w:gridCol w:w="700"/>
        <w:gridCol w:w="700"/>
        <w:gridCol w:w="700"/>
        <w:gridCol w:w="700"/>
        <w:gridCol w:w="733"/>
      </w:tblGrid>
      <w:tr>
        <w:trPr>
          <w:trHeight w:val="291" w:hRule="exact"/>
        </w:trPr>
        <w:tc>
          <w:tcPr>
            <w:tcW w:w="1494" w:type="dxa"/>
            <w:tcBorders>
              <w:top w:val="single" w:sz="4" w:space="0" w:color="231F20"/>
              <w:bottom w:val="single" w:sz="4" w:space="0" w:color="231F20"/>
            </w:tcBorders>
          </w:tcPr>
          <w:p>
            <w:pPr>
              <w:pStyle w:val="TableParagraph"/>
              <w:spacing w:before="38"/>
              <w:ind w:left="136"/>
              <w:jc w:val="left"/>
              <w:rPr>
                <w:sz w:val="18"/>
              </w:rPr>
            </w:pPr>
            <w:r>
              <w:rPr>
                <w:color w:val="231F20"/>
                <w:sz w:val="18"/>
              </w:rPr>
              <w:t>Empresa</w:t>
            </w:r>
          </w:p>
        </w:tc>
        <w:tc>
          <w:tcPr>
            <w:tcW w:w="752" w:type="dxa"/>
            <w:tcBorders>
              <w:top w:val="single" w:sz="4" w:space="0" w:color="231F20"/>
              <w:bottom w:val="single" w:sz="4" w:space="0" w:color="231F20"/>
            </w:tcBorders>
          </w:tcPr>
          <w:p>
            <w:pPr>
              <w:pStyle w:val="TableParagraph"/>
              <w:spacing w:before="17"/>
              <w:ind w:left="222"/>
              <w:jc w:val="left"/>
              <w:rPr>
                <w:rFonts w:ascii="Palatino Linotype"/>
                <w:b/>
                <w:sz w:val="18"/>
              </w:rPr>
            </w:pPr>
            <w:r>
              <w:rPr>
                <w:rFonts w:ascii="Palatino Linotype"/>
                <w:b/>
                <w:color w:val="231F20"/>
                <w:sz w:val="18"/>
              </w:rPr>
              <w:t>1985</w:t>
            </w:r>
          </w:p>
        </w:tc>
        <w:tc>
          <w:tcPr>
            <w:tcW w:w="700" w:type="dxa"/>
            <w:tcBorders>
              <w:top w:val="single" w:sz="4" w:space="0" w:color="231F20"/>
              <w:bottom w:val="single" w:sz="4" w:space="0" w:color="231F20"/>
            </w:tcBorders>
          </w:tcPr>
          <w:p>
            <w:pPr>
              <w:pStyle w:val="TableParagraph"/>
              <w:spacing w:before="17"/>
              <w:ind w:left="170"/>
              <w:jc w:val="left"/>
              <w:rPr>
                <w:rFonts w:ascii="Palatino Linotype"/>
                <w:b/>
                <w:sz w:val="18"/>
              </w:rPr>
            </w:pPr>
            <w:r>
              <w:rPr>
                <w:rFonts w:ascii="Palatino Linotype"/>
                <w:b/>
                <w:color w:val="231F20"/>
                <w:sz w:val="18"/>
              </w:rPr>
              <w:t>1990</w:t>
            </w:r>
          </w:p>
        </w:tc>
        <w:tc>
          <w:tcPr>
            <w:tcW w:w="700" w:type="dxa"/>
            <w:tcBorders>
              <w:top w:val="single" w:sz="4" w:space="0" w:color="231F20"/>
              <w:bottom w:val="single" w:sz="4" w:space="0" w:color="231F20"/>
            </w:tcBorders>
          </w:tcPr>
          <w:p>
            <w:pPr>
              <w:pStyle w:val="TableParagraph"/>
              <w:spacing w:before="17"/>
              <w:ind w:left="170"/>
              <w:jc w:val="left"/>
              <w:rPr>
                <w:rFonts w:ascii="Palatino Linotype"/>
                <w:b/>
                <w:sz w:val="18"/>
              </w:rPr>
            </w:pPr>
            <w:r>
              <w:rPr>
                <w:rFonts w:ascii="Palatino Linotype"/>
                <w:b/>
                <w:color w:val="231F20"/>
                <w:sz w:val="18"/>
              </w:rPr>
              <w:t>2000</w:t>
            </w:r>
          </w:p>
        </w:tc>
        <w:tc>
          <w:tcPr>
            <w:tcW w:w="700" w:type="dxa"/>
            <w:tcBorders>
              <w:top w:val="single" w:sz="4" w:space="0" w:color="231F20"/>
              <w:bottom w:val="single" w:sz="4" w:space="0" w:color="231F20"/>
            </w:tcBorders>
          </w:tcPr>
          <w:p>
            <w:pPr>
              <w:pStyle w:val="TableParagraph"/>
              <w:spacing w:before="17"/>
              <w:ind w:left="170"/>
              <w:jc w:val="left"/>
              <w:rPr>
                <w:rFonts w:ascii="Palatino Linotype"/>
                <w:b/>
                <w:sz w:val="18"/>
              </w:rPr>
            </w:pPr>
            <w:r>
              <w:rPr>
                <w:rFonts w:ascii="Palatino Linotype"/>
                <w:b/>
                <w:color w:val="231F20"/>
                <w:sz w:val="18"/>
              </w:rPr>
              <w:t>2008</w:t>
            </w:r>
          </w:p>
        </w:tc>
        <w:tc>
          <w:tcPr>
            <w:tcW w:w="700" w:type="dxa"/>
            <w:tcBorders>
              <w:top w:val="single" w:sz="4" w:space="0" w:color="231F20"/>
              <w:bottom w:val="single" w:sz="4" w:space="0" w:color="231F20"/>
            </w:tcBorders>
          </w:tcPr>
          <w:p>
            <w:pPr>
              <w:pStyle w:val="TableParagraph"/>
              <w:spacing w:before="17"/>
              <w:ind w:left="170"/>
              <w:jc w:val="left"/>
              <w:rPr>
                <w:rFonts w:ascii="Palatino Linotype"/>
                <w:b/>
                <w:sz w:val="18"/>
              </w:rPr>
            </w:pPr>
            <w:r>
              <w:rPr>
                <w:rFonts w:ascii="Palatino Linotype"/>
                <w:b/>
                <w:color w:val="231F20"/>
                <w:sz w:val="18"/>
              </w:rPr>
              <w:t>2011</w:t>
            </w:r>
          </w:p>
        </w:tc>
        <w:tc>
          <w:tcPr>
            <w:tcW w:w="733" w:type="dxa"/>
            <w:tcBorders>
              <w:top w:val="single" w:sz="4" w:space="0" w:color="231F20"/>
              <w:bottom w:val="single" w:sz="4" w:space="0" w:color="231F20"/>
            </w:tcBorders>
          </w:tcPr>
          <w:p>
            <w:pPr>
              <w:pStyle w:val="TableParagraph"/>
              <w:spacing w:before="17"/>
              <w:ind w:left="170"/>
              <w:jc w:val="left"/>
              <w:rPr>
                <w:rFonts w:ascii="Palatino Linotype"/>
                <w:b/>
                <w:sz w:val="18"/>
              </w:rPr>
            </w:pPr>
            <w:r>
              <w:rPr>
                <w:rFonts w:ascii="Palatino Linotype"/>
                <w:b/>
                <w:color w:val="231F20"/>
                <w:sz w:val="18"/>
              </w:rPr>
              <w:t>2012</w:t>
            </w:r>
          </w:p>
        </w:tc>
      </w:tr>
      <w:tr>
        <w:trPr>
          <w:trHeight w:val="314" w:hRule="exact"/>
        </w:trPr>
        <w:tc>
          <w:tcPr>
            <w:tcW w:w="1494" w:type="dxa"/>
            <w:tcBorders>
              <w:top w:val="single" w:sz="4" w:space="0" w:color="231F20"/>
            </w:tcBorders>
          </w:tcPr>
          <w:p>
            <w:pPr>
              <w:pStyle w:val="TableParagraph"/>
              <w:spacing w:before="38"/>
              <w:ind w:left="136"/>
              <w:jc w:val="left"/>
              <w:rPr>
                <w:sz w:val="18"/>
              </w:rPr>
            </w:pPr>
            <w:r>
              <w:rPr>
                <w:color w:val="231F20"/>
                <w:sz w:val="18"/>
              </w:rPr>
              <w:t>Toyota</w:t>
            </w:r>
          </w:p>
        </w:tc>
        <w:tc>
          <w:tcPr>
            <w:tcW w:w="752" w:type="dxa"/>
            <w:tcBorders>
              <w:top w:val="single" w:sz="4" w:space="0" w:color="231F20"/>
            </w:tcBorders>
          </w:tcPr>
          <w:p>
            <w:pPr>
              <w:pStyle w:val="TableParagraph"/>
              <w:spacing w:before="38"/>
              <w:ind w:left="222"/>
              <w:jc w:val="left"/>
              <w:rPr>
                <w:sz w:val="18"/>
              </w:rPr>
            </w:pPr>
            <w:r>
              <w:rPr>
                <w:color w:val="231F20"/>
                <w:sz w:val="18"/>
              </w:rPr>
              <w:t>11.1</w:t>
            </w:r>
          </w:p>
        </w:tc>
        <w:tc>
          <w:tcPr>
            <w:tcW w:w="700" w:type="dxa"/>
            <w:tcBorders>
              <w:top w:val="single" w:sz="4" w:space="0" w:color="231F20"/>
            </w:tcBorders>
          </w:tcPr>
          <w:p>
            <w:pPr>
              <w:pStyle w:val="TableParagraph"/>
              <w:spacing w:before="38"/>
              <w:ind w:left="170"/>
              <w:jc w:val="left"/>
              <w:rPr>
                <w:sz w:val="18"/>
              </w:rPr>
            </w:pPr>
            <w:r>
              <w:rPr>
                <w:color w:val="231F20"/>
                <w:sz w:val="18"/>
              </w:rPr>
              <w:t>11.1</w:t>
            </w:r>
          </w:p>
        </w:tc>
        <w:tc>
          <w:tcPr>
            <w:tcW w:w="700" w:type="dxa"/>
            <w:tcBorders>
              <w:top w:val="single" w:sz="4" w:space="0" w:color="231F20"/>
            </w:tcBorders>
          </w:tcPr>
          <w:p>
            <w:pPr>
              <w:pStyle w:val="TableParagraph"/>
              <w:spacing w:before="38"/>
              <w:ind w:left="170"/>
              <w:jc w:val="left"/>
              <w:rPr>
                <w:sz w:val="18"/>
              </w:rPr>
            </w:pPr>
            <w:r>
              <w:rPr>
                <w:color w:val="231F20"/>
                <w:sz w:val="18"/>
              </w:rPr>
              <w:t>12.1</w:t>
            </w:r>
          </w:p>
        </w:tc>
        <w:tc>
          <w:tcPr>
            <w:tcW w:w="700" w:type="dxa"/>
            <w:tcBorders>
              <w:top w:val="single" w:sz="4" w:space="0" w:color="231F20"/>
            </w:tcBorders>
          </w:tcPr>
          <w:p>
            <w:pPr>
              <w:pStyle w:val="TableParagraph"/>
              <w:spacing w:before="38"/>
              <w:ind w:left="170"/>
              <w:jc w:val="left"/>
              <w:rPr>
                <w:sz w:val="18"/>
              </w:rPr>
            </w:pPr>
            <w:r>
              <w:rPr>
                <w:color w:val="231F20"/>
                <w:sz w:val="18"/>
              </w:rPr>
              <w:t>13.5</w:t>
            </w:r>
          </w:p>
        </w:tc>
        <w:tc>
          <w:tcPr>
            <w:tcW w:w="700" w:type="dxa"/>
            <w:tcBorders>
              <w:top w:val="single" w:sz="4" w:space="0" w:color="231F20"/>
            </w:tcBorders>
          </w:tcPr>
          <w:p>
            <w:pPr>
              <w:pStyle w:val="TableParagraph"/>
              <w:spacing w:before="38"/>
              <w:ind w:left="170"/>
              <w:jc w:val="left"/>
              <w:rPr>
                <w:sz w:val="18"/>
              </w:rPr>
            </w:pPr>
            <w:r>
              <w:rPr>
                <w:color w:val="231F20"/>
                <w:sz w:val="18"/>
              </w:rPr>
              <w:t>10.2</w:t>
            </w:r>
          </w:p>
        </w:tc>
        <w:tc>
          <w:tcPr>
            <w:tcW w:w="733" w:type="dxa"/>
            <w:tcBorders>
              <w:top w:val="single" w:sz="4" w:space="0" w:color="231F20"/>
            </w:tcBorders>
          </w:tcPr>
          <w:p>
            <w:pPr>
              <w:pStyle w:val="TableParagraph"/>
              <w:spacing w:before="38"/>
              <w:ind w:left="170"/>
              <w:jc w:val="left"/>
              <w:rPr>
                <w:sz w:val="18"/>
              </w:rPr>
            </w:pPr>
            <w:r>
              <w:rPr>
                <w:color w:val="231F20"/>
                <w:sz w:val="18"/>
              </w:rPr>
              <w:t>11.9</w:t>
            </w:r>
          </w:p>
        </w:tc>
      </w:tr>
      <w:tr>
        <w:trPr>
          <w:trHeight w:val="291" w:hRule="exact"/>
        </w:trPr>
        <w:tc>
          <w:tcPr>
            <w:tcW w:w="1494" w:type="dxa"/>
          </w:tcPr>
          <w:p>
            <w:pPr>
              <w:pStyle w:val="TableParagraph"/>
              <w:spacing w:before="19"/>
              <w:ind w:left="137"/>
              <w:jc w:val="left"/>
              <w:rPr>
                <w:sz w:val="18"/>
              </w:rPr>
            </w:pPr>
            <w:r>
              <w:rPr>
                <w:color w:val="231F20"/>
                <w:sz w:val="18"/>
              </w:rPr>
              <w:t>General Motors</w:t>
            </w:r>
          </w:p>
        </w:tc>
        <w:tc>
          <w:tcPr>
            <w:tcW w:w="752" w:type="dxa"/>
          </w:tcPr>
          <w:p>
            <w:pPr>
              <w:pStyle w:val="TableParagraph"/>
              <w:spacing w:before="19"/>
              <w:ind w:left="222"/>
              <w:jc w:val="left"/>
              <w:rPr>
                <w:sz w:val="18"/>
              </w:rPr>
            </w:pPr>
            <w:r>
              <w:rPr>
                <w:color w:val="231F20"/>
                <w:sz w:val="18"/>
              </w:rPr>
              <w:t>25.2</w:t>
            </w:r>
          </w:p>
        </w:tc>
        <w:tc>
          <w:tcPr>
            <w:tcW w:w="700" w:type="dxa"/>
          </w:tcPr>
          <w:p>
            <w:pPr>
              <w:pStyle w:val="TableParagraph"/>
              <w:spacing w:before="19"/>
              <w:ind w:left="170"/>
              <w:jc w:val="left"/>
              <w:rPr>
                <w:sz w:val="18"/>
              </w:rPr>
            </w:pPr>
            <w:r>
              <w:rPr>
                <w:color w:val="231F20"/>
                <w:sz w:val="18"/>
              </w:rPr>
              <w:t>14.6</w:t>
            </w:r>
          </w:p>
        </w:tc>
        <w:tc>
          <w:tcPr>
            <w:tcW w:w="700" w:type="dxa"/>
          </w:tcPr>
          <w:p>
            <w:pPr>
              <w:pStyle w:val="TableParagraph"/>
              <w:spacing w:before="19"/>
              <w:ind w:left="170"/>
              <w:jc w:val="left"/>
              <w:rPr>
                <w:sz w:val="18"/>
              </w:rPr>
            </w:pPr>
            <w:r>
              <w:rPr>
                <w:color w:val="231F20"/>
                <w:sz w:val="18"/>
              </w:rPr>
              <w:t>16.5</w:t>
            </w:r>
          </w:p>
        </w:tc>
        <w:tc>
          <w:tcPr>
            <w:tcW w:w="700" w:type="dxa"/>
          </w:tcPr>
          <w:p>
            <w:pPr>
              <w:pStyle w:val="TableParagraph"/>
              <w:spacing w:before="19"/>
              <w:ind w:left="170"/>
              <w:jc w:val="left"/>
              <w:rPr>
                <w:sz w:val="18"/>
              </w:rPr>
            </w:pPr>
            <w:r>
              <w:rPr>
                <w:color w:val="231F20"/>
                <w:sz w:val="18"/>
              </w:rPr>
              <w:t>12.1</w:t>
            </w:r>
          </w:p>
        </w:tc>
        <w:tc>
          <w:tcPr>
            <w:tcW w:w="700" w:type="dxa"/>
          </w:tcPr>
          <w:p>
            <w:pPr>
              <w:pStyle w:val="TableParagraph"/>
              <w:spacing w:before="19"/>
              <w:ind w:left="170"/>
              <w:jc w:val="left"/>
              <w:rPr>
                <w:sz w:val="18"/>
              </w:rPr>
            </w:pPr>
            <w:r>
              <w:rPr>
                <w:color w:val="231F20"/>
                <w:sz w:val="18"/>
              </w:rPr>
              <w:t>11.6</w:t>
            </w:r>
          </w:p>
        </w:tc>
        <w:tc>
          <w:tcPr>
            <w:tcW w:w="733" w:type="dxa"/>
          </w:tcPr>
          <w:p>
            <w:pPr>
              <w:pStyle w:val="TableParagraph"/>
              <w:spacing w:before="19"/>
              <w:ind w:left="170"/>
              <w:jc w:val="left"/>
              <w:rPr>
                <w:sz w:val="18"/>
              </w:rPr>
            </w:pPr>
            <w:r>
              <w:rPr>
                <w:color w:val="231F20"/>
                <w:sz w:val="18"/>
              </w:rPr>
              <w:t>11.0</w:t>
            </w:r>
          </w:p>
        </w:tc>
      </w:tr>
      <w:tr>
        <w:trPr>
          <w:trHeight w:val="291" w:hRule="exact"/>
        </w:trPr>
        <w:tc>
          <w:tcPr>
            <w:tcW w:w="1494" w:type="dxa"/>
          </w:tcPr>
          <w:p>
            <w:pPr>
              <w:pStyle w:val="TableParagraph"/>
              <w:spacing w:before="19"/>
              <w:ind w:left="137"/>
              <w:jc w:val="left"/>
              <w:rPr>
                <w:sz w:val="18"/>
              </w:rPr>
            </w:pPr>
            <w:r>
              <w:rPr>
                <w:color w:val="231F20"/>
                <w:sz w:val="18"/>
              </w:rPr>
              <w:t>Volkswagen</w:t>
            </w:r>
          </w:p>
        </w:tc>
        <w:tc>
          <w:tcPr>
            <w:tcW w:w="752" w:type="dxa"/>
          </w:tcPr>
          <w:p>
            <w:pPr>
              <w:pStyle w:val="TableParagraph"/>
              <w:spacing w:before="19"/>
              <w:ind w:left="223"/>
              <w:jc w:val="left"/>
              <w:rPr>
                <w:sz w:val="18"/>
              </w:rPr>
            </w:pPr>
            <w:r>
              <w:rPr>
                <w:color w:val="231F20"/>
                <w:sz w:val="18"/>
              </w:rPr>
              <w:t>5.8</w:t>
            </w:r>
          </w:p>
        </w:tc>
        <w:tc>
          <w:tcPr>
            <w:tcW w:w="700" w:type="dxa"/>
          </w:tcPr>
          <w:p>
            <w:pPr>
              <w:pStyle w:val="TableParagraph"/>
              <w:spacing w:before="19"/>
              <w:ind w:left="170"/>
              <w:jc w:val="left"/>
              <w:rPr>
                <w:sz w:val="18"/>
              </w:rPr>
            </w:pPr>
            <w:r>
              <w:rPr>
                <w:color w:val="231F20"/>
                <w:sz w:val="18"/>
              </w:rPr>
              <w:t>5.5</w:t>
            </w:r>
          </w:p>
        </w:tc>
        <w:tc>
          <w:tcPr>
            <w:tcW w:w="700" w:type="dxa"/>
          </w:tcPr>
          <w:p>
            <w:pPr>
              <w:pStyle w:val="TableParagraph"/>
              <w:spacing w:before="19"/>
              <w:ind w:left="170"/>
              <w:jc w:val="left"/>
              <w:rPr>
                <w:sz w:val="18"/>
              </w:rPr>
            </w:pPr>
            <w:r>
              <w:rPr>
                <w:color w:val="231F20"/>
                <w:sz w:val="18"/>
              </w:rPr>
              <w:t>10.3</w:t>
            </w:r>
          </w:p>
        </w:tc>
        <w:tc>
          <w:tcPr>
            <w:tcW w:w="700" w:type="dxa"/>
          </w:tcPr>
          <w:p>
            <w:pPr>
              <w:pStyle w:val="TableParagraph"/>
              <w:spacing w:before="19"/>
              <w:ind w:left="170"/>
              <w:jc w:val="left"/>
              <w:rPr>
                <w:sz w:val="18"/>
              </w:rPr>
            </w:pPr>
            <w:r>
              <w:rPr>
                <w:color w:val="231F20"/>
                <w:sz w:val="18"/>
              </w:rPr>
              <w:t>9.4</w:t>
            </w:r>
          </w:p>
        </w:tc>
        <w:tc>
          <w:tcPr>
            <w:tcW w:w="700" w:type="dxa"/>
          </w:tcPr>
          <w:p>
            <w:pPr>
              <w:pStyle w:val="TableParagraph"/>
              <w:spacing w:before="19"/>
              <w:ind w:left="170"/>
              <w:jc w:val="left"/>
              <w:rPr>
                <w:sz w:val="18"/>
              </w:rPr>
            </w:pPr>
            <w:r>
              <w:rPr>
                <w:color w:val="231F20"/>
                <w:sz w:val="18"/>
              </w:rPr>
              <w:t>10.4</w:t>
            </w:r>
          </w:p>
        </w:tc>
        <w:tc>
          <w:tcPr>
            <w:tcW w:w="733" w:type="dxa"/>
          </w:tcPr>
          <w:p>
            <w:pPr>
              <w:pStyle w:val="TableParagraph"/>
              <w:spacing w:before="19"/>
              <w:ind w:left="170"/>
              <w:jc w:val="left"/>
              <w:rPr>
                <w:sz w:val="18"/>
              </w:rPr>
            </w:pPr>
            <w:r>
              <w:rPr>
                <w:color w:val="231F20"/>
                <w:sz w:val="18"/>
              </w:rPr>
              <w:t>10.9</w:t>
            </w:r>
          </w:p>
        </w:tc>
      </w:tr>
      <w:tr>
        <w:trPr>
          <w:trHeight w:val="291" w:hRule="exact"/>
        </w:trPr>
        <w:tc>
          <w:tcPr>
            <w:tcW w:w="1494" w:type="dxa"/>
          </w:tcPr>
          <w:p>
            <w:pPr>
              <w:pStyle w:val="TableParagraph"/>
              <w:spacing w:before="19"/>
              <w:ind w:left="137"/>
              <w:jc w:val="left"/>
              <w:rPr>
                <w:sz w:val="18"/>
              </w:rPr>
            </w:pPr>
            <w:r>
              <w:rPr>
                <w:color w:val="231F20"/>
                <w:w w:val="105"/>
                <w:sz w:val="18"/>
              </w:rPr>
              <w:t>Ford</w:t>
            </w:r>
          </w:p>
        </w:tc>
        <w:tc>
          <w:tcPr>
            <w:tcW w:w="752" w:type="dxa"/>
          </w:tcPr>
          <w:p>
            <w:pPr>
              <w:pStyle w:val="TableParagraph"/>
              <w:spacing w:before="19"/>
              <w:ind w:left="223"/>
              <w:jc w:val="left"/>
              <w:rPr>
                <w:sz w:val="18"/>
              </w:rPr>
            </w:pPr>
            <w:r>
              <w:rPr>
                <w:color w:val="231F20"/>
                <w:sz w:val="18"/>
              </w:rPr>
              <w:t>15.3</w:t>
            </w:r>
          </w:p>
        </w:tc>
        <w:tc>
          <w:tcPr>
            <w:tcW w:w="700" w:type="dxa"/>
          </w:tcPr>
          <w:p>
            <w:pPr>
              <w:pStyle w:val="TableParagraph"/>
              <w:spacing w:before="19"/>
              <w:ind w:left="170"/>
              <w:jc w:val="left"/>
              <w:rPr>
                <w:sz w:val="18"/>
              </w:rPr>
            </w:pPr>
            <w:r>
              <w:rPr>
                <w:color w:val="231F20"/>
                <w:sz w:val="18"/>
              </w:rPr>
              <w:t>13.1</w:t>
            </w:r>
          </w:p>
        </w:tc>
        <w:tc>
          <w:tcPr>
            <w:tcW w:w="700" w:type="dxa"/>
          </w:tcPr>
          <w:p>
            <w:pPr>
              <w:pStyle w:val="TableParagraph"/>
              <w:spacing w:before="19"/>
              <w:ind w:left="170"/>
              <w:jc w:val="left"/>
              <w:rPr>
                <w:sz w:val="18"/>
              </w:rPr>
            </w:pPr>
            <w:r>
              <w:rPr>
                <w:color w:val="231F20"/>
                <w:sz w:val="18"/>
              </w:rPr>
              <w:t>14.8</w:t>
            </w:r>
          </w:p>
        </w:tc>
        <w:tc>
          <w:tcPr>
            <w:tcW w:w="700" w:type="dxa"/>
          </w:tcPr>
          <w:p>
            <w:pPr>
              <w:pStyle w:val="TableParagraph"/>
              <w:spacing w:before="19"/>
              <w:ind w:left="170"/>
              <w:jc w:val="left"/>
              <w:rPr>
                <w:sz w:val="18"/>
              </w:rPr>
            </w:pPr>
            <w:r>
              <w:rPr>
                <w:color w:val="231F20"/>
                <w:sz w:val="18"/>
              </w:rPr>
              <w:t>7.9</w:t>
            </w:r>
          </w:p>
        </w:tc>
        <w:tc>
          <w:tcPr>
            <w:tcW w:w="700" w:type="dxa"/>
          </w:tcPr>
          <w:p>
            <w:pPr>
              <w:pStyle w:val="TableParagraph"/>
              <w:spacing w:before="19"/>
              <w:ind w:left="170"/>
              <w:jc w:val="left"/>
              <w:rPr>
                <w:sz w:val="18"/>
              </w:rPr>
            </w:pPr>
            <w:r>
              <w:rPr>
                <w:color w:val="231F20"/>
                <w:sz w:val="18"/>
              </w:rPr>
              <w:t>6.2</w:t>
            </w:r>
          </w:p>
        </w:tc>
        <w:tc>
          <w:tcPr>
            <w:tcW w:w="733" w:type="dxa"/>
          </w:tcPr>
          <w:p>
            <w:pPr>
              <w:pStyle w:val="TableParagraph"/>
              <w:spacing w:before="19"/>
              <w:ind w:left="170"/>
              <w:jc w:val="left"/>
              <w:rPr>
                <w:sz w:val="18"/>
              </w:rPr>
            </w:pPr>
            <w:r>
              <w:rPr>
                <w:color w:val="231F20"/>
                <w:sz w:val="18"/>
              </w:rPr>
              <w:t>6.6</w:t>
            </w:r>
          </w:p>
        </w:tc>
      </w:tr>
      <w:tr>
        <w:trPr>
          <w:trHeight w:val="291" w:hRule="exact"/>
        </w:trPr>
        <w:tc>
          <w:tcPr>
            <w:tcW w:w="1494" w:type="dxa"/>
          </w:tcPr>
          <w:p>
            <w:pPr>
              <w:pStyle w:val="TableParagraph"/>
              <w:spacing w:before="19"/>
              <w:ind w:left="137"/>
              <w:jc w:val="left"/>
              <w:rPr>
                <w:sz w:val="18"/>
              </w:rPr>
            </w:pPr>
            <w:r>
              <w:rPr>
                <w:color w:val="231F20"/>
                <w:w w:val="105"/>
                <w:sz w:val="18"/>
              </w:rPr>
              <w:t>Honda</w:t>
            </w:r>
          </w:p>
        </w:tc>
        <w:tc>
          <w:tcPr>
            <w:tcW w:w="752" w:type="dxa"/>
          </w:tcPr>
          <w:p>
            <w:pPr>
              <w:pStyle w:val="TableParagraph"/>
              <w:spacing w:before="19"/>
              <w:ind w:left="223"/>
              <w:jc w:val="left"/>
              <w:rPr>
                <w:sz w:val="18"/>
              </w:rPr>
            </w:pPr>
            <w:r>
              <w:rPr>
                <w:color w:val="231F20"/>
                <w:sz w:val="18"/>
              </w:rPr>
              <w:t>3.8</w:t>
            </w:r>
          </w:p>
        </w:tc>
        <w:tc>
          <w:tcPr>
            <w:tcW w:w="700" w:type="dxa"/>
          </w:tcPr>
          <w:p>
            <w:pPr>
              <w:pStyle w:val="TableParagraph"/>
              <w:spacing w:before="19"/>
              <w:ind w:left="170"/>
              <w:jc w:val="left"/>
              <w:rPr>
                <w:sz w:val="18"/>
              </w:rPr>
            </w:pPr>
            <w:r>
              <w:rPr>
                <w:color w:val="231F20"/>
                <w:sz w:val="18"/>
              </w:rPr>
              <w:t>4.8</w:t>
            </w:r>
          </w:p>
        </w:tc>
        <w:tc>
          <w:tcPr>
            <w:tcW w:w="700" w:type="dxa"/>
          </w:tcPr>
          <w:p>
            <w:pPr>
              <w:pStyle w:val="TableParagraph"/>
              <w:spacing w:before="19"/>
              <w:ind w:left="170"/>
              <w:jc w:val="left"/>
              <w:rPr>
                <w:sz w:val="18"/>
              </w:rPr>
            </w:pPr>
            <w:r>
              <w:rPr>
                <w:color w:val="231F20"/>
                <w:sz w:val="18"/>
              </w:rPr>
              <w:t>5.1</w:t>
            </w:r>
          </w:p>
        </w:tc>
        <w:tc>
          <w:tcPr>
            <w:tcW w:w="700" w:type="dxa"/>
          </w:tcPr>
          <w:p>
            <w:pPr>
              <w:pStyle w:val="TableParagraph"/>
              <w:spacing w:before="19"/>
              <w:ind w:left="170"/>
              <w:jc w:val="left"/>
              <w:rPr>
                <w:sz w:val="18"/>
              </w:rPr>
            </w:pPr>
            <w:r>
              <w:rPr>
                <w:color w:val="231F20"/>
                <w:sz w:val="18"/>
              </w:rPr>
              <w:t>5.7</w:t>
            </w:r>
          </w:p>
        </w:tc>
        <w:tc>
          <w:tcPr>
            <w:tcW w:w="700" w:type="dxa"/>
          </w:tcPr>
          <w:p>
            <w:pPr>
              <w:pStyle w:val="TableParagraph"/>
              <w:spacing w:before="19"/>
              <w:ind w:left="170"/>
              <w:jc w:val="left"/>
              <w:rPr>
                <w:sz w:val="18"/>
              </w:rPr>
            </w:pPr>
            <w:r>
              <w:rPr>
                <w:color w:val="231F20"/>
                <w:sz w:val="18"/>
              </w:rPr>
              <w:t>3.7</w:t>
            </w:r>
          </w:p>
        </w:tc>
        <w:tc>
          <w:tcPr>
            <w:tcW w:w="733" w:type="dxa"/>
          </w:tcPr>
          <w:p>
            <w:pPr>
              <w:pStyle w:val="TableParagraph"/>
              <w:spacing w:before="19"/>
              <w:ind w:left="170"/>
              <w:jc w:val="left"/>
              <w:rPr>
                <w:sz w:val="18"/>
              </w:rPr>
            </w:pPr>
            <w:r>
              <w:rPr>
                <w:color w:val="231F20"/>
                <w:sz w:val="18"/>
              </w:rPr>
              <w:t>4.9</w:t>
            </w:r>
          </w:p>
        </w:tc>
      </w:tr>
      <w:tr>
        <w:trPr>
          <w:trHeight w:val="291" w:hRule="exact"/>
        </w:trPr>
        <w:tc>
          <w:tcPr>
            <w:tcW w:w="1494" w:type="dxa"/>
          </w:tcPr>
          <w:p>
            <w:pPr>
              <w:pStyle w:val="TableParagraph"/>
              <w:spacing w:before="19"/>
              <w:ind w:left="137"/>
              <w:jc w:val="left"/>
              <w:rPr>
                <w:sz w:val="18"/>
              </w:rPr>
            </w:pPr>
            <w:r>
              <w:rPr>
                <w:color w:val="231F20"/>
                <w:sz w:val="18"/>
              </w:rPr>
              <w:t>Nissan</w:t>
            </w:r>
          </w:p>
        </w:tc>
        <w:tc>
          <w:tcPr>
            <w:tcW w:w="752" w:type="dxa"/>
          </w:tcPr>
          <w:p>
            <w:pPr>
              <w:pStyle w:val="TableParagraph"/>
              <w:spacing w:before="19"/>
              <w:ind w:left="223"/>
              <w:jc w:val="left"/>
              <w:rPr>
                <w:sz w:val="18"/>
              </w:rPr>
            </w:pPr>
            <w:r>
              <w:rPr>
                <w:color w:val="231F20"/>
                <w:sz w:val="18"/>
              </w:rPr>
              <w:t>7.8</w:t>
            </w:r>
          </w:p>
        </w:tc>
        <w:tc>
          <w:tcPr>
            <w:tcW w:w="700" w:type="dxa"/>
          </w:tcPr>
          <w:p>
            <w:pPr>
              <w:pStyle w:val="TableParagraph"/>
              <w:spacing w:before="19"/>
              <w:ind w:left="171"/>
              <w:jc w:val="left"/>
              <w:rPr>
                <w:sz w:val="18"/>
              </w:rPr>
            </w:pPr>
            <w:r>
              <w:rPr>
                <w:color w:val="231F20"/>
                <w:sz w:val="18"/>
              </w:rPr>
              <w:t>7.3</w:t>
            </w:r>
          </w:p>
        </w:tc>
        <w:tc>
          <w:tcPr>
            <w:tcW w:w="700" w:type="dxa"/>
          </w:tcPr>
          <w:p>
            <w:pPr>
              <w:pStyle w:val="TableParagraph"/>
              <w:spacing w:before="19"/>
              <w:ind w:left="171"/>
              <w:jc w:val="left"/>
              <w:rPr>
                <w:sz w:val="18"/>
              </w:rPr>
            </w:pPr>
            <w:r>
              <w:rPr>
                <w:color w:val="231F20"/>
                <w:sz w:val="18"/>
              </w:rPr>
              <w:t>5.3</w:t>
            </w:r>
          </w:p>
        </w:tc>
        <w:tc>
          <w:tcPr>
            <w:tcW w:w="700" w:type="dxa"/>
          </w:tcPr>
          <w:p>
            <w:pPr>
              <w:pStyle w:val="TableParagraph"/>
              <w:spacing w:before="19"/>
              <w:ind w:left="171"/>
              <w:jc w:val="left"/>
              <w:rPr>
                <w:sz w:val="18"/>
              </w:rPr>
            </w:pPr>
            <w:r>
              <w:rPr>
                <w:color w:val="231F20"/>
                <w:w w:val="96"/>
                <w:sz w:val="18"/>
              </w:rPr>
              <w:t>5</w:t>
            </w:r>
          </w:p>
        </w:tc>
        <w:tc>
          <w:tcPr>
            <w:tcW w:w="700" w:type="dxa"/>
          </w:tcPr>
          <w:p>
            <w:pPr>
              <w:pStyle w:val="TableParagraph"/>
              <w:spacing w:before="19"/>
              <w:ind w:left="171"/>
              <w:jc w:val="left"/>
              <w:rPr>
                <w:sz w:val="18"/>
              </w:rPr>
            </w:pPr>
            <w:r>
              <w:rPr>
                <w:color w:val="231F20"/>
                <w:sz w:val="18"/>
              </w:rPr>
              <w:t>5.9</w:t>
            </w:r>
          </w:p>
        </w:tc>
        <w:tc>
          <w:tcPr>
            <w:tcW w:w="733" w:type="dxa"/>
          </w:tcPr>
          <w:p>
            <w:pPr>
              <w:pStyle w:val="TableParagraph"/>
              <w:spacing w:before="19"/>
              <w:ind w:left="171"/>
              <w:jc w:val="left"/>
              <w:rPr>
                <w:sz w:val="18"/>
              </w:rPr>
            </w:pPr>
            <w:r>
              <w:rPr>
                <w:color w:val="231F20"/>
                <w:sz w:val="18"/>
              </w:rPr>
              <w:t>5.8</w:t>
            </w:r>
          </w:p>
        </w:tc>
      </w:tr>
      <w:tr>
        <w:trPr>
          <w:trHeight w:val="291" w:hRule="exact"/>
        </w:trPr>
        <w:tc>
          <w:tcPr>
            <w:tcW w:w="1494" w:type="dxa"/>
          </w:tcPr>
          <w:p>
            <w:pPr>
              <w:pStyle w:val="TableParagraph"/>
              <w:spacing w:before="19"/>
              <w:ind w:left="137"/>
              <w:jc w:val="left"/>
              <w:rPr>
                <w:sz w:val="18"/>
              </w:rPr>
            </w:pPr>
            <w:r>
              <w:rPr>
                <w:color w:val="231F20"/>
                <w:sz w:val="18"/>
              </w:rPr>
              <w:t>PSA</w:t>
            </w:r>
          </w:p>
        </w:tc>
        <w:tc>
          <w:tcPr>
            <w:tcW w:w="752" w:type="dxa"/>
          </w:tcPr>
          <w:p>
            <w:pPr>
              <w:pStyle w:val="TableParagraph"/>
              <w:spacing w:before="19"/>
              <w:ind w:left="223"/>
              <w:jc w:val="left"/>
              <w:rPr>
                <w:sz w:val="18"/>
              </w:rPr>
            </w:pPr>
            <w:r>
              <w:rPr>
                <w:color w:val="231F20"/>
                <w:w w:val="96"/>
                <w:sz w:val="18"/>
              </w:rPr>
              <w:t>0</w:t>
            </w:r>
          </w:p>
        </w:tc>
        <w:tc>
          <w:tcPr>
            <w:tcW w:w="700" w:type="dxa"/>
          </w:tcPr>
          <w:p>
            <w:pPr>
              <w:pStyle w:val="TableParagraph"/>
              <w:spacing w:before="19"/>
              <w:ind w:left="171"/>
              <w:jc w:val="left"/>
              <w:rPr>
                <w:sz w:val="18"/>
              </w:rPr>
            </w:pPr>
            <w:r>
              <w:rPr>
                <w:color w:val="231F20"/>
                <w:w w:val="96"/>
                <w:sz w:val="18"/>
              </w:rPr>
              <w:t>0</w:t>
            </w:r>
          </w:p>
        </w:tc>
        <w:tc>
          <w:tcPr>
            <w:tcW w:w="700" w:type="dxa"/>
          </w:tcPr>
          <w:p>
            <w:pPr>
              <w:pStyle w:val="TableParagraph"/>
              <w:spacing w:before="19"/>
              <w:ind w:left="171"/>
              <w:jc w:val="left"/>
              <w:rPr>
                <w:sz w:val="18"/>
              </w:rPr>
            </w:pPr>
            <w:r>
              <w:rPr>
                <w:color w:val="231F20"/>
                <w:sz w:val="18"/>
              </w:rPr>
              <w:t>5.8</w:t>
            </w:r>
          </w:p>
        </w:tc>
        <w:tc>
          <w:tcPr>
            <w:tcW w:w="700" w:type="dxa"/>
          </w:tcPr>
          <w:p>
            <w:pPr>
              <w:pStyle w:val="TableParagraph"/>
              <w:spacing w:before="19"/>
              <w:ind w:left="171"/>
              <w:jc w:val="left"/>
              <w:rPr>
                <w:sz w:val="18"/>
              </w:rPr>
            </w:pPr>
            <w:r>
              <w:rPr>
                <w:color w:val="231F20"/>
                <w:sz w:val="18"/>
              </w:rPr>
              <w:t>4.8</w:t>
            </w:r>
          </w:p>
        </w:tc>
        <w:tc>
          <w:tcPr>
            <w:tcW w:w="700" w:type="dxa"/>
          </w:tcPr>
          <w:p>
            <w:pPr>
              <w:pStyle w:val="TableParagraph"/>
              <w:spacing w:before="19"/>
              <w:ind w:left="171"/>
              <w:jc w:val="left"/>
              <w:rPr>
                <w:sz w:val="18"/>
              </w:rPr>
            </w:pPr>
            <w:r>
              <w:rPr>
                <w:color w:val="231F20"/>
                <w:sz w:val="18"/>
              </w:rPr>
              <w:t>4.5</w:t>
            </w:r>
          </w:p>
        </w:tc>
        <w:tc>
          <w:tcPr>
            <w:tcW w:w="733" w:type="dxa"/>
          </w:tcPr>
          <w:p>
            <w:pPr>
              <w:pStyle w:val="TableParagraph"/>
              <w:spacing w:before="19"/>
              <w:ind w:left="171"/>
              <w:jc w:val="left"/>
              <w:rPr>
                <w:sz w:val="18"/>
              </w:rPr>
            </w:pPr>
            <w:r>
              <w:rPr>
                <w:color w:val="231F20"/>
                <w:sz w:val="18"/>
              </w:rPr>
              <w:t>3.4</w:t>
            </w:r>
          </w:p>
        </w:tc>
      </w:tr>
      <w:tr>
        <w:trPr>
          <w:trHeight w:val="291" w:hRule="exact"/>
        </w:trPr>
        <w:tc>
          <w:tcPr>
            <w:tcW w:w="1494" w:type="dxa"/>
          </w:tcPr>
          <w:p>
            <w:pPr>
              <w:pStyle w:val="TableParagraph"/>
              <w:spacing w:before="19"/>
              <w:ind w:left="138"/>
              <w:jc w:val="left"/>
              <w:rPr>
                <w:sz w:val="18"/>
              </w:rPr>
            </w:pPr>
            <w:r>
              <w:rPr>
                <w:color w:val="231F20"/>
                <w:sz w:val="18"/>
              </w:rPr>
              <w:t>Hyundai</w:t>
            </w:r>
          </w:p>
        </w:tc>
        <w:tc>
          <w:tcPr>
            <w:tcW w:w="752" w:type="dxa"/>
          </w:tcPr>
          <w:p>
            <w:pPr>
              <w:pStyle w:val="TableParagraph"/>
              <w:spacing w:before="19"/>
              <w:ind w:left="223"/>
              <w:jc w:val="left"/>
              <w:rPr>
                <w:sz w:val="18"/>
              </w:rPr>
            </w:pPr>
            <w:r>
              <w:rPr>
                <w:color w:val="231F20"/>
                <w:w w:val="96"/>
                <w:sz w:val="18"/>
              </w:rPr>
              <w:t>0</w:t>
            </w:r>
          </w:p>
        </w:tc>
        <w:tc>
          <w:tcPr>
            <w:tcW w:w="700" w:type="dxa"/>
          </w:tcPr>
          <w:p>
            <w:pPr>
              <w:pStyle w:val="TableParagraph"/>
              <w:spacing w:before="19"/>
              <w:ind w:left="171"/>
              <w:jc w:val="left"/>
              <w:rPr>
                <w:sz w:val="18"/>
              </w:rPr>
            </w:pPr>
            <w:r>
              <w:rPr>
                <w:color w:val="231F20"/>
                <w:sz w:val="18"/>
              </w:rPr>
              <w:t>1.8</w:t>
            </w:r>
          </w:p>
        </w:tc>
        <w:tc>
          <w:tcPr>
            <w:tcW w:w="700" w:type="dxa"/>
          </w:tcPr>
          <w:p>
            <w:pPr>
              <w:pStyle w:val="TableParagraph"/>
              <w:spacing w:before="19"/>
              <w:ind w:left="171"/>
              <w:jc w:val="left"/>
              <w:rPr>
                <w:sz w:val="18"/>
              </w:rPr>
            </w:pPr>
            <w:r>
              <w:rPr>
                <w:color w:val="231F20"/>
                <w:w w:val="96"/>
                <w:sz w:val="18"/>
              </w:rPr>
              <w:t>0</w:t>
            </w:r>
          </w:p>
        </w:tc>
        <w:tc>
          <w:tcPr>
            <w:tcW w:w="700" w:type="dxa"/>
          </w:tcPr>
          <w:p>
            <w:pPr>
              <w:pStyle w:val="TableParagraph"/>
              <w:spacing w:before="19"/>
              <w:ind w:left="171"/>
              <w:jc w:val="left"/>
              <w:rPr>
                <w:sz w:val="18"/>
              </w:rPr>
            </w:pPr>
            <w:r>
              <w:rPr>
                <w:color w:val="231F20"/>
                <w:w w:val="96"/>
                <w:sz w:val="18"/>
              </w:rPr>
              <w:t>4</w:t>
            </w:r>
          </w:p>
        </w:tc>
        <w:tc>
          <w:tcPr>
            <w:tcW w:w="700" w:type="dxa"/>
          </w:tcPr>
          <w:p>
            <w:pPr>
              <w:pStyle w:val="TableParagraph"/>
              <w:spacing w:before="19"/>
              <w:ind w:left="171"/>
              <w:jc w:val="left"/>
              <w:rPr>
                <w:sz w:val="18"/>
              </w:rPr>
            </w:pPr>
            <w:r>
              <w:rPr>
                <w:color w:val="231F20"/>
                <w:sz w:val="18"/>
              </w:rPr>
              <w:t>8.4</w:t>
            </w:r>
          </w:p>
        </w:tc>
        <w:tc>
          <w:tcPr>
            <w:tcW w:w="733" w:type="dxa"/>
          </w:tcPr>
          <w:p>
            <w:pPr>
              <w:pStyle w:val="TableParagraph"/>
              <w:spacing w:before="19"/>
              <w:ind w:left="171"/>
              <w:jc w:val="left"/>
              <w:rPr>
                <w:sz w:val="18"/>
              </w:rPr>
            </w:pPr>
            <w:r>
              <w:rPr>
                <w:color w:val="231F20"/>
                <w:sz w:val="18"/>
              </w:rPr>
              <w:t>8.4</w:t>
            </w:r>
          </w:p>
        </w:tc>
      </w:tr>
      <w:tr>
        <w:trPr>
          <w:trHeight w:val="291" w:hRule="exact"/>
        </w:trPr>
        <w:tc>
          <w:tcPr>
            <w:tcW w:w="1494" w:type="dxa"/>
          </w:tcPr>
          <w:p>
            <w:pPr>
              <w:pStyle w:val="TableParagraph"/>
              <w:spacing w:before="19"/>
              <w:ind w:left="138"/>
              <w:jc w:val="left"/>
              <w:rPr>
                <w:sz w:val="18"/>
              </w:rPr>
            </w:pPr>
            <w:r>
              <w:rPr>
                <w:color w:val="231F20"/>
                <w:sz w:val="18"/>
              </w:rPr>
              <w:t>Suzuki-Maruti</w:t>
            </w:r>
          </w:p>
        </w:tc>
        <w:tc>
          <w:tcPr>
            <w:tcW w:w="752" w:type="dxa"/>
          </w:tcPr>
          <w:p>
            <w:pPr>
              <w:pStyle w:val="TableParagraph"/>
              <w:spacing w:before="19"/>
              <w:ind w:left="224"/>
              <w:jc w:val="left"/>
              <w:rPr>
                <w:sz w:val="18"/>
              </w:rPr>
            </w:pPr>
            <w:r>
              <w:rPr>
                <w:color w:val="231F20"/>
                <w:sz w:val="18"/>
              </w:rPr>
              <w:t>2.4</w:t>
            </w:r>
          </w:p>
        </w:tc>
        <w:tc>
          <w:tcPr>
            <w:tcW w:w="700" w:type="dxa"/>
          </w:tcPr>
          <w:p>
            <w:pPr>
              <w:pStyle w:val="TableParagraph"/>
              <w:spacing w:before="19"/>
              <w:ind w:left="171"/>
              <w:jc w:val="left"/>
              <w:rPr>
                <w:sz w:val="18"/>
              </w:rPr>
            </w:pPr>
            <w:r>
              <w:rPr>
                <w:color w:val="231F20"/>
                <w:sz w:val="18"/>
              </w:rPr>
              <w:t>3.6</w:t>
            </w:r>
          </w:p>
        </w:tc>
        <w:tc>
          <w:tcPr>
            <w:tcW w:w="700" w:type="dxa"/>
          </w:tcPr>
          <w:p>
            <w:pPr>
              <w:pStyle w:val="TableParagraph"/>
              <w:spacing w:before="19"/>
              <w:ind w:left="171"/>
              <w:jc w:val="left"/>
              <w:rPr>
                <w:sz w:val="18"/>
              </w:rPr>
            </w:pPr>
            <w:r>
              <w:rPr>
                <w:color w:val="231F20"/>
                <w:sz w:val="18"/>
              </w:rPr>
              <w:t>2.9</w:t>
            </w:r>
          </w:p>
        </w:tc>
        <w:tc>
          <w:tcPr>
            <w:tcW w:w="700" w:type="dxa"/>
          </w:tcPr>
          <w:p>
            <w:pPr>
              <w:pStyle w:val="TableParagraph"/>
              <w:spacing w:before="19"/>
              <w:ind w:left="171"/>
              <w:jc w:val="left"/>
              <w:rPr>
                <w:sz w:val="18"/>
              </w:rPr>
            </w:pPr>
            <w:r>
              <w:rPr>
                <w:color w:val="231F20"/>
                <w:sz w:val="18"/>
              </w:rPr>
              <w:t>3.8</w:t>
            </w:r>
          </w:p>
        </w:tc>
        <w:tc>
          <w:tcPr>
            <w:tcW w:w="700" w:type="dxa"/>
          </w:tcPr>
          <w:p>
            <w:pPr>
              <w:pStyle w:val="TableParagraph"/>
              <w:spacing w:before="19"/>
              <w:ind w:left="171"/>
              <w:jc w:val="left"/>
              <w:rPr>
                <w:sz w:val="18"/>
              </w:rPr>
            </w:pPr>
            <w:r>
              <w:rPr>
                <w:color w:val="231F20"/>
                <w:sz w:val="18"/>
              </w:rPr>
              <w:t>3.5</w:t>
            </w:r>
          </w:p>
        </w:tc>
        <w:tc>
          <w:tcPr>
            <w:tcW w:w="733" w:type="dxa"/>
          </w:tcPr>
          <w:p>
            <w:pPr>
              <w:pStyle w:val="TableParagraph"/>
              <w:spacing w:before="19"/>
              <w:ind w:left="171"/>
              <w:jc w:val="left"/>
              <w:rPr>
                <w:sz w:val="18"/>
              </w:rPr>
            </w:pPr>
            <w:r>
              <w:rPr>
                <w:color w:val="231F20"/>
                <w:sz w:val="18"/>
              </w:rPr>
              <w:t>3.4</w:t>
            </w:r>
          </w:p>
        </w:tc>
      </w:tr>
      <w:tr>
        <w:trPr>
          <w:trHeight w:val="291" w:hRule="exact"/>
        </w:trPr>
        <w:tc>
          <w:tcPr>
            <w:tcW w:w="1494" w:type="dxa"/>
          </w:tcPr>
          <w:p>
            <w:pPr>
              <w:pStyle w:val="TableParagraph"/>
              <w:spacing w:before="19"/>
              <w:ind w:left="138"/>
              <w:jc w:val="left"/>
              <w:rPr>
                <w:sz w:val="18"/>
              </w:rPr>
            </w:pPr>
            <w:r>
              <w:rPr>
                <w:color w:val="231F20"/>
                <w:sz w:val="18"/>
              </w:rPr>
              <w:t>Fiat</w:t>
            </w:r>
          </w:p>
        </w:tc>
        <w:tc>
          <w:tcPr>
            <w:tcW w:w="752" w:type="dxa"/>
          </w:tcPr>
          <w:p>
            <w:pPr>
              <w:pStyle w:val="TableParagraph"/>
              <w:spacing w:before="19"/>
              <w:ind w:left="224"/>
              <w:jc w:val="left"/>
              <w:rPr>
                <w:sz w:val="18"/>
              </w:rPr>
            </w:pPr>
            <w:r>
              <w:rPr>
                <w:color w:val="231F20"/>
                <w:w w:val="96"/>
                <w:sz w:val="18"/>
              </w:rPr>
              <w:t>0</w:t>
            </w:r>
          </w:p>
        </w:tc>
        <w:tc>
          <w:tcPr>
            <w:tcW w:w="700" w:type="dxa"/>
          </w:tcPr>
          <w:p>
            <w:pPr>
              <w:pStyle w:val="TableParagraph"/>
              <w:spacing w:before="19"/>
              <w:ind w:left="171"/>
              <w:jc w:val="left"/>
              <w:rPr>
                <w:sz w:val="18"/>
              </w:rPr>
            </w:pPr>
            <w:r>
              <w:rPr>
                <w:color w:val="231F20"/>
                <w:sz w:val="18"/>
              </w:rPr>
              <w:t>5.6</w:t>
            </w:r>
          </w:p>
        </w:tc>
        <w:tc>
          <w:tcPr>
            <w:tcW w:w="700" w:type="dxa"/>
          </w:tcPr>
          <w:p>
            <w:pPr>
              <w:pStyle w:val="TableParagraph"/>
              <w:spacing w:before="19"/>
              <w:ind w:left="171"/>
              <w:jc w:val="left"/>
              <w:rPr>
                <w:sz w:val="18"/>
              </w:rPr>
            </w:pPr>
            <w:r>
              <w:rPr>
                <w:color w:val="231F20"/>
                <w:sz w:val="18"/>
              </w:rPr>
              <w:t>5.3</w:t>
            </w:r>
          </w:p>
        </w:tc>
        <w:tc>
          <w:tcPr>
            <w:tcW w:w="700" w:type="dxa"/>
          </w:tcPr>
          <w:p>
            <w:pPr>
              <w:pStyle w:val="TableParagraph"/>
              <w:spacing w:before="19"/>
              <w:ind w:left="171"/>
              <w:jc w:val="left"/>
              <w:rPr>
                <w:sz w:val="18"/>
              </w:rPr>
            </w:pPr>
            <w:r>
              <w:rPr>
                <w:color w:val="231F20"/>
                <w:sz w:val="18"/>
              </w:rPr>
              <w:t>3.7</w:t>
            </w:r>
          </w:p>
        </w:tc>
        <w:tc>
          <w:tcPr>
            <w:tcW w:w="700" w:type="dxa"/>
          </w:tcPr>
          <w:p>
            <w:pPr>
              <w:pStyle w:val="TableParagraph"/>
              <w:spacing w:before="19"/>
              <w:ind w:left="171"/>
              <w:jc w:val="left"/>
              <w:rPr>
                <w:sz w:val="18"/>
              </w:rPr>
            </w:pPr>
            <w:r>
              <w:rPr>
                <w:color w:val="231F20"/>
                <w:w w:val="96"/>
                <w:sz w:val="18"/>
              </w:rPr>
              <w:t>3</w:t>
            </w:r>
          </w:p>
        </w:tc>
        <w:tc>
          <w:tcPr>
            <w:tcW w:w="733" w:type="dxa"/>
          </w:tcPr>
          <w:p>
            <w:pPr>
              <w:pStyle w:val="TableParagraph"/>
              <w:spacing w:before="19"/>
              <w:ind w:left="171"/>
              <w:jc w:val="left"/>
              <w:rPr>
                <w:sz w:val="18"/>
              </w:rPr>
            </w:pPr>
            <w:r>
              <w:rPr>
                <w:color w:val="231F20"/>
                <w:sz w:val="18"/>
              </w:rPr>
              <w:t>2.5</w:t>
            </w:r>
          </w:p>
        </w:tc>
      </w:tr>
      <w:tr>
        <w:trPr>
          <w:trHeight w:val="288" w:hRule="exact"/>
        </w:trPr>
        <w:tc>
          <w:tcPr>
            <w:tcW w:w="1494" w:type="dxa"/>
          </w:tcPr>
          <w:p>
            <w:pPr>
              <w:pStyle w:val="TableParagraph"/>
              <w:spacing w:before="19"/>
              <w:ind w:left="138"/>
              <w:jc w:val="left"/>
              <w:rPr>
                <w:sz w:val="18"/>
              </w:rPr>
            </w:pPr>
            <w:r>
              <w:rPr>
                <w:color w:val="231F20"/>
                <w:sz w:val="18"/>
              </w:rPr>
              <w:t>Renault</w:t>
            </w:r>
          </w:p>
        </w:tc>
        <w:tc>
          <w:tcPr>
            <w:tcW w:w="752" w:type="dxa"/>
          </w:tcPr>
          <w:p>
            <w:pPr>
              <w:pStyle w:val="TableParagraph"/>
              <w:spacing w:before="19"/>
              <w:ind w:left="224"/>
              <w:jc w:val="left"/>
              <w:rPr>
                <w:sz w:val="18"/>
              </w:rPr>
            </w:pPr>
            <w:r>
              <w:rPr>
                <w:color w:val="231F20"/>
                <w:sz w:val="18"/>
              </w:rPr>
              <w:t>4.6</w:t>
            </w:r>
          </w:p>
        </w:tc>
        <w:tc>
          <w:tcPr>
            <w:tcW w:w="700" w:type="dxa"/>
          </w:tcPr>
          <w:p>
            <w:pPr>
              <w:pStyle w:val="TableParagraph"/>
              <w:spacing w:before="19"/>
              <w:ind w:left="172"/>
              <w:jc w:val="left"/>
              <w:rPr>
                <w:sz w:val="18"/>
              </w:rPr>
            </w:pPr>
            <w:r>
              <w:rPr>
                <w:color w:val="231F20"/>
                <w:sz w:val="18"/>
              </w:rPr>
              <w:t>4.3</w:t>
            </w:r>
          </w:p>
        </w:tc>
        <w:tc>
          <w:tcPr>
            <w:tcW w:w="700" w:type="dxa"/>
          </w:tcPr>
          <w:p>
            <w:pPr>
              <w:pStyle w:val="TableParagraph"/>
              <w:spacing w:before="19"/>
              <w:ind w:left="172"/>
              <w:jc w:val="left"/>
              <w:rPr>
                <w:sz w:val="18"/>
              </w:rPr>
            </w:pPr>
            <w:r>
              <w:rPr>
                <w:color w:val="231F20"/>
                <w:sz w:val="18"/>
              </w:rPr>
              <w:t>5.1</w:t>
            </w:r>
          </w:p>
        </w:tc>
        <w:tc>
          <w:tcPr>
            <w:tcW w:w="700" w:type="dxa"/>
          </w:tcPr>
          <w:p>
            <w:pPr>
              <w:pStyle w:val="TableParagraph"/>
              <w:spacing w:before="19"/>
              <w:ind w:left="172"/>
              <w:jc w:val="left"/>
              <w:rPr>
                <w:sz w:val="18"/>
              </w:rPr>
            </w:pPr>
            <w:r>
              <w:rPr>
                <w:color w:val="231F20"/>
                <w:sz w:val="18"/>
              </w:rPr>
              <w:t>3.5</w:t>
            </w:r>
          </w:p>
        </w:tc>
        <w:tc>
          <w:tcPr>
            <w:tcW w:w="700" w:type="dxa"/>
          </w:tcPr>
          <w:p>
            <w:pPr>
              <w:pStyle w:val="TableParagraph"/>
              <w:spacing w:before="19"/>
              <w:ind w:left="172"/>
              <w:jc w:val="left"/>
              <w:rPr>
                <w:sz w:val="18"/>
              </w:rPr>
            </w:pPr>
            <w:r>
              <w:rPr>
                <w:color w:val="231F20"/>
                <w:sz w:val="18"/>
              </w:rPr>
              <w:t>3.6</w:t>
            </w:r>
          </w:p>
        </w:tc>
        <w:tc>
          <w:tcPr>
            <w:tcW w:w="733" w:type="dxa"/>
          </w:tcPr>
          <w:p>
            <w:pPr>
              <w:pStyle w:val="TableParagraph"/>
              <w:spacing w:before="19"/>
              <w:ind w:left="172"/>
              <w:jc w:val="left"/>
              <w:rPr>
                <w:sz w:val="18"/>
              </w:rPr>
            </w:pPr>
            <w:r>
              <w:rPr>
                <w:color w:val="231F20"/>
                <w:sz w:val="18"/>
              </w:rPr>
              <w:t>3.2</w:t>
            </w:r>
          </w:p>
        </w:tc>
      </w:tr>
      <w:tr>
        <w:trPr>
          <w:trHeight w:val="293" w:hRule="exact"/>
        </w:trPr>
        <w:tc>
          <w:tcPr>
            <w:tcW w:w="1494" w:type="dxa"/>
          </w:tcPr>
          <w:p>
            <w:pPr>
              <w:pStyle w:val="TableParagraph"/>
              <w:spacing w:before="22"/>
              <w:ind w:left="138"/>
              <w:jc w:val="left"/>
              <w:rPr>
                <w:sz w:val="10"/>
              </w:rPr>
            </w:pPr>
            <w:r>
              <w:rPr>
                <w:color w:val="231F20"/>
                <w:sz w:val="18"/>
              </w:rPr>
              <w:t>Chrysler </w:t>
            </w:r>
            <w:r>
              <w:rPr>
                <w:color w:val="231F20"/>
                <w:position w:val="6"/>
                <w:sz w:val="10"/>
              </w:rPr>
              <w:t>1</w:t>
            </w:r>
          </w:p>
        </w:tc>
        <w:tc>
          <w:tcPr>
            <w:tcW w:w="752" w:type="dxa"/>
          </w:tcPr>
          <w:p>
            <w:pPr>
              <w:pStyle w:val="TableParagraph"/>
              <w:spacing w:before="21"/>
              <w:ind w:left="222"/>
              <w:jc w:val="left"/>
              <w:rPr>
                <w:sz w:val="18"/>
              </w:rPr>
            </w:pPr>
            <w:r>
              <w:rPr>
                <w:color w:val="231F20"/>
                <w:sz w:val="18"/>
              </w:rPr>
              <w:t>5.7</w:t>
            </w:r>
          </w:p>
        </w:tc>
        <w:tc>
          <w:tcPr>
            <w:tcW w:w="700" w:type="dxa"/>
          </w:tcPr>
          <w:p>
            <w:pPr>
              <w:pStyle w:val="TableParagraph"/>
              <w:spacing w:before="21"/>
              <w:ind w:left="169"/>
              <w:jc w:val="left"/>
              <w:rPr>
                <w:sz w:val="18"/>
              </w:rPr>
            </w:pPr>
            <w:r>
              <w:rPr>
                <w:color w:val="231F20"/>
                <w:sz w:val="18"/>
              </w:rPr>
              <w:t>6.7</w:t>
            </w:r>
          </w:p>
        </w:tc>
        <w:tc>
          <w:tcPr>
            <w:tcW w:w="700" w:type="dxa"/>
          </w:tcPr>
          <w:p>
            <w:pPr>
              <w:pStyle w:val="TableParagraph"/>
              <w:spacing w:before="21"/>
              <w:ind w:left="169"/>
              <w:jc w:val="left"/>
              <w:rPr>
                <w:sz w:val="18"/>
              </w:rPr>
            </w:pPr>
            <w:r>
              <w:rPr>
                <w:color w:val="231F20"/>
                <w:sz w:val="18"/>
              </w:rPr>
              <w:t>9.4</w:t>
            </w:r>
          </w:p>
        </w:tc>
        <w:tc>
          <w:tcPr>
            <w:tcW w:w="700" w:type="dxa"/>
          </w:tcPr>
          <w:p>
            <w:pPr>
              <w:pStyle w:val="TableParagraph"/>
              <w:spacing w:before="21"/>
              <w:ind w:left="169"/>
              <w:jc w:val="left"/>
              <w:rPr>
                <w:sz w:val="18"/>
              </w:rPr>
            </w:pPr>
            <w:r>
              <w:rPr>
                <w:color w:val="231F20"/>
                <w:sz w:val="18"/>
              </w:rPr>
              <w:t>2.8</w:t>
            </w:r>
          </w:p>
        </w:tc>
        <w:tc>
          <w:tcPr>
            <w:tcW w:w="700" w:type="dxa"/>
          </w:tcPr>
          <w:p>
            <w:pPr>
              <w:pStyle w:val="TableParagraph"/>
              <w:spacing w:before="21"/>
              <w:ind w:left="169"/>
              <w:jc w:val="left"/>
              <w:rPr>
                <w:sz w:val="18"/>
              </w:rPr>
            </w:pPr>
            <w:r>
              <w:rPr>
                <w:color w:val="231F20"/>
                <w:sz w:val="18"/>
              </w:rPr>
              <w:t>2.5</w:t>
            </w:r>
          </w:p>
        </w:tc>
        <w:tc>
          <w:tcPr>
            <w:tcW w:w="733" w:type="dxa"/>
          </w:tcPr>
          <w:p>
            <w:pPr>
              <w:pStyle w:val="TableParagraph"/>
              <w:spacing w:before="21"/>
              <w:ind w:left="169"/>
              <w:jc w:val="left"/>
              <w:rPr>
                <w:sz w:val="18"/>
              </w:rPr>
            </w:pPr>
            <w:r>
              <w:rPr>
                <w:color w:val="231F20"/>
                <w:sz w:val="18"/>
              </w:rPr>
              <w:t>2.8</w:t>
            </w:r>
          </w:p>
        </w:tc>
      </w:tr>
      <w:tr>
        <w:trPr>
          <w:trHeight w:val="291" w:hRule="exact"/>
        </w:trPr>
        <w:tc>
          <w:tcPr>
            <w:tcW w:w="1494" w:type="dxa"/>
          </w:tcPr>
          <w:p>
            <w:pPr>
              <w:pStyle w:val="TableParagraph"/>
              <w:spacing w:before="19"/>
              <w:ind w:left="136"/>
              <w:jc w:val="left"/>
              <w:rPr>
                <w:sz w:val="18"/>
              </w:rPr>
            </w:pPr>
            <w:r>
              <w:rPr>
                <w:color w:val="231F20"/>
                <w:sz w:val="18"/>
              </w:rPr>
              <w:t>BMW</w:t>
            </w:r>
          </w:p>
        </w:tc>
        <w:tc>
          <w:tcPr>
            <w:tcW w:w="752" w:type="dxa"/>
          </w:tcPr>
          <w:p>
            <w:pPr>
              <w:pStyle w:val="TableParagraph"/>
              <w:spacing w:before="19"/>
              <w:ind w:left="222"/>
              <w:jc w:val="left"/>
              <w:rPr>
                <w:sz w:val="18"/>
              </w:rPr>
            </w:pPr>
            <w:r>
              <w:rPr>
                <w:color w:val="231F20"/>
                <w:sz w:val="18"/>
              </w:rPr>
              <w:t>1.3</w:t>
            </w:r>
          </w:p>
        </w:tc>
        <w:tc>
          <w:tcPr>
            <w:tcW w:w="700" w:type="dxa"/>
          </w:tcPr>
          <w:p>
            <w:pPr>
              <w:pStyle w:val="TableParagraph"/>
              <w:spacing w:before="19"/>
              <w:ind w:left="170"/>
              <w:jc w:val="left"/>
              <w:rPr>
                <w:sz w:val="18"/>
              </w:rPr>
            </w:pPr>
            <w:r>
              <w:rPr>
                <w:color w:val="231F20"/>
                <w:sz w:val="18"/>
              </w:rPr>
              <w:t>1.3</w:t>
            </w:r>
          </w:p>
        </w:tc>
        <w:tc>
          <w:tcPr>
            <w:tcW w:w="700" w:type="dxa"/>
          </w:tcPr>
          <w:p>
            <w:pPr>
              <w:pStyle w:val="TableParagraph"/>
              <w:spacing w:before="19"/>
              <w:ind w:left="170"/>
              <w:jc w:val="left"/>
              <w:rPr>
                <w:sz w:val="18"/>
              </w:rPr>
            </w:pPr>
            <w:r>
              <w:rPr>
                <w:color w:val="231F20"/>
                <w:sz w:val="18"/>
              </w:rPr>
              <w:t>1.7</w:t>
            </w:r>
          </w:p>
        </w:tc>
        <w:tc>
          <w:tcPr>
            <w:tcW w:w="700" w:type="dxa"/>
          </w:tcPr>
          <w:p>
            <w:pPr>
              <w:pStyle w:val="TableParagraph"/>
              <w:spacing w:before="19"/>
              <w:ind w:left="170"/>
              <w:jc w:val="left"/>
              <w:rPr>
                <w:sz w:val="18"/>
              </w:rPr>
            </w:pPr>
            <w:r>
              <w:rPr>
                <w:color w:val="231F20"/>
                <w:sz w:val="18"/>
              </w:rPr>
              <w:t>2.1</w:t>
            </w:r>
          </w:p>
        </w:tc>
        <w:tc>
          <w:tcPr>
            <w:tcW w:w="700" w:type="dxa"/>
          </w:tcPr>
          <w:p>
            <w:pPr>
              <w:pStyle w:val="TableParagraph"/>
              <w:spacing w:before="19"/>
              <w:ind w:left="170"/>
              <w:jc w:val="left"/>
              <w:rPr>
                <w:sz w:val="18"/>
              </w:rPr>
            </w:pPr>
            <w:r>
              <w:rPr>
                <w:color w:val="231F20"/>
                <w:sz w:val="18"/>
              </w:rPr>
              <w:t>2.2</w:t>
            </w:r>
          </w:p>
        </w:tc>
        <w:tc>
          <w:tcPr>
            <w:tcW w:w="733" w:type="dxa"/>
          </w:tcPr>
          <w:p>
            <w:pPr>
              <w:pStyle w:val="TableParagraph"/>
              <w:spacing w:before="19"/>
              <w:ind w:left="170"/>
              <w:jc w:val="left"/>
              <w:rPr>
                <w:sz w:val="18"/>
              </w:rPr>
            </w:pPr>
            <w:r>
              <w:rPr>
                <w:color w:val="231F20"/>
                <w:sz w:val="18"/>
              </w:rPr>
              <w:t>2.4</w:t>
            </w:r>
          </w:p>
        </w:tc>
      </w:tr>
      <w:tr>
        <w:trPr>
          <w:trHeight w:val="291" w:hRule="exact"/>
        </w:trPr>
        <w:tc>
          <w:tcPr>
            <w:tcW w:w="1494" w:type="dxa"/>
          </w:tcPr>
          <w:p>
            <w:pPr>
              <w:pStyle w:val="TableParagraph"/>
              <w:spacing w:before="19"/>
              <w:ind w:left="137"/>
              <w:jc w:val="left"/>
              <w:rPr>
                <w:sz w:val="18"/>
              </w:rPr>
            </w:pPr>
            <w:r>
              <w:rPr>
                <w:color w:val="231F20"/>
                <w:sz w:val="18"/>
              </w:rPr>
              <w:t>KIA</w:t>
            </w:r>
          </w:p>
        </w:tc>
        <w:tc>
          <w:tcPr>
            <w:tcW w:w="752" w:type="dxa"/>
          </w:tcPr>
          <w:p>
            <w:pPr>
              <w:pStyle w:val="TableParagraph"/>
              <w:spacing w:before="19"/>
              <w:ind w:left="222"/>
              <w:jc w:val="left"/>
              <w:rPr>
                <w:sz w:val="18"/>
              </w:rPr>
            </w:pPr>
            <w:r>
              <w:rPr>
                <w:color w:val="231F20"/>
                <w:w w:val="96"/>
                <w:sz w:val="18"/>
              </w:rPr>
              <w:t>0</w:t>
            </w:r>
          </w:p>
        </w:tc>
        <w:tc>
          <w:tcPr>
            <w:tcW w:w="700" w:type="dxa"/>
          </w:tcPr>
          <w:p>
            <w:pPr>
              <w:pStyle w:val="TableParagraph"/>
              <w:spacing w:before="19"/>
              <w:ind w:left="170"/>
              <w:jc w:val="left"/>
              <w:rPr>
                <w:sz w:val="18"/>
              </w:rPr>
            </w:pPr>
            <w:r>
              <w:rPr>
                <w:color w:val="231F20"/>
                <w:w w:val="96"/>
                <w:sz w:val="18"/>
              </w:rPr>
              <w:t>0</w:t>
            </w:r>
          </w:p>
        </w:tc>
        <w:tc>
          <w:tcPr>
            <w:tcW w:w="700" w:type="dxa"/>
          </w:tcPr>
          <w:p>
            <w:pPr>
              <w:pStyle w:val="TableParagraph"/>
              <w:spacing w:before="19"/>
              <w:ind w:left="170"/>
              <w:jc w:val="left"/>
              <w:rPr>
                <w:sz w:val="18"/>
              </w:rPr>
            </w:pPr>
            <w:r>
              <w:rPr>
                <w:color w:val="231F20"/>
                <w:w w:val="96"/>
                <w:sz w:val="18"/>
              </w:rPr>
              <w:t>0</w:t>
            </w:r>
          </w:p>
        </w:tc>
        <w:tc>
          <w:tcPr>
            <w:tcW w:w="700" w:type="dxa"/>
          </w:tcPr>
          <w:p>
            <w:pPr>
              <w:pStyle w:val="TableParagraph"/>
              <w:spacing w:before="19"/>
              <w:ind w:left="170"/>
              <w:jc w:val="left"/>
              <w:rPr>
                <w:sz w:val="18"/>
              </w:rPr>
            </w:pPr>
            <w:r>
              <w:rPr>
                <w:color w:val="231F20"/>
                <w:w w:val="96"/>
                <w:sz w:val="18"/>
              </w:rPr>
              <w:t>2</w:t>
            </w:r>
          </w:p>
        </w:tc>
        <w:tc>
          <w:tcPr>
            <w:tcW w:w="700" w:type="dxa"/>
          </w:tcPr>
          <w:p>
            <w:pPr>
              <w:pStyle w:val="TableParagraph"/>
              <w:spacing w:before="19"/>
              <w:ind w:left="170"/>
              <w:jc w:val="left"/>
              <w:rPr>
                <w:sz w:val="18"/>
              </w:rPr>
            </w:pPr>
            <w:r>
              <w:rPr>
                <w:color w:val="231F20"/>
                <w:w w:val="96"/>
                <w:sz w:val="18"/>
              </w:rPr>
              <w:t>0</w:t>
            </w:r>
          </w:p>
        </w:tc>
        <w:tc>
          <w:tcPr>
            <w:tcW w:w="733" w:type="dxa"/>
          </w:tcPr>
          <w:p>
            <w:pPr>
              <w:pStyle w:val="TableParagraph"/>
              <w:spacing w:before="19"/>
              <w:ind w:left="170"/>
              <w:jc w:val="left"/>
              <w:rPr>
                <w:sz w:val="18"/>
              </w:rPr>
            </w:pPr>
            <w:r>
              <w:rPr>
                <w:color w:val="231F20"/>
                <w:sz w:val="18"/>
              </w:rPr>
              <w:t>0.0</w:t>
            </w:r>
          </w:p>
        </w:tc>
      </w:tr>
      <w:tr>
        <w:trPr>
          <w:trHeight w:val="291" w:hRule="exact"/>
        </w:trPr>
        <w:tc>
          <w:tcPr>
            <w:tcW w:w="1494" w:type="dxa"/>
          </w:tcPr>
          <w:p>
            <w:pPr>
              <w:pStyle w:val="TableParagraph"/>
              <w:spacing w:before="19"/>
              <w:ind w:left="137"/>
              <w:jc w:val="left"/>
              <w:rPr>
                <w:sz w:val="18"/>
              </w:rPr>
            </w:pPr>
            <w:r>
              <w:rPr>
                <w:color w:val="231F20"/>
                <w:sz w:val="18"/>
              </w:rPr>
              <w:t>Mazda</w:t>
            </w:r>
          </w:p>
        </w:tc>
        <w:tc>
          <w:tcPr>
            <w:tcW w:w="752" w:type="dxa"/>
          </w:tcPr>
          <w:p>
            <w:pPr>
              <w:pStyle w:val="TableParagraph"/>
              <w:spacing w:before="19"/>
              <w:ind w:left="223"/>
              <w:jc w:val="left"/>
              <w:rPr>
                <w:sz w:val="18"/>
              </w:rPr>
            </w:pPr>
            <w:r>
              <w:rPr>
                <w:color w:val="231F20"/>
                <w:sz w:val="18"/>
              </w:rPr>
              <w:t>3.6</w:t>
            </w:r>
          </w:p>
        </w:tc>
        <w:tc>
          <w:tcPr>
            <w:tcW w:w="700" w:type="dxa"/>
          </w:tcPr>
          <w:p>
            <w:pPr>
              <w:pStyle w:val="TableParagraph"/>
              <w:spacing w:before="19"/>
              <w:ind w:left="170"/>
              <w:jc w:val="left"/>
              <w:rPr>
                <w:sz w:val="18"/>
              </w:rPr>
            </w:pPr>
            <w:r>
              <w:rPr>
                <w:color w:val="231F20"/>
                <w:sz w:val="18"/>
              </w:rPr>
              <w:t>4.3</w:t>
            </w:r>
          </w:p>
        </w:tc>
        <w:tc>
          <w:tcPr>
            <w:tcW w:w="700" w:type="dxa"/>
          </w:tcPr>
          <w:p>
            <w:pPr>
              <w:pStyle w:val="TableParagraph"/>
              <w:spacing w:before="19"/>
              <w:ind w:left="170"/>
              <w:jc w:val="left"/>
              <w:rPr>
                <w:sz w:val="18"/>
              </w:rPr>
            </w:pPr>
            <w:r>
              <w:rPr>
                <w:color w:val="231F20"/>
                <w:sz w:val="18"/>
              </w:rPr>
              <w:t>1.9</w:t>
            </w:r>
          </w:p>
        </w:tc>
        <w:tc>
          <w:tcPr>
            <w:tcW w:w="700" w:type="dxa"/>
          </w:tcPr>
          <w:p>
            <w:pPr>
              <w:pStyle w:val="TableParagraph"/>
              <w:spacing w:before="19"/>
              <w:ind w:left="170"/>
              <w:jc w:val="left"/>
              <w:rPr>
                <w:sz w:val="18"/>
              </w:rPr>
            </w:pPr>
            <w:r>
              <w:rPr>
                <w:color w:val="231F20"/>
                <w:w w:val="96"/>
                <w:sz w:val="18"/>
              </w:rPr>
              <w:t>2</w:t>
            </w:r>
          </w:p>
        </w:tc>
        <w:tc>
          <w:tcPr>
            <w:tcW w:w="700" w:type="dxa"/>
          </w:tcPr>
          <w:p>
            <w:pPr>
              <w:pStyle w:val="TableParagraph"/>
              <w:spacing w:before="19"/>
              <w:ind w:left="170"/>
              <w:jc w:val="left"/>
              <w:rPr>
                <w:sz w:val="18"/>
              </w:rPr>
            </w:pPr>
            <w:r>
              <w:rPr>
                <w:color w:val="231F20"/>
                <w:sz w:val="18"/>
              </w:rPr>
              <w:t>1.5</w:t>
            </w:r>
          </w:p>
        </w:tc>
        <w:tc>
          <w:tcPr>
            <w:tcW w:w="733" w:type="dxa"/>
          </w:tcPr>
          <w:p>
            <w:pPr>
              <w:pStyle w:val="TableParagraph"/>
              <w:spacing w:before="19"/>
              <w:ind w:left="170"/>
              <w:jc w:val="left"/>
              <w:rPr>
                <w:sz w:val="18"/>
              </w:rPr>
            </w:pPr>
            <w:r>
              <w:rPr>
                <w:color w:val="231F20"/>
                <w:sz w:val="18"/>
              </w:rPr>
              <w:t>1.4</w:t>
            </w:r>
          </w:p>
        </w:tc>
      </w:tr>
      <w:tr>
        <w:trPr>
          <w:trHeight w:val="291" w:hRule="exact"/>
        </w:trPr>
        <w:tc>
          <w:tcPr>
            <w:tcW w:w="1494" w:type="dxa"/>
          </w:tcPr>
          <w:p>
            <w:pPr>
              <w:pStyle w:val="TableParagraph"/>
              <w:spacing w:before="19"/>
              <w:ind w:left="137"/>
              <w:jc w:val="left"/>
              <w:rPr>
                <w:sz w:val="18"/>
              </w:rPr>
            </w:pPr>
            <w:r>
              <w:rPr>
                <w:color w:val="231F20"/>
                <w:sz w:val="18"/>
              </w:rPr>
              <w:t>Mitsubishi</w:t>
            </w:r>
          </w:p>
        </w:tc>
        <w:tc>
          <w:tcPr>
            <w:tcW w:w="752" w:type="dxa"/>
          </w:tcPr>
          <w:p>
            <w:pPr>
              <w:pStyle w:val="TableParagraph"/>
              <w:spacing w:before="19"/>
              <w:ind w:left="223"/>
              <w:jc w:val="left"/>
              <w:rPr>
                <w:sz w:val="18"/>
              </w:rPr>
            </w:pPr>
            <w:r>
              <w:rPr>
                <w:color w:val="231F20"/>
                <w:sz w:val="18"/>
              </w:rPr>
              <w:t>3.5</w:t>
            </w:r>
          </w:p>
        </w:tc>
        <w:tc>
          <w:tcPr>
            <w:tcW w:w="700" w:type="dxa"/>
          </w:tcPr>
          <w:p>
            <w:pPr>
              <w:pStyle w:val="TableParagraph"/>
              <w:spacing w:before="19"/>
              <w:ind w:left="170"/>
              <w:jc w:val="left"/>
              <w:rPr>
                <w:sz w:val="18"/>
              </w:rPr>
            </w:pPr>
            <w:r>
              <w:rPr>
                <w:color w:val="231F20"/>
                <w:sz w:val="18"/>
              </w:rPr>
              <w:t>3.5</w:t>
            </w:r>
          </w:p>
        </w:tc>
        <w:tc>
          <w:tcPr>
            <w:tcW w:w="700" w:type="dxa"/>
          </w:tcPr>
          <w:p>
            <w:pPr>
              <w:pStyle w:val="TableParagraph"/>
              <w:spacing w:before="19"/>
              <w:ind w:left="170"/>
              <w:jc w:val="left"/>
              <w:rPr>
                <w:sz w:val="18"/>
              </w:rPr>
            </w:pPr>
            <w:r>
              <w:rPr>
                <w:color w:val="231F20"/>
                <w:sz w:val="18"/>
              </w:rPr>
              <w:t>3.7</w:t>
            </w:r>
          </w:p>
        </w:tc>
        <w:tc>
          <w:tcPr>
            <w:tcW w:w="700" w:type="dxa"/>
          </w:tcPr>
          <w:p>
            <w:pPr>
              <w:pStyle w:val="TableParagraph"/>
              <w:spacing w:before="19"/>
              <w:ind w:left="170"/>
              <w:jc w:val="left"/>
              <w:rPr>
                <w:sz w:val="18"/>
              </w:rPr>
            </w:pPr>
            <w:r>
              <w:rPr>
                <w:color w:val="231F20"/>
                <w:sz w:val="18"/>
              </w:rPr>
              <w:t>1.9</w:t>
            </w:r>
          </w:p>
        </w:tc>
        <w:tc>
          <w:tcPr>
            <w:tcW w:w="700" w:type="dxa"/>
          </w:tcPr>
          <w:p>
            <w:pPr>
              <w:pStyle w:val="TableParagraph"/>
              <w:spacing w:before="19"/>
              <w:ind w:left="170"/>
              <w:jc w:val="left"/>
              <w:rPr>
                <w:sz w:val="18"/>
              </w:rPr>
            </w:pPr>
            <w:r>
              <w:rPr>
                <w:color w:val="231F20"/>
                <w:sz w:val="18"/>
              </w:rPr>
              <w:t>1.4</w:t>
            </w:r>
          </w:p>
        </w:tc>
        <w:tc>
          <w:tcPr>
            <w:tcW w:w="733" w:type="dxa"/>
          </w:tcPr>
          <w:p>
            <w:pPr>
              <w:pStyle w:val="TableParagraph"/>
              <w:spacing w:before="19"/>
              <w:ind w:left="170"/>
              <w:jc w:val="left"/>
              <w:rPr>
                <w:sz w:val="18"/>
              </w:rPr>
            </w:pPr>
            <w:r>
              <w:rPr>
                <w:color w:val="231F20"/>
                <w:sz w:val="18"/>
              </w:rPr>
              <w:t>1.3</w:t>
            </w:r>
          </w:p>
        </w:tc>
      </w:tr>
      <w:tr>
        <w:trPr>
          <w:trHeight w:val="291" w:hRule="exact"/>
        </w:trPr>
        <w:tc>
          <w:tcPr>
            <w:tcW w:w="1494" w:type="dxa"/>
          </w:tcPr>
          <w:p>
            <w:pPr>
              <w:pStyle w:val="TableParagraph"/>
              <w:spacing w:before="19"/>
              <w:ind w:left="137"/>
              <w:jc w:val="left"/>
              <w:rPr>
                <w:sz w:val="18"/>
              </w:rPr>
            </w:pPr>
            <w:r>
              <w:rPr>
                <w:color w:val="231F20"/>
                <w:sz w:val="18"/>
              </w:rPr>
              <w:t>Daimler AG</w:t>
            </w:r>
          </w:p>
        </w:tc>
        <w:tc>
          <w:tcPr>
            <w:tcW w:w="752" w:type="dxa"/>
          </w:tcPr>
          <w:p>
            <w:pPr>
              <w:pStyle w:val="TableParagraph"/>
              <w:spacing w:before="19"/>
              <w:ind w:left="223"/>
              <w:jc w:val="left"/>
              <w:rPr>
                <w:sz w:val="18"/>
              </w:rPr>
            </w:pPr>
            <w:r>
              <w:rPr>
                <w:color w:val="231F20"/>
                <w:w w:val="106"/>
                <w:sz w:val="18"/>
              </w:rPr>
              <w:t>-</w:t>
            </w:r>
          </w:p>
        </w:tc>
        <w:tc>
          <w:tcPr>
            <w:tcW w:w="700" w:type="dxa"/>
          </w:tcPr>
          <w:p>
            <w:pPr>
              <w:pStyle w:val="TableParagraph"/>
              <w:spacing w:before="19"/>
              <w:ind w:left="170"/>
              <w:jc w:val="left"/>
              <w:rPr>
                <w:sz w:val="18"/>
              </w:rPr>
            </w:pPr>
            <w:r>
              <w:rPr>
                <w:color w:val="231F20"/>
                <w:w w:val="106"/>
                <w:sz w:val="18"/>
              </w:rPr>
              <w:t>-</w:t>
            </w:r>
          </w:p>
        </w:tc>
        <w:tc>
          <w:tcPr>
            <w:tcW w:w="700" w:type="dxa"/>
          </w:tcPr>
          <w:p>
            <w:pPr>
              <w:pStyle w:val="TableParagraph"/>
              <w:spacing w:before="19"/>
              <w:ind w:left="170"/>
              <w:jc w:val="left"/>
              <w:rPr>
                <w:sz w:val="18"/>
              </w:rPr>
            </w:pPr>
            <w:r>
              <w:rPr>
                <w:color w:val="231F20"/>
                <w:w w:val="106"/>
                <w:sz w:val="18"/>
              </w:rPr>
              <w:t>-</w:t>
            </w:r>
          </w:p>
        </w:tc>
        <w:tc>
          <w:tcPr>
            <w:tcW w:w="700" w:type="dxa"/>
          </w:tcPr>
          <w:p>
            <w:pPr>
              <w:pStyle w:val="TableParagraph"/>
              <w:spacing w:before="19"/>
              <w:ind w:left="170"/>
              <w:jc w:val="left"/>
              <w:rPr>
                <w:sz w:val="18"/>
              </w:rPr>
            </w:pPr>
            <w:r>
              <w:rPr>
                <w:color w:val="231F20"/>
                <w:sz w:val="18"/>
              </w:rPr>
              <w:t>3.2</w:t>
            </w:r>
          </w:p>
        </w:tc>
        <w:tc>
          <w:tcPr>
            <w:tcW w:w="700" w:type="dxa"/>
          </w:tcPr>
          <w:p>
            <w:pPr>
              <w:pStyle w:val="TableParagraph"/>
              <w:spacing w:before="19"/>
              <w:ind w:left="170"/>
              <w:jc w:val="left"/>
              <w:rPr>
                <w:sz w:val="18"/>
              </w:rPr>
            </w:pPr>
            <w:r>
              <w:rPr>
                <w:color w:val="231F20"/>
                <w:sz w:val="18"/>
              </w:rPr>
              <w:t>1.9</w:t>
            </w:r>
          </w:p>
        </w:tc>
        <w:tc>
          <w:tcPr>
            <w:tcW w:w="733" w:type="dxa"/>
          </w:tcPr>
          <w:p>
            <w:pPr>
              <w:pStyle w:val="TableParagraph"/>
              <w:spacing w:before="19"/>
              <w:ind w:left="170"/>
              <w:jc w:val="left"/>
              <w:rPr>
                <w:sz w:val="18"/>
              </w:rPr>
            </w:pPr>
            <w:r>
              <w:rPr>
                <w:color w:val="231F20"/>
                <w:sz w:val="18"/>
              </w:rPr>
              <w:t>2.6</w:t>
            </w:r>
          </w:p>
        </w:tc>
      </w:tr>
      <w:tr>
        <w:trPr>
          <w:trHeight w:val="267" w:hRule="exact"/>
        </w:trPr>
        <w:tc>
          <w:tcPr>
            <w:tcW w:w="1494" w:type="dxa"/>
            <w:tcBorders>
              <w:bottom w:val="single" w:sz="4" w:space="0" w:color="231F20"/>
            </w:tcBorders>
          </w:tcPr>
          <w:p>
            <w:pPr>
              <w:pStyle w:val="TableParagraph"/>
              <w:spacing w:before="19"/>
              <w:ind w:left="137"/>
              <w:jc w:val="left"/>
              <w:rPr>
                <w:sz w:val="18"/>
              </w:rPr>
            </w:pPr>
            <w:r>
              <w:rPr>
                <w:color w:val="231F20"/>
                <w:w w:val="105"/>
                <w:sz w:val="18"/>
              </w:rPr>
              <w:t>Otras</w:t>
            </w:r>
          </w:p>
        </w:tc>
        <w:tc>
          <w:tcPr>
            <w:tcW w:w="752" w:type="dxa"/>
            <w:tcBorders>
              <w:bottom w:val="single" w:sz="4" w:space="0" w:color="231F20"/>
            </w:tcBorders>
          </w:tcPr>
          <w:p>
            <w:pPr>
              <w:pStyle w:val="TableParagraph"/>
              <w:spacing w:before="19"/>
              <w:ind w:left="223"/>
              <w:jc w:val="left"/>
              <w:rPr>
                <w:sz w:val="18"/>
              </w:rPr>
            </w:pPr>
            <w:r>
              <w:rPr>
                <w:color w:val="231F20"/>
                <w:sz w:val="18"/>
              </w:rPr>
              <w:t>10</w:t>
            </w:r>
          </w:p>
        </w:tc>
        <w:tc>
          <w:tcPr>
            <w:tcW w:w="700" w:type="dxa"/>
            <w:tcBorders>
              <w:bottom w:val="single" w:sz="4" w:space="0" w:color="231F20"/>
            </w:tcBorders>
          </w:tcPr>
          <w:p>
            <w:pPr>
              <w:pStyle w:val="TableParagraph"/>
              <w:spacing w:before="19"/>
              <w:ind w:left="171"/>
              <w:jc w:val="left"/>
              <w:rPr>
                <w:sz w:val="18"/>
              </w:rPr>
            </w:pPr>
            <w:r>
              <w:rPr>
                <w:color w:val="231F20"/>
                <w:sz w:val="18"/>
              </w:rPr>
              <w:t>12.4</w:t>
            </w:r>
          </w:p>
        </w:tc>
        <w:tc>
          <w:tcPr>
            <w:tcW w:w="700" w:type="dxa"/>
            <w:tcBorders>
              <w:bottom w:val="single" w:sz="4" w:space="0" w:color="231F20"/>
            </w:tcBorders>
          </w:tcPr>
          <w:p>
            <w:pPr>
              <w:pStyle w:val="TableParagraph"/>
              <w:spacing w:before="19"/>
              <w:ind w:left="171"/>
              <w:jc w:val="left"/>
              <w:rPr>
                <w:sz w:val="18"/>
              </w:rPr>
            </w:pPr>
            <w:r>
              <w:rPr>
                <w:color w:val="231F20"/>
                <w:w w:val="96"/>
                <w:sz w:val="18"/>
              </w:rPr>
              <w:t>0</w:t>
            </w:r>
          </w:p>
        </w:tc>
        <w:tc>
          <w:tcPr>
            <w:tcW w:w="700" w:type="dxa"/>
            <w:tcBorders>
              <w:bottom w:val="single" w:sz="4" w:space="0" w:color="231F20"/>
            </w:tcBorders>
          </w:tcPr>
          <w:p>
            <w:pPr>
              <w:pStyle w:val="TableParagraph"/>
              <w:spacing w:before="19"/>
              <w:ind w:left="171"/>
              <w:jc w:val="left"/>
              <w:rPr>
                <w:sz w:val="18"/>
              </w:rPr>
            </w:pPr>
            <w:r>
              <w:rPr>
                <w:color w:val="231F20"/>
                <w:sz w:val="18"/>
              </w:rPr>
              <w:t>12.7</w:t>
            </w:r>
          </w:p>
        </w:tc>
        <w:tc>
          <w:tcPr>
            <w:tcW w:w="700" w:type="dxa"/>
            <w:tcBorders>
              <w:bottom w:val="single" w:sz="4" w:space="0" w:color="231F20"/>
            </w:tcBorders>
          </w:tcPr>
          <w:p>
            <w:pPr>
              <w:pStyle w:val="TableParagraph"/>
              <w:spacing w:before="19"/>
              <w:ind w:left="171"/>
              <w:jc w:val="left"/>
              <w:rPr>
                <w:sz w:val="18"/>
              </w:rPr>
            </w:pPr>
            <w:r>
              <w:rPr>
                <w:color w:val="231F20"/>
                <w:sz w:val="18"/>
              </w:rPr>
              <w:t>19.4</w:t>
            </w:r>
          </w:p>
        </w:tc>
        <w:tc>
          <w:tcPr>
            <w:tcW w:w="733" w:type="dxa"/>
            <w:tcBorders>
              <w:bottom w:val="single" w:sz="4" w:space="0" w:color="231F20"/>
            </w:tcBorders>
          </w:tcPr>
          <w:p>
            <w:pPr>
              <w:pStyle w:val="TableParagraph"/>
              <w:spacing w:before="19"/>
              <w:ind w:left="171"/>
              <w:jc w:val="left"/>
              <w:rPr>
                <w:sz w:val="18"/>
              </w:rPr>
            </w:pPr>
            <w:r>
              <w:rPr>
                <w:color w:val="231F20"/>
                <w:sz w:val="18"/>
              </w:rPr>
              <w:t>17.5</w:t>
            </w:r>
          </w:p>
        </w:tc>
      </w:tr>
      <w:tr>
        <w:trPr>
          <w:trHeight w:val="291" w:hRule="exact"/>
        </w:trPr>
        <w:tc>
          <w:tcPr>
            <w:tcW w:w="1494" w:type="dxa"/>
            <w:tcBorders>
              <w:top w:val="single" w:sz="4" w:space="0" w:color="231F20"/>
              <w:bottom w:val="single" w:sz="4" w:space="0" w:color="231F20"/>
            </w:tcBorders>
          </w:tcPr>
          <w:p>
            <w:pPr>
              <w:pStyle w:val="TableParagraph"/>
              <w:spacing w:before="38"/>
              <w:ind w:left="137"/>
              <w:jc w:val="left"/>
              <w:rPr>
                <w:sz w:val="18"/>
              </w:rPr>
            </w:pPr>
            <w:r>
              <w:rPr>
                <w:color w:val="231F20"/>
                <w:sz w:val="18"/>
              </w:rPr>
              <w:t>Total</w:t>
            </w:r>
          </w:p>
        </w:tc>
        <w:tc>
          <w:tcPr>
            <w:tcW w:w="752" w:type="dxa"/>
            <w:tcBorders>
              <w:top w:val="single" w:sz="4" w:space="0" w:color="231F20"/>
              <w:bottom w:val="single" w:sz="4" w:space="0" w:color="231F20"/>
            </w:tcBorders>
          </w:tcPr>
          <w:p>
            <w:pPr>
              <w:pStyle w:val="TableParagraph"/>
              <w:spacing w:before="38"/>
              <w:ind w:left="223"/>
              <w:jc w:val="left"/>
              <w:rPr>
                <w:sz w:val="18"/>
              </w:rPr>
            </w:pPr>
            <w:r>
              <w:rPr>
                <w:color w:val="231F20"/>
                <w:sz w:val="18"/>
              </w:rPr>
              <w:t>100</w:t>
            </w:r>
          </w:p>
        </w:tc>
        <w:tc>
          <w:tcPr>
            <w:tcW w:w="700" w:type="dxa"/>
            <w:tcBorders>
              <w:top w:val="single" w:sz="4" w:space="0" w:color="231F20"/>
              <w:bottom w:val="single" w:sz="4" w:space="0" w:color="231F20"/>
            </w:tcBorders>
          </w:tcPr>
          <w:p>
            <w:pPr>
              <w:pStyle w:val="TableParagraph"/>
              <w:spacing w:before="38"/>
              <w:ind w:left="171"/>
              <w:jc w:val="left"/>
              <w:rPr>
                <w:sz w:val="18"/>
              </w:rPr>
            </w:pPr>
            <w:r>
              <w:rPr>
                <w:color w:val="231F20"/>
                <w:sz w:val="18"/>
              </w:rPr>
              <w:t>100</w:t>
            </w:r>
          </w:p>
        </w:tc>
        <w:tc>
          <w:tcPr>
            <w:tcW w:w="700" w:type="dxa"/>
            <w:tcBorders>
              <w:top w:val="single" w:sz="4" w:space="0" w:color="231F20"/>
              <w:bottom w:val="single" w:sz="4" w:space="0" w:color="231F20"/>
            </w:tcBorders>
          </w:tcPr>
          <w:p>
            <w:pPr>
              <w:pStyle w:val="TableParagraph"/>
              <w:spacing w:before="38"/>
              <w:ind w:left="171"/>
              <w:jc w:val="left"/>
              <w:rPr>
                <w:sz w:val="18"/>
              </w:rPr>
            </w:pPr>
            <w:r>
              <w:rPr>
                <w:color w:val="231F20"/>
                <w:sz w:val="18"/>
              </w:rPr>
              <w:t>100</w:t>
            </w:r>
          </w:p>
        </w:tc>
        <w:tc>
          <w:tcPr>
            <w:tcW w:w="700" w:type="dxa"/>
            <w:tcBorders>
              <w:top w:val="single" w:sz="4" w:space="0" w:color="231F20"/>
              <w:bottom w:val="single" w:sz="4" w:space="0" w:color="231F20"/>
            </w:tcBorders>
          </w:tcPr>
          <w:p>
            <w:pPr>
              <w:pStyle w:val="TableParagraph"/>
              <w:spacing w:before="38"/>
              <w:ind w:left="171"/>
              <w:jc w:val="left"/>
              <w:rPr>
                <w:sz w:val="18"/>
              </w:rPr>
            </w:pPr>
            <w:r>
              <w:rPr>
                <w:color w:val="231F20"/>
                <w:sz w:val="18"/>
              </w:rPr>
              <w:t>100</w:t>
            </w:r>
          </w:p>
        </w:tc>
        <w:tc>
          <w:tcPr>
            <w:tcW w:w="700" w:type="dxa"/>
            <w:tcBorders>
              <w:top w:val="single" w:sz="4" w:space="0" w:color="231F20"/>
              <w:bottom w:val="single" w:sz="4" w:space="0" w:color="231F20"/>
            </w:tcBorders>
          </w:tcPr>
          <w:p>
            <w:pPr>
              <w:pStyle w:val="TableParagraph"/>
              <w:spacing w:before="38"/>
              <w:ind w:left="171"/>
              <w:jc w:val="left"/>
              <w:rPr>
                <w:sz w:val="18"/>
              </w:rPr>
            </w:pPr>
            <w:r>
              <w:rPr>
                <w:color w:val="231F20"/>
                <w:sz w:val="18"/>
              </w:rPr>
              <w:t>100</w:t>
            </w:r>
          </w:p>
        </w:tc>
        <w:tc>
          <w:tcPr>
            <w:tcW w:w="733" w:type="dxa"/>
            <w:tcBorders>
              <w:top w:val="single" w:sz="4" w:space="0" w:color="231F20"/>
              <w:bottom w:val="single" w:sz="4" w:space="0" w:color="231F20"/>
            </w:tcBorders>
          </w:tcPr>
          <w:p>
            <w:pPr>
              <w:pStyle w:val="TableParagraph"/>
              <w:spacing w:before="38"/>
              <w:ind w:left="171"/>
              <w:jc w:val="left"/>
              <w:rPr>
                <w:sz w:val="18"/>
              </w:rPr>
            </w:pPr>
            <w:r>
              <w:rPr>
                <w:color w:val="231F20"/>
                <w:sz w:val="18"/>
              </w:rPr>
              <w:t>100</w:t>
            </w:r>
          </w:p>
        </w:tc>
      </w:tr>
    </w:tbl>
    <w:p>
      <w:pPr>
        <w:pStyle w:val="BodyText"/>
        <w:spacing w:before="12"/>
        <w:rPr>
          <w:rFonts w:ascii="Palatino Linotype"/>
          <w:b/>
          <w:sz w:val="5"/>
        </w:rPr>
      </w:pPr>
    </w:p>
    <w:p>
      <w:pPr>
        <w:spacing w:line="264" w:lineRule="auto" w:before="68"/>
        <w:ind w:left="653" w:right="673" w:firstLine="0"/>
        <w:jc w:val="left"/>
        <w:rPr>
          <w:sz w:val="19"/>
        </w:rPr>
      </w:pPr>
      <w:r>
        <w:rPr>
          <w:rFonts w:ascii="Palatino Linotype" w:hAnsi="Palatino Linotype"/>
          <w:b/>
          <w:color w:val="231F20"/>
          <w:position w:val="6"/>
          <w:sz w:val="11"/>
        </w:rPr>
        <w:t>1</w:t>
      </w:r>
      <w:r>
        <w:rPr>
          <w:rFonts w:ascii="Palatino Linotype" w:hAnsi="Palatino Linotype"/>
          <w:b/>
          <w:color w:val="231F20"/>
          <w:spacing w:val="-7"/>
          <w:position w:val="6"/>
          <w:sz w:val="11"/>
        </w:rPr>
        <w:t> </w:t>
      </w:r>
      <w:r>
        <w:rPr>
          <w:color w:val="231F20"/>
          <w:sz w:val="19"/>
        </w:rPr>
        <w:t>Los</w:t>
      </w:r>
      <w:r>
        <w:rPr>
          <w:color w:val="231F20"/>
          <w:spacing w:val="-10"/>
          <w:sz w:val="19"/>
        </w:rPr>
        <w:t> </w:t>
      </w:r>
      <w:r>
        <w:rPr>
          <w:color w:val="231F20"/>
          <w:sz w:val="19"/>
        </w:rPr>
        <w:t>datos</w:t>
      </w:r>
      <w:r>
        <w:rPr>
          <w:color w:val="231F20"/>
          <w:spacing w:val="-10"/>
          <w:sz w:val="19"/>
        </w:rPr>
        <w:t> </w:t>
      </w:r>
      <w:r>
        <w:rPr>
          <w:color w:val="231F20"/>
          <w:sz w:val="19"/>
        </w:rPr>
        <w:t>de</w:t>
      </w:r>
      <w:r>
        <w:rPr>
          <w:color w:val="231F20"/>
          <w:spacing w:val="-10"/>
          <w:sz w:val="19"/>
        </w:rPr>
        <w:t> </w:t>
      </w:r>
      <w:r>
        <w:rPr>
          <w:color w:val="231F20"/>
          <w:sz w:val="19"/>
        </w:rPr>
        <w:t>1985,</w:t>
      </w:r>
      <w:r>
        <w:rPr>
          <w:color w:val="231F20"/>
          <w:spacing w:val="-10"/>
          <w:sz w:val="19"/>
        </w:rPr>
        <w:t> </w:t>
      </w:r>
      <w:r>
        <w:rPr>
          <w:color w:val="231F20"/>
          <w:sz w:val="19"/>
        </w:rPr>
        <w:t>1990</w:t>
      </w:r>
      <w:r>
        <w:rPr>
          <w:color w:val="231F20"/>
          <w:spacing w:val="-10"/>
          <w:sz w:val="19"/>
        </w:rPr>
        <w:t> </w:t>
      </w:r>
      <w:r>
        <w:rPr>
          <w:color w:val="231F20"/>
          <w:sz w:val="19"/>
        </w:rPr>
        <w:t>y</w:t>
      </w:r>
      <w:r>
        <w:rPr>
          <w:color w:val="231F20"/>
          <w:spacing w:val="-10"/>
          <w:sz w:val="19"/>
        </w:rPr>
        <w:t> </w:t>
      </w:r>
      <w:r>
        <w:rPr>
          <w:color w:val="231F20"/>
          <w:sz w:val="19"/>
        </w:rPr>
        <w:t>2000</w:t>
      </w:r>
      <w:r>
        <w:rPr>
          <w:color w:val="231F20"/>
          <w:spacing w:val="-10"/>
          <w:sz w:val="19"/>
        </w:rPr>
        <w:t> </w:t>
      </w:r>
      <w:r>
        <w:rPr>
          <w:color w:val="231F20"/>
          <w:sz w:val="19"/>
        </w:rPr>
        <w:t>incluyen</w:t>
      </w:r>
      <w:r>
        <w:rPr>
          <w:color w:val="231F20"/>
          <w:spacing w:val="-10"/>
          <w:sz w:val="19"/>
        </w:rPr>
        <w:t> </w:t>
      </w:r>
      <w:r>
        <w:rPr>
          <w:color w:val="231F20"/>
          <w:sz w:val="19"/>
        </w:rPr>
        <w:t>la</w:t>
      </w:r>
      <w:r>
        <w:rPr>
          <w:color w:val="231F20"/>
          <w:spacing w:val="-10"/>
          <w:sz w:val="19"/>
        </w:rPr>
        <w:t> </w:t>
      </w:r>
      <w:r>
        <w:rPr>
          <w:color w:val="231F20"/>
          <w:sz w:val="19"/>
        </w:rPr>
        <w:t>producción</w:t>
      </w:r>
      <w:r>
        <w:rPr>
          <w:color w:val="231F20"/>
          <w:spacing w:val="-10"/>
          <w:sz w:val="19"/>
        </w:rPr>
        <w:t> </w:t>
      </w:r>
      <w:r>
        <w:rPr>
          <w:color w:val="231F20"/>
          <w:sz w:val="19"/>
        </w:rPr>
        <w:t>de</w:t>
      </w:r>
      <w:r>
        <w:rPr>
          <w:color w:val="231F20"/>
          <w:spacing w:val="-10"/>
          <w:sz w:val="19"/>
        </w:rPr>
        <w:t> </w:t>
      </w:r>
      <w:r>
        <w:rPr>
          <w:color w:val="231F20"/>
          <w:sz w:val="19"/>
        </w:rPr>
        <w:t>Daimler,</w:t>
      </w:r>
      <w:r>
        <w:rPr>
          <w:color w:val="231F20"/>
          <w:spacing w:val="-10"/>
          <w:sz w:val="19"/>
        </w:rPr>
        <w:t> </w:t>
      </w:r>
      <w:r>
        <w:rPr>
          <w:color w:val="231F20"/>
          <w:sz w:val="19"/>
        </w:rPr>
        <w:t>empresa</w:t>
      </w:r>
      <w:r>
        <w:rPr>
          <w:color w:val="231F20"/>
          <w:spacing w:val="-10"/>
          <w:sz w:val="19"/>
        </w:rPr>
        <w:t> </w:t>
      </w:r>
      <w:r>
        <w:rPr>
          <w:color w:val="231F20"/>
          <w:sz w:val="19"/>
        </w:rPr>
        <w:t>que</w:t>
      </w:r>
      <w:r>
        <w:rPr>
          <w:color w:val="231F20"/>
          <w:spacing w:val="-10"/>
          <w:sz w:val="19"/>
        </w:rPr>
        <w:t> </w:t>
      </w:r>
      <w:r>
        <w:rPr>
          <w:color w:val="231F20"/>
          <w:sz w:val="19"/>
        </w:rPr>
        <w:t>en esos momentos se encontraba fusionada con</w:t>
      </w:r>
      <w:r>
        <w:rPr>
          <w:color w:val="231F20"/>
          <w:spacing w:val="-22"/>
          <w:sz w:val="19"/>
        </w:rPr>
        <w:t> </w:t>
      </w:r>
      <w:r>
        <w:rPr>
          <w:color w:val="231F20"/>
          <w:sz w:val="19"/>
        </w:rPr>
        <w:t>Chrysler.</w:t>
      </w:r>
    </w:p>
    <w:p>
      <w:pPr>
        <w:spacing w:before="18"/>
        <w:ind w:left="653" w:right="673" w:firstLine="0"/>
        <w:jc w:val="left"/>
        <w:rPr>
          <w:sz w:val="19"/>
        </w:rPr>
      </w:pPr>
      <w:r>
        <w:rPr>
          <w:rFonts w:ascii="Palatino Linotype" w:hAnsi="Palatino Linotype"/>
          <w:i/>
          <w:color w:val="231F20"/>
          <w:sz w:val="19"/>
        </w:rPr>
        <w:t>Fuente: </w:t>
      </w:r>
      <w:r>
        <w:rPr>
          <w:color w:val="231F20"/>
          <w:sz w:val="19"/>
        </w:rPr>
        <w:t>Elaboración propia con datos de OICA (2012).</w:t>
      </w:r>
    </w:p>
    <w:p>
      <w:pPr>
        <w:spacing w:after="0"/>
        <w:jc w:val="left"/>
        <w:rPr>
          <w:sz w:val="19"/>
        </w:rPr>
        <w:sectPr>
          <w:footerReference w:type="even" r:id="rId53"/>
          <w:footerReference w:type="default" r:id="rId54"/>
          <w:pgSz w:w="9640" w:h="13040"/>
          <w:pgMar w:footer="654" w:header="581" w:top="780" w:bottom="840" w:left="480" w:right="1200"/>
          <w:pgNumType w:start="52"/>
        </w:sectPr>
      </w:pPr>
    </w:p>
    <w:p>
      <w:pPr>
        <w:pStyle w:val="BodyText"/>
        <w:rPr>
          <w:sz w:val="20"/>
        </w:rPr>
      </w:pPr>
    </w:p>
    <w:p>
      <w:pPr>
        <w:pStyle w:val="BodyText"/>
        <w:spacing w:before="10"/>
        <w:rPr>
          <w:sz w:val="17"/>
        </w:rPr>
      </w:pPr>
    </w:p>
    <w:p>
      <w:pPr>
        <w:pStyle w:val="BodyText"/>
        <w:spacing w:line="278" w:lineRule="auto"/>
        <w:ind w:left="103" w:right="650"/>
        <w:jc w:val="both"/>
      </w:pPr>
      <w:r>
        <w:rPr>
          <w:color w:val="231F20"/>
          <w:spacing w:val="-4"/>
        </w:rPr>
        <w:t>Por </w:t>
      </w:r>
      <w:r>
        <w:rPr>
          <w:color w:val="231F20"/>
        </w:rPr>
        <w:t>el lado de la venta de vehículos por empresa y región, hasta 2006 General </w:t>
      </w:r>
      <w:r>
        <w:rPr>
          <w:color w:val="231F20"/>
          <w:spacing w:val="-3"/>
        </w:rPr>
        <w:t>Motors </w:t>
      </w:r>
      <w:r>
        <w:rPr>
          <w:color w:val="231F20"/>
        </w:rPr>
        <w:t>tenía</w:t>
      </w:r>
      <w:r>
        <w:rPr>
          <w:color w:val="231F20"/>
          <w:spacing w:val="-7"/>
        </w:rPr>
        <w:t> </w:t>
      </w:r>
      <w:r>
        <w:rPr>
          <w:color w:val="231F20"/>
        </w:rPr>
        <w:t>la</w:t>
      </w:r>
      <w:r>
        <w:rPr>
          <w:color w:val="231F20"/>
          <w:spacing w:val="-7"/>
        </w:rPr>
        <w:t> </w:t>
      </w:r>
      <w:r>
        <w:rPr>
          <w:color w:val="231F20"/>
        </w:rPr>
        <w:t>mayor</w:t>
      </w:r>
      <w:r>
        <w:rPr>
          <w:color w:val="231F20"/>
          <w:spacing w:val="-7"/>
        </w:rPr>
        <w:t> </w:t>
      </w:r>
      <w:r>
        <w:rPr>
          <w:color w:val="231F20"/>
        </w:rPr>
        <w:t>participación</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rubro</w:t>
      </w:r>
      <w:r>
        <w:rPr>
          <w:color w:val="231F20"/>
          <w:spacing w:val="-7"/>
        </w:rPr>
        <w:t> </w:t>
      </w:r>
      <w:r>
        <w:rPr>
          <w:color w:val="231F20"/>
        </w:rPr>
        <w:t>con</w:t>
      </w:r>
      <w:r>
        <w:rPr>
          <w:color w:val="231F20"/>
          <w:spacing w:val="-7"/>
        </w:rPr>
        <w:t> </w:t>
      </w:r>
      <w:r>
        <w:rPr>
          <w:color w:val="231F20"/>
        </w:rPr>
        <w:t>14.8%</w:t>
      </w:r>
      <w:r>
        <w:rPr>
          <w:color w:val="231F20"/>
          <w:spacing w:val="-7"/>
        </w:rPr>
        <w:t> </w:t>
      </w:r>
      <w:r>
        <w:rPr>
          <w:color w:val="231F20"/>
        </w:rPr>
        <w:t>y</w:t>
      </w:r>
      <w:r>
        <w:rPr>
          <w:color w:val="231F20"/>
          <w:spacing w:val="-7"/>
        </w:rPr>
        <w:t> </w:t>
      </w:r>
      <w:r>
        <w:rPr>
          <w:color w:val="231F20"/>
        </w:rPr>
        <w:t>con</w:t>
      </w:r>
      <w:r>
        <w:rPr>
          <w:color w:val="231F20"/>
          <w:spacing w:val="-7"/>
        </w:rPr>
        <w:t> </w:t>
      </w:r>
      <w:r>
        <w:rPr>
          <w:color w:val="231F20"/>
        </w:rPr>
        <w:t>presencia</w:t>
      </w:r>
      <w:r>
        <w:rPr>
          <w:color w:val="231F20"/>
          <w:spacing w:val="-7"/>
        </w:rPr>
        <w:t> </w:t>
      </w:r>
      <w:r>
        <w:rPr>
          <w:color w:val="231F20"/>
        </w:rPr>
        <w:t>en</w:t>
      </w:r>
      <w:r>
        <w:rPr>
          <w:color w:val="231F20"/>
          <w:spacing w:val="-7"/>
        </w:rPr>
        <w:t> </w:t>
      </w:r>
      <w:r>
        <w:rPr>
          <w:color w:val="231F20"/>
        </w:rPr>
        <w:t>prácticamente todas las regiones del mundo, a excepción de Japón, donde sus ventas representaban sólo 0.3%. </w:t>
      </w:r>
      <w:r>
        <w:rPr>
          <w:color w:val="231F20"/>
          <w:spacing w:val="-5"/>
        </w:rPr>
        <w:t>Toyota </w:t>
      </w:r>
      <w:r>
        <w:rPr>
          <w:color w:val="231F20"/>
        </w:rPr>
        <w:t>se ubicó como la segunda mayor vendedora de autos en el mundo con</w:t>
      </w:r>
      <w:r>
        <w:rPr>
          <w:color w:val="231F20"/>
          <w:spacing w:val="-11"/>
        </w:rPr>
        <w:t> </w:t>
      </w:r>
      <w:r>
        <w:rPr>
          <w:color w:val="231F20"/>
        </w:rPr>
        <w:t>13.6%</w:t>
      </w:r>
      <w:r>
        <w:rPr>
          <w:color w:val="231F20"/>
          <w:spacing w:val="-11"/>
        </w:rPr>
        <w:t> </w:t>
      </w:r>
      <w:r>
        <w:rPr>
          <w:color w:val="231F20"/>
        </w:rPr>
        <w:t>del</w:t>
      </w:r>
      <w:r>
        <w:rPr>
          <w:color w:val="231F20"/>
          <w:spacing w:val="-11"/>
        </w:rPr>
        <w:t> </w:t>
      </w:r>
      <w:r>
        <w:rPr>
          <w:color w:val="231F20"/>
        </w:rPr>
        <w:t>total.</w:t>
      </w:r>
      <w:r>
        <w:rPr>
          <w:color w:val="231F20"/>
          <w:spacing w:val="-11"/>
        </w:rPr>
        <w:t> </w:t>
      </w:r>
      <w:r>
        <w:rPr>
          <w:color w:val="231F20"/>
        </w:rPr>
        <w:t>Su</w:t>
      </w:r>
      <w:r>
        <w:rPr>
          <w:color w:val="231F20"/>
          <w:spacing w:val="-11"/>
        </w:rPr>
        <w:t> </w:t>
      </w:r>
      <w:r>
        <w:rPr>
          <w:color w:val="231F20"/>
        </w:rPr>
        <w:t>principal</w:t>
      </w:r>
      <w:r>
        <w:rPr>
          <w:color w:val="231F20"/>
          <w:spacing w:val="-11"/>
        </w:rPr>
        <w:t> </w:t>
      </w:r>
      <w:r>
        <w:rPr>
          <w:color w:val="231F20"/>
        </w:rPr>
        <w:t>mercado</w:t>
      </w:r>
      <w:r>
        <w:rPr>
          <w:color w:val="231F20"/>
          <w:spacing w:val="-11"/>
        </w:rPr>
        <w:t> </w:t>
      </w:r>
      <w:r>
        <w:rPr>
          <w:color w:val="231F20"/>
        </w:rPr>
        <w:t>fue</w:t>
      </w:r>
      <w:r>
        <w:rPr>
          <w:color w:val="231F20"/>
          <w:spacing w:val="-11"/>
        </w:rPr>
        <w:t> </w:t>
      </w:r>
      <w:r>
        <w:rPr>
          <w:color w:val="231F20"/>
        </w:rPr>
        <w:t>el</w:t>
      </w:r>
      <w:r>
        <w:rPr>
          <w:color w:val="231F20"/>
          <w:spacing w:val="-11"/>
        </w:rPr>
        <w:t> </w:t>
      </w:r>
      <w:r>
        <w:rPr>
          <w:color w:val="231F20"/>
        </w:rPr>
        <w:t>japonés;</w:t>
      </w:r>
      <w:r>
        <w:rPr>
          <w:color w:val="231F20"/>
          <w:spacing w:val="-11"/>
        </w:rPr>
        <w:t> </w:t>
      </w:r>
      <w:r>
        <w:rPr>
          <w:color w:val="231F20"/>
        </w:rPr>
        <w:t>sin</w:t>
      </w:r>
      <w:r>
        <w:rPr>
          <w:color w:val="231F20"/>
          <w:spacing w:val="-11"/>
        </w:rPr>
        <w:t> </w:t>
      </w:r>
      <w:r>
        <w:rPr>
          <w:color w:val="231F20"/>
        </w:rPr>
        <w:t>embargo,</w:t>
      </w:r>
      <w:r>
        <w:rPr>
          <w:color w:val="231F20"/>
          <w:spacing w:val="-11"/>
        </w:rPr>
        <w:t> </w:t>
      </w:r>
      <w:r>
        <w:rPr>
          <w:color w:val="231F20"/>
        </w:rPr>
        <w:t>esta</w:t>
      </w:r>
      <w:r>
        <w:rPr>
          <w:color w:val="231F20"/>
          <w:spacing w:val="-11"/>
        </w:rPr>
        <w:t> </w:t>
      </w:r>
      <w:r>
        <w:rPr>
          <w:color w:val="231F20"/>
        </w:rPr>
        <w:t>empresa</w:t>
      </w:r>
      <w:r>
        <w:rPr>
          <w:color w:val="231F20"/>
          <w:spacing w:val="-11"/>
        </w:rPr>
        <w:t> </w:t>
      </w:r>
      <w:r>
        <w:rPr>
          <w:color w:val="231F20"/>
        </w:rPr>
        <w:t>ha aumentado durante los últimos años su participación en prácticamente todo el</w:t>
      </w:r>
      <w:r>
        <w:rPr>
          <w:color w:val="231F20"/>
          <w:spacing w:val="-34"/>
        </w:rPr>
        <w:t> </w:t>
      </w:r>
      <w:r>
        <w:rPr>
          <w:color w:val="231F20"/>
        </w:rPr>
        <w:t>mundo. Logró</w:t>
      </w:r>
      <w:r>
        <w:rPr>
          <w:color w:val="231F20"/>
          <w:spacing w:val="-12"/>
        </w:rPr>
        <w:t> </w:t>
      </w:r>
      <w:r>
        <w:rPr>
          <w:color w:val="231F20"/>
        </w:rPr>
        <w:t>15.1%</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ventas</w:t>
      </w:r>
      <w:r>
        <w:rPr>
          <w:color w:val="231F20"/>
          <w:spacing w:val="-12"/>
        </w:rPr>
        <w:t> </w:t>
      </w:r>
      <w:r>
        <w:rPr>
          <w:color w:val="231F20"/>
        </w:rPr>
        <w:t>totales</w:t>
      </w:r>
      <w:r>
        <w:rPr>
          <w:color w:val="231F20"/>
          <w:spacing w:val="-12"/>
        </w:rPr>
        <w:t> </w:t>
      </w:r>
      <w:r>
        <w:rPr>
          <w:color w:val="231F20"/>
        </w:rPr>
        <w:t>de</w:t>
      </w:r>
      <w:r>
        <w:rPr>
          <w:color w:val="231F20"/>
          <w:spacing w:val="-12"/>
        </w:rPr>
        <w:t> </w:t>
      </w:r>
      <w:r>
        <w:rPr>
          <w:color w:val="231F20"/>
        </w:rPr>
        <w:t>vehículos</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área</w:t>
      </w:r>
      <w:r>
        <w:rPr>
          <w:color w:val="231F20"/>
          <w:spacing w:val="-12"/>
        </w:rPr>
        <w:t> </w:t>
      </w:r>
      <w:r>
        <w:rPr>
          <w:color w:val="231F20"/>
        </w:rPr>
        <w:t>del</w:t>
      </w:r>
      <w:r>
        <w:rPr>
          <w:color w:val="231F20"/>
          <w:spacing w:val="-12"/>
        </w:rPr>
        <w:t> </w:t>
      </w:r>
      <w:r>
        <w:rPr>
          <w:color w:val="231F20"/>
        </w:rPr>
        <w:t>TLCAN;</w:t>
      </w:r>
      <w:r>
        <w:rPr>
          <w:color w:val="231F20"/>
          <w:spacing w:val="-12"/>
        </w:rPr>
        <w:t> </w:t>
      </w:r>
      <w:r>
        <w:rPr>
          <w:color w:val="231F20"/>
        </w:rPr>
        <w:t>17.1%</w:t>
      </w:r>
      <w:r>
        <w:rPr>
          <w:color w:val="231F20"/>
          <w:spacing w:val="-12"/>
        </w:rPr>
        <w:t> </w:t>
      </w:r>
      <w:r>
        <w:rPr>
          <w:color w:val="231F20"/>
        </w:rPr>
        <w:t>en</w:t>
      </w:r>
      <w:r>
        <w:rPr>
          <w:color w:val="231F20"/>
          <w:spacing w:val="-12"/>
        </w:rPr>
        <w:t> </w:t>
      </w:r>
      <w:r>
        <w:rPr>
          <w:color w:val="231F20"/>
        </w:rPr>
        <w:t>África y</w:t>
      </w:r>
      <w:r>
        <w:rPr>
          <w:color w:val="231F20"/>
          <w:spacing w:val="-6"/>
        </w:rPr>
        <w:t> </w:t>
      </w:r>
      <w:r>
        <w:rPr>
          <w:color w:val="231F20"/>
        </w:rPr>
        <w:t>el</w:t>
      </w:r>
      <w:r>
        <w:rPr>
          <w:color w:val="231F20"/>
          <w:spacing w:val="-6"/>
        </w:rPr>
        <w:t> </w:t>
      </w:r>
      <w:r>
        <w:rPr>
          <w:color w:val="231F20"/>
        </w:rPr>
        <w:t>Cercano</w:t>
      </w:r>
      <w:r>
        <w:rPr>
          <w:color w:val="231F20"/>
          <w:spacing w:val="-6"/>
        </w:rPr>
        <w:t> </w:t>
      </w:r>
      <w:r>
        <w:rPr>
          <w:color w:val="231F20"/>
        </w:rPr>
        <w:t>Oriente;</w:t>
      </w:r>
      <w:r>
        <w:rPr>
          <w:color w:val="231F20"/>
          <w:spacing w:val="-6"/>
        </w:rPr>
        <w:t> </w:t>
      </w:r>
      <w:r>
        <w:rPr>
          <w:color w:val="231F20"/>
        </w:rPr>
        <w:t>9.3%</w:t>
      </w:r>
      <w:r>
        <w:rPr>
          <w:color w:val="231F20"/>
          <w:spacing w:val="-6"/>
        </w:rPr>
        <w:t> </w:t>
      </w:r>
      <w:r>
        <w:rPr>
          <w:color w:val="231F20"/>
        </w:rPr>
        <w:t>en</w:t>
      </w:r>
      <w:r>
        <w:rPr>
          <w:color w:val="231F20"/>
          <w:spacing w:val="-6"/>
        </w:rPr>
        <w:t> </w:t>
      </w:r>
      <w:r>
        <w:rPr>
          <w:color w:val="231F20"/>
        </w:rPr>
        <w:t>Asia</w:t>
      </w:r>
      <w:r>
        <w:rPr>
          <w:color w:val="231F20"/>
          <w:spacing w:val="-6"/>
        </w:rPr>
        <w:t> </w:t>
      </w:r>
      <w:r>
        <w:rPr>
          <w:color w:val="231F20"/>
        </w:rPr>
        <w:t>Pacífico,</w:t>
      </w:r>
      <w:r>
        <w:rPr>
          <w:color w:val="231F20"/>
          <w:spacing w:val="-6"/>
        </w:rPr>
        <w:t> </w:t>
      </w:r>
      <w:r>
        <w:rPr>
          <w:color w:val="231F20"/>
        </w:rPr>
        <w:t>entre</w:t>
      </w:r>
      <w:r>
        <w:rPr>
          <w:color w:val="231F20"/>
          <w:spacing w:val="-6"/>
        </w:rPr>
        <w:t> </w:t>
      </w:r>
      <w:r>
        <w:rPr>
          <w:color w:val="231F20"/>
        </w:rPr>
        <w:t>otros</w:t>
      </w:r>
      <w:r>
        <w:rPr>
          <w:color w:val="231F20"/>
          <w:spacing w:val="-6"/>
        </w:rPr>
        <w:t> </w:t>
      </w:r>
      <w:r>
        <w:rPr>
          <w:color w:val="231F20"/>
        </w:rPr>
        <w:t>mercados</w:t>
      </w:r>
      <w:r>
        <w:rPr>
          <w:color w:val="231F20"/>
          <w:spacing w:val="-6"/>
        </w:rPr>
        <w:t> </w:t>
      </w:r>
      <w:r>
        <w:rPr>
          <w:color w:val="231F20"/>
        </w:rPr>
        <w:t>(véase</w:t>
      </w:r>
      <w:r>
        <w:rPr>
          <w:color w:val="231F20"/>
          <w:spacing w:val="-6"/>
        </w:rPr>
        <w:t> </w:t>
      </w:r>
      <w:r>
        <w:rPr>
          <w:color w:val="231F20"/>
        </w:rPr>
        <w:t>cuadro</w:t>
      </w:r>
      <w:r>
        <w:rPr>
          <w:color w:val="231F20"/>
          <w:spacing w:val="-6"/>
        </w:rPr>
        <w:t> </w:t>
      </w:r>
      <w:r>
        <w:rPr>
          <w:color w:val="231F20"/>
        </w:rPr>
        <w:t>II.7). Esta situación fue rebasada en 2008, año en que </w:t>
      </w:r>
      <w:r>
        <w:rPr>
          <w:color w:val="231F20"/>
          <w:spacing w:val="-5"/>
        </w:rPr>
        <w:t>Toyota </w:t>
      </w:r>
      <w:r>
        <w:rPr>
          <w:color w:val="231F20"/>
        </w:rPr>
        <w:t>se colocó como el principal vendedor de vehículos en el mundo, por arriba de General</w:t>
      </w:r>
      <w:r>
        <w:rPr>
          <w:color w:val="231F20"/>
          <w:spacing w:val="7"/>
        </w:rPr>
        <w:t> </w:t>
      </w:r>
      <w:r>
        <w:rPr>
          <w:color w:val="231F20"/>
          <w:spacing w:val="-3"/>
        </w:rPr>
        <w:t>Motors.</w:t>
      </w:r>
    </w:p>
    <w:p>
      <w:pPr>
        <w:pStyle w:val="BodyText"/>
        <w:spacing w:before="8"/>
        <w:rPr>
          <w:sz w:val="17"/>
        </w:rPr>
      </w:pPr>
    </w:p>
    <w:p>
      <w:pPr>
        <w:pStyle w:val="Heading4"/>
        <w:ind w:left="127" w:right="674"/>
      </w:pPr>
      <w:r>
        <w:rPr>
          <w:color w:val="231F20"/>
          <w:w w:val="95"/>
        </w:rPr>
        <w:t>Cuadro II.7</w:t>
      </w:r>
    </w:p>
    <w:p>
      <w:pPr>
        <w:spacing w:line="282" w:lineRule="exact" w:before="0"/>
        <w:ind w:left="0" w:right="547" w:firstLine="0"/>
        <w:jc w:val="center"/>
        <w:rPr>
          <w:rFonts w:ascii="Palatino Linotype" w:hAnsi="Palatino Linotype"/>
          <w:b/>
          <w:sz w:val="21"/>
        </w:rPr>
      </w:pPr>
      <w:r>
        <w:rPr>
          <w:rFonts w:ascii="Palatino Linotype" w:hAnsi="Palatino Linotype"/>
          <w:b/>
          <w:color w:val="231F20"/>
          <w:w w:val="95"/>
          <w:sz w:val="21"/>
        </w:rPr>
        <w:t>Participación porcentual en la venta de vehículos por empresa y región, 2006</w:t>
      </w:r>
    </w:p>
    <w:p>
      <w:pPr>
        <w:pStyle w:val="BodyText"/>
        <w:spacing w:before="7"/>
        <w:rPr>
          <w:rFonts w:ascii="Palatino Linotype"/>
          <w:b/>
          <w:sz w:val="24"/>
        </w:rPr>
      </w:pPr>
    </w:p>
    <w:p>
      <w:pPr>
        <w:spacing w:before="50"/>
        <w:ind w:left="0" w:right="740" w:firstLine="0"/>
        <w:jc w:val="right"/>
        <w:rPr>
          <w:rFonts w:ascii="Palatino Linotype"/>
          <w:b/>
          <w:sz w:val="16"/>
        </w:rPr>
      </w:pPr>
      <w:r>
        <w:rPr/>
        <w:pict>
          <v:shape style="position:absolute;margin-left:65.196899pt;margin-top:-6.91746pt;width:360pt;height:324.350pt;mso-position-horizontal-relative:page;mso-position-vertical-relative:paragraph;z-index:7288"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416"/>
                    <w:gridCol w:w="599"/>
                    <w:gridCol w:w="730"/>
                    <w:gridCol w:w="789"/>
                    <w:gridCol w:w="733"/>
                    <w:gridCol w:w="686"/>
                    <w:gridCol w:w="752"/>
                    <w:gridCol w:w="695"/>
                    <w:gridCol w:w="800"/>
                  </w:tblGrid>
                  <w:tr>
                    <w:trPr>
                      <w:trHeight w:val="354" w:hRule="exact"/>
                    </w:trPr>
                    <w:tc>
                      <w:tcPr>
                        <w:tcW w:w="4953" w:type="dxa"/>
                        <w:gridSpan w:val="6"/>
                        <w:tcBorders>
                          <w:top w:val="single" w:sz="4" w:space="0" w:color="231F20"/>
                        </w:tcBorders>
                      </w:tcPr>
                      <w:p>
                        <w:pPr>
                          <w:pStyle w:val="TableParagraph"/>
                          <w:tabs>
                            <w:tab w:pos="1523" w:val="left" w:leader="none"/>
                            <w:tab w:pos="2075" w:val="left" w:leader="none"/>
                            <w:tab w:pos="2910" w:val="left" w:leader="none"/>
                            <w:tab w:pos="3727" w:val="left" w:leader="none"/>
                            <w:tab w:pos="4445" w:val="left" w:leader="none"/>
                          </w:tabs>
                          <w:spacing w:line="296" w:lineRule="exact" w:before="93"/>
                          <w:ind w:left="417"/>
                          <w:jc w:val="left"/>
                          <w:rPr>
                            <w:rFonts w:ascii="Palatino Linotype" w:hAnsi="Palatino Linotype"/>
                            <w:b/>
                            <w:sz w:val="16"/>
                          </w:rPr>
                        </w:pPr>
                        <w:r>
                          <w:rPr>
                            <w:rFonts w:ascii="Palatino Linotype" w:hAnsi="Palatino Linotype"/>
                            <w:b/>
                            <w:color w:val="231F20"/>
                            <w:sz w:val="16"/>
                          </w:rPr>
                          <w:t>Empresa</w:t>
                          <w:tab/>
                        </w:r>
                        <w:r>
                          <w:rPr>
                            <w:rFonts w:ascii="Palatino Linotype" w:hAnsi="Palatino Linotype"/>
                            <w:b/>
                            <w:color w:val="231F20"/>
                            <w:spacing w:val="-4"/>
                            <w:sz w:val="16"/>
                          </w:rPr>
                          <w:t>Total</w:t>
                          <w:tab/>
                        </w:r>
                        <w:r>
                          <w:rPr>
                            <w:rFonts w:ascii="Palatino Linotype" w:hAnsi="Palatino Linotype"/>
                            <w:b/>
                            <w:color w:val="231F20"/>
                            <w:sz w:val="16"/>
                          </w:rPr>
                          <w:t>TLCAN</w:t>
                          <w:tab/>
                        </w:r>
                        <w:r>
                          <w:rPr>
                            <w:rFonts w:ascii="Palatino Linotype" w:hAnsi="Palatino Linotype"/>
                            <w:b/>
                            <w:color w:val="231F20"/>
                            <w:spacing w:val="-2"/>
                            <w:position w:val="9"/>
                            <w:sz w:val="16"/>
                          </w:rPr>
                          <w:t>Europa</w:t>
                          <w:tab/>
                        </w:r>
                        <w:r>
                          <w:rPr>
                            <w:rFonts w:ascii="Palatino Linotype" w:hAnsi="Palatino Linotype"/>
                            <w:b/>
                            <w:color w:val="231F20"/>
                            <w:sz w:val="16"/>
                          </w:rPr>
                          <w:t>Japón</w:t>
                          <w:tab/>
                        </w:r>
                        <w:r>
                          <w:rPr>
                            <w:rFonts w:ascii="Palatino Linotype" w:hAnsi="Palatino Linotype"/>
                            <w:b/>
                            <w:color w:val="231F20"/>
                            <w:position w:val="9"/>
                            <w:sz w:val="16"/>
                          </w:rPr>
                          <w:t>Asia-</w:t>
                        </w:r>
                      </w:p>
                    </w:tc>
                    <w:tc>
                      <w:tcPr>
                        <w:tcW w:w="752" w:type="dxa"/>
                        <w:tcBorders>
                          <w:top w:val="single" w:sz="4" w:space="0" w:color="231F20"/>
                        </w:tcBorders>
                      </w:tcPr>
                      <w:p>
                        <w:pPr>
                          <w:pStyle w:val="TableParagraph"/>
                          <w:spacing w:before="95"/>
                          <w:ind w:left="92" w:right="36"/>
                          <w:rPr>
                            <w:rFonts w:ascii="Palatino Linotype"/>
                            <w:b/>
                            <w:sz w:val="16"/>
                          </w:rPr>
                        </w:pPr>
                        <w:r>
                          <w:rPr>
                            <w:rFonts w:ascii="Palatino Linotype"/>
                            <w:b/>
                            <w:color w:val="231F20"/>
                            <w:sz w:val="16"/>
                          </w:rPr>
                          <w:t>Europa</w:t>
                        </w:r>
                      </w:p>
                    </w:tc>
                    <w:tc>
                      <w:tcPr>
                        <w:tcW w:w="1495" w:type="dxa"/>
                        <w:gridSpan w:val="2"/>
                        <w:tcBorders>
                          <w:top w:val="single" w:sz="4" w:space="0" w:color="231F20"/>
                        </w:tcBorders>
                      </w:tcPr>
                      <w:p>
                        <w:pPr>
                          <w:pStyle w:val="TableParagraph"/>
                          <w:spacing w:before="23"/>
                          <w:ind w:left="102"/>
                          <w:jc w:val="left"/>
                          <w:rPr>
                            <w:rFonts w:ascii="Palatino Linotype" w:hAnsi="Palatino Linotype"/>
                            <w:b/>
                            <w:sz w:val="16"/>
                          </w:rPr>
                        </w:pPr>
                        <w:r>
                          <w:rPr>
                            <w:rFonts w:ascii="Palatino Linotype" w:hAnsi="Palatino Linotype"/>
                            <w:b/>
                            <w:color w:val="231F20"/>
                            <w:position w:val="-6"/>
                            <w:sz w:val="16"/>
                          </w:rPr>
                          <w:t>América   </w:t>
                        </w:r>
                        <w:r>
                          <w:rPr>
                            <w:rFonts w:ascii="Palatino Linotype" w:hAnsi="Palatino Linotype"/>
                            <w:b/>
                            <w:color w:val="231F20"/>
                            <w:sz w:val="16"/>
                          </w:rPr>
                          <w:t>África y</w:t>
                        </w:r>
                      </w:p>
                    </w:tc>
                  </w:tr>
                  <w:tr>
                    <w:trPr>
                      <w:trHeight w:val="242" w:hRule="exact"/>
                    </w:trPr>
                    <w:tc>
                      <w:tcPr>
                        <w:tcW w:w="1416" w:type="dxa"/>
                        <w:tcBorders>
                          <w:bottom w:val="single" w:sz="4" w:space="0" w:color="231F20"/>
                        </w:tcBorders>
                      </w:tcPr>
                      <w:p>
                        <w:pPr/>
                      </w:p>
                    </w:tc>
                    <w:tc>
                      <w:tcPr>
                        <w:tcW w:w="599" w:type="dxa"/>
                        <w:tcBorders>
                          <w:bottom w:val="single" w:sz="4" w:space="0" w:color="231F20"/>
                        </w:tcBorders>
                      </w:tcPr>
                      <w:p>
                        <w:pPr/>
                      </w:p>
                    </w:tc>
                    <w:tc>
                      <w:tcPr>
                        <w:tcW w:w="730" w:type="dxa"/>
                        <w:tcBorders>
                          <w:bottom w:val="single" w:sz="4" w:space="0" w:color="231F20"/>
                        </w:tcBorders>
                      </w:tcPr>
                      <w:p>
                        <w:pPr/>
                      </w:p>
                    </w:tc>
                    <w:tc>
                      <w:tcPr>
                        <w:tcW w:w="789" w:type="dxa"/>
                        <w:tcBorders>
                          <w:bottom w:val="single" w:sz="4" w:space="0" w:color="231F20"/>
                        </w:tcBorders>
                      </w:tcPr>
                      <w:p>
                        <w:pPr>
                          <w:pStyle w:val="TableParagraph"/>
                          <w:spacing w:line="138" w:lineRule="exact"/>
                          <w:ind w:left="31" w:right="6"/>
                          <w:rPr>
                            <w:rFonts w:ascii="Palatino Linotype"/>
                            <w:b/>
                            <w:sz w:val="16"/>
                          </w:rPr>
                        </w:pPr>
                        <w:r>
                          <w:rPr>
                            <w:rFonts w:ascii="Palatino Linotype"/>
                            <w:b/>
                            <w:color w:val="231F20"/>
                            <w:w w:val="90"/>
                            <w:sz w:val="16"/>
                          </w:rPr>
                          <w:t>Occidental</w:t>
                        </w:r>
                      </w:p>
                    </w:tc>
                    <w:tc>
                      <w:tcPr>
                        <w:tcW w:w="733" w:type="dxa"/>
                        <w:tcBorders>
                          <w:bottom w:val="single" w:sz="4" w:space="0" w:color="231F20"/>
                        </w:tcBorders>
                      </w:tcPr>
                      <w:p>
                        <w:pPr/>
                      </w:p>
                    </w:tc>
                    <w:tc>
                      <w:tcPr>
                        <w:tcW w:w="686" w:type="dxa"/>
                        <w:tcBorders>
                          <w:bottom w:val="single" w:sz="4" w:space="0" w:color="231F20"/>
                        </w:tcBorders>
                      </w:tcPr>
                      <w:p>
                        <w:pPr>
                          <w:pStyle w:val="TableParagraph"/>
                          <w:spacing w:line="138" w:lineRule="exact"/>
                          <w:ind w:left="58" w:right="39"/>
                          <w:rPr>
                            <w:rFonts w:ascii="Palatino Linotype" w:hAnsi="Palatino Linotype"/>
                            <w:b/>
                            <w:sz w:val="16"/>
                          </w:rPr>
                        </w:pPr>
                        <w:r>
                          <w:rPr>
                            <w:rFonts w:ascii="Palatino Linotype" w:hAnsi="Palatino Linotype"/>
                            <w:b/>
                            <w:color w:val="231F20"/>
                            <w:w w:val="95"/>
                            <w:sz w:val="16"/>
                          </w:rPr>
                          <w:t>Pacífico</w:t>
                        </w:r>
                      </w:p>
                    </w:tc>
                    <w:tc>
                      <w:tcPr>
                        <w:tcW w:w="752" w:type="dxa"/>
                        <w:tcBorders>
                          <w:bottom w:val="single" w:sz="4" w:space="0" w:color="231F20"/>
                        </w:tcBorders>
                      </w:tcPr>
                      <w:p>
                        <w:pPr>
                          <w:pStyle w:val="TableParagraph"/>
                          <w:spacing w:line="138" w:lineRule="exact"/>
                          <w:ind w:left="92" w:right="36"/>
                          <w:rPr>
                            <w:rFonts w:ascii="Palatino Linotype"/>
                            <w:b/>
                            <w:sz w:val="16"/>
                          </w:rPr>
                        </w:pPr>
                        <w:r>
                          <w:rPr>
                            <w:rFonts w:ascii="Palatino Linotype"/>
                            <w:b/>
                            <w:color w:val="231F20"/>
                            <w:w w:val="95"/>
                            <w:sz w:val="16"/>
                          </w:rPr>
                          <w:t>Oriental</w:t>
                        </w:r>
                      </w:p>
                    </w:tc>
                    <w:tc>
                      <w:tcPr>
                        <w:tcW w:w="695" w:type="dxa"/>
                        <w:tcBorders>
                          <w:bottom w:val="single" w:sz="4" w:space="0" w:color="231F20"/>
                        </w:tcBorders>
                      </w:tcPr>
                      <w:p>
                        <w:pPr>
                          <w:pStyle w:val="TableParagraph"/>
                          <w:spacing w:line="138" w:lineRule="exact"/>
                          <w:ind w:left="131" w:right="48"/>
                          <w:rPr>
                            <w:rFonts w:ascii="Palatino Linotype"/>
                            <w:b/>
                            <w:sz w:val="16"/>
                          </w:rPr>
                        </w:pPr>
                        <w:r>
                          <w:rPr>
                            <w:rFonts w:ascii="Palatino Linotype"/>
                            <w:b/>
                            <w:color w:val="231F20"/>
                            <w:w w:val="90"/>
                            <w:sz w:val="16"/>
                          </w:rPr>
                          <w:t>del Sur</w:t>
                        </w:r>
                      </w:p>
                    </w:tc>
                    <w:tc>
                      <w:tcPr>
                        <w:tcW w:w="800" w:type="dxa"/>
                        <w:tcBorders>
                          <w:bottom w:val="single" w:sz="4" w:space="0" w:color="231F20"/>
                        </w:tcBorders>
                      </w:tcPr>
                      <w:p>
                        <w:pPr>
                          <w:pStyle w:val="TableParagraph"/>
                          <w:spacing w:line="210" w:lineRule="exact"/>
                          <w:ind w:left="130" w:right="68"/>
                          <w:rPr>
                            <w:rFonts w:ascii="Palatino Linotype"/>
                            <w:b/>
                            <w:sz w:val="16"/>
                          </w:rPr>
                        </w:pPr>
                        <w:r>
                          <w:rPr>
                            <w:rFonts w:ascii="Palatino Linotype"/>
                            <w:b/>
                            <w:color w:val="231F20"/>
                            <w:sz w:val="16"/>
                          </w:rPr>
                          <w:t>Oriente</w:t>
                        </w:r>
                      </w:p>
                    </w:tc>
                  </w:tr>
                  <w:tr>
                    <w:trPr>
                      <w:trHeight w:val="280" w:hRule="exact"/>
                    </w:trPr>
                    <w:tc>
                      <w:tcPr>
                        <w:tcW w:w="1416" w:type="dxa"/>
                        <w:tcBorders>
                          <w:top w:val="single" w:sz="4" w:space="0" w:color="231F20"/>
                          <w:bottom w:val="single" w:sz="4" w:space="0" w:color="231F20"/>
                        </w:tcBorders>
                      </w:tcPr>
                      <w:p>
                        <w:pPr>
                          <w:pStyle w:val="TableParagraph"/>
                          <w:spacing w:before="43"/>
                          <w:ind w:left="56"/>
                          <w:jc w:val="left"/>
                          <w:rPr>
                            <w:sz w:val="16"/>
                          </w:rPr>
                        </w:pPr>
                        <w:r>
                          <w:rPr>
                            <w:color w:val="231F20"/>
                            <w:sz w:val="16"/>
                          </w:rPr>
                          <w:t>BMW</w:t>
                        </w:r>
                      </w:p>
                    </w:tc>
                    <w:tc>
                      <w:tcPr>
                        <w:tcW w:w="599" w:type="dxa"/>
                        <w:tcBorders>
                          <w:top w:val="single" w:sz="4" w:space="0" w:color="231F20"/>
                          <w:bottom w:val="single" w:sz="4" w:space="0" w:color="231F20"/>
                        </w:tcBorders>
                      </w:tcPr>
                      <w:p>
                        <w:pPr>
                          <w:pStyle w:val="TableParagraph"/>
                          <w:spacing w:before="43"/>
                          <w:ind w:left="115" w:right="153"/>
                          <w:rPr>
                            <w:sz w:val="16"/>
                          </w:rPr>
                        </w:pPr>
                        <w:r>
                          <w:rPr>
                            <w:color w:val="231F20"/>
                            <w:sz w:val="16"/>
                          </w:rPr>
                          <w:t>2.5</w:t>
                        </w:r>
                      </w:p>
                    </w:tc>
                    <w:tc>
                      <w:tcPr>
                        <w:tcW w:w="730" w:type="dxa"/>
                        <w:tcBorders>
                          <w:top w:val="single" w:sz="4" w:space="0" w:color="231F20"/>
                          <w:bottom w:val="single" w:sz="4" w:space="0" w:color="231F20"/>
                        </w:tcBorders>
                      </w:tcPr>
                      <w:p>
                        <w:pPr>
                          <w:pStyle w:val="TableParagraph"/>
                          <w:spacing w:before="43"/>
                          <w:ind w:left="231"/>
                          <w:jc w:val="left"/>
                          <w:rPr>
                            <w:sz w:val="16"/>
                          </w:rPr>
                        </w:pPr>
                        <w:r>
                          <w:rPr>
                            <w:color w:val="231F20"/>
                            <w:sz w:val="16"/>
                          </w:rPr>
                          <w:t>1.7</w:t>
                        </w:r>
                      </w:p>
                    </w:tc>
                    <w:tc>
                      <w:tcPr>
                        <w:tcW w:w="789" w:type="dxa"/>
                        <w:tcBorders>
                          <w:top w:val="single" w:sz="4" w:space="0" w:color="231F20"/>
                          <w:bottom w:val="single" w:sz="4" w:space="0" w:color="231F20"/>
                        </w:tcBorders>
                      </w:tcPr>
                      <w:p>
                        <w:pPr>
                          <w:pStyle w:val="TableParagraph"/>
                          <w:spacing w:before="43"/>
                          <w:ind w:left="30" w:right="6"/>
                          <w:rPr>
                            <w:sz w:val="16"/>
                          </w:rPr>
                        </w:pPr>
                        <w:r>
                          <w:rPr>
                            <w:color w:val="231F20"/>
                            <w:sz w:val="16"/>
                          </w:rPr>
                          <w:t>5.2</w:t>
                        </w:r>
                      </w:p>
                    </w:tc>
                    <w:tc>
                      <w:tcPr>
                        <w:tcW w:w="733" w:type="dxa"/>
                        <w:tcBorders>
                          <w:top w:val="single" w:sz="4" w:space="0" w:color="231F20"/>
                          <w:bottom w:val="single" w:sz="4" w:space="0" w:color="231F20"/>
                        </w:tcBorders>
                      </w:tcPr>
                      <w:p>
                        <w:pPr>
                          <w:pStyle w:val="TableParagraph"/>
                          <w:spacing w:before="43"/>
                          <w:ind w:left="222" w:right="179"/>
                          <w:rPr>
                            <w:sz w:val="16"/>
                          </w:rPr>
                        </w:pPr>
                        <w:r>
                          <w:rPr>
                            <w:color w:val="231F20"/>
                            <w:sz w:val="16"/>
                          </w:rPr>
                          <w:t>1.2</w:t>
                        </w:r>
                      </w:p>
                    </w:tc>
                    <w:tc>
                      <w:tcPr>
                        <w:tcW w:w="686" w:type="dxa"/>
                        <w:tcBorders>
                          <w:top w:val="single" w:sz="4" w:space="0" w:color="231F20"/>
                          <w:bottom w:val="single" w:sz="4" w:space="0" w:color="231F20"/>
                        </w:tcBorders>
                      </w:tcPr>
                      <w:p>
                        <w:pPr>
                          <w:pStyle w:val="TableParagraph"/>
                          <w:spacing w:before="43"/>
                          <w:ind w:left="58" w:right="39"/>
                          <w:rPr>
                            <w:sz w:val="16"/>
                          </w:rPr>
                        </w:pPr>
                        <w:r>
                          <w:rPr>
                            <w:color w:val="231F20"/>
                            <w:sz w:val="16"/>
                          </w:rPr>
                          <w:t>0.8</w:t>
                        </w:r>
                      </w:p>
                    </w:tc>
                    <w:tc>
                      <w:tcPr>
                        <w:tcW w:w="752" w:type="dxa"/>
                        <w:tcBorders>
                          <w:top w:val="single" w:sz="4" w:space="0" w:color="231F20"/>
                          <w:bottom w:val="single" w:sz="4" w:space="0" w:color="231F20"/>
                        </w:tcBorders>
                      </w:tcPr>
                      <w:p>
                        <w:pPr>
                          <w:pStyle w:val="TableParagraph"/>
                          <w:spacing w:before="43"/>
                          <w:ind w:left="91" w:right="36"/>
                          <w:rPr>
                            <w:sz w:val="16"/>
                          </w:rPr>
                        </w:pPr>
                        <w:r>
                          <w:rPr>
                            <w:color w:val="231F20"/>
                            <w:sz w:val="16"/>
                          </w:rPr>
                          <w:t>0.7</w:t>
                        </w:r>
                      </w:p>
                    </w:tc>
                    <w:tc>
                      <w:tcPr>
                        <w:tcW w:w="695" w:type="dxa"/>
                        <w:tcBorders>
                          <w:top w:val="single" w:sz="4" w:space="0" w:color="231F20"/>
                          <w:bottom w:val="single" w:sz="4" w:space="0" w:color="231F20"/>
                        </w:tcBorders>
                      </w:tcPr>
                      <w:p>
                        <w:pPr>
                          <w:pStyle w:val="TableParagraph"/>
                          <w:spacing w:before="43"/>
                          <w:ind w:left="130" w:right="48"/>
                          <w:rPr>
                            <w:sz w:val="16"/>
                          </w:rPr>
                        </w:pPr>
                        <w:r>
                          <w:rPr>
                            <w:color w:val="231F20"/>
                            <w:sz w:val="16"/>
                          </w:rPr>
                          <w:t>0.2</w:t>
                        </w:r>
                      </w:p>
                    </w:tc>
                    <w:tc>
                      <w:tcPr>
                        <w:tcW w:w="800" w:type="dxa"/>
                        <w:tcBorders>
                          <w:top w:val="single" w:sz="4" w:space="0" w:color="231F20"/>
                          <w:bottom w:val="single" w:sz="4" w:space="0" w:color="231F20"/>
                        </w:tcBorders>
                      </w:tcPr>
                      <w:p>
                        <w:pPr>
                          <w:pStyle w:val="TableParagraph"/>
                          <w:spacing w:before="43"/>
                          <w:ind w:left="130" w:right="68"/>
                          <w:rPr>
                            <w:sz w:val="16"/>
                          </w:rPr>
                        </w:pPr>
                        <w:r>
                          <w:rPr>
                            <w:color w:val="231F20"/>
                            <w:sz w:val="16"/>
                          </w:rPr>
                          <w:t>4.0</w:t>
                        </w:r>
                      </w:p>
                    </w:tc>
                  </w:tr>
                  <w:tr>
                    <w:trPr>
                      <w:trHeight w:val="280" w:hRule="exact"/>
                    </w:trPr>
                    <w:tc>
                      <w:tcPr>
                        <w:tcW w:w="1416" w:type="dxa"/>
                        <w:tcBorders>
                          <w:top w:val="single" w:sz="4" w:space="0" w:color="231F20"/>
                          <w:bottom w:val="single" w:sz="4" w:space="0" w:color="231F20"/>
                        </w:tcBorders>
                      </w:tcPr>
                      <w:p>
                        <w:pPr>
                          <w:pStyle w:val="TableParagraph"/>
                          <w:spacing w:before="43"/>
                          <w:ind w:left="56"/>
                          <w:jc w:val="left"/>
                          <w:rPr>
                            <w:sz w:val="16"/>
                          </w:rPr>
                        </w:pPr>
                        <w:r>
                          <w:rPr>
                            <w:color w:val="231F20"/>
                            <w:sz w:val="16"/>
                          </w:rPr>
                          <w:t>DCX</w:t>
                        </w:r>
                      </w:p>
                    </w:tc>
                    <w:tc>
                      <w:tcPr>
                        <w:tcW w:w="599" w:type="dxa"/>
                        <w:tcBorders>
                          <w:top w:val="single" w:sz="4" w:space="0" w:color="231F20"/>
                          <w:bottom w:val="single" w:sz="4" w:space="0" w:color="231F20"/>
                        </w:tcBorders>
                      </w:tcPr>
                      <w:p>
                        <w:pPr>
                          <w:pStyle w:val="TableParagraph"/>
                          <w:spacing w:before="43"/>
                          <w:ind w:left="115" w:right="153"/>
                          <w:rPr>
                            <w:sz w:val="16"/>
                          </w:rPr>
                        </w:pPr>
                        <w:r>
                          <w:rPr>
                            <w:color w:val="231F20"/>
                            <w:sz w:val="16"/>
                          </w:rPr>
                          <w:t>7.6</w:t>
                        </w:r>
                      </w:p>
                    </w:tc>
                    <w:tc>
                      <w:tcPr>
                        <w:tcW w:w="730" w:type="dxa"/>
                        <w:tcBorders>
                          <w:top w:val="single" w:sz="4" w:space="0" w:color="231F20"/>
                          <w:bottom w:val="single" w:sz="4" w:space="0" w:color="231F20"/>
                        </w:tcBorders>
                      </w:tcPr>
                      <w:p>
                        <w:pPr>
                          <w:pStyle w:val="TableParagraph"/>
                          <w:spacing w:before="43"/>
                          <w:ind w:left="192"/>
                          <w:jc w:val="left"/>
                          <w:rPr>
                            <w:sz w:val="16"/>
                          </w:rPr>
                        </w:pPr>
                        <w:r>
                          <w:rPr>
                            <w:color w:val="231F20"/>
                            <w:sz w:val="16"/>
                          </w:rPr>
                          <w:t>14.8</w:t>
                        </w:r>
                      </w:p>
                    </w:tc>
                    <w:tc>
                      <w:tcPr>
                        <w:tcW w:w="789" w:type="dxa"/>
                        <w:tcBorders>
                          <w:top w:val="single" w:sz="4" w:space="0" w:color="231F20"/>
                          <w:bottom w:val="single" w:sz="4" w:space="0" w:color="231F20"/>
                        </w:tcBorders>
                      </w:tcPr>
                      <w:p>
                        <w:pPr>
                          <w:pStyle w:val="TableParagraph"/>
                          <w:spacing w:before="43"/>
                          <w:ind w:left="30" w:right="6"/>
                          <w:rPr>
                            <w:sz w:val="16"/>
                          </w:rPr>
                        </w:pPr>
                        <w:r>
                          <w:rPr>
                            <w:color w:val="231F20"/>
                            <w:sz w:val="16"/>
                          </w:rPr>
                          <w:t>6.2</w:t>
                        </w:r>
                      </w:p>
                    </w:tc>
                    <w:tc>
                      <w:tcPr>
                        <w:tcW w:w="733" w:type="dxa"/>
                        <w:tcBorders>
                          <w:top w:val="single" w:sz="4" w:space="0" w:color="231F20"/>
                          <w:bottom w:val="single" w:sz="4" w:space="0" w:color="231F20"/>
                        </w:tcBorders>
                      </w:tcPr>
                      <w:p>
                        <w:pPr>
                          <w:pStyle w:val="TableParagraph"/>
                          <w:spacing w:before="43"/>
                          <w:ind w:left="222" w:right="180"/>
                          <w:rPr>
                            <w:sz w:val="16"/>
                          </w:rPr>
                        </w:pPr>
                        <w:r>
                          <w:rPr>
                            <w:color w:val="231F20"/>
                            <w:sz w:val="16"/>
                          </w:rPr>
                          <w:t>1.2</w:t>
                        </w:r>
                      </w:p>
                    </w:tc>
                    <w:tc>
                      <w:tcPr>
                        <w:tcW w:w="686" w:type="dxa"/>
                        <w:tcBorders>
                          <w:top w:val="single" w:sz="4" w:space="0" w:color="231F20"/>
                          <w:bottom w:val="single" w:sz="4" w:space="0" w:color="231F20"/>
                        </w:tcBorders>
                      </w:tcPr>
                      <w:p>
                        <w:pPr>
                          <w:pStyle w:val="TableParagraph"/>
                          <w:spacing w:before="43"/>
                          <w:ind w:left="57" w:right="39"/>
                          <w:rPr>
                            <w:sz w:val="16"/>
                          </w:rPr>
                        </w:pPr>
                        <w:r>
                          <w:rPr>
                            <w:color w:val="231F20"/>
                            <w:sz w:val="16"/>
                          </w:rPr>
                          <w:t>0.8</w:t>
                        </w:r>
                      </w:p>
                    </w:tc>
                    <w:tc>
                      <w:tcPr>
                        <w:tcW w:w="752" w:type="dxa"/>
                        <w:tcBorders>
                          <w:top w:val="single" w:sz="4" w:space="0" w:color="231F20"/>
                          <w:bottom w:val="single" w:sz="4" w:space="0" w:color="231F20"/>
                        </w:tcBorders>
                      </w:tcPr>
                      <w:p>
                        <w:pPr>
                          <w:pStyle w:val="TableParagraph"/>
                          <w:spacing w:before="43"/>
                          <w:ind w:left="91" w:right="36"/>
                          <w:rPr>
                            <w:sz w:val="16"/>
                          </w:rPr>
                        </w:pPr>
                        <w:r>
                          <w:rPr>
                            <w:color w:val="231F20"/>
                            <w:sz w:val="16"/>
                          </w:rPr>
                          <w:t>1.1</w:t>
                        </w:r>
                      </w:p>
                    </w:tc>
                    <w:tc>
                      <w:tcPr>
                        <w:tcW w:w="695" w:type="dxa"/>
                        <w:tcBorders>
                          <w:top w:val="single" w:sz="4" w:space="0" w:color="231F20"/>
                          <w:bottom w:val="single" w:sz="4" w:space="0" w:color="231F20"/>
                        </w:tcBorders>
                      </w:tcPr>
                      <w:p>
                        <w:pPr>
                          <w:pStyle w:val="TableParagraph"/>
                          <w:spacing w:before="43"/>
                          <w:ind w:left="130" w:right="48"/>
                          <w:rPr>
                            <w:sz w:val="16"/>
                          </w:rPr>
                        </w:pPr>
                        <w:r>
                          <w:rPr>
                            <w:color w:val="231F20"/>
                            <w:sz w:val="16"/>
                          </w:rPr>
                          <w:t>0.5</w:t>
                        </w:r>
                      </w:p>
                    </w:tc>
                    <w:tc>
                      <w:tcPr>
                        <w:tcW w:w="800" w:type="dxa"/>
                        <w:tcBorders>
                          <w:top w:val="single" w:sz="4" w:space="0" w:color="231F20"/>
                          <w:bottom w:val="single" w:sz="4" w:space="0" w:color="231F20"/>
                        </w:tcBorders>
                      </w:tcPr>
                      <w:p>
                        <w:pPr>
                          <w:pStyle w:val="TableParagraph"/>
                          <w:spacing w:before="43"/>
                          <w:ind w:left="129" w:right="68"/>
                          <w:rPr>
                            <w:sz w:val="16"/>
                          </w:rPr>
                        </w:pPr>
                        <w:r>
                          <w:rPr>
                            <w:color w:val="231F20"/>
                            <w:sz w:val="16"/>
                          </w:rPr>
                          <w:t>4.3</w:t>
                        </w:r>
                      </w:p>
                    </w:tc>
                  </w:tr>
                  <w:tr>
                    <w:trPr>
                      <w:trHeight w:val="280" w:hRule="exact"/>
                    </w:trPr>
                    <w:tc>
                      <w:tcPr>
                        <w:tcW w:w="1416" w:type="dxa"/>
                        <w:tcBorders>
                          <w:top w:val="single" w:sz="4" w:space="0" w:color="231F20"/>
                          <w:bottom w:val="single" w:sz="4" w:space="0" w:color="231F20"/>
                        </w:tcBorders>
                      </w:tcPr>
                      <w:p>
                        <w:pPr>
                          <w:pStyle w:val="TableParagraph"/>
                          <w:spacing w:before="43"/>
                          <w:ind w:left="56"/>
                          <w:jc w:val="left"/>
                          <w:rPr>
                            <w:sz w:val="16"/>
                          </w:rPr>
                        </w:pPr>
                        <w:r>
                          <w:rPr>
                            <w:color w:val="231F20"/>
                            <w:sz w:val="16"/>
                          </w:rPr>
                          <w:t>Volkswagen Group</w:t>
                        </w:r>
                      </w:p>
                    </w:tc>
                    <w:tc>
                      <w:tcPr>
                        <w:tcW w:w="599" w:type="dxa"/>
                        <w:tcBorders>
                          <w:top w:val="single" w:sz="4" w:space="0" w:color="231F20"/>
                          <w:bottom w:val="single" w:sz="4" w:space="0" w:color="231F20"/>
                        </w:tcBorders>
                      </w:tcPr>
                      <w:p>
                        <w:pPr>
                          <w:pStyle w:val="TableParagraph"/>
                          <w:spacing w:before="43"/>
                          <w:ind w:left="115" w:right="154"/>
                          <w:rPr>
                            <w:sz w:val="16"/>
                          </w:rPr>
                        </w:pPr>
                        <w:r>
                          <w:rPr>
                            <w:color w:val="231F20"/>
                            <w:sz w:val="16"/>
                          </w:rPr>
                          <w:t>9.7</w:t>
                        </w:r>
                      </w:p>
                    </w:tc>
                    <w:tc>
                      <w:tcPr>
                        <w:tcW w:w="730" w:type="dxa"/>
                        <w:tcBorders>
                          <w:top w:val="single" w:sz="4" w:space="0" w:color="231F20"/>
                          <w:bottom w:val="single" w:sz="4" w:space="0" w:color="231F20"/>
                        </w:tcBorders>
                      </w:tcPr>
                      <w:p>
                        <w:pPr>
                          <w:pStyle w:val="TableParagraph"/>
                          <w:spacing w:before="43"/>
                          <w:ind w:left="230"/>
                          <w:jc w:val="left"/>
                          <w:rPr>
                            <w:sz w:val="16"/>
                          </w:rPr>
                        </w:pPr>
                        <w:r>
                          <w:rPr>
                            <w:color w:val="231F20"/>
                            <w:sz w:val="16"/>
                          </w:rPr>
                          <w:t>2.8</w:t>
                        </w:r>
                      </w:p>
                    </w:tc>
                    <w:tc>
                      <w:tcPr>
                        <w:tcW w:w="789" w:type="dxa"/>
                        <w:tcBorders>
                          <w:top w:val="single" w:sz="4" w:space="0" w:color="231F20"/>
                          <w:bottom w:val="single" w:sz="4" w:space="0" w:color="231F20"/>
                        </w:tcBorders>
                      </w:tcPr>
                      <w:p>
                        <w:pPr>
                          <w:pStyle w:val="TableParagraph"/>
                          <w:spacing w:before="43"/>
                          <w:ind w:left="29" w:right="6"/>
                          <w:rPr>
                            <w:sz w:val="16"/>
                          </w:rPr>
                        </w:pPr>
                        <w:r>
                          <w:rPr>
                            <w:color w:val="231F20"/>
                            <w:sz w:val="16"/>
                          </w:rPr>
                          <w:t>19.7</w:t>
                        </w:r>
                      </w:p>
                    </w:tc>
                    <w:tc>
                      <w:tcPr>
                        <w:tcW w:w="733" w:type="dxa"/>
                        <w:tcBorders>
                          <w:top w:val="single" w:sz="4" w:space="0" w:color="231F20"/>
                          <w:bottom w:val="single" w:sz="4" w:space="0" w:color="231F20"/>
                        </w:tcBorders>
                      </w:tcPr>
                      <w:p>
                        <w:pPr>
                          <w:pStyle w:val="TableParagraph"/>
                          <w:spacing w:before="43"/>
                          <w:ind w:left="222" w:right="180"/>
                          <w:rPr>
                            <w:sz w:val="16"/>
                          </w:rPr>
                        </w:pPr>
                        <w:r>
                          <w:rPr>
                            <w:color w:val="231F20"/>
                            <w:sz w:val="16"/>
                          </w:rPr>
                          <w:t>1.6</w:t>
                        </w:r>
                      </w:p>
                    </w:tc>
                    <w:tc>
                      <w:tcPr>
                        <w:tcW w:w="686" w:type="dxa"/>
                        <w:tcBorders>
                          <w:top w:val="single" w:sz="4" w:space="0" w:color="231F20"/>
                          <w:bottom w:val="single" w:sz="4" w:space="0" w:color="231F20"/>
                        </w:tcBorders>
                      </w:tcPr>
                      <w:p>
                        <w:pPr>
                          <w:pStyle w:val="TableParagraph"/>
                          <w:spacing w:before="43"/>
                          <w:ind w:left="56" w:right="39"/>
                          <w:rPr>
                            <w:sz w:val="16"/>
                          </w:rPr>
                        </w:pPr>
                        <w:r>
                          <w:rPr>
                            <w:color w:val="231F20"/>
                            <w:sz w:val="16"/>
                          </w:rPr>
                          <w:t>8.7</w:t>
                        </w:r>
                      </w:p>
                    </w:tc>
                    <w:tc>
                      <w:tcPr>
                        <w:tcW w:w="752" w:type="dxa"/>
                        <w:tcBorders>
                          <w:top w:val="single" w:sz="4" w:space="0" w:color="231F20"/>
                          <w:bottom w:val="single" w:sz="4" w:space="0" w:color="231F20"/>
                        </w:tcBorders>
                      </w:tcPr>
                      <w:p>
                        <w:pPr>
                          <w:pStyle w:val="TableParagraph"/>
                          <w:spacing w:before="43"/>
                          <w:ind w:left="90" w:right="36"/>
                          <w:rPr>
                            <w:sz w:val="16"/>
                          </w:rPr>
                        </w:pPr>
                        <w:r>
                          <w:rPr>
                            <w:color w:val="231F20"/>
                            <w:sz w:val="16"/>
                          </w:rPr>
                          <w:t>10.7</w:t>
                        </w:r>
                      </w:p>
                    </w:tc>
                    <w:tc>
                      <w:tcPr>
                        <w:tcW w:w="695" w:type="dxa"/>
                        <w:tcBorders>
                          <w:top w:val="single" w:sz="4" w:space="0" w:color="231F20"/>
                          <w:bottom w:val="single" w:sz="4" w:space="0" w:color="231F20"/>
                        </w:tcBorders>
                      </w:tcPr>
                      <w:p>
                        <w:pPr>
                          <w:pStyle w:val="TableParagraph"/>
                          <w:spacing w:before="43"/>
                          <w:ind w:left="129" w:right="48"/>
                          <w:rPr>
                            <w:sz w:val="16"/>
                          </w:rPr>
                        </w:pPr>
                        <w:r>
                          <w:rPr>
                            <w:color w:val="231F20"/>
                            <w:sz w:val="16"/>
                          </w:rPr>
                          <w:t>21.9</w:t>
                        </w:r>
                      </w:p>
                    </w:tc>
                    <w:tc>
                      <w:tcPr>
                        <w:tcW w:w="800" w:type="dxa"/>
                        <w:tcBorders>
                          <w:top w:val="single" w:sz="4" w:space="0" w:color="231F20"/>
                          <w:bottom w:val="single" w:sz="4" w:space="0" w:color="231F20"/>
                        </w:tcBorders>
                      </w:tcPr>
                      <w:p>
                        <w:pPr>
                          <w:pStyle w:val="TableParagraph"/>
                          <w:spacing w:before="43"/>
                          <w:ind w:left="128" w:right="68"/>
                          <w:rPr>
                            <w:sz w:val="16"/>
                          </w:rPr>
                        </w:pPr>
                        <w:r>
                          <w:rPr>
                            <w:color w:val="231F20"/>
                            <w:sz w:val="16"/>
                          </w:rPr>
                          <w:t>16.8</w:t>
                        </w:r>
                      </w:p>
                    </w:tc>
                  </w:tr>
                  <w:tr>
                    <w:trPr>
                      <w:trHeight w:val="280" w:hRule="exact"/>
                    </w:trPr>
                    <w:tc>
                      <w:tcPr>
                        <w:tcW w:w="1416" w:type="dxa"/>
                        <w:tcBorders>
                          <w:top w:val="single" w:sz="4" w:space="0" w:color="231F20"/>
                          <w:bottom w:val="single" w:sz="4" w:space="0" w:color="231F20"/>
                        </w:tcBorders>
                      </w:tcPr>
                      <w:p>
                        <w:pPr>
                          <w:pStyle w:val="TableParagraph"/>
                          <w:spacing w:before="43"/>
                          <w:ind w:left="55"/>
                          <w:jc w:val="left"/>
                          <w:rPr>
                            <w:sz w:val="16"/>
                          </w:rPr>
                        </w:pPr>
                        <w:r>
                          <w:rPr>
                            <w:color w:val="231F20"/>
                            <w:sz w:val="16"/>
                          </w:rPr>
                          <w:t>Peugeot-Citroën</w:t>
                        </w:r>
                      </w:p>
                    </w:tc>
                    <w:tc>
                      <w:tcPr>
                        <w:tcW w:w="599" w:type="dxa"/>
                        <w:tcBorders>
                          <w:top w:val="single" w:sz="4" w:space="0" w:color="231F20"/>
                          <w:bottom w:val="single" w:sz="4" w:space="0" w:color="231F20"/>
                        </w:tcBorders>
                      </w:tcPr>
                      <w:p>
                        <w:pPr>
                          <w:pStyle w:val="TableParagraph"/>
                          <w:spacing w:before="43"/>
                          <w:ind w:left="115" w:right="155"/>
                          <w:rPr>
                            <w:sz w:val="16"/>
                          </w:rPr>
                        </w:pPr>
                        <w:r>
                          <w:rPr>
                            <w:color w:val="231F20"/>
                            <w:sz w:val="16"/>
                          </w:rPr>
                          <w:t>4.8</w:t>
                        </w:r>
                      </w:p>
                    </w:tc>
                    <w:tc>
                      <w:tcPr>
                        <w:tcW w:w="730" w:type="dxa"/>
                        <w:tcBorders>
                          <w:top w:val="single" w:sz="4" w:space="0" w:color="231F20"/>
                          <w:bottom w:val="single" w:sz="4" w:space="0" w:color="231F20"/>
                        </w:tcBorders>
                      </w:tcPr>
                      <w:p>
                        <w:pPr>
                          <w:pStyle w:val="TableParagraph"/>
                          <w:spacing w:before="43"/>
                          <w:ind w:left="230"/>
                          <w:jc w:val="left"/>
                          <w:rPr>
                            <w:sz w:val="16"/>
                          </w:rPr>
                        </w:pPr>
                        <w:r>
                          <w:rPr>
                            <w:color w:val="231F20"/>
                            <w:sz w:val="16"/>
                          </w:rPr>
                          <w:t>0.1</w:t>
                        </w:r>
                      </w:p>
                    </w:tc>
                    <w:tc>
                      <w:tcPr>
                        <w:tcW w:w="789" w:type="dxa"/>
                        <w:tcBorders>
                          <w:top w:val="single" w:sz="4" w:space="0" w:color="231F20"/>
                          <w:bottom w:val="single" w:sz="4" w:space="0" w:color="231F20"/>
                        </w:tcBorders>
                      </w:tcPr>
                      <w:p>
                        <w:pPr>
                          <w:pStyle w:val="TableParagraph"/>
                          <w:spacing w:before="43"/>
                          <w:ind w:left="28" w:right="6"/>
                          <w:rPr>
                            <w:sz w:val="16"/>
                          </w:rPr>
                        </w:pPr>
                        <w:r>
                          <w:rPr>
                            <w:color w:val="231F20"/>
                            <w:sz w:val="16"/>
                          </w:rPr>
                          <w:t>13.3</w:t>
                        </w:r>
                      </w:p>
                    </w:tc>
                    <w:tc>
                      <w:tcPr>
                        <w:tcW w:w="733" w:type="dxa"/>
                        <w:tcBorders>
                          <w:top w:val="single" w:sz="4" w:space="0" w:color="231F20"/>
                          <w:bottom w:val="single" w:sz="4" w:space="0" w:color="231F20"/>
                        </w:tcBorders>
                      </w:tcPr>
                      <w:p>
                        <w:pPr>
                          <w:pStyle w:val="TableParagraph"/>
                          <w:spacing w:before="43"/>
                          <w:ind w:left="222" w:right="181"/>
                          <w:rPr>
                            <w:sz w:val="16"/>
                          </w:rPr>
                        </w:pPr>
                        <w:r>
                          <w:rPr>
                            <w:color w:val="231F20"/>
                            <w:sz w:val="16"/>
                          </w:rPr>
                          <w:t>0.3</w:t>
                        </w:r>
                      </w:p>
                    </w:tc>
                    <w:tc>
                      <w:tcPr>
                        <w:tcW w:w="686" w:type="dxa"/>
                        <w:tcBorders>
                          <w:top w:val="single" w:sz="4" w:space="0" w:color="231F20"/>
                          <w:bottom w:val="single" w:sz="4" w:space="0" w:color="231F20"/>
                        </w:tcBorders>
                      </w:tcPr>
                      <w:p>
                        <w:pPr>
                          <w:pStyle w:val="TableParagraph"/>
                          <w:spacing w:before="43"/>
                          <w:ind w:left="56" w:right="39"/>
                          <w:rPr>
                            <w:sz w:val="16"/>
                          </w:rPr>
                        </w:pPr>
                        <w:r>
                          <w:rPr>
                            <w:color w:val="231F20"/>
                            <w:sz w:val="16"/>
                          </w:rPr>
                          <w:t>2.7</w:t>
                        </w:r>
                      </w:p>
                    </w:tc>
                    <w:tc>
                      <w:tcPr>
                        <w:tcW w:w="752" w:type="dxa"/>
                        <w:tcBorders>
                          <w:top w:val="single" w:sz="4" w:space="0" w:color="231F20"/>
                          <w:bottom w:val="single" w:sz="4" w:space="0" w:color="231F20"/>
                        </w:tcBorders>
                      </w:tcPr>
                      <w:p>
                        <w:pPr>
                          <w:pStyle w:val="TableParagraph"/>
                          <w:spacing w:before="43"/>
                          <w:ind w:left="89" w:right="36"/>
                          <w:rPr>
                            <w:sz w:val="16"/>
                          </w:rPr>
                        </w:pPr>
                        <w:r>
                          <w:rPr>
                            <w:color w:val="231F20"/>
                            <w:sz w:val="16"/>
                          </w:rPr>
                          <w:t>4.5</w:t>
                        </w:r>
                      </w:p>
                    </w:tc>
                    <w:tc>
                      <w:tcPr>
                        <w:tcW w:w="695" w:type="dxa"/>
                        <w:tcBorders>
                          <w:top w:val="single" w:sz="4" w:space="0" w:color="231F20"/>
                          <w:bottom w:val="single" w:sz="4" w:space="0" w:color="231F20"/>
                        </w:tcBorders>
                      </w:tcPr>
                      <w:p>
                        <w:pPr>
                          <w:pStyle w:val="TableParagraph"/>
                          <w:spacing w:before="43"/>
                          <w:ind w:left="129" w:right="48"/>
                          <w:rPr>
                            <w:sz w:val="16"/>
                          </w:rPr>
                        </w:pPr>
                        <w:r>
                          <w:rPr>
                            <w:color w:val="231F20"/>
                            <w:sz w:val="16"/>
                          </w:rPr>
                          <w:t>7.6</w:t>
                        </w:r>
                      </w:p>
                    </w:tc>
                    <w:tc>
                      <w:tcPr>
                        <w:tcW w:w="800" w:type="dxa"/>
                        <w:tcBorders>
                          <w:top w:val="single" w:sz="4" w:space="0" w:color="231F20"/>
                          <w:bottom w:val="single" w:sz="4" w:space="0" w:color="231F20"/>
                        </w:tcBorders>
                      </w:tcPr>
                      <w:p>
                        <w:pPr>
                          <w:pStyle w:val="TableParagraph"/>
                          <w:spacing w:before="43"/>
                          <w:ind w:left="128" w:right="68"/>
                          <w:rPr>
                            <w:sz w:val="16"/>
                          </w:rPr>
                        </w:pPr>
                        <w:r>
                          <w:rPr>
                            <w:color w:val="231F20"/>
                            <w:sz w:val="16"/>
                          </w:rPr>
                          <w:t>4.5</w:t>
                        </w:r>
                      </w:p>
                    </w:tc>
                  </w:tr>
                  <w:tr>
                    <w:trPr>
                      <w:trHeight w:val="301" w:hRule="exact"/>
                    </w:trPr>
                    <w:tc>
                      <w:tcPr>
                        <w:tcW w:w="1416" w:type="dxa"/>
                        <w:tcBorders>
                          <w:top w:val="single" w:sz="4" w:space="0" w:color="231F20"/>
                        </w:tcBorders>
                      </w:tcPr>
                      <w:p>
                        <w:pPr>
                          <w:pStyle w:val="TableParagraph"/>
                          <w:spacing w:before="43"/>
                          <w:ind w:left="55"/>
                          <w:jc w:val="left"/>
                          <w:rPr>
                            <w:sz w:val="16"/>
                          </w:rPr>
                        </w:pPr>
                        <w:r>
                          <w:rPr>
                            <w:color w:val="231F20"/>
                            <w:sz w:val="16"/>
                          </w:rPr>
                          <w:t>Renault-Nissan</w:t>
                        </w:r>
                      </w:p>
                    </w:tc>
                    <w:tc>
                      <w:tcPr>
                        <w:tcW w:w="599" w:type="dxa"/>
                        <w:tcBorders>
                          <w:top w:val="single" w:sz="4" w:space="0" w:color="231F20"/>
                        </w:tcBorders>
                      </w:tcPr>
                      <w:p>
                        <w:pPr>
                          <w:pStyle w:val="TableParagraph"/>
                          <w:spacing w:before="43"/>
                          <w:ind w:left="115" w:right="155"/>
                          <w:rPr>
                            <w:sz w:val="16"/>
                          </w:rPr>
                        </w:pPr>
                        <w:r>
                          <w:rPr>
                            <w:color w:val="231F20"/>
                            <w:sz w:val="16"/>
                          </w:rPr>
                          <w:t>8.7</w:t>
                        </w:r>
                      </w:p>
                    </w:tc>
                    <w:tc>
                      <w:tcPr>
                        <w:tcW w:w="730" w:type="dxa"/>
                        <w:tcBorders>
                          <w:top w:val="single" w:sz="4" w:space="0" w:color="231F20"/>
                        </w:tcBorders>
                      </w:tcPr>
                      <w:p>
                        <w:pPr>
                          <w:pStyle w:val="TableParagraph"/>
                          <w:spacing w:before="43"/>
                          <w:ind w:left="230"/>
                          <w:jc w:val="left"/>
                          <w:rPr>
                            <w:sz w:val="16"/>
                          </w:rPr>
                        </w:pPr>
                        <w:r>
                          <w:rPr>
                            <w:color w:val="231F20"/>
                            <w:sz w:val="16"/>
                          </w:rPr>
                          <w:t>7.1</w:t>
                        </w:r>
                      </w:p>
                    </w:tc>
                    <w:tc>
                      <w:tcPr>
                        <w:tcW w:w="789" w:type="dxa"/>
                        <w:tcBorders>
                          <w:top w:val="single" w:sz="4" w:space="0" w:color="231F20"/>
                        </w:tcBorders>
                      </w:tcPr>
                      <w:p>
                        <w:pPr>
                          <w:pStyle w:val="TableParagraph"/>
                          <w:spacing w:before="43"/>
                          <w:ind w:left="28" w:right="6"/>
                          <w:rPr>
                            <w:sz w:val="16"/>
                          </w:rPr>
                        </w:pPr>
                        <w:r>
                          <w:rPr>
                            <w:color w:val="231F20"/>
                            <w:sz w:val="16"/>
                          </w:rPr>
                          <w:t>11.1</w:t>
                        </w:r>
                      </w:p>
                    </w:tc>
                    <w:tc>
                      <w:tcPr>
                        <w:tcW w:w="733" w:type="dxa"/>
                        <w:tcBorders>
                          <w:top w:val="single" w:sz="4" w:space="0" w:color="231F20"/>
                        </w:tcBorders>
                      </w:tcPr>
                      <w:p>
                        <w:pPr>
                          <w:pStyle w:val="TableParagraph"/>
                          <w:spacing w:before="43"/>
                          <w:ind w:left="222" w:right="182"/>
                          <w:rPr>
                            <w:sz w:val="16"/>
                          </w:rPr>
                        </w:pPr>
                        <w:r>
                          <w:rPr>
                            <w:color w:val="231F20"/>
                            <w:sz w:val="16"/>
                          </w:rPr>
                          <w:t>13.9</w:t>
                        </w:r>
                      </w:p>
                    </w:tc>
                    <w:tc>
                      <w:tcPr>
                        <w:tcW w:w="686" w:type="dxa"/>
                        <w:tcBorders>
                          <w:top w:val="single" w:sz="4" w:space="0" w:color="231F20"/>
                        </w:tcBorders>
                      </w:tcPr>
                      <w:p>
                        <w:pPr>
                          <w:pStyle w:val="TableParagraph"/>
                          <w:spacing w:before="43"/>
                          <w:ind w:left="55" w:right="39"/>
                          <w:rPr>
                            <w:sz w:val="16"/>
                          </w:rPr>
                        </w:pPr>
                        <w:r>
                          <w:rPr>
                            <w:color w:val="231F20"/>
                            <w:sz w:val="16"/>
                          </w:rPr>
                          <w:t>4.7</w:t>
                        </w:r>
                      </w:p>
                    </w:tc>
                    <w:tc>
                      <w:tcPr>
                        <w:tcW w:w="752" w:type="dxa"/>
                        <w:tcBorders>
                          <w:top w:val="single" w:sz="4" w:space="0" w:color="231F20"/>
                        </w:tcBorders>
                      </w:tcPr>
                      <w:p>
                        <w:pPr>
                          <w:pStyle w:val="TableParagraph"/>
                          <w:spacing w:before="43"/>
                          <w:ind w:left="89" w:right="36"/>
                          <w:rPr>
                            <w:sz w:val="16"/>
                          </w:rPr>
                        </w:pPr>
                        <w:r>
                          <w:rPr>
                            <w:color w:val="231F20"/>
                            <w:sz w:val="16"/>
                          </w:rPr>
                          <w:t>12.1</w:t>
                        </w:r>
                      </w:p>
                    </w:tc>
                    <w:tc>
                      <w:tcPr>
                        <w:tcW w:w="695" w:type="dxa"/>
                        <w:tcBorders>
                          <w:top w:val="single" w:sz="4" w:space="0" w:color="231F20"/>
                        </w:tcBorders>
                      </w:tcPr>
                      <w:p>
                        <w:pPr>
                          <w:pStyle w:val="TableParagraph"/>
                          <w:spacing w:before="43"/>
                          <w:ind w:left="128" w:right="48"/>
                          <w:rPr>
                            <w:sz w:val="16"/>
                          </w:rPr>
                        </w:pPr>
                        <w:r>
                          <w:rPr>
                            <w:color w:val="231F20"/>
                            <w:sz w:val="16"/>
                          </w:rPr>
                          <w:t>5.2</w:t>
                        </w:r>
                      </w:p>
                    </w:tc>
                    <w:tc>
                      <w:tcPr>
                        <w:tcW w:w="800" w:type="dxa"/>
                        <w:tcBorders>
                          <w:top w:val="single" w:sz="4" w:space="0" w:color="231F20"/>
                        </w:tcBorders>
                      </w:tcPr>
                      <w:p>
                        <w:pPr>
                          <w:pStyle w:val="TableParagraph"/>
                          <w:spacing w:before="43"/>
                          <w:ind w:left="127" w:right="68"/>
                          <w:rPr>
                            <w:sz w:val="16"/>
                          </w:rPr>
                        </w:pPr>
                        <w:r>
                          <w:rPr>
                            <w:color w:val="231F20"/>
                            <w:sz w:val="16"/>
                          </w:rPr>
                          <w:t>12.1</w:t>
                        </w:r>
                      </w:p>
                    </w:tc>
                  </w:tr>
                  <w:tr>
                    <w:trPr>
                      <w:trHeight w:val="280" w:hRule="exact"/>
                    </w:trPr>
                    <w:tc>
                      <w:tcPr>
                        <w:tcW w:w="1416" w:type="dxa"/>
                      </w:tcPr>
                      <w:p>
                        <w:pPr>
                          <w:pStyle w:val="TableParagraph"/>
                          <w:spacing w:before="28"/>
                          <w:ind w:left="55"/>
                          <w:jc w:val="left"/>
                          <w:rPr>
                            <w:sz w:val="16"/>
                          </w:rPr>
                        </w:pPr>
                        <w:r>
                          <w:rPr>
                            <w:color w:val="231F20"/>
                            <w:sz w:val="16"/>
                          </w:rPr>
                          <w:t>Renault</w:t>
                        </w:r>
                      </w:p>
                    </w:tc>
                    <w:tc>
                      <w:tcPr>
                        <w:tcW w:w="599" w:type="dxa"/>
                      </w:tcPr>
                      <w:p>
                        <w:pPr>
                          <w:pStyle w:val="TableParagraph"/>
                          <w:spacing w:before="28"/>
                          <w:ind w:left="115" w:right="156"/>
                          <w:rPr>
                            <w:sz w:val="16"/>
                          </w:rPr>
                        </w:pPr>
                        <w:r>
                          <w:rPr>
                            <w:color w:val="231F20"/>
                            <w:sz w:val="16"/>
                          </w:rPr>
                          <w:t>3.6</w:t>
                        </w:r>
                      </w:p>
                    </w:tc>
                    <w:tc>
                      <w:tcPr>
                        <w:tcW w:w="730" w:type="dxa"/>
                      </w:tcPr>
                      <w:p>
                        <w:pPr>
                          <w:pStyle w:val="TableParagraph"/>
                          <w:spacing w:before="28"/>
                          <w:ind w:left="229"/>
                          <w:jc w:val="left"/>
                          <w:rPr>
                            <w:sz w:val="16"/>
                          </w:rPr>
                        </w:pPr>
                        <w:r>
                          <w:rPr>
                            <w:color w:val="231F20"/>
                            <w:sz w:val="16"/>
                          </w:rPr>
                          <w:t>0.1</w:t>
                        </w:r>
                      </w:p>
                    </w:tc>
                    <w:tc>
                      <w:tcPr>
                        <w:tcW w:w="789" w:type="dxa"/>
                      </w:tcPr>
                      <w:p>
                        <w:pPr>
                          <w:pStyle w:val="TableParagraph"/>
                          <w:spacing w:before="28"/>
                          <w:ind w:left="27" w:right="6"/>
                          <w:rPr>
                            <w:sz w:val="16"/>
                          </w:rPr>
                        </w:pPr>
                        <w:r>
                          <w:rPr>
                            <w:color w:val="231F20"/>
                            <w:sz w:val="16"/>
                          </w:rPr>
                          <w:t>9.0</w:t>
                        </w:r>
                      </w:p>
                    </w:tc>
                    <w:tc>
                      <w:tcPr>
                        <w:tcW w:w="733" w:type="dxa"/>
                      </w:tcPr>
                      <w:p>
                        <w:pPr>
                          <w:pStyle w:val="TableParagraph"/>
                          <w:spacing w:before="28"/>
                          <w:ind w:left="222" w:right="182"/>
                          <w:rPr>
                            <w:sz w:val="16"/>
                          </w:rPr>
                        </w:pPr>
                        <w:r>
                          <w:rPr>
                            <w:color w:val="231F20"/>
                            <w:sz w:val="16"/>
                          </w:rPr>
                          <w:t>0.1</w:t>
                        </w:r>
                      </w:p>
                    </w:tc>
                    <w:tc>
                      <w:tcPr>
                        <w:tcW w:w="686" w:type="dxa"/>
                      </w:tcPr>
                      <w:p>
                        <w:pPr>
                          <w:pStyle w:val="TableParagraph"/>
                          <w:spacing w:before="28"/>
                          <w:ind w:left="54" w:right="39"/>
                          <w:rPr>
                            <w:sz w:val="16"/>
                          </w:rPr>
                        </w:pPr>
                        <w:r>
                          <w:rPr>
                            <w:color w:val="231F20"/>
                            <w:sz w:val="16"/>
                          </w:rPr>
                          <w:t>1.4</w:t>
                        </w:r>
                      </w:p>
                    </w:tc>
                    <w:tc>
                      <w:tcPr>
                        <w:tcW w:w="752" w:type="dxa"/>
                      </w:tcPr>
                      <w:p>
                        <w:pPr>
                          <w:pStyle w:val="TableParagraph"/>
                          <w:spacing w:before="28"/>
                          <w:ind w:left="88" w:right="36"/>
                          <w:rPr>
                            <w:sz w:val="16"/>
                          </w:rPr>
                        </w:pPr>
                        <w:r>
                          <w:rPr>
                            <w:color w:val="231F20"/>
                            <w:sz w:val="16"/>
                          </w:rPr>
                          <w:t>9.7</w:t>
                        </w:r>
                      </w:p>
                    </w:tc>
                    <w:tc>
                      <w:tcPr>
                        <w:tcW w:w="695" w:type="dxa"/>
                      </w:tcPr>
                      <w:p>
                        <w:pPr>
                          <w:pStyle w:val="TableParagraph"/>
                          <w:spacing w:before="28"/>
                          <w:ind w:left="127" w:right="48"/>
                          <w:rPr>
                            <w:sz w:val="16"/>
                          </w:rPr>
                        </w:pPr>
                        <w:r>
                          <w:rPr>
                            <w:color w:val="231F20"/>
                            <w:sz w:val="16"/>
                          </w:rPr>
                          <w:t>4.7</w:t>
                        </w:r>
                      </w:p>
                    </w:tc>
                    <w:tc>
                      <w:tcPr>
                        <w:tcW w:w="800" w:type="dxa"/>
                      </w:tcPr>
                      <w:p>
                        <w:pPr>
                          <w:pStyle w:val="TableParagraph"/>
                          <w:spacing w:before="28"/>
                          <w:ind w:left="126" w:right="68"/>
                          <w:rPr>
                            <w:sz w:val="16"/>
                          </w:rPr>
                        </w:pPr>
                        <w:r>
                          <w:rPr>
                            <w:color w:val="231F20"/>
                            <w:sz w:val="16"/>
                          </w:rPr>
                          <w:t>9.5</w:t>
                        </w:r>
                      </w:p>
                    </w:tc>
                  </w:tr>
                  <w:tr>
                    <w:trPr>
                      <w:trHeight w:val="259" w:hRule="exact"/>
                    </w:trPr>
                    <w:tc>
                      <w:tcPr>
                        <w:tcW w:w="1416" w:type="dxa"/>
                        <w:tcBorders>
                          <w:bottom w:val="single" w:sz="4" w:space="0" w:color="231F20"/>
                        </w:tcBorders>
                      </w:tcPr>
                      <w:p>
                        <w:pPr>
                          <w:pStyle w:val="TableParagraph"/>
                          <w:spacing w:before="28"/>
                          <w:ind w:left="54"/>
                          <w:jc w:val="left"/>
                          <w:rPr>
                            <w:sz w:val="16"/>
                          </w:rPr>
                        </w:pPr>
                        <w:r>
                          <w:rPr>
                            <w:color w:val="231F20"/>
                            <w:sz w:val="16"/>
                          </w:rPr>
                          <w:t>Nissan</w:t>
                        </w:r>
                      </w:p>
                    </w:tc>
                    <w:tc>
                      <w:tcPr>
                        <w:tcW w:w="599" w:type="dxa"/>
                        <w:tcBorders>
                          <w:bottom w:val="single" w:sz="4" w:space="0" w:color="231F20"/>
                        </w:tcBorders>
                      </w:tcPr>
                      <w:p>
                        <w:pPr>
                          <w:pStyle w:val="TableParagraph"/>
                          <w:spacing w:before="28"/>
                          <w:ind w:left="115" w:right="157"/>
                          <w:rPr>
                            <w:sz w:val="16"/>
                          </w:rPr>
                        </w:pPr>
                        <w:r>
                          <w:rPr>
                            <w:color w:val="231F20"/>
                            <w:sz w:val="16"/>
                          </w:rPr>
                          <w:t>5.1</w:t>
                        </w:r>
                      </w:p>
                    </w:tc>
                    <w:tc>
                      <w:tcPr>
                        <w:tcW w:w="730" w:type="dxa"/>
                        <w:tcBorders>
                          <w:bottom w:val="single" w:sz="4" w:space="0" w:color="231F20"/>
                        </w:tcBorders>
                      </w:tcPr>
                      <w:p>
                        <w:pPr>
                          <w:pStyle w:val="TableParagraph"/>
                          <w:spacing w:before="28"/>
                          <w:ind w:left="229"/>
                          <w:jc w:val="left"/>
                          <w:rPr>
                            <w:sz w:val="16"/>
                          </w:rPr>
                        </w:pPr>
                        <w:r>
                          <w:rPr>
                            <w:color w:val="231F20"/>
                            <w:sz w:val="16"/>
                          </w:rPr>
                          <w:t>7.0</w:t>
                        </w:r>
                      </w:p>
                    </w:tc>
                    <w:tc>
                      <w:tcPr>
                        <w:tcW w:w="789" w:type="dxa"/>
                        <w:tcBorders>
                          <w:bottom w:val="single" w:sz="4" w:space="0" w:color="231F20"/>
                        </w:tcBorders>
                      </w:tcPr>
                      <w:p>
                        <w:pPr>
                          <w:pStyle w:val="TableParagraph"/>
                          <w:spacing w:before="28"/>
                          <w:ind w:left="26" w:right="6"/>
                          <w:rPr>
                            <w:sz w:val="16"/>
                          </w:rPr>
                        </w:pPr>
                        <w:r>
                          <w:rPr>
                            <w:color w:val="231F20"/>
                            <w:sz w:val="16"/>
                          </w:rPr>
                          <w:t>2.1</w:t>
                        </w:r>
                      </w:p>
                    </w:tc>
                    <w:tc>
                      <w:tcPr>
                        <w:tcW w:w="733" w:type="dxa"/>
                        <w:tcBorders>
                          <w:bottom w:val="single" w:sz="4" w:space="0" w:color="231F20"/>
                        </w:tcBorders>
                      </w:tcPr>
                      <w:p>
                        <w:pPr>
                          <w:pStyle w:val="TableParagraph"/>
                          <w:spacing w:before="28"/>
                          <w:ind w:left="222" w:right="183"/>
                          <w:rPr>
                            <w:sz w:val="16"/>
                          </w:rPr>
                        </w:pPr>
                        <w:r>
                          <w:rPr>
                            <w:color w:val="231F20"/>
                            <w:sz w:val="16"/>
                          </w:rPr>
                          <w:t>13.9</w:t>
                        </w:r>
                      </w:p>
                    </w:tc>
                    <w:tc>
                      <w:tcPr>
                        <w:tcW w:w="686" w:type="dxa"/>
                        <w:tcBorders>
                          <w:bottom w:val="single" w:sz="4" w:space="0" w:color="231F20"/>
                        </w:tcBorders>
                      </w:tcPr>
                      <w:p>
                        <w:pPr>
                          <w:pStyle w:val="TableParagraph"/>
                          <w:spacing w:before="28"/>
                          <w:ind w:left="54" w:right="39"/>
                          <w:rPr>
                            <w:sz w:val="16"/>
                          </w:rPr>
                        </w:pPr>
                        <w:r>
                          <w:rPr>
                            <w:color w:val="231F20"/>
                            <w:sz w:val="16"/>
                          </w:rPr>
                          <w:t>3.2</w:t>
                        </w:r>
                      </w:p>
                    </w:tc>
                    <w:tc>
                      <w:tcPr>
                        <w:tcW w:w="752" w:type="dxa"/>
                        <w:tcBorders>
                          <w:bottom w:val="single" w:sz="4" w:space="0" w:color="231F20"/>
                        </w:tcBorders>
                      </w:tcPr>
                      <w:p>
                        <w:pPr>
                          <w:pStyle w:val="TableParagraph"/>
                          <w:spacing w:before="28"/>
                          <w:ind w:left="87" w:right="36"/>
                          <w:rPr>
                            <w:sz w:val="16"/>
                          </w:rPr>
                        </w:pPr>
                        <w:r>
                          <w:rPr>
                            <w:color w:val="231F20"/>
                            <w:sz w:val="16"/>
                          </w:rPr>
                          <w:t>2.3</w:t>
                        </w:r>
                      </w:p>
                    </w:tc>
                    <w:tc>
                      <w:tcPr>
                        <w:tcW w:w="695" w:type="dxa"/>
                        <w:tcBorders>
                          <w:bottom w:val="single" w:sz="4" w:space="0" w:color="231F20"/>
                        </w:tcBorders>
                      </w:tcPr>
                      <w:p>
                        <w:pPr>
                          <w:pStyle w:val="TableParagraph"/>
                          <w:spacing w:before="28"/>
                          <w:ind w:left="127" w:right="48"/>
                          <w:rPr>
                            <w:sz w:val="16"/>
                          </w:rPr>
                        </w:pPr>
                        <w:r>
                          <w:rPr>
                            <w:color w:val="231F20"/>
                            <w:sz w:val="16"/>
                          </w:rPr>
                          <w:t>0.5</w:t>
                        </w:r>
                      </w:p>
                    </w:tc>
                    <w:tc>
                      <w:tcPr>
                        <w:tcW w:w="800" w:type="dxa"/>
                        <w:tcBorders>
                          <w:bottom w:val="single" w:sz="4" w:space="0" w:color="231F20"/>
                        </w:tcBorders>
                      </w:tcPr>
                      <w:p>
                        <w:pPr>
                          <w:pStyle w:val="TableParagraph"/>
                          <w:spacing w:before="28"/>
                          <w:ind w:left="126" w:right="68"/>
                          <w:rPr>
                            <w:sz w:val="16"/>
                          </w:rPr>
                        </w:pPr>
                        <w:r>
                          <w:rPr>
                            <w:color w:val="231F20"/>
                            <w:sz w:val="16"/>
                          </w:rPr>
                          <w:t>2.6</w:t>
                        </w:r>
                      </w:p>
                    </w:tc>
                  </w:tr>
                  <w:tr>
                    <w:trPr>
                      <w:trHeight w:val="280" w:hRule="exact"/>
                    </w:trPr>
                    <w:tc>
                      <w:tcPr>
                        <w:tcW w:w="1416" w:type="dxa"/>
                        <w:tcBorders>
                          <w:top w:val="single" w:sz="4" w:space="0" w:color="231F20"/>
                          <w:bottom w:val="single" w:sz="4" w:space="0" w:color="231F20"/>
                        </w:tcBorders>
                      </w:tcPr>
                      <w:p>
                        <w:pPr>
                          <w:pStyle w:val="TableParagraph"/>
                          <w:spacing w:before="43"/>
                          <w:ind w:left="54"/>
                          <w:jc w:val="left"/>
                          <w:rPr>
                            <w:sz w:val="16"/>
                          </w:rPr>
                        </w:pPr>
                        <w:r>
                          <w:rPr>
                            <w:color w:val="231F20"/>
                            <w:sz w:val="16"/>
                          </w:rPr>
                          <w:t>Fiat Auto</w:t>
                        </w:r>
                      </w:p>
                    </w:tc>
                    <w:tc>
                      <w:tcPr>
                        <w:tcW w:w="599" w:type="dxa"/>
                        <w:tcBorders>
                          <w:top w:val="single" w:sz="4" w:space="0" w:color="231F20"/>
                          <w:bottom w:val="single" w:sz="4" w:space="0" w:color="231F20"/>
                        </w:tcBorders>
                      </w:tcPr>
                      <w:p>
                        <w:pPr>
                          <w:pStyle w:val="TableParagraph"/>
                          <w:spacing w:before="43"/>
                          <w:ind w:left="115" w:right="157"/>
                          <w:rPr>
                            <w:sz w:val="16"/>
                          </w:rPr>
                        </w:pPr>
                        <w:r>
                          <w:rPr>
                            <w:color w:val="231F20"/>
                            <w:sz w:val="16"/>
                          </w:rPr>
                          <w:t>3.2</w:t>
                        </w:r>
                      </w:p>
                    </w:tc>
                    <w:tc>
                      <w:tcPr>
                        <w:tcW w:w="730" w:type="dxa"/>
                        <w:tcBorders>
                          <w:top w:val="single" w:sz="4" w:space="0" w:color="231F20"/>
                          <w:bottom w:val="single" w:sz="4" w:space="0" w:color="231F20"/>
                        </w:tcBorders>
                      </w:tcPr>
                      <w:p>
                        <w:pPr>
                          <w:pStyle w:val="TableParagraph"/>
                          <w:spacing w:before="43"/>
                          <w:ind w:left="229"/>
                          <w:jc w:val="left"/>
                          <w:rPr>
                            <w:sz w:val="16"/>
                          </w:rPr>
                        </w:pPr>
                        <w:r>
                          <w:rPr>
                            <w:color w:val="231F20"/>
                            <w:sz w:val="16"/>
                          </w:rPr>
                          <w:t>0.0</w:t>
                        </w:r>
                      </w:p>
                    </w:tc>
                    <w:tc>
                      <w:tcPr>
                        <w:tcW w:w="789" w:type="dxa"/>
                        <w:tcBorders>
                          <w:top w:val="single" w:sz="4" w:space="0" w:color="231F20"/>
                          <w:bottom w:val="single" w:sz="4" w:space="0" w:color="231F20"/>
                        </w:tcBorders>
                      </w:tcPr>
                      <w:p>
                        <w:pPr>
                          <w:pStyle w:val="TableParagraph"/>
                          <w:spacing w:before="43"/>
                          <w:ind w:left="26" w:right="6"/>
                          <w:rPr>
                            <w:sz w:val="16"/>
                          </w:rPr>
                        </w:pPr>
                        <w:r>
                          <w:rPr>
                            <w:color w:val="231F20"/>
                            <w:sz w:val="16"/>
                          </w:rPr>
                          <w:t>7.6</w:t>
                        </w:r>
                      </w:p>
                    </w:tc>
                    <w:tc>
                      <w:tcPr>
                        <w:tcW w:w="733" w:type="dxa"/>
                        <w:tcBorders>
                          <w:top w:val="single" w:sz="4" w:space="0" w:color="231F20"/>
                          <w:bottom w:val="single" w:sz="4" w:space="0" w:color="231F20"/>
                        </w:tcBorders>
                      </w:tcPr>
                      <w:p>
                        <w:pPr>
                          <w:pStyle w:val="TableParagraph"/>
                          <w:spacing w:before="43"/>
                          <w:ind w:left="222" w:right="184"/>
                          <w:rPr>
                            <w:sz w:val="16"/>
                          </w:rPr>
                        </w:pPr>
                        <w:r>
                          <w:rPr>
                            <w:color w:val="231F20"/>
                            <w:sz w:val="16"/>
                          </w:rPr>
                          <w:t>0.1</w:t>
                        </w:r>
                      </w:p>
                    </w:tc>
                    <w:tc>
                      <w:tcPr>
                        <w:tcW w:w="686" w:type="dxa"/>
                        <w:tcBorders>
                          <w:top w:val="single" w:sz="4" w:space="0" w:color="231F20"/>
                          <w:bottom w:val="single" w:sz="4" w:space="0" w:color="231F20"/>
                        </w:tcBorders>
                      </w:tcPr>
                      <w:p>
                        <w:pPr>
                          <w:pStyle w:val="TableParagraph"/>
                          <w:spacing w:before="43"/>
                          <w:ind w:left="53" w:right="39"/>
                          <w:rPr>
                            <w:sz w:val="16"/>
                          </w:rPr>
                        </w:pPr>
                        <w:r>
                          <w:rPr>
                            <w:color w:val="231F20"/>
                            <w:sz w:val="16"/>
                          </w:rPr>
                          <w:t>0.5</w:t>
                        </w:r>
                      </w:p>
                    </w:tc>
                    <w:tc>
                      <w:tcPr>
                        <w:tcW w:w="752" w:type="dxa"/>
                        <w:tcBorders>
                          <w:top w:val="single" w:sz="4" w:space="0" w:color="231F20"/>
                          <w:bottom w:val="single" w:sz="4" w:space="0" w:color="231F20"/>
                        </w:tcBorders>
                      </w:tcPr>
                      <w:p>
                        <w:pPr>
                          <w:pStyle w:val="TableParagraph"/>
                          <w:spacing w:before="43"/>
                          <w:ind w:left="87" w:right="36"/>
                          <w:rPr>
                            <w:sz w:val="16"/>
                          </w:rPr>
                        </w:pPr>
                        <w:r>
                          <w:rPr>
                            <w:color w:val="231F20"/>
                            <w:sz w:val="16"/>
                          </w:rPr>
                          <w:t>1.9</w:t>
                        </w:r>
                      </w:p>
                    </w:tc>
                    <w:tc>
                      <w:tcPr>
                        <w:tcW w:w="695" w:type="dxa"/>
                        <w:tcBorders>
                          <w:top w:val="single" w:sz="4" w:space="0" w:color="231F20"/>
                          <w:bottom w:val="single" w:sz="4" w:space="0" w:color="231F20"/>
                        </w:tcBorders>
                      </w:tcPr>
                      <w:p>
                        <w:pPr>
                          <w:pStyle w:val="TableParagraph"/>
                          <w:spacing w:before="43"/>
                          <w:ind w:left="126" w:right="48"/>
                          <w:rPr>
                            <w:sz w:val="16"/>
                          </w:rPr>
                        </w:pPr>
                        <w:r>
                          <w:rPr>
                            <w:color w:val="231F20"/>
                            <w:sz w:val="16"/>
                          </w:rPr>
                          <w:t>19.8</w:t>
                        </w:r>
                      </w:p>
                    </w:tc>
                    <w:tc>
                      <w:tcPr>
                        <w:tcW w:w="800" w:type="dxa"/>
                        <w:tcBorders>
                          <w:top w:val="single" w:sz="4" w:space="0" w:color="231F20"/>
                          <w:bottom w:val="single" w:sz="4" w:space="0" w:color="231F20"/>
                        </w:tcBorders>
                      </w:tcPr>
                      <w:p>
                        <w:pPr>
                          <w:pStyle w:val="TableParagraph"/>
                          <w:spacing w:before="43"/>
                          <w:ind w:left="125" w:right="68"/>
                          <w:rPr>
                            <w:sz w:val="16"/>
                          </w:rPr>
                        </w:pPr>
                        <w:r>
                          <w:rPr>
                            <w:color w:val="231F20"/>
                            <w:sz w:val="16"/>
                          </w:rPr>
                          <w:t>4.9</w:t>
                        </w:r>
                      </w:p>
                    </w:tc>
                  </w:tr>
                  <w:tr>
                    <w:trPr>
                      <w:trHeight w:val="301" w:hRule="exact"/>
                    </w:trPr>
                    <w:tc>
                      <w:tcPr>
                        <w:tcW w:w="1416" w:type="dxa"/>
                        <w:tcBorders>
                          <w:top w:val="single" w:sz="4" w:space="0" w:color="231F20"/>
                        </w:tcBorders>
                      </w:tcPr>
                      <w:p>
                        <w:pPr>
                          <w:pStyle w:val="TableParagraph"/>
                          <w:spacing w:before="43"/>
                          <w:ind w:left="54"/>
                          <w:jc w:val="left"/>
                          <w:rPr>
                            <w:sz w:val="16"/>
                          </w:rPr>
                        </w:pPr>
                        <w:r>
                          <w:rPr>
                            <w:color w:val="231F20"/>
                            <w:sz w:val="16"/>
                          </w:rPr>
                          <w:t>Ford-Mazda</w:t>
                        </w:r>
                      </w:p>
                    </w:tc>
                    <w:tc>
                      <w:tcPr>
                        <w:tcW w:w="599" w:type="dxa"/>
                        <w:tcBorders>
                          <w:top w:val="single" w:sz="4" w:space="0" w:color="231F20"/>
                        </w:tcBorders>
                      </w:tcPr>
                      <w:p>
                        <w:pPr>
                          <w:pStyle w:val="TableParagraph"/>
                          <w:spacing w:before="43"/>
                          <w:ind w:left="115" w:right="158"/>
                          <w:rPr>
                            <w:sz w:val="16"/>
                          </w:rPr>
                        </w:pPr>
                        <w:r>
                          <w:rPr>
                            <w:color w:val="231F20"/>
                            <w:sz w:val="16"/>
                          </w:rPr>
                          <w:t>12.9</w:t>
                        </w:r>
                      </w:p>
                    </w:tc>
                    <w:tc>
                      <w:tcPr>
                        <w:tcW w:w="730" w:type="dxa"/>
                        <w:tcBorders>
                          <w:top w:val="single" w:sz="4" w:space="0" w:color="231F20"/>
                        </w:tcBorders>
                      </w:tcPr>
                      <w:p>
                        <w:pPr>
                          <w:pStyle w:val="TableParagraph"/>
                          <w:spacing w:before="43"/>
                          <w:ind w:left="190"/>
                          <w:jc w:val="left"/>
                          <w:rPr>
                            <w:sz w:val="16"/>
                          </w:rPr>
                        </w:pPr>
                        <w:r>
                          <w:rPr>
                            <w:color w:val="231F20"/>
                            <w:sz w:val="16"/>
                          </w:rPr>
                          <w:t>19.1</w:t>
                        </w:r>
                      </w:p>
                    </w:tc>
                    <w:tc>
                      <w:tcPr>
                        <w:tcW w:w="789" w:type="dxa"/>
                        <w:tcBorders>
                          <w:top w:val="single" w:sz="4" w:space="0" w:color="231F20"/>
                        </w:tcBorders>
                      </w:tcPr>
                      <w:p>
                        <w:pPr>
                          <w:pStyle w:val="TableParagraph"/>
                          <w:spacing w:before="43"/>
                          <w:ind w:left="25" w:right="6"/>
                          <w:rPr>
                            <w:sz w:val="16"/>
                          </w:rPr>
                        </w:pPr>
                        <w:r>
                          <w:rPr>
                            <w:color w:val="231F20"/>
                            <w:sz w:val="16"/>
                          </w:rPr>
                          <w:t>12.3</w:t>
                        </w:r>
                      </w:p>
                    </w:tc>
                    <w:tc>
                      <w:tcPr>
                        <w:tcW w:w="733" w:type="dxa"/>
                        <w:tcBorders>
                          <w:top w:val="single" w:sz="4" w:space="0" w:color="231F20"/>
                        </w:tcBorders>
                      </w:tcPr>
                      <w:p>
                        <w:pPr>
                          <w:pStyle w:val="TableParagraph"/>
                          <w:spacing w:before="43"/>
                          <w:ind w:left="222" w:right="184"/>
                          <w:rPr>
                            <w:sz w:val="16"/>
                          </w:rPr>
                        </w:pPr>
                        <w:r>
                          <w:rPr>
                            <w:color w:val="231F20"/>
                            <w:sz w:val="16"/>
                          </w:rPr>
                          <w:t>5.3</w:t>
                        </w:r>
                      </w:p>
                    </w:tc>
                    <w:tc>
                      <w:tcPr>
                        <w:tcW w:w="686" w:type="dxa"/>
                        <w:tcBorders>
                          <w:top w:val="single" w:sz="4" w:space="0" w:color="231F20"/>
                        </w:tcBorders>
                      </w:tcPr>
                      <w:p>
                        <w:pPr>
                          <w:pStyle w:val="TableParagraph"/>
                          <w:spacing w:before="43"/>
                          <w:ind w:left="52" w:right="39"/>
                          <w:rPr>
                            <w:sz w:val="16"/>
                          </w:rPr>
                        </w:pPr>
                        <w:r>
                          <w:rPr>
                            <w:color w:val="231F20"/>
                            <w:sz w:val="16"/>
                          </w:rPr>
                          <w:t>6.0</w:t>
                        </w:r>
                      </w:p>
                    </w:tc>
                    <w:tc>
                      <w:tcPr>
                        <w:tcW w:w="752" w:type="dxa"/>
                        <w:tcBorders>
                          <w:top w:val="single" w:sz="4" w:space="0" w:color="231F20"/>
                        </w:tcBorders>
                      </w:tcPr>
                      <w:p>
                        <w:pPr>
                          <w:pStyle w:val="TableParagraph"/>
                          <w:spacing w:before="43"/>
                          <w:ind w:left="86" w:right="36"/>
                          <w:rPr>
                            <w:sz w:val="16"/>
                          </w:rPr>
                        </w:pPr>
                        <w:r>
                          <w:rPr>
                            <w:color w:val="231F20"/>
                            <w:sz w:val="16"/>
                          </w:rPr>
                          <w:t>7.4</w:t>
                        </w:r>
                      </w:p>
                    </w:tc>
                    <w:tc>
                      <w:tcPr>
                        <w:tcW w:w="695" w:type="dxa"/>
                        <w:tcBorders>
                          <w:top w:val="single" w:sz="4" w:space="0" w:color="231F20"/>
                        </w:tcBorders>
                      </w:tcPr>
                      <w:p>
                        <w:pPr>
                          <w:pStyle w:val="TableParagraph"/>
                          <w:spacing w:before="43"/>
                          <w:ind w:left="125" w:right="48"/>
                          <w:rPr>
                            <w:sz w:val="16"/>
                          </w:rPr>
                        </w:pPr>
                        <w:r>
                          <w:rPr>
                            <w:color w:val="231F20"/>
                            <w:sz w:val="16"/>
                          </w:rPr>
                          <w:t>10.5</w:t>
                        </w:r>
                      </w:p>
                    </w:tc>
                    <w:tc>
                      <w:tcPr>
                        <w:tcW w:w="800" w:type="dxa"/>
                        <w:tcBorders>
                          <w:top w:val="single" w:sz="4" w:space="0" w:color="231F20"/>
                        </w:tcBorders>
                      </w:tcPr>
                      <w:p>
                        <w:pPr>
                          <w:pStyle w:val="TableParagraph"/>
                          <w:spacing w:before="43"/>
                          <w:ind w:left="125" w:right="68"/>
                          <w:rPr>
                            <w:sz w:val="16"/>
                          </w:rPr>
                        </w:pPr>
                        <w:r>
                          <w:rPr>
                            <w:color w:val="231F20"/>
                            <w:sz w:val="16"/>
                          </w:rPr>
                          <w:t>13.1</w:t>
                        </w:r>
                      </w:p>
                    </w:tc>
                  </w:tr>
                  <w:tr>
                    <w:trPr>
                      <w:trHeight w:val="280" w:hRule="exact"/>
                    </w:trPr>
                    <w:tc>
                      <w:tcPr>
                        <w:tcW w:w="1416" w:type="dxa"/>
                      </w:tcPr>
                      <w:p>
                        <w:pPr>
                          <w:pStyle w:val="TableParagraph"/>
                          <w:spacing w:before="28"/>
                          <w:ind w:left="53"/>
                          <w:jc w:val="left"/>
                          <w:rPr>
                            <w:sz w:val="16"/>
                          </w:rPr>
                        </w:pPr>
                        <w:r>
                          <w:rPr>
                            <w:color w:val="231F20"/>
                            <w:w w:val="105"/>
                            <w:sz w:val="16"/>
                          </w:rPr>
                          <w:t>Ford</w:t>
                        </w:r>
                      </w:p>
                    </w:tc>
                    <w:tc>
                      <w:tcPr>
                        <w:tcW w:w="599" w:type="dxa"/>
                      </w:tcPr>
                      <w:p>
                        <w:pPr>
                          <w:pStyle w:val="TableParagraph"/>
                          <w:spacing w:before="28"/>
                          <w:ind w:left="115" w:right="159"/>
                          <w:rPr>
                            <w:sz w:val="16"/>
                          </w:rPr>
                        </w:pPr>
                        <w:r>
                          <w:rPr>
                            <w:color w:val="231F20"/>
                            <w:sz w:val="16"/>
                          </w:rPr>
                          <w:t>10.8</w:t>
                        </w:r>
                      </w:p>
                    </w:tc>
                    <w:tc>
                      <w:tcPr>
                        <w:tcW w:w="730" w:type="dxa"/>
                      </w:tcPr>
                      <w:p>
                        <w:pPr>
                          <w:pStyle w:val="TableParagraph"/>
                          <w:spacing w:before="28"/>
                          <w:ind w:left="190"/>
                          <w:jc w:val="left"/>
                          <w:rPr>
                            <w:sz w:val="16"/>
                          </w:rPr>
                        </w:pPr>
                        <w:r>
                          <w:rPr>
                            <w:color w:val="231F20"/>
                            <w:sz w:val="16"/>
                          </w:rPr>
                          <w:t>17.2</w:t>
                        </w:r>
                      </w:p>
                    </w:tc>
                    <w:tc>
                      <w:tcPr>
                        <w:tcW w:w="789" w:type="dxa"/>
                      </w:tcPr>
                      <w:p>
                        <w:pPr>
                          <w:pStyle w:val="TableParagraph"/>
                          <w:spacing w:before="28"/>
                          <w:ind w:left="25" w:right="6"/>
                          <w:rPr>
                            <w:sz w:val="16"/>
                          </w:rPr>
                        </w:pPr>
                        <w:r>
                          <w:rPr>
                            <w:color w:val="231F20"/>
                            <w:sz w:val="16"/>
                          </w:rPr>
                          <w:t>10.6</w:t>
                        </w:r>
                      </w:p>
                    </w:tc>
                    <w:tc>
                      <w:tcPr>
                        <w:tcW w:w="733" w:type="dxa"/>
                      </w:tcPr>
                      <w:p>
                        <w:pPr>
                          <w:pStyle w:val="TableParagraph"/>
                          <w:spacing w:before="28"/>
                          <w:ind w:left="222" w:right="185"/>
                          <w:rPr>
                            <w:sz w:val="16"/>
                          </w:rPr>
                        </w:pPr>
                        <w:r>
                          <w:rPr>
                            <w:color w:val="231F20"/>
                            <w:sz w:val="16"/>
                          </w:rPr>
                          <w:t>0.5</w:t>
                        </w:r>
                      </w:p>
                    </w:tc>
                    <w:tc>
                      <w:tcPr>
                        <w:tcW w:w="686" w:type="dxa"/>
                      </w:tcPr>
                      <w:p>
                        <w:pPr>
                          <w:pStyle w:val="TableParagraph"/>
                          <w:spacing w:before="28"/>
                          <w:ind w:left="52" w:right="39"/>
                          <w:rPr>
                            <w:sz w:val="16"/>
                          </w:rPr>
                        </w:pPr>
                        <w:r>
                          <w:rPr>
                            <w:color w:val="231F20"/>
                            <w:sz w:val="16"/>
                          </w:rPr>
                          <w:t>3.4</w:t>
                        </w:r>
                      </w:p>
                    </w:tc>
                    <w:tc>
                      <w:tcPr>
                        <w:tcW w:w="752" w:type="dxa"/>
                      </w:tcPr>
                      <w:p>
                        <w:pPr>
                          <w:pStyle w:val="TableParagraph"/>
                          <w:spacing w:before="28"/>
                          <w:ind w:left="85" w:right="36"/>
                          <w:rPr>
                            <w:sz w:val="16"/>
                          </w:rPr>
                        </w:pPr>
                        <w:r>
                          <w:rPr>
                            <w:color w:val="231F20"/>
                            <w:sz w:val="16"/>
                          </w:rPr>
                          <w:t>6.1</w:t>
                        </w:r>
                      </w:p>
                    </w:tc>
                    <w:tc>
                      <w:tcPr>
                        <w:tcW w:w="695" w:type="dxa"/>
                      </w:tcPr>
                      <w:p>
                        <w:pPr>
                          <w:pStyle w:val="TableParagraph"/>
                          <w:spacing w:before="28"/>
                          <w:ind w:left="125" w:right="48"/>
                          <w:rPr>
                            <w:sz w:val="16"/>
                          </w:rPr>
                        </w:pPr>
                        <w:r>
                          <w:rPr>
                            <w:color w:val="231F20"/>
                            <w:sz w:val="16"/>
                          </w:rPr>
                          <w:t>10.1</w:t>
                        </w:r>
                      </w:p>
                    </w:tc>
                    <w:tc>
                      <w:tcPr>
                        <w:tcW w:w="800" w:type="dxa"/>
                      </w:tcPr>
                      <w:p>
                        <w:pPr>
                          <w:pStyle w:val="TableParagraph"/>
                          <w:spacing w:before="28"/>
                          <w:ind w:left="124" w:right="68"/>
                          <w:rPr>
                            <w:sz w:val="16"/>
                          </w:rPr>
                        </w:pPr>
                        <w:r>
                          <w:rPr>
                            <w:color w:val="231F20"/>
                            <w:sz w:val="16"/>
                          </w:rPr>
                          <w:t>9.7</w:t>
                        </w:r>
                      </w:p>
                    </w:tc>
                  </w:tr>
                  <w:tr>
                    <w:trPr>
                      <w:trHeight w:val="259" w:hRule="exact"/>
                    </w:trPr>
                    <w:tc>
                      <w:tcPr>
                        <w:tcW w:w="1416" w:type="dxa"/>
                        <w:tcBorders>
                          <w:bottom w:val="single" w:sz="4" w:space="0" w:color="231F20"/>
                        </w:tcBorders>
                      </w:tcPr>
                      <w:p>
                        <w:pPr>
                          <w:pStyle w:val="TableParagraph"/>
                          <w:spacing w:before="28"/>
                          <w:ind w:left="53"/>
                          <w:jc w:val="left"/>
                          <w:rPr>
                            <w:sz w:val="16"/>
                          </w:rPr>
                        </w:pPr>
                        <w:r>
                          <w:rPr>
                            <w:color w:val="231F20"/>
                            <w:sz w:val="16"/>
                          </w:rPr>
                          <w:t>Mazda</w:t>
                        </w:r>
                      </w:p>
                    </w:tc>
                    <w:tc>
                      <w:tcPr>
                        <w:tcW w:w="599" w:type="dxa"/>
                        <w:tcBorders>
                          <w:bottom w:val="single" w:sz="4" w:space="0" w:color="231F20"/>
                        </w:tcBorders>
                      </w:tcPr>
                      <w:p>
                        <w:pPr>
                          <w:pStyle w:val="TableParagraph"/>
                          <w:spacing w:before="28"/>
                          <w:ind w:left="115" w:right="159"/>
                          <w:rPr>
                            <w:sz w:val="16"/>
                          </w:rPr>
                        </w:pPr>
                        <w:r>
                          <w:rPr>
                            <w:color w:val="231F20"/>
                            <w:sz w:val="16"/>
                          </w:rPr>
                          <w:t>2.2</w:t>
                        </w:r>
                      </w:p>
                    </w:tc>
                    <w:tc>
                      <w:tcPr>
                        <w:tcW w:w="730" w:type="dxa"/>
                        <w:tcBorders>
                          <w:bottom w:val="single" w:sz="4" w:space="0" w:color="231F20"/>
                        </w:tcBorders>
                      </w:tcPr>
                      <w:p>
                        <w:pPr>
                          <w:pStyle w:val="TableParagraph"/>
                          <w:spacing w:before="28"/>
                          <w:ind w:left="228"/>
                          <w:jc w:val="left"/>
                          <w:rPr>
                            <w:sz w:val="16"/>
                          </w:rPr>
                        </w:pPr>
                        <w:r>
                          <w:rPr>
                            <w:color w:val="231F20"/>
                            <w:sz w:val="16"/>
                          </w:rPr>
                          <w:t>1.9</w:t>
                        </w:r>
                      </w:p>
                    </w:tc>
                    <w:tc>
                      <w:tcPr>
                        <w:tcW w:w="789" w:type="dxa"/>
                        <w:tcBorders>
                          <w:bottom w:val="single" w:sz="4" w:space="0" w:color="231F20"/>
                        </w:tcBorders>
                      </w:tcPr>
                      <w:p>
                        <w:pPr>
                          <w:pStyle w:val="TableParagraph"/>
                          <w:spacing w:before="28"/>
                          <w:ind w:left="24" w:right="6"/>
                          <w:rPr>
                            <w:sz w:val="16"/>
                          </w:rPr>
                        </w:pPr>
                        <w:r>
                          <w:rPr>
                            <w:color w:val="231F20"/>
                            <w:sz w:val="16"/>
                          </w:rPr>
                          <w:t>1.7</w:t>
                        </w:r>
                      </w:p>
                    </w:tc>
                    <w:tc>
                      <w:tcPr>
                        <w:tcW w:w="733" w:type="dxa"/>
                        <w:tcBorders>
                          <w:bottom w:val="single" w:sz="4" w:space="0" w:color="231F20"/>
                        </w:tcBorders>
                      </w:tcPr>
                      <w:p>
                        <w:pPr>
                          <w:pStyle w:val="TableParagraph"/>
                          <w:spacing w:before="28"/>
                          <w:ind w:left="222" w:right="185"/>
                          <w:rPr>
                            <w:sz w:val="16"/>
                          </w:rPr>
                        </w:pPr>
                        <w:r>
                          <w:rPr>
                            <w:color w:val="231F20"/>
                            <w:sz w:val="16"/>
                          </w:rPr>
                          <w:t>4.8</w:t>
                        </w:r>
                      </w:p>
                    </w:tc>
                    <w:tc>
                      <w:tcPr>
                        <w:tcW w:w="686" w:type="dxa"/>
                        <w:tcBorders>
                          <w:bottom w:val="single" w:sz="4" w:space="0" w:color="231F20"/>
                        </w:tcBorders>
                      </w:tcPr>
                      <w:p>
                        <w:pPr>
                          <w:pStyle w:val="TableParagraph"/>
                          <w:spacing w:before="28"/>
                          <w:ind w:left="51" w:right="39"/>
                          <w:rPr>
                            <w:sz w:val="16"/>
                          </w:rPr>
                        </w:pPr>
                        <w:r>
                          <w:rPr>
                            <w:color w:val="231F20"/>
                            <w:sz w:val="16"/>
                          </w:rPr>
                          <w:t>2.6</w:t>
                        </w:r>
                      </w:p>
                    </w:tc>
                    <w:tc>
                      <w:tcPr>
                        <w:tcW w:w="752" w:type="dxa"/>
                        <w:tcBorders>
                          <w:bottom w:val="single" w:sz="4" w:space="0" w:color="231F20"/>
                        </w:tcBorders>
                      </w:tcPr>
                      <w:p>
                        <w:pPr>
                          <w:pStyle w:val="TableParagraph"/>
                          <w:spacing w:before="28"/>
                          <w:ind w:left="85" w:right="36"/>
                          <w:rPr>
                            <w:sz w:val="16"/>
                          </w:rPr>
                        </w:pPr>
                        <w:r>
                          <w:rPr>
                            <w:color w:val="231F20"/>
                            <w:sz w:val="16"/>
                          </w:rPr>
                          <w:t>1.3</w:t>
                        </w:r>
                      </w:p>
                    </w:tc>
                    <w:tc>
                      <w:tcPr>
                        <w:tcW w:w="695" w:type="dxa"/>
                        <w:tcBorders>
                          <w:bottom w:val="single" w:sz="4" w:space="0" w:color="231F20"/>
                        </w:tcBorders>
                      </w:tcPr>
                      <w:p>
                        <w:pPr>
                          <w:pStyle w:val="TableParagraph"/>
                          <w:spacing w:before="28"/>
                          <w:ind w:left="124" w:right="48"/>
                          <w:rPr>
                            <w:sz w:val="16"/>
                          </w:rPr>
                        </w:pPr>
                        <w:r>
                          <w:rPr>
                            <w:color w:val="231F20"/>
                            <w:sz w:val="16"/>
                          </w:rPr>
                          <w:t>0.4</w:t>
                        </w:r>
                      </w:p>
                    </w:tc>
                    <w:tc>
                      <w:tcPr>
                        <w:tcW w:w="800" w:type="dxa"/>
                        <w:tcBorders>
                          <w:bottom w:val="single" w:sz="4" w:space="0" w:color="231F20"/>
                        </w:tcBorders>
                      </w:tcPr>
                      <w:p>
                        <w:pPr>
                          <w:pStyle w:val="TableParagraph"/>
                          <w:spacing w:before="28"/>
                          <w:ind w:left="123" w:right="68"/>
                          <w:rPr>
                            <w:sz w:val="16"/>
                          </w:rPr>
                        </w:pPr>
                        <w:r>
                          <w:rPr>
                            <w:color w:val="231F20"/>
                            <w:sz w:val="16"/>
                          </w:rPr>
                          <w:t>3.4</w:t>
                        </w:r>
                      </w:p>
                    </w:tc>
                  </w:tr>
                  <w:tr>
                    <w:trPr>
                      <w:trHeight w:val="301" w:hRule="exact"/>
                    </w:trPr>
                    <w:tc>
                      <w:tcPr>
                        <w:tcW w:w="1416" w:type="dxa"/>
                        <w:tcBorders>
                          <w:top w:val="single" w:sz="4" w:space="0" w:color="231F20"/>
                        </w:tcBorders>
                      </w:tcPr>
                      <w:p>
                        <w:pPr>
                          <w:pStyle w:val="TableParagraph"/>
                          <w:spacing w:before="43"/>
                          <w:ind w:left="53"/>
                          <w:jc w:val="left"/>
                          <w:rPr>
                            <w:sz w:val="16"/>
                          </w:rPr>
                        </w:pPr>
                        <w:r>
                          <w:rPr>
                            <w:color w:val="231F20"/>
                            <w:sz w:val="16"/>
                          </w:rPr>
                          <w:t>GM-Daewoo</w:t>
                        </w:r>
                      </w:p>
                    </w:tc>
                    <w:tc>
                      <w:tcPr>
                        <w:tcW w:w="599" w:type="dxa"/>
                        <w:tcBorders>
                          <w:top w:val="single" w:sz="4" w:space="0" w:color="231F20"/>
                        </w:tcBorders>
                      </w:tcPr>
                      <w:p>
                        <w:pPr>
                          <w:pStyle w:val="TableParagraph"/>
                          <w:spacing w:before="43"/>
                          <w:ind w:left="115" w:right="160"/>
                          <w:rPr>
                            <w:sz w:val="16"/>
                          </w:rPr>
                        </w:pPr>
                        <w:r>
                          <w:rPr>
                            <w:color w:val="231F20"/>
                            <w:sz w:val="16"/>
                          </w:rPr>
                          <w:t>14.8</w:t>
                        </w:r>
                      </w:p>
                    </w:tc>
                    <w:tc>
                      <w:tcPr>
                        <w:tcW w:w="730" w:type="dxa"/>
                        <w:tcBorders>
                          <w:top w:val="single" w:sz="4" w:space="0" w:color="231F20"/>
                        </w:tcBorders>
                      </w:tcPr>
                      <w:p>
                        <w:pPr>
                          <w:pStyle w:val="TableParagraph"/>
                          <w:spacing w:before="43"/>
                          <w:ind w:left="189"/>
                          <w:jc w:val="left"/>
                          <w:rPr>
                            <w:sz w:val="16"/>
                          </w:rPr>
                        </w:pPr>
                        <w:r>
                          <w:rPr>
                            <w:color w:val="231F20"/>
                            <w:sz w:val="16"/>
                          </w:rPr>
                          <w:t>24.2</w:t>
                        </w:r>
                      </w:p>
                    </w:tc>
                    <w:tc>
                      <w:tcPr>
                        <w:tcW w:w="789" w:type="dxa"/>
                        <w:tcBorders>
                          <w:top w:val="single" w:sz="4" w:space="0" w:color="231F20"/>
                        </w:tcBorders>
                      </w:tcPr>
                      <w:p>
                        <w:pPr>
                          <w:pStyle w:val="TableParagraph"/>
                          <w:spacing w:before="43"/>
                          <w:ind w:left="23" w:right="6"/>
                          <w:rPr>
                            <w:sz w:val="16"/>
                          </w:rPr>
                        </w:pPr>
                        <w:r>
                          <w:rPr>
                            <w:color w:val="231F20"/>
                            <w:sz w:val="16"/>
                          </w:rPr>
                          <w:t>10.3</w:t>
                        </w:r>
                      </w:p>
                    </w:tc>
                    <w:tc>
                      <w:tcPr>
                        <w:tcW w:w="733" w:type="dxa"/>
                        <w:tcBorders>
                          <w:top w:val="single" w:sz="4" w:space="0" w:color="231F20"/>
                        </w:tcBorders>
                      </w:tcPr>
                      <w:p>
                        <w:pPr>
                          <w:pStyle w:val="TableParagraph"/>
                          <w:spacing w:before="43"/>
                          <w:ind w:left="222" w:right="186"/>
                          <w:rPr>
                            <w:sz w:val="16"/>
                          </w:rPr>
                        </w:pPr>
                        <w:r>
                          <w:rPr>
                            <w:color w:val="231F20"/>
                            <w:sz w:val="16"/>
                          </w:rPr>
                          <w:t>0.3</w:t>
                        </w:r>
                      </w:p>
                    </w:tc>
                    <w:tc>
                      <w:tcPr>
                        <w:tcW w:w="686" w:type="dxa"/>
                        <w:tcBorders>
                          <w:top w:val="single" w:sz="4" w:space="0" w:color="231F20"/>
                        </w:tcBorders>
                      </w:tcPr>
                      <w:p>
                        <w:pPr>
                          <w:pStyle w:val="TableParagraph"/>
                          <w:spacing w:before="43"/>
                          <w:ind w:left="50" w:right="39"/>
                          <w:rPr>
                            <w:sz w:val="16"/>
                          </w:rPr>
                        </w:pPr>
                        <w:r>
                          <w:rPr>
                            <w:color w:val="231F20"/>
                            <w:sz w:val="16"/>
                          </w:rPr>
                          <w:t>8.9</w:t>
                        </w:r>
                      </w:p>
                    </w:tc>
                    <w:tc>
                      <w:tcPr>
                        <w:tcW w:w="752" w:type="dxa"/>
                        <w:tcBorders>
                          <w:top w:val="single" w:sz="4" w:space="0" w:color="231F20"/>
                        </w:tcBorders>
                      </w:tcPr>
                      <w:p>
                        <w:pPr>
                          <w:pStyle w:val="TableParagraph"/>
                          <w:spacing w:before="43"/>
                          <w:ind w:left="84" w:right="36"/>
                          <w:rPr>
                            <w:sz w:val="16"/>
                          </w:rPr>
                        </w:pPr>
                        <w:r>
                          <w:rPr>
                            <w:color w:val="231F20"/>
                            <w:sz w:val="16"/>
                          </w:rPr>
                          <w:t>10.0</w:t>
                        </w:r>
                      </w:p>
                    </w:tc>
                    <w:tc>
                      <w:tcPr>
                        <w:tcW w:w="695" w:type="dxa"/>
                        <w:tcBorders>
                          <w:top w:val="single" w:sz="4" w:space="0" w:color="231F20"/>
                        </w:tcBorders>
                      </w:tcPr>
                      <w:p>
                        <w:pPr>
                          <w:pStyle w:val="TableParagraph"/>
                          <w:spacing w:before="43"/>
                          <w:ind w:left="123" w:right="48"/>
                          <w:rPr>
                            <w:sz w:val="16"/>
                          </w:rPr>
                        </w:pPr>
                        <w:r>
                          <w:rPr>
                            <w:color w:val="231F20"/>
                            <w:sz w:val="16"/>
                          </w:rPr>
                          <w:t>23.2</w:t>
                        </w:r>
                      </w:p>
                    </w:tc>
                    <w:tc>
                      <w:tcPr>
                        <w:tcW w:w="800" w:type="dxa"/>
                        <w:tcBorders>
                          <w:top w:val="single" w:sz="4" w:space="0" w:color="231F20"/>
                        </w:tcBorders>
                      </w:tcPr>
                      <w:p>
                        <w:pPr>
                          <w:pStyle w:val="TableParagraph"/>
                          <w:spacing w:before="43"/>
                          <w:ind w:left="123" w:right="68"/>
                          <w:rPr>
                            <w:sz w:val="16"/>
                          </w:rPr>
                        </w:pPr>
                        <w:r>
                          <w:rPr>
                            <w:color w:val="231F20"/>
                            <w:sz w:val="16"/>
                          </w:rPr>
                          <w:t>8.8</w:t>
                        </w:r>
                      </w:p>
                    </w:tc>
                  </w:tr>
                  <w:tr>
                    <w:trPr>
                      <w:trHeight w:val="259" w:hRule="exact"/>
                    </w:trPr>
                    <w:tc>
                      <w:tcPr>
                        <w:tcW w:w="1416" w:type="dxa"/>
                        <w:tcBorders>
                          <w:bottom w:val="single" w:sz="4" w:space="0" w:color="231F20"/>
                        </w:tcBorders>
                      </w:tcPr>
                      <w:p>
                        <w:pPr>
                          <w:pStyle w:val="TableParagraph"/>
                          <w:spacing w:before="28"/>
                          <w:ind w:left="52"/>
                          <w:jc w:val="left"/>
                          <w:rPr>
                            <w:sz w:val="16"/>
                          </w:rPr>
                        </w:pPr>
                        <w:r>
                          <w:rPr>
                            <w:color w:val="231F20"/>
                            <w:sz w:val="16"/>
                          </w:rPr>
                          <w:t>Hyundai</w:t>
                        </w:r>
                      </w:p>
                    </w:tc>
                    <w:tc>
                      <w:tcPr>
                        <w:tcW w:w="599" w:type="dxa"/>
                        <w:tcBorders>
                          <w:bottom w:val="single" w:sz="4" w:space="0" w:color="231F20"/>
                        </w:tcBorders>
                      </w:tcPr>
                      <w:p>
                        <w:pPr>
                          <w:pStyle w:val="TableParagraph"/>
                          <w:spacing w:before="28"/>
                          <w:ind w:left="113" w:right="160"/>
                          <w:rPr>
                            <w:sz w:val="16"/>
                          </w:rPr>
                        </w:pPr>
                        <w:r>
                          <w:rPr>
                            <w:color w:val="231F20"/>
                            <w:sz w:val="16"/>
                          </w:rPr>
                          <w:t>5.9</w:t>
                        </w:r>
                      </w:p>
                    </w:tc>
                    <w:tc>
                      <w:tcPr>
                        <w:tcW w:w="730" w:type="dxa"/>
                        <w:tcBorders>
                          <w:bottom w:val="single" w:sz="4" w:space="0" w:color="231F20"/>
                        </w:tcBorders>
                      </w:tcPr>
                      <w:p>
                        <w:pPr>
                          <w:pStyle w:val="TableParagraph"/>
                          <w:spacing w:before="28"/>
                          <w:ind w:left="227"/>
                          <w:jc w:val="left"/>
                          <w:rPr>
                            <w:sz w:val="16"/>
                          </w:rPr>
                        </w:pPr>
                        <w:r>
                          <w:rPr>
                            <w:color w:val="231F20"/>
                            <w:sz w:val="16"/>
                          </w:rPr>
                          <w:t>4.7</w:t>
                        </w:r>
                      </w:p>
                    </w:tc>
                    <w:tc>
                      <w:tcPr>
                        <w:tcW w:w="789" w:type="dxa"/>
                        <w:tcBorders>
                          <w:bottom w:val="single" w:sz="4" w:space="0" w:color="231F20"/>
                        </w:tcBorders>
                      </w:tcPr>
                      <w:p>
                        <w:pPr>
                          <w:pStyle w:val="TableParagraph"/>
                          <w:spacing w:before="28"/>
                          <w:ind w:left="23" w:right="6"/>
                          <w:rPr>
                            <w:sz w:val="16"/>
                          </w:rPr>
                        </w:pPr>
                        <w:r>
                          <w:rPr>
                            <w:color w:val="231F20"/>
                            <w:sz w:val="16"/>
                          </w:rPr>
                          <w:t>3.5</w:t>
                        </w:r>
                      </w:p>
                    </w:tc>
                    <w:tc>
                      <w:tcPr>
                        <w:tcW w:w="733" w:type="dxa"/>
                        <w:tcBorders>
                          <w:bottom w:val="single" w:sz="4" w:space="0" w:color="231F20"/>
                        </w:tcBorders>
                      </w:tcPr>
                      <w:p>
                        <w:pPr>
                          <w:pStyle w:val="TableParagraph"/>
                          <w:spacing w:before="28"/>
                          <w:ind w:left="221" w:right="186"/>
                          <w:rPr>
                            <w:sz w:val="16"/>
                          </w:rPr>
                        </w:pPr>
                        <w:r>
                          <w:rPr>
                            <w:color w:val="231F20"/>
                            <w:sz w:val="16"/>
                          </w:rPr>
                          <w:t>0.0</w:t>
                        </w:r>
                      </w:p>
                    </w:tc>
                    <w:tc>
                      <w:tcPr>
                        <w:tcW w:w="686" w:type="dxa"/>
                        <w:tcBorders>
                          <w:bottom w:val="single" w:sz="4" w:space="0" w:color="231F20"/>
                        </w:tcBorders>
                      </w:tcPr>
                      <w:p>
                        <w:pPr>
                          <w:pStyle w:val="TableParagraph"/>
                          <w:spacing w:before="28"/>
                          <w:ind w:left="50" w:right="39"/>
                          <w:rPr>
                            <w:sz w:val="16"/>
                          </w:rPr>
                        </w:pPr>
                        <w:r>
                          <w:rPr>
                            <w:color w:val="231F20"/>
                            <w:sz w:val="16"/>
                          </w:rPr>
                          <w:t>17.2</w:t>
                        </w:r>
                      </w:p>
                    </w:tc>
                    <w:tc>
                      <w:tcPr>
                        <w:tcW w:w="752" w:type="dxa"/>
                        <w:tcBorders>
                          <w:bottom w:val="single" w:sz="4" w:space="0" w:color="231F20"/>
                        </w:tcBorders>
                      </w:tcPr>
                      <w:p>
                        <w:pPr>
                          <w:pStyle w:val="TableParagraph"/>
                          <w:spacing w:before="28"/>
                          <w:ind w:left="84" w:right="36"/>
                          <w:rPr>
                            <w:sz w:val="16"/>
                          </w:rPr>
                        </w:pPr>
                        <w:r>
                          <w:rPr>
                            <w:color w:val="231F20"/>
                            <w:sz w:val="16"/>
                          </w:rPr>
                          <w:t>7.1</w:t>
                        </w:r>
                      </w:p>
                    </w:tc>
                    <w:tc>
                      <w:tcPr>
                        <w:tcW w:w="695" w:type="dxa"/>
                        <w:tcBorders>
                          <w:bottom w:val="single" w:sz="4" w:space="0" w:color="231F20"/>
                        </w:tcBorders>
                      </w:tcPr>
                      <w:p>
                        <w:pPr>
                          <w:pStyle w:val="TableParagraph"/>
                          <w:spacing w:before="28"/>
                          <w:ind w:left="123" w:right="48"/>
                          <w:rPr>
                            <w:sz w:val="16"/>
                          </w:rPr>
                        </w:pPr>
                        <w:r>
                          <w:rPr>
                            <w:color w:val="231F20"/>
                            <w:sz w:val="16"/>
                          </w:rPr>
                          <w:t>1.6</w:t>
                        </w:r>
                      </w:p>
                    </w:tc>
                    <w:tc>
                      <w:tcPr>
                        <w:tcW w:w="800" w:type="dxa"/>
                        <w:tcBorders>
                          <w:bottom w:val="single" w:sz="4" w:space="0" w:color="231F20"/>
                        </w:tcBorders>
                      </w:tcPr>
                      <w:p>
                        <w:pPr>
                          <w:pStyle w:val="TableParagraph"/>
                          <w:spacing w:before="28"/>
                          <w:ind w:left="122" w:right="68"/>
                          <w:rPr>
                            <w:sz w:val="16"/>
                          </w:rPr>
                        </w:pPr>
                        <w:r>
                          <w:rPr>
                            <w:color w:val="231F20"/>
                            <w:sz w:val="16"/>
                          </w:rPr>
                          <w:t>7.7</w:t>
                        </w:r>
                      </w:p>
                    </w:tc>
                  </w:tr>
                  <w:tr>
                    <w:trPr>
                      <w:trHeight w:val="301" w:hRule="exact"/>
                    </w:trPr>
                    <w:tc>
                      <w:tcPr>
                        <w:tcW w:w="1416" w:type="dxa"/>
                        <w:tcBorders>
                          <w:top w:val="single" w:sz="4" w:space="0" w:color="231F20"/>
                        </w:tcBorders>
                      </w:tcPr>
                      <w:p>
                        <w:pPr>
                          <w:pStyle w:val="TableParagraph"/>
                          <w:spacing w:before="43"/>
                          <w:ind w:left="52"/>
                          <w:jc w:val="left"/>
                          <w:rPr>
                            <w:sz w:val="16"/>
                          </w:rPr>
                        </w:pPr>
                        <w:r>
                          <w:rPr>
                            <w:color w:val="231F20"/>
                            <w:sz w:val="16"/>
                          </w:rPr>
                          <w:t>Toyota Aliance</w:t>
                        </w:r>
                      </w:p>
                    </w:tc>
                    <w:tc>
                      <w:tcPr>
                        <w:tcW w:w="599" w:type="dxa"/>
                        <w:tcBorders>
                          <w:top w:val="single" w:sz="4" w:space="0" w:color="231F20"/>
                        </w:tcBorders>
                      </w:tcPr>
                      <w:p>
                        <w:pPr>
                          <w:pStyle w:val="TableParagraph"/>
                          <w:spacing w:before="43"/>
                          <w:ind w:left="114" w:right="160"/>
                          <w:rPr>
                            <w:sz w:val="16"/>
                          </w:rPr>
                        </w:pPr>
                        <w:r>
                          <w:rPr>
                            <w:color w:val="231F20"/>
                            <w:sz w:val="16"/>
                          </w:rPr>
                          <w:t>13.6</w:t>
                        </w:r>
                      </w:p>
                    </w:tc>
                    <w:tc>
                      <w:tcPr>
                        <w:tcW w:w="730" w:type="dxa"/>
                        <w:tcBorders>
                          <w:top w:val="single" w:sz="4" w:space="0" w:color="231F20"/>
                        </w:tcBorders>
                      </w:tcPr>
                      <w:p>
                        <w:pPr>
                          <w:pStyle w:val="TableParagraph"/>
                          <w:spacing w:before="43"/>
                          <w:ind w:left="188"/>
                          <w:jc w:val="left"/>
                          <w:rPr>
                            <w:sz w:val="16"/>
                          </w:rPr>
                        </w:pPr>
                        <w:r>
                          <w:rPr>
                            <w:color w:val="231F20"/>
                            <w:sz w:val="16"/>
                          </w:rPr>
                          <w:t>15.1</w:t>
                        </w:r>
                      </w:p>
                    </w:tc>
                    <w:tc>
                      <w:tcPr>
                        <w:tcW w:w="789" w:type="dxa"/>
                        <w:tcBorders>
                          <w:top w:val="single" w:sz="4" w:space="0" w:color="231F20"/>
                        </w:tcBorders>
                      </w:tcPr>
                      <w:p>
                        <w:pPr>
                          <w:pStyle w:val="TableParagraph"/>
                          <w:spacing w:before="43"/>
                          <w:ind w:left="22" w:right="6"/>
                          <w:rPr>
                            <w:sz w:val="16"/>
                          </w:rPr>
                        </w:pPr>
                        <w:r>
                          <w:rPr>
                            <w:color w:val="231F20"/>
                            <w:sz w:val="16"/>
                          </w:rPr>
                          <w:t>6.2</w:t>
                        </w:r>
                      </w:p>
                    </w:tc>
                    <w:tc>
                      <w:tcPr>
                        <w:tcW w:w="733" w:type="dxa"/>
                        <w:tcBorders>
                          <w:top w:val="single" w:sz="4" w:space="0" w:color="231F20"/>
                        </w:tcBorders>
                      </w:tcPr>
                      <w:p>
                        <w:pPr>
                          <w:pStyle w:val="TableParagraph"/>
                          <w:spacing w:before="43"/>
                          <w:ind w:left="221" w:right="186"/>
                          <w:rPr>
                            <w:sz w:val="16"/>
                          </w:rPr>
                        </w:pPr>
                        <w:r>
                          <w:rPr>
                            <w:color w:val="231F20"/>
                            <w:sz w:val="16"/>
                          </w:rPr>
                          <w:t>45.7</w:t>
                        </w:r>
                      </w:p>
                    </w:tc>
                    <w:tc>
                      <w:tcPr>
                        <w:tcW w:w="686" w:type="dxa"/>
                        <w:tcBorders>
                          <w:top w:val="single" w:sz="4" w:space="0" w:color="231F20"/>
                        </w:tcBorders>
                      </w:tcPr>
                      <w:p>
                        <w:pPr>
                          <w:pStyle w:val="TableParagraph"/>
                          <w:spacing w:before="43"/>
                          <w:ind w:left="49" w:right="39"/>
                          <w:rPr>
                            <w:sz w:val="16"/>
                          </w:rPr>
                        </w:pPr>
                        <w:r>
                          <w:rPr>
                            <w:color w:val="231F20"/>
                            <w:sz w:val="16"/>
                          </w:rPr>
                          <w:t>9.3</w:t>
                        </w:r>
                      </w:p>
                    </w:tc>
                    <w:tc>
                      <w:tcPr>
                        <w:tcW w:w="752" w:type="dxa"/>
                        <w:tcBorders>
                          <w:top w:val="single" w:sz="4" w:space="0" w:color="231F20"/>
                        </w:tcBorders>
                      </w:tcPr>
                      <w:p>
                        <w:pPr>
                          <w:pStyle w:val="TableParagraph"/>
                          <w:spacing w:before="43"/>
                          <w:ind w:left="83" w:right="36"/>
                          <w:rPr>
                            <w:sz w:val="16"/>
                          </w:rPr>
                        </w:pPr>
                        <w:r>
                          <w:rPr>
                            <w:color w:val="231F20"/>
                            <w:sz w:val="16"/>
                          </w:rPr>
                          <w:t>5.5</w:t>
                        </w:r>
                      </w:p>
                    </w:tc>
                    <w:tc>
                      <w:tcPr>
                        <w:tcW w:w="695" w:type="dxa"/>
                        <w:tcBorders>
                          <w:top w:val="single" w:sz="4" w:space="0" w:color="231F20"/>
                        </w:tcBorders>
                      </w:tcPr>
                      <w:p>
                        <w:pPr>
                          <w:pStyle w:val="TableParagraph"/>
                          <w:spacing w:before="43"/>
                          <w:ind w:left="122" w:right="48"/>
                          <w:rPr>
                            <w:sz w:val="16"/>
                          </w:rPr>
                        </w:pPr>
                        <w:r>
                          <w:rPr>
                            <w:color w:val="231F20"/>
                            <w:sz w:val="16"/>
                          </w:rPr>
                          <w:t>4.1</w:t>
                        </w:r>
                      </w:p>
                    </w:tc>
                    <w:tc>
                      <w:tcPr>
                        <w:tcW w:w="800" w:type="dxa"/>
                        <w:tcBorders>
                          <w:top w:val="single" w:sz="4" w:space="0" w:color="231F20"/>
                        </w:tcBorders>
                      </w:tcPr>
                      <w:p>
                        <w:pPr>
                          <w:pStyle w:val="TableParagraph"/>
                          <w:spacing w:before="43"/>
                          <w:ind w:left="121" w:right="68"/>
                          <w:rPr>
                            <w:sz w:val="16"/>
                          </w:rPr>
                        </w:pPr>
                        <w:r>
                          <w:rPr>
                            <w:color w:val="231F20"/>
                            <w:sz w:val="16"/>
                          </w:rPr>
                          <w:t>17.1</w:t>
                        </w:r>
                      </w:p>
                    </w:tc>
                  </w:tr>
                  <w:tr>
                    <w:trPr>
                      <w:trHeight w:val="280" w:hRule="exact"/>
                    </w:trPr>
                    <w:tc>
                      <w:tcPr>
                        <w:tcW w:w="1416" w:type="dxa"/>
                      </w:tcPr>
                      <w:p>
                        <w:pPr>
                          <w:pStyle w:val="TableParagraph"/>
                          <w:spacing w:before="28"/>
                          <w:ind w:left="52"/>
                          <w:jc w:val="left"/>
                          <w:rPr>
                            <w:sz w:val="16"/>
                          </w:rPr>
                        </w:pPr>
                        <w:r>
                          <w:rPr>
                            <w:color w:val="231F20"/>
                            <w:sz w:val="16"/>
                          </w:rPr>
                          <w:t>Toyota Aliance</w:t>
                        </w:r>
                      </w:p>
                    </w:tc>
                    <w:tc>
                      <w:tcPr>
                        <w:tcW w:w="599" w:type="dxa"/>
                      </w:tcPr>
                      <w:p>
                        <w:pPr>
                          <w:pStyle w:val="TableParagraph"/>
                          <w:spacing w:before="28"/>
                          <w:ind w:left="113" w:right="160"/>
                          <w:rPr>
                            <w:sz w:val="16"/>
                          </w:rPr>
                        </w:pPr>
                        <w:r>
                          <w:rPr>
                            <w:color w:val="231F20"/>
                            <w:sz w:val="16"/>
                          </w:rPr>
                          <w:t>12.7</w:t>
                        </w:r>
                      </w:p>
                    </w:tc>
                    <w:tc>
                      <w:tcPr>
                        <w:tcW w:w="730" w:type="dxa"/>
                      </w:tcPr>
                      <w:p>
                        <w:pPr>
                          <w:pStyle w:val="TableParagraph"/>
                          <w:spacing w:before="28"/>
                          <w:ind w:left="188"/>
                          <w:jc w:val="left"/>
                          <w:rPr>
                            <w:sz w:val="16"/>
                          </w:rPr>
                        </w:pPr>
                        <w:r>
                          <w:rPr>
                            <w:color w:val="231F20"/>
                            <w:sz w:val="16"/>
                          </w:rPr>
                          <w:t>14.0</w:t>
                        </w:r>
                      </w:p>
                    </w:tc>
                    <w:tc>
                      <w:tcPr>
                        <w:tcW w:w="789" w:type="dxa"/>
                      </w:tcPr>
                      <w:p>
                        <w:pPr>
                          <w:pStyle w:val="TableParagraph"/>
                          <w:spacing w:before="28"/>
                          <w:ind w:left="21" w:right="6"/>
                          <w:rPr>
                            <w:sz w:val="16"/>
                          </w:rPr>
                        </w:pPr>
                        <w:r>
                          <w:rPr>
                            <w:color w:val="231F20"/>
                            <w:sz w:val="16"/>
                          </w:rPr>
                          <w:t>5.9</w:t>
                        </w:r>
                      </w:p>
                    </w:tc>
                    <w:tc>
                      <w:tcPr>
                        <w:tcW w:w="733" w:type="dxa"/>
                      </w:tcPr>
                      <w:p>
                        <w:pPr>
                          <w:pStyle w:val="TableParagraph"/>
                          <w:spacing w:before="28"/>
                          <w:ind w:left="220" w:right="186"/>
                          <w:rPr>
                            <w:sz w:val="16"/>
                          </w:rPr>
                        </w:pPr>
                        <w:r>
                          <w:rPr>
                            <w:color w:val="231F20"/>
                            <w:sz w:val="16"/>
                          </w:rPr>
                          <w:t>41.9</w:t>
                        </w:r>
                      </w:p>
                    </w:tc>
                    <w:tc>
                      <w:tcPr>
                        <w:tcW w:w="686" w:type="dxa"/>
                      </w:tcPr>
                      <w:p>
                        <w:pPr>
                          <w:pStyle w:val="TableParagraph"/>
                          <w:spacing w:before="28"/>
                          <w:ind w:left="49" w:right="39"/>
                          <w:rPr>
                            <w:sz w:val="16"/>
                          </w:rPr>
                        </w:pPr>
                        <w:r>
                          <w:rPr>
                            <w:color w:val="231F20"/>
                            <w:sz w:val="16"/>
                          </w:rPr>
                          <w:t>9.0</w:t>
                        </w:r>
                      </w:p>
                    </w:tc>
                    <w:tc>
                      <w:tcPr>
                        <w:tcW w:w="752" w:type="dxa"/>
                      </w:tcPr>
                      <w:p>
                        <w:pPr>
                          <w:pStyle w:val="TableParagraph"/>
                          <w:spacing w:before="28"/>
                          <w:ind w:left="82" w:right="36"/>
                          <w:rPr>
                            <w:sz w:val="16"/>
                          </w:rPr>
                        </w:pPr>
                        <w:r>
                          <w:rPr>
                            <w:color w:val="231F20"/>
                            <w:sz w:val="16"/>
                          </w:rPr>
                          <w:t>5.2</w:t>
                        </w:r>
                      </w:p>
                    </w:tc>
                    <w:tc>
                      <w:tcPr>
                        <w:tcW w:w="695" w:type="dxa"/>
                      </w:tcPr>
                      <w:p>
                        <w:pPr>
                          <w:pStyle w:val="TableParagraph"/>
                          <w:spacing w:before="28"/>
                          <w:ind w:left="122" w:right="48"/>
                          <w:rPr>
                            <w:sz w:val="16"/>
                          </w:rPr>
                        </w:pPr>
                        <w:r>
                          <w:rPr>
                            <w:color w:val="231F20"/>
                            <w:sz w:val="16"/>
                          </w:rPr>
                          <w:t>4.0</w:t>
                        </w:r>
                      </w:p>
                    </w:tc>
                    <w:tc>
                      <w:tcPr>
                        <w:tcW w:w="800" w:type="dxa"/>
                      </w:tcPr>
                      <w:p>
                        <w:pPr>
                          <w:pStyle w:val="TableParagraph"/>
                          <w:spacing w:before="28"/>
                          <w:ind w:left="121" w:right="68"/>
                          <w:rPr>
                            <w:sz w:val="16"/>
                          </w:rPr>
                        </w:pPr>
                        <w:r>
                          <w:rPr>
                            <w:color w:val="231F20"/>
                            <w:sz w:val="16"/>
                          </w:rPr>
                          <w:t>16.0</w:t>
                        </w:r>
                      </w:p>
                    </w:tc>
                  </w:tr>
                  <w:tr>
                    <w:trPr>
                      <w:trHeight w:val="259" w:hRule="exact"/>
                    </w:trPr>
                    <w:tc>
                      <w:tcPr>
                        <w:tcW w:w="1416" w:type="dxa"/>
                        <w:tcBorders>
                          <w:bottom w:val="single" w:sz="4" w:space="0" w:color="231F20"/>
                        </w:tcBorders>
                      </w:tcPr>
                      <w:p>
                        <w:pPr>
                          <w:pStyle w:val="TableParagraph"/>
                          <w:spacing w:before="28"/>
                          <w:ind w:left="51"/>
                          <w:jc w:val="left"/>
                          <w:rPr>
                            <w:sz w:val="16"/>
                          </w:rPr>
                        </w:pPr>
                        <w:r>
                          <w:rPr>
                            <w:color w:val="231F20"/>
                            <w:sz w:val="16"/>
                          </w:rPr>
                          <w:t>Fuji HI</w:t>
                        </w:r>
                      </w:p>
                    </w:tc>
                    <w:tc>
                      <w:tcPr>
                        <w:tcW w:w="599" w:type="dxa"/>
                        <w:tcBorders>
                          <w:bottom w:val="single" w:sz="4" w:space="0" w:color="231F20"/>
                        </w:tcBorders>
                      </w:tcPr>
                      <w:p>
                        <w:pPr>
                          <w:pStyle w:val="TableParagraph"/>
                          <w:spacing w:before="28"/>
                          <w:ind w:left="113" w:right="160"/>
                          <w:rPr>
                            <w:sz w:val="16"/>
                          </w:rPr>
                        </w:pPr>
                        <w:r>
                          <w:rPr>
                            <w:color w:val="231F20"/>
                            <w:sz w:val="16"/>
                          </w:rPr>
                          <w:t>0.9</w:t>
                        </w:r>
                      </w:p>
                    </w:tc>
                    <w:tc>
                      <w:tcPr>
                        <w:tcW w:w="730" w:type="dxa"/>
                        <w:tcBorders>
                          <w:bottom w:val="single" w:sz="4" w:space="0" w:color="231F20"/>
                        </w:tcBorders>
                      </w:tcPr>
                      <w:p>
                        <w:pPr>
                          <w:pStyle w:val="TableParagraph"/>
                          <w:spacing w:before="28"/>
                          <w:ind w:left="226"/>
                          <w:jc w:val="left"/>
                          <w:rPr>
                            <w:sz w:val="16"/>
                          </w:rPr>
                        </w:pPr>
                        <w:r>
                          <w:rPr>
                            <w:color w:val="231F20"/>
                            <w:sz w:val="16"/>
                          </w:rPr>
                          <w:t>1.1</w:t>
                        </w:r>
                      </w:p>
                    </w:tc>
                    <w:tc>
                      <w:tcPr>
                        <w:tcW w:w="789" w:type="dxa"/>
                        <w:tcBorders>
                          <w:bottom w:val="single" w:sz="4" w:space="0" w:color="231F20"/>
                        </w:tcBorders>
                      </w:tcPr>
                      <w:p>
                        <w:pPr>
                          <w:pStyle w:val="TableParagraph"/>
                          <w:spacing w:before="28"/>
                          <w:ind w:left="21" w:right="6"/>
                          <w:rPr>
                            <w:sz w:val="16"/>
                          </w:rPr>
                        </w:pPr>
                        <w:r>
                          <w:rPr>
                            <w:color w:val="231F20"/>
                            <w:sz w:val="16"/>
                          </w:rPr>
                          <w:t>0.3</w:t>
                        </w:r>
                      </w:p>
                    </w:tc>
                    <w:tc>
                      <w:tcPr>
                        <w:tcW w:w="733" w:type="dxa"/>
                        <w:tcBorders>
                          <w:bottom w:val="single" w:sz="4" w:space="0" w:color="231F20"/>
                        </w:tcBorders>
                      </w:tcPr>
                      <w:p>
                        <w:pPr>
                          <w:pStyle w:val="TableParagraph"/>
                          <w:spacing w:before="28"/>
                          <w:ind w:left="219" w:right="186"/>
                          <w:rPr>
                            <w:sz w:val="16"/>
                          </w:rPr>
                        </w:pPr>
                        <w:r>
                          <w:rPr>
                            <w:color w:val="231F20"/>
                            <w:sz w:val="16"/>
                          </w:rPr>
                          <w:t>3.8</w:t>
                        </w:r>
                      </w:p>
                    </w:tc>
                    <w:tc>
                      <w:tcPr>
                        <w:tcW w:w="686" w:type="dxa"/>
                        <w:tcBorders>
                          <w:bottom w:val="single" w:sz="4" w:space="0" w:color="231F20"/>
                        </w:tcBorders>
                      </w:tcPr>
                      <w:p>
                        <w:pPr>
                          <w:pStyle w:val="TableParagraph"/>
                          <w:spacing w:before="28"/>
                          <w:ind w:left="48" w:right="39"/>
                          <w:rPr>
                            <w:sz w:val="16"/>
                          </w:rPr>
                        </w:pPr>
                        <w:r>
                          <w:rPr>
                            <w:color w:val="231F20"/>
                            <w:sz w:val="16"/>
                          </w:rPr>
                          <w:t>0.3</w:t>
                        </w:r>
                      </w:p>
                    </w:tc>
                    <w:tc>
                      <w:tcPr>
                        <w:tcW w:w="752" w:type="dxa"/>
                        <w:tcBorders>
                          <w:bottom w:val="single" w:sz="4" w:space="0" w:color="231F20"/>
                        </w:tcBorders>
                      </w:tcPr>
                      <w:p>
                        <w:pPr>
                          <w:pStyle w:val="TableParagraph"/>
                          <w:spacing w:before="28"/>
                          <w:ind w:left="82" w:right="36"/>
                          <w:rPr>
                            <w:sz w:val="16"/>
                          </w:rPr>
                        </w:pPr>
                        <w:r>
                          <w:rPr>
                            <w:color w:val="231F20"/>
                            <w:sz w:val="16"/>
                          </w:rPr>
                          <w:t>0.3</w:t>
                        </w:r>
                      </w:p>
                    </w:tc>
                    <w:tc>
                      <w:tcPr>
                        <w:tcW w:w="695" w:type="dxa"/>
                        <w:tcBorders>
                          <w:bottom w:val="single" w:sz="4" w:space="0" w:color="231F20"/>
                        </w:tcBorders>
                      </w:tcPr>
                      <w:p>
                        <w:pPr>
                          <w:pStyle w:val="TableParagraph"/>
                          <w:spacing w:before="28"/>
                          <w:ind w:left="121" w:right="48"/>
                          <w:rPr>
                            <w:sz w:val="16"/>
                          </w:rPr>
                        </w:pPr>
                        <w:r>
                          <w:rPr>
                            <w:color w:val="231F20"/>
                            <w:sz w:val="16"/>
                          </w:rPr>
                          <w:t>0.2</w:t>
                        </w:r>
                      </w:p>
                    </w:tc>
                    <w:tc>
                      <w:tcPr>
                        <w:tcW w:w="800" w:type="dxa"/>
                        <w:tcBorders>
                          <w:bottom w:val="single" w:sz="4" w:space="0" w:color="231F20"/>
                        </w:tcBorders>
                      </w:tcPr>
                      <w:p>
                        <w:pPr>
                          <w:pStyle w:val="TableParagraph"/>
                          <w:spacing w:before="28"/>
                          <w:ind w:left="120" w:right="68"/>
                          <w:rPr>
                            <w:sz w:val="16"/>
                          </w:rPr>
                        </w:pPr>
                        <w:r>
                          <w:rPr>
                            <w:color w:val="231F20"/>
                            <w:sz w:val="16"/>
                          </w:rPr>
                          <w:t>1.2</w:t>
                        </w:r>
                      </w:p>
                    </w:tc>
                  </w:tr>
                  <w:tr>
                    <w:trPr>
                      <w:trHeight w:val="280" w:hRule="exact"/>
                    </w:trPr>
                    <w:tc>
                      <w:tcPr>
                        <w:tcW w:w="1416" w:type="dxa"/>
                        <w:tcBorders>
                          <w:top w:val="single" w:sz="4" w:space="0" w:color="231F20"/>
                          <w:bottom w:val="single" w:sz="4" w:space="0" w:color="231F20"/>
                        </w:tcBorders>
                      </w:tcPr>
                      <w:p>
                        <w:pPr>
                          <w:pStyle w:val="TableParagraph"/>
                          <w:spacing w:before="43"/>
                          <w:ind w:left="51"/>
                          <w:jc w:val="left"/>
                          <w:rPr>
                            <w:sz w:val="16"/>
                          </w:rPr>
                        </w:pPr>
                        <w:r>
                          <w:rPr>
                            <w:color w:val="231F20"/>
                            <w:w w:val="105"/>
                            <w:sz w:val="16"/>
                          </w:rPr>
                          <w:t>Honda</w:t>
                        </w:r>
                      </w:p>
                    </w:tc>
                    <w:tc>
                      <w:tcPr>
                        <w:tcW w:w="599" w:type="dxa"/>
                        <w:tcBorders>
                          <w:top w:val="single" w:sz="4" w:space="0" w:color="231F20"/>
                          <w:bottom w:val="single" w:sz="4" w:space="0" w:color="231F20"/>
                        </w:tcBorders>
                      </w:tcPr>
                      <w:p>
                        <w:pPr>
                          <w:pStyle w:val="TableParagraph"/>
                          <w:spacing w:before="43"/>
                          <w:ind w:left="112" w:right="160"/>
                          <w:rPr>
                            <w:sz w:val="16"/>
                          </w:rPr>
                        </w:pPr>
                        <w:r>
                          <w:rPr>
                            <w:color w:val="231F20"/>
                            <w:sz w:val="16"/>
                          </w:rPr>
                          <w:t>6.3</w:t>
                        </w:r>
                      </w:p>
                    </w:tc>
                    <w:tc>
                      <w:tcPr>
                        <w:tcW w:w="730" w:type="dxa"/>
                        <w:tcBorders>
                          <w:top w:val="single" w:sz="4" w:space="0" w:color="231F20"/>
                          <w:bottom w:val="single" w:sz="4" w:space="0" w:color="231F20"/>
                        </w:tcBorders>
                      </w:tcPr>
                      <w:p>
                        <w:pPr>
                          <w:pStyle w:val="TableParagraph"/>
                          <w:spacing w:before="43"/>
                          <w:ind w:left="226"/>
                          <w:jc w:val="left"/>
                          <w:rPr>
                            <w:sz w:val="16"/>
                          </w:rPr>
                        </w:pPr>
                        <w:r>
                          <w:rPr>
                            <w:color w:val="231F20"/>
                            <w:sz w:val="16"/>
                          </w:rPr>
                          <w:t>8.7</w:t>
                        </w:r>
                      </w:p>
                    </w:tc>
                    <w:tc>
                      <w:tcPr>
                        <w:tcW w:w="789" w:type="dxa"/>
                        <w:tcBorders>
                          <w:top w:val="single" w:sz="4" w:space="0" w:color="231F20"/>
                          <w:bottom w:val="single" w:sz="4" w:space="0" w:color="231F20"/>
                        </w:tcBorders>
                      </w:tcPr>
                      <w:p>
                        <w:pPr>
                          <w:pStyle w:val="TableParagraph"/>
                          <w:spacing w:before="43"/>
                          <w:ind w:left="20" w:right="6"/>
                          <w:rPr>
                            <w:sz w:val="16"/>
                          </w:rPr>
                        </w:pPr>
                        <w:r>
                          <w:rPr>
                            <w:color w:val="231F20"/>
                            <w:sz w:val="16"/>
                          </w:rPr>
                          <w:t>1.7</w:t>
                        </w:r>
                      </w:p>
                    </w:tc>
                    <w:tc>
                      <w:tcPr>
                        <w:tcW w:w="733" w:type="dxa"/>
                        <w:tcBorders>
                          <w:top w:val="single" w:sz="4" w:space="0" w:color="231F20"/>
                          <w:bottom w:val="single" w:sz="4" w:space="0" w:color="231F20"/>
                        </w:tcBorders>
                      </w:tcPr>
                      <w:p>
                        <w:pPr>
                          <w:pStyle w:val="TableParagraph"/>
                          <w:spacing w:before="43"/>
                          <w:ind w:left="219" w:right="186"/>
                          <w:rPr>
                            <w:sz w:val="16"/>
                          </w:rPr>
                        </w:pPr>
                        <w:r>
                          <w:rPr>
                            <w:color w:val="231F20"/>
                            <w:sz w:val="16"/>
                          </w:rPr>
                          <w:t>14.3</w:t>
                        </w:r>
                      </w:p>
                    </w:tc>
                    <w:tc>
                      <w:tcPr>
                        <w:tcW w:w="686" w:type="dxa"/>
                        <w:tcBorders>
                          <w:top w:val="single" w:sz="4" w:space="0" w:color="231F20"/>
                          <w:bottom w:val="single" w:sz="4" w:space="0" w:color="231F20"/>
                        </w:tcBorders>
                      </w:tcPr>
                      <w:p>
                        <w:pPr>
                          <w:pStyle w:val="TableParagraph"/>
                          <w:spacing w:before="43"/>
                          <w:ind w:left="47" w:right="39"/>
                          <w:rPr>
                            <w:sz w:val="16"/>
                          </w:rPr>
                        </w:pPr>
                        <w:r>
                          <w:rPr>
                            <w:color w:val="231F20"/>
                            <w:sz w:val="16"/>
                          </w:rPr>
                          <w:t>7.0</w:t>
                        </w:r>
                      </w:p>
                    </w:tc>
                    <w:tc>
                      <w:tcPr>
                        <w:tcW w:w="752" w:type="dxa"/>
                        <w:tcBorders>
                          <w:top w:val="single" w:sz="4" w:space="0" w:color="231F20"/>
                          <w:bottom w:val="single" w:sz="4" w:space="0" w:color="231F20"/>
                        </w:tcBorders>
                      </w:tcPr>
                      <w:p>
                        <w:pPr>
                          <w:pStyle w:val="TableParagraph"/>
                          <w:spacing w:before="43"/>
                          <w:ind w:left="81" w:right="36"/>
                          <w:rPr>
                            <w:sz w:val="16"/>
                          </w:rPr>
                        </w:pPr>
                        <w:r>
                          <w:rPr>
                            <w:color w:val="231F20"/>
                            <w:sz w:val="16"/>
                          </w:rPr>
                          <w:t>1.1</w:t>
                        </w:r>
                      </w:p>
                    </w:tc>
                    <w:tc>
                      <w:tcPr>
                        <w:tcW w:w="695" w:type="dxa"/>
                        <w:tcBorders>
                          <w:top w:val="single" w:sz="4" w:space="0" w:color="231F20"/>
                          <w:bottom w:val="single" w:sz="4" w:space="0" w:color="231F20"/>
                        </w:tcBorders>
                      </w:tcPr>
                      <w:p>
                        <w:pPr>
                          <w:pStyle w:val="TableParagraph"/>
                          <w:spacing w:before="43"/>
                          <w:ind w:left="120" w:right="48"/>
                          <w:rPr>
                            <w:sz w:val="16"/>
                          </w:rPr>
                        </w:pPr>
                        <w:r>
                          <w:rPr>
                            <w:color w:val="231F20"/>
                            <w:sz w:val="16"/>
                          </w:rPr>
                          <w:t>3.7</w:t>
                        </w:r>
                      </w:p>
                    </w:tc>
                    <w:tc>
                      <w:tcPr>
                        <w:tcW w:w="800" w:type="dxa"/>
                        <w:tcBorders>
                          <w:top w:val="single" w:sz="4" w:space="0" w:color="231F20"/>
                          <w:bottom w:val="single" w:sz="4" w:space="0" w:color="231F20"/>
                        </w:tcBorders>
                      </w:tcPr>
                      <w:p>
                        <w:pPr>
                          <w:pStyle w:val="TableParagraph"/>
                          <w:spacing w:before="43"/>
                          <w:ind w:left="119" w:right="68"/>
                          <w:rPr>
                            <w:sz w:val="16"/>
                          </w:rPr>
                        </w:pPr>
                        <w:r>
                          <w:rPr>
                            <w:color w:val="231F20"/>
                            <w:sz w:val="16"/>
                          </w:rPr>
                          <w:t>3.3</w:t>
                        </w:r>
                      </w:p>
                    </w:tc>
                  </w:tr>
                  <w:tr>
                    <w:trPr>
                      <w:trHeight w:val="280" w:hRule="exact"/>
                    </w:trPr>
                    <w:tc>
                      <w:tcPr>
                        <w:tcW w:w="1416" w:type="dxa"/>
                        <w:tcBorders>
                          <w:top w:val="single" w:sz="4" w:space="0" w:color="231F20"/>
                          <w:bottom w:val="single" w:sz="4" w:space="0" w:color="231F20"/>
                        </w:tcBorders>
                      </w:tcPr>
                      <w:p>
                        <w:pPr>
                          <w:pStyle w:val="TableParagraph"/>
                          <w:spacing w:before="43"/>
                          <w:ind w:left="51"/>
                          <w:jc w:val="left"/>
                          <w:rPr>
                            <w:sz w:val="16"/>
                          </w:rPr>
                        </w:pPr>
                        <w:r>
                          <w:rPr>
                            <w:color w:val="231F20"/>
                            <w:sz w:val="16"/>
                          </w:rPr>
                          <w:t>Suzuki</w:t>
                        </w:r>
                      </w:p>
                    </w:tc>
                    <w:tc>
                      <w:tcPr>
                        <w:tcW w:w="599" w:type="dxa"/>
                        <w:tcBorders>
                          <w:top w:val="single" w:sz="4" w:space="0" w:color="231F20"/>
                          <w:bottom w:val="single" w:sz="4" w:space="0" w:color="231F20"/>
                        </w:tcBorders>
                      </w:tcPr>
                      <w:p>
                        <w:pPr>
                          <w:pStyle w:val="TableParagraph"/>
                          <w:spacing w:before="43"/>
                          <w:ind w:left="111" w:right="160"/>
                          <w:rPr>
                            <w:sz w:val="16"/>
                          </w:rPr>
                        </w:pPr>
                        <w:r>
                          <w:rPr>
                            <w:color w:val="231F20"/>
                            <w:sz w:val="16"/>
                          </w:rPr>
                          <w:t>3.3</w:t>
                        </w:r>
                      </w:p>
                    </w:tc>
                    <w:tc>
                      <w:tcPr>
                        <w:tcW w:w="730" w:type="dxa"/>
                        <w:tcBorders>
                          <w:top w:val="single" w:sz="4" w:space="0" w:color="231F20"/>
                          <w:bottom w:val="single" w:sz="4" w:space="0" w:color="231F20"/>
                        </w:tcBorders>
                      </w:tcPr>
                      <w:p>
                        <w:pPr>
                          <w:pStyle w:val="TableParagraph"/>
                          <w:spacing w:before="43"/>
                          <w:ind w:left="226"/>
                          <w:jc w:val="left"/>
                          <w:rPr>
                            <w:sz w:val="16"/>
                          </w:rPr>
                        </w:pPr>
                        <w:r>
                          <w:rPr>
                            <w:color w:val="231F20"/>
                            <w:sz w:val="16"/>
                          </w:rPr>
                          <w:t>0.6</w:t>
                        </w:r>
                      </w:p>
                    </w:tc>
                    <w:tc>
                      <w:tcPr>
                        <w:tcW w:w="789" w:type="dxa"/>
                        <w:tcBorders>
                          <w:top w:val="single" w:sz="4" w:space="0" w:color="231F20"/>
                          <w:bottom w:val="single" w:sz="4" w:space="0" w:color="231F20"/>
                        </w:tcBorders>
                      </w:tcPr>
                      <w:p>
                        <w:pPr>
                          <w:pStyle w:val="TableParagraph"/>
                          <w:spacing w:before="43"/>
                          <w:ind w:left="19" w:right="6"/>
                          <w:rPr>
                            <w:sz w:val="16"/>
                          </w:rPr>
                        </w:pPr>
                        <w:r>
                          <w:rPr>
                            <w:color w:val="231F20"/>
                            <w:sz w:val="16"/>
                          </w:rPr>
                          <w:t>1.4</w:t>
                        </w:r>
                      </w:p>
                    </w:tc>
                    <w:tc>
                      <w:tcPr>
                        <w:tcW w:w="733" w:type="dxa"/>
                        <w:tcBorders>
                          <w:top w:val="single" w:sz="4" w:space="0" w:color="231F20"/>
                          <w:bottom w:val="single" w:sz="4" w:space="0" w:color="231F20"/>
                        </w:tcBorders>
                      </w:tcPr>
                      <w:p>
                        <w:pPr>
                          <w:pStyle w:val="TableParagraph"/>
                          <w:spacing w:before="43"/>
                          <w:ind w:left="218" w:right="186"/>
                          <w:rPr>
                            <w:sz w:val="16"/>
                          </w:rPr>
                        </w:pPr>
                        <w:r>
                          <w:rPr>
                            <w:color w:val="231F20"/>
                            <w:sz w:val="16"/>
                          </w:rPr>
                          <w:t>11.5</w:t>
                        </w:r>
                      </w:p>
                    </w:tc>
                    <w:tc>
                      <w:tcPr>
                        <w:tcW w:w="686" w:type="dxa"/>
                        <w:tcBorders>
                          <w:top w:val="single" w:sz="4" w:space="0" w:color="231F20"/>
                          <w:bottom w:val="single" w:sz="4" w:space="0" w:color="231F20"/>
                        </w:tcBorders>
                      </w:tcPr>
                      <w:p>
                        <w:pPr>
                          <w:pStyle w:val="TableParagraph"/>
                          <w:spacing w:before="43"/>
                          <w:ind w:left="47" w:right="39"/>
                          <w:rPr>
                            <w:sz w:val="16"/>
                          </w:rPr>
                        </w:pPr>
                        <w:r>
                          <w:rPr>
                            <w:color w:val="231F20"/>
                            <w:sz w:val="16"/>
                          </w:rPr>
                          <w:t>9.5</w:t>
                        </w:r>
                      </w:p>
                    </w:tc>
                    <w:tc>
                      <w:tcPr>
                        <w:tcW w:w="752" w:type="dxa"/>
                        <w:tcBorders>
                          <w:top w:val="single" w:sz="4" w:space="0" w:color="231F20"/>
                          <w:bottom w:val="single" w:sz="4" w:space="0" w:color="231F20"/>
                        </w:tcBorders>
                      </w:tcPr>
                      <w:p>
                        <w:pPr>
                          <w:pStyle w:val="TableParagraph"/>
                          <w:spacing w:before="43"/>
                          <w:ind w:left="80" w:right="36"/>
                          <w:rPr>
                            <w:sz w:val="16"/>
                          </w:rPr>
                        </w:pPr>
                        <w:r>
                          <w:rPr>
                            <w:color w:val="231F20"/>
                            <w:sz w:val="16"/>
                          </w:rPr>
                          <w:t>2.0</w:t>
                        </w:r>
                      </w:p>
                    </w:tc>
                    <w:tc>
                      <w:tcPr>
                        <w:tcW w:w="695" w:type="dxa"/>
                        <w:tcBorders>
                          <w:top w:val="single" w:sz="4" w:space="0" w:color="231F20"/>
                          <w:bottom w:val="single" w:sz="4" w:space="0" w:color="231F20"/>
                        </w:tcBorders>
                      </w:tcPr>
                      <w:p>
                        <w:pPr>
                          <w:pStyle w:val="TableParagraph"/>
                          <w:spacing w:before="43"/>
                          <w:ind w:left="120" w:right="48"/>
                          <w:rPr>
                            <w:sz w:val="16"/>
                          </w:rPr>
                        </w:pPr>
                        <w:r>
                          <w:rPr>
                            <w:color w:val="231F20"/>
                            <w:sz w:val="16"/>
                          </w:rPr>
                          <w:t>1.0</w:t>
                        </w:r>
                      </w:p>
                    </w:tc>
                    <w:tc>
                      <w:tcPr>
                        <w:tcW w:w="800" w:type="dxa"/>
                        <w:tcBorders>
                          <w:top w:val="single" w:sz="4" w:space="0" w:color="231F20"/>
                          <w:bottom w:val="single" w:sz="4" w:space="0" w:color="231F20"/>
                        </w:tcBorders>
                      </w:tcPr>
                      <w:p>
                        <w:pPr>
                          <w:pStyle w:val="TableParagraph"/>
                          <w:spacing w:before="43"/>
                          <w:ind w:left="119" w:right="68"/>
                          <w:rPr>
                            <w:sz w:val="16"/>
                          </w:rPr>
                        </w:pPr>
                        <w:r>
                          <w:rPr>
                            <w:color w:val="231F20"/>
                            <w:sz w:val="16"/>
                          </w:rPr>
                          <w:t>0.8</w:t>
                        </w:r>
                      </w:p>
                    </w:tc>
                  </w:tr>
                  <w:tr>
                    <w:trPr>
                      <w:trHeight w:val="280" w:hRule="exact"/>
                    </w:trPr>
                    <w:tc>
                      <w:tcPr>
                        <w:tcW w:w="1416" w:type="dxa"/>
                        <w:tcBorders>
                          <w:top w:val="single" w:sz="4" w:space="0" w:color="231F20"/>
                          <w:bottom w:val="single" w:sz="4" w:space="0" w:color="231F20"/>
                        </w:tcBorders>
                      </w:tcPr>
                      <w:p>
                        <w:pPr>
                          <w:pStyle w:val="TableParagraph"/>
                          <w:spacing w:before="43"/>
                          <w:ind w:left="50"/>
                          <w:jc w:val="left"/>
                          <w:rPr>
                            <w:sz w:val="16"/>
                          </w:rPr>
                        </w:pPr>
                        <w:r>
                          <w:rPr>
                            <w:color w:val="231F20"/>
                            <w:sz w:val="16"/>
                          </w:rPr>
                          <w:t>Mitsubishi</w:t>
                        </w:r>
                      </w:p>
                    </w:tc>
                    <w:tc>
                      <w:tcPr>
                        <w:tcW w:w="599" w:type="dxa"/>
                        <w:tcBorders>
                          <w:top w:val="single" w:sz="4" w:space="0" w:color="231F20"/>
                          <w:bottom w:val="single" w:sz="4" w:space="0" w:color="231F20"/>
                        </w:tcBorders>
                      </w:tcPr>
                      <w:p>
                        <w:pPr>
                          <w:pStyle w:val="TableParagraph"/>
                          <w:spacing w:before="43"/>
                          <w:ind w:left="111" w:right="160"/>
                          <w:rPr>
                            <w:sz w:val="16"/>
                          </w:rPr>
                        </w:pPr>
                        <w:r>
                          <w:rPr>
                            <w:color w:val="231F20"/>
                            <w:sz w:val="16"/>
                          </w:rPr>
                          <w:t>1.1</w:t>
                        </w:r>
                      </w:p>
                    </w:tc>
                    <w:tc>
                      <w:tcPr>
                        <w:tcW w:w="730" w:type="dxa"/>
                        <w:tcBorders>
                          <w:top w:val="single" w:sz="4" w:space="0" w:color="231F20"/>
                          <w:bottom w:val="single" w:sz="4" w:space="0" w:color="231F20"/>
                        </w:tcBorders>
                      </w:tcPr>
                      <w:p>
                        <w:pPr>
                          <w:pStyle w:val="TableParagraph"/>
                          <w:spacing w:before="43"/>
                          <w:ind w:left="225"/>
                          <w:jc w:val="left"/>
                          <w:rPr>
                            <w:sz w:val="16"/>
                          </w:rPr>
                        </w:pPr>
                        <w:r>
                          <w:rPr>
                            <w:color w:val="231F20"/>
                            <w:sz w:val="16"/>
                          </w:rPr>
                          <w:t>0.7</w:t>
                        </w:r>
                      </w:p>
                    </w:tc>
                    <w:tc>
                      <w:tcPr>
                        <w:tcW w:w="789" w:type="dxa"/>
                        <w:tcBorders>
                          <w:top w:val="single" w:sz="4" w:space="0" w:color="231F20"/>
                          <w:bottom w:val="single" w:sz="4" w:space="0" w:color="231F20"/>
                        </w:tcBorders>
                      </w:tcPr>
                      <w:p>
                        <w:pPr>
                          <w:pStyle w:val="TableParagraph"/>
                          <w:spacing w:before="43"/>
                          <w:ind w:left="19" w:right="6"/>
                          <w:rPr>
                            <w:sz w:val="16"/>
                          </w:rPr>
                        </w:pPr>
                        <w:r>
                          <w:rPr>
                            <w:color w:val="231F20"/>
                            <w:sz w:val="16"/>
                          </w:rPr>
                          <w:t>0.8</w:t>
                        </w:r>
                      </w:p>
                    </w:tc>
                    <w:tc>
                      <w:tcPr>
                        <w:tcW w:w="733" w:type="dxa"/>
                        <w:tcBorders>
                          <w:top w:val="single" w:sz="4" w:space="0" w:color="231F20"/>
                          <w:bottom w:val="single" w:sz="4" w:space="0" w:color="231F20"/>
                        </w:tcBorders>
                      </w:tcPr>
                      <w:p>
                        <w:pPr>
                          <w:pStyle w:val="TableParagraph"/>
                          <w:spacing w:before="43"/>
                          <w:ind w:left="217" w:right="186"/>
                          <w:rPr>
                            <w:sz w:val="16"/>
                          </w:rPr>
                        </w:pPr>
                        <w:r>
                          <w:rPr>
                            <w:color w:val="231F20"/>
                            <w:sz w:val="16"/>
                          </w:rPr>
                          <w:t>4.2</w:t>
                        </w:r>
                      </w:p>
                    </w:tc>
                    <w:tc>
                      <w:tcPr>
                        <w:tcW w:w="686" w:type="dxa"/>
                        <w:tcBorders>
                          <w:top w:val="single" w:sz="4" w:space="0" w:color="231F20"/>
                          <w:bottom w:val="single" w:sz="4" w:space="0" w:color="231F20"/>
                        </w:tcBorders>
                      </w:tcPr>
                      <w:p>
                        <w:pPr>
                          <w:pStyle w:val="TableParagraph"/>
                          <w:spacing w:before="43"/>
                          <w:ind w:left="46" w:right="39"/>
                          <w:rPr>
                            <w:sz w:val="16"/>
                          </w:rPr>
                        </w:pPr>
                        <w:r>
                          <w:rPr>
                            <w:color w:val="231F20"/>
                            <w:sz w:val="16"/>
                          </w:rPr>
                          <w:t>1.0</w:t>
                        </w:r>
                      </w:p>
                    </w:tc>
                    <w:tc>
                      <w:tcPr>
                        <w:tcW w:w="752" w:type="dxa"/>
                        <w:tcBorders>
                          <w:top w:val="single" w:sz="4" w:space="0" w:color="231F20"/>
                          <w:bottom w:val="single" w:sz="4" w:space="0" w:color="231F20"/>
                        </w:tcBorders>
                      </w:tcPr>
                      <w:p>
                        <w:pPr>
                          <w:pStyle w:val="TableParagraph"/>
                          <w:spacing w:before="43"/>
                          <w:ind w:left="80" w:right="36"/>
                          <w:rPr>
                            <w:sz w:val="16"/>
                          </w:rPr>
                        </w:pPr>
                        <w:r>
                          <w:rPr>
                            <w:color w:val="231F20"/>
                            <w:sz w:val="16"/>
                          </w:rPr>
                          <w:t>1.7</w:t>
                        </w:r>
                      </w:p>
                    </w:tc>
                    <w:tc>
                      <w:tcPr>
                        <w:tcW w:w="695" w:type="dxa"/>
                        <w:tcBorders>
                          <w:top w:val="single" w:sz="4" w:space="0" w:color="231F20"/>
                          <w:bottom w:val="single" w:sz="4" w:space="0" w:color="231F20"/>
                        </w:tcBorders>
                      </w:tcPr>
                      <w:p>
                        <w:pPr>
                          <w:pStyle w:val="TableParagraph"/>
                          <w:spacing w:before="43"/>
                          <w:ind w:left="119" w:right="48"/>
                          <w:rPr>
                            <w:sz w:val="16"/>
                          </w:rPr>
                        </w:pPr>
                        <w:r>
                          <w:rPr>
                            <w:color w:val="231F20"/>
                            <w:sz w:val="16"/>
                          </w:rPr>
                          <w:t>0.4</w:t>
                        </w:r>
                      </w:p>
                    </w:tc>
                    <w:tc>
                      <w:tcPr>
                        <w:tcW w:w="800" w:type="dxa"/>
                        <w:tcBorders>
                          <w:top w:val="single" w:sz="4" w:space="0" w:color="231F20"/>
                          <w:bottom w:val="single" w:sz="4" w:space="0" w:color="231F20"/>
                        </w:tcBorders>
                      </w:tcPr>
                      <w:p>
                        <w:pPr>
                          <w:pStyle w:val="TableParagraph"/>
                          <w:spacing w:before="43"/>
                          <w:ind w:left="118" w:right="68"/>
                          <w:rPr>
                            <w:sz w:val="16"/>
                          </w:rPr>
                        </w:pPr>
                        <w:r>
                          <w:rPr>
                            <w:color w:val="231F20"/>
                            <w:sz w:val="16"/>
                          </w:rPr>
                          <w:t>1.0</w:t>
                        </w:r>
                      </w:p>
                    </w:tc>
                  </w:tr>
                  <w:tr>
                    <w:trPr>
                      <w:trHeight w:val="280" w:hRule="exact"/>
                    </w:trPr>
                    <w:tc>
                      <w:tcPr>
                        <w:tcW w:w="1416" w:type="dxa"/>
                        <w:tcBorders>
                          <w:top w:val="single" w:sz="4" w:space="0" w:color="231F20"/>
                          <w:bottom w:val="single" w:sz="4" w:space="0" w:color="231F20"/>
                        </w:tcBorders>
                      </w:tcPr>
                      <w:p>
                        <w:pPr>
                          <w:pStyle w:val="TableParagraph"/>
                          <w:spacing w:before="43"/>
                          <w:ind w:left="50"/>
                          <w:jc w:val="left"/>
                          <w:rPr>
                            <w:sz w:val="16"/>
                          </w:rPr>
                        </w:pPr>
                        <w:r>
                          <w:rPr>
                            <w:color w:val="231F20"/>
                            <w:sz w:val="16"/>
                          </w:rPr>
                          <w:t>Andere</w:t>
                        </w:r>
                      </w:p>
                    </w:tc>
                    <w:tc>
                      <w:tcPr>
                        <w:tcW w:w="599" w:type="dxa"/>
                        <w:tcBorders>
                          <w:top w:val="single" w:sz="4" w:space="0" w:color="231F20"/>
                          <w:bottom w:val="single" w:sz="4" w:space="0" w:color="231F20"/>
                        </w:tcBorders>
                      </w:tcPr>
                      <w:p>
                        <w:pPr>
                          <w:pStyle w:val="TableParagraph"/>
                          <w:spacing w:before="43"/>
                          <w:ind w:left="110" w:right="160"/>
                          <w:rPr>
                            <w:sz w:val="16"/>
                          </w:rPr>
                        </w:pPr>
                        <w:r>
                          <w:rPr>
                            <w:color w:val="231F20"/>
                            <w:sz w:val="16"/>
                          </w:rPr>
                          <w:t>5.6</w:t>
                        </w:r>
                      </w:p>
                    </w:tc>
                    <w:tc>
                      <w:tcPr>
                        <w:tcW w:w="730" w:type="dxa"/>
                        <w:tcBorders>
                          <w:top w:val="single" w:sz="4" w:space="0" w:color="231F20"/>
                          <w:bottom w:val="single" w:sz="4" w:space="0" w:color="231F20"/>
                        </w:tcBorders>
                      </w:tcPr>
                      <w:p>
                        <w:pPr>
                          <w:pStyle w:val="TableParagraph"/>
                          <w:spacing w:before="43"/>
                          <w:ind w:left="225"/>
                          <w:jc w:val="left"/>
                          <w:rPr>
                            <w:sz w:val="16"/>
                          </w:rPr>
                        </w:pPr>
                        <w:r>
                          <w:rPr>
                            <w:color w:val="231F20"/>
                            <w:sz w:val="16"/>
                          </w:rPr>
                          <w:t>0.3</w:t>
                        </w:r>
                      </w:p>
                    </w:tc>
                    <w:tc>
                      <w:tcPr>
                        <w:tcW w:w="789" w:type="dxa"/>
                        <w:tcBorders>
                          <w:top w:val="single" w:sz="4" w:space="0" w:color="231F20"/>
                          <w:bottom w:val="single" w:sz="4" w:space="0" w:color="231F20"/>
                        </w:tcBorders>
                      </w:tcPr>
                      <w:p>
                        <w:pPr>
                          <w:pStyle w:val="TableParagraph"/>
                          <w:spacing w:before="43"/>
                          <w:ind w:left="18" w:right="6"/>
                          <w:rPr>
                            <w:sz w:val="16"/>
                          </w:rPr>
                        </w:pPr>
                        <w:r>
                          <w:rPr>
                            <w:color w:val="231F20"/>
                            <w:sz w:val="16"/>
                          </w:rPr>
                          <w:t>0.7</w:t>
                        </w:r>
                      </w:p>
                    </w:tc>
                    <w:tc>
                      <w:tcPr>
                        <w:tcW w:w="733" w:type="dxa"/>
                        <w:tcBorders>
                          <w:top w:val="single" w:sz="4" w:space="0" w:color="231F20"/>
                          <w:bottom w:val="single" w:sz="4" w:space="0" w:color="231F20"/>
                        </w:tcBorders>
                      </w:tcPr>
                      <w:p>
                        <w:pPr>
                          <w:pStyle w:val="TableParagraph"/>
                          <w:spacing w:before="43"/>
                          <w:ind w:left="217" w:right="186"/>
                          <w:rPr>
                            <w:sz w:val="16"/>
                          </w:rPr>
                        </w:pPr>
                        <w:r>
                          <w:rPr>
                            <w:color w:val="231F20"/>
                            <w:sz w:val="16"/>
                          </w:rPr>
                          <w:t>0.1</w:t>
                        </w:r>
                      </w:p>
                    </w:tc>
                    <w:tc>
                      <w:tcPr>
                        <w:tcW w:w="686" w:type="dxa"/>
                        <w:tcBorders>
                          <w:top w:val="single" w:sz="4" w:space="0" w:color="231F20"/>
                          <w:bottom w:val="single" w:sz="4" w:space="0" w:color="231F20"/>
                        </w:tcBorders>
                      </w:tcPr>
                      <w:p>
                        <w:pPr>
                          <w:pStyle w:val="TableParagraph"/>
                          <w:spacing w:before="43"/>
                          <w:ind w:left="45" w:right="39"/>
                          <w:rPr>
                            <w:sz w:val="16"/>
                          </w:rPr>
                        </w:pPr>
                        <w:r>
                          <w:rPr>
                            <w:color w:val="231F20"/>
                            <w:sz w:val="16"/>
                          </w:rPr>
                          <w:t>22.7</w:t>
                        </w:r>
                      </w:p>
                    </w:tc>
                    <w:tc>
                      <w:tcPr>
                        <w:tcW w:w="752" w:type="dxa"/>
                        <w:tcBorders>
                          <w:top w:val="single" w:sz="4" w:space="0" w:color="231F20"/>
                          <w:bottom w:val="single" w:sz="4" w:space="0" w:color="231F20"/>
                        </w:tcBorders>
                      </w:tcPr>
                      <w:p>
                        <w:pPr>
                          <w:pStyle w:val="TableParagraph"/>
                          <w:spacing w:before="43"/>
                          <w:ind w:left="79" w:right="36"/>
                          <w:rPr>
                            <w:sz w:val="16"/>
                          </w:rPr>
                        </w:pPr>
                        <w:r>
                          <w:rPr>
                            <w:color w:val="231F20"/>
                            <w:sz w:val="16"/>
                          </w:rPr>
                          <w:t>33.9</w:t>
                        </w:r>
                      </w:p>
                    </w:tc>
                    <w:tc>
                      <w:tcPr>
                        <w:tcW w:w="695" w:type="dxa"/>
                        <w:tcBorders>
                          <w:top w:val="single" w:sz="4" w:space="0" w:color="231F20"/>
                          <w:bottom w:val="single" w:sz="4" w:space="0" w:color="231F20"/>
                        </w:tcBorders>
                      </w:tcPr>
                      <w:p>
                        <w:pPr>
                          <w:pStyle w:val="TableParagraph"/>
                          <w:spacing w:before="43"/>
                          <w:ind w:left="118" w:right="48"/>
                          <w:rPr>
                            <w:sz w:val="16"/>
                          </w:rPr>
                        </w:pPr>
                        <w:r>
                          <w:rPr>
                            <w:color w:val="231F20"/>
                            <w:sz w:val="16"/>
                          </w:rPr>
                          <w:t>0.2</w:t>
                        </w:r>
                      </w:p>
                    </w:tc>
                    <w:tc>
                      <w:tcPr>
                        <w:tcW w:w="800" w:type="dxa"/>
                        <w:tcBorders>
                          <w:top w:val="single" w:sz="4" w:space="0" w:color="231F20"/>
                          <w:bottom w:val="single" w:sz="4" w:space="0" w:color="231F20"/>
                        </w:tcBorders>
                      </w:tcPr>
                      <w:p>
                        <w:pPr>
                          <w:pStyle w:val="TableParagraph"/>
                          <w:spacing w:before="43"/>
                          <w:ind w:left="118" w:right="68"/>
                          <w:rPr>
                            <w:sz w:val="16"/>
                          </w:rPr>
                        </w:pPr>
                        <w:r>
                          <w:rPr>
                            <w:color w:val="231F20"/>
                            <w:sz w:val="16"/>
                          </w:rPr>
                          <w:t>1.7</w:t>
                        </w:r>
                      </w:p>
                    </w:tc>
                  </w:tr>
                  <w:tr>
                    <w:trPr>
                      <w:trHeight w:val="280" w:hRule="exact"/>
                    </w:trPr>
                    <w:tc>
                      <w:tcPr>
                        <w:tcW w:w="1416" w:type="dxa"/>
                        <w:tcBorders>
                          <w:top w:val="single" w:sz="4" w:space="0" w:color="231F20"/>
                          <w:bottom w:val="single" w:sz="4" w:space="0" w:color="231F20"/>
                        </w:tcBorders>
                      </w:tcPr>
                      <w:p>
                        <w:pPr>
                          <w:pStyle w:val="TableParagraph"/>
                          <w:spacing w:before="25"/>
                          <w:ind w:left="50"/>
                          <w:jc w:val="left"/>
                          <w:rPr>
                            <w:rFonts w:ascii="Palatino Linotype"/>
                            <w:b/>
                            <w:sz w:val="16"/>
                          </w:rPr>
                        </w:pPr>
                        <w:r>
                          <w:rPr>
                            <w:rFonts w:ascii="Palatino Linotype"/>
                            <w:b/>
                            <w:color w:val="231F20"/>
                            <w:sz w:val="16"/>
                          </w:rPr>
                          <w:t>Total</w:t>
                        </w:r>
                      </w:p>
                    </w:tc>
                    <w:tc>
                      <w:tcPr>
                        <w:tcW w:w="599" w:type="dxa"/>
                        <w:tcBorders>
                          <w:top w:val="single" w:sz="4" w:space="0" w:color="231F20"/>
                          <w:bottom w:val="single" w:sz="4" w:space="0" w:color="231F20"/>
                        </w:tcBorders>
                      </w:tcPr>
                      <w:p>
                        <w:pPr>
                          <w:pStyle w:val="TableParagraph"/>
                          <w:spacing w:before="25"/>
                          <w:ind w:left="109" w:right="160"/>
                          <w:rPr>
                            <w:rFonts w:ascii="Palatino Linotype"/>
                            <w:b/>
                            <w:sz w:val="16"/>
                          </w:rPr>
                        </w:pPr>
                        <w:r>
                          <w:rPr>
                            <w:rFonts w:ascii="Palatino Linotype"/>
                            <w:b/>
                            <w:color w:val="231F20"/>
                            <w:sz w:val="16"/>
                          </w:rPr>
                          <w:t>100</w:t>
                        </w:r>
                      </w:p>
                    </w:tc>
                    <w:tc>
                      <w:tcPr>
                        <w:tcW w:w="730" w:type="dxa"/>
                        <w:tcBorders>
                          <w:top w:val="single" w:sz="4" w:space="0" w:color="231F20"/>
                          <w:bottom w:val="single" w:sz="4" w:space="0" w:color="231F20"/>
                        </w:tcBorders>
                      </w:tcPr>
                      <w:p>
                        <w:pPr>
                          <w:pStyle w:val="TableParagraph"/>
                          <w:spacing w:before="25"/>
                          <w:ind w:left="200"/>
                          <w:jc w:val="left"/>
                          <w:rPr>
                            <w:rFonts w:ascii="Palatino Linotype"/>
                            <w:b/>
                            <w:sz w:val="16"/>
                          </w:rPr>
                        </w:pPr>
                        <w:r>
                          <w:rPr>
                            <w:rFonts w:ascii="Palatino Linotype"/>
                            <w:b/>
                            <w:color w:val="231F20"/>
                            <w:sz w:val="16"/>
                          </w:rPr>
                          <w:t>100</w:t>
                        </w:r>
                      </w:p>
                    </w:tc>
                    <w:tc>
                      <w:tcPr>
                        <w:tcW w:w="789" w:type="dxa"/>
                        <w:tcBorders>
                          <w:top w:val="single" w:sz="4" w:space="0" w:color="231F20"/>
                          <w:bottom w:val="single" w:sz="4" w:space="0" w:color="231F20"/>
                        </w:tcBorders>
                      </w:tcPr>
                      <w:p>
                        <w:pPr>
                          <w:pStyle w:val="TableParagraph"/>
                          <w:spacing w:before="25"/>
                          <w:ind w:left="17" w:right="6"/>
                          <w:rPr>
                            <w:rFonts w:ascii="Palatino Linotype"/>
                            <w:b/>
                            <w:sz w:val="16"/>
                          </w:rPr>
                        </w:pPr>
                        <w:r>
                          <w:rPr>
                            <w:rFonts w:ascii="Palatino Linotype"/>
                            <w:b/>
                            <w:color w:val="231F20"/>
                            <w:sz w:val="16"/>
                          </w:rPr>
                          <w:t>100</w:t>
                        </w:r>
                      </w:p>
                    </w:tc>
                    <w:tc>
                      <w:tcPr>
                        <w:tcW w:w="733" w:type="dxa"/>
                        <w:tcBorders>
                          <w:top w:val="single" w:sz="4" w:space="0" w:color="231F20"/>
                          <w:bottom w:val="single" w:sz="4" w:space="0" w:color="231F20"/>
                        </w:tcBorders>
                      </w:tcPr>
                      <w:p>
                        <w:pPr>
                          <w:pStyle w:val="TableParagraph"/>
                          <w:spacing w:before="25"/>
                          <w:ind w:left="216" w:right="186"/>
                          <w:rPr>
                            <w:rFonts w:ascii="Palatino Linotype"/>
                            <w:b/>
                            <w:sz w:val="16"/>
                          </w:rPr>
                        </w:pPr>
                        <w:r>
                          <w:rPr>
                            <w:rFonts w:ascii="Palatino Linotype"/>
                            <w:b/>
                            <w:color w:val="231F20"/>
                            <w:sz w:val="16"/>
                          </w:rPr>
                          <w:t>100</w:t>
                        </w:r>
                      </w:p>
                    </w:tc>
                    <w:tc>
                      <w:tcPr>
                        <w:tcW w:w="686" w:type="dxa"/>
                        <w:tcBorders>
                          <w:top w:val="single" w:sz="4" w:space="0" w:color="231F20"/>
                          <w:bottom w:val="single" w:sz="4" w:space="0" w:color="231F20"/>
                        </w:tcBorders>
                      </w:tcPr>
                      <w:p>
                        <w:pPr>
                          <w:pStyle w:val="TableParagraph"/>
                          <w:spacing w:before="25"/>
                          <w:ind w:left="45" w:right="39"/>
                          <w:rPr>
                            <w:rFonts w:ascii="Palatino Linotype"/>
                            <w:b/>
                            <w:sz w:val="16"/>
                          </w:rPr>
                        </w:pPr>
                        <w:r>
                          <w:rPr>
                            <w:rFonts w:ascii="Palatino Linotype"/>
                            <w:b/>
                            <w:color w:val="231F20"/>
                            <w:sz w:val="16"/>
                          </w:rPr>
                          <w:t>100</w:t>
                        </w:r>
                      </w:p>
                    </w:tc>
                    <w:tc>
                      <w:tcPr>
                        <w:tcW w:w="752" w:type="dxa"/>
                        <w:tcBorders>
                          <w:top w:val="single" w:sz="4" w:space="0" w:color="231F20"/>
                          <w:bottom w:val="single" w:sz="4" w:space="0" w:color="231F20"/>
                        </w:tcBorders>
                      </w:tcPr>
                      <w:p>
                        <w:pPr>
                          <w:pStyle w:val="TableParagraph"/>
                          <w:spacing w:before="25"/>
                          <w:ind w:left="78" w:right="36"/>
                          <w:rPr>
                            <w:rFonts w:ascii="Palatino Linotype"/>
                            <w:b/>
                            <w:sz w:val="16"/>
                          </w:rPr>
                        </w:pPr>
                        <w:r>
                          <w:rPr>
                            <w:rFonts w:ascii="Palatino Linotype"/>
                            <w:b/>
                            <w:color w:val="231F20"/>
                            <w:sz w:val="16"/>
                          </w:rPr>
                          <w:t>100</w:t>
                        </w:r>
                      </w:p>
                    </w:tc>
                    <w:tc>
                      <w:tcPr>
                        <w:tcW w:w="695" w:type="dxa"/>
                        <w:tcBorders>
                          <w:top w:val="single" w:sz="4" w:space="0" w:color="231F20"/>
                          <w:bottom w:val="single" w:sz="4" w:space="0" w:color="231F20"/>
                        </w:tcBorders>
                      </w:tcPr>
                      <w:p>
                        <w:pPr>
                          <w:pStyle w:val="TableParagraph"/>
                          <w:spacing w:before="25"/>
                          <w:ind w:left="118" w:right="48"/>
                          <w:rPr>
                            <w:rFonts w:ascii="Palatino Linotype"/>
                            <w:b/>
                            <w:sz w:val="16"/>
                          </w:rPr>
                        </w:pPr>
                        <w:r>
                          <w:rPr>
                            <w:rFonts w:ascii="Palatino Linotype"/>
                            <w:b/>
                            <w:color w:val="231F20"/>
                            <w:sz w:val="16"/>
                          </w:rPr>
                          <w:t>100</w:t>
                        </w:r>
                      </w:p>
                    </w:tc>
                    <w:tc>
                      <w:tcPr>
                        <w:tcW w:w="800" w:type="dxa"/>
                        <w:tcBorders>
                          <w:top w:val="single" w:sz="4" w:space="0" w:color="231F20"/>
                          <w:bottom w:val="single" w:sz="4" w:space="0" w:color="231F20"/>
                        </w:tcBorders>
                      </w:tcPr>
                      <w:p>
                        <w:pPr>
                          <w:pStyle w:val="TableParagraph"/>
                          <w:spacing w:before="25"/>
                          <w:ind w:left="117" w:right="68"/>
                          <w:rPr>
                            <w:rFonts w:ascii="Palatino Linotype"/>
                            <w:b/>
                            <w:sz w:val="16"/>
                          </w:rPr>
                        </w:pPr>
                        <w:r>
                          <w:rPr>
                            <w:rFonts w:ascii="Palatino Linotype"/>
                            <w:b/>
                            <w:color w:val="231F20"/>
                            <w:sz w:val="16"/>
                          </w:rPr>
                          <w:t>100</w:t>
                        </w:r>
                      </w:p>
                    </w:tc>
                  </w:tr>
                </w:tbl>
                <w:p>
                  <w:pPr>
                    <w:pStyle w:val="BodyText"/>
                  </w:pPr>
                </w:p>
              </w:txbxContent>
            </v:textbox>
            <w10:wrap type="none"/>
          </v:shape>
        </w:pict>
      </w:r>
      <w:r>
        <w:rPr>
          <w:rFonts w:ascii="Palatino Linotype"/>
          <w:b/>
          <w:color w:val="231F20"/>
          <w:w w:val="90"/>
          <w:sz w:val="16"/>
        </w:rPr>
        <w:t>Cercano</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1"/>
        <w:rPr>
          <w:rFonts w:ascii="Palatino Linotype"/>
          <w:b/>
          <w:sz w:val="20"/>
        </w:rPr>
      </w:pPr>
    </w:p>
    <w:p>
      <w:pPr>
        <w:spacing w:before="40"/>
        <w:ind w:left="103" w:right="673" w:firstLine="0"/>
        <w:jc w:val="left"/>
        <w:rPr>
          <w:sz w:val="19"/>
        </w:rPr>
      </w:pPr>
      <w:r>
        <w:rPr>
          <w:rFonts w:ascii="Palatino Linotype" w:hAnsi="Palatino Linotype"/>
          <w:i/>
          <w:color w:val="231F20"/>
          <w:sz w:val="19"/>
        </w:rPr>
        <w:t>Fuente: </w:t>
      </w:r>
      <w:r>
        <w:rPr>
          <w:color w:val="231F20"/>
          <w:sz w:val="19"/>
        </w:rPr>
        <w:t>Elaboración propia con datos de IMF (2007).</w:t>
      </w:r>
    </w:p>
    <w:p>
      <w:pPr>
        <w:spacing w:after="0"/>
        <w:jc w:val="left"/>
        <w:rPr>
          <w:sz w:val="19"/>
        </w:rPr>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firstLine="396"/>
        <w:jc w:val="both"/>
      </w:pPr>
      <w:r>
        <w:rPr>
          <w:color w:val="231F20"/>
          <w:spacing w:val="-4"/>
        </w:rPr>
        <w:t>Por </w:t>
      </w:r>
      <w:r>
        <w:rPr>
          <w:color w:val="231F20"/>
        </w:rPr>
        <w:t>su parte, la alianza Ford-Mazda, </w:t>
      </w:r>
      <w:r>
        <w:rPr>
          <w:color w:val="231F20"/>
          <w:spacing w:val="-3"/>
        </w:rPr>
        <w:t>Volkswagen </w:t>
      </w:r>
      <w:r>
        <w:rPr>
          <w:color w:val="231F20"/>
        </w:rPr>
        <w:t>y Nissan-Renault ocuparon el tercero,</w:t>
      </w:r>
      <w:r>
        <w:rPr>
          <w:color w:val="231F20"/>
          <w:spacing w:val="-12"/>
        </w:rPr>
        <w:t> </w:t>
      </w:r>
      <w:r>
        <w:rPr>
          <w:color w:val="231F20"/>
        </w:rPr>
        <w:t>cuarto</w:t>
      </w:r>
      <w:r>
        <w:rPr>
          <w:color w:val="231F20"/>
          <w:spacing w:val="-12"/>
        </w:rPr>
        <w:t> </w:t>
      </w:r>
      <w:r>
        <w:rPr>
          <w:color w:val="231F20"/>
        </w:rPr>
        <w:t>y</w:t>
      </w:r>
      <w:r>
        <w:rPr>
          <w:color w:val="231F20"/>
          <w:spacing w:val="-12"/>
        </w:rPr>
        <w:t> </w:t>
      </w:r>
      <w:r>
        <w:rPr>
          <w:color w:val="231F20"/>
        </w:rPr>
        <w:t>quinto</w:t>
      </w:r>
      <w:r>
        <w:rPr>
          <w:color w:val="231F20"/>
          <w:spacing w:val="-12"/>
        </w:rPr>
        <w:t> </w:t>
      </w:r>
      <w:r>
        <w:rPr>
          <w:color w:val="231F20"/>
          <w:spacing w:val="-4"/>
        </w:rPr>
        <w:t>lugar,</w:t>
      </w:r>
      <w:r>
        <w:rPr>
          <w:color w:val="231F20"/>
          <w:spacing w:val="-12"/>
        </w:rPr>
        <w:t> </w:t>
      </w:r>
      <w:r>
        <w:rPr>
          <w:color w:val="231F20"/>
        </w:rPr>
        <w:t>respectivamente,</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venta</w:t>
      </w:r>
      <w:r>
        <w:rPr>
          <w:color w:val="231F20"/>
          <w:spacing w:val="-12"/>
        </w:rPr>
        <w:t> </w:t>
      </w:r>
      <w:r>
        <w:rPr>
          <w:color w:val="231F20"/>
        </w:rPr>
        <w:t>mundial</w:t>
      </w:r>
      <w:r>
        <w:rPr>
          <w:color w:val="231F20"/>
          <w:spacing w:val="-12"/>
        </w:rPr>
        <w:t> </w:t>
      </w:r>
      <w:r>
        <w:rPr>
          <w:color w:val="231F20"/>
        </w:rPr>
        <w:t>de</w:t>
      </w:r>
      <w:r>
        <w:rPr>
          <w:color w:val="231F20"/>
          <w:spacing w:val="-12"/>
        </w:rPr>
        <w:t> </w:t>
      </w:r>
      <w:r>
        <w:rPr>
          <w:color w:val="231F20"/>
        </w:rPr>
        <w:t>vehículos.</w:t>
      </w:r>
      <w:r>
        <w:rPr>
          <w:color w:val="231F20"/>
          <w:spacing w:val="-12"/>
        </w:rPr>
        <w:t> </w:t>
      </w:r>
      <w:r>
        <w:rPr>
          <w:color w:val="231F20"/>
        </w:rPr>
        <w:t>Entre estas cinco empresas (junto con General </w:t>
      </w:r>
      <w:r>
        <w:rPr>
          <w:color w:val="231F20"/>
          <w:spacing w:val="-3"/>
        </w:rPr>
        <w:t>Motors </w:t>
      </w:r>
      <w:r>
        <w:rPr>
          <w:color w:val="231F20"/>
        </w:rPr>
        <w:t>y Honda) se concentró prácticamente el</w:t>
      </w:r>
      <w:r>
        <w:rPr>
          <w:color w:val="231F20"/>
          <w:spacing w:val="-8"/>
        </w:rPr>
        <w:t> </w:t>
      </w:r>
      <w:r>
        <w:rPr>
          <w:color w:val="231F20"/>
        </w:rPr>
        <w:t>60%</w:t>
      </w:r>
      <w:r>
        <w:rPr>
          <w:color w:val="231F20"/>
          <w:spacing w:val="-8"/>
        </w:rPr>
        <w:t> </w:t>
      </w:r>
      <w:r>
        <w:rPr>
          <w:color w:val="231F20"/>
        </w:rPr>
        <w:t>del</w:t>
      </w:r>
      <w:r>
        <w:rPr>
          <w:color w:val="231F20"/>
          <w:spacing w:val="-8"/>
        </w:rPr>
        <w:t> </w:t>
      </w:r>
      <w:r>
        <w:rPr>
          <w:color w:val="231F20"/>
        </w:rPr>
        <w:t>total</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venta</w:t>
      </w:r>
      <w:r>
        <w:rPr>
          <w:color w:val="231F20"/>
          <w:spacing w:val="-8"/>
        </w:rPr>
        <w:t> </w:t>
      </w:r>
      <w:r>
        <w:rPr>
          <w:color w:val="231F20"/>
        </w:rPr>
        <w:t>de</w:t>
      </w:r>
      <w:r>
        <w:rPr>
          <w:color w:val="231F20"/>
          <w:spacing w:val="-8"/>
        </w:rPr>
        <w:t> </w:t>
      </w:r>
      <w:r>
        <w:rPr>
          <w:color w:val="231F20"/>
        </w:rPr>
        <w:t>vehículos</w:t>
      </w:r>
      <w:r>
        <w:rPr>
          <w:color w:val="231F20"/>
          <w:spacing w:val="-8"/>
        </w:rPr>
        <w:t> </w:t>
      </w:r>
      <w:r>
        <w:rPr>
          <w:color w:val="231F20"/>
        </w:rPr>
        <w:t>en</w:t>
      </w:r>
      <w:r>
        <w:rPr>
          <w:color w:val="231F20"/>
          <w:spacing w:val="-8"/>
        </w:rPr>
        <w:t> </w:t>
      </w:r>
      <w:r>
        <w:rPr>
          <w:color w:val="231F20"/>
        </w:rPr>
        <w:t>todo</w:t>
      </w:r>
      <w:r>
        <w:rPr>
          <w:color w:val="231F20"/>
          <w:spacing w:val="-8"/>
        </w:rPr>
        <w:t> </w:t>
      </w:r>
      <w:r>
        <w:rPr>
          <w:color w:val="231F20"/>
        </w:rPr>
        <w:t>el</w:t>
      </w:r>
      <w:r>
        <w:rPr>
          <w:color w:val="231F20"/>
          <w:spacing w:val="-8"/>
        </w:rPr>
        <w:t> </w:t>
      </w:r>
      <w:r>
        <w:rPr>
          <w:color w:val="231F20"/>
        </w:rPr>
        <w:t>mundo.</w:t>
      </w:r>
    </w:p>
    <w:p>
      <w:pPr>
        <w:pStyle w:val="BodyText"/>
        <w:spacing w:line="278" w:lineRule="auto" w:before="1"/>
        <w:ind w:left="653" w:right="101" w:firstLine="396"/>
        <w:jc w:val="both"/>
      </w:pPr>
      <w:r>
        <w:rPr>
          <w:color w:val="231F20"/>
        </w:rPr>
        <w:t>Los datos mostrados en este apartado dejan ver con claridad cómo gradualmente se</w:t>
      </w:r>
      <w:r>
        <w:rPr>
          <w:color w:val="231F20"/>
          <w:spacing w:val="-12"/>
        </w:rPr>
        <w:t> </w:t>
      </w:r>
      <w:r>
        <w:rPr>
          <w:color w:val="231F20"/>
        </w:rPr>
        <w:t>ha</w:t>
      </w:r>
      <w:r>
        <w:rPr>
          <w:color w:val="231F20"/>
          <w:spacing w:val="-12"/>
        </w:rPr>
        <w:t> </w:t>
      </w:r>
      <w:r>
        <w:rPr>
          <w:color w:val="231F20"/>
        </w:rPr>
        <w:t>dado</w:t>
      </w:r>
      <w:r>
        <w:rPr>
          <w:color w:val="231F20"/>
          <w:spacing w:val="-12"/>
        </w:rPr>
        <w:t> </w:t>
      </w:r>
      <w:r>
        <w:rPr>
          <w:color w:val="231F20"/>
        </w:rPr>
        <w:t>una</w:t>
      </w:r>
      <w:r>
        <w:rPr>
          <w:color w:val="231F20"/>
          <w:spacing w:val="-12"/>
        </w:rPr>
        <w:t> </w:t>
      </w:r>
      <w:r>
        <w:rPr>
          <w:color w:val="231F20"/>
        </w:rPr>
        <w:t>reconfiguración</w:t>
      </w:r>
      <w:r>
        <w:rPr>
          <w:color w:val="231F20"/>
          <w:spacing w:val="-12"/>
        </w:rPr>
        <w:t> </w:t>
      </w:r>
      <w:r>
        <w:rPr>
          <w:color w:val="231F20"/>
        </w:rPr>
        <w:t>del</w:t>
      </w:r>
      <w:r>
        <w:rPr>
          <w:color w:val="231F20"/>
          <w:spacing w:val="-12"/>
        </w:rPr>
        <w:t> </w:t>
      </w:r>
      <w:r>
        <w:rPr>
          <w:color w:val="231F20"/>
        </w:rPr>
        <w:t>sector</w:t>
      </w:r>
      <w:r>
        <w:rPr>
          <w:color w:val="231F20"/>
          <w:spacing w:val="-12"/>
        </w:rPr>
        <w:t> </w:t>
      </w:r>
      <w:r>
        <w:rPr>
          <w:color w:val="231F20"/>
        </w:rPr>
        <w:t>automotriz</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mundial:</w:t>
      </w:r>
      <w:r>
        <w:rPr>
          <w:color w:val="231F20"/>
          <w:spacing w:val="-12"/>
        </w:rPr>
        <w:t> </w:t>
      </w:r>
      <w:r>
        <w:rPr>
          <w:color w:val="231F20"/>
        </w:rPr>
        <w:t>algunas</w:t>
      </w:r>
      <w:r>
        <w:rPr>
          <w:color w:val="231F20"/>
          <w:spacing w:val="-12"/>
        </w:rPr>
        <w:t> </w:t>
      </w:r>
      <w:r>
        <w:rPr>
          <w:color w:val="231F20"/>
        </w:rPr>
        <w:t>regiones y algunos países han cobrado gran importancia para el sector automotriz, mientras otros han disminuido su participación tanto en producción como en</w:t>
      </w:r>
      <w:r>
        <w:rPr>
          <w:color w:val="231F20"/>
          <w:spacing w:val="46"/>
        </w:rPr>
        <w:t> </w:t>
      </w:r>
      <w:r>
        <w:rPr>
          <w:color w:val="231F20"/>
        </w:rPr>
        <w:t>ventas.</w:t>
      </w:r>
    </w:p>
    <w:p>
      <w:pPr>
        <w:pStyle w:val="BodyText"/>
        <w:spacing w:line="278" w:lineRule="auto" w:before="1"/>
        <w:ind w:left="653" w:right="100" w:firstLine="396"/>
        <w:jc w:val="both"/>
      </w:pPr>
      <w:r>
        <w:rPr>
          <w:color w:val="231F20"/>
        </w:rPr>
        <w:t>Otra manera de ver la reestructuración del mercado mundial del sector automo- triz es a partir de los cambios que se han presentado al nivel de las empresas; es </w:t>
      </w:r>
      <w:r>
        <w:rPr>
          <w:color w:val="231F20"/>
          <w:spacing w:val="-3"/>
        </w:rPr>
        <w:t>decir, </w:t>
      </w:r>
      <w:r>
        <w:rPr>
          <w:color w:val="231F20"/>
        </w:rPr>
        <w:t>el hecho de que las grandes empresas armadoras líderes en las últimas décadas del siglo XX (General </w:t>
      </w:r>
      <w:r>
        <w:rPr>
          <w:color w:val="231F20"/>
          <w:spacing w:val="-3"/>
        </w:rPr>
        <w:t>Motors, </w:t>
      </w:r>
      <w:r>
        <w:rPr>
          <w:color w:val="231F20"/>
        </w:rPr>
        <w:t>Chrysler y Ford) han perdido gradualmente mercado ante la fuerte competencia de las empresas japonesas como </w:t>
      </w:r>
      <w:r>
        <w:rPr>
          <w:color w:val="231F20"/>
          <w:spacing w:val="-5"/>
        </w:rPr>
        <w:t>Toyota </w:t>
      </w:r>
      <w:r>
        <w:rPr>
          <w:color w:val="231F20"/>
        </w:rPr>
        <w:t>y Honda; sobre todo </w:t>
      </w:r>
      <w:r>
        <w:rPr>
          <w:color w:val="231F20"/>
          <w:spacing w:val="-5"/>
        </w:rPr>
        <w:t>Toyota, </w:t>
      </w:r>
      <w:r>
        <w:rPr>
          <w:color w:val="231F20"/>
        </w:rPr>
        <w:t>quien ha revolucionado los sistemas productivos: llegó en los últimos años a desplazar</w:t>
      </w:r>
      <w:r>
        <w:rPr>
          <w:color w:val="231F20"/>
          <w:spacing w:val="-7"/>
        </w:rPr>
        <w:t> </w:t>
      </w:r>
      <w:r>
        <w:rPr>
          <w:color w:val="231F20"/>
        </w:rPr>
        <w:t>en</w:t>
      </w:r>
      <w:r>
        <w:rPr>
          <w:color w:val="231F20"/>
          <w:spacing w:val="-7"/>
        </w:rPr>
        <w:t> </w:t>
      </w:r>
      <w:r>
        <w:rPr>
          <w:color w:val="231F20"/>
        </w:rPr>
        <w:t>producción</w:t>
      </w:r>
      <w:r>
        <w:rPr>
          <w:color w:val="231F20"/>
          <w:spacing w:val="-7"/>
        </w:rPr>
        <w:t> </w:t>
      </w: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2006)</w:t>
      </w:r>
      <w:r>
        <w:rPr>
          <w:color w:val="231F20"/>
          <w:spacing w:val="-7"/>
        </w:rPr>
        <w:t> </w:t>
      </w:r>
      <w:r>
        <w:rPr>
          <w:color w:val="231F20"/>
        </w:rPr>
        <w:t>y</w:t>
      </w:r>
      <w:r>
        <w:rPr>
          <w:color w:val="231F20"/>
          <w:spacing w:val="-7"/>
        </w:rPr>
        <w:t> </w:t>
      </w:r>
      <w:r>
        <w:rPr>
          <w:color w:val="231F20"/>
        </w:rPr>
        <w:t>en</w:t>
      </w:r>
      <w:r>
        <w:rPr>
          <w:color w:val="231F20"/>
          <w:spacing w:val="-7"/>
        </w:rPr>
        <w:t> </w:t>
      </w:r>
      <w:r>
        <w:rPr>
          <w:color w:val="231F20"/>
        </w:rPr>
        <w:t>ventas</w:t>
      </w:r>
      <w:r>
        <w:rPr>
          <w:color w:val="231F20"/>
          <w:spacing w:val="-7"/>
        </w:rPr>
        <w:t> </w:t>
      </w:r>
      <w:r>
        <w:rPr>
          <w:color w:val="231F20"/>
        </w:rPr>
        <w:t>(2008)</w:t>
      </w:r>
      <w:r>
        <w:rPr>
          <w:color w:val="231F20"/>
          <w:spacing w:val="-7"/>
        </w:rPr>
        <w:t> </w:t>
      </w:r>
      <w:r>
        <w:rPr>
          <w:color w:val="231F20"/>
        </w:rPr>
        <w:t>a</w:t>
      </w:r>
      <w:r>
        <w:rPr>
          <w:color w:val="231F20"/>
          <w:spacing w:val="-7"/>
        </w:rPr>
        <w:t> </w:t>
      </w:r>
      <w:r>
        <w:rPr>
          <w:color w:val="231F20"/>
        </w:rPr>
        <w:t>General</w:t>
      </w:r>
      <w:r>
        <w:rPr>
          <w:color w:val="231F20"/>
          <w:spacing w:val="-7"/>
        </w:rPr>
        <w:t> </w:t>
      </w:r>
      <w:r>
        <w:rPr>
          <w:color w:val="231F20"/>
          <w:spacing w:val="-3"/>
        </w:rPr>
        <w:t>Motors,</w:t>
      </w:r>
      <w:r>
        <w:rPr>
          <w:color w:val="231F20"/>
          <w:spacing w:val="-7"/>
        </w:rPr>
        <w:t> </w:t>
      </w:r>
      <w:r>
        <w:rPr>
          <w:color w:val="231F20"/>
        </w:rPr>
        <w:t>arma- dora líder a nivel mundial durante más de 75</w:t>
      </w:r>
      <w:r>
        <w:rPr>
          <w:color w:val="231F20"/>
          <w:spacing w:val="-14"/>
        </w:rPr>
        <w:t> </w:t>
      </w:r>
      <w:r>
        <w:rPr>
          <w:color w:val="231F20"/>
        </w:rPr>
        <w:t>años.</w:t>
      </w:r>
    </w:p>
    <w:p>
      <w:pPr>
        <w:pStyle w:val="BodyText"/>
        <w:spacing w:line="278" w:lineRule="auto" w:before="1"/>
        <w:ind w:left="653" w:right="100" w:firstLine="396"/>
        <w:jc w:val="both"/>
      </w:pPr>
      <w:r>
        <w:rPr>
          <w:color w:val="231F20"/>
        </w:rPr>
        <w:t>En el cuadro II.8 se observa la superioridad de las tasas de crecimiento durante los últimos 32 años por parte de las empresas japonesas </w:t>
      </w:r>
      <w:r>
        <w:rPr>
          <w:color w:val="231F20"/>
          <w:spacing w:val="-5"/>
        </w:rPr>
        <w:t>Toyota </w:t>
      </w:r>
      <w:r>
        <w:rPr>
          <w:color w:val="231F20"/>
        </w:rPr>
        <w:t>y Honda, en relación con</w:t>
      </w:r>
      <w:r>
        <w:rPr>
          <w:color w:val="231F20"/>
          <w:spacing w:val="-9"/>
        </w:rPr>
        <w:t> </w:t>
      </w:r>
      <w:r>
        <w:rPr>
          <w:color w:val="231F20"/>
        </w:rPr>
        <w:t>las</w:t>
      </w:r>
      <w:r>
        <w:rPr>
          <w:color w:val="231F20"/>
          <w:spacing w:val="-9"/>
        </w:rPr>
        <w:t> </w:t>
      </w:r>
      <w:r>
        <w:rPr>
          <w:color w:val="231F20"/>
        </w:rPr>
        <w:t>obtenidas</w:t>
      </w:r>
      <w:r>
        <w:rPr>
          <w:color w:val="231F20"/>
          <w:spacing w:val="-9"/>
        </w:rPr>
        <w:t> </w:t>
      </w:r>
      <w:r>
        <w:rPr>
          <w:color w:val="231F20"/>
        </w:rPr>
        <w:t>por</w:t>
      </w:r>
      <w:r>
        <w:rPr>
          <w:color w:val="231F20"/>
          <w:spacing w:val="-9"/>
        </w:rPr>
        <w:t> </w:t>
      </w:r>
      <w:r>
        <w:rPr>
          <w:color w:val="231F20"/>
        </w:rPr>
        <w:t>las</w:t>
      </w:r>
      <w:r>
        <w:rPr>
          <w:color w:val="231F20"/>
          <w:spacing w:val="-9"/>
        </w:rPr>
        <w:t> </w:t>
      </w:r>
      <w:r>
        <w:rPr>
          <w:color w:val="231F20"/>
        </w:rPr>
        <w:t>estadounidenses</w:t>
      </w:r>
      <w:r>
        <w:rPr>
          <w:color w:val="231F20"/>
          <w:spacing w:val="-9"/>
        </w:rPr>
        <w:t> </w:t>
      </w:r>
      <w:r>
        <w:rPr>
          <w:color w:val="231F20"/>
        </w:rPr>
        <w:t>General</w:t>
      </w:r>
      <w:r>
        <w:rPr>
          <w:color w:val="231F20"/>
          <w:spacing w:val="-9"/>
        </w:rPr>
        <w:t> </w:t>
      </w:r>
      <w:r>
        <w:rPr>
          <w:color w:val="231F20"/>
          <w:spacing w:val="-3"/>
        </w:rPr>
        <w:t>Motors</w:t>
      </w:r>
      <w:r>
        <w:rPr>
          <w:color w:val="231F20"/>
          <w:spacing w:val="-9"/>
        </w:rPr>
        <w:t> </w:t>
      </w:r>
      <w:r>
        <w:rPr>
          <w:color w:val="231F20"/>
        </w:rPr>
        <w:t>y</w:t>
      </w:r>
      <w:r>
        <w:rPr>
          <w:color w:val="231F20"/>
          <w:spacing w:val="-9"/>
        </w:rPr>
        <w:t> </w:t>
      </w:r>
      <w:r>
        <w:rPr>
          <w:color w:val="231F20"/>
          <w:spacing w:val="-3"/>
        </w:rPr>
        <w:t>Ford.</w:t>
      </w:r>
      <w:r>
        <w:rPr>
          <w:color w:val="231F20"/>
          <w:spacing w:val="-9"/>
        </w:rPr>
        <w:t> </w:t>
      </w:r>
      <w:r>
        <w:rPr>
          <w:color w:val="231F20"/>
        </w:rPr>
        <w:t>Es</w:t>
      </w:r>
      <w:r>
        <w:rPr>
          <w:color w:val="231F20"/>
          <w:spacing w:val="-9"/>
        </w:rPr>
        <w:t> </w:t>
      </w:r>
      <w:r>
        <w:rPr>
          <w:color w:val="231F20"/>
        </w:rPr>
        <w:t>de</w:t>
      </w:r>
      <w:r>
        <w:rPr>
          <w:color w:val="231F20"/>
          <w:spacing w:val="-9"/>
        </w:rPr>
        <w:t> </w:t>
      </w:r>
      <w:r>
        <w:rPr>
          <w:color w:val="231F20"/>
        </w:rPr>
        <w:t>notarse</w:t>
      </w:r>
      <w:r>
        <w:rPr>
          <w:color w:val="231F20"/>
          <w:spacing w:val="-9"/>
        </w:rPr>
        <w:t> </w:t>
      </w:r>
      <w:r>
        <w:rPr>
          <w:color w:val="231F20"/>
        </w:rPr>
        <w:t>el</w:t>
      </w:r>
      <w:r>
        <w:rPr>
          <w:color w:val="231F20"/>
          <w:spacing w:val="-9"/>
        </w:rPr>
        <w:t> </w:t>
      </w:r>
      <w:r>
        <w:rPr>
          <w:color w:val="231F20"/>
        </w:rPr>
        <w:t>caso de Chrysler, empresa que ha tenido una fuerte disminución en su tasa de crecimiento durante este</w:t>
      </w:r>
      <w:r>
        <w:rPr>
          <w:color w:val="231F20"/>
          <w:spacing w:val="7"/>
        </w:rPr>
        <w:t> </w:t>
      </w:r>
      <w:r>
        <w:rPr>
          <w:color w:val="231F20"/>
        </w:rPr>
        <w:t>periodo.</w:t>
      </w:r>
    </w:p>
    <w:p>
      <w:pPr>
        <w:pStyle w:val="BodyText"/>
        <w:spacing w:before="8"/>
        <w:rPr>
          <w:sz w:val="17"/>
        </w:rPr>
      </w:pPr>
    </w:p>
    <w:p>
      <w:pPr>
        <w:pStyle w:val="Heading4"/>
        <w:ind w:right="12"/>
      </w:pPr>
      <w:r>
        <w:rPr>
          <w:color w:val="231F20"/>
          <w:w w:val="95"/>
        </w:rPr>
        <w:t>Cuadro II.8</w:t>
      </w:r>
    </w:p>
    <w:p>
      <w:pPr>
        <w:spacing w:line="280" w:lineRule="exact" w:before="0"/>
        <w:ind w:left="561" w:right="12" w:firstLine="0"/>
        <w:jc w:val="center"/>
        <w:rPr>
          <w:rFonts w:ascii="Palatino Linotype" w:hAnsi="Palatino Linotype"/>
          <w:b/>
          <w:sz w:val="21"/>
        </w:rPr>
      </w:pPr>
      <w:r>
        <w:rPr>
          <w:rFonts w:ascii="Palatino Linotype" w:hAnsi="Palatino Linotype"/>
          <w:b/>
          <w:color w:val="231F20"/>
          <w:w w:val="90"/>
          <w:sz w:val="21"/>
        </w:rPr>
        <w:t>Tasas de crecimiento de la producción mundial de vehículos.</w:t>
      </w:r>
    </w:p>
    <w:p>
      <w:pPr>
        <w:spacing w:line="282" w:lineRule="exact" w:before="0"/>
        <w:ind w:left="561" w:right="12" w:firstLine="0"/>
        <w:jc w:val="center"/>
        <w:rPr>
          <w:rFonts w:ascii="Palatino Linotype"/>
          <w:b/>
          <w:sz w:val="21"/>
        </w:rPr>
      </w:pPr>
      <w:r>
        <w:rPr>
          <w:rFonts w:ascii="Palatino Linotype"/>
          <w:b/>
          <w:color w:val="231F20"/>
          <w:w w:val="90"/>
          <w:sz w:val="21"/>
        </w:rPr>
        <w:t>Principales  empresas  productoras, 1985-2012</w:t>
      </w:r>
    </w:p>
    <w:p>
      <w:pPr>
        <w:pStyle w:val="BodyText"/>
        <w:spacing w:before="1"/>
        <w:rPr>
          <w:rFonts w:ascii="Palatino Linotype"/>
          <w:b/>
          <w:sz w:val="11"/>
        </w:rPr>
      </w:pPr>
      <w:r>
        <w:rPr/>
        <w:pict>
          <v:group style="position:absolute;margin-left:56.442902pt;margin-top:9.440176pt;width:358.95pt;height:.5pt;mso-position-horizontal-relative:page;mso-position-vertical-relative:paragraph;z-index:7312;mso-wrap-distance-left:0;mso-wrap-distance-right:0" coordorigin="1129,189" coordsize="7179,10">
            <v:line style="position:absolute" from="1134,194" to="2151,194" stroked="true" strokeweight=".5pt" strokecolor="#231f20"/>
            <v:line style="position:absolute" from="2151,194" to="3030,194" stroked="true" strokeweight=".5pt" strokecolor="#231f20"/>
            <v:line style="position:absolute" from="3030,194" to="3909,194" stroked="true" strokeweight=".5pt" strokecolor="#231f20"/>
            <v:line style="position:absolute" from="3909,194" to="4787,194" stroked="true" strokeweight=".5pt" strokecolor="#231f20"/>
            <v:line style="position:absolute" from="4787,194" to="5666,194" stroked="true" strokeweight=".5pt" strokecolor="#231f20"/>
            <v:line style="position:absolute" from="5666,194" to="6545,194" stroked="true" strokeweight=".5pt" strokecolor="#231f20"/>
            <v:line style="position:absolute" from="6545,194" to="7424,194" stroked="true" strokeweight=".5pt" strokecolor="#231f20"/>
            <v:line style="position:absolute" from="7424,194" to="8302,194" stroked="true" strokeweight=".5pt" strokecolor="#231f20"/>
            <w10:wrap type="topAndBottom"/>
          </v:group>
        </w:pict>
      </w:r>
    </w:p>
    <w:p>
      <w:pPr>
        <w:tabs>
          <w:tab w:pos="1741" w:val="left" w:leader="none"/>
        </w:tabs>
        <w:spacing w:before="75"/>
        <w:ind w:left="852" w:right="0" w:firstLine="0"/>
        <w:jc w:val="left"/>
        <w:rPr>
          <w:rFonts w:ascii="Palatino Linotype"/>
          <w:b/>
          <w:sz w:val="17"/>
        </w:rPr>
      </w:pPr>
      <w:r>
        <w:rPr>
          <w:rFonts w:ascii="Palatino Linotype"/>
          <w:b/>
          <w:color w:val="231F20"/>
          <w:sz w:val="17"/>
        </w:rPr>
        <w:t>Empresa</w:t>
        <w:tab/>
        <w:t>1985-1990   1990-1995   1995-2000   2000-2005   2005-2008   2008-2010    </w:t>
      </w:r>
      <w:r>
        <w:rPr>
          <w:rFonts w:ascii="Palatino Linotype"/>
          <w:b/>
          <w:color w:val="231F20"/>
          <w:spacing w:val="3"/>
          <w:sz w:val="17"/>
        </w:rPr>
        <w:t> </w:t>
      </w:r>
      <w:r>
        <w:rPr>
          <w:rFonts w:ascii="Palatino Linotype"/>
          <w:b/>
          <w:color w:val="231F20"/>
          <w:sz w:val="17"/>
        </w:rPr>
        <w:t>2010-2012</w:t>
      </w:r>
    </w:p>
    <w:p>
      <w:pPr>
        <w:tabs>
          <w:tab w:pos="2003" w:val="left" w:leader="none"/>
          <w:tab w:pos="2853" w:val="left" w:leader="none"/>
          <w:tab w:pos="3761" w:val="left" w:leader="none"/>
          <w:tab w:pos="4639" w:val="left" w:leader="none"/>
          <w:tab w:pos="5518" w:val="left" w:leader="none"/>
          <w:tab w:pos="6397" w:val="left" w:leader="none"/>
          <w:tab w:pos="7276" w:val="left" w:leader="none"/>
        </w:tabs>
        <w:spacing w:before="166"/>
        <w:ind w:left="710" w:right="0" w:firstLine="0"/>
        <w:jc w:val="left"/>
        <w:rPr>
          <w:rFonts w:ascii="Palatino Linotype"/>
          <w:b/>
          <w:sz w:val="17"/>
        </w:rPr>
      </w:pPr>
      <w:r>
        <w:rPr/>
        <w:pict>
          <v:group style="position:absolute;margin-left:56.442902pt;margin-top:5.382247pt;width:358.95pt;height:.5pt;mso-position-horizontal-relative:page;mso-position-vertical-relative:paragraph;z-index:7360" coordorigin="1129,108" coordsize="7179,10">
            <v:line style="position:absolute" from="1134,113" to="2151,113" stroked="true" strokeweight=".5pt" strokecolor="#231f20"/>
            <v:line style="position:absolute" from="2151,113" to="3030,113" stroked="true" strokeweight=".5pt" strokecolor="#231f20"/>
            <v:line style="position:absolute" from="3030,113" to="3909,113" stroked="true" strokeweight=".5pt" strokecolor="#231f20"/>
            <v:line style="position:absolute" from="3909,113" to="4787,113" stroked="true" strokeweight=".5pt" strokecolor="#231f20"/>
            <v:line style="position:absolute" from="4787,113" to="5666,113" stroked="true" strokeweight=".5pt" strokecolor="#231f20"/>
            <v:line style="position:absolute" from="5666,113" to="6545,113" stroked="true" strokeweight=".5pt" strokecolor="#231f20"/>
            <v:line style="position:absolute" from="6545,113" to="7424,113" stroked="true" strokeweight=".5pt" strokecolor="#231f20"/>
            <v:line style="position:absolute" from="7424,113" to="8302,113" stroked="true" strokeweight=".5pt" strokecolor="#231f20"/>
            <w10:wrap type="none"/>
          </v:group>
        </w:pict>
      </w:r>
      <w:r>
        <w:rPr>
          <w:rFonts w:ascii="Palatino Linotype"/>
          <w:b/>
          <w:color w:val="231F20"/>
          <w:spacing w:val="-4"/>
          <w:sz w:val="17"/>
        </w:rPr>
        <w:t>Total</w:t>
        <w:tab/>
      </w:r>
      <w:r>
        <w:rPr>
          <w:rFonts w:ascii="Palatino Linotype"/>
          <w:b/>
          <w:color w:val="231F20"/>
          <w:sz w:val="17"/>
        </w:rPr>
        <w:t>1.8</w:t>
        <w:tab/>
        <w:t>-0.6</w:t>
        <w:tab/>
        <w:t>9.4</w:t>
        <w:tab/>
        <w:t>2.2</w:t>
        <w:tab/>
        <w:t>0.4</w:t>
        <w:tab/>
        <w:t>7.1</w:t>
        <w:tab/>
        <w:t>4.4</w:t>
      </w:r>
    </w:p>
    <w:p>
      <w:pPr>
        <w:tabs>
          <w:tab w:pos="2009" w:val="left" w:leader="none"/>
          <w:tab w:pos="2857" w:val="left" w:leader="none"/>
          <w:tab w:pos="3725" w:val="left" w:leader="none"/>
          <w:tab w:pos="4645" w:val="left" w:leader="none"/>
          <w:tab w:pos="5524" w:val="left" w:leader="none"/>
          <w:tab w:pos="6402" w:val="left" w:leader="none"/>
          <w:tab w:pos="7281" w:val="left" w:leader="none"/>
        </w:tabs>
        <w:spacing w:before="130"/>
        <w:ind w:left="710" w:right="0" w:firstLine="0"/>
        <w:jc w:val="left"/>
        <w:rPr>
          <w:sz w:val="17"/>
        </w:rPr>
      </w:pPr>
      <w:r>
        <w:rPr>
          <w:color w:val="231F20"/>
          <w:spacing w:val="-4"/>
          <w:sz w:val="17"/>
        </w:rPr>
        <w:t>Toyota</w:t>
        <w:tab/>
      </w:r>
      <w:r>
        <w:rPr>
          <w:color w:val="231F20"/>
          <w:sz w:val="17"/>
        </w:rPr>
        <w:t>2.8</w:t>
        <w:tab/>
        <w:t>-5.5</w:t>
        <w:tab/>
        <w:t>13.4</w:t>
        <w:tab/>
        <w:t>7.0</w:t>
        <w:tab/>
        <w:t>3.4</w:t>
        <w:tab/>
        <w:t>0.5</w:t>
        <w:tab/>
        <w:t>8.7</w:t>
      </w:r>
    </w:p>
    <w:p>
      <w:pPr>
        <w:spacing w:line="144" w:lineRule="exact" w:before="116"/>
        <w:ind w:left="710" w:right="673" w:firstLine="0"/>
        <w:jc w:val="left"/>
        <w:rPr>
          <w:sz w:val="17"/>
        </w:rPr>
      </w:pPr>
      <w:r>
        <w:rPr>
          <w:color w:val="231F20"/>
          <w:sz w:val="17"/>
        </w:rPr>
        <w:t>General</w:t>
      </w:r>
    </w:p>
    <w:p>
      <w:pPr>
        <w:tabs>
          <w:tab w:pos="1978" w:val="left" w:leader="none"/>
          <w:tab w:pos="2887" w:val="left" w:leader="none"/>
          <w:tab w:pos="3766" w:val="left" w:leader="none"/>
          <w:tab w:pos="4645" w:val="left" w:leader="none"/>
          <w:tab w:pos="5493" w:val="left" w:leader="none"/>
          <w:tab w:pos="6372" w:val="left" w:leader="none"/>
          <w:tab w:pos="7281" w:val="left" w:leader="none"/>
        </w:tabs>
        <w:spacing w:line="234" w:lineRule="exact" w:before="0"/>
        <w:ind w:left="710" w:right="0" w:firstLine="0"/>
        <w:jc w:val="left"/>
        <w:rPr>
          <w:sz w:val="17"/>
        </w:rPr>
      </w:pPr>
      <w:r>
        <w:rPr>
          <w:color w:val="231F20"/>
          <w:position w:val="-8"/>
          <w:sz w:val="17"/>
        </w:rPr>
        <w:t>Motors</w:t>
        <w:tab/>
      </w:r>
      <w:r>
        <w:rPr>
          <w:color w:val="231F20"/>
          <w:sz w:val="17"/>
        </w:rPr>
        <w:t>-7.8</w:t>
        <w:tab/>
        <w:t>2.2</w:t>
        <w:tab/>
        <w:t>5.6</w:t>
        <w:tab/>
        <w:t>2.3</w:t>
        <w:tab/>
        <w:t>-3.1</w:t>
        <w:tab/>
        <w:t>-1.4</w:t>
        <w:tab/>
        <w:t>4.7</w:t>
      </w:r>
    </w:p>
    <w:p>
      <w:pPr>
        <w:tabs>
          <w:tab w:pos="1978" w:val="left" w:leader="none"/>
          <w:tab w:pos="2887" w:val="left" w:leader="none"/>
          <w:tab w:pos="3766" w:val="left" w:leader="none"/>
          <w:tab w:pos="4614" w:val="left" w:leader="none"/>
          <w:tab w:pos="5493" w:val="left" w:leader="none"/>
          <w:tab w:pos="6372" w:val="left" w:leader="none"/>
          <w:tab w:pos="7281" w:val="left" w:leader="none"/>
        </w:tabs>
        <w:spacing w:before="120"/>
        <w:ind w:left="709" w:right="0" w:firstLine="0"/>
        <w:jc w:val="left"/>
        <w:rPr>
          <w:sz w:val="17"/>
        </w:rPr>
      </w:pPr>
      <w:r>
        <w:rPr>
          <w:color w:val="231F20"/>
          <w:spacing w:val="-3"/>
          <w:sz w:val="17"/>
        </w:rPr>
        <w:t>Ford</w:t>
        <w:tab/>
      </w:r>
      <w:r>
        <w:rPr>
          <w:color w:val="231F20"/>
          <w:sz w:val="17"/>
        </w:rPr>
        <w:t>-0.2</w:t>
        <w:tab/>
        <w:t>2.6</w:t>
        <w:tab/>
        <w:t>5.2</w:t>
        <w:tab/>
        <w:t>-2.0</w:t>
        <w:tab/>
        <w:t>-6.6</w:t>
        <w:tab/>
        <w:t>-5.5</w:t>
        <w:tab/>
        <w:t>5.9</w:t>
      </w:r>
    </w:p>
    <w:p>
      <w:pPr>
        <w:tabs>
          <w:tab w:pos="2008" w:val="left" w:leader="none"/>
          <w:tab w:pos="2887" w:val="left" w:leader="none"/>
          <w:tab w:pos="3725" w:val="left" w:leader="none"/>
          <w:tab w:pos="4644" w:val="left" w:leader="none"/>
          <w:tab w:pos="5523" w:val="left" w:leader="none"/>
          <w:tab w:pos="6402" w:val="left" w:leader="none"/>
          <w:tab w:pos="7240" w:val="left" w:leader="none"/>
        </w:tabs>
        <w:spacing w:before="144"/>
        <w:ind w:left="709" w:right="0" w:firstLine="0"/>
        <w:jc w:val="left"/>
        <w:rPr>
          <w:sz w:val="17"/>
        </w:rPr>
      </w:pPr>
      <w:r>
        <w:rPr>
          <w:color w:val="231F20"/>
          <w:spacing w:val="-3"/>
          <w:sz w:val="17"/>
        </w:rPr>
        <w:t>Volkswagen</w:t>
        <w:tab/>
      </w:r>
      <w:r>
        <w:rPr>
          <w:color w:val="231F20"/>
          <w:sz w:val="17"/>
        </w:rPr>
        <w:t>1.7</w:t>
        <w:tab/>
        <w:t>0.3</w:t>
        <w:tab/>
        <w:t>19.3</w:t>
        <w:tab/>
        <w:t>0.4</w:t>
        <w:tab/>
        <w:t>7.3</w:t>
        <w:tab/>
        <w:t>7.1</w:t>
        <w:tab/>
        <w:t>12.3</w:t>
      </w:r>
    </w:p>
    <w:p>
      <w:pPr>
        <w:tabs>
          <w:tab w:pos="2009" w:val="left" w:leader="none"/>
          <w:tab w:pos="2888" w:val="left" w:leader="none"/>
          <w:tab w:pos="3766" w:val="left" w:leader="none"/>
          <w:tab w:pos="4645" w:val="left" w:leader="none"/>
          <w:tab w:pos="5494" w:val="left" w:leader="none"/>
          <w:tab w:pos="6332" w:val="left" w:leader="none"/>
          <w:tab w:pos="7241" w:val="left" w:leader="none"/>
        </w:tabs>
        <w:spacing w:before="144"/>
        <w:ind w:left="709" w:right="0" w:firstLine="0"/>
        <w:jc w:val="left"/>
        <w:rPr>
          <w:sz w:val="17"/>
        </w:rPr>
      </w:pPr>
      <w:r>
        <w:rPr>
          <w:color w:val="231F20"/>
          <w:sz w:val="17"/>
        </w:rPr>
        <w:t>Chrysler</w:t>
      </w:r>
      <w:r>
        <w:rPr>
          <w:color w:val="231F20"/>
          <w:spacing w:val="-12"/>
          <w:sz w:val="17"/>
        </w:rPr>
        <w:t> </w:t>
      </w:r>
      <w:r>
        <w:rPr>
          <w:color w:val="231F20"/>
          <w:position w:val="6"/>
          <w:sz w:val="10"/>
        </w:rPr>
        <w:t>1</w:t>
        <w:tab/>
      </w:r>
      <w:r>
        <w:rPr>
          <w:color w:val="231F20"/>
          <w:sz w:val="17"/>
        </w:rPr>
        <w:t>6.4</w:t>
        <w:tab/>
        <w:t>4.6</w:t>
        <w:tab/>
        <w:t>7.9</w:t>
        <w:tab/>
        <w:t>0.6</w:t>
        <w:tab/>
        <w:t>-5.4</w:t>
        <w:tab/>
        <w:t>-20.0</w:t>
        <w:tab/>
        <w:t>22.6</w:t>
      </w:r>
    </w:p>
    <w:p>
      <w:pPr>
        <w:tabs>
          <w:tab w:pos="2009" w:val="left" w:leader="none"/>
          <w:tab w:pos="2857" w:val="left" w:leader="none"/>
          <w:tab w:pos="3725" w:val="left" w:leader="none"/>
          <w:tab w:pos="4645" w:val="left" w:leader="none"/>
          <w:tab w:pos="5524" w:val="left" w:leader="none"/>
          <w:tab w:pos="6402" w:val="left" w:leader="none"/>
          <w:tab w:pos="7281" w:val="left" w:leader="none"/>
        </w:tabs>
        <w:spacing w:before="144"/>
        <w:ind w:left="710" w:right="0" w:firstLine="0"/>
        <w:jc w:val="left"/>
        <w:rPr>
          <w:sz w:val="17"/>
        </w:rPr>
      </w:pPr>
      <w:r>
        <w:rPr>
          <w:color w:val="231F20"/>
          <w:sz w:val="17"/>
        </w:rPr>
        <w:t>Honda</w:t>
        <w:tab/>
        <w:t>7.6</w:t>
        <w:tab/>
        <w:t>-3.1</w:t>
        <w:tab/>
        <w:t>10.1</w:t>
        <w:tab/>
        <w:t>6.5</w:t>
        <w:tab/>
        <w:t>4.4</w:t>
        <w:tab/>
        <w:t>1.2</w:t>
        <w:tab/>
        <w:t>6.2</w:t>
      </w:r>
    </w:p>
    <w:p>
      <w:pPr>
        <w:tabs>
          <w:tab w:pos="2079" w:val="left" w:leader="none"/>
          <w:tab w:pos="2958" w:val="left" w:leader="none"/>
          <w:tab w:pos="3725" w:val="left" w:leader="none"/>
          <w:tab w:pos="4645" w:val="left" w:leader="none"/>
          <w:tab w:pos="5493" w:val="left" w:leader="none"/>
          <w:tab w:pos="6402" w:val="left" w:leader="none"/>
          <w:tab w:pos="7210" w:val="left" w:leader="none"/>
        </w:tabs>
        <w:spacing w:before="144"/>
        <w:ind w:left="710" w:right="0" w:firstLine="0"/>
        <w:jc w:val="left"/>
        <w:rPr>
          <w:sz w:val="17"/>
        </w:rPr>
      </w:pPr>
      <w:r>
        <w:rPr/>
        <w:pict>
          <v:group style="position:absolute;margin-left:56.442902pt;margin-top:20.298449pt;width:358.95pt;height:.5pt;mso-position-horizontal-relative:page;mso-position-vertical-relative:paragraph;z-index:7336;mso-wrap-distance-left:0;mso-wrap-distance-right:0" coordorigin="1129,406" coordsize="7179,10">
            <v:line style="position:absolute" from="1134,411" to="2151,411" stroked="true" strokeweight=".5pt" strokecolor="#231f20"/>
            <v:line style="position:absolute" from="2151,411" to="3030,411" stroked="true" strokeweight=".5pt" strokecolor="#231f20"/>
            <v:line style="position:absolute" from="3030,411" to="3909,411" stroked="true" strokeweight=".5pt" strokecolor="#231f20"/>
            <v:line style="position:absolute" from="3909,411" to="4787,411" stroked="true" strokeweight=".5pt" strokecolor="#231f20"/>
            <v:line style="position:absolute" from="4787,411" to="5666,411" stroked="true" strokeweight=".5pt" strokecolor="#231f20"/>
            <v:line style="position:absolute" from="5666,411" to="6545,411" stroked="true" strokeweight=".5pt" strokecolor="#231f20"/>
            <v:line style="position:absolute" from="6545,411" to="7424,411" stroked="true" strokeweight=".5pt" strokecolor="#231f20"/>
            <v:line style="position:absolute" from="7424,411" to="8302,411" stroked="true" strokeweight=".5pt" strokecolor="#231f20"/>
            <w10:wrap type="topAndBottom"/>
          </v:group>
        </w:pict>
      </w:r>
      <w:r>
        <w:rPr>
          <w:color w:val="231F20"/>
          <w:sz w:val="17"/>
        </w:rPr>
        <w:t>PSA</w:t>
        <w:tab/>
        <w:t>-</w:t>
        <w:tab/>
        <w:t>-</w:t>
        <w:tab/>
        <w:t>48.8</w:t>
        <w:tab/>
        <w:t>3.2</w:t>
        <w:tab/>
        <w:t>-0.5</w:t>
        <w:tab/>
        <w:t>1.3</w:t>
        <w:tab/>
        <w:t>-10.1</w:t>
      </w:r>
    </w:p>
    <w:p>
      <w:pPr>
        <w:spacing w:after="0"/>
        <w:jc w:val="left"/>
        <w:rPr>
          <w:sz w:val="17"/>
        </w:rPr>
        <w:sectPr>
          <w:pgSz w:w="9640" w:h="13040"/>
          <w:pgMar w:header="581" w:footer="654" w:top="780" w:bottom="840" w:left="480" w:right="1200"/>
        </w:sectPr>
      </w:pPr>
    </w:p>
    <w:p>
      <w:pPr>
        <w:pStyle w:val="BodyText"/>
        <w:rPr>
          <w:sz w:val="20"/>
        </w:rPr>
      </w:pPr>
    </w:p>
    <w:p>
      <w:pPr>
        <w:pStyle w:val="BodyText"/>
        <w:spacing w:before="7"/>
        <w:rPr>
          <w:sz w:val="15"/>
        </w:rPr>
      </w:pPr>
    </w:p>
    <w:p>
      <w:pPr>
        <w:pStyle w:val="Heading4"/>
        <w:spacing w:line="240" w:lineRule="auto" w:before="1"/>
        <w:ind w:left="2554" w:right="646"/>
        <w:jc w:val="left"/>
      </w:pPr>
      <w:r>
        <w:rPr>
          <w:color w:val="231F20"/>
          <w:w w:val="95"/>
        </w:rPr>
        <w:t>Cuadro II.8 (continuación)</w:t>
      </w:r>
    </w:p>
    <w:p>
      <w:pPr>
        <w:pStyle w:val="BodyText"/>
        <w:rPr>
          <w:rFonts w:ascii="Palatino Linotype"/>
          <w:b/>
          <w:sz w:val="11"/>
        </w:rPr>
      </w:pPr>
      <w:r>
        <w:rPr/>
        <w:pict>
          <v:group style="position:absolute;margin-left:64.946899pt;margin-top:9.418005pt;width:358.95pt;height:.5pt;mso-position-horizontal-relative:page;mso-position-vertical-relative:paragraph;z-index:7384;mso-wrap-distance-left:0;mso-wrap-distance-right:0" coordorigin="1299,188" coordsize="7179,10">
            <v:line style="position:absolute" from="1304,193" to="2321,193" stroked="true" strokeweight=".5pt" strokecolor="#231f20"/>
            <v:line style="position:absolute" from="2321,193" to="3200,193" stroked="true" strokeweight=".5pt" strokecolor="#231f20"/>
            <v:line style="position:absolute" from="3200,193" to="4079,193" stroked="true" strokeweight=".5pt" strokecolor="#231f20"/>
            <v:line style="position:absolute" from="4079,193" to="4957,193" stroked="true" strokeweight=".5pt" strokecolor="#231f20"/>
            <v:line style="position:absolute" from="4957,193" to="5836,193" stroked="true" strokeweight=".5pt" strokecolor="#231f20"/>
            <v:line style="position:absolute" from="5836,193" to="6715,193" stroked="true" strokeweight=".5pt" strokecolor="#231f20"/>
            <v:line style="position:absolute" from="6715,193" to="7594,193" stroked="true" strokeweight=".5pt" strokecolor="#231f20"/>
            <v:line style="position:absolute" from="7594,193" to="8472,193" stroked="true" strokeweight=".5pt" strokecolor="#231f20"/>
            <w10:wrap type="topAndBottom"/>
          </v:group>
        </w:pict>
      </w:r>
    </w:p>
    <w:p>
      <w:pPr>
        <w:tabs>
          <w:tab w:pos="1211" w:val="left" w:leader="none"/>
        </w:tabs>
        <w:spacing w:before="19"/>
        <w:ind w:left="323" w:right="646" w:firstLine="0"/>
        <w:jc w:val="left"/>
        <w:rPr>
          <w:rFonts w:ascii="Palatino Linotype"/>
          <w:b/>
          <w:sz w:val="17"/>
        </w:rPr>
      </w:pPr>
      <w:r>
        <w:rPr>
          <w:rFonts w:ascii="Palatino Linotype"/>
          <w:b/>
          <w:color w:val="231F20"/>
          <w:sz w:val="17"/>
        </w:rPr>
        <w:t>Empresa</w:t>
        <w:tab/>
        <w:t>1985-1990   1990-1995   1995-2000   2000-2005   2005-2008   2008-2010    </w:t>
      </w:r>
      <w:r>
        <w:rPr>
          <w:rFonts w:ascii="Palatino Linotype"/>
          <w:b/>
          <w:color w:val="231F20"/>
          <w:spacing w:val="3"/>
          <w:sz w:val="17"/>
        </w:rPr>
        <w:t> </w:t>
      </w:r>
      <w:r>
        <w:rPr>
          <w:rFonts w:ascii="Palatino Linotype"/>
          <w:b/>
          <w:color w:val="231F20"/>
          <w:sz w:val="17"/>
        </w:rPr>
        <w:t>2010-2012</w:t>
      </w:r>
    </w:p>
    <w:p>
      <w:pPr>
        <w:tabs>
          <w:tab w:pos="1479" w:val="left" w:leader="none"/>
          <w:tab w:pos="2327" w:val="left" w:leader="none"/>
          <w:tab w:pos="3236" w:val="left" w:leader="none"/>
          <w:tab w:pos="4115" w:val="left" w:leader="none"/>
          <w:tab w:pos="4964" w:val="left" w:leader="none"/>
          <w:tab w:pos="5873" w:val="left" w:leader="none"/>
          <w:tab w:pos="6994" w:val="right" w:leader="none"/>
        </w:tabs>
        <w:spacing w:before="108"/>
        <w:ind w:left="180" w:right="0" w:firstLine="0"/>
        <w:jc w:val="both"/>
        <w:rPr>
          <w:sz w:val="17"/>
        </w:rPr>
      </w:pPr>
      <w:r>
        <w:rPr/>
        <w:pict>
          <v:group style="position:absolute;margin-left:64.946899pt;margin-top:2.621765pt;width:358.95pt;height:.5pt;mso-position-horizontal-relative:page;mso-position-vertical-relative:paragraph;z-index:7432" coordorigin="1299,52" coordsize="7179,10">
            <v:line style="position:absolute" from="1304,57" to="2321,57" stroked="true" strokeweight=".5pt" strokecolor="#231f20"/>
            <v:line style="position:absolute" from="2321,57" to="3200,57" stroked="true" strokeweight=".5pt" strokecolor="#231f20"/>
            <v:line style="position:absolute" from="3200,57" to="4079,57" stroked="true" strokeweight=".5pt" strokecolor="#231f20"/>
            <v:line style="position:absolute" from="4079,57" to="4957,57" stroked="true" strokeweight=".5pt" strokecolor="#231f20"/>
            <v:line style="position:absolute" from="4957,57" to="5836,57" stroked="true" strokeweight=".5pt" strokecolor="#231f20"/>
            <v:line style="position:absolute" from="5836,57" to="6715,57" stroked="true" strokeweight=".5pt" strokecolor="#231f20"/>
            <v:line style="position:absolute" from="6715,57" to="7594,57" stroked="true" strokeweight=".5pt" strokecolor="#231f20"/>
            <v:line style="position:absolute" from="7594,57" to="8472,57" stroked="true" strokeweight=".5pt" strokecolor="#231f20"/>
            <w10:wrap type="none"/>
          </v:group>
        </w:pict>
      </w:r>
      <w:r>
        <w:rPr>
          <w:color w:val="231F20"/>
          <w:sz w:val="17"/>
        </w:rPr>
        <w:t>Nissan</w:t>
        <w:tab/>
        <w:t>1.7</w:t>
        <w:tab/>
        <w:t>-4.8</w:t>
        <w:tab/>
        <w:t>3.8</w:t>
        <w:tab/>
        <w:t>5.9</w:t>
        <w:tab/>
        <w:t>-1.0</w:t>
        <w:tab/>
        <w:t>2.7</w:t>
        <w:tab/>
        <w:t>10.8</w:t>
      </w:r>
    </w:p>
    <w:p>
      <w:pPr>
        <w:tabs>
          <w:tab w:pos="1479" w:val="left" w:leader="none"/>
          <w:tab w:pos="2358" w:val="left" w:leader="none"/>
          <w:tab w:pos="3236" w:val="left" w:leader="none"/>
          <w:tab w:pos="4115" w:val="left" w:leader="none"/>
          <w:tab w:pos="4963" w:val="left" w:leader="none"/>
          <w:tab w:pos="5872" w:val="left" w:leader="none"/>
          <w:tab w:pos="6721" w:val="left" w:leader="none"/>
        </w:tabs>
        <w:spacing w:before="99"/>
        <w:ind w:left="180" w:right="0" w:firstLine="0"/>
        <w:jc w:val="both"/>
        <w:rPr>
          <w:sz w:val="17"/>
        </w:rPr>
      </w:pPr>
      <w:r>
        <w:rPr>
          <w:color w:val="231F20"/>
          <w:sz w:val="17"/>
        </w:rPr>
        <w:t>Renault</w:t>
        <w:tab/>
        <w:t>1.0</w:t>
        <w:tab/>
        <w:t>3.5</w:t>
        <w:tab/>
        <w:t>5.6</w:t>
        <w:tab/>
        <w:t>0.8</w:t>
        <w:tab/>
        <w:t>-2.6</w:t>
        <w:tab/>
        <w:t>0.7</w:t>
        <w:tab/>
        <w:t>-0.7</w:t>
      </w:r>
    </w:p>
    <w:p>
      <w:pPr>
        <w:tabs>
          <w:tab w:pos="1549" w:val="left" w:leader="none"/>
          <w:tab w:pos="2327" w:val="left" w:leader="none"/>
          <w:tab w:pos="3195" w:val="left" w:leader="none"/>
          <w:tab w:pos="4085" w:val="left" w:leader="none"/>
          <w:tab w:pos="4994" w:val="left" w:leader="none"/>
          <w:tab w:pos="5872" w:val="left" w:leader="none"/>
          <w:tab w:pos="6721" w:val="left" w:leader="none"/>
        </w:tabs>
        <w:spacing w:before="99"/>
        <w:ind w:left="180" w:right="0" w:firstLine="0"/>
        <w:jc w:val="both"/>
        <w:rPr>
          <w:sz w:val="17"/>
        </w:rPr>
      </w:pPr>
      <w:r>
        <w:rPr>
          <w:color w:val="231F20"/>
          <w:sz w:val="17"/>
        </w:rPr>
        <w:t>Fiat</w:t>
        <w:tab/>
        <w:t>-</w:t>
        <w:tab/>
        <w:t>-5.7</w:t>
        <w:tab/>
        <w:t>10.8</w:t>
        <w:tab/>
        <w:t>-5.1</w:t>
        <w:tab/>
        <w:t>7.4</w:t>
        <w:tab/>
        <w:t>3.4</w:t>
        <w:tab/>
        <w:t>-6.0</w:t>
      </w:r>
    </w:p>
    <w:p>
      <w:pPr>
        <w:spacing w:line="144" w:lineRule="exact" w:before="93"/>
        <w:ind w:left="180" w:right="0" w:firstLine="0"/>
        <w:jc w:val="both"/>
        <w:rPr>
          <w:sz w:val="17"/>
        </w:rPr>
      </w:pPr>
      <w:r>
        <w:rPr>
          <w:color w:val="231F20"/>
          <w:sz w:val="17"/>
        </w:rPr>
        <w:t>Suzuki-</w:t>
      </w:r>
    </w:p>
    <w:p>
      <w:pPr>
        <w:tabs>
          <w:tab w:pos="1438" w:val="left" w:leader="none"/>
          <w:tab w:pos="2327" w:val="left" w:leader="none"/>
          <w:tab w:pos="3195" w:val="left" w:leader="none"/>
          <w:tab w:pos="4115" w:val="left" w:leader="none"/>
          <w:tab w:pos="4993" w:val="left" w:leader="none"/>
          <w:tab w:pos="5872" w:val="left" w:leader="none"/>
          <w:tab w:pos="6751" w:val="left" w:leader="none"/>
        </w:tabs>
        <w:spacing w:line="234" w:lineRule="exact" w:before="0"/>
        <w:ind w:left="180" w:right="0" w:firstLine="0"/>
        <w:jc w:val="both"/>
        <w:rPr>
          <w:sz w:val="17"/>
        </w:rPr>
      </w:pPr>
      <w:r>
        <w:rPr>
          <w:color w:val="231F20"/>
          <w:position w:val="-8"/>
          <w:sz w:val="17"/>
        </w:rPr>
        <w:t>Maruti</w:t>
        <w:tab/>
      </w:r>
      <w:r>
        <w:rPr>
          <w:color w:val="231F20"/>
          <w:sz w:val="17"/>
        </w:rPr>
        <w:t>12.1</w:t>
        <w:tab/>
        <w:t>-9.0</w:t>
        <w:tab/>
        <w:t>11.1</w:t>
        <w:tab/>
        <w:t>7.3</w:t>
        <w:tab/>
        <w:t>8.2</w:t>
        <w:tab/>
        <w:t>6.9</w:t>
        <w:tab/>
        <w:t>0.0</w:t>
      </w:r>
    </w:p>
    <w:p>
      <w:pPr>
        <w:tabs>
          <w:tab w:pos="1478" w:val="left" w:leader="none"/>
          <w:tab w:pos="2286" w:val="left" w:leader="none"/>
          <w:tab w:pos="3236" w:val="left" w:leader="none"/>
          <w:tab w:pos="4114" w:val="left" w:leader="none"/>
          <w:tab w:pos="4993" w:val="left" w:leader="none"/>
          <w:tab w:pos="5872" w:val="left" w:leader="none"/>
          <w:tab w:pos="6720" w:val="left" w:leader="none"/>
        </w:tabs>
        <w:spacing w:before="97"/>
        <w:ind w:left="179" w:right="0" w:firstLine="0"/>
        <w:jc w:val="both"/>
        <w:rPr>
          <w:sz w:val="17"/>
        </w:rPr>
      </w:pPr>
      <w:r>
        <w:rPr>
          <w:color w:val="231F20"/>
          <w:sz w:val="17"/>
        </w:rPr>
        <w:t>Mazda</w:t>
        <w:tab/>
        <w:t>6.4</w:t>
        <w:tab/>
        <w:t>-13.9</w:t>
        <w:tab/>
        <w:t>3.7</w:t>
        <w:tab/>
        <w:t>6.8</w:t>
        <w:tab/>
        <w:t>1.6</w:t>
        <w:tab/>
        <w:t>0.3</w:t>
        <w:tab/>
        <w:t>-4.6</w:t>
      </w:r>
    </w:p>
    <w:p>
      <w:pPr>
        <w:tabs>
          <w:tab w:pos="1478" w:val="left" w:leader="none"/>
          <w:tab w:pos="2357" w:val="left" w:leader="none"/>
          <w:tab w:pos="3236" w:val="left" w:leader="none"/>
          <w:tab w:pos="4114" w:val="left" w:leader="none"/>
          <w:tab w:pos="4993" w:val="left" w:leader="none"/>
          <w:tab w:pos="5872" w:val="left" w:leader="none"/>
          <w:tab w:pos="6710" w:val="left" w:leader="none"/>
        </w:tabs>
        <w:spacing w:before="99"/>
        <w:ind w:left="179" w:right="0" w:firstLine="0"/>
        <w:jc w:val="both"/>
        <w:rPr>
          <w:sz w:val="17"/>
        </w:rPr>
      </w:pPr>
      <w:r>
        <w:rPr>
          <w:color w:val="231F20"/>
          <w:sz w:val="17"/>
        </w:rPr>
        <w:t>BMW</w:t>
        <w:tab/>
        <w:t>3.0</w:t>
        <w:tab/>
        <w:t>4.9</w:t>
        <w:tab/>
        <w:t>5.7</w:t>
        <w:tab/>
        <w:t>9.6</w:t>
        <w:tab/>
        <w:t>2.8</w:t>
        <w:tab/>
        <w:t>2.3</w:t>
        <w:tab/>
        <w:t>18.1</w:t>
      </w:r>
    </w:p>
    <w:p>
      <w:pPr>
        <w:tabs>
          <w:tab w:pos="1478" w:val="left" w:leader="none"/>
          <w:tab w:pos="2326" w:val="left" w:leader="none"/>
          <w:tab w:pos="3235" w:val="left" w:leader="none"/>
          <w:tab w:pos="4084" w:val="left" w:leader="none"/>
          <w:tab w:pos="4963" w:val="left" w:leader="none"/>
          <w:tab w:pos="5841" w:val="left" w:leader="none"/>
          <w:tab w:pos="6720" w:val="left" w:leader="none"/>
        </w:tabs>
        <w:spacing w:before="99"/>
        <w:ind w:left="179" w:right="0" w:firstLine="0"/>
        <w:jc w:val="both"/>
        <w:rPr>
          <w:sz w:val="17"/>
        </w:rPr>
      </w:pPr>
      <w:r>
        <w:rPr/>
        <w:pict>
          <v:group style="position:absolute;margin-left:64.946899pt;margin-top:16.919142pt;width:358.95pt;height:.5pt;mso-position-horizontal-relative:page;mso-position-vertical-relative:paragraph;z-index:7408;mso-wrap-distance-left:0;mso-wrap-distance-right:0" coordorigin="1299,338" coordsize="7179,10">
            <v:line style="position:absolute" from="1304,343" to="2321,343" stroked="true" strokeweight=".5pt" strokecolor="#231f20"/>
            <v:line style="position:absolute" from="2321,343" to="3200,343" stroked="true" strokeweight=".5pt" strokecolor="#231f20"/>
            <v:line style="position:absolute" from="3200,343" to="4079,343" stroked="true" strokeweight=".5pt" strokecolor="#231f20"/>
            <v:line style="position:absolute" from="4079,343" to="4957,343" stroked="true" strokeweight=".5pt" strokecolor="#231f20"/>
            <v:line style="position:absolute" from="4957,343" to="5836,343" stroked="true" strokeweight=".5pt" strokecolor="#231f20"/>
            <v:line style="position:absolute" from="5836,343" to="6715,343" stroked="true" strokeweight=".5pt" strokecolor="#231f20"/>
            <v:line style="position:absolute" from="6715,343" to="7594,343" stroked="true" strokeweight=".5pt" strokecolor="#231f20"/>
            <v:line style="position:absolute" from="7594,343" to="8472,343" stroked="true" strokeweight=".5pt" strokecolor="#231f20"/>
            <w10:wrap type="topAndBottom"/>
          </v:group>
        </w:pict>
      </w:r>
      <w:r>
        <w:rPr>
          <w:color w:val="231F20"/>
          <w:sz w:val="17"/>
        </w:rPr>
        <w:t>Mitsubishi</w:t>
        <w:tab/>
        <w:t>2.9</w:t>
        <w:tab/>
        <w:t>-0.1</w:t>
        <w:tab/>
        <w:t>6.6</w:t>
        <w:tab/>
        <w:t>-6.1</w:t>
        <w:tab/>
        <w:t>-0.6</w:t>
        <w:tab/>
        <w:t>-2.5</w:t>
        <w:tab/>
        <w:t>-2.8</w:t>
      </w:r>
    </w:p>
    <w:p>
      <w:pPr>
        <w:pStyle w:val="BodyText"/>
        <w:spacing w:before="2"/>
        <w:rPr>
          <w:sz w:val="14"/>
        </w:rPr>
      </w:pPr>
    </w:p>
    <w:p>
      <w:pPr>
        <w:spacing w:line="307" w:lineRule="auto" w:before="0"/>
        <w:ind w:left="123" w:right="646" w:firstLine="0"/>
        <w:jc w:val="left"/>
        <w:rPr>
          <w:sz w:val="19"/>
        </w:rPr>
      </w:pPr>
      <w:r>
        <w:rPr>
          <w:color w:val="231F20"/>
          <w:position w:val="6"/>
          <w:sz w:val="11"/>
        </w:rPr>
        <w:t>1</w:t>
      </w:r>
      <w:r>
        <w:rPr>
          <w:color w:val="231F20"/>
          <w:spacing w:val="11"/>
          <w:position w:val="6"/>
          <w:sz w:val="11"/>
        </w:rPr>
        <w:t> </w:t>
      </w:r>
      <w:r>
        <w:rPr>
          <w:color w:val="231F20"/>
          <w:sz w:val="19"/>
        </w:rPr>
        <w:t>Los</w:t>
      </w:r>
      <w:r>
        <w:rPr>
          <w:color w:val="231F20"/>
          <w:spacing w:val="-9"/>
          <w:sz w:val="19"/>
        </w:rPr>
        <w:t> </w:t>
      </w:r>
      <w:r>
        <w:rPr>
          <w:color w:val="231F20"/>
          <w:sz w:val="19"/>
        </w:rPr>
        <w:t>datos</w:t>
      </w:r>
      <w:r>
        <w:rPr>
          <w:color w:val="231F20"/>
          <w:spacing w:val="-9"/>
          <w:sz w:val="19"/>
        </w:rPr>
        <w:t> </w:t>
      </w:r>
      <w:r>
        <w:rPr>
          <w:color w:val="231F20"/>
          <w:sz w:val="19"/>
        </w:rPr>
        <w:t>de</w:t>
      </w:r>
      <w:r>
        <w:rPr>
          <w:color w:val="231F20"/>
          <w:spacing w:val="-9"/>
          <w:sz w:val="19"/>
        </w:rPr>
        <w:t> </w:t>
      </w:r>
      <w:r>
        <w:rPr>
          <w:color w:val="231F20"/>
          <w:sz w:val="19"/>
        </w:rPr>
        <w:t>1985,</w:t>
      </w:r>
      <w:r>
        <w:rPr>
          <w:color w:val="231F20"/>
          <w:spacing w:val="-9"/>
          <w:sz w:val="19"/>
        </w:rPr>
        <w:t> </w:t>
      </w:r>
      <w:r>
        <w:rPr>
          <w:color w:val="231F20"/>
          <w:sz w:val="19"/>
        </w:rPr>
        <w:t>1990</w:t>
      </w:r>
      <w:r>
        <w:rPr>
          <w:color w:val="231F20"/>
          <w:spacing w:val="-9"/>
          <w:sz w:val="19"/>
        </w:rPr>
        <w:t> </w:t>
      </w:r>
      <w:r>
        <w:rPr>
          <w:color w:val="231F20"/>
          <w:sz w:val="19"/>
        </w:rPr>
        <w:t>y</w:t>
      </w:r>
      <w:r>
        <w:rPr>
          <w:color w:val="231F20"/>
          <w:spacing w:val="-9"/>
          <w:sz w:val="19"/>
        </w:rPr>
        <w:t> </w:t>
      </w:r>
      <w:r>
        <w:rPr>
          <w:color w:val="231F20"/>
          <w:sz w:val="19"/>
        </w:rPr>
        <w:t>2000</w:t>
      </w:r>
      <w:r>
        <w:rPr>
          <w:color w:val="231F20"/>
          <w:spacing w:val="-9"/>
          <w:sz w:val="19"/>
        </w:rPr>
        <w:t> </w:t>
      </w:r>
      <w:r>
        <w:rPr>
          <w:color w:val="231F20"/>
          <w:sz w:val="19"/>
        </w:rPr>
        <w:t>incluyen</w:t>
      </w:r>
      <w:r>
        <w:rPr>
          <w:color w:val="231F20"/>
          <w:spacing w:val="-9"/>
          <w:sz w:val="19"/>
        </w:rPr>
        <w:t> </w:t>
      </w:r>
      <w:r>
        <w:rPr>
          <w:color w:val="231F20"/>
          <w:sz w:val="19"/>
        </w:rPr>
        <w:t>la</w:t>
      </w:r>
      <w:r>
        <w:rPr>
          <w:color w:val="231F20"/>
          <w:spacing w:val="-9"/>
          <w:sz w:val="19"/>
        </w:rPr>
        <w:t> </w:t>
      </w:r>
      <w:r>
        <w:rPr>
          <w:color w:val="231F20"/>
          <w:sz w:val="19"/>
        </w:rPr>
        <w:t>producción</w:t>
      </w:r>
      <w:r>
        <w:rPr>
          <w:color w:val="231F20"/>
          <w:spacing w:val="-9"/>
          <w:sz w:val="19"/>
        </w:rPr>
        <w:t> </w:t>
      </w:r>
      <w:r>
        <w:rPr>
          <w:color w:val="231F20"/>
          <w:sz w:val="19"/>
        </w:rPr>
        <w:t>de</w:t>
      </w:r>
      <w:r>
        <w:rPr>
          <w:color w:val="231F20"/>
          <w:spacing w:val="-9"/>
          <w:sz w:val="19"/>
        </w:rPr>
        <w:t> </w:t>
      </w:r>
      <w:r>
        <w:rPr>
          <w:color w:val="231F20"/>
          <w:sz w:val="19"/>
        </w:rPr>
        <w:t>Daimler,</w:t>
      </w:r>
      <w:r>
        <w:rPr>
          <w:color w:val="231F20"/>
          <w:spacing w:val="-9"/>
          <w:sz w:val="19"/>
        </w:rPr>
        <w:t> </w:t>
      </w:r>
      <w:r>
        <w:rPr>
          <w:color w:val="231F20"/>
          <w:sz w:val="19"/>
        </w:rPr>
        <w:t>empresa</w:t>
      </w:r>
      <w:r>
        <w:rPr>
          <w:color w:val="231F20"/>
          <w:spacing w:val="-9"/>
          <w:sz w:val="19"/>
        </w:rPr>
        <w:t> </w:t>
      </w:r>
      <w:r>
        <w:rPr>
          <w:color w:val="231F20"/>
          <w:sz w:val="19"/>
        </w:rPr>
        <w:t>que</w:t>
      </w:r>
      <w:r>
        <w:rPr>
          <w:color w:val="231F20"/>
          <w:spacing w:val="-9"/>
          <w:sz w:val="19"/>
        </w:rPr>
        <w:t> </w:t>
      </w:r>
      <w:r>
        <w:rPr>
          <w:color w:val="231F20"/>
          <w:sz w:val="19"/>
        </w:rPr>
        <w:t>en</w:t>
      </w:r>
      <w:r>
        <w:rPr>
          <w:color w:val="231F20"/>
          <w:spacing w:val="-9"/>
          <w:sz w:val="19"/>
        </w:rPr>
        <w:t> </w:t>
      </w:r>
      <w:r>
        <w:rPr>
          <w:color w:val="231F20"/>
          <w:sz w:val="19"/>
        </w:rPr>
        <w:t>esos</w:t>
      </w:r>
      <w:r>
        <w:rPr>
          <w:color w:val="231F20"/>
          <w:spacing w:val="-9"/>
          <w:sz w:val="19"/>
        </w:rPr>
        <w:t> </w:t>
      </w:r>
      <w:r>
        <w:rPr>
          <w:color w:val="231F20"/>
          <w:sz w:val="19"/>
        </w:rPr>
        <w:t>mo- mentos se encontraba fusionada con</w:t>
      </w:r>
      <w:r>
        <w:rPr>
          <w:color w:val="231F20"/>
          <w:spacing w:val="-14"/>
          <w:sz w:val="19"/>
        </w:rPr>
        <w:t> </w:t>
      </w:r>
      <w:r>
        <w:rPr>
          <w:color w:val="231F20"/>
          <w:sz w:val="19"/>
        </w:rPr>
        <w:t>Chrysler.</w:t>
      </w:r>
    </w:p>
    <w:p>
      <w:pPr>
        <w:spacing w:line="237" w:lineRule="exact" w:before="0"/>
        <w:ind w:left="123" w:right="0" w:firstLine="0"/>
        <w:jc w:val="both"/>
        <w:rPr>
          <w:sz w:val="19"/>
        </w:rPr>
      </w:pPr>
      <w:r>
        <w:rPr>
          <w:rFonts w:ascii="Palatino Linotype" w:hAnsi="Palatino Linotype"/>
          <w:i/>
          <w:color w:val="231F20"/>
          <w:sz w:val="19"/>
        </w:rPr>
        <w:t>Fuente: </w:t>
      </w:r>
      <w:r>
        <w:rPr>
          <w:color w:val="231F20"/>
          <w:sz w:val="19"/>
        </w:rPr>
        <w:t>Elaboración propia. De 1985 a 1998, datos de INEGI (1998); de 2000 a 2005, datos de</w:t>
      </w:r>
    </w:p>
    <w:p>
      <w:pPr>
        <w:spacing w:before="46"/>
        <w:ind w:left="123" w:right="0" w:firstLine="0"/>
        <w:jc w:val="both"/>
        <w:rPr>
          <w:sz w:val="19"/>
        </w:rPr>
      </w:pPr>
      <w:r>
        <w:rPr>
          <w:color w:val="231F20"/>
          <w:sz w:val="19"/>
        </w:rPr>
        <w:t>IMF (2007), de 2006 a 2012, datos de OICA (2014).</w:t>
      </w:r>
    </w:p>
    <w:p>
      <w:pPr>
        <w:pStyle w:val="BodyText"/>
        <w:spacing w:before="4"/>
        <w:rPr>
          <w:sz w:val="23"/>
        </w:rPr>
      </w:pPr>
    </w:p>
    <w:p>
      <w:pPr>
        <w:pStyle w:val="BodyText"/>
        <w:spacing w:line="278" w:lineRule="auto" w:before="1"/>
        <w:ind w:left="123" w:right="651"/>
        <w:jc w:val="both"/>
      </w:pPr>
      <w:r>
        <w:rPr>
          <w:color w:val="231F20"/>
        </w:rPr>
        <w:t>En </w:t>
      </w:r>
      <w:r>
        <w:rPr>
          <w:color w:val="231F20"/>
          <w:spacing w:val="-3"/>
        </w:rPr>
        <w:t>este </w:t>
      </w:r>
      <w:r>
        <w:rPr>
          <w:color w:val="231F20"/>
          <w:spacing w:val="-4"/>
        </w:rPr>
        <w:t>sentido, </w:t>
      </w:r>
      <w:r>
        <w:rPr>
          <w:color w:val="231F20"/>
          <w:spacing w:val="-2"/>
        </w:rPr>
        <w:t>las </w:t>
      </w:r>
      <w:r>
        <w:rPr>
          <w:color w:val="231F20"/>
          <w:spacing w:val="-3"/>
        </w:rPr>
        <w:t>tres grandes </w:t>
      </w:r>
      <w:r>
        <w:rPr>
          <w:color w:val="231F20"/>
          <w:spacing w:val="-4"/>
        </w:rPr>
        <w:t>armadoras norteamericanas </w:t>
      </w:r>
      <w:r>
        <w:rPr>
          <w:color w:val="231F20"/>
          <w:spacing w:val="-3"/>
        </w:rPr>
        <w:t>han sido </w:t>
      </w:r>
      <w:r>
        <w:rPr>
          <w:color w:val="231F20"/>
          <w:spacing w:val="-2"/>
        </w:rPr>
        <w:t>las </w:t>
      </w:r>
      <w:r>
        <w:rPr>
          <w:color w:val="231F20"/>
          <w:spacing w:val="-3"/>
        </w:rPr>
        <w:t>grandes perde- </w:t>
      </w:r>
      <w:r>
        <w:rPr>
          <w:color w:val="231F20"/>
          <w:spacing w:val="-4"/>
        </w:rPr>
        <w:t>doras </w:t>
      </w:r>
      <w:r>
        <w:rPr>
          <w:color w:val="231F20"/>
        </w:rPr>
        <w:t>a </w:t>
      </w:r>
      <w:r>
        <w:rPr>
          <w:color w:val="231F20"/>
          <w:spacing w:val="-3"/>
        </w:rPr>
        <w:t>partir </w:t>
      </w:r>
      <w:r>
        <w:rPr>
          <w:color w:val="231F20"/>
        </w:rPr>
        <w:t>de la </w:t>
      </w:r>
      <w:r>
        <w:rPr>
          <w:color w:val="231F20"/>
          <w:spacing w:val="-4"/>
        </w:rPr>
        <w:t>reestructuración </w:t>
      </w:r>
      <w:r>
        <w:rPr>
          <w:color w:val="231F20"/>
          <w:spacing w:val="-3"/>
        </w:rPr>
        <w:t>que </w:t>
      </w:r>
      <w:r>
        <w:rPr>
          <w:color w:val="231F20"/>
        </w:rPr>
        <w:t>se ha dado en el </w:t>
      </w:r>
      <w:r>
        <w:rPr>
          <w:color w:val="231F20"/>
          <w:spacing w:val="-3"/>
        </w:rPr>
        <w:t>sector </w:t>
      </w:r>
      <w:r>
        <w:rPr>
          <w:color w:val="231F20"/>
        </w:rPr>
        <w:t>a </w:t>
      </w:r>
      <w:r>
        <w:rPr>
          <w:color w:val="231F20"/>
          <w:spacing w:val="-4"/>
        </w:rPr>
        <w:t>nivel </w:t>
      </w:r>
      <w:r>
        <w:rPr>
          <w:color w:val="231F20"/>
          <w:spacing w:val="-3"/>
        </w:rPr>
        <w:t>mundial; </w:t>
      </w:r>
      <w:r>
        <w:rPr>
          <w:color w:val="231F20"/>
        </w:rPr>
        <w:t>es </w:t>
      </w:r>
      <w:r>
        <w:rPr>
          <w:color w:val="231F20"/>
          <w:spacing w:val="-4"/>
        </w:rPr>
        <w:t>claro cómo </w:t>
      </w:r>
      <w:r>
        <w:rPr>
          <w:color w:val="231F20"/>
          <w:spacing w:val="-3"/>
        </w:rPr>
        <w:t>General </w:t>
      </w:r>
      <w:r>
        <w:rPr>
          <w:color w:val="231F20"/>
          <w:spacing w:val="-5"/>
        </w:rPr>
        <w:t>Motors, Ford </w:t>
      </w:r>
      <w:r>
        <w:rPr>
          <w:color w:val="231F20"/>
        </w:rPr>
        <w:t>y Chrysler </w:t>
      </w:r>
      <w:r>
        <w:rPr>
          <w:color w:val="231F20"/>
          <w:spacing w:val="-3"/>
        </w:rPr>
        <w:t>han </w:t>
      </w:r>
      <w:r>
        <w:rPr>
          <w:color w:val="231F20"/>
        </w:rPr>
        <w:t>ido </w:t>
      </w:r>
      <w:r>
        <w:rPr>
          <w:color w:val="231F20"/>
          <w:spacing w:val="-4"/>
        </w:rPr>
        <w:t>disminuyendo </w:t>
      </w:r>
      <w:r>
        <w:rPr>
          <w:color w:val="231F20"/>
        </w:rPr>
        <w:t>su </w:t>
      </w:r>
      <w:r>
        <w:rPr>
          <w:color w:val="231F20"/>
          <w:spacing w:val="-3"/>
        </w:rPr>
        <w:t>participación </w:t>
      </w:r>
      <w:r>
        <w:rPr>
          <w:color w:val="231F20"/>
        </w:rPr>
        <w:t>a </w:t>
      </w:r>
      <w:r>
        <w:rPr>
          <w:color w:val="231F20"/>
          <w:spacing w:val="-4"/>
        </w:rPr>
        <w:t>nivel </w:t>
      </w:r>
      <w:r>
        <w:rPr>
          <w:color w:val="231F20"/>
          <w:spacing w:val="-3"/>
        </w:rPr>
        <w:t>mundial </w:t>
      </w:r>
      <w:r>
        <w:rPr>
          <w:color w:val="231F20"/>
        </w:rPr>
        <w:t>en la </w:t>
      </w:r>
      <w:r>
        <w:rPr>
          <w:color w:val="231F20"/>
          <w:spacing w:val="-4"/>
        </w:rPr>
        <w:t>producción </w:t>
      </w:r>
      <w:r>
        <w:rPr>
          <w:color w:val="231F20"/>
        </w:rPr>
        <w:t>de </w:t>
      </w:r>
      <w:r>
        <w:rPr>
          <w:color w:val="231F20"/>
          <w:spacing w:val="-3"/>
        </w:rPr>
        <w:t>vehículos, </w:t>
      </w:r>
      <w:r>
        <w:rPr>
          <w:color w:val="231F20"/>
          <w:spacing w:val="-4"/>
        </w:rPr>
        <w:t>mientras </w:t>
      </w:r>
      <w:r>
        <w:rPr>
          <w:color w:val="231F20"/>
          <w:spacing w:val="-7"/>
        </w:rPr>
        <w:t>Toyota </w:t>
      </w:r>
      <w:r>
        <w:rPr>
          <w:color w:val="231F20"/>
        </w:rPr>
        <w:t>y </w:t>
      </w:r>
      <w:r>
        <w:rPr>
          <w:color w:val="231F20"/>
          <w:spacing w:val="-4"/>
        </w:rPr>
        <w:t>Honda </w:t>
      </w:r>
      <w:r>
        <w:rPr>
          <w:color w:val="231F20"/>
          <w:spacing w:val="-3"/>
        </w:rPr>
        <w:t>han tenido </w:t>
      </w:r>
      <w:r>
        <w:rPr>
          <w:color w:val="231F20"/>
        </w:rPr>
        <w:t>un </w:t>
      </w:r>
      <w:r>
        <w:rPr>
          <w:color w:val="231F20"/>
          <w:spacing w:val="-3"/>
        </w:rPr>
        <w:t>creci- </w:t>
      </w:r>
      <w:r>
        <w:rPr>
          <w:color w:val="231F20"/>
          <w:spacing w:val="-4"/>
        </w:rPr>
        <w:t>miento muy importante </w:t>
      </w:r>
      <w:r>
        <w:rPr>
          <w:color w:val="231F20"/>
        </w:rPr>
        <w:t>en la </w:t>
      </w:r>
      <w:r>
        <w:rPr>
          <w:color w:val="231F20"/>
          <w:spacing w:val="-4"/>
        </w:rPr>
        <w:t>producción. </w:t>
      </w:r>
      <w:r>
        <w:rPr>
          <w:color w:val="231F20"/>
          <w:spacing w:val="-3"/>
        </w:rPr>
        <w:t>Destaca </w:t>
      </w:r>
      <w:r>
        <w:rPr>
          <w:color w:val="231F20"/>
        </w:rPr>
        <w:t>el caso de </w:t>
      </w:r>
      <w:r>
        <w:rPr>
          <w:color w:val="231F20"/>
          <w:spacing w:val="-7"/>
        </w:rPr>
        <w:t>Toyota, </w:t>
      </w:r>
      <w:r>
        <w:rPr>
          <w:color w:val="231F20"/>
          <w:spacing w:val="-4"/>
        </w:rPr>
        <w:t>empresa </w:t>
      </w:r>
      <w:r>
        <w:rPr>
          <w:color w:val="231F20"/>
          <w:spacing w:val="-3"/>
        </w:rPr>
        <w:t>que revo- </w:t>
      </w:r>
      <w:r>
        <w:rPr>
          <w:color w:val="231F20"/>
          <w:spacing w:val="-4"/>
        </w:rPr>
        <w:t>lucionó</w:t>
      </w:r>
      <w:r>
        <w:rPr>
          <w:color w:val="231F20"/>
          <w:spacing w:val="-6"/>
        </w:rPr>
        <w:t> </w:t>
      </w:r>
      <w:r>
        <w:rPr>
          <w:color w:val="231F20"/>
        </w:rPr>
        <w:t>la</w:t>
      </w:r>
      <w:r>
        <w:rPr>
          <w:color w:val="231F20"/>
          <w:spacing w:val="-6"/>
        </w:rPr>
        <w:t> </w:t>
      </w:r>
      <w:r>
        <w:rPr>
          <w:color w:val="231F20"/>
          <w:spacing w:val="-4"/>
        </w:rPr>
        <w:t>forma</w:t>
      </w:r>
      <w:r>
        <w:rPr>
          <w:color w:val="231F20"/>
          <w:spacing w:val="-6"/>
        </w:rPr>
        <w:t> </w:t>
      </w:r>
      <w:r>
        <w:rPr>
          <w:color w:val="231F20"/>
        </w:rPr>
        <w:t>de</w:t>
      </w:r>
      <w:r>
        <w:rPr>
          <w:color w:val="231F20"/>
          <w:spacing w:val="-6"/>
        </w:rPr>
        <w:t> </w:t>
      </w:r>
      <w:r>
        <w:rPr>
          <w:color w:val="231F20"/>
          <w:spacing w:val="-4"/>
        </w:rPr>
        <w:t>producir</w:t>
      </w:r>
      <w:r>
        <w:rPr>
          <w:color w:val="231F20"/>
          <w:spacing w:val="-6"/>
        </w:rPr>
        <w:t> </w:t>
      </w:r>
      <w:r>
        <w:rPr>
          <w:color w:val="231F20"/>
          <w:spacing w:val="-3"/>
        </w:rPr>
        <w:t>con</w:t>
      </w:r>
      <w:r>
        <w:rPr>
          <w:color w:val="231F20"/>
          <w:spacing w:val="-6"/>
        </w:rPr>
        <w:t> </w:t>
      </w:r>
      <w:r>
        <w:rPr>
          <w:color w:val="231F20"/>
        </w:rPr>
        <w:t>el</w:t>
      </w:r>
      <w:r>
        <w:rPr>
          <w:color w:val="231F20"/>
          <w:spacing w:val="-6"/>
        </w:rPr>
        <w:t> </w:t>
      </w:r>
      <w:r>
        <w:rPr>
          <w:color w:val="231F20"/>
          <w:spacing w:val="-4"/>
        </w:rPr>
        <w:t>Sistema</w:t>
      </w:r>
      <w:r>
        <w:rPr>
          <w:color w:val="231F20"/>
          <w:spacing w:val="-6"/>
        </w:rPr>
        <w:t> </w:t>
      </w:r>
      <w:r>
        <w:rPr>
          <w:color w:val="231F20"/>
        </w:rPr>
        <w:t>de</w:t>
      </w:r>
      <w:r>
        <w:rPr>
          <w:color w:val="231F20"/>
          <w:spacing w:val="-6"/>
        </w:rPr>
        <w:t> </w:t>
      </w:r>
      <w:r>
        <w:rPr>
          <w:color w:val="231F20"/>
          <w:spacing w:val="-4"/>
        </w:rPr>
        <w:t>Producción</w:t>
      </w:r>
      <w:r>
        <w:rPr>
          <w:color w:val="231F20"/>
          <w:spacing w:val="-6"/>
        </w:rPr>
        <w:t> </w:t>
      </w:r>
      <w:r>
        <w:rPr>
          <w:color w:val="231F20"/>
          <w:spacing w:val="-7"/>
        </w:rPr>
        <w:t>Toyota,</w:t>
      </w:r>
      <w:r>
        <w:rPr>
          <w:color w:val="231F20"/>
          <w:spacing w:val="-6"/>
        </w:rPr>
        <w:t> </w:t>
      </w:r>
      <w:r>
        <w:rPr>
          <w:color w:val="231F20"/>
        </w:rPr>
        <w:t>a</w:t>
      </w:r>
      <w:r>
        <w:rPr>
          <w:color w:val="231F20"/>
          <w:spacing w:val="-6"/>
        </w:rPr>
        <w:t> </w:t>
      </w:r>
      <w:r>
        <w:rPr>
          <w:color w:val="231F20"/>
          <w:spacing w:val="-3"/>
        </w:rPr>
        <w:t>partir</w:t>
      </w:r>
      <w:r>
        <w:rPr>
          <w:color w:val="231F20"/>
          <w:spacing w:val="-6"/>
        </w:rPr>
        <w:t> </w:t>
      </w:r>
      <w:r>
        <w:rPr>
          <w:color w:val="231F20"/>
          <w:spacing w:val="-3"/>
        </w:rPr>
        <w:t>del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ha </w:t>
      </w:r>
      <w:r>
        <w:rPr>
          <w:color w:val="231F20"/>
          <w:spacing w:val="-4"/>
        </w:rPr>
        <w:t>convertido </w:t>
      </w:r>
      <w:r>
        <w:rPr>
          <w:color w:val="231F20"/>
        </w:rPr>
        <w:t>en </w:t>
      </w:r>
      <w:r>
        <w:rPr>
          <w:color w:val="231F20"/>
          <w:spacing w:val="-4"/>
        </w:rPr>
        <w:t>empresa </w:t>
      </w:r>
      <w:r>
        <w:rPr>
          <w:color w:val="231F20"/>
          <w:spacing w:val="-3"/>
        </w:rPr>
        <w:t>líder del sector </w:t>
      </w:r>
      <w:r>
        <w:rPr>
          <w:color w:val="231F20"/>
        </w:rPr>
        <w:t>en </w:t>
      </w:r>
      <w:r>
        <w:rPr>
          <w:color w:val="231F20"/>
          <w:spacing w:val="-4"/>
        </w:rPr>
        <w:t>cuanto </w:t>
      </w:r>
      <w:r>
        <w:rPr>
          <w:color w:val="231F20"/>
        </w:rPr>
        <w:t>a </w:t>
      </w:r>
      <w:r>
        <w:rPr>
          <w:color w:val="231F20"/>
          <w:spacing w:val="-4"/>
        </w:rPr>
        <w:t>producción, ventas </w:t>
      </w:r>
      <w:r>
        <w:rPr>
          <w:color w:val="231F20"/>
        </w:rPr>
        <w:t>y servicios, </w:t>
      </w:r>
      <w:r>
        <w:rPr>
          <w:color w:val="231F20"/>
          <w:spacing w:val="-4"/>
        </w:rPr>
        <w:t>como resultado </w:t>
      </w:r>
      <w:r>
        <w:rPr>
          <w:color w:val="231F20"/>
        </w:rPr>
        <w:t>de la </w:t>
      </w:r>
      <w:r>
        <w:rPr>
          <w:color w:val="231F20"/>
          <w:spacing w:val="-4"/>
        </w:rPr>
        <w:t>constante innovación </w:t>
      </w:r>
      <w:r>
        <w:rPr>
          <w:color w:val="231F20"/>
          <w:spacing w:val="-3"/>
        </w:rPr>
        <w:t>tecnológica aplicada </w:t>
      </w:r>
      <w:r>
        <w:rPr>
          <w:color w:val="231F20"/>
        </w:rPr>
        <w:t>a </w:t>
      </w:r>
      <w:r>
        <w:rPr>
          <w:color w:val="231F20"/>
          <w:spacing w:val="-3"/>
        </w:rPr>
        <w:t>sus procesos</w:t>
      </w:r>
      <w:r>
        <w:rPr>
          <w:color w:val="231F20"/>
          <w:spacing w:val="-21"/>
        </w:rPr>
        <w:t> </w:t>
      </w:r>
      <w:r>
        <w:rPr>
          <w:color w:val="231F20"/>
          <w:spacing w:val="-4"/>
        </w:rPr>
        <w:t>productivos.</w:t>
      </w:r>
    </w:p>
    <w:p>
      <w:pPr>
        <w:pStyle w:val="BodyText"/>
        <w:spacing w:before="8"/>
        <w:rPr>
          <w:sz w:val="17"/>
        </w:rPr>
      </w:pPr>
    </w:p>
    <w:p>
      <w:pPr>
        <w:pStyle w:val="Heading4"/>
        <w:numPr>
          <w:ilvl w:val="2"/>
          <w:numId w:val="15"/>
        </w:numPr>
        <w:tabs>
          <w:tab w:pos="645" w:val="left" w:leader="none"/>
        </w:tabs>
        <w:spacing w:line="240" w:lineRule="auto" w:before="0" w:after="0"/>
        <w:ind w:left="644" w:right="0" w:hanging="521"/>
        <w:jc w:val="both"/>
        <w:rPr>
          <w:color w:val="231F20"/>
        </w:rPr>
      </w:pPr>
      <w:r>
        <w:rPr>
          <w:color w:val="231F20"/>
          <w:w w:val="95"/>
        </w:rPr>
        <w:t>El</w:t>
      </w:r>
      <w:r>
        <w:rPr>
          <w:color w:val="231F20"/>
          <w:spacing w:val="-19"/>
          <w:w w:val="95"/>
        </w:rPr>
        <w:t> </w:t>
      </w:r>
      <w:r>
        <w:rPr>
          <w:color w:val="231F20"/>
          <w:w w:val="95"/>
        </w:rPr>
        <w:t>sector</w:t>
      </w:r>
      <w:r>
        <w:rPr>
          <w:color w:val="231F20"/>
          <w:spacing w:val="-19"/>
          <w:w w:val="95"/>
        </w:rPr>
        <w:t> </w:t>
      </w:r>
      <w:r>
        <w:rPr>
          <w:color w:val="231F20"/>
          <w:w w:val="95"/>
        </w:rPr>
        <w:t>automotriz</w:t>
      </w:r>
      <w:r>
        <w:rPr>
          <w:color w:val="231F20"/>
          <w:spacing w:val="-19"/>
          <w:w w:val="95"/>
        </w:rPr>
        <w:t> </w:t>
      </w:r>
      <w:r>
        <w:rPr>
          <w:color w:val="231F20"/>
          <w:w w:val="95"/>
        </w:rPr>
        <w:t>y</w:t>
      </w:r>
      <w:r>
        <w:rPr>
          <w:color w:val="231F20"/>
          <w:spacing w:val="-19"/>
          <w:w w:val="95"/>
        </w:rPr>
        <w:t> </w:t>
      </w:r>
      <w:r>
        <w:rPr>
          <w:color w:val="231F20"/>
          <w:w w:val="95"/>
        </w:rPr>
        <w:t>los</w:t>
      </w:r>
      <w:r>
        <w:rPr>
          <w:color w:val="231F20"/>
          <w:spacing w:val="-19"/>
          <w:w w:val="95"/>
        </w:rPr>
        <w:t> </w:t>
      </w:r>
      <w:r>
        <w:rPr>
          <w:color w:val="231F20"/>
          <w:w w:val="95"/>
        </w:rPr>
        <w:t>saldos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Gran</w:t>
      </w:r>
      <w:r>
        <w:rPr>
          <w:color w:val="231F20"/>
          <w:spacing w:val="-19"/>
          <w:w w:val="95"/>
        </w:rPr>
        <w:t> </w:t>
      </w:r>
      <w:r>
        <w:rPr>
          <w:color w:val="231F20"/>
          <w:w w:val="95"/>
        </w:rPr>
        <w:t>Recesión</w:t>
      </w:r>
      <w:r>
        <w:rPr>
          <w:color w:val="231F20"/>
          <w:spacing w:val="-19"/>
          <w:w w:val="95"/>
        </w:rPr>
        <w:t> </w:t>
      </w:r>
      <w:r>
        <w:rPr>
          <w:color w:val="231F20"/>
          <w:w w:val="95"/>
        </w:rPr>
        <w:t>de</w:t>
      </w:r>
      <w:r>
        <w:rPr>
          <w:color w:val="231F20"/>
          <w:spacing w:val="-19"/>
          <w:w w:val="95"/>
        </w:rPr>
        <w:t> </w:t>
      </w:r>
      <w:r>
        <w:rPr>
          <w:color w:val="231F20"/>
          <w:w w:val="95"/>
        </w:rPr>
        <w:t>2008</w:t>
      </w:r>
    </w:p>
    <w:p>
      <w:pPr>
        <w:pStyle w:val="BodyText"/>
        <w:spacing w:line="278" w:lineRule="auto" w:before="134"/>
        <w:ind w:left="123" w:right="651"/>
        <w:jc w:val="both"/>
      </w:pPr>
      <w:r>
        <w:rPr>
          <w:color w:val="231F20"/>
        </w:rPr>
        <w:t>Sin duda uno de los eventos más importantes por los que ha pasado la industria au- tomotriz durante los últimos años, el cual le dejó saldos significativos en términos de producción,</w:t>
      </w:r>
      <w:r>
        <w:rPr>
          <w:color w:val="231F20"/>
          <w:spacing w:val="-14"/>
        </w:rPr>
        <w:t> </w:t>
      </w:r>
      <w:r>
        <w:rPr>
          <w:color w:val="231F20"/>
        </w:rPr>
        <w:t>ventas</w:t>
      </w:r>
      <w:r>
        <w:rPr>
          <w:color w:val="231F20"/>
          <w:spacing w:val="-14"/>
        </w:rPr>
        <w:t> </w:t>
      </w:r>
      <w:r>
        <w:rPr>
          <w:color w:val="231F20"/>
        </w:rPr>
        <w:t>y</w:t>
      </w:r>
      <w:r>
        <w:rPr>
          <w:color w:val="231F20"/>
          <w:spacing w:val="-14"/>
        </w:rPr>
        <w:t> </w:t>
      </w:r>
      <w:r>
        <w:rPr>
          <w:color w:val="231F20"/>
        </w:rPr>
        <w:t>reestructuraciones,</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Gran</w:t>
      </w:r>
      <w:r>
        <w:rPr>
          <w:color w:val="231F20"/>
          <w:spacing w:val="-14"/>
        </w:rPr>
        <w:t> </w:t>
      </w:r>
      <w:r>
        <w:rPr>
          <w:color w:val="231F20"/>
        </w:rPr>
        <w:t>Recesión</w:t>
      </w:r>
      <w:r>
        <w:rPr>
          <w:color w:val="231F20"/>
          <w:spacing w:val="-14"/>
        </w:rPr>
        <w:t> </w:t>
      </w:r>
      <w:r>
        <w:rPr>
          <w:color w:val="231F20"/>
        </w:rPr>
        <w:t>que</w:t>
      </w:r>
      <w:r>
        <w:rPr>
          <w:color w:val="231F20"/>
          <w:spacing w:val="-14"/>
        </w:rPr>
        <w:t> </w:t>
      </w:r>
      <w:r>
        <w:rPr>
          <w:color w:val="231F20"/>
        </w:rPr>
        <w:t>inició</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2008</w:t>
      </w:r>
      <w:r>
        <w:rPr>
          <w:color w:val="231F20"/>
          <w:spacing w:val="-14"/>
        </w:rPr>
        <w:t> </w:t>
      </w:r>
      <w:r>
        <w:rPr>
          <w:color w:val="231F20"/>
        </w:rPr>
        <w:t>en</w:t>
      </w:r>
      <w:r>
        <w:rPr>
          <w:color w:val="231F20"/>
          <w:spacing w:val="-14"/>
        </w:rPr>
        <w:t> </w:t>
      </w:r>
      <w:r>
        <w:rPr>
          <w:color w:val="231F20"/>
        </w:rPr>
        <w:t>el sector inmobiliario de los Estados</w:t>
      </w:r>
      <w:r>
        <w:rPr>
          <w:color w:val="231F20"/>
          <w:spacing w:val="-26"/>
        </w:rPr>
        <w:t> </w:t>
      </w:r>
      <w:r>
        <w:rPr>
          <w:color w:val="231F20"/>
        </w:rPr>
        <w:t>Unidos.</w:t>
      </w:r>
    </w:p>
    <w:p>
      <w:pPr>
        <w:pStyle w:val="BodyText"/>
        <w:spacing w:line="278" w:lineRule="auto" w:before="1"/>
        <w:ind w:left="123" w:right="650" w:firstLine="396"/>
        <w:jc w:val="both"/>
      </w:pPr>
      <w:r>
        <w:rPr>
          <w:color w:val="231F20"/>
        </w:rPr>
        <w:t>En 2007 la producción mundial de vehículos todavía dejaba ver un sector diná- mico con una tasa de crecimiento de 6%, mientras que para 2008 los saldos fueron negativos con una tasa de crecimiento de -3.6%; sin embargo, las cifras más bajas se presentaron durante 2009, con una reducción de -13.5% (OICA, 2010).</w:t>
      </w:r>
    </w:p>
    <w:p>
      <w:pPr>
        <w:pStyle w:val="BodyText"/>
        <w:spacing w:line="278" w:lineRule="auto" w:before="1"/>
        <w:ind w:left="123" w:right="651" w:firstLine="396"/>
        <w:jc w:val="both"/>
      </w:pPr>
      <w:r>
        <w:rPr>
          <w:color w:val="231F20"/>
        </w:rPr>
        <w:t>La</w:t>
      </w:r>
      <w:r>
        <w:rPr>
          <w:color w:val="231F20"/>
          <w:spacing w:val="-5"/>
        </w:rPr>
        <w:t> </w:t>
      </w:r>
      <w:r>
        <w:rPr>
          <w:color w:val="231F20"/>
        </w:rPr>
        <w:t>caída</w:t>
      </w:r>
      <w:r>
        <w:rPr>
          <w:color w:val="231F20"/>
          <w:spacing w:val="-5"/>
        </w:rPr>
        <w:t> </w:t>
      </w:r>
      <w:r>
        <w:rPr>
          <w:color w:val="231F20"/>
        </w:rPr>
        <w:t>más</w:t>
      </w:r>
      <w:r>
        <w:rPr>
          <w:color w:val="231F20"/>
          <w:spacing w:val="-5"/>
        </w:rPr>
        <w:t> </w:t>
      </w:r>
      <w:r>
        <w:rPr>
          <w:color w:val="231F20"/>
        </w:rPr>
        <w:t>relevante</w:t>
      </w:r>
      <w:r>
        <w:rPr>
          <w:color w:val="231F20"/>
          <w:spacing w:val="-5"/>
        </w:rPr>
        <w:t> </w:t>
      </w:r>
      <w:r>
        <w:rPr>
          <w:color w:val="231F20"/>
        </w:rPr>
        <w:t>se</w:t>
      </w:r>
      <w:r>
        <w:rPr>
          <w:color w:val="231F20"/>
          <w:spacing w:val="-5"/>
        </w:rPr>
        <w:t> </w:t>
      </w:r>
      <w:r>
        <w:rPr>
          <w:color w:val="231F20"/>
        </w:rPr>
        <w:t>dio</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lado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venta</w:t>
      </w:r>
      <w:r>
        <w:rPr>
          <w:color w:val="231F20"/>
          <w:spacing w:val="-5"/>
        </w:rPr>
        <w:t> </w:t>
      </w:r>
      <w:r>
        <w:rPr>
          <w:color w:val="231F20"/>
        </w:rPr>
        <w:t>de</w:t>
      </w:r>
      <w:r>
        <w:rPr>
          <w:color w:val="231F20"/>
          <w:spacing w:val="-5"/>
        </w:rPr>
        <w:t> </w:t>
      </w:r>
      <w:r>
        <w:rPr>
          <w:color w:val="231F20"/>
        </w:rPr>
        <w:t>vehículos.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primer</w:t>
      </w:r>
      <w:r>
        <w:rPr>
          <w:color w:val="231F20"/>
          <w:spacing w:val="-5"/>
        </w:rPr>
        <w:t> </w:t>
      </w:r>
      <w:r>
        <w:rPr>
          <w:color w:val="231F20"/>
        </w:rPr>
        <w:t>se- mestre</w:t>
      </w:r>
      <w:r>
        <w:rPr>
          <w:color w:val="231F20"/>
          <w:spacing w:val="-19"/>
        </w:rPr>
        <w:t> </w:t>
      </w:r>
      <w:r>
        <w:rPr>
          <w:color w:val="231F20"/>
        </w:rPr>
        <w:t>de</w:t>
      </w:r>
      <w:r>
        <w:rPr>
          <w:color w:val="231F20"/>
          <w:spacing w:val="-19"/>
        </w:rPr>
        <w:t> </w:t>
      </w:r>
      <w:r>
        <w:rPr>
          <w:color w:val="231F20"/>
        </w:rPr>
        <w:t>2009</w:t>
      </w:r>
      <w:r>
        <w:rPr>
          <w:color w:val="231F20"/>
          <w:spacing w:val="-19"/>
        </w:rPr>
        <w:t> </w:t>
      </w:r>
      <w:r>
        <w:rPr>
          <w:color w:val="231F20"/>
        </w:rPr>
        <w:t>la</w:t>
      </w:r>
      <w:r>
        <w:rPr>
          <w:color w:val="231F20"/>
          <w:spacing w:val="-19"/>
        </w:rPr>
        <w:t> </w:t>
      </w:r>
      <w:r>
        <w:rPr>
          <w:color w:val="231F20"/>
        </w:rPr>
        <w:t>venta</w:t>
      </w:r>
      <w:r>
        <w:rPr>
          <w:color w:val="231F20"/>
          <w:spacing w:val="-19"/>
        </w:rPr>
        <w:t> </w:t>
      </w:r>
      <w:r>
        <w:rPr>
          <w:color w:val="231F20"/>
        </w:rPr>
        <w:t>de</w:t>
      </w:r>
      <w:r>
        <w:rPr>
          <w:color w:val="231F20"/>
          <w:spacing w:val="-19"/>
        </w:rPr>
        <w:t> </w:t>
      </w:r>
      <w:r>
        <w:rPr>
          <w:color w:val="231F20"/>
        </w:rPr>
        <w:t>autos</w:t>
      </w:r>
      <w:r>
        <w:rPr>
          <w:color w:val="231F20"/>
          <w:spacing w:val="-19"/>
        </w:rPr>
        <w:t> </w:t>
      </w:r>
      <w:r>
        <w:rPr>
          <w:color w:val="231F20"/>
        </w:rPr>
        <w:t>en</w:t>
      </w:r>
      <w:r>
        <w:rPr>
          <w:color w:val="231F20"/>
          <w:spacing w:val="-19"/>
        </w:rPr>
        <w:t> </w:t>
      </w:r>
      <w:r>
        <w:rPr>
          <w:color w:val="231F20"/>
        </w:rPr>
        <w:t>Estados</w:t>
      </w:r>
      <w:r>
        <w:rPr>
          <w:color w:val="231F20"/>
          <w:spacing w:val="-19"/>
        </w:rPr>
        <w:t> </w:t>
      </w:r>
      <w:r>
        <w:rPr>
          <w:color w:val="231F20"/>
        </w:rPr>
        <w:t>Unidos</w:t>
      </w:r>
      <w:r>
        <w:rPr>
          <w:color w:val="231F20"/>
          <w:spacing w:val="-19"/>
        </w:rPr>
        <w:t> </w:t>
      </w:r>
      <w:r>
        <w:rPr>
          <w:color w:val="231F20"/>
        </w:rPr>
        <w:t>disminuyó</w:t>
      </w:r>
      <w:r>
        <w:rPr>
          <w:color w:val="231F20"/>
          <w:spacing w:val="-19"/>
        </w:rPr>
        <w:t> </w:t>
      </w:r>
      <w:r>
        <w:rPr>
          <w:color w:val="231F20"/>
        </w:rPr>
        <w:t>35.1%;</w:t>
      </w:r>
      <w:r>
        <w:rPr>
          <w:color w:val="231F20"/>
          <w:spacing w:val="-19"/>
        </w:rPr>
        <w:t> </w:t>
      </w:r>
      <w:r>
        <w:rPr>
          <w:color w:val="231F20"/>
        </w:rPr>
        <w:t>en</w:t>
      </w:r>
      <w:r>
        <w:rPr>
          <w:color w:val="231F20"/>
          <w:spacing w:val="-19"/>
        </w:rPr>
        <w:t> </w:t>
      </w:r>
      <w:r>
        <w:rPr>
          <w:color w:val="231F20"/>
        </w:rPr>
        <w:t>Japón,</w:t>
      </w:r>
      <w:r>
        <w:rPr>
          <w:color w:val="231F20"/>
          <w:spacing w:val="-19"/>
        </w:rPr>
        <w:t> </w:t>
      </w:r>
      <w:r>
        <w:rPr>
          <w:color w:val="231F20"/>
        </w:rPr>
        <w:t>21.5%; en</w:t>
      </w:r>
      <w:r>
        <w:rPr>
          <w:color w:val="231F20"/>
          <w:spacing w:val="-24"/>
        </w:rPr>
        <w:t> </w:t>
      </w:r>
      <w:r>
        <w:rPr>
          <w:color w:val="231F20"/>
        </w:rPr>
        <w:t>Argentina,</w:t>
      </w:r>
      <w:r>
        <w:rPr>
          <w:color w:val="231F20"/>
          <w:spacing w:val="-24"/>
        </w:rPr>
        <w:t> </w:t>
      </w:r>
      <w:r>
        <w:rPr>
          <w:color w:val="231F20"/>
        </w:rPr>
        <w:t>31.2%;</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México,</w:t>
      </w:r>
      <w:r>
        <w:rPr>
          <w:color w:val="231F20"/>
          <w:spacing w:val="-24"/>
        </w:rPr>
        <w:t> </w:t>
      </w:r>
      <w:r>
        <w:rPr>
          <w:color w:val="231F20"/>
        </w:rPr>
        <w:t>30.7%</w:t>
      </w:r>
      <w:r>
        <w:rPr>
          <w:color w:val="231F20"/>
          <w:spacing w:val="-24"/>
        </w:rPr>
        <w:t> </w:t>
      </w:r>
      <w:r>
        <w:rPr>
          <w:color w:val="231F20"/>
        </w:rPr>
        <w:t>(AMIA,</w:t>
      </w:r>
      <w:r>
        <w:rPr>
          <w:color w:val="231F20"/>
          <w:spacing w:val="-24"/>
        </w:rPr>
        <w:t> </w:t>
      </w:r>
      <w:r>
        <w:rPr>
          <w:color w:val="231F20"/>
        </w:rPr>
        <w:t>2009).</w:t>
      </w:r>
    </w:p>
    <w:p>
      <w:pPr>
        <w:spacing w:after="0" w:line="278" w:lineRule="auto"/>
        <w:jc w:val="both"/>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653" w:right="141" w:firstLine="396"/>
        <w:jc w:val="both"/>
      </w:pPr>
      <w:r>
        <w:rPr>
          <w:color w:val="231F20"/>
        </w:rPr>
        <w:t>En términos de empresas, la producción de vehículos a nivel mundial tuvo una importante disminución desde mediados de 2008, lo que llevó a tener tasas de creci- miento negativas para la mayoría de las empresas, a excepción de </w:t>
      </w:r>
      <w:r>
        <w:rPr>
          <w:color w:val="231F20"/>
          <w:spacing w:val="-5"/>
        </w:rPr>
        <w:t>Toyota </w:t>
      </w:r>
      <w:r>
        <w:rPr>
          <w:color w:val="231F20"/>
        </w:rPr>
        <w:t>(con creci- mientos</w:t>
      </w:r>
      <w:r>
        <w:rPr>
          <w:color w:val="231F20"/>
          <w:spacing w:val="-16"/>
        </w:rPr>
        <w:t> </w:t>
      </w:r>
      <w:r>
        <w:rPr>
          <w:color w:val="231F20"/>
        </w:rPr>
        <w:t>por</w:t>
      </w:r>
      <w:r>
        <w:rPr>
          <w:color w:val="231F20"/>
          <w:spacing w:val="-16"/>
        </w:rPr>
        <w:t> </w:t>
      </w:r>
      <w:r>
        <w:rPr>
          <w:color w:val="231F20"/>
        </w:rPr>
        <w:t>arriba</w:t>
      </w:r>
      <w:r>
        <w:rPr>
          <w:color w:val="231F20"/>
          <w:spacing w:val="-16"/>
        </w:rPr>
        <w:t> </w:t>
      </w:r>
      <w:r>
        <w:rPr>
          <w:color w:val="231F20"/>
        </w:rPr>
        <w:t>del</w:t>
      </w:r>
      <w:r>
        <w:rPr>
          <w:color w:val="231F20"/>
          <w:spacing w:val="-16"/>
        </w:rPr>
        <w:t> </w:t>
      </w:r>
      <w:r>
        <w:rPr>
          <w:color w:val="231F20"/>
        </w:rPr>
        <w:t>8%),</w:t>
      </w:r>
      <w:r>
        <w:rPr>
          <w:color w:val="231F20"/>
          <w:spacing w:val="-16"/>
        </w:rPr>
        <w:t> </w:t>
      </w:r>
      <w:r>
        <w:rPr>
          <w:color w:val="231F20"/>
        </w:rPr>
        <w:t>Mazda,</w:t>
      </w:r>
      <w:r>
        <w:rPr>
          <w:color w:val="231F20"/>
          <w:spacing w:val="-16"/>
        </w:rPr>
        <w:t> </w:t>
      </w:r>
      <w:r>
        <w:rPr>
          <w:color w:val="231F20"/>
        </w:rPr>
        <w:t>Suzuki</w:t>
      </w:r>
      <w:r>
        <w:rPr>
          <w:color w:val="231F20"/>
          <w:spacing w:val="-16"/>
        </w:rPr>
        <w:t> </w:t>
      </w:r>
      <w:r>
        <w:rPr>
          <w:color w:val="231F20"/>
        </w:rPr>
        <w:t>y</w:t>
      </w:r>
      <w:r>
        <w:rPr>
          <w:color w:val="231F20"/>
          <w:spacing w:val="-16"/>
        </w:rPr>
        <w:t> </w:t>
      </w:r>
      <w:r>
        <w:rPr>
          <w:color w:val="231F20"/>
          <w:spacing w:val="-3"/>
        </w:rPr>
        <w:t>Volkswagen.</w:t>
      </w:r>
      <w:r>
        <w:rPr>
          <w:color w:val="231F20"/>
          <w:spacing w:val="-16"/>
        </w:rPr>
        <w:t> </w:t>
      </w:r>
      <w:r>
        <w:rPr>
          <w:color w:val="231F20"/>
        </w:rPr>
        <w:t>Las</w:t>
      </w:r>
      <w:r>
        <w:rPr>
          <w:color w:val="231F20"/>
          <w:spacing w:val="-16"/>
        </w:rPr>
        <w:t> </w:t>
      </w:r>
      <w:r>
        <w:rPr>
          <w:color w:val="231F20"/>
        </w:rPr>
        <w:t>más</w:t>
      </w:r>
      <w:r>
        <w:rPr>
          <w:color w:val="231F20"/>
          <w:spacing w:val="-16"/>
        </w:rPr>
        <w:t> </w:t>
      </w:r>
      <w:r>
        <w:rPr>
          <w:color w:val="231F20"/>
        </w:rPr>
        <w:t>afectadas</w:t>
      </w:r>
      <w:r>
        <w:rPr>
          <w:color w:val="231F20"/>
          <w:spacing w:val="-16"/>
        </w:rPr>
        <w:t> </w:t>
      </w:r>
      <w:r>
        <w:rPr>
          <w:color w:val="231F20"/>
        </w:rPr>
        <w:t>resultaron Chrysler, </w:t>
      </w:r>
      <w:r>
        <w:rPr>
          <w:color w:val="231F20"/>
          <w:spacing w:val="-3"/>
        </w:rPr>
        <w:t>Ford </w:t>
      </w:r>
      <w:r>
        <w:rPr>
          <w:color w:val="231F20"/>
        </w:rPr>
        <w:t>y General </w:t>
      </w:r>
      <w:r>
        <w:rPr>
          <w:color w:val="231F20"/>
          <w:spacing w:val="-3"/>
        </w:rPr>
        <w:t>Motors, </w:t>
      </w:r>
      <w:r>
        <w:rPr>
          <w:color w:val="231F20"/>
        </w:rPr>
        <w:t>con tasas de crecimiento negativas cercanas al 15% (véase</w:t>
      </w:r>
      <w:r>
        <w:rPr>
          <w:color w:val="231F20"/>
          <w:spacing w:val="-30"/>
        </w:rPr>
        <w:t> </w:t>
      </w:r>
      <w:r>
        <w:rPr>
          <w:color w:val="231F20"/>
        </w:rPr>
        <w:t>gráfica</w:t>
      </w:r>
      <w:r>
        <w:rPr>
          <w:color w:val="231F20"/>
          <w:spacing w:val="-30"/>
        </w:rPr>
        <w:t> </w:t>
      </w:r>
      <w:r>
        <w:rPr>
          <w:color w:val="231F20"/>
        </w:rPr>
        <w:t>II.2).</w:t>
      </w:r>
    </w:p>
    <w:p>
      <w:pPr>
        <w:pStyle w:val="BodyText"/>
        <w:spacing w:before="8"/>
        <w:rPr>
          <w:sz w:val="17"/>
        </w:rPr>
      </w:pPr>
    </w:p>
    <w:p>
      <w:pPr>
        <w:pStyle w:val="Heading4"/>
        <w:ind w:left="1638" w:right="1129"/>
      </w:pPr>
      <w:r>
        <w:rPr>
          <w:color w:val="231F20"/>
          <w:w w:val="90"/>
        </w:rPr>
        <w:t>Gráfica II.2</w:t>
      </w:r>
    </w:p>
    <w:p>
      <w:pPr>
        <w:spacing w:line="282" w:lineRule="exact" w:before="0"/>
        <w:ind w:left="1638" w:right="1129" w:firstLine="0"/>
        <w:jc w:val="center"/>
        <w:rPr>
          <w:rFonts w:ascii="Palatino Linotype" w:hAnsi="Palatino Linotype"/>
          <w:b/>
          <w:sz w:val="21"/>
        </w:rPr>
      </w:pPr>
      <w:r>
        <w:rPr>
          <w:rFonts w:ascii="Palatino Linotype" w:hAnsi="Palatino Linotype"/>
          <w:b/>
          <w:color w:val="231F20"/>
          <w:w w:val="95"/>
          <w:sz w:val="21"/>
        </w:rPr>
        <w:t>Producción mundial de vehículos por empresa, 2007-2008</w:t>
      </w:r>
    </w:p>
    <w:p>
      <w:pPr>
        <w:spacing w:before="18"/>
        <w:ind w:left="1638" w:right="1129" w:firstLine="0"/>
        <w:jc w:val="center"/>
        <w:rPr>
          <w:rFonts w:ascii="Palatino Linotype"/>
          <w:b/>
          <w:sz w:val="19"/>
        </w:rPr>
      </w:pPr>
      <w:r>
        <w:rPr>
          <w:rFonts w:ascii="Palatino Linotype"/>
          <w:b/>
          <w:color w:val="231F20"/>
          <w:w w:val="90"/>
          <w:sz w:val="19"/>
        </w:rPr>
        <w:t>(Tasas de crecimiento)</w:t>
      </w:r>
    </w:p>
    <w:p>
      <w:pPr>
        <w:pStyle w:val="BodyText"/>
        <w:spacing w:before="2"/>
        <w:rPr>
          <w:rFonts w:ascii="Palatino Linotype"/>
          <w:b/>
          <w:sz w:val="15"/>
        </w:rPr>
      </w:pPr>
    </w:p>
    <w:p>
      <w:pPr>
        <w:spacing w:before="71"/>
        <w:ind w:left="611" w:right="0" w:firstLine="0"/>
        <w:jc w:val="left"/>
        <w:rPr>
          <w:rFonts w:ascii="Calibri"/>
          <w:sz w:val="15"/>
        </w:rPr>
      </w:pPr>
      <w:r>
        <w:rPr/>
        <w:pict>
          <v:group style="position:absolute;margin-left:69.97467pt;margin-top:7.948181pt;width:348.35pt;height:141.4pt;mso-position-horizontal-relative:page;mso-position-vertical-relative:paragraph;z-index:7456" coordorigin="1399,159" coordsize="6967,2828">
            <v:shape style="position:absolute;left:-103;top:3942;width:12631;height:4855" coordorigin="-103,3942" coordsize="12631,4855" path="m1502,165l8360,165m1502,726l8360,726m1502,1859l8360,1859m1502,2420l8360,2420m1502,2981l8360,2981m1502,2981l1502,165m1446,165l1502,165m1446,726l1502,726m1446,1286l1502,1286m1446,1859l1502,1859m1446,2420l1502,2420m1446,2981l1502,2981m1502,1286l8360,1286m8360,1286l8360,1346m7898,1286l7898,1346m7436,1286l7436,1346m6986,1286l6986,1346m6524,1286l6524,1346m6074,1286l6074,1346m5612,1286l5612,1346m5150,1286l5150,1346m4700,1286l4700,1346m4238,1286l4238,1346m3788,1286l3788,1346m3326,1286l3326,1346m2865,1286l2865,1346m2414,1286l2414,1346m1953,1286l1953,1346m1502,1286l1502,1346e" filled="false" stroked="true" strokeweight=".580025pt" strokecolor="#989b9d">
              <v:path arrowok="t"/>
            </v:shape>
            <v:shape style="position:absolute;left:1722;top:362;width:6408;height:2446" coordorigin="1722,362" coordsize="6408,2446" path="m1722,1734l2183,362,2645,2581,3095,2808,3557,982,4008,2676,4469,1292,4931,1722,5381,1412,5843,2354,6293,1949,6755,1173,7217,744,7667,2032,8129,2116e" filled="false" stroked="true" strokeweight="1.184484pt" strokecolor="#5c5d5f">
              <v:path arrowok="t"/>
            </v:shape>
            <v:shape style="position:absolute;left:1688;top:1698;width:79;height:84" coordorigin="1688,1698" coordsize="79,84" path="m1727,1782l1688,1740,1727,1698,1767,1740,1727,1782xe" filled="true" fillcolor="#5c5d5f" stroked="false">
              <v:path arrowok="t"/>
              <v:fill type="solid"/>
            </v:shape>
            <v:shape style="position:absolute;left:1682;top:1692;width:91;height:96" coordorigin="1682,1692" coordsize="91,96" path="m1727,1698l1727,1692,1727,1698,1767,1740,1772,1740,1767,1740,1727,1782,1727,1788,1727,1782,1688,1740,1682,1740,1688,1740,1727,1698xe" filled="false" stroked="true" strokeweight=".579617pt" strokecolor="#5c5d5f">
              <v:path arrowok="t"/>
            </v:shape>
            <v:shape style="position:absolute;left:2138;top:314;width:102;height:107" type="#_x0000_t75" stroked="false">
              <v:imagedata r:id="rId55" o:title=""/>
            </v:shape>
            <v:shape style="position:absolute;left:2589;top:2521;width:102;height:107" type="#_x0000_t75" stroked="false">
              <v:imagedata r:id="rId56" o:title=""/>
            </v:shape>
            <v:shape style="position:absolute;left:3050;top:2748;width:102;height:107" type="#_x0000_t75" stroked="false">
              <v:imagedata r:id="rId57" o:title=""/>
            </v:shape>
            <v:shape style="position:absolute;left:3501;top:935;width:102;height:107" type="#_x0000_t75" stroked="false">
              <v:imagedata r:id="rId58" o:title=""/>
            </v:shape>
            <v:shape style="position:absolute;left:3962;top:2617;width:102;height:107" type="#_x0000_t75" stroked="false">
              <v:imagedata r:id="rId59" o:title=""/>
            </v:shape>
            <v:shape style="position:absolute;left:4424;top:1233;width:102;height:107" type="#_x0000_t75" stroked="false">
              <v:imagedata r:id="rId60" o:title=""/>
            </v:shape>
            <v:shape style="position:absolute;left:4874;top:1662;width:102;height:107" type="#_x0000_t75" stroked="false">
              <v:imagedata r:id="rId61" o:title=""/>
            </v:shape>
            <v:shape style="position:absolute;left:5336;top:1352;width:102;height:107" type="#_x0000_t75" stroked="false">
              <v:imagedata r:id="rId62" o:title=""/>
            </v:shape>
            <v:shape style="position:absolute;left:5787;top:2307;width:102;height:107" type="#_x0000_t75" stroked="false">
              <v:imagedata r:id="rId63" o:title=""/>
            </v:shape>
            <v:shape style="position:absolute;left:6248;top:1889;width:102;height:107" type="#_x0000_t75" stroked="false">
              <v:imagedata r:id="rId64" o:title=""/>
            </v:shape>
            <v:shape style="position:absolute;left:6710;top:1126;width:102;height:107" type="#_x0000_t75" stroked="false">
              <v:imagedata r:id="rId65" o:title=""/>
            </v:shape>
            <v:shape style="position:absolute;left:7160;top:696;width:102;height:107" type="#_x0000_t75" stroked="false">
              <v:imagedata r:id="rId66" o:title=""/>
            </v:shape>
            <v:shape style="position:absolute;left:7622;top:1985;width:102;height:107" type="#_x0000_t75" stroked="false">
              <v:imagedata r:id="rId67" o:title=""/>
            </v:shape>
            <v:shape style="position:absolute;left:8072;top:2056;width:102;height:107" type="#_x0000_t75" stroked="false">
              <v:imagedata r:id="rId68" o:title=""/>
            </v:shape>
            <v:shape style="position:absolute;left:1399;top:1463;width:360;height:330" coordorigin="1399,1463" coordsize="360,330" path="m1726,1544l1723,1544,1722,1543,1655,1472,1655,1472,1654,1471,1655,1471,1655,1470,1655,1469,1656,1468,1657,1466,1659,1465,1660,1464,1661,1463,1664,1463,1725,1528,1741,1528,1727,1543,1726,1544xm1741,1528l1725,1528,1751,1500,1753,1500,1754,1501,1755,1501,1756,1502,1757,1502,1757,1504,1758,1505,1759,1506,1759,1506,1759,1507,1759,1508,1759,1509,1741,1528xm1654,1621l1652,1621,1651,1620,1651,1618,1608,1522,1608,1522,1608,1521,1608,1520,1609,1519,1609,1519,1610,1516,1611,1515,1613,1513,1614,1512,1616,1510,1617,1510,1618,1509,1620,1509,1652,1526,1622,1526,1645,1575,1660,1575,1650,1586,1661,1610,1661,1610,1661,1611,1661,1614,1659,1615,1659,1616,1657,1618,1656,1620,1654,1621xm1660,1575l1645,1575,1669,1549,1622,1526,1652,1526,1710,1555,1679,1555,1660,1575xm1535,1614l1532,1614,1531,1613,1530,1611,1529,1610,1528,1610,1528,1608,1527,1608,1527,1607,1527,1606,1527,1606,1577,1552,1579,1552,1580,1553,1581,1555,1582,1555,1582,1556,1583,1556,1584,1557,1584,1558,1585,1558,1585,1559,1585,1560,1585,1562,1565,1582,1574,1593,1555,1593,1535,1614xm1706,1566l1702,1566,1679,1555,1712,1555,1713,1556,1713,1557,1713,1558,1713,1558,1711,1560,1710,1562,1708,1564,1707,1564,1706,1566xm1618,1658l1617,1658,1555,1593,1574,1593,1626,1647,1626,1647,1626,1649,1626,1650,1625,1651,1624,1652,1624,1653,1622,1655,1621,1655,1620,1657,1619,1657,1618,1658xm1534,1737l1528,1735,1523,1735,1517,1733,1506,1726,1500,1722,1489,1710,1484,1704,1478,1691,1476,1686,1475,1673,1476,1667,1481,1654,1484,1649,1495,1637,1500,1633,1511,1629,1517,1628,1528,1629,1533,1630,1545,1637,1550,1642,1514,1642,1505,1645,1501,1647,1493,1657,1490,1660,1488,1669,1488,1674,1489,1683,1491,1688,1496,1696,1500,1701,1508,1709,1512,1712,1520,1718,1524,1720,1533,1723,1559,1723,1556,1726,1550,1731,1539,1735,1534,1737xm1559,1723l1533,1723,1545,1719,1549,1717,1557,1708,1560,1703,1562,1694,1563,1689,1561,1680,1559,1676,1554,1667,1550,1662,1547,1659,1543,1654,1539,1651,1530,1645,1518,1642,1550,1642,1556,1647,1562,1654,1566,1660,1573,1673,1574,1679,1576,1691,1575,1697,1570,1710,1566,1716,1559,1723xm1451,1688l1450,1688,1450,1687,1451,1688xm1407,1749l1406,1749,1405,1748,1405,1748,1404,1747,1403,1747,1402,1746,1401,1745,1400,1744,1400,1742,1399,1741,1400,1740,1400,1740,1449,1688,1452,1688,1454,1689,1454,1689,1456,1691,1456,1691,1457,1693,1458,1695,1458,1696,1457,1696,1437,1717,1447,1727,1428,1727,1408,1748,1407,1749xm1492,1792l1489,1792,1428,1727,1447,1727,1499,1782,1499,1783,1499,1783,1499,1784,1498,1785,1498,1785,1497,1788,1496,1788,1494,1790,1494,1791,1492,1791,1492,1792xe" filled="true" fillcolor="#231f20" stroked="false">
              <v:path arrowok="t"/>
              <v:fill type="solid"/>
            </v:shape>
            <v:shape style="position:absolute;left:1837;top:1466;width:376;height:347" type="#_x0000_t75" stroked="false">
              <v:imagedata r:id="rId69" o:title=""/>
            </v:shape>
            <v:shape style="position:absolute;left:1914;top:1466;width:747;height:774" type="#_x0000_t75" stroked="false">
              <v:imagedata r:id="rId70" o:title=""/>
            </v:shape>
            <v:shape style="position:absolute;left:2867;top:1434;width:260;height:281" type="#_x0000_t75" stroked="false">
              <v:imagedata r:id="rId71" o:title=""/>
            </v:shape>
            <v:shape style="position:absolute;left:2981;top:1453;width:1047;height:600" type="#_x0000_t75" stroked="false">
              <v:imagedata r:id="rId72" o:title=""/>
            </v:shape>
            <v:shape style="position:absolute;left:4146;top:1467;width:352;height:345" type="#_x0000_t75" stroked="false">
              <v:imagedata r:id="rId73" o:title=""/>
            </v:shape>
            <v:shape style="position:absolute;left:4730;top:1458;width:233;height:221" type="#_x0000_t75" stroked="false">
              <v:imagedata r:id="rId74" o:title=""/>
            </v:shape>
            <v:shape style="position:absolute;left:5064;top:1469;width:348;height:341" type="#_x0000_t75" stroked="false">
              <v:imagedata r:id="rId75" o:title=""/>
            </v:shape>
            <v:shape style="position:absolute;left:5468;top:1458;width:402;height:407" type="#_x0000_t75" stroked="false">
              <v:imagedata r:id="rId76" o:title=""/>
            </v:shape>
            <v:shape style="position:absolute;left:6107;top:1460;width:219;height:213" type="#_x0000_t75" stroked="false">
              <v:imagedata r:id="rId77" o:title=""/>
            </v:shape>
            <v:shape style="position:absolute;left:6104;top:1441;width:677;height:724" type="#_x0000_t75" stroked="false">
              <v:imagedata r:id="rId78" o:title=""/>
            </v:shape>
            <v:shape style="position:absolute;left:6884;top:1465;width:358;height:353" type="#_x0000_t75" stroked="false">
              <v:imagedata r:id="rId79" o:title=""/>
            </v:shape>
            <v:shape style="position:absolute;left:7391;top:1433;width:294;height:332" type="#_x0000_t75" stroked="false">
              <v:imagedata r:id="rId80" o:title=""/>
            </v:shape>
            <v:shape style="position:absolute;left:7631;top:1441;width:521;height:555" type="#_x0000_t75" stroked="false">
              <v:imagedata r:id="rId81" o:title=""/>
            </v:shape>
            <w10:wrap type="none"/>
          </v:group>
        </w:pict>
      </w:r>
      <w:r>
        <w:rPr>
          <w:rFonts w:ascii="Calibri"/>
          <w:color w:val="231F20"/>
          <w:sz w:val="15"/>
        </w:rPr>
        <w:t>10.0</w:t>
      </w:r>
    </w:p>
    <w:p>
      <w:pPr>
        <w:pStyle w:val="BodyText"/>
        <w:spacing w:before="6"/>
        <w:rPr>
          <w:rFonts w:ascii="Calibri"/>
          <w:sz w:val="25"/>
        </w:rPr>
      </w:pPr>
    </w:p>
    <w:p>
      <w:pPr>
        <w:spacing w:before="71"/>
        <w:ind w:left="688" w:right="0" w:firstLine="0"/>
        <w:jc w:val="left"/>
        <w:rPr>
          <w:rFonts w:ascii="Calibri"/>
          <w:sz w:val="15"/>
        </w:rPr>
      </w:pPr>
      <w:r>
        <w:rPr>
          <w:rFonts w:ascii="Calibri"/>
          <w:color w:val="231F20"/>
          <w:sz w:val="15"/>
        </w:rPr>
        <w:t>5.0</w:t>
      </w:r>
    </w:p>
    <w:p>
      <w:pPr>
        <w:pStyle w:val="BodyText"/>
        <w:spacing w:before="6"/>
        <w:rPr>
          <w:rFonts w:ascii="Calibri"/>
          <w:sz w:val="25"/>
        </w:rPr>
      </w:pPr>
    </w:p>
    <w:p>
      <w:pPr>
        <w:spacing w:before="71"/>
        <w:ind w:left="688" w:right="0" w:firstLine="0"/>
        <w:jc w:val="left"/>
        <w:rPr>
          <w:rFonts w:ascii="Calibri"/>
          <w:sz w:val="15"/>
        </w:rPr>
      </w:pPr>
      <w:r>
        <w:rPr>
          <w:rFonts w:ascii="Calibri"/>
          <w:color w:val="231F20"/>
          <w:sz w:val="15"/>
        </w:rPr>
        <w:t>0.0</w:t>
      </w:r>
    </w:p>
    <w:p>
      <w:pPr>
        <w:pStyle w:val="BodyText"/>
        <w:spacing w:before="6"/>
        <w:rPr>
          <w:rFonts w:ascii="Calibri"/>
          <w:sz w:val="25"/>
        </w:rPr>
      </w:pPr>
    </w:p>
    <w:p>
      <w:pPr>
        <w:spacing w:before="71"/>
        <w:ind w:left="642" w:right="0" w:firstLine="0"/>
        <w:jc w:val="left"/>
        <w:rPr>
          <w:rFonts w:ascii="Calibri"/>
          <w:sz w:val="15"/>
        </w:rPr>
      </w:pPr>
      <w:r>
        <w:rPr>
          <w:rFonts w:ascii="Calibri"/>
          <w:color w:val="231F20"/>
          <w:sz w:val="15"/>
        </w:rPr>
        <w:t>-5.0</w:t>
      </w:r>
    </w:p>
    <w:p>
      <w:pPr>
        <w:pStyle w:val="BodyText"/>
        <w:spacing w:before="6"/>
        <w:rPr>
          <w:rFonts w:ascii="Calibri"/>
          <w:sz w:val="25"/>
        </w:rPr>
      </w:pPr>
    </w:p>
    <w:p>
      <w:pPr>
        <w:spacing w:before="71"/>
        <w:ind w:left="566" w:right="0" w:firstLine="0"/>
        <w:jc w:val="left"/>
        <w:rPr>
          <w:rFonts w:ascii="Calibri"/>
          <w:sz w:val="15"/>
        </w:rPr>
      </w:pPr>
      <w:r>
        <w:rPr>
          <w:rFonts w:ascii="Calibri"/>
          <w:color w:val="231F20"/>
          <w:sz w:val="15"/>
        </w:rPr>
        <w:t>-10.0</w:t>
      </w:r>
    </w:p>
    <w:p>
      <w:pPr>
        <w:pStyle w:val="BodyText"/>
        <w:spacing w:before="6"/>
        <w:rPr>
          <w:rFonts w:ascii="Calibri"/>
          <w:sz w:val="25"/>
        </w:rPr>
      </w:pPr>
    </w:p>
    <w:p>
      <w:pPr>
        <w:spacing w:before="71"/>
        <w:ind w:left="566" w:right="0" w:firstLine="0"/>
        <w:jc w:val="left"/>
        <w:rPr>
          <w:rFonts w:ascii="Calibri"/>
          <w:sz w:val="15"/>
        </w:rPr>
      </w:pPr>
      <w:r>
        <w:rPr>
          <w:rFonts w:ascii="Calibri"/>
          <w:color w:val="231F20"/>
          <w:sz w:val="15"/>
        </w:rPr>
        <w:t>-15.0</w:t>
      </w:r>
    </w:p>
    <w:p>
      <w:pPr>
        <w:pStyle w:val="BodyText"/>
        <w:spacing w:before="5"/>
        <w:rPr>
          <w:rFonts w:ascii="Calibri"/>
          <w:sz w:val="9"/>
        </w:rPr>
      </w:pPr>
    </w:p>
    <w:p>
      <w:pPr>
        <w:spacing w:before="41"/>
        <w:ind w:left="653" w:right="0" w:firstLine="0"/>
        <w:jc w:val="both"/>
        <w:rPr>
          <w:sz w:val="19"/>
        </w:rPr>
      </w:pPr>
      <w:r>
        <w:rPr>
          <w:rFonts w:ascii="Palatino Linotype" w:hAnsi="Palatino Linotype"/>
          <w:i/>
          <w:color w:val="231F20"/>
          <w:sz w:val="19"/>
        </w:rPr>
        <w:t>Fuente: </w:t>
      </w:r>
      <w:r>
        <w:rPr>
          <w:color w:val="231F20"/>
          <w:sz w:val="19"/>
        </w:rPr>
        <w:t>Elaboración propia con datos de OICA (2009).</w:t>
      </w:r>
    </w:p>
    <w:p>
      <w:pPr>
        <w:pStyle w:val="BodyText"/>
        <w:rPr>
          <w:sz w:val="22"/>
        </w:rPr>
      </w:pPr>
    </w:p>
    <w:p>
      <w:pPr>
        <w:pStyle w:val="BodyText"/>
        <w:spacing w:line="278" w:lineRule="auto" w:before="1"/>
        <w:ind w:left="653" w:right="141"/>
        <w:jc w:val="both"/>
      </w:pPr>
      <w:r>
        <w:rPr>
          <w:color w:val="231F20"/>
        </w:rPr>
        <w:t>De</w:t>
      </w:r>
      <w:r>
        <w:rPr>
          <w:color w:val="231F20"/>
          <w:spacing w:val="-8"/>
        </w:rPr>
        <w:t> </w:t>
      </w:r>
      <w:r>
        <w:rPr>
          <w:color w:val="231F20"/>
        </w:rPr>
        <w:t>esta</w:t>
      </w:r>
      <w:r>
        <w:rPr>
          <w:color w:val="231F20"/>
          <w:spacing w:val="-8"/>
        </w:rPr>
        <w:t> </w:t>
      </w:r>
      <w:r>
        <w:rPr>
          <w:color w:val="231F20"/>
        </w:rPr>
        <w:t>forma,</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mediados</w:t>
      </w:r>
      <w:r>
        <w:rPr>
          <w:color w:val="231F20"/>
          <w:spacing w:val="-8"/>
        </w:rPr>
        <w:t> </w:t>
      </w:r>
      <w:r>
        <w:rPr>
          <w:color w:val="231F20"/>
        </w:rPr>
        <w:t>de</w:t>
      </w:r>
      <w:r>
        <w:rPr>
          <w:color w:val="231F20"/>
          <w:spacing w:val="-8"/>
        </w:rPr>
        <w:t> </w:t>
      </w:r>
      <w:r>
        <w:rPr>
          <w:color w:val="231F20"/>
        </w:rPr>
        <w:t>2008</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automotriz</w:t>
      </w:r>
      <w:r>
        <w:rPr>
          <w:color w:val="231F20"/>
          <w:spacing w:val="-8"/>
        </w:rPr>
        <w:t> </w:t>
      </w:r>
      <w:r>
        <w:rPr>
          <w:color w:val="231F20"/>
        </w:rPr>
        <w:t>inició</w:t>
      </w:r>
      <w:r>
        <w:rPr>
          <w:color w:val="231F20"/>
          <w:spacing w:val="-8"/>
        </w:rPr>
        <w:t> </w:t>
      </w:r>
      <w:r>
        <w:rPr>
          <w:color w:val="231F20"/>
        </w:rPr>
        <w:t>el</w:t>
      </w:r>
      <w:r>
        <w:rPr>
          <w:color w:val="231F20"/>
          <w:spacing w:val="-8"/>
        </w:rPr>
        <w:t> </w:t>
      </w:r>
      <w:r>
        <w:rPr>
          <w:color w:val="231F20"/>
        </w:rPr>
        <w:t>paso</w:t>
      </w:r>
      <w:r>
        <w:rPr>
          <w:color w:val="231F20"/>
          <w:spacing w:val="-8"/>
        </w:rPr>
        <w:t> </w:t>
      </w:r>
      <w:r>
        <w:rPr>
          <w:color w:val="231F20"/>
        </w:rPr>
        <w:t>por</w:t>
      </w:r>
      <w:r>
        <w:rPr>
          <w:color w:val="231F20"/>
          <w:spacing w:val="-8"/>
        </w:rPr>
        <w:t> </w:t>
      </w:r>
      <w:r>
        <w:rPr>
          <w:color w:val="231F20"/>
        </w:rPr>
        <w:t>una de</w:t>
      </w:r>
      <w:r>
        <w:rPr>
          <w:color w:val="231F20"/>
          <w:spacing w:val="-10"/>
        </w:rPr>
        <w:t> </w:t>
      </w:r>
      <w:r>
        <w:rPr>
          <w:color w:val="231F20"/>
        </w:rPr>
        <w:t>las</w:t>
      </w:r>
      <w:r>
        <w:rPr>
          <w:color w:val="231F20"/>
          <w:spacing w:val="-10"/>
        </w:rPr>
        <w:t> </w:t>
      </w:r>
      <w:r>
        <w:rPr>
          <w:color w:val="231F20"/>
        </w:rPr>
        <w:t>crisis</w:t>
      </w:r>
      <w:r>
        <w:rPr>
          <w:color w:val="231F20"/>
          <w:spacing w:val="-10"/>
        </w:rPr>
        <w:t> </w:t>
      </w:r>
      <w:r>
        <w:rPr>
          <w:color w:val="231F20"/>
        </w:rPr>
        <w:t>más</w:t>
      </w:r>
      <w:r>
        <w:rPr>
          <w:color w:val="231F20"/>
          <w:spacing w:val="-10"/>
        </w:rPr>
        <w:t> </w:t>
      </w:r>
      <w:r>
        <w:rPr>
          <w:color w:val="231F20"/>
        </w:rPr>
        <w:t>severas</w:t>
      </w:r>
      <w:r>
        <w:rPr>
          <w:color w:val="231F20"/>
          <w:spacing w:val="-10"/>
        </w:rPr>
        <w:t> </w:t>
      </w:r>
      <w:r>
        <w:rPr>
          <w:color w:val="231F20"/>
        </w:rPr>
        <w:t>de</w:t>
      </w:r>
      <w:r>
        <w:rPr>
          <w:color w:val="231F20"/>
          <w:spacing w:val="-10"/>
        </w:rPr>
        <w:t> </w:t>
      </w:r>
      <w:r>
        <w:rPr>
          <w:color w:val="231F20"/>
        </w:rPr>
        <w:t>su</w:t>
      </w:r>
      <w:r>
        <w:rPr>
          <w:color w:val="231F20"/>
          <w:spacing w:val="-10"/>
        </w:rPr>
        <w:t> </w:t>
      </w:r>
      <w:r>
        <w:rPr>
          <w:color w:val="231F20"/>
        </w:rPr>
        <w:t>historia,</w:t>
      </w:r>
      <w:r>
        <w:rPr>
          <w:color w:val="231F20"/>
          <w:spacing w:val="-10"/>
        </w:rPr>
        <w:t> </w:t>
      </w:r>
      <w:r>
        <w:rPr>
          <w:color w:val="231F20"/>
        </w:rPr>
        <w:t>la</w:t>
      </w:r>
      <w:r>
        <w:rPr>
          <w:color w:val="231F20"/>
          <w:spacing w:val="-10"/>
        </w:rPr>
        <w:t> </w:t>
      </w:r>
      <w:r>
        <w:rPr>
          <w:color w:val="231F20"/>
        </w:rPr>
        <w:t>que</w:t>
      </w:r>
      <w:r>
        <w:rPr>
          <w:color w:val="231F20"/>
          <w:spacing w:val="-10"/>
        </w:rPr>
        <w:t> </w:t>
      </w:r>
      <w:r>
        <w:rPr>
          <w:color w:val="231F20"/>
        </w:rPr>
        <w:t>parece</w:t>
      </w:r>
      <w:r>
        <w:rPr>
          <w:color w:val="231F20"/>
          <w:spacing w:val="-10"/>
        </w:rPr>
        <w:t> </w:t>
      </w:r>
      <w:r>
        <w:rPr>
          <w:color w:val="231F20"/>
        </w:rPr>
        <w:t>se</w:t>
      </w:r>
      <w:r>
        <w:rPr>
          <w:color w:val="231F20"/>
          <w:spacing w:val="-10"/>
        </w:rPr>
        <w:t> </w:t>
      </w:r>
      <w:r>
        <w:rPr>
          <w:color w:val="231F20"/>
        </w:rPr>
        <w:t>originó</w:t>
      </w:r>
      <w:r>
        <w:rPr>
          <w:color w:val="231F20"/>
          <w:spacing w:val="-10"/>
        </w:rPr>
        <w:t> </w:t>
      </w:r>
      <w:r>
        <w:rPr>
          <w:color w:val="231F20"/>
        </w:rPr>
        <w:t>con</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económica mundial iniciada en ese </w:t>
      </w:r>
      <w:r>
        <w:rPr>
          <w:color w:val="231F20"/>
          <w:spacing w:val="-3"/>
        </w:rPr>
        <w:t>año, </w:t>
      </w:r>
      <w:r>
        <w:rPr>
          <w:color w:val="231F20"/>
        </w:rPr>
        <w:t>y que sin duda generó importantes efectos negativos en la industria automotriz mundial; sin embargo, como se verá a lo largo de este </w:t>
      </w:r>
      <w:r>
        <w:rPr>
          <w:color w:val="231F20"/>
          <w:spacing w:val="-3"/>
        </w:rPr>
        <w:t>apar- </w:t>
      </w:r>
      <w:r>
        <w:rPr>
          <w:color w:val="231F20"/>
        </w:rPr>
        <w:t>tado, lo que provocó la crisis económica fue acelerar y evidenciar los problemas que las armadoras ya venían padeciendo desde tiempo atrás, en especial las tres grandes norteamericanas.</w:t>
      </w:r>
    </w:p>
    <w:p>
      <w:pPr>
        <w:pStyle w:val="BodyText"/>
        <w:spacing w:line="278" w:lineRule="auto" w:before="1"/>
        <w:ind w:left="653" w:right="141" w:firstLine="396"/>
        <w:jc w:val="both"/>
      </w:pPr>
      <w:r>
        <w:rPr>
          <w:color w:val="231F20"/>
        </w:rPr>
        <w:t>Los</w:t>
      </w:r>
      <w:r>
        <w:rPr>
          <w:color w:val="231F20"/>
          <w:spacing w:val="-10"/>
        </w:rPr>
        <w:t> </w:t>
      </w:r>
      <w:r>
        <w:rPr>
          <w:color w:val="231F20"/>
        </w:rPr>
        <w:t>datos</w:t>
      </w:r>
      <w:r>
        <w:rPr>
          <w:color w:val="231F20"/>
          <w:spacing w:val="-10"/>
        </w:rPr>
        <w:t> </w:t>
      </w:r>
      <w:r>
        <w:rPr>
          <w:color w:val="231F20"/>
        </w:rPr>
        <w:t>muestran</w:t>
      </w:r>
      <w:r>
        <w:rPr>
          <w:color w:val="231F20"/>
          <w:spacing w:val="-10"/>
        </w:rPr>
        <w:t> </w:t>
      </w:r>
      <w:r>
        <w:rPr>
          <w:color w:val="231F20"/>
        </w:rPr>
        <w:t>que</w:t>
      </w:r>
      <w:r>
        <w:rPr>
          <w:color w:val="231F20"/>
          <w:spacing w:val="-10"/>
        </w:rPr>
        <w:t> </w:t>
      </w:r>
      <w:r>
        <w:rPr>
          <w:color w:val="231F20"/>
        </w:rPr>
        <w:t>los</w:t>
      </w:r>
      <w:r>
        <w:rPr>
          <w:color w:val="231F20"/>
          <w:spacing w:val="-10"/>
        </w:rPr>
        <w:t> </w:t>
      </w:r>
      <w:r>
        <w:rPr>
          <w:color w:val="231F20"/>
        </w:rPr>
        <w:t>efectos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no</w:t>
      </w:r>
      <w:r>
        <w:rPr>
          <w:color w:val="231F20"/>
          <w:spacing w:val="-10"/>
        </w:rPr>
        <w:t> </w:t>
      </w:r>
      <w:r>
        <w:rPr>
          <w:color w:val="231F20"/>
        </w:rPr>
        <w:t>fueron</w:t>
      </w:r>
      <w:r>
        <w:rPr>
          <w:color w:val="231F20"/>
          <w:spacing w:val="-10"/>
        </w:rPr>
        <w:t> </w:t>
      </w:r>
      <w:r>
        <w:rPr>
          <w:color w:val="231F20"/>
        </w:rPr>
        <w:t>los</w:t>
      </w:r>
      <w:r>
        <w:rPr>
          <w:color w:val="231F20"/>
          <w:spacing w:val="-10"/>
        </w:rPr>
        <w:t> </w:t>
      </w:r>
      <w:r>
        <w:rPr>
          <w:color w:val="231F20"/>
        </w:rPr>
        <w:t>mismos,</w:t>
      </w:r>
      <w:r>
        <w:rPr>
          <w:color w:val="231F20"/>
          <w:spacing w:val="-10"/>
        </w:rPr>
        <w:t> </w:t>
      </w:r>
      <w:r>
        <w:rPr>
          <w:color w:val="231F20"/>
        </w:rPr>
        <w:t>ni</w:t>
      </w:r>
      <w:r>
        <w:rPr>
          <w:color w:val="231F20"/>
          <w:spacing w:val="-10"/>
        </w:rPr>
        <w:t> </w:t>
      </w:r>
      <w:r>
        <w:rPr>
          <w:color w:val="231F20"/>
        </w:rPr>
        <w:t>se</w:t>
      </w:r>
      <w:r>
        <w:rPr>
          <w:color w:val="231F20"/>
          <w:spacing w:val="-10"/>
        </w:rPr>
        <w:t> </w:t>
      </w:r>
      <w:r>
        <w:rPr>
          <w:color w:val="231F20"/>
        </w:rPr>
        <w:t>dejaron sentir con la misma intensidad en las diferentes firmas automotrices. Algunas resulta- ron</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afectadas</w:t>
      </w:r>
      <w:r>
        <w:rPr>
          <w:color w:val="231F20"/>
          <w:spacing w:val="-5"/>
        </w:rPr>
        <w:t> </w:t>
      </w:r>
      <w:r>
        <w:rPr>
          <w:color w:val="231F20"/>
        </w:rPr>
        <w:t>que</w:t>
      </w:r>
      <w:r>
        <w:rPr>
          <w:color w:val="231F20"/>
          <w:spacing w:val="-5"/>
        </w:rPr>
        <w:t> </w:t>
      </w:r>
      <w:r>
        <w:rPr>
          <w:color w:val="231F20"/>
        </w:rPr>
        <w:t>otras,</w:t>
      </w:r>
      <w:r>
        <w:rPr>
          <w:color w:val="231F20"/>
          <w:spacing w:val="-5"/>
        </w:rPr>
        <w:t> </w:t>
      </w:r>
      <w:r>
        <w:rPr>
          <w:color w:val="231F20"/>
        </w:rPr>
        <w:t>como</w:t>
      </w:r>
      <w:r>
        <w:rPr>
          <w:color w:val="231F20"/>
          <w:spacing w:val="-5"/>
        </w:rPr>
        <w:t> </w:t>
      </w:r>
      <w:r>
        <w:rPr>
          <w:color w:val="231F20"/>
        </w:rPr>
        <w:t>Chrysler,</w:t>
      </w:r>
      <w:r>
        <w:rPr>
          <w:color w:val="231F20"/>
          <w:spacing w:val="-5"/>
        </w:rPr>
        <w:t> </w:t>
      </w:r>
      <w:r>
        <w:rPr>
          <w:color w:val="231F20"/>
          <w:spacing w:val="-3"/>
        </w:rPr>
        <w:t>Ford</w:t>
      </w:r>
      <w:r>
        <w:rPr>
          <w:color w:val="231F20"/>
          <w:spacing w:val="-5"/>
        </w:rPr>
        <w:t> </w:t>
      </w:r>
      <w:r>
        <w:rPr>
          <w:color w:val="231F20"/>
        </w:rPr>
        <w:t>y</w:t>
      </w:r>
      <w:r>
        <w:rPr>
          <w:color w:val="231F20"/>
          <w:spacing w:val="-5"/>
        </w:rPr>
        <w:t> </w:t>
      </w:r>
      <w:r>
        <w:rPr>
          <w:color w:val="231F20"/>
        </w:rPr>
        <w:t>General</w:t>
      </w:r>
      <w:r>
        <w:rPr>
          <w:color w:val="231F20"/>
          <w:spacing w:val="-5"/>
        </w:rPr>
        <w:t> </w:t>
      </w:r>
      <w:r>
        <w:rPr>
          <w:color w:val="231F20"/>
          <w:spacing w:val="-3"/>
        </w:rPr>
        <w:t>Motors,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de- clararon</w:t>
      </w:r>
      <w:r>
        <w:rPr>
          <w:color w:val="231F20"/>
          <w:spacing w:val="-6"/>
        </w:rPr>
        <w:t> </w:t>
      </w:r>
      <w:r>
        <w:rPr>
          <w:color w:val="231F20"/>
        </w:rPr>
        <w:t>en</w:t>
      </w:r>
      <w:r>
        <w:rPr>
          <w:color w:val="231F20"/>
          <w:spacing w:val="-6"/>
        </w:rPr>
        <w:t> </w:t>
      </w:r>
      <w:r>
        <w:rPr>
          <w:color w:val="231F20"/>
        </w:rPr>
        <w:t>quiebra,</w:t>
      </w:r>
      <w:r>
        <w:rPr>
          <w:color w:val="231F20"/>
          <w:spacing w:val="-6"/>
        </w:rPr>
        <w:t> </w:t>
      </w:r>
      <w:r>
        <w:rPr>
          <w:color w:val="231F20"/>
        </w:rPr>
        <w:t>se</w:t>
      </w:r>
      <w:r>
        <w:rPr>
          <w:color w:val="231F20"/>
          <w:spacing w:val="-6"/>
        </w:rPr>
        <w:t> </w:t>
      </w:r>
      <w:r>
        <w:rPr>
          <w:color w:val="231F20"/>
        </w:rPr>
        <w:t>reestructuraron</w:t>
      </w:r>
      <w:r>
        <w:rPr>
          <w:color w:val="231F20"/>
          <w:spacing w:val="-6"/>
        </w:rPr>
        <w:t> </w:t>
      </w:r>
      <w:r>
        <w:rPr>
          <w:color w:val="231F20"/>
        </w:rPr>
        <w:t>o</w:t>
      </w:r>
      <w:r>
        <w:rPr>
          <w:color w:val="231F20"/>
          <w:spacing w:val="-6"/>
        </w:rPr>
        <w:t> </w:t>
      </w:r>
      <w:r>
        <w:rPr>
          <w:color w:val="231F20"/>
        </w:rPr>
        <w:t>hasta</w:t>
      </w:r>
      <w:r>
        <w:rPr>
          <w:color w:val="231F20"/>
          <w:spacing w:val="-6"/>
        </w:rPr>
        <w:t> </w:t>
      </w:r>
      <w:r>
        <w:rPr>
          <w:color w:val="231F20"/>
        </w:rPr>
        <w:t>cambiaron</w:t>
      </w:r>
      <w:r>
        <w:rPr>
          <w:color w:val="231F20"/>
          <w:spacing w:val="-6"/>
        </w:rPr>
        <w:t> </w:t>
      </w:r>
      <w:r>
        <w:rPr>
          <w:color w:val="231F20"/>
        </w:rPr>
        <w:t>de</w:t>
      </w:r>
      <w:r>
        <w:rPr>
          <w:color w:val="231F20"/>
          <w:spacing w:val="-6"/>
        </w:rPr>
        <w:t> </w:t>
      </w:r>
      <w:r>
        <w:rPr>
          <w:color w:val="231F20"/>
        </w:rPr>
        <w:t>dueño;</w:t>
      </w:r>
      <w:r>
        <w:rPr>
          <w:color w:val="231F20"/>
          <w:spacing w:val="-6"/>
        </w:rPr>
        <w:t> </w:t>
      </w:r>
      <w:r>
        <w:rPr>
          <w:color w:val="231F20"/>
        </w:rPr>
        <w:t>a</w:t>
      </w:r>
      <w:r>
        <w:rPr>
          <w:color w:val="231F20"/>
          <w:spacing w:val="-6"/>
        </w:rPr>
        <w:t> </w:t>
      </w:r>
      <w:r>
        <w:rPr>
          <w:color w:val="231F20"/>
        </w:rPr>
        <w:t>diferencia</w:t>
      </w:r>
      <w:r>
        <w:rPr>
          <w:color w:val="231F20"/>
          <w:spacing w:val="-6"/>
        </w:rPr>
        <w:t> </w:t>
      </w:r>
      <w:r>
        <w:rPr>
          <w:color w:val="231F20"/>
        </w:rPr>
        <w:t>de</w:t>
      </w:r>
      <w:r>
        <w:rPr>
          <w:color w:val="231F20"/>
          <w:spacing w:val="-6"/>
        </w:rPr>
        <w:t> </w:t>
      </w:r>
      <w:r>
        <w:rPr>
          <w:color w:val="231F20"/>
        </w:rPr>
        <w:t>las japonesas</w:t>
      </w:r>
      <w:r>
        <w:rPr>
          <w:color w:val="231F20"/>
          <w:spacing w:val="-10"/>
        </w:rPr>
        <w:t> </w:t>
      </w:r>
      <w:r>
        <w:rPr>
          <w:color w:val="231F20"/>
          <w:spacing w:val="-5"/>
        </w:rPr>
        <w:t>Toyota</w:t>
      </w:r>
      <w:r>
        <w:rPr>
          <w:color w:val="231F20"/>
          <w:spacing w:val="-10"/>
        </w:rPr>
        <w:t> </w:t>
      </w:r>
      <w:r>
        <w:rPr>
          <w:color w:val="231F20"/>
        </w:rPr>
        <w:t>y</w:t>
      </w:r>
      <w:r>
        <w:rPr>
          <w:color w:val="231F20"/>
          <w:spacing w:val="-10"/>
        </w:rPr>
        <w:t> </w:t>
      </w:r>
      <w:r>
        <w:rPr>
          <w:color w:val="231F20"/>
        </w:rPr>
        <w:t>Honda,</w:t>
      </w:r>
      <w:r>
        <w:rPr>
          <w:color w:val="231F20"/>
          <w:spacing w:val="-10"/>
        </w:rPr>
        <w:t> </w:t>
      </w:r>
      <w:r>
        <w:rPr>
          <w:color w:val="231F20"/>
        </w:rPr>
        <w:t>que</w:t>
      </w:r>
      <w:r>
        <w:rPr>
          <w:color w:val="231F20"/>
          <w:spacing w:val="-10"/>
        </w:rPr>
        <w:t> </w:t>
      </w:r>
      <w:r>
        <w:rPr>
          <w:color w:val="231F20"/>
        </w:rPr>
        <w:t>si</w:t>
      </w:r>
      <w:r>
        <w:rPr>
          <w:color w:val="231F20"/>
          <w:spacing w:val="-10"/>
        </w:rPr>
        <w:t> </w:t>
      </w:r>
      <w:r>
        <w:rPr>
          <w:color w:val="231F20"/>
        </w:rPr>
        <w:t>bien</w:t>
      </w:r>
      <w:r>
        <w:rPr>
          <w:color w:val="231F20"/>
          <w:spacing w:val="-10"/>
        </w:rPr>
        <w:t> </w:t>
      </w:r>
      <w:r>
        <w:rPr>
          <w:color w:val="231F20"/>
        </w:rPr>
        <w:t>padecieron</w:t>
      </w:r>
      <w:r>
        <w:rPr>
          <w:color w:val="231F20"/>
          <w:spacing w:val="-10"/>
        </w:rPr>
        <w:t> </w:t>
      </w:r>
      <w:r>
        <w:rPr>
          <w:color w:val="231F20"/>
        </w:rPr>
        <w:t>los</w:t>
      </w:r>
      <w:r>
        <w:rPr>
          <w:color w:val="231F20"/>
          <w:spacing w:val="-10"/>
        </w:rPr>
        <w:t> </w:t>
      </w:r>
      <w:r>
        <w:rPr>
          <w:color w:val="231F20"/>
        </w:rPr>
        <w:t>embates</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crisis</w:t>
      </w:r>
      <w:r>
        <w:rPr>
          <w:color w:val="231F20"/>
          <w:spacing w:val="-10"/>
        </w:rPr>
        <w:t> </w:t>
      </w:r>
      <w:r>
        <w:rPr>
          <w:color w:val="231F20"/>
        </w:rPr>
        <w:t>no</w:t>
      </w:r>
      <w:r>
        <w:rPr>
          <w:color w:val="231F20"/>
          <w:spacing w:val="-10"/>
        </w:rPr>
        <w:t> </w:t>
      </w:r>
      <w:r>
        <w:rPr>
          <w:color w:val="231F20"/>
        </w:rPr>
        <w:t>llegaron</w:t>
      </w:r>
      <w:r>
        <w:rPr>
          <w:color w:val="231F20"/>
          <w:spacing w:val="-10"/>
        </w:rPr>
        <w:t> </w:t>
      </w:r>
      <w:r>
        <w:rPr>
          <w:color w:val="231F20"/>
        </w:rPr>
        <w:t>a los extremos de las</w:t>
      </w:r>
      <w:r>
        <w:rPr>
          <w:color w:val="231F20"/>
          <w:spacing w:val="-19"/>
        </w:rPr>
        <w:t> </w:t>
      </w:r>
      <w:r>
        <w:rPr>
          <w:color w:val="231F20"/>
        </w:rPr>
        <w:t>norteamericanas.</w:t>
      </w:r>
    </w:p>
    <w:p>
      <w:pPr>
        <w:spacing w:after="0" w:line="278" w:lineRule="auto"/>
        <w:jc w:val="both"/>
        <w:sectPr>
          <w:pgSz w:w="9640" w:h="13040"/>
          <w:pgMar w:header="581" w:footer="654" w:top="780" w:bottom="840" w:left="480" w:right="1160"/>
        </w:sectPr>
      </w:pPr>
    </w:p>
    <w:p>
      <w:pPr>
        <w:pStyle w:val="BodyText"/>
        <w:rPr>
          <w:sz w:val="20"/>
        </w:rPr>
      </w:pPr>
    </w:p>
    <w:p>
      <w:pPr>
        <w:pStyle w:val="BodyText"/>
        <w:spacing w:before="10"/>
        <w:rPr>
          <w:sz w:val="17"/>
        </w:rPr>
      </w:pPr>
    </w:p>
    <w:p>
      <w:pPr>
        <w:pStyle w:val="BodyText"/>
        <w:spacing w:line="278" w:lineRule="auto"/>
        <w:ind w:left="103" w:right="651" w:firstLine="396"/>
        <w:jc w:val="both"/>
      </w:pPr>
      <w:r>
        <w:rPr>
          <w:color w:val="231F20"/>
        </w:rPr>
        <w:t>La situación para las tres grandes norteamericanas se complicó ante la fuerte caí- da de las ventas en el mercado norteamericano (principal consumidor de vehículos). Desde mediados de 2008 tuvieron que disminuir su producción, recurrir a paros téc- nicos, despedir a un considerable número de empleados y apelar al apoyo financiero del gobierno norteamericano a fin de enfrentar la crisis de la manera menos desven- tajosa posible.</w:t>
      </w:r>
    </w:p>
    <w:p>
      <w:pPr>
        <w:pStyle w:val="BodyText"/>
        <w:spacing w:line="278" w:lineRule="auto" w:before="1"/>
        <w:ind w:left="103" w:right="648" w:firstLine="396"/>
        <w:jc w:val="both"/>
      </w:pPr>
      <w:r>
        <w:rPr>
          <w:color w:val="231F20"/>
        </w:rPr>
        <w:t>General </w:t>
      </w:r>
      <w:r>
        <w:rPr>
          <w:color w:val="231F20"/>
          <w:spacing w:val="-3"/>
        </w:rPr>
        <w:t>Motors </w:t>
      </w:r>
      <w:r>
        <w:rPr>
          <w:color w:val="231F20"/>
        </w:rPr>
        <w:t>y Chrysler se declararon en quiebra a mediados de 2009. Como resultado,</w:t>
      </w:r>
      <w:r>
        <w:rPr>
          <w:color w:val="231F20"/>
          <w:spacing w:val="-12"/>
        </w:rPr>
        <w:t> </w:t>
      </w:r>
      <w:r>
        <w:rPr>
          <w:color w:val="231F20"/>
        </w:rPr>
        <w:t>60%</w:t>
      </w:r>
      <w:r>
        <w:rPr>
          <w:color w:val="231F20"/>
          <w:spacing w:val="-12"/>
        </w:rPr>
        <w:t> </w:t>
      </w:r>
      <w:r>
        <w:rPr>
          <w:color w:val="231F20"/>
        </w:rPr>
        <w:t>de</w:t>
      </w:r>
      <w:r>
        <w:rPr>
          <w:color w:val="231F20"/>
          <w:spacing w:val="-12"/>
        </w:rPr>
        <w:t> </w:t>
      </w:r>
      <w:r>
        <w:rPr>
          <w:color w:val="231F20"/>
        </w:rPr>
        <w:t>General</w:t>
      </w:r>
      <w:r>
        <w:rPr>
          <w:color w:val="231F20"/>
          <w:spacing w:val="-12"/>
        </w:rPr>
        <w:t> </w:t>
      </w:r>
      <w:r>
        <w:rPr>
          <w:color w:val="231F20"/>
          <w:spacing w:val="-3"/>
        </w:rPr>
        <w:t>Motors</w:t>
      </w:r>
      <w:r>
        <w:rPr>
          <w:color w:val="231F20"/>
          <w:spacing w:val="-12"/>
        </w:rPr>
        <w:t> </w:t>
      </w:r>
      <w:r>
        <w:rPr>
          <w:color w:val="231F20"/>
        </w:rPr>
        <w:t>ahora</w:t>
      </w:r>
      <w:r>
        <w:rPr>
          <w:color w:val="231F20"/>
          <w:spacing w:val="-12"/>
        </w:rPr>
        <w:t> </w:t>
      </w:r>
      <w:r>
        <w:rPr>
          <w:color w:val="231F20"/>
        </w:rPr>
        <w:t>es</w:t>
      </w:r>
      <w:r>
        <w:rPr>
          <w:color w:val="231F20"/>
          <w:spacing w:val="-12"/>
        </w:rPr>
        <w:t> </w:t>
      </w:r>
      <w:r>
        <w:rPr>
          <w:color w:val="231F20"/>
        </w:rPr>
        <w:t>propiedad</w:t>
      </w:r>
      <w:r>
        <w:rPr>
          <w:color w:val="231F20"/>
          <w:spacing w:val="-12"/>
        </w:rPr>
        <w:t> </w:t>
      </w:r>
      <w:r>
        <w:rPr>
          <w:color w:val="231F20"/>
        </w:rPr>
        <w:t>del</w:t>
      </w:r>
      <w:r>
        <w:rPr>
          <w:color w:val="231F20"/>
          <w:spacing w:val="-12"/>
        </w:rPr>
        <w:t> </w:t>
      </w:r>
      <w:r>
        <w:rPr>
          <w:color w:val="231F20"/>
        </w:rPr>
        <w:t>Estado</w:t>
      </w:r>
      <w:r>
        <w:rPr>
          <w:color w:val="231F20"/>
          <w:spacing w:val="-12"/>
        </w:rPr>
        <w:t> </w:t>
      </w:r>
      <w:r>
        <w:rPr>
          <w:color w:val="231F20"/>
        </w:rPr>
        <w:t>federal</w:t>
      </w:r>
      <w:r>
        <w:rPr>
          <w:color w:val="231F20"/>
          <w:spacing w:val="-12"/>
        </w:rPr>
        <w:t> </w:t>
      </w:r>
      <w:r>
        <w:rPr>
          <w:color w:val="231F20"/>
        </w:rPr>
        <w:t>estadouniden- se,</w:t>
      </w:r>
      <w:r>
        <w:rPr>
          <w:color w:val="231F20"/>
          <w:spacing w:val="-6"/>
        </w:rPr>
        <w:t> </w:t>
      </w:r>
      <w:r>
        <w:rPr>
          <w:color w:val="231F20"/>
        </w:rPr>
        <w:t>12%</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canadiense</w:t>
      </w:r>
      <w:r>
        <w:rPr>
          <w:color w:val="231F20"/>
          <w:spacing w:val="-6"/>
        </w:rPr>
        <w:t> </w:t>
      </w:r>
      <w:r>
        <w:rPr>
          <w:color w:val="231F20"/>
        </w:rPr>
        <w:t>y</w:t>
      </w:r>
      <w:r>
        <w:rPr>
          <w:color w:val="231F20"/>
          <w:spacing w:val="-6"/>
        </w:rPr>
        <w:t> </w:t>
      </w:r>
      <w:r>
        <w:rPr>
          <w:color w:val="231F20"/>
        </w:rPr>
        <w:t>la</w:t>
      </w:r>
      <w:r>
        <w:rPr>
          <w:color w:val="231F20"/>
          <w:spacing w:val="-6"/>
        </w:rPr>
        <w:t> </w:t>
      </w:r>
      <w:r>
        <w:rPr>
          <w:color w:val="231F20"/>
        </w:rPr>
        <w:t>provincia</w:t>
      </w:r>
      <w:r>
        <w:rPr>
          <w:color w:val="231F20"/>
          <w:spacing w:val="-6"/>
        </w:rPr>
        <w:t> </w:t>
      </w:r>
      <w:r>
        <w:rPr>
          <w:color w:val="231F20"/>
        </w:rPr>
        <w:t>de</w:t>
      </w:r>
      <w:r>
        <w:rPr>
          <w:color w:val="231F20"/>
          <w:spacing w:val="-6"/>
        </w:rPr>
        <w:t> </w:t>
      </w:r>
      <w:r>
        <w:rPr>
          <w:color w:val="231F20"/>
        </w:rPr>
        <w:t>Ontario</w:t>
      </w:r>
      <w:r>
        <w:rPr>
          <w:color w:val="231F20"/>
          <w:spacing w:val="-6"/>
        </w:rPr>
        <w:t> </w:t>
      </w:r>
      <w:r>
        <w:rPr>
          <w:color w:val="231F20"/>
        </w:rPr>
        <w:t>(donde</w:t>
      </w:r>
      <w:r>
        <w:rPr>
          <w:color w:val="231F20"/>
          <w:spacing w:val="-6"/>
        </w:rPr>
        <w:t> </w:t>
      </w:r>
      <w:r>
        <w:rPr>
          <w:color w:val="231F20"/>
        </w:rPr>
        <w:t>General</w:t>
      </w:r>
      <w:r>
        <w:rPr>
          <w:color w:val="231F20"/>
          <w:spacing w:val="-6"/>
        </w:rPr>
        <w:t> </w:t>
      </w:r>
      <w:r>
        <w:rPr>
          <w:color w:val="231F20"/>
          <w:spacing w:val="-3"/>
        </w:rPr>
        <w:t>Motors</w:t>
      </w:r>
      <w:r>
        <w:rPr>
          <w:color w:val="231F20"/>
          <w:spacing w:val="-6"/>
        </w:rPr>
        <w:t> </w:t>
      </w:r>
      <w:r>
        <w:rPr>
          <w:color w:val="231F20"/>
        </w:rPr>
        <w:t>posee numerosas fábricas), 17.5% del fondo de gestión sindical, encargado de financiar la cobertura</w:t>
      </w:r>
      <w:r>
        <w:rPr>
          <w:color w:val="231F20"/>
          <w:spacing w:val="-10"/>
        </w:rPr>
        <w:t> </w:t>
      </w:r>
      <w:r>
        <w:rPr>
          <w:color w:val="231F20"/>
        </w:rPr>
        <w:t>médica</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jubilados,</w:t>
      </w:r>
      <w:r>
        <w:rPr>
          <w:color w:val="231F20"/>
          <w:spacing w:val="-10"/>
        </w:rPr>
        <w:t> </w:t>
      </w:r>
      <w:r>
        <w:rPr>
          <w:color w:val="231F20"/>
        </w:rPr>
        <w:t>y</w:t>
      </w:r>
      <w:r>
        <w:rPr>
          <w:color w:val="231F20"/>
          <w:spacing w:val="-10"/>
        </w:rPr>
        <w:t> </w:t>
      </w:r>
      <w:r>
        <w:rPr>
          <w:color w:val="231F20"/>
        </w:rPr>
        <w:t>10%</w:t>
      </w:r>
      <w:r>
        <w:rPr>
          <w:color w:val="231F20"/>
          <w:spacing w:val="-10"/>
        </w:rPr>
        <w:t> </w:t>
      </w:r>
      <w:r>
        <w:rPr>
          <w:color w:val="231F20"/>
        </w:rPr>
        <w:t>quedó</w:t>
      </w:r>
      <w:r>
        <w:rPr>
          <w:color w:val="231F20"/>
          <w:spacing w:val="-10"/>
        </w:rPr>
        <w:t> </w:t>
      </w:r>
      <w:r>
        <w:rPr>
          <w:color w:val="231F20"/>
        </w:rPr>
        <w:t>en</w:t>
      </w:r>
      <w:r>
        <w:rPr>
          <w:color w:val="231F20"/>
          <w:spacing w:val="-10"/>
        </w:rPr>
        <w:t> </w:t>
      </w:r>
      <w:r>
        <w:rPr>
          <w:color w:val="231F20"/>
        </w:rPr>
        <w:t>manos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poseedores</w:t>
      </w:r>
      <w:r>
        <w:rPr>
          <w:color w:val="231F20"/>
          <w:spacing w:val="-10"/>
        </w:rPr>
        <w:t> </w:t>
      </w:r>
      <w:r>
        <w:rPr>
          <w:color w:val="231F20"/>
        </w:rPr>
        <w:t>de</w:t>
      </w:r>
      <w:r>
        <w:rPr>
          <w:color w:val="231F20"/>
          <w:spacing w:val="-10"/>
        </w:rPr>
        <w:t> </w:t>
      </w:r>
      <w:r>
        <w:rPr>
          <w:color w:val="231F20"/>
        </w:rPr>
        <w:t>obliga- ciones. Por su </w:t>
      </w:r>
      <w:r>
        <w:rPr>
          <w:color w:val="231F20"/>
          <w:spacing w:val="2"/>
        </w:rPr>
        <w:t>parte, Chrysler </w:t>
      </w:r>
      <w:r>
        <w:rPr>
          <w:color w:val="231F20"/>
        </w:rPr>
        <w:t>se fusionó con Fiat, empresa que inicialmente tomó el 20% </w:t>
      </w:r>
      <w:r>
        <w:rPr>
          <w:color w:val="010202"/>
        </w:rPr>
        <w:t>de </w:t>
      </w:r>
      <w:r>
        <w:rPr>
          <w:color w:val="010202"/>
          <w:spacing w:val="2"/>
        </w:rPr>
        <w:t>participación </w:t>
      </w:r>
      <w:r>
        <w:rPr>
          <w:color w:val="010202"/>
        </w:rPr>
        <w:t>de la Chrysler, porcentaje que aumentará gradualmente hasta llegar a una fusión total. Ford resultó la menos </w:t>
      </w:r>
      <w:r>
        <w:rPr>
          <w:color w:val="010202"/>
          <w:spacing w:val="2"/>
        </w:rPr>
        <w:t>afectada </w:t>
      </w:r>
      <w:r>
        <w:rPr>
          <w:color w:val="010202"/>
        </w:rPr>
        <w:t>de las tres </w:t>
      </w:r>
      <w:r>
        <w:rPr>
          <w:color w:val="010202"/>
          <w:spacing w:val="2"/>
        </w:rPr>
        <w:t>norteamericanas; </w:t>
      </w:r>
      <w:r>
        <w:rPr>
          <w:color w:val="010202"/>
        </w:rPr>
        <w:t>sin embargo, también </w:t>
      </w:r>
      <w:r>
        <w:rPr>
          <w:color w:val="010202"/>
          <w:spacing w:val="2"/>
        </w:rPr>
        <w:t>recurrió </w:t>
      </w:r>
      <w:r>
        <w:rPr>
          <w:color w:val="010202"/>
        </w:rPr>
        <w:t>a un plan de reestructuración para librar los </w:t>
      </w:r>
      <w:r>
        <w:rPr>
          <w:color w:val="010202"/>
          <w:spacing w:val="2"/>
        </w:rPr>
        <w:t>efectos   </w:t>
      </w:r>
      <w:r>
        <w:rPr>
          <w:color w:val="010202"/>
        </w:rPr>
        <w:t>de la</w:t>
      </w:r>
      <w:r>
        <w:rPr>
          <w:color w:val="010202"/>
          <w:spacing w:val="-10"/>
        </w:rPr>
        <w:t> </w:t>
      </w:r>
      <w:r>
        <w:rPr>
          <w:color w:val="010202"/>
          <w:spacing w:val="2"/>
        </w:rPr>
        <w:t>crisis.</w:t>
      </w:r>
    </w:p>
    <w:p>
      <w:pPr>
        <w:pStyle w:val="BodyText"/>
        <w:spacing w:line="278" w:lineRule="auto" w:before="1"/>
        <w:ind w:left="103" w:right="651" w:firstLine="396"/>
        <w:jc w:val="both"/>
      </w:pPr>
      <w:r>
        <w:rPr>
          <w:color w:val="231F20"/>
        </w:rPr>
        <w:t>¿Por</w:t>
      </w:r>
      <w:r>
        <w:rPr>
          <w:color w:val="231F20"/>
          <w:spacing w:val="-4"/>
        </w:rPr>
        <w:t> </w:t>
      </w:r>
      <w:r>
        <w:rPr>
          <w:color w:val="231F20"/>
        </w:rPr>
        <w:t>qué</w:t>
      </w:r>
      <w:r>
        <w:rPr>
          <w:color w:val="231F20"/>
          <w:spacing w:val="-4"/>
        </w:rPr>
        <w:t> </w:t>
      </w:r>
      <w:r>
        <w:rPr>
          <w:color w:val="231F20"/>
        </w:rPr>
        <w:t>estas</w:t>
      </w:r>
      <w:r>
        <w:rPr>
          <w:color w:val="231F20"/>
          <w:spacing w:val="-4"/>
        </w:rPr>
        <w:t> </w:t>
      </w:r>
      <w:r>
        <w:rPr>
          <w:color w:val="231F20"/>
        </w:rPr>
        <w:t>diferencias</w:t>
      </w:r>
      <w:r>
        <w:rPr>
          <w:color w:val="231F20"/>
          <w:spacing w:val="-4"/>
        </w:rPr>
        <w:t> </w:t>
      </w:r>
      <w:r>
        <w:rPr>
          <w:color w:val="231F20"/>
        </w:rPr>
        <w:t>en</w:t>
      </w:r>
      <w:r>
        <w:rPr>
          <w:color w:val="231F20"/>
          <w:spacing w:val="-4"/>
        </w:rPr>
        <w:t> </w:t>
      </w:r>
      <w:r>
        <w:rPr>
          <w:color w:val="231F20"/>
        </w:rPr>
        <w:t>los</w:t>
      </w:r>
      <w:r>
        <w:rPr>
          <w:color w:val="231F20"/>
          <w:spacing w:val="-4"/>
        </w:rPr>
        <w:t> </w:t>
      </w:r>
      <w:r>
        <w:rPr>
          <w:color w:val="231F20"/>
        </w:rPr>
        <w:t>saldos</w:t>
      </w:r>
      <w:r>
        <w:rPr>
          <w:color w:val="231F20"/>
          <w:spacing w:val="-4"/>
        </w:rPr>
        <w:t> </w:t>
      </w:r>
      <w:r>
        <w:rPr>
          <w:color w:val="231F20"/>
        </w:rPr>
        <w:t>que</w:t>
      </w:r>
      <w:r>
        <w:rPr>
          <w:color w:val="231F20"/>
          <w:spacing w:val="-4"/>
        </w:rPr>
        <w:t> </w:t>
      </w:r>
      <w:r>
        <w:rPr>
          <w:color w:val="231F20"/>
        </w:rPr>
        <w:t>dejó</w:t>
      </w:r>
      <w:r>
        <w:rPr>
          <w:color w:val="231F20"/>
          <w:spacing w:val="-4"/>
        </w:rPr>
        <w:t> </w:t>
      </w:r>
      <w:r>
        <w:rPr>
          <w:color w:val="231F20"/>
        </w:rPr>
        <w:t>la</w:t>
      </w:r>
      <w:r>
        <w:rPr>
          <w:color w:val="231F20"/>
          <w:spacing w:val="-4"/>
        </w:rPr>
        <w:t> </w:t>
      </w:r>
      <w:r>
        <w:rPr>
          <w:color w:val="231F20"/>
        </w:rPr>
        <w:t>crisis</w:t>
      </w:r>
      <w:r>
        <w:rPr>
          <w:color w:val="231F20"/>
          <w:spacing w:val="-4"/>
        </w:rPr>
        <w:t> </w:t>
      </w:r>
      <w:r>
        <w:rPr>
          <w:color w:val="231F20"/>
        </w:rPr>
        <w:t>económica</w:t>
      </w:r>
      <w:r>
        <w:rPr>
          <w:color w:val="231F20"/>
          <w:spacing w:val="-4"/>
        </w:rPr>
        <w:t> </w:t>
      </w:r>
      <w:r>
        <w:rPr>
          <w:color w:val="231F20"/>
        </w:rPr>
        <w:t>sobre</w:t>
      </w:r>
      <w:r>
        <w:rPr>
          <w:color w:val="231F20"/>
          <w:spacing w:val="-4"/>
        </w:rPr>
        <w:t> </w:t>
      </w:r>
      <w:r>
        <w:rPr>
          <w:color w:val="231F20"/>
        </w:rPr>
        <w:t>el</w:t>
      </w:r>
      <w:r>
        <w:rPr>
          <w:color w:val="231F20"/>
          <w:spacing w:val="-4"/>
        </w:rPr>
        <w:t> </w:t>
      </w:r>
      <w:r>
        <w:rPr>
          <w:color w:val="231F20"/>
        </w:rPr>
        <w:t>sec- tor automotriz? El sector automotriz desde años atrás pasó por un importante proceso de reestructuración a partir de la innovación tecnológica que fue la base en el incre- mento de la competitividad de las empresas automotrices, lo que llevó a las firmas japonesas, específicamente </w:t>
      </w:r>
      <w:r>
        <w:rPr>
          <w:color w:val="231F20"/>
          <w:spacing w:val="-4"/>
        </w:rPr>
        <w:t>Toyota, </w:t>
      </w:r>
      <w:r>
        <w:rPr>
          <w:color w:val="231F20"/>
        </w:rPr>
        <w:t>a ganar terreno en producción y ventas por sobre las</w:t>
      </w:r>
      <w:r>
        <w:rPr>
          <w:color w:val="231F20"/>
          <w:spacing w:val="19"/>
        </w:rPr>
        <w:t> </w:t>
      </w:r>
      <w:r>
        <w:rPr>
          <w:color w:val="231F20"/>
        </w:rPr>
        <w:t>norteamericanas.</w:t>
      </w:r>
    </w:p>
    <w:p>
      <w:pPr>
        <w:pStyle w:val="BodyText"/>
        <w:spacing w:line="278" w:lineRule="auto" w:before="1"/>
        <w:ind w:left="103" w:right="651" w:firstLine="396"/>
        <w:jc w:val="both"/>
      </w:pPr>
      <w:r>
        <w:rPr>
          <w:color w:val="231F20"/>
        </w:rPr>
        <w:t>El principio del ascenso de </w:t>
      </w:r>
      <w:r>
        <w:rPr>
          <w:color w:val="231F20"/>
          <w:spacing w:val="-5"/>
        </w:rPr>
        <w:t>Toyota </w:t>
      </w:r>
      <w:r>
        <w:rPr>
          <w:color w:val="231F20"/>
        </w:rPr>
        <w:t>se dio con la puesta en marcha del Sistema de Producción </w:t>
      </w:r>
      <w:r>
        <w:rPr>
          <w:color w:val="231F20"/>
          <w:spacing w:val="-5"/>
        </w:rPr>
        <w:t>Toyota, </w:t>
      </w:r>
      <w:r>
        <w:rPr>
          <w:color w:val="231F20"/>
        </w:rPr>
        <w:t>a partir del cual esta empresa logró elevar de manera extraordi- naria su productividad, mejorar su calidad y sobre todo consolidar una fuerte red de proveedores</w:t>
      </w:r>
      <w:r>
        <w:rPr>
          <w:color w:val="231F20"/>
          <w:spacing w:val="-11"/>
        </w:rPr>
        <w:t> </w:t>
      </w:r>
      <w:r>
        <w:rPr>
          <w:color w:val="231F20"/>
          <w:spacing w:val="-3"/>
        </w:rPr>
        <w:t>(CEPAL,</w:t>
      </w:r>
      <w:r>
        <w:rPr>
          <w:color w:val="231F20"/>
          <w:spacing w:val="-11"/>
        </w:rPr>
        <w:t> </w:t>
      </w:r>
      <w:r>
        <w:rPr>
          <w:color w:val="231F20"/>
        </w:rPr>
        <w:t>2003),</w:t>
      </w:r>
      <w:r>
        <w:rPr>
          <w:color w:val="231F20"/>
          <w:spacing w:val="-11"/>
        </w:rPr>
        <w:t> </w:t>
      </w:r>
      <w:r>
        <w:rPr>
          <w:color w:val="231F20"/>
        </w:rPr>
        <w:t>con</w:t>
      </w:r>
      <w:r>
        <w:rPr>
          <w:color w:val="231F20"/>
          <w:spacing w:val="-11"/>
        </w:rPr>
        <w:t> </w:t>
      </w:r>
      <w:r>
        <w:rPr>
          <w:color w:val="231F20"/>
        </w:rPr>
        <w:t>lo</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convirtió</w:t>
      </w:r>
      <w:r>
        <w:rPr>
          <w:color w:val="231F20"/>
          <w:spacing w:val="-11"/>
        </w:rPr>
        <w:t> </w:t>
      </w:r>
      <w:r>
        <w:rPr>
          <w:color w:val="231F20"/>
        </w:rPr>
        <w:t>en</w:t>
      </w:r>
      <w:r>
        <w:rPr>
          <w:color w:val="231F20"/>
          <w:spacing w:val="-11"/>
        </w:rPr>
        <w:t> </w:t>
      </w:r>
      <w:r>
        <w:rPr>
          <w:color w:val="231F20"/>
        </w:rPr>
        <w:t>una</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automotri- ces más competitivas a nivel mundial en tres aspectos fundamentales: calidad, precio y</w:t>
      </w:r>
      <w:r>
        <w:rPr>
          <w:color w:val="231F20"/>
          <w:spacing w:val="-34"/>
        </w:rPr>
        <w:t> </w:t>
      </w:r>
      <w:r>
        <w:rPr>
          <w:color w:val="231F20"/>
        </w:rPr>
        <w:t>servicio.</w:t>
      </w:r>
    </w:p>
    <w:p>
      <w:pPr>
        <w:pStyle w:val="BodyText"/>
        <w:spacing w:line="278" w:lineRule="auto" w:before="1"/>
        <w:ind w:left="103" w:right="651" w:firstLine="396"/>
        <w:jc w:val="both"/>
      </w:pPr>
      <w:r>
        <w:rPr>
          <w:color w:val="231F20"/>
        </w:rPr>
        <w:t>A principios de la década de los ochenta, </w:t>
      </w:r>
      <w:r>
        <w:rPr>
          <w:color w:val="231F20"/>
          <w:spacing w:val="-3"/>
        </w:rPr>
        <w:t>Ford </w:t>
      </w:r>
      <w:r>
        <w:rPr>
          <w:color w:val="231F20"/>
        </w:rPr>
        <w:t>y General </w:t>
      </w:r>
      <w:r>
        <w:rPr>
          <w:color w:val="231F20"/>
          <w:spacing w:val="-3"/>
        </w:rPr>
        <w:t>Motors</w:t>
      </w:r>
      <w:r>
        <w:rPr>
          <w:color w:val="231F20"/>
          <w:spacing w:val="-35"/>
        </w:rPr>
        <w:t> </w:t>
      </w:r>
      <w:r>
        <w:rPr>
          <w:color w:val="231F20"/>
        </w:rPr>
        <w:t>comercializaban vehículos más grandes, más atractivos y más lujosos que </w:t>
      </w:r>
      <w:r>
        <w:rPr>
          <w:color w:val="231F20"/>
          <w:spacing w:val="-5"/>
        </w:rPr>
        <w:t>Toyota, </w:t>
      </w:r>
      <w:r>
        <w:rPr>
          <w:color w:val="231F20"/>
        </w:rPr>
        <w:t>pero que consumían más combustible. </w:t>
      </w:r>
      <w:r>
        <w:rPr>
          <w:color w:val="231F20"/>
          <w:spacing w:val="-5"/>
        </w:rPr>
        <w:t>Toyota </w:t>
      </w:r>
      <w:r>
        <w:rPr>
          <w:color w:val="231F20"/>
        </w:rPr>
        <w:t>por su parte producía vehículos más pequeños y menos lu- josos,</w:t>
      </w:r>
      <w:r>
        <w:rPr>
          <w:color w:val="231F20"/>
          <w:spacing w:val="-5"/>
        </w:rPr>
        <w:t> </w:t>
      </w:r>
      <w:r>
        <w:rPr>
          <w:color w:val="231F20"/>
        </w:rPr>
        <w:t>pero</w:t>
      </w:r>
      <w:r>
        <w:rPr>
          <w:color w:val="231F20"/>
          <w:spacing w:val="-5"/>
        </w:rPr>
        <w:t> </w:t>
      </w:r>
      <w:r>
        <w:rPr>
          <w:color w:val="231F20"/>
        </w:rPr>
        <w:t>más</w:t>
      </w:r>
      <w:r>
        <w:rPr>
          <w:color w:val="231F20"/>
          <w:spacing w:val="-5"/>
        </w:rPr>
        <w:t> </w:t>
      </w:r>
      <w:r>
        <w:rPr>
          <w:color w:val="231F20"/>
        </w:rPr>
        <w:t>eficaces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del</w:t>
      </w:r>
      <w:r>
        <w:rPr>
          <w:color w:val="231F20"/>
          <w:spacing w:val="-5"/>
        </w:rPr>
        <w:t> </w:t>
      </w:r>
      <w:r>
        <w:rPr>
          <w:color w:val="231F20"/>
        </w:rPr>
        <w:t>combustible.</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ahí,</w:t>
      </w:r>
      <w:r>
        <w:rPr>
          <w:color w:val="231F20"/>
          <w:spacing w:val="-5"/>
        </w:rPr>
        <w:t> Toyota </w:t>
      </w:r>
      <w:r>
        <w:rPr>
          <w:color w:val="231F20"/>
        </w:rPr>
        <w:t>ha</w:t>
      </w:r>
      <w:r>
        <w:rPr>
          <w:color w:val="231F20"/>
          <w:spacing w:val="-5"/>
        </w:rPr>
        <w:t> </w:t>
      </w:r>
      <w:r>
        <w:rPr>
          <w:color w:val="231F20"/>
        </w:rPr>
        <w:t>ido</w:t>
      </w:r>
      <w:r>
        <w:rPr>
          <w:color w:val="231F20"/>
          <w:spacing w:val="-5"/>
        </w:rPr>
        <w:t> </w:t>
      </w:r>
      <w:r>
        <w:rPr>
          <w:color w:val="231F20"/>
        </w:rPr>
        <w:t>poco a poco cerrando la brecha respecto a las empresas norteamericanas, ganando cada vez mayor participación tanto en la producción como en las ventas, no sólo en el mercado norteamericano, sino también en el mercado</w:t>
      </w:r>
      <w:r>
        <w:rPr>
          <w:color w:val="231F20"/>
          <w:spacing w:val="23"/>
        </w:rPr>
        <w:t> </w:t>
      </w:r>
      <w:r>
        <w:rPr>
          <w:color w:val="231F20"/>
        </w:rPr>
        <w:t>mundial.</w:t>
      </w:r>
    </w:p>
    <w:p>
      <w:pPr>
        <w:pStyle w:val="BodyText"/>
        <w:spacing w:line="278" w:lineRule="auto" w:before="1"/>
        <w:ind w:left="103" w:right="652" w:firstLine="396"/>
        <w:jc w:val="both"/>
      </w:pPr>
      <w:r>
        <w:rPr>
          <w:color w:val="231F20"/>
        </w:rPr>
        <w:t>En 1970 General Motors atendía 40% del mercado estadounidense de automó- viles</w:t>
      </w:r>
      <w:r>
        <w:rPr>
          <w:color w:val="231F20"/>
          <w:spacing w:val="-6"/>
        </w:rPr>
        <w:t> </w:t>
      </w:r>
      <w:r>
        <w:rPr>
          <w:color w:val="231F20"/>
        </w:rPr>
        <w:t>y</w:t>
      </w:r>
      <w:r>
        <w:rPr>
          <w:color w:val="231F20"/>
          <w:spacing w:val="-6"/>
        </w:rPr>
        <w:t> </w:t>
      </w:r>
      <w:r>
        <w:rPr>
          <w:color w:val="231F20"/>
        </w:rPr>
        <w:t>camiones</w:t>
      </w:r>
      <w:r>
        <w:rPr>
          <w:color w:val="231F20"/>
          <w:spacing w:val="-6"/>
        </w:rPr>
        <w:t> </w:t>
      </w:r>
      <w:r>
        <w:rPr>
          <w:color w:val="231F20"/>
        </w:rPr>
        <w:t>ligeros,</w:t>
      </w:r>
      <w:r>
        <w:rPr>
          <w:color w:val="231F20"/>
          <w:spacing w:val="-6"/>
        </w:rPr>
        <w:t> </w:t>
      </w:r>
      <w:r>
        <w:rPr>
          <w:color w:val="231F20"/>
        </w:rPr>
        <w:t>mientras</w:t>
      </w:r>
      <w:r>
        <w:rPr>
          <w:color w:val="231F20"/>
          <w:spacing w:val="-6"/>
        </w:rPr>
        <w:t> </w:t>
      </w:r>
      <w:r>
        <w:rPr>
          <w:color w:val="231F20"/>
        </w:rPr>
        <w:t>que</w:t>
      </w:r>
      <w:r>
        <w:rPr>
          <w:color w:val="231F20"/>
          <w:spacing w:val="-6"/>
        </w:rPr>
        <w:t> </w:t>
      </w:r>
      <w:r>
        <w:rPr>
          <w:color w:val="231F20"/>
          <w:spacing w:val="-4"/>
        </w:rPr>
        <w:t>Toyota</w:t>
      </w:r>
      <w:r>
        <w:rPr>
          <w:color w:val="231F20"/>
          <w:spacing w:val="-6"/>
        </w:rPr>
        <w:t> </w:t>
      </w:r>
      <w:r>
        <w:rPr>
          <w:color w:val="231F20"/>
        </w:rPr>
        <w:t>apenas</w:t>
      </w:r>
      <w:r>
        <w:rPr>
          <w:color w:val="231F20"/>
          <w:spacing w:val="-6"/>
        </w:rPr>
        <w:t> </w:t>
      </w:r>
      <w:r>
        <w:rPr>
          <w:color w:val="231F20"/>
        </w:rPr>
        <w:t>lo</w:t>
      </w:r>
      <w:r>
        <w:rPr>
          <w:color w:val="231F20"/>
          <w:spacing w:val="-6"/>
        </w:rPr>
        <w:t> </w:t>
      </w:r>
      <w:r>
        <w:rPr>
          <w:color w:val="231F20"/>
        </w:rPr>
        <w:t>hacía</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2%;</w:t>
      </w:r>
      <w:r>
        <w:rPr>
          <w:color w:val="231F20"/>
          <w:spacing w:val="-6"/>
        </w:rPr>
        <w:t> </w:t>
      </w:r>
      <w:r>
        <w:rPr>
          <w:color w:val="231F20"/>
        </w:rPr>
        <w:t>sin</w:t>
      </w:r>
      <w:r>
        <w:rPr>
          <w:color w:val="231F20"/>
          <w:spacing w:val="-6"/>
        </w:rPr>
        <w:t> </w:t>
      </w:r>
      <w:r>
        <w:rPr>
          <w:color w:val="231F20"/>
        </w:rPr>
        <w:t>embargo,</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jc w:val="both"/>
      </w:pPr>
      <w:r>
        <w:rPr>
          <w:color w:val="231F20"/>
        </w:rPr>
        <w:t>esta firma ha ido ganado campo paulatinamente: para 1980 incrementó su participa- ción a 3%; en 1990, a 8%; en 2000, a 9%; hasta llegar en 2006 a 13%. Mientras</w:t>
      </w:r>
      <w:r>
        <w:rPr>
          <w:color w:val="231F20"/>
          <w:spacing w:val="-28"/>
        </w:rPr>
        <w:t> </w:t>
      </w:r>
      <w:r>
        <w:rPr>
          <w:color w:val="231F20"/>
        </w:rPr>
        <w:t>tanto, General Motors ha disminuido su participación para este último año a 26% (Stewart  y Raman,</w:t>
      </w:r>
      <w:r>
        <w:rPr>
          <w:color w:val="231F20"/>
          <w:spacing w:val="-23"/>
        </w:rPr>
        <w:t> </w:t>
      </w:r>
      <w:r>
        <w:rPr>
          <w:color w:val="231F20"/>
        </w:rPr>
        <w:t>2007).</w:t>
      </w:r>
    </w:p>
    <w:p>
      <w:pPr>
        <w:pStyle w:val="BodyText"/>
        <w:spacing w:line="278" w:lineRule="auto" w:before="1"/>
        <w:ind w:left="653" w:right="102" w:firstLine="396"/>
        <w:jc w:val="both"/>
      </w:pPr>
      <w:r>
        <w:rPr>
          <w:color w:val="231F20"/>
        </w:rPr>
        <w:t>El crecimiento de </w:t>
      </w:r>
      <w:r>
        <w:rPr>
          <w:color w:val="231F20"/>
          <w:spacing w:val="-5"/>
        </w:rPr>
        <w:t>Toyota </w:t>
      </w:r>
      <w:r>
        <w:rPr>
          <w:color w:val="231F20"/>
        </w:rPr>
        <w:t>en los últimos años ha sido espectacular, pues se ha ex- tendido a un gran número de países: en 1995 contaba con 26 fábricas en el mundo y en 2007, con 63. Su estrategia de crecimiento ha sido diseñada a largo plazo a partir de tres principios básicos: mejorar la calidad del producto, seguir rebajando costos y desarrollar recursos humanos.</w:t>
      </w:r>
    </w:p>
    <w:p>
      <w:pPr>
        <w:pStyle w:val="BodyText"/>
        <w:spacing w:line="273" w:lineRule="auto" w:before="1"/>
        <w:ind w:left="653" w:right="98" w:firstLine="396"/>
        <w:jc w:val="both"/>
      </w:pPr>
      <w:r>
        <w:rPr>
          <w:color w:val="231F20"/>
        </w:rPr>
        <w:t>De acuerdo con Watanabe, presidente de </w:t>
      </w:r>
      <w:r>
        <w:rPr>
          <w:color w:val="231F20"/>
          <w:spacing w:val="-3"/>
        </w:rPr>
        <w:t>Toyota, </w:t>
      </w:r>
      <w:r>
        <w:rPr>
          <w:color w:val="231F20"/>
        </w:rPr>
        <w:t>la estrategia de la empresa pone énfasis en aprovechar las oportunidades y evitar o absorber los riesgos; utiliza modelos globales de autos, que son comercializados en muchos países, así como mo- delos regionales de acuerdo con la demanda de los diferentes países. De esta forma, cuenta con una línea de productos completa que se adecúa a cada región del mundo. En Norteamérica han ingresado en el segmento de la camioneta </w:t>
      </w:r>
      <w:r>
        <w:rPr>
          <w:rFonts w:ascii="Palatino Linotype" w:hAnsi="Palatino Linotype"/>
          <w:i/>
          <w:color w:val="231F20"/>
        </w:rPr>
        <w:t>pickup </w:t>
      </w:r>
      <w:r>
        <w:rPr>
          <w:color w:val="231F20"/>
        </w:rPr>
        <w:t>de gran ta- maño con la Tundra rediseñada; en Europa han expandido la variedad de vehículos híbridos y con motores de diésel; en Japón han mantenido su mercado con el lan- zamiento de nuevos productos que crean nuevos segmentos de mercado; </w:t>
      </w:r>
      <w:r>
        <w:rPr>
          <w:color w:val="231F20"/>
          <w:spacing w:val="-7"/>
        </w:rPr>
        <w:t>y, </w:t>
      </w:r>
      <w:r>
        <w:rPr>
          <w:color w:val="231F20"/>
        </w:rPr>
        <w:t>para </w:t>
      </w:r>
      <w:r>
        <w:rPr>
          <w:color w:val="231F20"/>
          <w:spacing w:val="2"/>
        </w:rPr>
        <w:t>los </w:t>
      </w:r>
      <w:r>
        <w:rPr>
          <w:color w:val="231F20"/>
        </w:rPr>
        <w:t>mercados emergentes como China y la India, han desarrollado una nueva generación de vehículos que se acoplan a las necesidades y la demanda del consumidor (Stewart y Raman</w:t>
      </w:r>
      <w:r>
        <w:rPr>
          <w:color w:val="231F20"/>
          <w:spacing w:val="-17"/>
        </w:rPr>
        <w:t> </w:t>
      </w:r>
      <w:r>
        <w:rPr>
          <w:color w:val="231F20"/>
          <w:spacing w:val="2"/>
        </w:rPr>
        <w:t>2007).</w:t>
      </w:r>
    </w:p>
    <w:p>
      <w:pPr>
        <w:pStyle w:val="BodyText"/>
        <w:spacing w:line="278" w:lineRule="auto" w:before="6"/>
        <w:ind w:left="653" w:right="100" w:firstLine="396"/>
        <w:jc w:val="both"/>
      </w:pPr>
      <w:r>
        <w:rPr>
          <w:color w:val="231F20"/>
        </w:rPr>
        <w:t>Además, </w:t>
      </w:r>
      <w:r>
        <w:rPr>
          <w:color w:val="231F20"/>
          <w:spacing w:val="-5"/>
        </w:rPr>
        <w:t>Toyota </w:t>
      </w:r>
      <w:r>
        <w:rPr>
          <w:color w:val="231F20"/>
        </w:rPr>
        <w:t>ha desarrollado un sistema global de producción conectada que le permite, como resultado de las innovaciones tecnológicas en sus plantas de Japón, transferir rápidamente la producción de distintos modelos a estas plantas, lo cual po- sibilita la atención de la demanda de cualquiera de sus productos cuando sobrepasa la producción de sus plantas en otros países. De esta forma, pueden responder con rapi- dez</w:t>
      </w:r>
      <w:r>
        <w:rPr>
          <w:color w:val="231F20"/>
          <w:spacing w:val="-15"/>
        </w:rPr>
        <w:t> </w:t>
      </w:r>
      <w:r>
        <w:rPr>
          <w:color w:val="231F20"/>
        </w:rPr>
        <w:t>a</w:t>
      </w:r>
      <w:r>
        <w:rPr>
          <w:color w:val="231F20"/>
          <w:spacing w:val="-15"/>
        </w:rPr>
        <w:t> </w:t>
      </w:r>
      <w:r>
        <w:rPr>
          <w:color w:val="231F20"/>
        </w:rPr>
        <w:t>cambios</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demanda,</w:t>
      </w:r>
      <w:r>
        <w:rPr>
          <w:color w:val="231F20"/>
          <w:spacing w:val="-15"/>
        </w:rPr>
        <w:t> </w:t>
      </w:r>
      <w:r>
        <w:rPr>
          <w:color w:val="231F20"/>
        </w:rPr>
        <w:t>utilizar</w:t>
      </w:r>
      <w:r>
        <w:rPr>
          <w:color w:val="231F20"/>
          <w:spacing w:val="-15"/>
        </w:rPr>
        <w:t> </w:t>
      </w:r>
      <w:r>
        <w:rPr>
          <w:color w:val="231F20"/>
        </w:rPr>
        <w:t>de</w:t>
      </w:r>
      <w:r>
        <w:rPr>
          <w:color w:val="231F20"/>
          <w:spacing w:val="-15"/>
        </w:rPr>
        <w:t> </w:t>
      </w:r>
      <w:r>
        <w:rPr>
          <w:color w:val="231F20"/>
        </w:rPr>
        <w:t>manera</w:t>
      </w:r>
      <w:r>
        <w:rPr>
          <w:color w:val="231F20"/>
          <w:spacing w:val="-15"/>
        </w:rPr>
        <w:t> </w:t>
      </w:r>
      <w:r>
        <w:rPr>
          <w:color w:val="231F20"/>
        </w:rPr>
        <w:t>más</w:t>
      </w:r>
      <w:r>
        <w:rPr>
          <w:color w:val="231F20"/>
          <w:spacing w:val="-15"/>
        </w:rPr>
        <w:t> </w:t>
      </w:r>
      <w:r>
        <w:rPr>
          <w:color w:val="231F20"/>
        </w:rPr>
        <w:t>eficiente</w:t>
      </w:r>
      <w:r>
        <w:rPr>
          <w:color w:val="231F20"/>
          <w:spacing w:val="-15"/>
        </w:rPr>
        <w:t> </w:t>
      </w:r>
      <w:r>
        <w:rPr>
          <w:color w:val="231F20"/>
        </w:rPr>
        <w:t>la</w:t>
      </w:r>
      <w:r>
        <w:rPr>
          <w:color w:val="231F20"/>
          <w:spacing w:val="-15"/>
        </w:rPr>
        <w:t> </w:t>
      </w:r>
      <w:r>
        <w:rPr>
          <w:color w:val="231F20"/>
        </w:rPr>
        <w:t>capacidad</w:t>
      </w:r>
      <w:r>
        <w:rPr>
          <w:color w:val="231F20"/>
          <w:spacing w:val="-15"/>
        </w:rPr>
        <w:t> </w:t>
      </w:r>
      <w:r>
        <w:rPr>
          <w:color w:val="231F20"/>
        </w:rPr>
        <w:t>instalada</w:t>
      </w:r>
      <w:r>
        <w:rPr>
          <w:color w:val="231F20"/>
          <w:spacing w:val="-15"/>
        </w:rPr>
        <w:t> </w:t>
      </w:r>
      <w:r>
        <w:rPr>
          <w:color w:val="231F20"/>
        </w:rPr>
        <w:t>de todas sus plantas, ahorrar inversión de capital al usar recursos ya existentes y con ello equilibrar</w:t>
      </w:r>
      <w:r>
        <w:rPr>
          <w:color w:val="231F20"/>
          <w:spacing w:val="-5"/>
        </w:rPr>
        <w:t> </w:t>
      </w:r>
      <w:r>
        <w:rPr>
          <w:color w:val="231F20"/>
        </w:rPr>
        <w:t>la</w:t>
      </w:r>
      <w:r>
        <w:rPr>
          <w:color w:val="231F20"/>
          <w:spacing w:val="-5"/>
        </w:rPr>
        <w:t> </w:t>
      </w:r>
      <w:r>
        <w:rPr>
          <w:color w:val="231F20"/>
        </w:rPr>
        <w:t>demanda</w:t>
      </w:r>
      <w:r>
        <w:rPr>
          <w:color w:val="231F20"/>
          <w:spacing w:val="-5"/>
        </w:rPr>
        <w:t> </w:t>
      </w:r>
      <w:r>
        <w:rPr>
          <w:color w:val="231F20"/>
        </w:rPr>
        <w:t>en</w:t>
      </w:r>
      <w:r>
        <w:rPr>
          <w:color w:val="231F20"/>
          <w:spacing w:val="-5"/>
        </w:rPr>
        <w:t> </w:t>
      </w:r>
      <w:r>
        <w:rPr>
          <w:color w:val="231F20"/>
        </w:rPr>
        <w:t>otros</w:t>
      </w:r>
      <w:r>
        <w:rPr>
          <w:color w:val="231F20"/>
          <w:spacing w:val="-5"/>
        </w:rPr>
        <w:t> </w:t>
      </w:r>
      <w:r>
        <w:rPr>
          <w:color w:val="231F20"/>
        </w:rPr>
        <w:t>mercados</w:t>
      </w:r>
      <w:r>
        <w:rPr>
          <w:color w:val="231F20"/>
          <w:spacing w:val="-5"/>
        </w:rPr>
        <w:t> </w:t>
      </w:r>
      <w:r>
        <w:rPr>
          <w:color w:val="231F20"/>
        </w:rPr>
        <w:t>(Stewart</w:t>
      </w:r>
      <w:r>
        <w:rPr>
          <w:color w:val="231F20"/>
          <w:spacing w:val="-5"/>
        </w:rPr>
        <w:t> </w:t>
      </w:r>
      <w:r>
        <w:rPr>
          <w:color w:val="231F20"/>
        </w:rPr>
        <w:t>y</w:t>
      </w:r>
      <w:r>
        <w:rPr>
          <w:color w:val="231F20"/>
          <w:spacing w:val="-5"/>
        </w:rPr>
        <w:t> </w:t>
      </w:r>
      <w:r>
        <w:rPr>
          <w:color w:val="231F20"/>
        </w:rPr>
        <w:t>Raman,</w:t>
      </w:r>
      <w:r>
        <w:rPr>
          <w:color w:val="231F20"/>
          <w:spacing w:val="-5"/>
        </w:rPr>
        <w:t> </w:t>
      </w:r>
      <w:r>
        <w:rPr>
          <w:color w:val="231F20"/>
        </w:rPr>
        <w:t>2007).</w:t>
      </w:r>
    </w:p>
    <w:p>
      <w:pPr>
        <w:pStyle w:val="BodyText"/>
        <w:spacing w:line="278" w:lineRule="auto" w:before="1"/>
        <w:ind w:left="653" w:right="100" w:firstLine="396"/>
        <w:jc w:val="both"/>
      </w:pPr>
      <w:r>
        <w:rPr>
          <w:color w:val="231F20"/>
        </w:rPr>
        <w:t>Mientras</w:t>
      </w:r>
      <w:r>
        <w:rPr>
          <w:color w:val="231F20"/>
          <w:spacing w:val="-4"/>
        </w:rPr>
        <w:t> </w:t>
      </w:r>
      <w:r>
        <w:rPr>
          <w:color w:val="231F20"/>
          <w:spacing w:val="-5"/>
        </w:rPr>
        <w:t>Toyota</w:t>
      </w:r>
      <w:r>
        <w:rPr>
          <w:color w:val="231F20"/>
          <w:spacing w:val="-4"/>
        </w:rPr>
        <w:t> </w:t>
      </w:r>
      <w:r>
        <w:rPr>
          <w:color w:val="231F20"/>
        </w:rPr>
        <w:t>ha</w:t>
      </w:r>
      <w:r>
        <w:rPr>
          <w:color w:val="231F20"/>
          <w:spacing w:val="-4"/>
        </w:rPr>
        <w:t> </w:t>
      </w:r>
      <w:r>
        <w:rPr>
          <w:color w:val="231F20"/>
        </w:rPr>
        <w:t>aplicado</w:t>
      </w:r>
      <w:r>
        <w:rPr>
          <w:color w:val="231F20"/>
          <w:spacing w:val="-4"/>
        </w:rPr>
        <w:t> </w:t>
      </w:r>
      <w:r>
        <w:rPr>
          <w:color w:val="231F20"/>
        </w:rPr>
        <w:t>todo</w:t>
      </w:r>
      <w:r>
        <w:rPr>
          <w:color w:val="231F20"/>
          <w:spacing w:val="-4"/>
        </w:rPr>
        <w:t> </w:t>
      </w:r>
      <w:r>
        <w:rPr>
          <w:color w:val="231F20"/>
        </w:rPr>
        <w:t>este</w:t>
      </w:r>
      <w:r>
        <w:rPr>
          <w:color w:val="231F20"/>
          <w:spacing w:val="-4"/>
        </w:rPr>
        <w:t> </w:t>
      </w:r>
      <w:r>
        <w:rPr>
          <w:color w:val="231F20"/>
        </w:rPr>
        <w:t>sistema</w:t>
      </w:r>
      <w:r>
        <w:rPr>
          <w:color w:val="231F20"/>
          <w:spacing w:val="-4"/>
        </w:rPr>
        <w:t> </w:t>
      </w:r>
      <w:r>
        <w:rPr>
          <w:color w:val="231F20"/>
        </w:rPr>
        <w:t>global</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ha</w:t>
      </w:r>
      <w:r>
        <w:rPr>
          <w:color w:val="231F20"/>
          <w:spacing w:val="-4"/>
        </w:rPr>
        <w:t> </w:t>
      </w:r>
      <w:r>
        <w:rPr>
          <w:color w:val="231F20"/>
        </w:rPr>
        <w:t>espe- cializado</w:t>
      </w:r>
      <w:r>
        <w:rPr>
          <w:color w:val="231F20"/>
          <w:spacing w:val="-3"/>
        </w:rPr>
        <w:t> </w:t>
      </w:r>
      <w:r>
        <w:rPr>
          <w:color w:val="231F20"/>
        </w:rPr>
        <w:t>en</w:t>
      </w:r>
      <w:r>
        <w:rPr>
          <w:color w:val="231F20"/>
          <w:spacing w:val="-3"/>
        </w:rPr>
        <w:t> </w:t>
      </w:r>
      <w:r>
        <w:rPr>
          <w:color w:val="231F20"/>
        </w:rPr>
        <w:t>atender</w:t>
      </w:r>
      <w:r>
        <w:rPr>
          <w:color w:val="231F20"/>
          <w:spacing w:val="-3"/>
        </w:rPr>
        <w:t> </w:t>
      </w:r>
      <w:r>
        <w:rPr>
          <w:color w:val="231F20"/>
        </w:rPr>
        <w:t>las</w:t>
      </w:r>
      <w:r>
        <w:rPr>
          <w:color w:val="231F20"/>
          <w:spacing w:val="-3"/>
        </w:rPr>
        <w:t> </w:t>
      </w:r>
      <w:r>
        <w:rPr>
          <w:color w:val="231F20"/>
        </w:rPr>
        <w:t>necesidades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demanda</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consumidores</w:t>
      </w:r>
      <w:r>
        <w:rPr>
          <w:color w:val="231F20"/>
          <w:spacing w:val="-3"/>
        </w:rPr>
        <w:t> </w:t>
      </w:r>
      <w:r>
        <w:rPr>
          <w:color w:val="231F20"/>
        </w:rPr>
        <w:t>por</w:t>
      </w:r>
      <w:r>
        <w:rPr>
          <w:color w:val="231F20"/>
          <w:spacing w:val="-3"/>
        </w:rPr>
        <w:t> </w:t>
      </w:r>
      <w:r>
        <w:rPr>
          <w:color w:val="231F20"/>
        </w:rPr>
        <w:t>país</w:t>
      </w:r>
      <w:r>
        <w:rPr>
          <w:color w:val="231F20"/>
          <w:spacing w:val="-3"/>
        </w:rPr>
        <w:t> </w:t>
      </w:r>
      <w:r>
        <w:rPr>
          <w:color w:val="231F20"/>
        </w:rPr>
        <w:t>y</w:t>
      </w:r>
      <w:r>
        <w:rPr>
          <w:color w:val="231F20"/>
          <w:spacing w:val="-3"/>
        </w:rPr>
        <w:t> </w:t>
      </w:r>
      <w:r>
        <w:rPr>
          <w:color w:val="231F20"/>
        </w:rPr>
        <w:t>re- gión</w:t>
      </w:r>
      <w:r>
        <w:rPr>
          <w:color w:val="231F20"/>
          <w:spacing w:val="-12"/>
        </w:rPr>
        <w:t> </w:t>
      </w:r>
      <w:r>
        <w:rPr>
          <w:color w:val="231F20"/>
        </w:rPr>
        <w:t>—además</w:t>
      </w:r>
      <w:r>
        <w:rPr>
          <w:color w:val="231F20"/>
          <w:spacing w:val="-12"/>
        </w:rPr>
        <w:t> </w:t>
      </w:r>
      <w:r>
        <w:rPr>
          <w:color w:val="231F20"/>
        </w:rPr>
        <w:t>de</w:t>
      </w:r>
      <w:r>
        <w:rPr>
          <w:color w:val="231F20"/>
          <w:spacing w:val="-12"/>
        </w:rPr>
        <w:t> </w:t>
      </w:r>
      <w:r>
        <w:rPr>
          <w:color w:val="231F20"/>
        </w:rPr>
        <w:t>trabajar</w:t>
      </w:r>
      <w:r>
        <w:rPr>
          <w:color w:val="231F20"/>
          <w:spacing w:val="-12"/>
        </w:rPr>
        <w:t> </w:t>
      </w:r>
      <w:r>
        <w:rPr>
          <w:color w:val="231F20"/>
        </w:rPr>
        <w:t>en</w:t>
      </w:r>
      <w:r>
        <w:rPr>
          <w:color w:val="231F20"/>
          <w:spacing w:val="-12"/>
        </w:rPr>
        <w:t> </w:t>
      </w:r>
      <w:r>
        <w:rPr>
          <w:color w:val="231F20"/>
        </w:rPr>
        <w:t>disminuir</w:t>
      </w:r>
      <w:r>
        <w:rPr>
          <w:color w:val="231F20"/>
          <w:spacing w:val="-12"/>
        </w:rPr>
        <w:t> </w:t>
      </w:r>
      <w:r>
        <w:rPr>
          <w:color w:val="231F20"/>
        </w:rPr>
        <w:t>precios,</w:t>
      </w:r>
      <w:r>
        <w:rPr>
          <w:color w:val="231F20"/>
          <w:spacing w:val="-12"/>
        </w:rPr>
        <w:t> </w:t>
      </w:r>
      <w:r>
        <w:rPr>
          <w:color w:val="231F20"/>
        </w:rPr>
        <w:t>incrementar</w:t>
      </w:r>
      <w:r>
        <w:rPr>
          <w:color w:val="231F20"/>
          <w:spacing w:val="-12"/>
        </w:rPr>
        <w:t> </w:t>
      </w:r>
      <w:r>
        <w:rPr>
          <w:color w:val="231F20"/>
        </w:rPr>
        <w:t>calidad</w:t>
      </w:r>
      <w:r>
        <w:rPr>
          <w:color w:val="231F20"/>
          <w:spacing w:val="-12"/>
        </w:rPr>
        <w:t> </w:t>
      </w:r>
      <w:r>
        <w:rPr>
          <w:color w:val="231F20"/>
        </w:rPr>
        <w:t>de</w:t>
      </w:r>
      <w:r>
        <w:rPr>
          <w:color w:val="231F20"/>
          <w:spacing w:val="-12"/>
        </w:rPr>
        <w:t> </w:t>
      </w:r>
      <w:r>
        <w:rPr>
          <w:color w:val="231F20"/>
        </w:rPr>
        <w:t>sus</w:t>
      </w:r>
      <w:r>
        <w:rPr>
          <w:color w:val="231F20"/>
          <w:spacing w:val="-12"/>
        </w:rPr>
        <w:t> </w:t>
      </w:r>
      <w:r>
        <w:rPr>
          <w:color w:val="231F20"/>
        </w:rPr>
        <w:t>vehículos</w:t>
      </w:r>
      <w:r>
        <w:rPr>
          <w:color w:val="231F20"/>
          <w:spacing w:val="-12"/>
        </w:rPr>
        <w:t> </w:t>
      </w:r>
      <w:r>
        <w:rPr>
          <w:color w:val="231F20"/>
        </w:rPr>
        <w:t>a partir</w:t>
      </w:r>
      <w:r>
        <w:rPr>
          <w:color w:val="231F20"/>
          <w:spacing w:val="-10"/>
        </w:rPr>
        <w:t> </w:t>
      </w:r>
      <w:r>
        <w:rPr>
          <w:color w:val="231F20"/>
        </w:rPr>
        <w:t>de</w:t>
      </w:r>
      <w:r>
        <w:rPr>
          <w:color w:val="231F20"/>
          <w:spacing w:val="-10"/>
        </w:rPr>
        <w:t> </w:t>
      </w:r>
      <w:r>
        <w:rPr>
          <w:color w:val="231F20"/>
        </w:rPr>
        <w:t>considerar</w:t>
      </w:r>
      <w:r>
        <w:rPr>
          <w:color w:val="231F20"/>
          <w:spacing w:val="-10"/>
        </w:rPr>
        <w:t> </w:t>
      </w:r>
      <w:r>
        <w:rPr>
          <w:color w:val="231F20"/>
        </w:rPr>
        <w:t>también</w:t>
      </w:r>
      <w:r>
        <w:rPr>
          <w:color w:val="231F20"/>
          <w:spacing w:val="-10"/>
        </w:rPr>
        <w:t> </w:t>
      </w:r>
      <w:r>
        <w:rPr>
          <w:color w:val="231F20"/>
        </w:rPr>
        <w:t>los</w:t>
      </w:r>
      <w:r>
        <w:rPr>
          <w:color w:val="231F20"/>
          <w:spacing w:val="-10"/>
        </w:rPr>
        <w:t> </w:t>
      </w:r>
      <w:r>
        <w:rPr>
          <w:color w:val="231F20"/>
        </w:rPr>
        <w:t>cambios</w:t>
      </w:r>
      <w:r>
        <w:rPr>
          <w:color w:val="231F20"/>
          <w:spacing w:val="-10"/>
        </w:rPr>
        <w:t> </w:t>
      </w:r>
      <w:r>
        <w:rPr>
          <w:color w:val="231F20"/>
        </w:rPr>
        <w:t>y</w:t>
      </w:r>
      <w:r>
        <w:rPr>
          <w:color w:val="231F20"/>
          <w:spacing w:val="-10"/>
        </w:rPr>
        <w:t> </w:t>
      </w:r>
      <w:r>
        <w:rPr>
          <w:color w:val="231F20"/>
        </w:rPr>
        <w:t>las</w:t>
      </w:r>
      <w:r>
        <w:rPr>
          <w:color w:val="231F20"/>
          <w:spacing w:val="-10"/>
        </w:rPr>
        <w:t> </w:t>
      </w:r>
      <w:r>
        <w:rPr>
          <w:color w:val="231F20"/>
        </w:rPr>
        <w:t>nuevas</w:t>
      </w:r>
      <w:r>
        <w:rPr>
          <w:color w:val="231F20"/>
          <w:spacing w:val="-10"/>
        </w:rPr>
        <w:t> </w:t>
      </w:r>
      <w:r>
        <w:rPr>
          <w:color w:val="231F20"/>
        </w:rPr>
        <w:t>regulaciones</w:t>
      </w:r>
      <w:r>
        <w:rPr>
          <w:color w:val="231F20"/>
          <w:spacing w:val="-10"/>
        </w:rPr>
        <w:t> </w:t>
      </w:r>
      <w:r>
        <w:rPr>
          <w:color w:val="231F20"/>
        </w:rPr>
        <w:t>emitidas</w:t>
      </w:r>
      <w:r>
        <w:rPr>
          <w:color w:val="231F20"/>
          <w:spacing w:val="-10"/>
        </w:rPr>
        <w:t> </w:t>
      </w:r>
      <w:r>
        <w:rPr>
          <w:color w:val="231F20"/>
        </w:rPr>
        <w:t>en</w:t>
      </w:r>
      <w:r>
        <w:rPr>
          <w:color w:val="231F20"/>
          <w:spacing w:val="-10"/>
        </w:rPr>
        <w:t> </w:t>
      </w:r>
      <w:r>
        <w:rPr>
          <w:color w:val="231F20"/>
        </w:rPr>
        <w:t>materia ambiental</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seguridad,</w:t>
      </w:r>
      <w:r>
        <w:rPr>
          <w:color w:val="231F20"/>
          <w:spacing w:val="-12"/>
        </w:rPr>
        <w:t> </w:t>
      </w:r>
      <w:r>
        <w:rPr>
          <w:color w:val="231F20"/>
        </w:rPr>
        <w:t>y</w:t>
      </w:r>
      <w:r>
        <w:rPr>
          <w:color w:val="231F20"/>
          <w:spacing w:val="-12"/>
        </w:rPr>
        <w:t> </w:t>
      </w:r>
      <w:r>
        <w:rPr>
          <w:color w:val="231F20"/>
        </w:rPr>
        <w:t>mejorar</w:t>
      </w:r>
      <w:r>
        <w:rPr>
          <w:color w:val="231F20"/>
          <w:spacing w:val="-12"/>
        </w:rPr>
        <w:t> </w:t>
      </w:r>
      <w:r>
        <w:rPr>
          <w:color w:val="231F20"/>
        </w:rPr>
        <w:t>los</w:t>
      </w:r>
      <w:r>
        <w:rPr>
          <w:color w:val="231F20"/>
          <w:spacing w:val="-12"/>
        </w:rPr>
        <w:t> </w:t>
      </w:r>
      <w:r>
        <w:rPr>
          <w:color w:val="231F20"/>
        </w:rPr>
        <w:t>servicios</w:t>
      </w:r>
      <w:r>
        <w:rPr>
          <w:color w:val="231F20"/>
          <w:spacing w:val="-12"/>
        </w:rPr>
        <w:t> </w:t>
      </w:r>
      <w:r>
        <w:rPr>
          <w:color w:val="231F20"/>
        </w:rPr>
        <w:t>al</w:t>
      </w:r>
      <w:r>
        <w:rPr>
          <w:color w:val="231F20"/>
          <w:spacing w:val="-12"/>
        </w:rPr>
        <w:t> </w:t>
      </w:r>
      <w:r>
        <w:rPr>
          <w:color w:val="231F20"/>
        </w:rPr>
        <w:t>cliente</w:t>
      </w:r>
      <w:r>
        <w:rPr>
          <w:color w:val="231F20"/>
          <w:spacing w:val="-12"/>
        </w:rPr>
        <w:t> </w:t>
      </w:r>
      <w:r>
        <w:rPr>
          <w:color w:val="231F20"/>
        </w:rPr>
        <w:t>desde</w:t>
      </w:r>
      <w:r>
        <w:rPr>
          <w:color w:val="231F20"/>
          <w:spacing w:val="-12"/>
        </w:rPr>
        <w:t> </w:t>
      </w:r>
      <w:r>
        <w:rPr>
          <w:color w:val="231F20"/>
        </w:rPr>
        <w:t>hace</w:t>
      </w:r>
      <w:r>
        <w:rPr>
          <w:color w:val="231F20"/>
          <w:spacing w:val="-12"/>
        </w:rPr>
        <w:t> </w:t>
      </w:r>
      <w:r>
        <w:rPr>
          <w:color w:val="231F20"/>
        </w:rPr>
        <w:t>poco</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tres décadas,</w:t>
      </w:r>
      <w:r>
        <w:rPr>
          <w:color w:val="231F20"/>
          <w:spacing w:val="-5"/>
        </w:rPr>
        <w:t> </w:t>
      </w:r>
      <w:r>
        <w:rPr>
          <w:color w:val="231F20"/>
        </w:rPr>
        <w:t>con</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eleva</w:t>
      </w:r>
      <w:r>
        <w:rPr>
          <w:color w:val="231F20"/>
          <w:spacing w:val="-5"/>
        </w:rPr>
        <w:t> </w:t>
      </w:r>
      <w:r>
        <w:rPr>
          <w:color w:val="231F20"/>
        </w:rPr>
        <w:t>sus</w:t>
      </w:r>
      <w:r>
        <w:rPr>
          <w:color w:val="231F20"/>
          <w:spacing w:val="-5"/>
        </w:rPr>
        <w:t> </w:t>
      </w:r>
      <w:r>
        <w:rPr>
          <w:color w:val="231F20"/>
        </w:rPr>
        <w:t>niveles</w:t>
      </w:r>
      <w:r>
        <w:rPr>
          <w:color w:val="231F20"/>
          <w:spacing w:val="-5"/>
        </w:rPr>
        <w:t> </w:t>
      </w:r>
      <w:r>
        <w:rPr>
          <w:color w:val="231F20"/>
        </w:rPr>
        <w:t>de</w:t>
      </w:r>
      <w:r>
        <w:rPr>
          <w:color w:val="231F20"/>
          <w:spacing w:val="-5"/>
        </w:rPr>
        <w:t> </w:t>
      </w:r>
      <w:r>
        <w:rPr>
          <w:color w:val="231F20"/>
        </w:rPr>
        <w:t>competitividad—,</w:t>
      </w:r>
      <w:r>
        <w:rPr>
          <w:color w:val="231F20"/>
          <w:spacing w:val="-5"/>
        </w:rPr>
        <w:t> </w:t>
      </w:r>
      <w:r>
        <w:rPr>
          <w:color w:val="231F20"/>
        </w:rPr>
        <w:t>las</w:t>
      </w:r>
      <w:r>
        <w:rPr>
          <w:color w:val="231F20"/>
          <w:spacing w:val="-5"/>
        </w:rPr>
        <w:t> </w:t>
      </w:r>
      <w:r>
        <w:rPr>
          <w:color w:val="231F20"/>
        </w:rPr>
        <w:t>firmas</w:t>
      </w:r>
      <w:r>
        <w:rPr>
          <w:color w:val="231F20"/>
          <w:spacing w:val="-5"/>
        </w:rPr>
        <w:t> </w:t>
      </w:r>
      <w:r>
        <w:rPr>
          <w:color w:val="231F20"/>
        </w:rPr>
        <w:t>norteamericanas siguieron produciendo grandes camionetas y autos de gran cilindraje que representa- ban</w:t>
      </w:r>
      <w:r>
        <w:rPr>
          <w:color w:val="231F20"/>
          <w:spacing w:val="-7"/>
        </w:rPr>
        <w:t> </w:t>
      </w:r>
      <w:r>
        <w:rPr>
          <w:color w:val="231F20"/>
        </w:rPr>
        <w:t>la</w:t>
      </w:r>
      <w:r>
        <w:rPr>
          <w:color w:val="231F20"/>
          <w:spacing w:val="-7"/>
        </w:rPr>
        <w:t> </w:t>
      </w:r>
      <w:r>
        <w:rPr>
          <w:color w:val="231F20"/>
        </w:rPr>
        <w:t>base</w:t>
      </w:r>
      <w:r>
        <w:rPr>
          <w:color w:val="231F20"/>
          <w:spacing w:val="-7"/>
        </w:rPr>
        <w:t> </w:t>
      </w:r>
      <w:r>
        <w:rPr>
          <w:color w:val="231F20"/>
        </w:rPr>
        <w:t>de</w:t>
      </w:r>
      <w:r>
        <w:rPr>
          <w:color w:val="231F20"/>
          <w:spacing w:val="-7"/>
        </w:rPr>
        <w:t> </w:t>
      </w:r>
      <w:r>
        <w:rPr>
          <w:color w:val="231F20"/>
        </w:rPr>
        <w:t>sus</w:t>
      </w:r>
      <w:r>
        <w:rPr>
          <w:color w:val="231F20"/>
          <w:spacing w:val="-7"/>
        </w:rPr>
        <w:t> </w:t>
      </w:r>
      <w:r>
        <w:rPr>
          <w:color w:val="231F20"/>
        </w:rPr>
        <w:t>principales</w:t>
      </w:r>
      <w:r>
        <w:rPr>
          <w:color w:val="231F20"/>
          <w:spacing w:val="-7"/>
        </w:rPr>
        <w:t> </w:t>
      </w:r>
      <w:r>
        <w:rPr>
          <w:color w:val="231F20"/>
        </w:rPr>
        <w:t>ganancias</w:t>
      </w:r>
      <w:r>
        <w:rPr>
          <w:color w:val="231F20"/>
          <w:spacing w:val="-7"/>
        </w:rPr>
        <w:t> </w:t>
      </w:r>
      <w:r>
        <w:rPr>
          <w:color w:val="231F20"/>
        </w:rPr>
        <w:t>debido</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mayores</w:t>
      </w:r>
      <w:r>
        <w:rPr>
          <w:color w:val="231F20"/>
          <w:spacing w:val="-7"/>
        </w:rPr>
        <w:t> </w:t>
      </w:r>
      <w:r>
        <w:rPr>
          <w:color w:val="231F20"/>
        </w:rPr>
        <w:t>márgenes</w:t>
      </w:r>
      <w:r>
        <w:rPr>
          <w:color w:val="231F20"/>
          <w:spacing w:val="-7"/>
        </w:rPr>
        <w:t> </w:t>
      </w:r>
      <w:r>
        <w:rPr>
          <w:color w:val="231F20"/>
        </w:rPr>
        <w:t>de</w:t>
      </w:r>
      <w:r>
        <w:rPr>
          <w:color w:val="231F20"/>
          <w:spacing w:val="-7"/>
        </w:rPr>
        <w:t> </w:t>
      </w:r>
      <w:r>
        <w:rPr>
          <w:color w:val="231F20"/>
        </w:rPr>
        <w:t>beneficios,</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23" w:right="635"/>
      </w:pPr>
      <w:r>
        <w:rPr>
          <w:color w:val="231F20"/>
        </w:rPr>
        <w:t>descuidando el desarrollo de automóviles de pasajeros más pequeños y más eficientes en el consumo de combustibles (ABC News, 2006).</w:t>
      </w:r>
    </w:p>
    <w:p>
      <w:pPr>
        <w:pStyle w:val="BodyText"/>
        <w:spacing w:line="271" w:lineRule="auto" w:before="1"/>
        <w:ind w:left="123" w:right="649" w:firstLine="396"/>
        <w:jc w:val="both"/>
      </w:pPr>
      <w:r>
        <w:rPr>
          <w:color w:val="231F20"/>
        </w:rPr>
        <w:t>Las automotrices europeas, por su parte, no contaban con el mismo nivel de de- sarrollo que las norteamericanas, por lo que también se enfocaron en la producción de vehículos más económicos y de menor tamaño, pero más eficientes en el consumo de combustibles. Estos vehículos han incrementado su demanda de manera conside- rable,</w:t>
      </w:r>
      <w:r>
        <w:rPr>
          <w:color w:val="231F20"/>
          <w:spacing w:val="-8"/>
        </w:rPr>
        <w:t> </w:t>
      </w:r>
      <w:r>
        <w:rPr>
          <w:color w:val="231F20"/>
        </w:rPr>
        <w:t>sobre</w:t>
      </w:r>
      <w:r>
        <w:rPr>
          <w:color w:val="231F20"/>
          <w:spacing w:val="-8"/>
        </w:rPr>
        <w:t> </w:t>
      </w:r>
      <w:r>
        <w:rPr>
          <w:color w:val="231F20"/>
        </w:rPr>
        <w:t>todo</w:t>
      </w:r>
      <w:r>
        <w:rPr>
          <w:color w:val="231F20"/>
          <w:spacing w:val="-8"/>
        </w:rPr>
        <w:t> </w:t>
      </w:r>
      <w:r>
        <w:rPr>
          <w:color w:val="231F20"/>
        </w:rPr>
        <w:t>a</w:t>
      </w:r>
      <w:r>
        <w:rPr>
          <w:color w:val="231F20"/>
          <w:spacing w:val="-8"/>
        </w:rPr>
        <w:t> </w:t>
      </w:r>
      <w:r>
        <w:rPr>
          <w:color w:val="231F20"/>
        </w:rPr>
        <w:t>partir</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nuevas</w:t>
      </w:r>
      <w:r>
        <w:rPr>
          <w:color w:val="231F20"/>
          <w:spacing w:val="-8"/>
        </w:rPr>
        <w:t> </w:t>
      </w:r>
      <w:r>
        <w:rPr>
          <w:color w:val="231F20"/>
        </w:rPr>
        <w:t>regulaciones</w:t>
      </w:r>
      <w:r>
        <w:rPr>
          <w:color w:val="231F20"/>
          <w:spacing w:val="-8"/>
        </w:rPr>
        <w:t> </w:t>
      </w:r>
      <w:r>
        <w:rPr>
          <w:color w:val="231F20"/>
        </w:rPr>
        <w:t>ambientales</w:t>
      </w:r>
      <w:r>
        <w:rPr>
          <w:color w:val="231F20"/>
          <w:spacing w:val="-8"/>
        </w:rPr>
        <w:t> </w:t>
      </w:r>
      <w:r>
        <w:rPr>
          <w:color w:val="231F20"/>
        </w:rPr>
        <w:t>aplicadas</w:t>
      </w:r>
      <w:r>
        <w:rPr>
          <w:color w:val="231F20"/>
          <w:spacing w:val="-8"/>
        </w:rPr>
        <w:t> </w:t>
      </w:r>
      <w:r>
        <w:rPr>
          <w:color w:val="231F20"/>
        </w:rPr>
        <w:t>por</w:t>
      </w:r>
      <w:r>
        <w:rPr>
          <w:color w:val="231F20"/>
          <w:spacing w:val="-8"/>
        </w:rPr>
        <w:t> </w:t>
      </w:r>
      <w:r>
        <w:rPr>
          <w:color w:val="231F20"/>
        </w:rPr>
        <w:t>algunos gobiernos</w:t>
      </w:r>
      <w:r>
        <w:rPr>
          <w:color w:val="231F20"/>
          <w:spacing w:val="-11"/>
        </w:rPr>
        <w:t> </w:t>
      </w:r>
      <w:r>
        <w:rPr>
          <w:color w:val="231F20"/>
        </w:rPr>
        <w:t>y</w:t>
      </w:r>
      <w:r>
        <w:rPr>
          <w:color w:val="231F20"/>
          <w:spacing w:val="-11"/>
        </w:rPr>
        <w:t> </w:t>
      </w:r>
      <w:r>
        <w:rPr>
          <w:color w:val="231F20"/>
        </w:rPr>
        <w:t>del</w:t>
      </w:r>
      <w:r>
        <w:rPr>
          <w:color w:val="231F20"/>
          <w:spacing w:val="-11"/>
        </w:rPr>
        <w:t> </w:t>
      </w:r>
      <w:r>
        <w:rPr>
          <w:color w:val="231F20"/>
        </w:rPr>
        <w:t>alza</w:t>
      </w:r>
      <w:r>
        <w:rPr>
          <w:color w:val="231F20"/>
          <w:spacing w:val="-11"/>
        </w:rPr>
        <w:t> </w:t>
      </w:r>
      <w:r>
        <w:rPr>
          <w:color w:val="231F20"/>
        </w:rPr>
        <w:t>sustancial</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precios</w:t>
      </w:r>
      <w:r>
        <w:rPr>
          <w:color w:val="231F20"/>
          <w:spacing w:val="-11"/>
        </w:rPr>
        <w:t> </w:t>
      </w:r>
      <w:r>
        <w:rPr>
          <w:color w:val="231F20"/>
        </w:rPr>
        <w:t>del</w:t>
      </w:r>
      <w:r>
        <w:rPr>
          <w:color w:val="231F20"/>
          <w:spacing w:val="-11"/>
        </w:rPr>
        <w:t> </w:t>
      </w:r>
      <w:r>
        <w:rPr>
          <w:color w:val="231F20"/>
        </w:rPr>
        <w:t>petróleo.</w:t>
      </w:r>
      <w:r>
        <w:rPr>
          <w:color w:val="231F20"/>
          <w:spacing w:val="-11"/>
        </w:rPr>
        <w:t> </w:t>
      </w:r>
      <w:r>
        <w:rPr>
          <w:color w:val="231F20"/>
        </w:rPr>
        <w:t>Mientras</w:t>
      </w:r>
      <w:r>
        <w:rPr>
          <w:color w:val="231F20"/>
          <w:spacing w:val="-11"/>
        </w:rPr>
        <w:t> </w:t>
      </w:r>
      <w:r>
        <w:rPr>
          <w:color w:val="231F20"/>
        </w:rPr>
        <w:t>los</w:t>
      </w:r>
      <w:r>
        <w:rPr>
          <w:color w:val="231F20"/>
          <w:spacing w:val="-11"/>
        </w:rPr>
        <w:t> </w:t>
      </w:r>
      <w:r>
        <w:rPr>
          <w:color w:val="231F20"/>
        </w:rPr>
        <w:t>vehículos</w:t>
      </w:r>
      <w:r>
        <w:rPr>
          <w:color w:val="231F20"/>
          <w:spacing w:val="-11"/>
        </w:rPr>
        <w:t> </w:t>
      </w:r>
      <w:r>
        <w:rPr>
          <w:color w:val="231F20"/>
        </w:rPr>
        <w:t>gran- des, como las camionetas </w:t>
      </w:r>
      <w:r>
        <w:rPr>
          <w:rFonts w:ascii="Palatino Linotype" w:hAnsi="Palatino Linotype"/>
          <w:i/>
          <w:color w:val="231F20"/>
        </w:rPr>
        <w:t>pickup</w:t>
      </w:r>
      <w:r>
        <w:rPr>
          <w:color w:val="231F20"/>
        </w:rPr>
        <w:t>, y los vehículos deportivos utilitarios (principal seg- mento de las tres grandes estadounidenses) han visto disminuida su demanda (ABC News,</w:t>
      </w:r>
      <w:r>
        <w:rPr>
          <w:color w:val="231F20"/>
          <w:spacing w:val="-34"/>
        </w:rPr>
        <w:t> </w:t>
      </w:r>
      <w:r>
        <w:rPr>
          <w:color w:val="231F20"/>
        </w:rPr>
        <w:t>2006).</w:t>
      </w:r>
    </w:p>
    <w:p>
      <w:pPr>
        <w:pStyle w:val="BodyText"/>
        <w:spacing w:line="278" w:lineRule="auto" w:before="8"/>
        <w:ind w:left="123" w:right="651" w:firstLine="396"/>
        <w:jc w:val="both"/>
      </w:pPr>
      <w:r>
        <w:rPr>
          <w:color w:val="231F20"/>
          <w:spacing w:val="-4"/>
        </w:rPr>
        <w:t>Por </w:t>
      </w:r>
      <w:r>
        <w:rPr>
          <w:color w:val="231F20"/>
        </w:rPr>
        <w:t>otro lado, y como resultado de los mismos factores, se inició la carrera por parte</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firmas</w:t>
      </w:r>
      <w:r>
        <w:rPr>
          <w:color w:val="231F20"/>
          <w:spacing w:val="-6"/>
        </w:rPr>
        <w:t> </w:t>
      </w:r>
      <w:r>
        <w:rPr>
          <w:color w:val="231F20"/>
        </w:rPr>
        <w:t>automotrices</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desarrollo</w:t>
      </w:r>
      <w:r>
        <w:rPr>
          <w:color w:val="231F20"/>
          <w:spacing w:val="-6"/>
        </w:rPr>
        <w:t> </w:t>
      </w:r>
      <w:r>
        <w:rPr>
          <w:color w:val="231F20"/>
        </w:rPr>
        <w:t>de</w:t>
      </w:r>
      <w:r>
        <w:rPr>
          <w:color w:val="231F20"/>
          <w:spacing w:val="-6"/>
        </w:rPr>
        <w:t> </w:t>
      </w:r>
      <w:r>
        <w:rPr>
          <w:color w:val="231F20"/>
        </w:rPr>
        <w:t>nuevas</w:t>
      </w:r>
      <w:r>
        <w:rPr>
          <w:color w:val="231F20"/>
          <w:spacing w:val="-6"/>
        </w:rPr>
        <w:t> </w:t>
      </w:r>
      <w:r>
        <w:rPr>
          <w:color w:val="231F20"/>
        </w:rPr>
        <w:t>tecnologías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produc- ción de vehículos híbridos.</w:t>
      </w:r>
      <w:r>
        <w:rPr>
          <w:color w:val="231F20"/>
          <w:position w:val="7"/>
          <w:sz w:val="12"/>
        </w:rPr>
        <w:t>10 </w:t>
      </w:r>
      <w:r>
        <w:rPr>
          <w:color w:val="231F20"/>
        </w:rPr>
        <w:t>Este proceso de innovación está revolucionando al</w:t>
      </w:r>
      <w:r>
        <w:rPr>
          <w:color w:val="231F20"/>
          <w:spacing w:val="-33"/>
        </w:rPr>
        <w:t> </w:t>
      </w:r>
      <w:r>
        <w:rPr>
          <w:color w:val="231F20"/>
        </w:rPr>
        <w:t>sector automotriz a nivel mundial y sin duda es un factor en el que se apoyaron las firmas automotrices para superar la crisis y ganar mayores segmentos del mercado. En este sentido,</w:t>
      </w:r>
      <w:r>
        <w:rPr>
          <w:color w:val="231F20"/>
          <w:spacing w:val="-9"/>
        </w:rPr>
        <w:t> </w:t>
      </w:r>
      <w:r>
        <w:rPr>
          <w:color w:val="231F20"/>
        </w:rPr>
        <w:t>aun</w:t>
      </w:r>
      <w:r>
        <w:rPr>
          <w:color w:val="231F20"/>
          <w:spacing w:val="-9"/>
        </w:rPr>
        <w:t> </w:t>
      </w:r>
      <w:r>
        <w:rPr>
          <w:color w:val="231F20"/>
        </w:rPr>
        <w:t>cuando</w:t>
      </w:r>
      <w:r>
        <w:rPr>
          <w:color w:val="231F20"/>
          <w:spacing w:val="-9"/>
        </w:rPr>
        <w:t> </w:t>
      </w:r>
      <w:r>
        <w:rPr>
          <w:color w:val="231F20"/>
        </w:rPr>
        <w:t>Chrysler,</w:t>
      </w:r>
      <w:r>
        <w:rPr>
          <w:color w:val="231F20"/>
          <w:spacing w:val="-9"/>
        </w:rPr>
        <w:t> </w:t>
      </w:r>
      <w:r>
        <w:rPr>
          <w:color w:val="231F20"/>
          <w:spacing w:val="-3"/>
        </w:rPr>
        <w:t>Ford</w:t>
      </w:r>
      <w:r>
        <w:rPr>
          <w:color w:val="231F20"/>
          <w:spacing w:val="-10"/>
        </w:rPr>
        <w:t> </w:t>
      </w:r>
      <w:r>
        <w:rPr>
          <w:color w:val="231F20"/>
        </w:rPr>
        <w:t>y</w:t>
      </w:r>
      <w:r>
        <w:rPr>
          <w:color w:val="231F20"/>
          <w:spacing w:val="-9"/>
        </w:rPr>
        <w:t> </w:t>
      </w:r>
      <w:r>
        <w:rPr>
          <w:color w:val="231F20"/>
        </w:rPr>
        <w:t>General</w:t>
      </w:r>
      <w:r>
        <w:rPr>
          <w:color w:val="231F20"/>
          <w:spacing w:val="-10"/>
        </w:rPr>
        <w:t> </w:t>
      </w:r>
      <w:r>
        <w:rPr>
          <w:color w:val="231F20"/>
          <w:spacing w:val="-3"/>
        </w:rPr>
        <w:t>Motors</w:t>
      </w:r>
      <w:r>
        <w:rPr>
          <w:color w:val="231F20"/>
          <w:spacing w:val="-9"/>
        </w:rPr>
        <w:t> </w:t>
      </w:r>
      <w:r>
        <w:rPr>
          <w:color w:val="231F20"/>
        </w:rPr>
        <w:t>han</w:t>
      </w:r>
      <w:r>
        <w:rPr>
          <w:color w:val="231F20"/>
          <w:spacing w:val="-10"/>
        </w:rPr>
        <w:t> </w:t>
      </w:r>
      <w:r>
        <w:rPr>
          <w:color w:val="231F20"/>
        </w:rPr>
        <w:t>realizado</w:t>
      </w:r>
      <w:r>
        <w:rPr>
          <w:color w:val="231F20"/>
          <w:spacing w:val="-9"/>
        </w:rPr>
        <w:t> </w:t>
      </w:r>
      <w:r>
        <w:rPr>
          <w:color w:val="231F20"/>
        </w:rPr>
        <w:t>signifcativas</w:t>
      </w:r>
      <w:r>
        <w:rPr>
          <w:color w:val="231F20"/>
          <w:spacing w:val="-10"/>
        </w:rPr>
        <w:t> </w:t>
      </w:r>
      <w:r>
        <w:rPr>
          <w:color w:val="231F20"/>
          <w:spacing w:val="-3"/>
        </w:rPr>
        <w:t>inver- </w:t>
      </w:r>
      <w:r>
        <w:rPr>
          <w:color w:val="231F20"/>
        </w:rPr>
        <w:t>siones en este terreno, </w:t>
      </w:r>
      <w:r>
        <w:rPr>
          <w:color w:val="231F20"/>
          <w:spacing w:val="-5"/>
        </w:rPr>
        <w:t>Toyota </w:t>
      </w:r>
      <w:r>
        <w:rPr>
          <w:color w:val="231F20"/>
        </w:rPr>
        <w:t>es la firma líder que lleva la ventaja con un importante camino</w:t>
      </w:r>
      <w:r>
        <w:rPr>
          <w:color w:val="231F20"/>
          <w:spacing w:val="-11"/>
        </w:rPr>
        <w:t> </w:t>
      </w:r>
      <w:r>
        <w:rPr>
          <w:color w:val="231F20"/>
        </w:rPr>
        <w:t>recorrido</w:t>
      </w:r>
      <w:r>
        <w:rPr>
          <w:color w:val="231F20"/>
          <w:spacing w:val="-11"/>
        </w:rPr>
        <w:t> </w:t>
      </w:r>
      <w:r>
        <w:rPr>
          <w:color w:val="231F20"/>
        </w:rPr>
        <w:t>en</w:t>
      </w:r>
      <w:r>
        <w:rPr>
          <w:color w:val="231F20"/>
          <w:spacing w:val="-11"/>
        </w:rPr>
        <w:t> </w:t>
      </w:r>
      <w:r>
        <w:rPr>
          <w:color w:val="231F20"/>
        </w:rPr>
        <w:t>I+D</w:t>
      </w:r>
      <w:r>
        <w:rPr>
          <w:color w:val="231F20"/>
          <w:spacing w:val="-11"/>
        </w:rPr>
        <w:t> </w:t>
      </w:r>
      <w:r>
        <w:rPr>
          <w:color w:val="231F20"/>
        </w:rPr>
        <w:t>de</w:t>
      </w:r>
      <w:r>
        <w:rPr>
          <w:color w:val="231F20"/>
          <w:spacing w:val="-11"/>
        </w:rPr>
        <w:t> </w:t>
      </w:r>
      <w:r>
        <w:rPr>
          <w:color w:val="231F20"/>
        </w:rPr>
        <w:t>nuevas</w:t>
      </w:r>
      <w:r>
        <w:rPr>
          <w:color w:val="231F20"/>
          <w:spacing w:val="-11"/>
        </w:rPr>
        <w:t> </w:t>
      </w:r>
      <w:r>
        <w:rPr>
          <w:color w:val="231F20"/>
        </w:rPr>
        <w:t>tecnologías,</w:t>
      </w:r>
      <w:r>
        <w:rPr>
          <w:color w:val="231F20"/>
          <w:spacing w:val="-11"/>
        </w:rPr>
        <w:t> </w:t>
      </w:r>
      <w:r>
        <w:rPr>
          <w:color w:val="231F20"/>
        </w:rPr>
        <w:t>e</w:t>
      </w:r>
      <w:r>
        <w:rPr>
          <w:color w:val="231F20"/>
          <w:spacing w:val="-11"/>
        </w:rPr>
        <w:t> </w:t>
      </w:r>
      <w:r>
        <w:rPr>
          <w:color w:val="231F20"/>
        </w:rPr>
        <w:t>incluso</w:t>
      </w:r>
      <w:r>
        <w:rPr>
          <w:color w:val="231F20"/>
          <w:spacing w:val="-11"/>
        </w:rPr>
        <w:t> </w:t>
      </w:r>
      <w:r>
        <w:rPr>
          <w:color w:val="231F20"/>
        </w:rPr>
        <w:t>ya</w:t>
      </w:r>
      <w:r>
        <w:rPr>
          <w:color w:val="231F20"/>
          <w:spacing w:val="-11"/>
        </w:rPr>
        <w:t> </w:t>
      </w:r>
      <w:r>
        <w:rPr>
          <w:color w:val="231F20"/>
        </w:rPr>
        <w:t>realiza</w:t>
      </w:r>
      <w:r>
        <w:rPr>
          <w:color w:val="231F20"/>
          <w:spacing w:val="-11"/>
        </w:rPr>
        <w:t> </w:t>
      </w:r>
      <w:r>
        <w:rPr>
          <w:color w:val="231F20"/>
        </w:rPr>
        <w:t>venta</w:t>
      </w:r>
      <w:r>
        <w:rPr>
          <w:color w:val="231F20"/>
          <w:spacing w:val="-11"/>
        </w:rPr>
        <w:t> </w:t>
      </w:r>
      <w:r>
        <w:rPr>
          <w:color w:val="231F20"/>
        </w:rPr>
        <w:t>de</w:t>
      </w:r>
      <w:r>
        <w:rPr>
          <w:color w:val="231F20"/>
          <w:spacing w:val="-11"/>
        </w:rPr>
        <w:t> </w:t>
      </w:r>
      <w:r>
        <w:rPr>
          <w:color w:val="231F20"/>
        </w:rPr>
        <w:t>vehículos con estas</w:t>
      </w:r>
      <w:r>
        <w:rPr>
          <w:color w:val="231F20"/>
          <w:spacing w:val="-32"/>
        </w:rPr>
        <w:t> </w:t>
      </w:r>
      <w:r>
        <w:rPr>
          <w:color w:val="231F20"/>
        </w:rPr>
        <w:t>características.</w:t>
      </w:r>
    </w:p>
    <w:p>
      <w:pPr>
        <w:pStyle w:val="BodyText"/>
        <w:spacing w:line="278" w:lineRule="auto" w:before="1"/>
        <w:ind w:left="124" w:right="650" w:firstLine="396"/>
        <w:jc w:val="both"/>
      </w:pPr>
      <w:r>
        <w:rPr>
          <w:color w:val="231F20"/>
        </w:rPr>
        <w:t>Hasta este punto queda claro cómo la innovación tecnológica ha sido un factor fundamental para que Toyota haya sido de las empresas automotrices menos perjudi- cadas con la crisis económica, además de consolidarse como el principal productor y vendedor de vehículos en el mundo desde hace algunos años. A esto hay que agregar que las grandes norteamericanas han sido víctimas de sus propias políticas erróneas, con las que conformaron estructuras de costos muy elevados, que las llevaron a ser menos competitivas que las empresas japonesas, a hacerse inmanejables y a generar grandes problemas que detonaron con la crisis económica actual.</w:t>
      </w:r>
    </w:p>
    <w:p>
      <w:pPr>
        <w:pStyle w:val="BodyText"/>
        <w:spacing w:before="1"/>
        <w:ind w:left="520" w:right="646"/>
      </w:pPr>
      <w:r>
        <w:rPr>
          <w:color w:val="231F20"/>
        </w:rPr>
        <w:t>Algunos elementos que propiciaron esta situación para General Motors son:</w:t>
      </w:r>
    </w:p>
    <w:p>
      <w:pPr>
        <w:pStyle w:val="ListParagraph"/>
        <w:numPr>
          <w:ilvl w:val="2"/>
          <w:numId w:val="16"/>
        </w:numPr>
        <w:tabs>
          <w:tab w:pos="521" w:val="left" w:leader="none"/>
        </w:tabs>
        <w:spacing w:line="278" w:lineRule="auto" w:before="152" w:after="0"/>
        <w:ind w:left="520" w:right="651" w:hanging="278"/>
        <w:jc w:val="both"/>
        <w:rPr>
          <w:sz w:val="21"/>
        </w:rPr>
      </w:pPr>
      <w:r>
        <w:rPr>
          <w:color w:val="231F20"/>
          <w:sz w:val="21"/>
        </w:rPr>
        <w:t>La estructura de costos tan elevada como resultado de los altos sueldos y pres- taciones que reciben los trabajadores de niveles ejecutivos, incluyendo salarios, beneficios,</w:t>
      </w:r>
      <w:r>
        <w:rPr>
          <w:color w:val="231F20"/>
          <w:spacing w:val="-13"/>
          <w:sz w:val="21"/>
        </w:rPr>
        <w:t> </w:t>
      </w:r>
      <w:r>
        <w:rPr>
          <w:color w:val="231F20"/>
          <w:sz w:val="21"/>
        </w:rPr>
        <w:t>seguridad</w:t>
      </w:r>
      <w:r>
        <w:rPr>
          <w:color w:val="231F20"/>
          <w:spacing w:val="-13"/>
          <w:sz w:val="21"/>
        </w:rPr>
        <w:t> </w:t>
      </w:r>
      <w:r>
        <w:rPr>
          <w:color w:val="231F20"/>
          <w:sz w:val="21"/>
        </w:rPr>
        <w:t>social</w:t>
      </w:r>
      <w:r>
        <w:rPr>
          <w:color w:val="231F20"/>
          <w:spacing w:val="-13"/>
          <w:sz w:val="21"/>
        </w:rPr>
        <w:t> </w:t>
      </w:r>
      <w:r>
        <w:rPr>
          <w:color w:val="231F20"/>
          <w:sz w:val="21"/>
        </w:rPr>
        <w:t>y</w:t>
      </w:r>
      <w:r>
        <w:rPr>
          <w:color w:val="231F20"/>
          <w:spacing w:val="-13"/>
          <w:sz w:val="21"/>
        </w:rPr>
        <w:t> </w:t>
      </w:r>
      <w:r>
        <w:rPr>
          <w:color w:val="231F20"/>
          <w:sz w:val="21"/>
        </w:rPr>
        <w:t>pensiones</w:t>
      </w:r>
      <w:r>
        <w:rPr>
          <w:color w:val="231F20"/>
          <w:spacing w:val="-13"/>
          <w:sz w:val="21"/>
        </w:rPr>
        <w:t> </w:t>
      </w:r>
      <w:r>
        <w:rPr>
          <w:color w:val="231F20"/>
          <w:sz w:val="21"/>
        </w:rPr>
        <w:t>(Praet,</w:t>
      </w:r>
      <w:r>
        <w:rPr>
          <w:color w:val="231F20"/>
          <w:spacing w:val="-13"/>
          <w:sz w:val="21"/>
        </w:rPr>
        <w:t> </w:t>
      </w:r>
      <w:r>
        <w:rPr>
          <w:color w:val="231F20"/>
          <w:sz w:val="21"/>
        </w:rPr>
        <w:t>2008).</w:t>
      </w:r>
    </w:p>
    <w:p>
      <w:pPr>
        <w:pStyle w:val="ListParagraph"/>
        <w:numPr>
          <w:ilvl w:val="2"/>
          <w:numId w:val="16"/>
        </w:numPr>
        <w:tabs>
          <w:tab w:pos="521" w:val="left" w:leader="none"/>
        </w:tabs>
        <w:spacing w:line="278" w:lineRule="auto" w:before="114" w:after="0"/>
        <w:ind w:left="520" w:right="651" w:hanging="292"/>
        <w:jc w:val="both"/>
        <w:rPr>
          <w:sz w:val="21"/>
        </w:rPr>
      </w:pPr>
      <w:r>
        <w:rPr>
          <w:color w:val="231F20"/>
          <w:sz w:val="21"/>
        </w:rPr>
        <w:t>La fuerza de sus sindicatos, a los que se les ha otorgado concesiones que</w:t>
      </w:r>
      <w:r>
        <w:rPr>
          <w:color w:val="231F20"/>
          <w:spacing w:val="-30"/>
          <w:sz w:val="21"/>
        </w:rPr>
        <w:t> </w:t>
      </w:r>
      <w:r>
        <w:rPr>
          <w:color w:val="231F20"/>
          <w:sz w:val="21"/>
        </w:rPr>
        <w:t>resultan </w:t>
      </w:r>
      <w:r>
        <w:rPr>
          <w:color w:val="231F20"/>
          <w:spacing w:val="-2"/>
          <w:sz w:val="21"/>
        </w:rPr>
        <w:t>muy </w:t>
      </w:r>
      <w:r>
        <w:rPr>
          <w:color w:val="231F20"/>
          <w:sz w:val="21"/>
        </w:rPr>
        <w:t>onerosas y hacen poco competitiva su estructura de costos, a cambio de un ambiente laboral tranquilo. La mayoría de sus operaciones están   </w:t>
      </w:r>
      <w:r>
        <w:rPr>
          <w:color w:val="231F20"/>
          <w:spacing w:val="1"/>
          <w:sz w:val="21"/>
        </w:rPr>
        <w:t> </w:t>
      </w:r>
      <w:r>
        <w:rPr>
          <w:color w:val="231F20"/>
          <w:sz w:val="21"/>
        </w:rPr>
        <w:t>sindicalizadas</w:t>
      </w:r>
    </w:p>
    <w:p>
      <w:pPr>
        <w:pStyle w:val="BodyText"/>
        <w:spacing w:before="8"/>
        <w:rPr>
          <w:sz w:val="10"/>
        </w:rPr>
      </w:pPr>
      <w:r>
        <w:rPr/>
        <w:pict>
          <v:line style="position:absolute;mso-position-horizontal-relative:page;mso-position-vertical-relative:paragraph;z-index:7480;mso-wrap-distance-left:0;mso-wrap-distance-right:0" from="65.196899pt,8.369993pt" to="206.928899pt,8.369993pt" stroked="true" strokeweight=".5pt" strokecolor="#231f20">
            <w10:wrap type="topAndBottom"/>
          </v:line>
        </w:pict>
      </w:r>
    </w:p>
    <w:p>
      <w:pPr>
        <w:spacing w:before="43"/>
        <w:ind w:left="123" w:right="646" w:firstLine="0"/>
        <w:jc w:val="left"/>
        <w:rPr>
          <w:sz w:val="16"/>
        </w:rPr>
      </w:pPr>
      <w:r>
        <w:rPr>
          <w:color w:val="231F20"/>
          <w:position w:val="5"/>
          <w:sz w:val="9"/>
        </w:rPr>
        <w:t>10     </w:t>
      </w:r>
      <w:r>
        <w:rPr>
          <w:color w:val="231F20"/>
          <w:sz w:val="16"/>
        </w:rPr>
        <w:t>Este aspecto ya ha sido tratado ampliamente en un apartado anterior de este mismo capítulo.</w:t>
      </w:r>
    </w:p>
    <w:p>
      <w:pPr>
        <w:spacing w:after="0"/>
        <w:jc w:val="left"/>
        <w:rPr>
          <w:sz w:val="16"/>
        </w:rPr>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1050" w:right="102"/>
        <w:jc w:val="both"/>
      </w:pPr>
      <w:r>
        <w:rPr>
          <w:color w:val="231F20"/>
        </w:rPr>
        <w:t>(United </w:t>
      </w:r>
      <w:r>
        <w:rPr>
          <w:color w:val="231F20"/>
          <w:spacing w:val="-4"/>
        </w:rPr>
        <w:t>Auto </w:t>
      </w:r>
      <w:r>
        <w:rPr>
          <w:color w:val="231F20"/>
          <w:spacing w:val="-5"/>
        </w:rPr>
        <w:t>Workers </w:t>
      </w:r>
      <w:r>
        <w:rPr>
          <w:color w:val="231F20"/>
        </w:rPr>
        <w:t>y Canadian </w:t>
      </w:r>
      <w:r>
        <w:rPr>
          <w:color w:val="231F20"/>
          <w:spacing w:val="-4"/>
        </w:rPr>
        <w:t>Auto Workers), </w:t>
      </w:r>
      <w:r>
        <w:rPr>
          <w:color w:val="231F20"/>
        </w:rPr>
        <w:t>lo cual trae como resultado costos</w:t>
      </w:r>
      <w:r>
        <w:rPr>
          <w:color w:val="231F20"/>
          <w:spacing w:val="-4"/>
        </w:rPr>
        <w:t> </w:t>
      </w:r>
      <w:r>
        <w:rPr>
          <w:color w:val="231F20"/>
        </w:rPr>
        <w:t>laborales</w:t>
      </w:r>
      <w:r>
        <w:rPr>
          <w:color w:val="231F20"/>
          <w:spacing w:val="-4"/>
        </w:rPr>
        <w:t> </w:t>
      </w:r>
      <w:r>
        <w:rPr>
          <w:color w:val="231F20"/>
        </w:rPr>
        <w:t>mayores</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de</w:t>
      </w:r>
      <w:r>
        <w:rPr>
          <w:color w:val="231F20"/>
          <w:spacing w:val="-4"/>
        </w:rPr>
        <w:t> </w:t>
      </w:r>
      <w:r>
        <w:rPr>
          <w:color w:val="231F20"/>
        </w:rPr>
        <w:t>otras</w:t>
      </w:r>
      <w:r>
        <w:rPr>
          <w:color w:val="231F20"/>
          <w:spacing w:val="-4"/>
        </w:rPr>
        <w:t> </w:t>
      </w:r>
      <w:r>
        <w:rPr>
          <w:color w:val="231F20"/>
        </w:rPr>
        <w:t>multinacionales</w:t>
      </w:r>
      <w:r>
        <w:rPr>
          <w:color w:val="231F20"/>
          <w:spacing w:val="-4"/>
        </w:rPr>
        <w:t> </w:t>
      </w:r>
      <w:r>
        <w:rPr>
          <w:color w:val="231F20"/>
        </w:rPr>
        <w:t>fabricantes</w:t>
      </w:r>
      <w:r>
        <w:rPr>
          <w:color w:val="231F20"/>
          <w:spacing w:val="-4"/>
        </w:rPr>
        <w:t> </w:t>
      </w:r>
      <w:r>
        <w:rPr>
          <w:color w:val="231F20"/>
        </w:rPr>
        <w:t>de</w:t>
      </w:r>
      <w:r>
        <w:rPr>
          <w:color w:val="231F20"/>
          <w:spacing w:val="-4"/>
        </w:rPr>
        <w:t> </w:t>
      </w:r>
      <w:r>
        <w:rPr>
          <w:color w:val="231F20"/>
        </w:rPr>
        <w:t>automó- viles</w:t>
      </w:r>
      <w:r>
        <w:rPr>
          <w:color w:val="231F20"/>
          <w:spacing w:val="-23"/>
        </w:rPr>
        <w:t> </w:t>
      </w:r>
      <w:r>
        <w:rPr>
          <w:color w:val="231F20"/>
        </w:rPr>
        <w:t>(Praet,</w:t>
      </w:r>
      <w:r>
        <w:rPr>
          <w:color w:val="231F20"/>
          <w:spacing w:val="-23"/>
        </w:rPr>
        <w:t> </w:t>
      </w:r>
      <w:r>
        <w:rPr>
          <w:color w:val="231F20"/>
        </w:rPr>
        <w:t>2008).</w:t>
      </w:r>
    </w:p>
    <w:p>
      <w:pPr>
        <w:pStyle w:val="ListParagraph"/>
        <w:numPr>
          <w:ilvl w:val="2"/>
          <w:numId w:val="16"/>
        </w:numPr>
        <w:tabs>
          <w:tab w:pos="1051" w:val="left" w:leader="none"/>
        </w:tabs>
        <w:spacing w:line="278" w:lineRule="auto" w:before="114" w:after="0"/>
        <w:ind w:left="1050" w:right="100" w:hanging="275"/>
        <w:jc w:val="both"/>
        <w:rPr>
          <w:sz w:val="21"/>
        </w:rPr>
      </w:pPr>
      <w:r>
        <w:rPr>
          <w:color w:val="231F20"/>
          <w:spacing w:val="-3"/>
          <w:sz w:val="21"/>
        </w:rPr>
        <w:t>No  </w:t>
      </w:r>
      <w:r>
        <w:rPr>
          <w:color w:val="231F20"/>
          <w:sz w:val="21"/>
        </w:rPr>
        <w:t>haber corregido a tiempo (incluso cuando todo indicaba que debía hacer-   se) la ineficiencia en el consumo de combustibles de los grandes vehículos que producían, aun a pesar del incremento en el precio del petróleo y de las nuevas regulaciones emitidas por los</w:t>
      </w:r>
      <w:r>
        <w:rPr>
          <w:color w:val="231F20"/>
          <w:spacing w:val="13"/>
          <w:sz w:val="21"/>
        </w:rPr>
        <w:t> </w:t>
      </w:r>
      <w:r>
        <w:rPr>
          <w:color w:val="231F20"/>
          <w:sz w:val="21"/>
        </w:rPr>
        <w:t>gobiernos.</w:t>
      </w:r>
    </w:p>
    <w:p>
      <w:pPr>
        <w:pStyle w:val="BodyText"/>
        <w:spacing w:line="278" w:lineRule="auto" w:before="114"/>
        <w:ind w:left="653" w:right="100"/>
        <w:jc w:val="both"/>
      </w:pPr>
      <w:r>
        <w:rPr>
          <w:color w:val="231F20"/>
        </w:rPr>
        <w:t>Esta situación no es nueva para las tres norteamericanas; por el contrario, en los últi- mos</w:t>
      </w:r>
      <w:r>
        <w:rPr>
          <w:color w:val="231F20"/>
          <w:spacing w:val="-5"/>
        </w:rPr>
        <w:t> </w:t>
      </w:r>
      <w:r>
        <w:rPr>
          <w:color w:val="231F20"/>
        </w:rPr>
        <w:t>años</w:t>
      </w:r>
      <w:r>
        <w:rPr>
          <w:color w:val="231F20"/>
          <w:spacing w:val="-5"/>
        </w:rPr>
        <w:t> </w:t>
      </w:r>
      <w:r>
        <w:rPr>
          <w:color w:val="231F20"/>
        </w:rPr>
        <w:t>han</w:t>
      </w:r>
      <w:r>
        <w:rPr>
          <w:color w:val="231F20"/>
          <w:spacing w:val="-5"/>
        </w:rPr>
        <w:t> </w:t>
      </w:r>
      <w:r>
        <w:rPr>
          <w:color w:val="231F20"/>
        </w:rPr>
        <w:t>enfrentado</w:t>
      </w:r>
      <w:r>
        <w:rPr>
          <w:color w:val="231F20"/>
          <w:spacing w:val="-5"/>
        </w:rPr>
        <w:t> </w:t>
      </w:r>
      <w:r>
        <w:rPr>
          <w:color w:val="231F20"/>
        </w:rPr>
        <w:t>importantes</w:t>
      </w:r>
      <w:r>
        <w:rPr>
          <w:color w:val="231F20"/>
          <w:spacing w:val="-5"/>
        </w:rPr>
        <w:t> </w:t>
      </w:r>
      <w:r>
        <w:rPr>
          <w:color w:val="231F20"/>
        </w:rPr>
        <w:t>pérdidas</w:t>
      </w:r>
      <w:r>
        <w:rPr>
          <w:color w:val="231F20"/>
          <w:spacing w:val="-5"/>
        </w:rPr>
        <w:t> </w:t>
      </w:r>
      <w:r>
        <w:rPr>
          <w:color w:val="231F20"/>
        </w:rPr>
        <w:t>financieras</w:t>
      </w:r>
      <w:r>
        <w:rPr>
          <w:color w:val="231F20"/>
          <w:spacing w:val="-5"/>
        </w:rPr>
        <w:t> </w:t>
      </w:r>
      <w:r>
        <w:rPr>
          <w:color w:val="231F20"/>
        </w:rPr>
        <w:t>que</w:t>
      </w:r>
      <w:r>
        <w:rPr>
          <w:color w:val="231F20"/>
          <w:spacing w:val="-5"/>
        </w:rPr>
        <w:t> </w:t>
      </w:r>
      <w:r>
        <w:rPr>
          <w:color w:val="231F20"/>
        </w:rPr>
        <w:t>las</w:t>
      </w:r>
      <w:r>
        <w:rPr>
          <w:color w:val="231F20"/>
          <w:spacing w:val="-5"/>
        </w:rPr>
        <w:t> </w:t>
      </w:r>
      <w:r>
        <w:rPr>
          <w:color w:val="231F20"/>
        </w:rPr>
        <w:t>han</w:t>
      </w:r>
      <w:r>
        <w:rPr>
          <w:color w:val="231F20"/>
          <w:spacing w:val="-5"/>
        </w:rPr>
        <w:t> </w:t>
      </w:r>
      <w:r>
        <w:rPr>
          <w:color w:val="231F20"/>
        </w:rPr>
        <w:t>llevado</w:t>
      </w:r>
      <w:r>
        <w:rPr>
          <w:color w:val="231F20"/>
          <w:spacing w:val="-5"/>
        </w:rPr>
        <w:t> </w:t>
      </w:r>
      <w:r>
        <w:rPr>
          <w:color w:val="231F20"/>
        </w:rPr>
        <w:t>a</w:t>
      </w:r>
      <w:r>
        <w:rPr>
          <w:color w:val="231F20"/>
          <w:spacing w:val="-5"/>
        </w:rPr>
        <w:t> </w:t>
      </w:r>
      <w:r>
        <w:rPr>
          <w:color w:val="231F20"/>
        </w:rPr>
        <w:t>cerrar fábricas</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ello</w:t>
      </w:r>
      <w:r>
        <w:rPr>
          <w:color w:val="231F20"/>
          <w:spacing w:val="-8"/>
        </w:rPr>
        <w:t> </w:t>
      </w:r>
      <w:r>
        <w:rPr>
          <w:color w:val="231F20"/>
        </w:rPr>
        <w:t>al</w:t>
      </w:r>
      <w:r>
        <w:rPr>
          <w:color w:val="231F20"/>
          <w:spacing w:val="-8"/>
        </w:rPr>
        <w:t> </w:t>
      </w:r>
      <w:r>
        <w:rPr>
          <w:color w:val="231F20"/>
        </w:rPr>
        <w:t>despido</w:t>
      </w:r>
      <w:r>
        <w:rPr>
          <w:color w:val="231F20"/>
          <w:spacing w:val="-8"/>
        </w:rPr>
        <w:t> </w:t>
      </w:r>
      <w:r>
        <w:rPr>
          <w:color w:val="231F20"/>
        </w:rPr>
        <w:t>de</w:t>
      </w:r>
      <w:r>
        <w:rPr>
          <w:color w:val="231F20"/>
          <w:spacing w:val="-8"/>
        </w:rPr>
        <w:t> </w:t>
      </w:r>
      <w:r>
        <w:rPr>
          <w:color w:val="231F20"/>
        </w:rPr>
        <w:t>un</w:t>
      </w:r>
      <w:r>
        <w:rPr>
          <w:color w:val="231F20"/>
          <w:spacing w:val="-8"/>
        </w:rPr>
        <w:t> </w:t>
      </w:r>
      <w:r>
        <w:rPr>
          <w:color w:val="231F20"/>
        </w:rPr>
        <w:t>considerable</w:t>
      </w:r>
      <w:r>
        <w:rPr>
          <w:color w:val="231F20"/>
          <w:spacing w:val="-8"/>
        </w:rPr>
        <w:t> </w:t>
      </w:r>
      <w:r>
        <w:rPr>
          <w:color w:val="231F20"/>
        </w:rPr>
        <w:t>número</w:t>
      </w:r>
      <w:r>
        <w:rPr>
          <w:color w:val="231F20"/>
          <w:spacing w:val="-8"/>
        </w:rPr>
        <w:t> </w:t>
      </w:r>
      <w:r>
        <w:rPr>
          <w:color w:val="231F20"/>
        </w:rPr>
        <w:t>de</w:t>
      </w:r>
      <w:r>
        <w:rPr>
          <w:color w:val="231F20"/>
          <w:spacing w:val="-8"/>
        </w:rPr>
        <w:t> </w:t>
      </w:r>
      <w:r>
        <w:rPr>
          <w:color w:val="231F20"/>
        </w:rPr>
        <w:t>empleados,</w:t>
      </w:r>
      <w:r>
        <w:rPr>
          <w:color w:val="231F20"/>
          <w:spacing w:val="-8"/>
        </w:rPr>
        <w:t> </w:t>
      </w:r>
      <w:r>
        <w:rPr>
          <w:color w:val="231F20"/>
        </w:rPr>
        <w:t>especialmente en Michigan. General </w:t>
      </w:r>
      <w:r>
        <w:rPr>
          <w:color w:val="231F20"/>
          <w:spacing w:val="-3"/>
        </w:rPr>
        <w:t>Motors </w:t>
      </w:r>
      <w:r>
        <w:rPr>
          <w:color w:val="231F20"/>
        </w:rPr>
        <w:t>transfirió a muchos empleados de ciertas divisiones a compañías independientes, como American Axle en 1994 y Delphi en 1999. </w:t>
      </w:r>
      <w:r>
        <w:rPr>
          <w:color w:val="231F20"/>
          <w:spacing w:val="-4"/>
        </w:rPr>
        <w:t>Por </w:t>
      </w:r>
      <w:r>
        <w:rPr>
          <w:color w:val="231F20"/>
        </w:rPr>
        <w:t>su parte,</w:t>
      </w:r>
      <w:r>
        <w:rPr>
          <w:color w:val="231F20"/>
          <w:spacing w:val="-7"/>
        </w:rPr>
        <w:t> </w:t>
      </w:r>
      <w:r>
        <w:rPr>
          <w:color w:val="231F20"/>
          <w:spacing w:val="-3"/>
        </w:rPr>
        <w:t>Ford,</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año</w:t>
      </w:r>
      <w:r>
        <w:rPr>
          <w:color w:val="231F20"/>
          <w:spacing w:val="-7"/>
        </w:rPr>
        <w:t> </w:t>
      </w:r>
      <w:r>
        <w:rPr>
          <w:color w:val="231F20"/>
        </w:rPr>
        <w:t>2000,</w:t>
      </w:r>
      <w:r>
        <w:rPr>
          <w:color w:val="231F20"/>
          <w:spacing w:val="-7"/>
        </w:rPr>
        <w:t> </w:t>
      </w:r>
      <w:r>
        <w:rPr>
          <w:color w:val="231F20"/>
        </w:rPr>
        <w:t>separó</w:t>
      </w:r>
      <w:r>
        <w:rPr>
          <w:color w:val="231F20"/>
          <w:spacing w:val="-7"/>
        </w:rPr>
        <w:t> </w:t>
      </w:r>
      <w:r>
        <w:rPr>
          <w:color w:val="231F20"/>
        </w:rPr>
        <w:t>una</w:t>
      </w:r>
      <w:r>
        <w:rPr>
          <w:color w:val="231F20"/>
          <w:spacing w:val="-7"/>
        </w:rPr>
        <w:t> </w:t>
      </w:r>
      <w:r>
        <w:rPr>
          <w:color w:val="231F20"/>
        </w:rPr>
        <w:t>división</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compañía</w:t>
      </w:r>
      <w:r>
        <w:rPr>
          <w:color w:val="231F20"/>
          <w:spacing w:val="-7"/>
        </w:rPr>
        <w:t> </w:t>
      </w:r>
      <w:r>
        <w:rPr>
          <w:color w:val="231F20"/>
          <w:spacing w:val="-3"/>
        </w:rPr>
        <w:t>Visteon.</w:t>
      </w:r>
      <w:r>
        <w:rPr>
          <w:color w:val="231F20"/>
          <w:spacing w:val="-7"/>
        </w:rPr>
        <w:t> </w:t>
      </w:r>
      <w:r>
        <w:rPr>
          <w:color w:val="231F20"/>
        </w:rPr>
        <w:t>Esta</w:t>
      </w:r>
      <w:r>
        <w:rPr>
          <w:color w:val="231F20"/>
          <w:spacing w:val="-7"/>
        </w:rPr>
        <w:t> </w:t>
      </w:r>
      <w:r>
        <w:rPr>
          <w:color w:val="231F20"/>
        </w:rPr>
        <w:t>situación se ha hecho presente también en empresas filiales y otros fabricantes de autopartes, así</w:t>
      </w:r>
      <w:r>
        <w:rPr>
          <w:color w:val="231F20"/>
          <w:spacing w:val="-4"/>
        </w:rPr>
        <w:t> </w:t>
      </w:r>
      <w:r>
        <w:rPr>
          <w:color w:val="231F20"/>
        </w:rPr>
        <w:t>como</w:t>
      </w:r>
      <w:r>
        <w:rPr>
          <w:color w:val="231F20"/>
          <w:spacing w:val="-4"/>
        </w:rPr>
        <w:t> </w:t>
      </w:r>
      <w:r>
        <w:rPr>
          <w:color w:val="231F20"/>
        </w:rPr>
        <w:t>las</w:t>
      </w:r>
      <w:r>
        <w:rPr>
          <w:color w:val="231F20"/>
          <w:spacing w:val="-4"/>
        </w:rPr>
        <w:t> </w:t>
      </w:r>
      <w:r>
        <w:rPr>
          <w:color w:val="231F20"/>
        </w:rPr>
        <w:t>plantas</w:t>
      </w:r>
      <w:r>
        <w:rPr>
          <w:color w:val="231F20"/>
          <w:spacing w:val="-4"/>
        </w:rPr>
        <w:t> </w:t>
      </w:r>
      <w:r>
        <w:rPr>
          <w:color w:val="231F20"/>
        </w:rPr>
        <w:t>en</w:t>
      </w:r>
      <w:r>
        <w:rPr>
          <w:color w:val="231F20"/>
          <w:spacing w:val="-4"/>
        </w:rPr>
        <w:t> </w:t>
      </w:r>
      <w:r>
        <w:rPr>
          <w:color w:val="231F20"/>
        </w:rPr>
        <w:t>Canadá</w:t>
      </w:r>
      <w:r>
        <w:rPr>
          <w:color w:val="231F20"/>
          <w:spacing w:val="-4"/>
        </w:rPr>
        <w:t> </w:t>
      </w:r>
      <w:r>
        <w:rPr>
          <w:color w:val="231F20"/>
        </w:rPr>
        <w:t>propiedad</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empresas</w:t>
      </w:r>
      <w:r>
        <w:rPr>
          <w:color w:val="231F20"/>
          <w:spacing w:val="-4"/>
        </w:rPr>
        <w:t> </w:t>
      </w:r>
      <w:r>
        <w:rPr>
          <w:color w:val="231F20"/>
        </w:rPr>
        <w:t>estadounidenses.</w:t>
      </w:r>
      <w:r>
        <w:rPr>
          <w:color w:val="231F20"/>
          <w:spacing w:val="-4"/>
        </w:rPr>
        <w:t> </w:t>
      </w:r>
      <w:r>
        <w:rPr>
          <w:color w:val="231F20"/>
        </w:rPr>
        <w:t>Se</w:t>
      </w:r>
      <w:r>
        <w:rPr>
          <w:color w:val="231F20"/>
          <w:spacing w:val="-4"/>
        </w:rPr>
        <w:t> </w:t>
      </w:r>
      <w:r>
        <w:rPr>
          <w:color w:val="231F20"/>
        </w:rPr>
        <w:t>estima que sólo General </w:t>
      </w:r>
      <w:r>
        <w:rPr>
          <w:color w:val="231F20"/>
          <w:spacing w:val="-3"/>
        </w:rPr>
        <w:t>Motors </w:t>
      </w:r>
      <w:r>
        <w:rPr>
          <w:color w:val="231F20"/>
        </w:rPr>
        <w:t>perdió $51 mil millones en los tres años anteriores a la crisis financiera</w:t>
      </w:r>
      <w:r>
        <w:rPr>
          <w:color w:val="231F20"/>
          <w:spacing w:val="-16"/>
        </w:rPr>
        <w:t> </w:t>
      </w:r>
      <w:r>
        <w:rPr>
          <w:color w:val="231F20"/>
        </w:rPr>
        <w:t>de</w:t>
      </w:r>
      <w:r>
        <w:rPr>
          <w:color w:val="231F20"/>
          <w:spacing w:val="-16"/>
        </w:rPr>
        <w:t> </w:t>
      </w:r>
      <w:r>
        <w:rPr>
          <w:color w:val="231F20"/>
        </w:rPr>
        <w:t>2008</w:t>
      </w:r>
      <w:r>
        <w:rPr>
          <w:color w:val="231F20"/>
          <w:spacing w:val="-16"/>
        </w:rPr>
        <w:t> </w:t>
      </w:r>
      <w:r>
        <w:rPr>
          <w:color w:val="231F20"/>
          <w:spacing w:val="-5"/>
        </w:rPr>
        <w:t>(Taylor,</w:t>
      </w:r>
      <w:r>
        <w:rPr>
          <w:color w:val="231F20"/>
          <w:spacing w:val="-16"/>
        </w:rPr>
        <w:t> </w:t>
      </w:r>
      <w:r>
        <w:rPr>
          <w:color w:val="231F20"/>
        </w:rPr>
        <w:t>2008).</w:t>
      </w:r>
    </w:p>
    <w:p>
      <w:pPr>
        <w:pStyle w:val="BodyText"/>
        <w:spacing w:line="278" w:lineRule="auto" w:before="1"/>
        <w:ind w:left="653" w:right="101" w:firstLine="396"/>
        <w:jc w:val="both"/>
        <w:rPr>
          <w:sz w:val="12"/>
        </w:rPr>
      </w:pPr>
      <w:r>
        <w:rPr>
          <w:color w:val="231F20"/>
        </w:rPr>
        <w:t>Desde</w:t>
      </w:r>
      <w:r>
        <w:rPr>
          <w:color w:val="231F20"/>
          <w:spacing w:val="-6"/>
        </w:rPr>
        <w:t> </w:t>
      </w:r>
      <w:r>
        <w:rPr>
          <w:color w:val="231F20"/>
        </w:rPr>
        <w:t>hace</w:t>
      </w:r>
      <w:r>
        <w:rPr>
          <w:color w:val="231F20"/>
          <w:spacing w:val="-6"/>
        </w:rPr>
        <w:t> </w:t>
      </w:r>
      <w:r>
        <w:rPr>
          <w:color w:val="231F20"/>
        </w:rPr>
        <w:t>años,</w:t>
      </w:r>
      <w:r>
        <w:rPr>
          <w:color w:val="231F20"/>
          <w:spacing w:val="-6"/>
        </w:rPr>
        <w:t> </w:t>
      </w:r>
      <w:r>
        <w:rPr>
          <w:color w:val="231F20"/>
        </w:rPr>
        <w:t>las</w:t>
      </w:r>
      <w:r>
        <w:rPr>
          <w:color w:val="231F20"/>
          <w:spacing w:val="-6"/>
        </w:rPr>
        <w:t> </w:t>
      </w:r>
      <w:r>
        <w:rPr>
          <w:color w:val="231F20"/>
        </w:rPr>
        <w:t>tres</w:t>
      </w:r>
      <w:r>
        <w:rPr>
          <w:color w:val="231F20"/>
          <w:spacing w:val="-6"/>
        </w:rPr>
        <w:t> </w:t>
      </w:r>
      <w:r>
        <w:rPr>
          <w:color w:val="231F20"/>
        </w:rPr>
        <w:t>grandes</w:t>
      </w:r>
      <w:r>
        <w:rPr>
          <w:color w:val="231F20"/>
          <w:spacing w:val="-6"/>
        </w:rPr>
        <w:t> </w:t>
      </w:r>
      <w:r>
        <w:rPr>
          <w:color w:val="231F20"/>
        </w:rPr>
        <w:t>norteamericanas</w:t>
      </w:r>
      <w:r>
        <w:rPr>
          <w:color w:val="231F20"/>
          <w:spacing w:val="-6"/>
        </w:rPr>
        <w:t> </w:t>
      </w:r>
      <w:r>
        <w:rPr>
          <w:color w:val="231F20"/>
        </w:rPr>
        <w:t>han</w:t>
      </w:r>
      <w:r>
        <w:rPr>
          <w:color w:val="231F20"/>
          <w:spacing w:val="-6"/>
        </w:rPr>
        <w:t> </w:t>
      </w:r>
      <w:r>
        <w:rPr>
          <w:color w:val="231F20"/>
        </w:rPr>
        <w:t>padecido</w:t>
      </w:r>
      <w:r>
        <w:rPr>
          <w:color w:val="231F20"/>
          <w:spacing w:val="-6"/>
        </w:rPr>
        <w:t> </w:t>
      </w:r>
      <w:r>
        <w:rPr>
          <w:color w:val="231F20"/>
        </w:rPr>
        <w:t>importantes</w:t>
      </w:r>
      <w:r>
        <w:rPr>
          <w:color w:val="231F20"/>
          <w:spacing w:val="-6"/>
        </w:rPr>
        <w:t> </w:t>
      </w:r>
      <w:r>
        <w:rPr>
          <w:color w:val="231F20"/>
        </w:rPr>
        <w:t>pro- blemas de productividad, dada la elevada estructura de costos que enfrentan. Sólo por mencionar un ejemplo: el Informe Harbour</w:t>
      </w:r>
      <w:r>
        <w:rPr>
          <w:color w:val="231F20"/>
          <w:position w:val="7"/>
          <w:sz w:val="12"/>
        </w:rPr>
        <w:t>11 </w:t>
      </w:r>
      <w:r>
        <w:rPr>
          <w:color w:val="231F20"/>
        </w:rPr>
        <w:t>de 2005 estimó que la japonesa </w:t>
      </w:r>
      <w:r>
        <w:rPr>
          <w:color w:val="231F20"/>
          <w:spacing w:val="-5"/>
        </w:rPr>
        <w:t>Toyota </w:t>
      </w:r>
      <w:r>
        <w:rPr>
          <w:color w:val="231F20"/>
        </w:rPr>
        <w:t>fue</w:t>
      </w:r>
      <w:r>
        <w:rPr>
          <w:color w:val="231F20"/>
          <w:spacing w:val="-15"/>
        </w:rPr>
        <w:t> </w:t>
      </w:r>
      <w:r>
        <w:rPr>
          <w:color w:val="231F20"/>
        </w:rPr>
        <w:t>líder</w:t>
      </w:r>
      <w:r>
        <w:rPr>
          <w:color w:val="231F20"/>
          <w:spacing w:val="-15"/>
        </w:rPr>
        <w:t> </w:t>
      </w:r>
      <w:r>
        <w:rPr>
          <w:color w:val="231F20"/>
        </w:rPr>
        <w:t>en</w:t>
      </w:r>
      <w:r>
        <w:rPr>
          <w:color w:val="231F20"/>
          <w:spacing w:val="-15"/>
        </w:rPr>
        <w:t> </w:t>
      </w:r>
      <w:r>
        <w:rPr>
          <w:color w:val="231F20"/>
        </w:rPr>
        <w:t>productividad</w:t>
      </w:r>
      <w:r>
        <w:rPr>
          <w:color w:val="231F20"/>
          <w:spacing w:val="-15"/>
        </w:rPr>
        <w:t> </w:t>
      </w:r>
      <w:r>
        <w:rPr>
          <w:color w:val="231F20"/>
        </w:rPr>
        <w:t>laboral,</w:t>
      </w:r>
      <w:r>
        <w:rPr>
          <w:color w:val="231F20"/>
          <w:spacing w:val="-15"/>
        </w:rPr>
        <w:t> </w:t>
      </w:r>
      <w:r>
        <w:rPr>
          <w:color w:val="231F20"/>
        </w:rPr>
        <w:t>con</w:t>
      </w:r>
      <w:r>
        <w:rPr>
          <w:color w:val="231F20"/>
          <w:spacing w:val="-15"/>
        </w:rPr>
        <w:t> </w:t>
      </w:r>
      <w:r>
        <w:rPr>
          <w:color w:val="231F20"/>
        </w:rPr>
        <w:t>una</w:t>
      </w:r>
      <w:r>
        <w:rPr>
          <w:color w:val="231F20"/>
          <w:spacing w:val="-15"/>
        </w:rPr>
        <w:t> </w:t>
      </w:r>
      <w:r>
        <w:rPr>
          <w:color w:val="231F20"/>
        </w:rPr>
        <w:t>ventaja</w:t>
      </w:r>
      <w:r>
        <w:rPr>
          <w:color w:val="231F20"/>
          <w:spacing w:val="-15"/>
        </w:rPr>
        <w:t> </w:t>
      </w:r>
      <w:r>
        <w:rPr>
          <w:color w:val="231F20"/>
        </w:rPr>
        <w:t>en</w:t>
      </w:r>
      <w:r>
        <w:rPr>
          <w:color w:val="231F20"/>
          <w:spacing w:val="-15"/>
        </w:rPr>
        <w:t> </w:t>
      </w:r>
      <w:r>
        <w:rPr>
          <w:color w:val="231F20"/>
        </w:rPr>
        <w:t>costos</w:t>
      </w:r>
      <w:r>
        <w:rPr>
          <w:color w:val="231F20"/>
          <w:spacing w:val="-15"/>
        </w:rPr>
        <w:t> </w:t>
      </w:r>
      <w:r>
        <w:rPr>
          <w:color w:val="231F20"/>
        </w:rPr>
        <w:t>de</w:t>
      </w:r>
      <w:r>
        <w:rPr>
          <w:color w:val="231F20"/>
          <w:spacing w:val="-15"/>
        </w:rPr>
        <w:t> </w:t>
      </w:r>
      <w:r>
        <w:rPr>
          <w:color w:val="231F20"/>
        </w:rPr>
        <w:t>$350</w:t>
      </w:r>
      <w:r>
        <w:rPr>
          <w:color w:val="231F20"/>
          <w:spacing w:val="-15"/>
        </w:rPr>
        <w:t> </w:t>
      </w:r>
      <w:r>
        <w:rPr>
          <w:color w:val="231F20"/>
        </w:rPr>
        <w:t>a</w:t>
      </w:r>
      <w:r>
        <w:rPr>
          <w:color w:val="231F20"/>
          <w:spacing w:val="-15"/>
        </w:rPr>
        <w:t> </w:t>
      </w:r>
      <w:r>
        <w:rPr>
          <w:color w:val="231F20"/>
        </w:rPr>
        <w:t>$500</w:t>
      </w:r>
      <w:r>
        <w:rPr>
          <w:color w:val="231F20"/>
          <w:spacing w:val="-15"/>
        </w:rPr>
        <w:t> </w:t>
      </w:r>
      <w:r>
        <w:rPr>
          <w:color w:val="231F20"/>
        </w:rPr>
        <w:t>dólares</w:t>
      </w:r>
      <w:r>
        <w:rPr>
          <w:color w:val="231F20"/>
          <w:spacing w:val="-15"/>
        </w:rPr>
        <w:t> </w:t>
      </w:r>
      <w:r>
        <w:rPr>
          <w:color w:val="231F20"/>
        </w:rPr>
        <w:t>por vehículo sobre los fabricantes norteamericanos. En relación con los tiempos de fabri- cación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vehículo,</w:t>
      </w:r>
      <w:r>
        <w:rPr>
          <w:color w:val="231F20"/>
          <w:spacing w:val="-6"/>
        </w:rPr>
        <w:t> </w:t>
      </w:r>
      <w:r>
        <w:rPr>
          <w:color w:val="231F20"/>
        </w:rPr>
        <w:t>señala</w:t>
      </w:r>
      <w:r>
        <w:rPr>
          <w:color w:val="231F20"/>
          <w:spacing w:val="-6"/>
        </w:rPr>
        <w:t> </w:t>
      </w:r>
      <w:r>
        <w:rPr>
          <w:color w:val="231F20"/>
        </w:rPr>
        <w:t>que</w:t>
      </w:r>
      <w:r>
        <w:rPr>
          <w:color w:val="231F20"/>
          <w:spacing w:val="-6"/>
        </w:rPr>
        <w:t> </w:t>
      </w:r>
      <w:r>
        <w:rPr>
          <w:color w:val="231F20"/>
          <w:spacing w:val="-5"/>
        </w:rPr>
        <w:t>Toyota</w:t>
      </w:r>
      <w:r>
        <w:rPr>
          <w:color w:val="231F20"/>
          <w:spacing w:val="-6"/>
        </w:rPr>
        <w:t> </w:t>
      </w:r>
      <w:r>
        <w:rPr>
          <w:color w:val="231F20"/>
        </w:rPr>
        <w:t>es</w:t>
      </w:r>
      <w:r>
        <w:rPr>
          <w:color w:val="231F20"/>
          <w:spacing w:val="-6"/>
        </w:rPr>
        <w:t> </w:t>
      </w:r>
      <w:r>
        <w:rPr>
          <w:color w:val="231F20"/>
        </w:rPr>
        <w:t>la</w:t>
      </w:r>
      <w:r>
        <w:rPr>
          <w:color w:val="231F20"/>
          <w:spacing w:val="-6"/>
        </w:rPr>
        <w:t> </w:t>
      </w:r>
      <w:r>
        <w:rPr>
          <w:color w:val="231F20"/>
        </w:rPr>
        <w:t>empresa</w:t>
      </w:r>
      <w:r>
        <w:rPr>
          <w:color w:val="231F20"/>
          <w:spacing w:val="-6"/>
        </w:rPr>
        <w:t> </w:t>
      </w:r>
      <w:r>
        <w:rPr>
          <w:color w:val="231F20"/>
        </w:rPr>
        <w:t>que</w:t>
      </w:r>
      <w:r>
        <w:rPr>
          <w:color w:val="231F20"/>
          <w:spacing w:val="-6"/>
        </w:rPr>
        <w:t> </w:t>
      </w:r>
      <w:r>
        <w:rPr>
          <w:color w:val="231F20"/>
        </w:rPr>
        <w:t>menos</w:t>
      </w:r>
      <w:r>
        <w:rPr>
          <w:color w:val="231F20"/>
          <w:spacing w:val="-6"/>
        </w:rPr>
        <w:t> </w:t>
      </w:r>
      <w:r>
        <w:rPr>
          <w:color w:val="231F20"/>
        </w:rPr>
        <w:t>tiempo</w:t>
      </w:r>
      <w:r>
        <w:rPr>
          <w:color w:val="231F20"/>
          <w:spacing w:val="-6"/>
        </w:rPr>
        <w:t> </w:t>
      </w:r>
      <w:r>
        <w:rPr>
          <w:color w:val="231F20"/>
        </w:rPr>
        <w:t>requiere.</w:t>
      </w:r>
      <w:r>
        <w:rPr>
          <w:color w:val="231F20"/>
          <w:position w:val="7"/>
          <w:sz w:val="12"/>
        </w:rPr>
        <w:t>12</w:t>
      </w:r>
    </w:p>
    <w:p>
      <w:pPr>
        <w:pStyle w:val="BodyText"/>
        <w:spacing w:line="278" w:lineRule="auto" w:before="1"/>
        <w:ind w:left="653" w:right="101" w:firstLine="396"/>
        <w:jc w:val="both"/>
      </w:pPr>
      <w:r>
        <w:rPr>
          <w:color w:val="231F20"/>
          <w:spacing w:val="-5"/>
        </w:rPr>
        <w:t>Por </w:t>
      </w:r>
      <w:r>
        <w:rPr>
          <w:color w:val="231F20"/>
          <w:spacing w:val="-3"/>
        </w:rPr>
        <w:t>otro lado, </w:t>
      </w:r>
      <w:r>
        <w:rPr>
          <w:color w:val="231F20"/>
        </w:rPr>
        <w:t>a </w:t>
      </w:r>
      <w:r>
        <w:rPr>
          <w:color w:val="231F20"/>
          <w:spacing w:val="-3"/>
        </w:rPr>
        <w:t>nivel mundial </w:t>
      </w:r>
      <w:r>
        <w:rPr>
          <w:color w:val="231F20"/>
        </w:rPr>
        <w:t>la </w:t>
      </w:r>
      <w:r>
        <w:rPr>
          <w:color w:val="231F20"/>
          <w:spacing w:val="-3"/>
        </w:rPr>
        <w:t>innovación </w:t>
      </w:r>
      <w:r>
        <w:rPr>
          <w:color w:val="231F20"/>
        </w:rPr>
        <w:t>tecnológica ha sido un factor funda- </w:t>
      </w:r>
      <w:r>
        <w:rPr>
          <w:color w:val="231F20"/>
          <w:spacing w:val="-3"/>
        </w:rPr>
        <w:t>mental</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spacing w:val="-3"/>
        </w:rPr>
        <w:t>automotriz,</w:t>
      </w:r>
      <w:r>
        <w:rPr>
          <w:color w:val="231F20"/>
          <w:spacing w:val="-7"/>
        </w:rPr>
        <w:t> </w:t>
      </w:r>
      <w:r>
        <w:rPr>
          <w:color w:val="231F20"/>
          <w:spacing w:val="-2"/>
        </w:rPr>
        <w:t>que</w:t>
      </w:r>
      <w:r>
        <w:rPr>
          <w:color w:val="231F20"/>
          <w:spacing w:val="-7"/>
        </w:rPr>
        <w:t> </w:t>
      </w:r>
      <w:r>
        <w:rPr>
          <w:color w:val="231F20"/>
        </w:rPr>
        <w:t>ha</w:t>
      </w:r>
      <w:r>
        <w:rPr>
          <w:color w:val="231F20"/>
          <w:spacing w:val="-7"/>
        </w:rPr>
        <w:t> </w:t>
      </w:r>
      <w:r>
        <w:rPr>
          <w:color w:val="231F20"/>
        </w:rPr>
        <w:t>actuado</w:t>
      </w:r>
      <w:r>
        <w:rPr>
          <w:color w:val="231F20"/>
          <w:spacing w:val="-7"/>
        </w:rPr>
        <w:t> </w:t>
      </w:r>
      <w:r>
        <w:rPr>
          <w:color w:val="231F20"/>
          <w:spacing w:val="-3"/>
        </w:rPr>
        <w:t>como</w:t>
      </w:r>
      <w:r>
        <w:rPr>
          <w:color w:val="231F20"/>
          <w:spacing w:val="-7"/>
        </w:rPr>
        <w:t> </w:t>
      </w:r>
      <w:r>
        <w:rPr>
          <w:color w:val="231F20"/>
          <w:spacing w:val="-3"/>
        </w:rPr>
        <w:t>motor</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spacing w:val="-3"/>
        </w:rPr>
        <w:t>desarrollo</w:t>
      </w:r>
      <w:r>
        <w:rPr>
          <w:color w:val="231F20"/>
          <w:spacing w:val="-7"/>
        </w:rPr>
        <w:t> </w:t>
      </w:r>
      <w:r>
        <w:rPr>
          <w:color w:val="231F20"/>
        </w:rPr>
        <w:t>del</w:t>
      </w:r>
      <w:r>
        <w:rPr>
          <w:color w:val="231F20"/>
          <w:spacing w:val="-7"/>
        </w:rPr>
        <w:t> </w:t>
      </w:r>
      <w:r>
        <w:rPr>
          <w:color w:val="231F20"/>
          <w:spacing w:val="-4"/>
        </w:rPr>
        <w:t>sector,</w:t>
      </w:r>
      <w:r>
        <w:rPr>
          <w:color w:val="231F20"/>
          <w:spacing w:val="-7"/>
        </w:rPr>
        <w:t> </w:t>
      </w:r>
      <w:r>
        <w:rPr>
          <w:color w:val="231F20"/>
        </w:rPr>
        <w:t>y </w:t>
      </w:r>
      <w:r>
        <w:rPr>
          <w:color w:val="231F20"/>
          <w:spacing w:val="-2"/>
        </w:rPr>
        <w:t>que</w:t>
      </w:r>
      <w:r>
        <w:rPr>
          <w:color w:val="231F20"/>
          <w:spacing w:val="-11"/>
        </w:rPr>
        <w:t> </w:t>
      </w:r>
      <w:r>
        <w:rPr>
          <w:color w:val="231F20"/>
        </w:rPr>
        <w:t>sin</w:t>
      </w:r>
      <w:r>
        <w:rPr>
          <w:color w:val="231F20"/>
          <w:spacing w:val="-11"/>
        </w:rPr>
        <w:t> </w:t>
      </w:r>
      <w:r>
        <w:rPr>
          <w:color w:val="231F20"/>
        </w:rPr>
        <w:t>duda</w:t>
      </w:r>
      <w:r>
        <w:rPr>
          <w:color w:val="231F20"/>
          <w:spacing w:val="-11"/>
        </w:rPr>
        <w:t> </w:t>
      </w:r>
      <w:r>
        <w:rPr>
          <w:color w:val="231F20"/>
          <w:spacing w:val="-3"/>
        </w:rPr>
        <w:t>marcará</w:t>
      </w:r>
      <w:r>
        <w:rPr>
          <w:color w:val="231F20"/>
          <w:spacing w:val="-11"/>
        </w:rPr>
        <w:t> </w:t>
      </w:r>
      <w:r>
        <w:rPr>
          <w:color w:val="231F20"/>
        </w:rPr>
        <w:t>los</w:t>
      </w:r>
      <w:r>
        <w:rPr>
          <w:color w:val="231F20"/>
          <w:spacing w:val="-11"/>
        </w:rPr>
        <w:t> </w:t>
      </w:r>
      <w:r>
        <w:rPr>
          <w:color w:val="231F20"/>
          <w:spacing w:val="-3"/>
        </w:rPr>
        <w:t>patrones</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cuales</w:t>
      </w:r>
      <w:r>
        <w:rPr>
          <w:color w:val="231F20"/>
          <w:spacing w:val="-11"/>
        </w:rPr>
        <w:t> </w:t>
      </w:r>
      <w:r>
        <w:rPr>
          <w:color w:val="231F20"/>
        </w:rPr>
        <w:t>se</w:t>
      </w:r>
      <w:r>
        <w:rPr>
          <w:color w:val="231F20"/>
          <w:spacing w:val="-11"/>
        </w:rPr>
        <w:t> </w:t>
      </w:r>
      <w:r>
        <w:rPr>
          <w:color w:val="231F20"/>
          <w:spacing w:val="-3"/>
        </w:rPr>
        <w:t>basarán</w:t>
      </w:r>
      <w:r>
        <w:rPr>
          <w:color w:val="231F20"/>
          <w:spacing w:val="-11"/>
        </w:rPr>
        <w:t> </w:t>
      </w:r>
      <w:r>
        <w:rPr>
          <w:color w:val="231F20"/>
        </w:rPr>
        <w:t>las</w:t>
      </w:r>
      <w:r>
        <w:rPr>
          <w:color w:val="231F20"/>
          <w:spacing w:val="-11"/>
        </w:rPr>
        <w:t> </w:t>
      </w:r>
      <w:r>
        <w:rPr>
          <w:color w:val="231F20"/>
        </w:rPr>
        <w:t>grandes</w:t>
      </w:r>
      <w:r>
        <w:rPr>
          <w:color w:val="231F20"/>
          <w:spacing w:val="-11"/>
        </w:rPr>
        <w:t> </w:t>
      </w:r>
      <w:r>
        <w:rPr>
          <w:color w:val="231F20"/>
        </w:rPr>
        <w:t>firmas</w:t>
      </w:r>
      <w:r>
        <w:rPr>
          <w:color w:val="231F20"/>
          <w:spacing w:val="-11"/>
        </w:rPr>
        <w:t> </w:t>
      </w:r>
      <w:r>
        <w:rPr>
          <w:color w:val="231F20"/>
          <w:spacing w:val="-3"/>
        </w:rPr>
        <w:t>automotri- </w:t>
      </w:r>
      <w:r>
        <w:rPr>
          <w:color w:val="231F20"/>
        </w:rPr>
        <w:t>ces</w:t>
      </w:r>
      <w:r>
        <w:rPr>
          <w:color w:val="231F20"/>
          <w:spacing w:val="-15"/>
        </w:rPr>
        <w:t> </w:t>
      </w:r>
      <w:r>
        <w:rPr>
          <w:color w:val="231F20"/>
        </w:rPr>
        <w:t>para</w:t>
      </w:r>
      <w:r>
        <w:rPr>
          <w:color w:val="231F20"/>
          <w:spacing w:val="-15"/>
        </w:rPr>
        <w:t> </w:t>
      </w:r>
      <w:r>
        <w:rPr>
          <w:color w:val="231F20"/>
        </w:rPr>
        <w:t>salir</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crisis</w:t>
      </w:r>
      <w:r>
        <w:rPr>
          <w:color w:val="231F20"/>
          <w:spacing w:val="-15"/>
        </w:rPr>
        <w:t> </w:t>
      </w:r>
      <w:r>
        <w:rPr>
          <w:color w:val="231F20"/>
        </w:rPr>
        <w:t>por</w:t>
      </w:r>
      <w:r>
        <w:rPr>
          <w:color w:val="231F20"/>
          <w:spacing w:val="-15"/>
        </w:rPr>
        <w:t> </w:t>
      </w:r>
      <w:r>
        <w:rPr>
          <w:color w:val="231F20"/>
        </w:rPr>
        <w:t>la</w:t>
      </w:r>
      <w:r>
        <w:rPr>
          <w:color w:val="231F20"/>
          <w:spacing w:val="-15"/>
        </w:rPr>
        <w:t> </w:t>
      </w:r>
      <w:r>
        <w:rPr>
          <w:color w:val="231F20"/>
          <w:spacing w:val="-2"/>
        </w:rPr>
        <w:t>que</w:t>
      </w:r>
      <w:r>
        <w:rPr>
          <w:color w:val="231F20"/>
          <w:spacing w:val="-15"/>
        </w:rPr>
        <w:t> </w:t>
      </w:r>
      <w:r>
        <w:rPr>
          <w:color w:val="231F20"/>
        </w:rPr>
        <w:t>están</w:t>
      </w:r>
      <w:r>
        <w:rPr>
          <w:color w:val="231F20"/>
          <w:spacing w:val="-15"/>
        </w:rPr>
        <w:t> </w:t>
      </w:r>
      <w:r>
        <w:rPr>
          <w:color w:val="231F20"/>
          <w:spacing w:val="-3"/>
        </w:rPr>
        <w:t>atravesando</w:t>
      </w:r>
      <w:r>
        <w:rPr>
          <w:color w:val="231F20"/>
          <w:spacing w:val="-15"/>
        </w:rPr>
        <w:t> </w:t>
      </w:r>
      <w:r>
        <w:rPr>
          <w:color w:val="231F20"/>
        </w:rPr>
        <w:t>desde</w:t>
      </w:r>
      <w:r>
        <w:rPr>
          <w:color w:val="231F20"/>
          <w:spacing w:val="-15"/>
        </w:rPr>
        <w:t> </w:t>
      </w:r>
      <w:r>
        <w:rPr>
          <w:color w:val="231F20"/>
        </w:rPr>
        <w:t>hace</w:t>
      </w:r>
      <w:r>
        <w:rPr>
          <w:color w:val="231F20"/>
          <w:spacing w:val="-15"/>
        </w:rPr>
        <w:t> </w:t>
      </w:r>
      <w:r>
        <w:rPr>
          <w:color w:val="231F20"/>
        </w:rPr>
        <w:t>ya</w:t>
      </w:r>
      <w:r>
        <w:rPr>
          <w:color w:val="231F20"/>
          <w:spacing w:val="-15"/>
        </w:rPr>
        <w:t> </w:t>
      </w:r>
      <w:r>
        <w:rPr>
          <w:color w:val="231F20"/>
        </w:rPr>
        <w:t>varios</w:t>
      </w:r>
      <w:r>
        <w:rPr>
          <w:color w:val="231F20"/>
          <w:spacing w:val="-15"/>
        </w:rPr>
        <w:t> </w:t>
      </w:r>
      <w:r>
        <w:rPr>
          <w:color w:val="231F20"/>
        </w:rPr>
        <w:t>meses.</w:t>
      </w:r>
    </w:p>
    <w:p>
      <w:pPr>
        <w:pStyle w:val="BodyText"/>
        <w:spacing w:line="278" w:lineRule="auto" w:before="1"/>
        <w:ind w:left="653" w:right="101" w:firstLine="396"/>
        <w:jc w:val="both"/>
      </w:pPr>
      <w:r>
        <w:rPr>
          <w:color w:val="231F20"/>
        </w:rPr>
        <w:t>En el cuadro II.9 se observa que las empresas japonesas en los últimos años han presentado mejores tasas de crecimiento que las norteamericanas y que en este esce- nario de crisis mundial las mismas firmas japonesas son las que han presentado las menores</w:t>
      </w:r>
      <w:r>
        <w:rPr>
          <w:color w:val="231F20"/>
          <w:spacing w:val="-12"/>
        </w:rPr>
        <w:t> </w:t>
      </w:r>
      <w:r>
        <w:rPr>
          <w:color w:val="231F20"/>
        </w:rPr>
        <w:t>tasas</w:t>
      </w:r>
      <w:r>
        <w:rPr>
          <w:color w:val="231F20"/>
          <w:spacing w:val="-12"/>
        </w:rPr>
        <w:t> </w:t>
      </w:r>
      <w:r>
        <w:rPr>
          <w:color w:val="231F20"/>
        </w:rPr>
        <w:t>de</w:t>
      </w:r>
      <w:r>
        <w:rPr>
          <w:color w:val="231F20"/>
          <w:spacing w:val="-12"/>
        </w:rPr>
        <w:t> </w:t>
      </w:r>
      <w:r>
        <w:rPr>
          <w:color w:val="231F20"/>
        </w:rPr>
        <w:t>crecimiento</w:t>
      </w:r>
      <w:r>
        <w:rPr>
          <w:color w:val="231F20"/>
          <w:spacing w:val="-12"/>
        </w:rPr>
        <w:t> </w:t>
      </w:r>
      <w:r>
        <w:rPr>
          <w:color w:val="231F20"/>
        </w:rPr>
        <w:t>negativo;</w:t>
      </w:r>
      <w:r>
        <w:rPr>
          <w:color w:val="231F20"/>
          <w:spacing w:val="-12"/>
        </w:rPr>
        <w:t> </w:t>
      </w:r>
      <w:r>
        <w:rPr>
          <w:color w:val="231F20"/>
        </w:rPr>
        <w:t>es</w:t>
      </w:r>
      <w:r>
        <w:rPr>
          <w:color w:val="231F20"/>
          <w:spacing w:val="-12"/>
        </w:rPr>
        <w:t> </w:t>
      </w:r>
      <w:r>
        <w:rPr>
          <w:color w:val="231F20"/>
          <w:spacing w:val="-3"/>
        </w:rPr>
        <w:t>decir,</w:t>
      </w:r>
      <w:r>
        <w:rPr>
          <w:color w:val="231F20"/>
          <w:spacing w:val="-12"/>
        </w:rPr>
        <w:t> </w:t>
      </w:r>
      <w:r>
        <w:rPr>
          <w:color w:val="231F20"/>
        </w:rPr>
        <w:t>han</w:t>
      </w:r>
      <w:r>
        <w:rPr>
          <w:color w:val="231F20"/>
          <w:spacing w:val="-12"/>
        </w:rPr>
        <w:t> </w:t>
      </w:r>
      <w:r>
        <w:rPr>
          <w:color w:val="231F20"/>
        </w:rPr>
        <w:t>sido</w:t>
      </w:r>
      <w:r>
        <w:rPr>
          <w:color w:val="231F20"/>
          <w:spacing w:val="-12"/>
        </w:rPr>
        <w:t> </w:t>
      </w:r>
      <w:r>
        <w:rPr>
          <w:color w:val="231F20"/>
        </w:rPr>
        <w:t>las</w:t>
      </w:r>
      <w:r>
        <w:rPr>
          <w:color w:val="231F20"/>
          <w:spacing w:val="-12"/>
        </w:rPr>
        <w:t> </w:t>
      </w:r>
      <w:r>
        <w:rPr>
          <w:color w:val="231F20"/>
        </w:rPr>
        <w:t>menos</w:t>
      </w:r>
      <w:r>
        <w:rPr>
          <w:color w:val="231F20"/>
          <w:spacing w:val="-12"/>
        </w:rPr>
        <w:t> </w:t>
      </w:r>
      <w:r>
        <w:rPr>
          <w:color w:val="231F20"/>
        </w:rPr>
        <w:t>perjudicadas</w:t>
      </w:r>
      <w:r>
        <w:rPr>
          <w:color w:val="231F20"/>
          <w:spacing w:val="-12"/>
        </w:rPr>
        <w:t> </w:t>
      </w:r>
      <w:r>
        <w:rPr>
          <w:color w:val="231F20"/>
        </w:rPr>
        <w:t>en</w:t>
      </w:r>
      <w:r>
        <w:rPr>
          <w:color w:val="231F20"/>
          <w:spacing w:val="-12"/>
        </w:rPr>
        <w:t> </w:t>
      </w:r>
      <w:r>
        <w:rPr>
          <w:color w:val="231F20"/>
        </w:rPr>
        <w:t>los volúmenes de producción y</w:t>
      </w:r>
      <w:r>
        <w:rPr>
          <w:color w:val="231F20"/>
          <w:spacing w:val="-29"/>
        </w:rPr>
        <w:t> </w:t>
      </w:r>
      <w:r>
        <w:rPr>
          <w:color w:val="231F20"/>
        </w:rPr>
        <w:t>ventas.</w:t>
      </w:r>
    </w:p>
    <w:p>
      <w:pPr>
        <w:pStyle w:val="BodyText"/>
        <w:spacing w:before="9"/>
        <w:rPr>
          <w:sz w:val="15"/>
        </w:rPr>
      </w:pPr>
      <w:r>
        <w:rPr/>
        <w:pict>
          <v:line style="position:absolute;mso-position-horizontal-relative:page;mso-position-vertical-relative:paragraph;z-index:7504;mso-wrap-distance-left:0;mso-wrap-distance-right:0" from="56.692902pt,11.317987pt" to="198.424902pt,11.317987pt" stroked="true" strokeweight=".5pt" strokecolor="#231f20">
            <w10:wrap type="topAndBottom"/>
          </v:line>
        </w:pict>
      </w:r>
    </w:p>
    <w:p>
      <w:pPr>
        <w:spacing w:line="288" w:lineRule="auto" w:before="43"/>
        <w:ind w:left="860" w:right="0" w:hanging="207"/>
        <w:jc w:val="left"/>
        <w:rPr>
          <w:sz w:val="16"/>
        </w:rPr>
      </w:pPr>
      <w:r>
        <w:rPr>
          <w:color w:val="231F20"/>
          <w:position w:val="5"/>
          <w:sz w:val="9"/>
        </w:rPr>
        <w:t>11 </w:t>
      </w:r>
      <w:r>
        <w:rPr>
          <w:color w:val="231F20"/>
          <w:sz w:val="16"/>
        </w:rPr>
        <w:t>Reconocido estudio que analiza cómo funcionan las fábricas norteamericanas. De acuerdo con sus cálculos, Toyota es la marca más productiva.</w:t>
      </w:r>
    </w:p>
    <w:p>
      <w:pPr>
        <w:spacing w:line="288" w:lineRule="auto" w:before="120"/>
        <w:ind w:left="860" w:right="101" w:hanging="207"/>
        <w:jc w:val="left"/>
        <w:rPr>
          <w:sz w:val="16"/>
        </w:rPr>
      </w:pPr>
      <w:r>
        <w:rPr>
          <w:color w:val="231F20"/>
          <w:position w:val="5"/>
          <w:sz w:val="9"/>
        </w:rPr>
        <w:t>12</w:t>
      </w:r>
      <w:r>
        <w:rPr>
          <w:color w:val="231F20"/>
          <w:spacing w:val="9"/>
          <w:position w:val="5"/>
          <w:sz w:val="9"/>
        </w:rPr>
        <w:t> </w:t>
      </w:r>
      <w:r>
        <w:rPr>
          <w:color w:val="231F20"/>
          <w:sz w:val="16"/>
        </w:rPr>
        <w:t>Tiempo</w:t>
      </w:r>
      <w:r>
        <w:rPr>
          <w:color w:val="231F20"/>
          <w:spacing w:val="-16"/>
          <w:sz w:val="16"/>
        </w:rPr>
        <w:t> </w:t>
      </w:r>
      <w:r>
        <w:rPr>
          <w:color w:val="231F20"/>
          <w:sz w:val="16"/>
        </w:rPr>
        <w:t>estimado</w:t>
      </w:r>
      <w:r>
        <w:rPr>
          <w:color w:val="231F20"/>
          <w:spacing w:val="-16"/>
          <w:sz w:val="16"/>
        </w:rPr>
        <w:t> </w:t>
      </w:r>
      <w:r>
        <w:rPr>
          <w:color w:val="231F20"/>
          <w:sz w:val="16"/>
        </w:rPr>
        <w:t>en</w:t>
      </w:r>
      <w:r>
        <w:rPr>
          <w:color w:val="231F20"/>
          <w:spacing w:val="-16"/>
          <w:sz w:val="16"/>
        </w:rPr>
        <w:t> </w:t>
      </w:r>
      <w:r>
        <w:rPr>
          <w:color w:val="231F20"/>
          <w:sz w:val="16"/>
        </w:rPr>
        <w:t>horas:</w:t>
      </w:r>
      <w:r>
        <w:rPr>
          <w:color w:val="231F20"/>
          <w:spacing w:val="-16"/>
          <w:sz w:val="16"/>
        </w:rPr>
        <w:t> </w:t>
      </w:r>
      <w:r>
        <w:rPr>
          <w:color w:val="231F20"/>
          <w:spacing w:val="-4"/>
          <w:sz w:val="16"/>
        </w:rPr>
        <w:t>Toyota,</w:t>
      </w:r>
      <w:r>
        <w:rPr>
          <w:color w:val="231F20"/>
          <w:spacing w:val="-16"/>
          <w:sz w:val="16"/>
        </w:rPr>
        <w:t> </w:t>
      </w:r>
      <w:r>
        <w:rPr>
          <w:color w:val="231F20"/>
          <w:sz w:val="16"/>
        </w:rPr>
        <w:t>27.90;</w:t>
      </w:r>
      <w:r>
        <w:rPr>
          <w:color w:val="231F20"/>
          <w:spacing w:val="-16"/>
          <w:sz w:val="16"/>
        </w:rPr>
        <w:t> </w:t>
      </w:r>
      <w:r>
        <w:rPr>
          <w:color w:val="231F20"/>
          <w:sz w:val="16"/>
        </w:rPr>
        <w:t>Nissan,</w:t>
      </w:r>
      <w:r>
        <w:rPr>
          <w:color w:val="231F20"/>
          <w:spacing w:val="-16"/>
          <w:sz w:val="16"/>
        </w:rPr>
        <w:t> </w:t>
      </w:r>
      <w:r>
        <w:rPr>
          <w:color w:val="231F20"/>
          <w:sz w:val="16"/>
        </w:rPr>
        <w:t>29.83;</w:t>
      </w:r>
      <w:r>
        <w:rPr>
          <w:color w:val="231F20"/>
          <w:spacing w:val="-16"/>
          <w:sz w:val="16"/>
        </w:rPr>
        <w:t> </w:t>
      </w:r>
      <w:r>
        <w:rPr>
          <w:color w:val="231F20"/>
          <w:sz w:val="16"/>
        </w:rPr>
        <w:t>Honda,</w:t>
      </w:r>
      <w:r>
        <w:rPr>
          <w:color w:val="231F20"/>
          <w:spacing w:val="-16"/>
          <w:sz w:val="16"/>
        </w:rPr>
        <w:t> </w:t>
      </w:r>
      <w:r>
        <w:rPr>
          <w:color w:val="231F20"/>
          <w:sz w:val="16"/>
        </w:rPr>
        <w:t>32.02;</w:t>
      </w:r>
      <w:r>
        <w:rPr>
          <w:color w:val="231F20"/>
          <w:spacing w:val="-16"/>
          <w:sz w:val="16"/>
        </w:rPr>
        <w:t> </w:t>
      </w:r>
      <w:r>
        <w:rPr>
          <w:color w:val="231F20"/>
          <w:sz w:val="16"/>
        </w:rPr>
        <w:t>General</w:t>
      </w:r>
      <w:r>
        <w:rPr>
          <w:color w:val="231F20"/>
          <w:spacing w:val="-16"/>
          <w:sz w:val="16"/>
        </w:rPr>
        <w:t> </w:t>
      </w:r>
      <w:r>
        <w:rPr>
          <w:color w:val="231F20"/>
          <w:sz w:val="16"/>
        </w:rPr>
        <w:t>Motors,</w:t>
      </w:r>
      <w:r>
        <w:rPr>
          <w:color w:val="231F20"/>
          <w:spacing w:val="-16"/>
          <w:sz w:val="16"/>
        </w:rPr>
        <w:t> </w:t>
      </w:r>
      <w:r>
        <w:rPr>
          <w:color w:val="231F20"/>
          <w:sz w:val="16"/>
        </w:rPr>
        <w:t>34.33;</w:t>
      </w:r>
      <w:r>
        <w:rPr>
          <w:color w:val="231F20"/>
          <w:spacing w:val="-16"/>
          <w:sz w:val="16"/>
        </w:rPr>
        <w:t> </w:t>
      </w:r>
      <w:r>
        <w:rPr>
          <w:color w:val="231F20"/>
          <w:sz w:val="16"/>
        </w:rPr>
        <w:t>Daimler-Chrys- </w:t>
      </w:r>
      <w:r>
        <w:rPr>
          <w:color w:val="231F20"/>
          <w:spacing w:val="-3"/>
          <w:sz w:val="16"/>
        </w:rPr>
        <w:t>ler,</w:t>
      </w:r>
      <w:r>
        <w:rPr>
          <w:color w:val="231F20"/>
          <w:spacing w:val="-17"/>
          <w:sz w:val="16"/>
        </w:rPr>
        <w:t> </w:t>
      </w:r>
      <w:r>
        <w:rPr>
          <w:color w:val="231F20"/>
          <w:sz w:val="16"/>
        </w:rPr>
        <w:t>35.85;</w:t>
      </w:r>
      <w:r>
        <w:rPr>
          <w:color w:val="231F20"/>
          <w:spacing w:val="-17"/>
          <w:sz w:val="16"/>
        </w:rPr>
        <w:t> </w:t>
      </w:r>
      <w:r>
        <w:rPr>
          <w:color w:val="231F20"/>
          <w:sz w:val="16"/>
        </w:rPr>
        <w:t>y</w:t>
      </w:r>
      <w:r>
        <w:rPr>
          <w:color w:val="231F20"/>
          <w:spacing w:val="-17"/>
          <w:sz w:val="16"/>
        </w:rPr>
        <w:t> </w:t>
      </w:r>
      <w:r>
        <w:rPr>
          <w:color w:val="231F20"/>
          <w:spacing w:val="-2"/>
          <w:sz w:val="16"/>
        </w:rPr>
        <w:t>Ford,</w:t>
      </w:r>
      <w:r>
        <w:rPr>
          <w:color w:val="231F20"/>
          <w:spacing w:val="-17"/>
          <w:sz w:val="16"/>
        </w:rPr>
        <w:t> </w:t>
      </w:r>
      <w:r>
        <w:rPr>
          <w:color w:val="231F20"/>
          <w:sz w:val="16"/>
        </w:rPr>
        <w:t>36.98.</w:t>
      </w:r>
    </w:p>
    <w:p>
      <w:pPr>
        <w:spacing w:after="0" w:line="288" w:lineRule="auto"/>
        <w:jc w:val="left"/>
        <w:rPr>
          <w:sz w:val="16"/>
        </w:rPr>
        <w:sectPr>
          <w:footerReference w:type="even" r:id="rId82"/>
          <w:footerReference w:type="default" r:id="rId83"/>
          <w:pgSz w:w="9640" w:h="13040"/>
          <w:pgMar w:footer="654" w:header="581" w:top="780" w:bottom="840" w:left="480" w:right="1200"/>
        </w:sectPr>
      </w:pPr>
    </w:p>
    <w:p>
      <w:pPr>
        <w:pStyle w:val="BodyText"/>
        <w:rPr>
          <w:sz w:val="20"/>
        </w:rPr>
      </w:pPr>
    </w:p>
    <w:p>
      <w:pPr>
        <w:pStyle w:val="BodyText"/>
        <w:spacing w:before="9"/>
        <w:rPr>
          <w:sz w:val="15"/>
        </w:rPr>
      </w:pPr>
    </w:p>
    <w:p>
      <w:pPr>
        <w:pStyle w:val="Heading4"/>
        <w:ind w:left="127" w:right="674"/>
      </w:pPr>
      <w:r>
        <w:rPr>
          <w:color w:val="231F20"/>
          <w:w w:val="95"/>
        </w:rPr>
        <w:t>Cuadro II.9</w:t>
      </w:r>
    </w:p>
    <w:p>
      <w:pPr>
        <w:spacing w:line="282" w:lineRule="exact" w:before="0"/>
        <w:ind w:left="0" w:right="547" w:firstLine="0"/>
        <w:jc w:val="center"/>
        <w:rPr>
          <w:rFonts w:ascii="Palatino Linotype" w:hAnsi="Palatino Linotype"/>
          <w:b/>
          <w:sz w:val="21"/>
        </w:rPr>
      </w:pPr>
      <w:r>
        <w:rPr>
          <w:rFonts w:ascii="Palatino Linotype" w:hAnsi="Palatino Linotype"/>
          <w:b/>
          <w:color w:val="231F20"/>
          <w:w w:val="90"/>
          <w:sz w:val="21"/>
        </w:rPr>
        <w:t>Producción mundial de vehículos. Principales empresas productoras,  2001-2012</w:t>
      </w:r>
    </w:p>
    <w:p>
      <w:pPr>
        <w:spacing w:before="17"/>
        <w:ind w:left="127" w:right="674" w:firstLine="0"/>
        <w:jc w:val="center"/>
        <w:rPr>
          <w:rFonts w:ascii="Palatino Linotype"/>
          <w:b/>
          <w:sz w:val="19"/>
        </w:rPr>
      </w:pPr>
      <w:r>
        <w:rPr>
          <w:rFonts w:ascii="Palatino Linotype"/>
          <w:b/>
          <w:color w:val="231F20"/>
          <w:w w:val="90"/>
          <w:sz w:val="19"/>
        </w:rPr>
        <w:t>(Tasas de crecimiento anuales)</w:t>
      </w:r>
    </w:p>
    <w:p>
      <w:pPr>
        <w:pStyle w:val="BodyText"/>
        <w:spacing w:before="9"/>
        <w:rPr>
          <w:rFonts w:ascii="Palatino Linotype"/>
          <w:b/>
          <w:sz w:val="14"/>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93"/>
        <w:gridCol w:w="509"/>
        <w:gridCol w:w="516"/>
        <w:gridCol w:w="510"/>
        <w:gridCol w:w="510"/>
        <w:gridCol w:w="510"/>
        <w:gridCol w:w="507"/>
        <w:gridCol w:w="507"/>
        <w:gridCol w:w="520"/>
        <w:gridCol w:w="501"/>
        <w:gridCol w:w="512"/>
        <w:gridCol w:w="515"/>
      </w:tblGrid>
      <w:tr>
        <w:trPr>
          <w:trHeight w:val="421" w:hRule="exact"/>
        </w:trPr>
        <w:tc>
          <w:tcPr>
            <w:tcW w:w="1593" w:type="dxa"/>
            <w:tcBorders>
              <w:top w:val="single" w:sz="4" w:space="0" w:color="231F20"/>
              <w:bottom w:val="single" w:sz="4" w:space="0" w:color="231F20"/>
            </w:tcBorders>
          </w:tcPr>
          <w:p>
            <w:pPr>
              <w:pStyle w:val="TableParagraph"/>
              <w:tabs>
                <w:tab w:pos="1116" w:val="left" w:leader="none"/>
              </w:tabs>
              <w:spacing w:before="89"/>
              <w:ind w:right="20"/>
              <w:rPr>
                <w:rFonts w:ascii="Palatino Linotype"/>
                <w:b/>
                <w:sz w:val="17"/>
              </w:rPr>
            </w:pPr>
            <w:r>
              <w:rPr>
                <w:rFonts w:ascii="Palatino Linotype"/>
                <w:b/>
                <w:color w:val="231F20"/>
                <w:sz w:val="17"/>
              </w:rPr>
              <w:t>Empresa</w:t>
              <w:tab/>
              <w:t>2001</w:t>
            </w:r>
          </w:p>
        </w:tc>
        <w:tc>
          <w:tcPr>
            <w:tcW w:w="509" w:type="dxa"/>
            <w:tcBorders>
              <w:top w:val="single" w:sz="4" w:space="0" w:color="231F20"/>
              <w:bottom w:val="single" w:sz="4" w:space="0" w:color="231F20"/>
            </w:tcBorders>
          </w:tcPr>
          <w:p>
            <w:pPr>
              <w:pStyle w:val="TableParagraph"/>
              <w:spacing w:before="89"/>
              <w:ind w:right="76"/>
              <w:jc w:val="right"/>
              <w:rPr>
                <w:rFonts w:ascii="Palatino Linotype"/>
                <w:b/>
                <w:sz w:val="17"/>
              </w:rPr>
            </w:pPr>
            <w:r>
              <w:rPr>
                <w:rFonts w:ascii="Palatino Linotype"/>
                <w:b/>
                <w:color w:val="231F20"/>
                <w:sz w:val="17"/>
              </w:rPr>
              <w:t>2002</w:t>
            </w:r>
          </w:p>
        </w:tc>
        <w:tc>
          <w:tcPr>
            <w:tcW w:w="516" w:type="dxa"/>
            <w:tcBorders>
              <w:top w:val="single" w:sz="4" w:space="0" w:color="231F20"/>
              <w:bottom w:val="single" w:sz="4" w:space="0" w:color="231F20"/>
            </w:tcBorders>
          </w:tcPr>
          <w:p>
            <w:pPr>
              <w:pStyle w:val="TableParagraph"/>
              <w:spacing w:before="89"/>
              <w:ind w:left="91"/>
              <w:jc w:val="left"/>
              <w:rPr>
                <w:rFonts w:ascii="Palatino Linotype"/>
                <w:b/>
                <w:sz w:val="17"/>
              </w:rPr>
            </w:pPr>
            <w:r>
              <w:rPr>
                <w:rFonts w:ascii="Palatino Linotype"/>
                <w:b/>
                <w:color w:val="231F20"/>
                <w:sz w:val="17"/>
              </w:rPr>
              <w:t>2003</w:t>
            </w:r>
          </w:p>
        </w:tc>
        <w:tc>
          <w:tcPr>
            <w:tcW w:w="510" w:type="dxa"/>
            <w:tcBorders>
              <w:top w:val="single" w:sz="4" w:space="0" w:color="231F20"/>
              <w:bottom w:val="single" w:sz="4" w:space="0" w:color="231F20"/>
            </w:tcBorders>
          </w:tcPr>
          <w:p>
            <w:pPr>
              <w:pStyle w:val="TableParagraph"/>
              <w:spacing w:before="89"/>
              <w:ind w:left="65" w:right="65"/>
              <w:rPr>
                <w:rFonts w:ascii="Palatino Linotype"/>
                <w:b/>
                <w:sz w:val="17"/>
              </w:rPr>
            </w:pPr>
            <w:r>
              <w:rPr>
                <w:rFonts w:ascii="Palatino Linotype"/>
                <w:b/>
                <w:color w:val="231F20"/>
                <w:sz w:val="17"/>
              </w:rPr>
              <w:t>2004</w:t>
            </w:r>
          </w:p>
        </w:tc>
        <w:tc>
          <w:tcPr>
            <w:tcW w:w="510" w:type="dxa"/>
            <w:tcBorders>
              <w:top w:val="single" w:sz="4" w:space="0" w:color="231F20"/>
              <w:bottom w:val="single" w:sz="4" w:space="0" w:color="231F20"/>
            </w:tcBorders>
          </w:tcPr>
          <w:p>
            <w:pPr>
              <w:pStyle w:val="TableParagraph"/>
              <w:spacing w:before="89"/>
              <w:ind w:right="83"/>
              <w:jc w:val="right"/>
              <w:rPr>
                <w:rFonts w:ascii="Palatino Linotype"/>
                <w:b/>
                <w:sz w:val="17"/>
              </w:rPr>
            </w:pPr>
            <w:r>
              <w:rPr>
                <w:rFonts w:ascii="Palatino Linotype"/>
                <w:b/>
                <w:color w:val="231F20"/>
                <w:sz w:val="17"/>
              </w:rPr>
              <w:t>2005</w:t>
            </w:r>
          </w:p>
        </w:tc>
        <w:tc>
          <w:tcPr>
            <w:tcW w:w="510" w:type="dxa"/>
            <w:tcBorders>
              <w:top w:val="single" w:sz="4" w:space="0" w:color="231F20"/>
              <w:bottom w:val="single" w:sz="4" w:space="0" w:color="231F20"/>
            </w:tcBorders>
          </w:tcPr>
          <w:p>
            <w:pPr>
              <w:pStyle w:val="TableParagraph"/>
              <w:spacing w:before="89"/>
              <w:ind w:left="65" w:right="65"/>
              <w:rPr>
                <w:rFonts w:ascii="Palatino Linotype"/>
                <w:b/>
                <w:sz w:val="17"/>
              </w:rPr>
            </w:pPr>
            <w:r>
              <w:rPr>
                <w:rFonts w:ascii="Palatino Linotype"/>
                <w:b/>
                <w:color w:val="231F20"/>
                <w:sz w:val="17"/>
              </w:rPr>
              <w:t>2006</w:t>
            </w:r>
          </w:p>
        </w:tc>
        <w:tc>
          <w:tcPr>
            <w:tcW w:w="507" w:type="dxa"/>
            <w:tcBorders>
              <w:top w:val="single" w:sz="4" w:space="0" w:color="231F20"/>
              <w:bottom w:val="single" w:sz="4" w:space="0" w:color="231F20"/>
            </w:tcBorders>
          </w:tcPr>
          <w:p>
            <w:pPr>
              <w:pStyle w:val="TableParagraph"/>
              <w:spacing w:before="89"/>
              <w:ind w:right="80"/>
              <w:jc w:val="right"/>
              <w:rPr>
                <w:rFonts w:ascii="Palatino Linotype"/>
                <w:b/>
                <w:sz w:val="17"/>
              </w:rPr>
            </w:pPr>
            <w:r>
              <w:rPr>
                <w:rFonts w:ascii="Palatino Linotype"/>
                <w:b/>
                <w:color w:val="231F20"/>
                <w:sz w:val="17"/>
              </w:rPr>
              <w:t>2007</w:t>
            </w:r>
          </w:p>
        </w:tc>
        <w:tc>
          <w:tcPr>
            <w:tcW w:w="507" w:type="dxa"/>
            <w:tcBorders>
              <w:top w:val="single" w:sz="4" w:space="0" w:color="231F20"/>
              <w:bottom w:val="single" w:sz="4" w:space="0" w:color="231F20"/>
            </w:tcBorders>
          </w:tcPr>
          <w:p>
            <w:pPr>
              <w:pStyle w:val="TableParagraph"/>
              <w:spacing w:before="89"/>
              <w:ind w:left="88"/>
              <w:jc w:val="left"/>
              <w:rPr>
                <w:rFonts w:ascii="Palatino Linotype"/>
                <w:b/>
                <w:sz w:val="17"/>
              </w:rPr>
            </w:pPr>
            <w:r>
              <w:rPr>
                <w:rFonts w:ascii="Palatino Linotype"/>
                <w:b/>
                <w:color w:val="231F20"/>
                <w:sz w:val="17"/>
              </w:rPr>
              <w:t>2008</w:t>
            </w:r>
          </w:p>
        </w:tc>
        <w:tc>
          <w:tcPr>
            <w:tcW w:w="520" w:type="dxa"/>
            <w:tcBorders>
              <w:top w:val="single" w:sz="4" w:space="0" w:color="231F20"/>
              <w:bottom w:val="single" w:sz="4" w:space="0" w:color="231F20"/>
            </w:tcBorders>
          </w:tcPr>
          <w:p>
            <w:pPr>
              <w:pStyle w:val="TableParagraph"/>
              <w:spacing w:before="89"/>
              <w:ind w:left="54" w:right="52"/>
              <w:rPr>
                <w:rFonts w:ascii="Palatino Linotype"/>
                <w:b/>
                <w:sz w:val="17"/>
              </w:rPr>
            </w:pPr>
            <w:r>
              <w:rPr>
                <w:rFonts w:ascii="Palatino Linotype"/>
                <w:b/>
                <w:color w:val="231F20"/>
                <w:sz w:val="17"/>
              </w:rPr>
              <w:t>2009</w:t>
            </w:r>
          </w:p>
        </w:tc>
        <w:tc>
          <w:tcPr>
            <w:tcW w:w="501" w:type="dxa"/>
            <w:tcBorders>
              <w:top w:val="single" w:sz="4" w:space="0" w:color="231F20"/>
              <w:bottom w:val="single" w:sz="4" w:space="0" w:color="231F20"/>
            </w:tcBorders>
          </w:tcPr>
          <w:p>
            <w:pPr>
              <w:pStyle w:val="TableParagraph"/>
              <w:spacing w:before="89"/>
              <w:ind w:right="77"/>
              <w:jc w:val="right"/>
              <w:rPr>
                <w:rFonts w:ascii="Palatino Linotype"/>
                <w:b/>
                <w:sz w:val="17"/>
              </w:rPr>
            </w:pPr>
            <w:r>
              <w:rPr>
                <w:rFonts w:ascii="Palatino Linotype"/>
                <w:b/>
                <w:color w:val="231F20"/>
                <w:sz w:val="17"/>
              </w:rPr>
              <w:t>2010</w:t>
            </w:r>
          </w:p>
        </w:tc>
        <w:tc>
          <w:tcPr>
            <w:tcW w:w="512" w:type="dxa"/>
            <w:tcBorders>
              <w:top w:val="single" w:sz="4" w:space="0" w:color="231F20"/>
              <w:bottom w:val="single" w:sz="4" w:space="0" w:color="231F20"/>
            </w:tcBorders>
          </w:tcPr>
          <w:p>
            <w:pPr>
              <w:pStyle w:val="TableParagraph"/>
              <w:spacing w:before="89"/>
              <w:ind w:left="90"/>
              <w:jc w:val="left"/>
              <w:rPr>
                <w:rFonts w:ascii="Palatino Linotype"/>
                <w:b/>
                <w:sz w:val="17"/>
              </w:rPr>
            </w:pPr>
            <w:r>
              <w:rPr>
                <w:rFonts w:ascii="Palatino Linotype"/>
                <w:b/>
                <w:color w:val="231F20"/>
                <w:sz w:val="17"/>
              </w:rPr>
              <w:t>2011</w:t>
            </w:r>
          </w:p>
        </w:tc>
        <w:tc>
          <w:tcPr>
            <w:tcW w:w="515" w:type="dxa"/>
            <w:tcBorders>
              <w:top w:val="single" w:sz="4" w:space="0" w:color="231F20"/>
              <w:bottom w:val="single" w:sz="4" w:space="0" w:color="231F20"/>
            </w:tcBorders>
          </w:tcPr>
          <w:p>
            <w:pPr>
              <w:pStyle w:val="TableParagraph"/>
              <w:spacing w:before="89"/>
              <w:ind w:left="57" w:right="55"/>
              <w:rPr>
                <w:rFonts w:ascii="Palatino Linotype"/>
                <w:b/>
                <w:sz w:val="17"/>
              </w:rPr>
            </w:pPr>
            <w:r>
              <w:rPr>
                <w:rFonts w:ascii="Palatino Linotype"/>
                <w:b/>
                <w:color w:val="231F20"/>
                <w:sz w:val="17"/>
              </w:rPr>
              <w:t>2012</w:t>
            </w:r>
          </w:p>
        </w:tc>
      </w:tr>
      <w:tr>
        <w:trPr>
          <w:trHeight w:val="362" w:hRule="exact"/>
        </w:trPr>
        <w:tc>
          <w:tcPr>
            <w:tcW w:w="1593" w:type="dxa"/>
            <w:tcBorders>
              <w:top w:val="single" w:sz="4" w:space="0" w:color="231F20"/>
            </w:tcBorders>
          </w:tcPr>
          <w:p>
            <w:pPr>
              <w:pStyle w:val="TableParagraph"/>
              <w:tabs>
                <w:tab w:pos="1151" w:val="left" w:leader="none"/>
              </w:tabs>
              <w:spacing w:before="48"/>
              <w:ind w:right="56"/>
              <w:rPr>
                <w:rFonts w:ascii="Palatino Linotype"/>
                <w:b/>
                <w:sz w:val="17"/>
              </w:rPr>
            </w:pPr>
            <w:r>
              <w:rPr>
                <w:rFonts w:ascii="Palatino Linotype"/>
                <w:b/>
                <w:color w:val="231F20"/>
                <w:spacing w:val="-4"/>
                <w:sz w:val="17"/>
              </w:rPr>
              <w:t>Total</w:t>
              <w:tab/>
            </w:r>
            <w:r>
              <w:rPr>
                <w:rFonts w:ascii="Palatino Linotype"/>
                <w:b/>
                <w:color w:val="231F20"/>
                <w:sz w:val="17"/>
              </w:rPr>
              <w:t>-3.2</w:t>
            </w:r>
          </w:p>
        </w:tc>
        <w:tc>
          <w:tcPr>
            <w:tcW w:w="509" w:type="dxa"/>
            <w:tcBorders>
              <w:top w:val="single" w:sz="4" w:space="0" w:color="231F20"/>
            </w:tcBorders>
          </w:tcPr>
          <w:p>
            <w:pPr>
              <w:pStyle w:val="TableParagraph"/>
              <w:spacing w:before="48"/>
              <w:ind w:right="141"/>
              <w:jc w:val="right"/>
              <w:rPr>
                <w:rFonts w:ascii="Palatino Linotype"/>
                <w:b/>
                <w:sz w:val="17"/>
              </w:rPr>
            </w:pPr>
            <w:r>
              <w:rPr>
                <w:rFonts w:ascii="Palatino Linotype"/>
                <w:b/>
                <w:color w:val="231F20"/>
                <w:sz w:val="17"/>
              </w:rPr>
              <w:t>4.8</w:t>
            </w:r>
          </w:p>
        </w:tc>
        <w:tc>
          <w:tcPr>
            <w:tcW w:w="516" w:type="dxa"/>
            <w:tcBorders>
              <w:top w:val="single" w:sz="4" w:space="0" w:color="231F20"/>
            </w:tcBorders>
          </w:tcPr>
          <w:p>
            <w:pPr>
              <w:pStyle w:val="TableParagraph"/>
              <w:spacing w:before="48"/>
              <w:ind w:left="153"/>
              <w:jc w:val="left"/>
              <w:rPr>
                <w:rFonts w:ascii="Palatino Linotype"/>
                <w:b/>
                <w:sz w:val="17"/>
              </w:rPr>
            </w:pPr>
            <w:r>
              <w:rPr>
                <w:rFonts w:ascii="Palatino Linotype"/>
                <w:b/>
                <w:color w:val="231F20"/>
                <w:sz w:val="17"/>
              </w:rPr>
              <w:t>1.8</w:t>
            </w:r>
          </w:p>
        </w:tc>
        <w:tc>
          <w:tcPr>
            <w:tcW w:w="510" w:type="dxa"/>
            <w:tcBorders>
              <w:top w:val="single" w:sz="4" w:space="0" w:color="231F20"/>
            </w:tcBorders>
          </w:tcPr>
          <w:p>
            <w:pPr>
              <w:pStyle w:val="TableParagraph"/>
              <w:spacing w:before="48"/>
              <w:ind w:left="64" w:right="65"/>
              <w:rPr>
                <w:rFonts w:ascii="Palatino Linotype"/>
                <w:b/>
                <w:sz w:val="17"/>
              </w:rPr>
            </w:pPr>
            <w:r>
              <w:rPr>
                <w:rFonts w:ascii="Palatino Linotype"/>
                <w:b/>
                <w:color w:val="231F20"/>
                <w:sz w:val="17"/>
              </w:rPr>
              <w:t>5.0</w:t>
            </w:r>
          </w:p>
        </w:tc>
        <w:tc>
          <w:tcPr>
            <w:tcW w:w="510" w:type="dxa"/>
            <w:tcBorders>
              <w:top w:val="single" w:sz="4" w:space="0" w:color="231F20"/>
            </w:tcBorders>
          </w:tcPr>
          <w:p>
            <w:pPr>
              <w:pStyle w:val="TableParagraph"/>
              <w:spacing w:before="48"/>
              <w:ind w:right="147"/>
              <w:jc w:val="right"/>
              <w:rPr>
                <w:rFonts w:ascii="Palatino Linotype"/>
                <w:b/>
                <w:sz w:val="17"/>
              </w:rPr>
            </w:pPr>
            <w:r>
              <w:rPr>
                <w:rFonts w:ascii="Palatino Linotype"/>
                <w:b/>
                <w:color w:val="231F20"/>
                <w:sz w:val="17"/>
              </w:rPr>
              <w:t>2.9</w:t>
            </w:r>
          </w:p>
        </w:tc>
        <w:tc>
          <w:tcPr>
            <w:tcW w:w="510" w:type="dxa"/>
            <w:tcBorders>
              <w:top w:val="single" w:sz="4" w:space="0" w:color="231F20"/>
            </w:tcBorders>
          </w:tcPr>
          <w:p>
            <w:pPr>
              <w:pStyle w:val="TableParagraph"/>
              <w:spacing w:before="48"/>
              <w:ind w:left="64" w:right="65"/>
              <w:rPr>
                <w:rFonts w:ascii="Palatino Linotype"/>
                <w:b/>
                <w:sz w:val="17"/>
              </w:rPr>
            </w:pPr>
            <w:r>
              <w:rPr>
                <w:rFonts w:ascii="Palatino Linotype"/>
                <w:b/>
                <w:color w:val="231F20"/>
                <w:sz w:val="17"/>
              </w:rPr>
              <w:t>0.3</w:t>
            </w:r>
          </w:p>
        </w:tc>
        <w:tc>
          <w:tcPr>
            <w:tcW w:w="507" w:type="dxa"/>
            <w:tcBorders>
              <w:top w:val="single" w:sz="4" w:space="0" w:color="231F20"/>
            </w:tcBorders>
          </w:tcPr>
          <w:p>
            <w:pPr>
              <w:pStyle w:val="TableParagraph"/>
              <w:spacing w:before="48"/>
              <w:ind w:right="144"/>
              <w:jc w:val="right"/>
              <w:rPr>
                <w:rFonts w:ascii="Palatino Linotype"/>
                <w:b/>
                <w:sz w:val="17"/>
              </w:rPr>
            </w:pPr>
            <w:r>
              <w:rPr>
                <w:rFonts w:ascii="Palatino Linotype"/>
                <w:b/>
                <w:color w:val="231F20"/>
                <w:sz w:val="17"/>
              </w:rPr>
              <w:t>5.0</w:t>
            </w:r>
          </w:p>
        </w:tc>
        <w:tc>
          <w:tcPr>
            <w:tcW w:w="507" w:type="dxa"/>
            <w:tcBorders>
              <w:top w:val="single" w:sz="4" w:space="0" w:color="231F20"/>
            </w:tcBorders>
          </w:tcPr>
          <w:p>
            <w:pPr>
              <w:pStyle w:val="TableParagraph"/>
              <w:spacing w:before="48"/>
              <w:ind w:left="121"/>
              <w:jc w:val="left"/>
              <w:rPr>
                <w:rFonts w:ascii="Palatino Linotype"/>
                <w:b/>
                <w:sz w:val="17"/>
              </w:rPr>
            </w:pPr>
            <w:r>
              <w:rPr>
                <w:rFonts w:ascii="Palatino Linotype"/>
                <w:b/>
                <w:color w:val="231F20"/>
                <w:sz w:val="17"/>
              </w:rPr>
              <w:t>-4.0</w:t>
            </w:r>
          </w:p>
        </w:tc>
        <w:tc>
          <w:tcPr>
            <w:tcW w:w="520" w:type="dxa"/>
            <w:tcBorders>
              <w:top w:val="single" w:sz="4" w:space="0" w:color="231F20"/>
            </w:tcBorders>
          </w:tcPr>
          <w:p>
            <w:pPr>
              <w:pStyle w:val="TableParagraph"/>
              <w:spacing w:before="48"/>
              <w:ind w:left="54" w:right="53"/>
              <w:rPr>
                <w:rFonts w:ascii="Palatino Linotype"/>
                <w:b/>
                <w:sz w:val="17"/>
              </w:rPr>
            </w:pPr>
            <w:r>
              <w:rPr>
                <w:rFonts w:ascii="Palatino Linotype"/>
                <w:b/>
                <w:color w:val="231F20"/>
                <w:sz w:val="17"/>
              </w:rPr>
              <w:t>-20.3</w:t>
            </w:r>
          </w:p>
        </w:tc>
        <w:tc>
          <w:tcPr>
            <w:tcW w:w="501" w:type="dxa"/>
            <w:tcBorders>
              <w:top w:val="single" w:sz="4" w:space="0" w:color="231F20"/>
            </w:tcBorders>
          </w:tcPr>
          <w:p>
            <w:pPr>
              <w:pStyle w:val="TableParagraph"/>
              <w:spacing w:before="48"/>
              <w:ind w:right="99"/>
              <w:jc w:val="right"/>
              <w:rPr>
                <w:rFonts w:ascii="Palatino Linotype"/>
                <w:b/>
                <w:sz w:val="17"/>
              </w:rPr>
            </w:pPr>
            <w:r>
              <w:rPr>
                <w:rFonts w:ascii="Palatino Linotype"/>
                <w:b/>
                <w:color w:val="231F20"/>
                <w:sz w:val="17"/>
              </w:rPr>
              <w:t>22.0</w:t>
            </w:r>
          </w:p>
        </w:tc>
        <w:tc>
          <w:tcPr>
            <w:tcW w:w="512" w:type="dxa"/>
            <w:tcBorders>
              <w:top w:val="single" w:sz="4" w:space="0" w:color="231F20"/>
            </w:tcBorders>
          </w:tcPr>
          <w:p>
            <w:pPr>
              <w:pStyle w:val="TableParagraph"/>
              <w:spacing w:before="48"/>
              <w:ind w:left="153"/>
              <w:jc w:val="left"/>
              <w:rPr>
                <w:rFonts w:ascii="Palatino Linotype"/>
                <w:b/>
                <w:sz w:val="17"/>
              </w:rPr>
            </w:pPr>
            <w:r>
              <w:rPr>
                <w:rFonts w:ascii="Palatino Linotype"/>
                <w:b/>
                <w:color w:val="231F20"/>
                <w:sz w:val="17"/>
              </w:rPr>
              <w:t>3.7</w:t>
            </w:r>
          </w:p>
        </w:tc>
        <w:tc>
          <w:tcPr>
            <w:tcW w:w="515" w:type="dxa"/>
            <w:tcBorders>
              <w:top w:val="single" w:sz="4" w:space="0" w:color="231F20"/>
            </w:tcBorders>
          </w:tcPr>
          <w:p>
            <w:pPr>
              <w:pStyle w:val="TableParagraph"/>
              <w:spacing w:before="48"/>
              <w:ind w:left="57" w:right="56"/>
              <w:rPr>
                <w:rFonts w:ascii="Palatino Linotype"/>
                <w:b/>
                <w:sz w:val="17"/>
              </w:rPr>
            </w:pPr>
            <w:r>
              <w:rPr>
                <w:rFonts w:ascii="Palatino Linotype"/>
                <w:b/>
                <w:color w:val="231F20"/>
                <w:sz w:val="17"/>
              </w:rPr>
              <w:t>7.8</w:t>
            </w:r>
          </w:p>
        </w:tc>
      </w:tr>
      <w:tr>
        <w:trPr>
          <w:trHeight w:val="373" w:hRule="exact"/>
        </w:trPr>
        <w:tc>
          <w:tcPr>
            <w:tcW w:w="1593" w:type="dxa"/>
          </w:tcPr>
          <w:p>
            <w:pPr>
              <w:pStyle w:val="TableParagraph"/>
              <w:tabs>
                <w:tab w:pos="1387" w:val="right" w:leader="none"/>
              </w:tabs>
              <w:spacing w:before="51"/>
              <w:ind w:right="92"/>
              <w:rPr>
                <w:sz w:val="17"/>
              </w:rPr>
            </w:pPr>
            <w:r>
              <w:rPr>
                <w:color w:val="231F20"/>
                <w:spacing w:val="-4"/>
                <w:sz w:val="17"/>
              </w:rPr>
              <w:t>Toyota</w:t>
              <w:tab/>
            </w:r>
            <w:r>
              <w:rPr>
                <w:color w:val="231F20"/>
                <w:sz w:val="17"/>
              </w:rPr>
              <w:t>1.7</w:t>
            </w:r>
          </w:p>
        </w:tc>
        <w:tc>
          <w:tcPr>
            <w:tcW w:w="509" w:type="dxa"/>
          </w:tcPr>
          <w:p>
            <w:pPr>
              <w:pStyle w:val="TableParagraph"/>
              <w:spacing w:before="51"/>
              <w:ind w:right="147"/>
              <w:jc w:val="right"/>
              <w:rPr>
                <w:sz w:val="17"/>
              </w:rPr>
            </w:pPr>
            <w:r>
              <w:rPr>
                <w:color w:val="231F20"/>
                <w:w w:val="95"/>
                <w:sz w:val="17"/>
              </w:rPr>
              <w:t>9.4</w:t>
            </w:r>
          </w:p>
        </w:tc>
        <w:tc>
          <w:tcPr>
            <w:tcW w:w="516" w:type="dxa"/>
          </w:tcPr>
          <w:p>
            <w:pPr>
              <w:pStyle w:val="TableParagraph"/>
              <w:spacing w:before="51"/>
              <w:ind w:left="158"/>
              <w:jc w:val="left"/>
              <w:rPr>
                <w:sz w:val="17"/>
              </w:rPr>
            </w:pPr>
            <w:r>
              <w:rPr>
                <w:color w:val="231F20"/>
                <w:sz w:val="17"/>
              </w:rPr>
              <w:t>7.7</w:t>
            </w:r>
          </w:p>
        </w:tc>
        <w:tc>
          <w:tcPr>
            <w:tcW w:w="510" w:type="dxa"/>
          </w:tcPr>
          <w:p>
            <w:pPr>
              <w:pStyle w:val="TableParagraph"/>
              <w:spacing w:before="51"/>
              <w:ind w:left="65" w:right="65"/>
              <w:rPr>
                <w:sz w:val="17"/>
              </w:rPr>
            </w:pPr>
            <w:r>
              <w:rPr>
                <w:color w:val="231F20"/>
                <w:sz w:val="17"/>
              </w:rPr>
              <w:t>9.0</w:t>
            </w:r>
          </w:p>
        </w:tc>
        <w:tc>
          <w:tcPr>
            <w:tcW w:w="510" w:type="dxa"/>
          </w:tcPr>
          <w:p>
            <w:pPr>
              <w:pStyle w:val="TableParagraph"/>
              <w:spacing w:before="51"/>
              <w:ind w:right="153"/>
              <w:jc w:val="right"/>
              <w:rPr>
                <w:sz w:val="17"/>
              </w:rPr>
            </w:pPr>
            <w:r>
              <w:rPr>
                <w:color w:val="231F20"/>
                <w:w w:val="95"/>
                <w:sz w:val="17"/>
              </w:rPr>
              <w:t>7.3</w:t>
            </w:r>
          </w:p>
        </w:tc>
        <w:tc>
          <w:tcPr>
            <w:tcW w:w="510" w:type="dxa"/>
          </w:tcPr>
          <w:p>
            <w:pPr>
              <w:pStyle w:val="TableParagraph"/>
              <w:spacing w:before="51"/>
              <w:ind w:left="65" w:right="65"/>
              <w:rPr>
                <w:sz w:val="17"/>
              </w:rPr>
            </w:pPr>
            <w:r>
              <w:rPr>
                <w:color w:val="231F20"/>
                <w:sz w:val="17"/>
              </w:rPr>
              <w:t>-3.7</w:t>
            </w:r>
          </w:p>
        </w:tc>
        <w:tc>
          <w:tcPr>
            <w:tcW w:w="507" w:type="dxa"/>
          </w:tcPr>
          <w:p>
            <w:pPr>
              <w:pStyle w:val="TableParagraph"/>
              <w:spacing w:before="51"/>
              <w:ind w:right="150"/>
              <w:jc w:val="right"/>
              <w:rPr>
                <w:sz w:val="17"/>
              </w:rPr>
            </w:pPr>
            <w:r>
              <w:rPr>
                <w:color w:val="231F20"/>
                <w:w w:val="95"/>
                <w:sz w:val="17"/>
              </w:rPr>
              <w:t>6.2</w:t>
            </w:r>
          </w:p>
        </w:tc>
        <w:tc>
          <w:tcPr>
            <w:tcW w:w="507" w:type="dxa"/>
          </w:tcPr>
          <w:p>
            <w:pPr>
              <w:pStyle w:val="TableParagraph"/>
              <w:spacing w:before="51"/>
              <w:ind w:left="155"/>
              <w:jc w:val="left"/>
              <w:rPr>
                <w:sz w:val="17"/>
              </w:rPr>
            </w:pPr>
            <w:r>
              <w:rPr>
                <w:color w:val="231F20"/>
                <w:sz w:val="17"/>
              </w:rPr>
              <w:t>8.2</w:t>
            </w:r>
          </w:p>
        </w:tc>
        <w:tc>
          <w:tcPr>
            <w:tcW w:w="520" w:type="dxa"/>
          </w:tcPr>
          <w:p>
            <w:pPr>
              <w:pStyle w:val="TableParagraph"/>
              <w:spacing w:before="51"/>
              <w:ind w:left="54" w:right="54"/>
              <w:rPr>
                <w:sz w:val="17"/>
              </w:rPr>
            </w:pPr>
            <w:r>
              <w:rPr>
                <w:color w:val="231F20"/>
                <w:sz w:val="17"/>
              </w:rPr>
              <w:t>-21.7</w:t>
            </w:r>
          </w:p>
        </w:tc>
        <w:tc>
          <w:tcPr>
            <w:tcW w:w="501" w:type="dxa"/>
          </w:tcPr>
          <w:p>
            <w:pPr>
              <w:pStyle w:val="TableParagraph"/>
              <w:spacing w:before="51"/>
              <w:ind w:right="107"/>
              <w:jc w:val="right"/>
              <w:rPr>
                <w:sz w:val="17"/>
              </w:rPr>
            </w:pPr>
            <w:r>
              <w:rPr>
                <w:color w:val="231F20"/>
                <w:w w:val="95"/>
                <w:sz w:val="17"/>
              </w:rPr>
              <w:t>18.3</w:t>
            </w:r>
          </w:p>
        </w:tc>
        <w:tc>
          <w:tcPr>
            <w:tcW w:w="512" w:type="dxa"/>
          </w:tcPr>
          <w:p>
            <w:pPr>
              <w:pStyle w:val="TableParagraph"/>
              <w:spacing w:before="51"/>
              <w:ind w:left="127"/>
              <w:jc w:val="left"/>
              <w:rPr>
                <w:sz w:val="17"/>
              </w:rPr>
            </w:pPr>
            <w:r>
              <w:rPr>
                <w:color w:val="231F20"/>
                <w:sz w:val="17"/>
              </w:rPr>
              <w:t>-5.9</w:t>
            </w:r>
          </w:p>
        </w:tc>
        <w:tc>
          <w:tcPr>
            <w:tcW w:w="515" w:type="dxa"/>
          </w:tcPr>
          <w:p>
            <w:pPr>
              <w:pStyle w:val="TableParagraph"/>
              <w:spacing w:before="51"/>
              <w:ind w:left="57" w:right="57"/>
              <w:rPr>
                <w:sz w:val="17"/>
              </w:rPr>
            </w:pPr>
            <w:r>
              <w:rPr>
                <w:color w:val="231F20"/>
                <w:sz w:val="17"/>
              </w:rPr>
              <w:t>25.5</w:t>
            </w:r>
          </w:p>
        </w:tc>
      </w:tr>
      <w:tr>
        <w:trPr>
          <w:trHeight w:val="405" w:hRule="exact"/>
        </w:trPr>
        <w:tc>
          <w:tcPr>
            <w:tcW w:w="1593" w:type="dxa"/>
          </w:tcPr>
          <w:p>
            <w:pPr>
              <w:pStyle w:val="TableParagraph"/>
              <w:spacing w:line="136" w:lineRule="exact"/>
              <w:ind w:left="54"/>
              <w:jc w:val="left"/>
              <w:rPr>
                <w:sz w:val="17"/>
              </w:rPr>
            </w:pPr>
            <w:r>
              <w:rPr>
                <w:color w:val="231F20"/>
                <w:sz w:val="17"/>
              </w:rPr>
              <w:t>General</w:t>
            </w:r>
          </w:p>
          <w:p>
            <w:pPr>
              <w:pStyle w:val="TableParagraph"/>
              <w:tabs>
                <w:tab w:pos="1210" w:val="left" w:leader="none"/>
              </w:tabs>
              <w:spacing w:line="236" w:lineRule="exact"/>
              <w:ind w:left="54"/>
              <w:jc w:val="left"/>
              <w:rPr>
                <w:sz w:val="17"/>
              </w:rPr>
            </w:pPr>
            <w:r>
              <w:rPr>
                <w:color w:val="231F20"/>
                <w:sz w:val="17"/>
              </w:rPr>
              <w:t>Motors</w:t>
              <w:tab/>
            </w:r>
            <w:r>
              <w:rPr>
                <w:color w:val="231F20"/>
                <w:position w:val="9"/>
                <w:sz w:val="17"/>
              </w:rPr>
              <w:t>-6.8</w:t>
            </w:r>
          </w:p>
        </w:tc>
        <w:tc>
          <w:tcPr>
            <w:tcW w:w="509" w:type="dxa"/>
          </w:tcPr>
          <w:p>
            <w:pPr>
              <w:pStyle w:val="TableParagraph"/>
              <w:spacing w:before="83"/>
              <w:ind w:right="107"/>
              <w:jc w:val="right"/>
              <w:rPr>
                <w:sz w:val="17"/>
              </w:rPr>
            </w:pPr>
            <w:r>
              <w:rPr>
                <w:color w:val="231F20"/>
                <w:w w:val="95"/>
                <w:sz w:val="17"/>
              </w:rPr>
              <w:t>15.2</w:t>
            </w:r>
          </w:p>
        </w:tc>
        <w:tc>
          <w:tcPr>
            <w:tcW w:w="516" w:type="dxa"/>
          </w:tcPr>
          <w:p>
            <w:pPr>
              <w:pStyle w:val="TableParagraph"/>
              <w:spacing w:before="83"/>
              <w:ind w:left="127"/>
              <w:jc w:val="left"/>
              <w:rPr>
                <w:sz w:val="17"/>
              </w:rPr>
            </w:pPr>
            <w:r>
              <w:rPr>
                <w:color w:val="231F20"/>
                <w:sz w:val="17"/>
              </w:rPr>
              <w:t>-0.3</w:t>
            </w:r>
          </w:p>
        </w:tc>
        <w:tc>
          <w:tcPr>
            <w:tcW w:w="510" w:type="dxa"/>
          </w:tcPr>
          <w:p>
            <w:pPr>
              <w:pStyle w:val="TableParagraph"/>
              <w:spacing w:before="83"/>
              <w:ind w:left="63" w:right="65"/>
              <w:rPr>
                <w:sz w:val="17"/>
              </w:rPr>
            </w:pPr>
            <w:r>
              <w:rPr>
                <w:color w:val="231F20"/>
                <w:sz w:val="17"/>
              </w:rPr>
              <w:t>3.3</w:t>
            </w:r>
          </w:p>
        </w:tc>
        <w:tc>
          <w:tcPr>
            <w:tcW w:w="510" w:type="dxa"/>
          </w:tcPr>
          <w:p>
            <w:pPr>
              <w:pStyle w:val="TableParagraph"/>
              <w:spacing w:before="83"/>
              <w:ind w:right="154"/>
              <w:jc w:val="right"/>
              <w:rPr>
                <w:sz w:val="17"/>
              </w:rPr>
            </w:pPr>
            <w:r>
              <w:rPr>
                <w:color w:val="231F20"/>
                <w:w w:val="95"/>
                <w:sz w:val="17"/>
              </w:rPr>
              <w:t>1.1</w:t>
            </w:r>
          </w:p>
        </w:tc>
        <w:tc>
          <w:tcPr>
            <w:tcW w:w="510" w:type="dxa"/>
          </w:tcPr>
          <w:p>
            <w:pPr>
              <w:pStyle w:val="TableParagraph"/>
              <w:spacing w:before="83"/>
              <w:ind w:left="63" w:right="65"/>
              <w:rPr>
                <w:sz w:val="17"/>
              </w:rPr>
            </w:pPr>
            <w:r>
              <w:rPr>
                <w:color w:val="231F20"/>
                <w:sz w:val="17"/>
              </w:rPr>
              <w:t>-1.5</w:t>
            </w:r>
          </w:p>
        </w:tc>
        <w:tc>
          <w:tcPr>
            <w:tcW w:w="507" w:type="dxa"/>
          </w:tcPr>
          <w:p>
            <w:pPr>
              <w:pStyle w:val="TableParagraph"/>
              <w:spacing w:before="83"/>
              <w:ind w:right="151"/>
              <w:jc w:val="right"/>
              <w:rPr>
                <w:sz w:val="17"/>
              </w:rPr>
            </w:pPr>
            <w:r>
              <w:rPr>
                <w:color w:val="231F20"/>
                <w:w w:val="95"/>
                <w:sz w:val="17"/>
              </w:rPr>
              <w:t>4.3</w:t>
            </w:r>
          </w:p>
        </w:tc>
        <w:tc>
          <w:tcPr>
            <w:tcW w:w="507" w:type="dxa"/>
          </w:tcPr>
          <w:p>
            <w:pPr>
              <w:pStyle w:val="TableParagraph"/>
              <w:spacing w:before="83"/>
              <w:ind w:left="84"/>
              <w:jc w:val="left"/>
              <w:rPr>
                <w:sz w:val="17"/>
              </w:rPr>
            </w:pPr>
            <w:r>
              <w:rPr>
                <w:color w:val="231F20"/>
                <w:sz w:val="17"/>
              </w:rPr>
              <w:t>-11.4</w:t>
            </w:r>
          </w:p>
        </w:tc>
        <w:tc>
          <w:tcPr>
            <w:tcW w:w="520" w:type="dxa"/>
          </w:tcPr>
          <w:p>
            <w:pPr>
              <w:pStyle w:val="TableParagraph"/>
              <w:spacing w:before="83"/>
              <w:ind w:left="54" w:right="55"/>
              <w:rPr>
                <w:sz w:val="17"/>
              </w:rPr>
            </w:pPr>
            <w:r>
              <w:rPr>
                <w:color w:val="231F20"/>
                <w:sz w:val="17"/>
              </w:rPr>
              <w:t>-22.0</w:t>
            </w:r>
          </w:p>
        </w:tc>
        <w:tc>
          <w:tcPr>
            <w:tcW w:w="501" w:type="dxa"/>
          </w:tcPr>
          <w:p>
            <w:pPr>
              <w:pStyle w:val="TableParagraph"/>
              <w:spacing w:before="83"/>
              <w:ind w:right="107"/>
              <w:jc w:val="right"/>
              <w:rPr>
                <w:sz w:val="17"/>
              </w:rPr>
            </w:pPr>
            <w:r>
              <w:rPr>
                <w:color w:val="231F20"/>
                <w:w w:val="95"/>
                <w:sz w:val="17"/>
              </w:rPr>
              <w:t>31.2</w:t>
            </w:r>
          </w:p>
        </w:tc>
        <w:tc>
          <w:tcPr>
            <w:tcW w:w="512" w:type="dxa"/>
          </w:tcPr>
          <w:p>
            <w:pPr>
              <w:pStyle w:val="TableParagraph"/>
              <w:spacing w:before="83"/>
              <w:ind w:left="157"/>
              <w:jc w:val="left"/>
              <w:rPr>
                <w:sz w:val="17"/>
              </w:rPr>
            </w:pPr>
            <w:r>
              <w:rPr>
                <w:color w:val="231F20"/>
                <w:sz w:val="17"/>
              </w:rPr>
              <w:t>6.6</w:t>
            </w:r>
          </w:p>
        </w:tc>
        <w:tc>
          <w:tcPr>
            <w:tcW w:w="515" w:type="dxa"/>
          </w:tcPr>
          <w:p>
            <w:pPr>
              <w:pStyle w:val="TableParagraph"/>
              <w:spacing w:before="83"/>
              <w:ind w:left="57" w:right="58"/>
              <w:rPr>
                <w:sz w:val="17"/>
              </w:rPr>
            </w:pPr>
            <w:r>
              <w:rPr>
                <w:color w:val="231F20"/>
                <w:sz w:val="17"/>
              </w:rPr>
              <w:t>2.8</w:t>
            </w:r>
          </w:p>
        </w:tc>
      </w:tr>
      <w:tr>
        <w:trPr>
          <w:trHeight w:val="373" w:hRule="exact"/>
        </w:trPr>
        <w:tc>
          <w:tcPr>
            <w:tcW w:w="1593" w:type="dxa"/>
          </w:tcPr>
          <w:p>
            <w:pPr>
              <w:pStyle w:val="TableParagraph"/>
              <w:tabs>
                <w:tab w:pos="1155" w:val="left" w:leader="none"/>
              </w:tabs>
              <w:spacing w:before="83"/>
              <w:ind w:right="65"/>
              <w:rPr>
                <w:sz w:val="17"/>
              </w:rPr>
            </w:pPr>
            <w:r>
              <w:rPr>
                <w:color w:val="231F20"/>
                <w:spacing w:val="-3"/>
                <w:sz w:val="17"/>
              </w:rPr>
              <w:t>Ford</w:t>
              <w:tab/>
            </w:r>
            <w:r>
              <w:rPr>
                <w:color w:val="231F20"/>
                <w:sz w:val="17"/>
              </w:rPr>
              <w:t>-8.8</w:t>
            </w:r>
          </w:p>
        </w:tc>
        <w:tc>
          <w:tcPr>
            <w:tcW w:w="509" w:type="dxa"/>
          </w:tcPr>
          <w:p>
            <w:pPr>
              <w:pStyle w:val="TableParagraph"/>
              <w:spacing w:before="83"/>
              <w:ind w:right="148"/>
              <w:jc w:val="right"/>
              <w:rPr>
                <w:sz w:val="17"/>
              </w:rPr>
            </w:pPr>
            <w:r>
              <w:rPr>
                <w:color w:val="231F20"/>
                <w:w w:val="95"/>
                <w:sz w:val="17"/>
              </w:rPr>
              <w:t>0.8</w:t>
            </w:r>
          </w:p>
        </w:tc>
        <w:tc>
          <w:tcPr>
            <w:tcW w:w="516" w:type="dxa"/>
          </w:tcPr>
          <w:p>
            <w:pPr>
              <w:pStyle w:val="TableParagraph"/>
              <w:spacing w:before="83"/>
              <w:ind w:left="127"/>
              <w:jc w:val="left"/>
              <w:rPr>
                <w:sz w:val="17"/>
              </w:rPr>
            </w:pPr>
            <w:r>
              <w:rPr>
                <w:color w:val="231F20"/>
                <w:sz w:val="17"/>
              </w:rPr>
              <w:t>-2.4</w:t>
            </w:r>
          </w:p>
        </w:tc>
        <w:tc>
          <w:tcPr>
            <w:tcW w:w="510" w:type="dxa"/>
          </w:tcPr>
          <w:p>
            <w:pPr>
              <w:pStyle w:val="TableParagraph"/>
              <w:spacing w:before="83"/>
              <w:ind w:left="62" w:right="65"/>
              <w:rPr>
                <w:sz w:val="17"/>
              </w:rPr>
            </w:pPr>
            <w:r>
              <w:rPr>
                <w:color w:val="231F20"/>
                <w:sz w:val="17"/>
              </w:rPr>
              <w:t>1.2</w:t>
            </w:r>
          </w:p>
        </w:tc>
        <w:tc>
          <w:tcPr>
            <w:tcW w:w="510" w:type="dxa"/>
          </w:tcPr>
          <w:p>
            <w:pPr>
              <w:pStyle w:val="TableParagraph"/>
              <w:spacing w:before="83"/>
              <w:ind w:right="124"/>
              <w:jc w:val="right"/>
              <w:rPr>
                <w:sz w:val="17"/>
              </w:rPr>
            </w:pPr>
            <w:r>
              <w:rPr>
                <w:color w:val="231F20"/>
                <w:w w:val="95"/>
                <w:sz w:val="17"/>
              </w:rPr>
              <w:t>-0.1</w:t>
            </w:r>
          </w:p>
        </w:tc>
        <w:tc>
          <w:tcPr>
            <w:tcW w:w="510" w:type="dxa"/>
          </w:tcPr>
          <w:p>
            <w:pPr>
              <w:pStyle w:val="TableParagraph"/>
              <w:spacing w:before="83"/>
              <w:ind w:left="62" w:right="65"/>
              <w:rPr>
                <w:sz w:val="17"/>
              </w:rPr>
            </w:pPr>
            <w:r>
              <w:rPr>
                <w:color w:val="231F20"/>
                <w:sz w:val="17"/>
              </w:rPr>
              <w:t>-2.0</w:t>
            </w:r>
          </w:p>
        </w:tc>
        <w:tc>
          <w:tcPr>
            <w:tcW w:w="507" w:type="dxa"/>
          </w:tcPr>
          <w:p>
            <w:pPr>
              <w:pStyle w:val="TableParagraph"/>
              <w:spacing w:before="83"/>
              <w:ind w:right="121"/>
              <w:jc w:val="right"/>
              <w:rPr>
                <w:sz w:val="17"/>
              </w:rPr>
            </w:pPr>
            <w:r>
              <w:rPr>
                <w:color w:val="231F20"/>
                <w:w w:val="95"/>
                <w:sz w:val="17"/>
              </w:rPr>
              <w:t>-4.0</w:t>
            </w:r>
          </w:p>
        </w:tc>
        <w:tc>
          <w:tcPr>
            <w:tcW w:w="507" w:type="dxa"/>
          </w:tcPr>
          <w:p>
            <w:pPr>
              <w:pStyle w:val="TableParagraph"/>
              <w:spacing w:before="83"/>
              <w:ind w:left="83"/>
              <w:jc w:val="left"/>
              <w:rPr>
                <w:sz w:val="17"/>
              </w:rPr>
            </w:pPr>
            <w:r>
              <w:rPr>
                <w:color w:val="231F20"/>
                <w:sz w:val="17"/>
              </w:rPr>
              <w:t>-13.4</w:t>
            </w:r>
          </w:p>
        </w:tc>
        <w:tc>
          <w:tcPr>
            <w:tcW w:w="520" w:type="dxa"/>
          </w:tcPr>
          <w:p>
            <w:pPr>
              <w:pStyle w:val="TableParagraph"/>
              <w:spacing w:before="83"/>
              <w:ind w:left="54" w:right="55"/>
              <w:rPr>
                <w:sz w:val="17"/>
              </w:rPr>
            </w:pPr>
            <w:r>
              <w:rPr>
                <w:color w:val="231F20"/>
                <w:sz w:val="17"/>
              </w:rPr>
              <w:t>-13.3</w:t>
            </w:r>
          </w:p>
        </w:tc>
        <w:tc>
          <w:tcPr>
            <w:tcW w:w="501" w:type="dxa"/>
          </w:tcPr>
          <w:p>
            <w:pPr>
              <w:pStyle w:val="TableParagraph"/>
              <w:spacing w:before="83"/>
              <w:ind w:right="149"/>
              <w:jc w:val="right"/>
              <w:rPr>
                <w:sz w:val="17"/>
              </w:rPr>
            </w:pPr>
            <w:r>
              <w:rPr>
                <w:color w:val="231F20"/>
                <w:w w:val="95"/>
                <w:sz w:val="17"/>
              </w:rPr>
              <w:t>6.5</w:t>
            </w:r>
          </w:p>
        </w:tc>
        <w:tc>
          <w:tcPr>
            <w:tcW w:w="512" w:type="dxa"/>
          </w:tcPr>
          <w:p>
            <w:pPr>
              <w:pStyle w:val="TableParagraph"/>
              <w:spacing w:before="83"/>
              <w:ind w:left="116"/>
              <w:jc w:val="left"/>
              <w:rPr>
                <w:sz w:val="17"/>
              </w:rPr>
            </w:pPr>
            <w:r>
              <w:rPr>
                <w:color w:val="231F20"/>
                <w:sz w:val="17"/>
              </w:rPr>
              <w:t>10.6</w:t>
            </w:r>
          </w:p>
        </w:tc>
        <w:tc>
          <w:tcPr>
            <w:tcW w:w="515" w:type="dxa"/>
          </w:tcPr>
          <w:p>
            <w:pPr>
              <w:pStyle w:val="TableParagraph"/>
              <w:spacing w:before="83"/>
              <w:ind w:left="57" w:right="57"/>
              <w:rPr>
                <w:sz w:val="17"/>
              </w:rPr>
            </w:pPr>
            <w:r>
              <w:rPr>
                <w:color w:val="231F20"/>
                <w:sz w:val="17"/>
              </w:rPr>
              <w:t>1.4</w:t>
            </w:r>
          </w:p>
        </w:tc>
      </w:tr>
      <w:tr>
        <w:trPr>
          <w:trHeight w:val="373" w:hRule="exact"/>
        </w:trPr>
        <w:tc>
          <w:tcPr>
            <w:tcW w:w="1593" w:type="dxa"/>
          </w:tcPr>
          <w:p>
            <w:pPr>
              <w:pStyle w:val="TableParagraph"/>
              <w:tabs>
                <w:tab w:pos="1185" w:val="left" w:leader="none"/>
              </w:tabs>
              <w:spacing w:before="51"/>
              <w:ind w:right="96"/>
              <w:rPr>
                <w:sz w:val="17"/>
              </w:rPr>
            </w:pPr>
            <w:r>
              <w:rPr>
                <w:color w:val="231F20"/>
                <w:spacing w:val="-3"/>
                <w:sz w:val="17"/>
              </w:rPr>
              <w:t>Volkswagen</w:t>
              <w:tab/>
            </w:r>
            <w:r>
              <w:rPr>
                <w:color w:val="231F20"/>
                <w:sz w:val="17"/>
              </w:rPr>
              <w:t>0.0</w:t>
            </w:r>
          </w:p>
        </w:tc>
        <w:tc>
          <w:tcPr>
            <w:tcW w:w="509" w:type="dxa"/>
          </w:tcPr>
          <w:p>
            <w:pPr>
              <w:pStyle w:val="TableParagraph"/>
              <w:spacing w:before="51"/>
              <w:ind w:right="119"/>
              <w:jc w:val="right"/>
              <w:rPr>
                <w:sz w:val="17"/>
              </w:rPr>
            </w:pPr>
            <w:r>
              <w:rPr>
                <w:color w:val="231F20"/>
                <w:w w:val="95"/>
                <w:sz w:val="17"/>
              </w:rPr>
              <w:t>-1.8</w:t>
            </w:r>
          </w:p>
        </w:tc>
        <w:tc>
          <w:tcPr>
            <w:tcW w:w="516" w:type="dxa"/>
          </w:tcPr>
          <w:p>
            <w:pPr>
              <w:pStyle w:val="TableParagraph"/>
              <w:spacing w:before="51"/>
              <w:ind w:left="156"/>
              <w:jc w:val="left"/>
              <w:rPr>
                <w:sz w:val="17"/>
              </w:rPr>
            </w:pPr>
            <w:r>
              <w:rPr>
                <w:color w:val="231F20"/>
                <w:sz w:val="17"/>
              </w:rPr>
              <w:t>0.1</w:t>
            </w:r>
          </w:p>
        </w:tc>
        <w:tc>
          <w:tcPr>
            <w:tcW w:w="510" w:type="dxa"/>
          </w:tcPr>
          <w:p>
            <w:pPr>
              <w:pStyle w:val="TableParagraph"/>
              <w:spacing w:before="51"/>
              <w:ind w:left="61" w:right="65"/>
              <w:rPr>
                <w:sz w:val="17"/>
              </w:rPr>
            </w:pPr>
            <w:r>
              <w:rPr>
                <w:color w:val="231F20"/>
                <w:sz w:val="17"/>
              </w:rPr>
              <w:t>1.4</w:t>
            </w:r>
          </w:p>
        </w:tc>
        <w:tc>
          <w:tcPr>
            <w:tcW w:w="510" w:type="dxa"/>
          </w:tcPr>
          <w:p>
            <w:pPr>
              <w:pStyle w:val="TableParagraph"/>
              <w:spacing w:before="51"/>
              <w:ind w:right="155"/>
              <w:jc w:val="right"/>
              <w:rPr>
                <w:sz w:val="17"/>
              </w:rPr>
            </w:pPr>
            <w:r>
              <w:rPr>
                <w:color w:val="231F20"/>
                <w:w w:val="95"/>
                <w:sz w:val="17"/>
              </w:rPr>
              <w:t>2.3</w:t>
            </w:r>
          </w:p>
        </w:tc>
        <w:tc>
          <w:tcPr>
            <w:tcW w:w="510" w:type="dxa"/>
          </w:tcPr>
          <w:p>
            <w:pPr>
              <w:pStyle w:val="TableParagraph"/>
              <w:spacing w:before="51"/>
              <w:ind w:left="61" w:right="65"/>
              <w:rPr>
                <w:sz w:val="17"/>
              </w:rPr>
            </w:pPr>
            <w:r>
              <w:rPr>
                <w:color w:val="231F20"/>
                <w:sz w:val="17"/>
              </w:rPr>
              <w:t>9.1</w:t>
            </w:r>
          </w:p>
        </w:tc>
        <w:tc>
          <w:tcPr>
            <w:tcW w:w="507" w:type="dxa"/>
          </w:tcPr>
          <w:p>
            <w:pPr>
              <w:pStyle w:val="TableParagraph"/>
              <w:spacing w:before="51"/>
              <w:ind w:right="111"/>
              <w:jc w:val="right"/>
              <w:rPr>
                <w:sz w:val="17"/>
              </w:rPr>
            </w:pPr>
            <w:r>
              <w:rPr>
                <w:color w:val="231F20"/>
                <w:w w:val="95"/>
                <w:sz w:val="17"/>
              </w:rPr>
              <w:t>10.2</w:t>
            </w:r>
          </w:p>
        </w:tc>
        <w:tc>
          <w:tcPr>
            <w:tcW w:w="507" w:type="dxa"/>
          </w:tcPr>
          <w:p>
            <w:pPr>
              <w:pStyle w:val="TableParagraph"/>
              <w:spacing w:before="51"/>
              <w:ind w:left="153"/>
              <w:jc w:val="left"/>
              <w:rPr>
                <w:sz w:val="17"/>
              </w:rPr>
            </w:pPr>
            <w:r>
              <w:rPr>
                <w:color w:val="231F20"/>
                <w:sz w:val="17"/>
              </w:rPr>
              <w:t>2.7</w:t>
            </w:r>
          </w:p>
        </w:tc>
        <w:tc>
          <w:tcPr>
            <w:tcW w:w="520" w:type="dxa"/>
          </w:tcPr>
          <w:p>
            <w:pPr>
              <w:pStyle w:val="TableParagraph"/>
              <w:spacing w:before="51"/>
              <w:ind w:left="54" w:right="56"/>
              <w:rPr>
                <w:sz w:val="17"/>
              </w:rPr>
            </w:pPr>
            <w:r>
              <w:rPr>
                <w:color w:val="231F20"/>
                <w:sz w:val="17"/>
              </w:rPr>
              <w:t>-5.7</w:t>
            </w:r>
          </w:p>
        </w:tc>
        <w:tc>
          <w:tcPr>
            <w:tcW w:w="501" w:type="dxa"/>
          </w:tcPr>
          <w:p>
            <w:pPr>
              <w:pStyle w:val="TableParagraph"/>
              <w:spacing w:before="51"/>
              <w:ind w:right="109"/>
              <w:jc w:val="right"/>
              <w:rPr>
                <w:sz w:val="17"/>
              </w:rPr>
            </w:pPr>
            <w:r>
              <w:rPr>
                <w:color w:val="231F20"/>
                <w:w w:val="95"/>
                <w:sz w:val="17"/>
              </w:rPr>
              <w:t>21.0</w:t>
            </w:r>
          </w:p>
        </w:tc>
        <w:tc>
          <w:tcPr>
            <w:tcW w:w="512" w:type="dxa"/>
          </w:tcPr>
          <w:p>
            <w:pPr>
              <w:pStyle w:val="TableParagraph"/>
              <w:spacing w:before="51"/>
              <w:ind w:left="115"/>
              <w:jc w:val="left"/>
              <w:rPr>
                <w:sz w:val="17"/>
              </w:rPr>
            </w:pPr>
            <w:r>
              <w:rPr>
                <w:color w:val="231F20"/>
                <w:sz w:val="17"/>
              </w:rPr>
              <w:t>16.1</w:t>
            </w:r>
          </w:p>
        </w:tc>
        <w:tc>
          <w:tcPr>
            <w:tcW w:w="515" w:type="dxa"/>
          </w:tcPr>
          <w:p>
            <w:pPr>
              <w:pStyle w:val="TableParagraph"/>
              <w:spacing w:before="51"/>
              <w:ind w:left="57" w:right="58"/>
              <w:rPr>
                <w:sz w:val="17"/>
              </w:rPr>
            </w:pPr>
            <w:r>
              <w:rPr>
                <w:color w:val="231F20"/>
                <w:sz w:val="17"/>
              </w:rPr>
              <w:t>8.6</w:t>
            </w:r>
          </w:p>
        </w:tc>
      </w:tr>
      <w:tr>
        <w:trPr>
          <w:trHeight w:val="405" w:hRule="exact"/>
        </w:trPr>
        <w:tc>
          <w:tcPr>
            <w:tcW w:w="1593" w:type="dxa"/>
          </w:tcPr>
          <w:p>
            <w:pPr>
              <w:pStyle w:val="TableParagraph"/>
              <w:spacing w:line="136" w:lineRule="exact"/>
              <w:ind w:left="52"/>
              <w:jc w:val="left"/>
              <w:rPr>
                <w:sz w:val="17"/>
              </w:rPr>
            </w:pPr>
            <w:r>
              <w:rPr>
                <w:color w:val="231F20"/>
                <w:sz w:val="17"/>
              </w:rPr>
              <w:t>Daimler</w:t>
            </w:r>
          </w:p>
          <w:p>
            <w:pPr>
              <w:pStyle w:val="TableParagraph"/>
              <w:tabs>
                <w:tab w:pos="1167" w:val="left" w:leader="none"/>
              </w:tabs>
              <w:spacing w:line="236" w:lineRule="exact"/>
              <w:ind w:left="52"/>
              <w:jc w:val="left"/>
              <w:rPr>
                <w:sz w:val="17"/>
              </w:rPr>
            </w:pPr>
            <w:r>
              <w:rPr>
                <w:color w:val="231F20"/>
                <w:sz w:val="17"/>
              </w:rPr>
              <w:t>Chrysler</w:t>
              <w:tab/>
            </w:r>
            <w:r>
              <w:rPr>
                <w:color w:val="231F20"/>
                <w:position w:val="9"/>
                <w:sz w:val="17"/>
              </w:rPr>
              <w:t>-22.4</w:t>
            </w:r>
          </w:p>
        </w:tc>
        <w:tc>
          <w:tcPr>
            <w:tcW w:w="509" w:type="dxa"/>
          </w:tcPr>
          <w:p>
            <w:pPr>
              <w:pStyle w:val="TableParagraph"/>
              <w:spacing w:before="83"/>
              <w:ind w:right="109"/>
              <w:jc w:val="right"/>
              <w:rPr>
                <w:sz w:val="17"/>
              </w:rPr>
            </w:pPr>
            <w:r>
              <w:rPr>
                <w:color w:val="231F20"/>
                <w:w w:val="95"/>
                <w:sz w:val="17"/>
              </w:rPr>
              <w:t>12.6</w:t>
            </w:r>
          </w:p>
        </w:tc>
        <w:tc>
          <w:tcPr>
            <w:tcW w:w="516" w:type="dxa"/>
          </w:tcPr>
          <w:p>
            <w:pPr>
              <w:pStyle w:val="TableParagraph"/>
              <w:spacing w:before="83"/>
              <w:ind w:left="156"/>
              <w:jc w:val="left"/>
              <w:rPr>
                <w:sz w:val="17"/>
              </w:rPr>
            </w:pPr>
            <w:r>
              <w:rPr>
                <w:color w:val="231F20"/>
                <w:sz w:val="17"/>
              </w:rPr>
              <w:t>3.8</w:t>
            </w:r>
          </w:p>
        </w:tc>
        <w:tc>
          <w:tcPr>
            <w:tcW w:w="510" w:type="dxa"/>
          </w:tcPr>
          <w:p>
            <w:pPr>
              <w:pStyle w:val="TableParagraph"/>
              <w:spacing w:before="83"/>
              <w:ind w:left="59" w:right="65"/>
              <w:rPr>
                <w:sz w:val="17"/>
              </w:rPr>
            </w:pPr>
            <w:r>
              <w:rPr>
                <w:color w:val="231F20"/>
                <w:sz w:val="17"/>
              </w:rPr>
              <w:t>9.4</w:t>
            </w:r>
          </w:p>
        </w:tc>
        <w:tc>
          <w:tcPr>
            <w:tcW w:w="510" w:type="dxa"/>
          </w:tcPr>
          <w:p>
            <w:pPr>
              <w:pStyle w:val="TableParagraph"/>
              <w:spacing w:before="83"/>
              <w:ind w:right="156"/>
              <w:jc w:val="right"/>
              <w:rPr>
                <w:sz w:val="17"/>
              </w:rPr>
            </w:pPr>
            <w:r>
              <w:rPr>
                <w:color w:val="231F20"/>
                <w:w w:val="95"/>
                <w:sz w:val="17"/>
              </w:rPr>
              <w:t>3.9</w:t>
            </w:r>
          </w:p>
        </w:tc>
        <w:tc>
          <w:tcPr>
            <w:tcW w:w="510" w:type="dxa"/>
          </w:tcPr>
          <w:p>
            <w:pPr>
              <w:pStyle w:val="TableParagraph"/>
              <w:spacing w:before="83"/>
              <w:ind w:left="59" w:right="65"/>
              <w:rPr>
                <w:sz w:val="17"/>
              </w:rPr>
            </w:pPr>
            <w:r>
              <w:rPr>
                <w:color w:val="231F20"/>
                <w:sz w:val="17"/>
              </w:rPr>
              <w:t>-4.6</w:t>
            </w:r>
          </w:p>
        </w:tc>
        <w:tc>
          <w:tcPr>
            <w:tcW w:w="507" w:type="dxa"/>
          </w:tcPr>
          <w:p>
            <w:pPr>
              <w:pStyle w:val="TableParagraph"/>
              <w:spacing w:before="83"/>
              <w:ind w:right="153"/>
              <w:jc w:val="right"/>
              <w:rPr>
                <w:sz w:val="17"/>
              </w:rPr>
            </w:pPr>
            <w:r>
              <w:rPr>
                <w:color w:val="231F20"/>
                <w:w w:val="95"/>
                <w:sz w:val="17"/>
              </w:rPr>
              <w:t>1.0</w:t>
            </w:r>
          </w:p>
        </w:tc>
        <w:tc>
          <w:tcPr>
            <w:tcW w:w="507" w:type="dxa"/>
          </w:tcPr>
          <w:p>
            <w:pPr>
              <w:pStyle w:val="TableParagraph"/>
              <w:spacing w:before="83"/>
              <w:ind w:left="82"/>
              <w:jc w:val="left"/>
              <w:rPr>
                <w:sz w:val="17"/>
              </w:rPr>
            </w:pPr>
            <w:r>
              <w:rPr>
                <w:color w:val="231F20"/>
                <w:sz w:val="17"/>
              </w:rPr>
              <w:t>-12.3</w:t>
            </w:r>
          </w:p>
        </w:tc>
        <w:tc>
          <w:tcPr>
            <w:tcW w:w="520" w:type="dxa"/>
          </w:tcPr>
          <w:p>
            <w:pPr>
              <w:pStyle w:val="TableParagraph"/>
              <w:spacing w:before="83"/>
              <w:ind w:left="54" w:right="57"/>
              <w:rPr>
                <w:sz w:val="17"/>
              </w:rPr>
            </w:pPr>
            <w:r>
              <w:rPr>
                <w:color w:val="231F20"/>
                <w:sz w:val="17"/>
              </w:rPr>
              <w:t>-76.4</w:t>
            </w:r>
          </w:p>
        </w:tc>
        <w:tc>
          <w:tcPr>
            <w:tcW w:w="501" w:type="dxa"/>
          </w:tcPr>
          <w:p>
            <w:pPr>
              <w:pStyle w:val="TableParagraph"/>
              <w:spacing w:before="83"/>
              <w:ind w:right="109"/>
              <w:jc w:val="right"/>
              <w:rPr>
                <w:sz w:val="17"/>
              </w:rPr>
            </w:pPr>
            <w:r>
              <w:rPr>
                <w:color w:val="231F20"/>
                <w:w w:val="95"/>
                <w:sz w:val="17"/>
              </w:rPr>
              <w:t>64.6</w:t>
            </w:r>
          </w:p>
        </w:tc>
        <w:tc>
          <w:tcPr>
            <w:tcW w:w="512" w:type="dxa"/>
          </w:tcPr>
          <w:p>
            <w:pPr>
              <w:pStyle w:val="TableParagraph"/>
              <w:spacing w:before="83"/>
              <w:ind w:left="114"/>
              <w:jc w:val="left"/>
              <w:rPr>
                <w:sz w:val="17"/>
              </w:rPr>
            </w:pPr>
            <w:r>
              <w:rPr>
                <w:color w:val="231F20"/>
                <w:sz w:val="17"/>
              </w:rPr>
              <w:t>26.6</w:t>
            </w:r>
          </w:p>
        </w:tc>
        <w:tc>
          <w:tcPr>
            <w:tcW w:w="515" w:type="dxa"/>
          </w:tcPr>
          <w:p>
            <w:pPr>
              <w:pStyle w:val="TableParagraph"/>
              <w:spacing w:before="83"/>
              <w:ind w:left="57" w:right="60"/>
              <w:rPr>
                <w:sz w:val="17"/>
              </w:rPr>
            </w:pPr>
            <w:r>
              <w:rPr>
                <w:color w:val="231F20"/>
                <w:sz w:val="17"/>
              </w:rPr>
              <w:t>18.6</w:t>
            </w:r>
          </w:p>
        </w:tc>
      </w:tr>
      <w:tr>
        <w:trPr>
          <w:trHeight w:val="373" w:hRule="exact"/>
        </w:trPr>
        <w:tc>
          <w:tcPr>
            <w:tcW w:w="1593" w:type="dxa"/>
          </w:tcPr>
          <w:p>
            <w:pPr>
              <w:pStyle w:val="TableParagraph"/>
              <w:tabs>
                <w:tab w:pos="1387" w:val="right" w:leader="none"/>
              </w:tabs>
              <w:spacing w:before="83"/>
              <w:ind w:right="99"/>
              <w:rPr>
                <w:sz w:val="17"/>
              </w:rPr>
            </w:pPr>
            <w:r>
              <w:rPr>
                <w:color w:val="231F20"/>
                <w:sz w:val="17"/>
              </w:rPr>
              <w:t>Honda</w:t>
              <w:tab/>
              <w:t>2.2</w:t>
            </w:r>
          </w:p>
        </w:tc>
        <w:tc>
          <w:tcPr>
            <w:tcW w:w="509" w:type="dxa"/>
          </w:tcPr>
          <w:p>
            <w:pPr>
              <w:pStyle w:val="TableParagraph"/>
              <w:spacing w:before="83"/>
              <w:ind w:right="150"/>
              <w:jc w:val="right"/>
              <w:rPr>
                <w:sz w:val="17"/>
              </w:rPr>
            </w:pPr>
            <w:r>
              <w:rPr>
                <w:color w:val="231F20"/>
                <w:w w:val="95"/>
                <w:sz w:val="17"/>
              </w:rPr>
              <w:t>6.3</w:t>
            </w:r>
          </w:p>
        </w:tc>
        <w:tc>
          <w:tcPr>
            <w:tcW w:w="516" w:type="dxa"/>
          </w:tcPr>
          <w:p>
            <w:pPr>
              <w:pStyle w:val="TableParagraph"/>
              <w:spacing w:before="83"/>
              <w:ind w:left="155"/>
              <w:jc w:val="left"/>
              <w:rPr>
                <w:sz w:val="17"/>
              </w:rPr>
            </w:pPr>
            <w:r>
              <w:rPr>
                <w:color w:val="231F20"/>
                <w:sz w:val="17"/>
              </w:rPr>
              <w:t>7.5</w:t>
            </w:r>
          </w:p>
        </w:tc>
        <w:tc>
          <w:tcPr>
            <w:tcW w:w="510" w:type="dxa"/>
          </w:tcPr>
          <w:p>
            <w:pPr>
              <w:pStyle w:val="TableParagraph"/>
              <w:spacing w:before="83"/>
              <w:ind w:left="58" w:right="65"/>
              <w:rPr>
                <w:sz w:val="17"/>
              </w:rPr>
            </w:pPr>
            <w:r>
              <w:rPr>
                <w:color w:val="231F20"/>
                <w:sz w:val="17"/>
              </w:rPr>
              <w:t>10.7</w:t>
            </w:r>
          </w:p>
        </w:tc>
        <w:tc>
          <w:tcPr>
            <w:tcW w:w="510" w:type="dxa"/>
          </w:tcPr>
          <w:p>
            <w:pPr>
              <w:pStyle w:val="TableParagraph"/>
              <w:spacing w:before="83"/>
              <w:ind w:right="156"/>
              <w:jc w:val="right"/>
              <w:rPr>
                <w:sz w:val="17"/>
              </w:rPr>
            </w:pPr>
            <w:r>
              <w:rPr>
                <w:color w:val="231F20"/>
                <w:w w:val="95"/>
                <w:sz w:val="17"/>
              </w:rPr>
              <w:t>6.1</w:t>
            </w:r>
          </w:p>
        </w:tc>
        <w:tc>
          <w:tcPr>
            <w:tcW w:w="510" w:type="dxa"/>
          </w:tcPr>
          <w:p>
            <w:pPr>
              <w:pStyle w:val="TableParagraph"/>
              <w:spacing w:before="83"/>
              <w:ind w:left="58" w:right="65"/>
              <w:rPr>
                <w:sz w:val="17"/>
              </w:rPr>
            </w:pPr>
            <w:r>
              <w:rPr>
                <w:color w:val="231F20"/>
                <w:sz w:val="17"/>
              </w:rPr>
              <w:t>6.8</w:t>
            </w:r>
          </w:p>
        </w:tc>
        <w:tc>
          <w:tcPr>
            <w:tcW w:w="507" w:type="dxa"/>
          </w:tcPr>
          <w:p>
            <w:pPr>
              <w:pStyle w:val="TableParagraph"/>
              <w:spacing w:before="83"/>
              <w:ind w:right="153"/>
              <w:jc w:val="right"/>
              <w:rPr>
                <w:sz w:val="17"/>
              </w:rPr>
            </w:pPr>
            <w:r>
              <w:rPr>
                <w:color w:val="231F20"/>
                <w:w w:val="95"/>
                <w:sz w:val="17"/>
              </w:rPr>
              <w:t>6.6</w:t>
            </w:r>
          </w:p>
        </w:tc>
        <w:tc>
          <w:tcPr>
            <w:tcW w:w="507" w:type="dxa"/>
          </w:tcPr>
          <w:p>
            <w:pPr>
              <w:pStyle w:val="TableParagraph"/>
              <w:spacing w:before="83"/>
              <w:ind w:left="152"/>
              <w:jc w:val="left"/>
              <w:rPr>
                <w:sz w:val="17"/>
              </w:rPr>
            </w:pPr>
            <w:r>
              <w:rPr>
                <w:color w:val="231F20"/>
                <w:sz w:val="17"/>
              </w:rPr>
              <w:t>0.0</w:t>
            </w:r>
          </w:p>
        </w:tc>
        <w:tc>
          <w:tcPr>
            <w:tcW w:w="520" w:type="dxa"/>
          </w:tcPr>
          <w:p>
            <w:pPr>
              <w:pStyle w:val="TableParagraph"/>
              <w:spacing w:before="83"/>
              <w:ind w:left="54" w:right="59"/>
              <w:rPr>
                <w:sz w:val="17"/>
              </w:rPr>
            </w:pPr>
            <w:r>
              <w:rPr>
                <w:color w:val="231F20"/>
                <w:sz w:val="17"/>
              </w:rPr>
              <w:t>-23.0</w:t>
            </w:r>
          </w:p>
        </w:tc>
        <w:tc>
          <w:tcPr>
            <w:tcW w:w="501" w:type="dxa"/>
          </w:tcPr>
          <w:p>
            <w:pPr>
              <w:pStyle w:val="TableParagraph"/>
              <w:spacing w:before="83"/>
              <w:ind w:right="110"/>
              <w:jc w:val="right"/>
              <w:rPr>
                <w:sz w:val="17"/>
              </w:rPr>
            </w:pPr>
            <w:r>
              <w:rPr>
                <w:color w:val="231F20"/>
                <w:w w:val="95"/>
                <w:sz w:val="17"/>
              </w:rPr>
              <w:t>20.9</w:t>
            </w:r>
          </w:p>
        </w:tc>
        <w:tc>
          <w:tcPr>
            <w:tcW w:w="512" w:type="dxa"/>
          </w:tcPr>
          <w:p>
            <w:pPr>
              <w:pStyle w:val="TableParagraph"/>
              <w:spacing w:before="83"/>
              <w:ind w:left="83"/>
              <w:jc w:val="left"/>
              <w:rPr>
                <w:sz w:val="17"/>
              </w:rPr>
            </w:pPr>
            <w:r>
              <w:rPr>
                <w:color w:val="231F20"/>
                <w:sz w:val="17"/>
              </w:rPr>
              <w:t>-20.1</w:t>
            </w:r>
          </w:p>
        </w:tc>
        <w:tc>
          <w:tcPr>
            <w:tcW w:w="515" w:type="dxa"/>
          </w:tcPr>
          <w:p>
            <w:pPr>
              <w:pStyle w:val="TableParagraph"/>
              <w:spacing w:before="83"/>
              <w:ind w:left="57" w:right="61"/>
              <w:rPr>
                <w:sz w:val="17"/>
              </w:rPr>
            </w:pPr>
            <w:r>
              <w:rPr>
                <w:color w:val="231F20"/>
                <w:sz w:val="17"/>
              </w:rPr>
              <w:t>41.3</w:t>
            </w:r>
          </w:p>
        </w:tc>
      </w:tr>
      <w:tr>
        <w:trPr>
          <w:trHeight w:val="340" w:hRule="exact"/>
        </w:trPr>
        <w:tc>
          <w:tcPr>
            <w:tcW w:w="1593" w:type="dxa"/>
          </w:tcPr>
          <w:p>
            <w:pPr>
              <w:pStyle w:val="TableParagraph"/>
              <w:tabs>
                <w:tab w:pos="1114" w:val="left" w:leader="none"/>
              </w:tabs>
              <w:spacing w:before="51"/>
              <w:ind w:right="29"/>
              <w:rPr>
                <w:sz w:val="17"/>
              </w:rPr>
            </w:pPr>
            <w:r>
              <w:rPr>
                <w:color w:val="231F20"/>
                <w:sz w:val="17"/>
              </w:rPr>
              <w:t>PSA</w:t>
              <w:tab/>
              <w:t>-12.5</w:t>
            </w:r>
          </w:p>
        </w:tc>
        <w:tc>
          <w:tcPr>
            <w:tcW w:w="509" w:type="dxa"/>
          </w:tcPr>
          <w:p>
            <w:pPr>
              <w:pStyle w:val="TableParagraph"/>
              <w:spacing w:before="51"/>
              <w:ind w:right="151"/>
              <w:jc w:val="right"/>
              <w:rPr>
                <w:sz w:val="17"/>
              </w:rPr>
            </w:pPr>
            <w:r>
              <w:rPr>
                <w:color w:val="231F20"/>
                <w:w w:val="95"/>
                <w:sz w:val="17"/>
              </w:rPr>
              <w:t>4.9</w:t>
            </w:r>
          </w:p>
        </w:tc>
        <w:tc>
          <w:tcPr>
            <w:tcW w:w="516" w:type="dxa"/>
          </w:tcPr>
          <w:p>
            <w:pPr>
              <w:pStyle w:val="TableParagraph"/>
              <w:spacing w:before="51"/>
              <w:ind w:left="113"/>
              <w:jc w:val="left"/>
              <w:rPr>
                <w:sz w:val="17"/>
              </w:rPr>
            </w:pPr>
            <w:r>
              <w:rPr>
                <w:color w:val="231F20"/>
                <w:sz w:val="17"/>
              </w:rPr>
              <w:t>25.3</w:t>
            </w:r>
          </w:p>
        </w:tc>
        <w:tc>
          <w:tcPr>
            <w:tcW w:w="510" w:type="dxa"/>
          </w:tcPr>
          <w:p>
            <w:pPr>
              <w:pStyle w:val="TableParagraph"/>
              <w:spacing w:before="51"/>
              <w:ind w:left="57" w:right="65"/>
              <w:rPr>
                <w:sz w:val="17"/>
              </w:rPr>
            </w:pPr>
            <w:r>
              <w:rPr>
                <w:color w:val="231F20"/>
                <w:sz w:val="17"/>
              </w:rPr>
              <w:t>2.9</w:t>
            </w:r>
          </w:p>
        </w:tc>
        <w:tc>
          <w:tcPr>
            <w:tcW w:w="510" w:type="dxa"/>
          </w:tcPr>
          <w:p>
            <w:pPr>
              <w:pStyle w:val="TableParagraph"/>
              <w:spacing w:before="51"/>
              <w:ind w:right="127"/>
              <w:jc w:val="right"/>
              <w:rPr>
                <w:sz w:val="17"/>
              </w:rPr>
            </w:pPr>
            <w:r>
              <w:rPr>
                <w:color w:val="231F20"/>
                <w:w w:val="95"/>
                <w:sz w:val="17"/>
              </w:rPr>
              <w:t>-0.9</w:t>
            </w:r>
          </w:p>
        </w:tc>
        <w:tc>
          <w:tcPr>
            <w:tcW w:w="510" w:type="dxa"/>
          </w:tcPr>
          <w:p>
            <w:pPr>
              <w:pStyle w:val="TableParagraph"/>
              <w:spacing w:before="51"/>
              <w:ind w:left="57" w:right="65"/>
              <w:rPr>
                <w:sz w:val="17"/>
              </w:rPr>
            </w:pPr>
            <w:r>
              <w:rPr>
                <w:color w:val="231F20"/>
                <w:sz w:val="17"/>
              </w:rPr>
              <w:t>-0.5</w:t>
            </w:r>
          </w:p>
        </w:tc>
        <w:tc>
          <w:tcPr>
            <w:tcW w:w="507" w:type="dxa"/>
          </w:tcPr>
          <w:p>
            <w:pPr>
              <w:pStyle w:val="TableParagraph"/>
              <w:spacing w:before="51"/>
              <w:ind w:right="154"/>
              <w:jc w:val="right"/>
              <w:rPr>
                <w:sz w:val="17"/>
              </w:rPr>
            </w:pPr>
            <w:r>
              <w:rPr>
                <w:color w:val="231F20"/>
                <w:w w:val="95"/>
                <w:sz w:val="17"/>
              </w:rPr>
              <w:t>3.0</w:t>
            </w:r>
          </w:p>
        </w:tc>
        <w:tc>
          <w:tcPr>
            <w:tcW w:w="507" w:type="dxa"/>
          </w:tcPr>
          <w:p>
            <w:pPr>
              <w:pStyle w:val="TableParagraph"/>
              <w:spacing w:before="51"/>
              <w:ind w:left="121"/>
              <w:jc w:val="left"/>
              <w:rPr>
                <w:sz w:val="17"/>
              </w:rPr>
            </w:pPr>
            <w:r>
              <w:rPr>
                <w:color w:val="231F20"/>
                <w:sz w:val="17"/>
              </w:rPr>
              <w:t>-3.8</w:t>
            </w:r>
          </w:p>
        </w:tc>
        <w:tc>
          <w:tcPr>
            <w:tcW w:w="520" w:type="dxa"/>
          </w:tcPr>
          <w:p>
            <w:pPr>
              <w:pStyle w:val="TableParagraph"/>
              <w:spacing w:before="51"/>
              <w:ind w:left="54" w:right="60"/>
              <w:rPr>
                <w:sz w:val="17"/>
              </w:rPr>
            </w:pPr>
            <w:r>
              <w:rPr>
                <w:color w:val="231F20"/>
                <w:sz w:val="17"/>
              </w:rPr>
              <w:t>-8.5</w:t>
            </w:r>
          </w:p>
        </w:tc>
        <w:tc>
          <w:tcPr>
            <w:tcW w:w="501" w:type="dxa"/>
          </w:tcPr>
          <w:p>
            <w:pPr>
              <w:pStyle w:val="TableParagraph"/>
              <w:spacing w:before="51"/>
              <w:ind w:right="111"/>
              <w:jc w:val="right"/>
              <w:rPr>
                <w:sz w:val="17"/>
              </w:rPr>
            </w:pPr>
            <w:r>
              <w:rPr>
                <w:color w:val="231F20"/>
                <w:w w:val="95"/>
                <w:sz w:val="17"/>
              </w:rPr>
              <w:t>18.5</w:t>
            </w:r>
          </w:p>
        </w:tc>
        <w:tc>
          <w:tcPr>
            <w:tcW w:w="512" w:type="dxa"/>
          </w:tcPr>
          <w:p>
            <w:pPr>
              <w:pStyle w:val="TableParagraph"/>
              <w:spacing w:before="51"/>
              <w:ind w:left="123"/>
              <w:jc w:val="left"/>
              <w:rPr>
                <w:sz w:val="17"/>
              </w:rPr>
            </w:pPr>
            <w:r>
              <w:rPr>
                <w:color w:val="231F20"/>
                <w:sz w:val="17"/>
              </w:rPr>
              <w:t>-0.6</w:t>
            </w:r>
          </w:p>
        </w:tc>
        <w:tc>
          <w:tcPr>
            <w:tcW w:w="515" w:type="dxa"/>
          </w:tcPr>
          <w:p>
            <w:pPr>
              <w:pStyle w:val="TableParagraph"/>
              <w:spacing w:before="51"/>
              <w:ind w:left="57" w:right="62"/>
              <w:rPr>
                <w:sz w:val="17"/>
              </w:rPr>
            </w:pPr>
            <w:r>
              <w:rPr>
                <w:color w:val="231F20"/>
                <w:sz w:val="17"/>
              </w:rPr>
              <w:t>-18.7</w:t>
            </w:r>
          </w:p>
        </w:tc>
      </w:tr>
      <w:tr>
        <w:trPr>
          <w:trHeight w:val="340" w:hRule="exact"/>
        </w:trPr>
        <w:tc>
          <w:tcPr>
            <w:tcW w:w="1593" w:type="dxa"/>
          </w:tcPr>
          <w:p>
            <w:pPr>
              <w:pStyle w:val="TableParagraph"/>
              <w:tabs>
                <w:tab w:pos="1145" w:val="left" w:leader="none"/>
              </w:tabs>
              <w:spacing w:before="51"/>
              <w:ind w:right="61"/>
              <w:rPr>
                <w:sz w:val="17"/>
              </w:rPr>
            </w:pPr>
            <w:r>
              <w:rPr>
                <w:color w:val="231F20"/>
                <w:sz w:val="17"/>
              </w:rPr>
              <w:t>Nissan</w:t>
              <w:tab/>
              <w:t>18.0</w:t>
            </w:r>
          </w:p>
        </w:tc>
        <w:tc>
          <w:tcPr>
            <w:tcW w:w="509" w:type="dxa"/>
          </w:tcPr>
          <w:p>
            <w:pPr>
              <w:pStyle w:val="TableParagraph"/>
              <w:spacing w:before="51"/>
              <w:ind w:right="152"/>
              <w:jc w:val="right"/>
              <w:rPr>
                <w:sz w:val="17"/>
              </w:rPr>
            </w:pPr>
            <w:r>
              <w:rPr>
                <w:color w:val="231F20"/>
                <w:w w:val="95"/>
                <w:sz w:val="17"/>
              </w:rPr>
              <w:t>5.2</w:t>
            </w:r>
          </w:p>
        </w:tc>
        <w:tc>
          <w:tcPr>
            <w:tcW w:w="516" w:type="dxa"/>
          </w:tcPr>
          <w:p>
            <w:pPr>
              <w:pStyle w:val="TableParagraph"/>
              <w:spacing w:before="51"/>
              <w:ind w:left="123"/>
              <w:jc w:val="left"/>
              <w:rPr>
                <w:sz w:val="17"/>
              </w:rPr>
            </w:pPr>
            <w:r>
              <w:rPr>
                <w:color w:val="231F20"/>
                <w:sz w:val="17"/>
              </w:rPr>
              <w:t>-9.8</w:t>
            </w:r>
          </w:p>
        </w:tc>
        <w:tc>
          <w:tcPr>
            <w:tcW w:w="510" w:type="dxa"/>
          </w:tcPr>
          <w:p>
            <w:pPr>
              <w:pStyle w:val="TableParagraph"/>
              <w:spacing w:before="51"/>
              <w:ind w:left="55" w:right="65"/>
              <w:rPr>
                <w:sz w:val="17"/>
              </w:rPr>
            </w:pPr>
            <w:r>
              <w:rPr>
                <w:color w:val="231F20"/>
                <w:sz w:val="17"/>
              </w:rPr>
              <w:t>8.4</w:t>
            </w:r>
          </w:p>
        </w:tc>
        <w:tc>
          <w:tcPr>
            <w:tcW w:w="510" w:type="dxa"/>
          </w:tcPr>
          <w:p>
            <w:pPr>
              <w:pStyle w:val="TableParagraph"/>
              <w:spacing w:before="51"/>
              <w:ind w:right="158"/>
              <w:jc w:val="right"/>
              <w:rPr>
                <w:sz w:val="17"/>
              </w:rPr>
            </w:pPr>
            <w:r>
              <w:rPr>
                <w:color w:val="231F20"/>
                <w:w w:val="95"/>
                <w:sz w:val="17"/>
              </w:rPr>
              <w:t>9.5</w:t>
            </w:r>
          </w:p>
        </w:tc>
        <w:tc>
          <w:tcPr>
            <w:tcW w:w="510" w:type="dxa"/>
          </w:tcPr>
          <w:p>
            <w:pPr>
              <w:pStyle w:val="TableParagraph"/>
              <w:spacing w:before="51"/>
              <w:ind w:left="55" w:right="65"/>
              <w:rPr>
                <w:sz w:val="17"/>
              </w:rPr>
            </w:pPr>
            <w:r>
              <w:rPr>
                <w:color w:val="231F20"/>
                <w:sz w:val="17"/>
              </w:rPr>
              <w:t>-7.8</w:t>
            </w:r>
          </w:p>
        </w:tc>
        <w:tc>
          <w:tcPr>
            <w:tcW w:w="507" w:type="dxa"/>
          </w:tcPr>
          <w:p>
            <w:pPr>
              <w:pStyle w:val="TableParagraph"/>
              <w:spacing w:before="51"/>
              <w:ind w:right="155"/>
              <w:jc w:val="right"/>
              <w:rPr>
                <w:sz w:val="17"/>
              </w:rPr>
            </w:pPr>
            <w:r>
              <w:rPr>
                <w:color w:val="231F20"/>
                <w:w w:val="95"/>
                <w:sz w:val="17"/>
              </w:rPr>
              <w:t>6.5</w:t>
            </w:r>
          </w:p>
        </w:tc>
        <w:tc>
          <w:tcPr>
            <w:tcW w:w="507" w:type="dxa"/>
          </w:tcPr>
          <w:p>
            <w:pPr>
              <w:pStyle w:val="TableParagraph"/>
              <w:spacing w:before="51"/>
              <w:ind w:left="120"/>
              <w:jc w:val="left"/>
              <w:rPr>
                <w:sz w:val="17"/>
              </w:rPr>
            </w:pPr>
            <w:r>
              <w:rPr>
                <w:color w:val="231F20"/>
                <w:sz w:val="17"/>
              </w:rPr>
              <w:t>-1.0</w:t>
            </w:r>
          </w:p>
        </w:tc>
        <w:tc>
          <w:tcPr>
            <w:tcW w:w="520" w:type="dxa"/>
          </w:tcPr>
          <w:p>
            <w:pPr>
              <w:pStyle w:val="TableParagraph"/>
              <w:spacing w:before="51"/>
              <w:ind w:left="54" w:right="61"/>
              <w:rPr>
                <w:sz w:val="17"/>
              </w:rPr>
            </w:pPr>
            <w:r>
              <w:rPr>
                <w:color w:val="231F20"/>
                <w:sz w:val="17"/>
              </w:rPr>
              <w:t>-19.2</w:t>
            </w:r>
          </w:p>
        </w:tc>
        <w:tc>
          <w:tcPr>
            <w:tcW w:w="501" w:type="dxa"/>
          </w:tcPr>
          <w:p>
            <w:pPr>
              <w:pStyle w:val="TableParagraph"/>
              <w:spacing w:before="51"/>
              <w:ind w:right="113"/>
              <w:jc w:val="right"/>
              <w:rPr>
                <w:sz w:val="17"/>
              </w:rPr>
            </w:pPr>
            <w:r>
              <w:rPr>
                <w:color w:val="231F20"/>
                <w:w w:val="95"/>
                <w:sz w:val="17"/>
              </w:rPr>
              <w:t>45.1</w:t>
            </w:r>
          </w:p>
        </w:tc>
        <w:tc>
          <w:tcPr>
            <w:tcW w:w="512" w:type="dxa"/>
          </w:tcPr>
          <w:p>
            <w:pPr>
              <w:pStyle w:val="TableParagraph"/>
              <w:spacing w:before="51"/>
              <w:ind w:left="112"/>
              <w:jc w:val="left"/>
              <w:rPr>
                <w:sz w:val="17"/>
              </w:rPr>
            </w:pPr>
            <w:r>
              <w:rPr>
                <w:color w:val="231F20"/>
                <w:sz w:val="17"/>
              </w:rPr>
              <w:t>16.3</w:t>
            </w:r>
          </w:p>
        </w:tc>
        <w:tc>
          <w:tcPr>
            <w:tcW w:w="515" w:type="dxa"/>
          </w:tcPr>
          <w:p>
            <w:pPr>
              <w:pStyle w:val="TableParagraph"/>
              <w:spacing w:before="51"/>
              <w:ind w:left="55" w:right="62"/>
              <w:rPr>
                <w:sz w:val="17"/>
              </w:rPr>
            </w:pPr>
            <w:r>
              <w:rPr>
                <w:color w:val="231F20"/>
                <w:sz w:val="17"/>
              </w:rPr>
              <w:t>5.6</w:t>
            </w:r>
          </w:p>
        </w:tc>
      </w:tr>
      <w:tr>
        <w:trPr>
          <w:trHeight w:val="340" w:hRule="exact"/>
        </w:trPr>
        <w:tc>
          <w:tcPr>
            <w:tcW w:w="1593" w:type="dxa"/>
          </w:tcPr>
          <w:p>
            <w:pPr>
              <w:pStyle w:val="TableParagraph"/>
              <w:tabs>
                <w:tab w:pos="1155" w:val="left" w:leader="none"/>
              </w:tabs>
              <w:spacing w:before="51"/>
              <w:ind w:right="73"/>
              <w:rPr>
                <w:sz w:val="17"/>
              </w:rPr>
            </w:pPr>
            <w:r>
              <w:rPr>
                <w:color w:val="231F20"/>
                <w:sz w:val="17"/>
              </w:rPr>
              <w:t>Renault</w:t>
              <w:tab/>
              <w:t>-4.2</w:t>
            </w:r>
          </w:p>
        </w:tc>
        <w:tc>
          <w:tcPr>
            <w:tcW w:w="509" w:type="dxa"/>
          </w:tcPr>
          <w:p>
            <w:pPr>
              <w:pStyle w:val="TableParagraph"/>
              <w:spacing w:before="51"/>
              <w:ind w:right="122"/>
              <w:jc w:val="right"/>
              <w:rPr>
                <w:sz w:val="17"/>
              </w:rPr>
            </w:pPr>
            <w:r>
              <w:rPr>
                <w:color w:val="231F20"/>
                <w:w w:val="95"/>
                <w:sz w:val="17"/>
              </w:rPr>
              <w:t>-9.0</w:t>
            </w:r>
          </w:p>
        </w:tc>
        <w:tc>
          <w:tcPr>
            <w:tcW w:w="516" w:type="dxa"/>
          </w:tcPr>
          <w:p>
            <w:pPr>
              <w:pStyle w:val="TableParagraph"/>
              <w:spacing w:before="51"/>
              <w:ind w:left="153"/>
              <w:jc w:val="left"/>
              <w:rPr>
                <w:sz w:val="17"/>
              </w:rPr>
            </w:pPr>
            <w:r>
              <w:rPr>
                <w:color w:val="231F20"/>
                <w:sz w:val="17"/>
              </w:rPr>
              <w:t>8.9</w:t>
            </w:r>
          </w:p>
        </w:tc>
        <w:tc>
          <w:tcPr>
            <w:tcW w:w="510" w:type="dxa"/>
          </w:tcPr>
          <w:p>
            <w:pPr>
              <w:pStyle w:val="TableParagraph"/>
              <w:spacing w:before="51"/>
              <w:ind w:left="54" w:right="65"/>
              <w:rPr>
                <w:sz w:val="17"/>
              </w:rPr>
            </w:pPr>
            <w:r>
              <w:rPr>
                <w:color w:val="231F20"/>
                <w:sz w:val="17"/>
              </w:rPr>
              <w:t>3.6</w:t>
            </w:r>
          </w:p>
        </w:tc>
        <w:tc>
          <w:tcPr>
            <w:tcW w:w="510" w:type="dxa"/>
          </w:tcPr>
          <w:p>
            <w:pPr>
              <w:pStyle w:val="TableParagraph"/>
              <w:spacing w:before="51"/>
              <w:ind w:right="158"/>
              <w:jc w:val="right"/>
              <w:rPr>
                <w:sz w:val="17"/>
              </w:rPr>
            </w:pPr>
            <w:r>
              <w:rPr>
                <w:color w:val="231F20"/>
                <w:w w:val="95"/>
                <w:sz w:val="17"/>
              </w:rPr>
              <w:t>5.9</w:t>
            </w:r>
          </w:p>
        </w:tc>
        <w:tc>
          <w:tcPr>
            <w:tcW w:w="510" w:type="dxa"/>
          </w:tcPr>
          <w:p>
            <w:pPr>
              <w:pStyle w:val="TableParagraph"/>
              <w:spacing w:before="51"/>
              <w:ind w:left="54" w:right="65"/>
              <w:rPr>
                <w:sz w:val="17"/>
              </w:rPr>
            </w:pPr>
            <w:r>
              <w:rPr>
                <w:color w:val="231F20"/>
                <w:sz w:val="17"/>
              </w:rPr>
              <w:t>-2.8</w:t>
            </w:r>
          </w:p>
        </w:tc>
        <w:tc>
          <w:tcPr>
            <w:tcW w:w="507" w:type="dxa"/>
          </w:tcPr>
          <w:p>
            <w:pPr>
              <w:pStyle w:val="TableParagraph"/>
              <w:spacing w:before="51"/>
              <w:ind w:right="155"/>
              <w:jc w:val="right"/>
              <w:rPr>
                <w:sz w:val="17"/>
              </w:rPr>
            </w:pPr>
            <w:r>
              <w:rPr>
                <w:color w:val="231F20"/>
                <w:w w:val="95"/>
                <w:sz w:val="17"/>
              </w:rPr>
              <w:t>5.0</w:t>
            </w:r>
          </w:p>
        </w:tc>
        <w:tc>
          <w:tcPr>
            <w:tcW w:w="507" w:type="dxa"/>
          </w:tcPr>
          <w:p>
            <w:pPr>
              <w:pStyle w:val="TableParagraph"/>
              <w:spacing w:before="51"/>
              <w:ind w:left="120"/>
              <w:jc w:val="left"/>
              <w:rPr>
                <w:sz w:val="17"/>
              </w:rPr>
            </w:pPr>
            <w:r>
              <w:rPr>
                <w:color w:val="231F20"/>
                <w:sz w:val="17"/>
              </w:rPr>
              <w:t>-9.4</w:t>
            </w:r>
          </w:p>
        </w:tc>
        <w:tc>
          <w:tcPr>
            <w:tcW w:w="520" w:type="dxa"/>
          </w:tcPr>
          <w:p>
            <w:pPr>
              <w:pStyle w:val="TableParagraph"/>
              <w:spacing w:before="51"/>
              <w:ind w:left="53" w:right="62"/>
              <w:rPr>
                <w:sz w:val="17"/>
              </w:rPr>
            </w:pPr>
            <w:r>
              <w:rPr>
                <w:color w:val="231F20"/>
                <w:sz w:val="17"/>
              </w:rPr>
              <w:t>-5.0</w:t>
            </w:r>
          </w:p>
        </w:tc>
        <w:tc>
          <w:tcPr>
            <w:tcW w:w="501" w:type="dxa"/>
          </w:tcPr>
          <w:p>
            <w:pPr>
              <w:pStyle w:val="TableParagraph"/>
              <w:spacing w:before="51"/>
              <w:ind w:right="112"/>
              <w:jc w:val="right"/>
              <w:rPr>
                <w:sz w:val="17"/>
              </w:rPr>
            </w:pPr>
            <w:r>
              <w:rPr>
                <w:color w:val="231F20"/>
                <w:w w:val="95"/>
                <w:sz w:val="17"/>
              </w:rPr>
              <w:t>18.3</w:t>
            </w:r>
          </w:p>
        </w:tc>
        <w:tc>
          <w:tcPr>
            <w:tcW w:w="512" w:type="dxa"/>
          </w:tcPr>
          <w:p>
            <w:pPr>
              <w:pStyle w:val="TableParagraph"/>
              <w:spacing w:before="51"/>
              <w:ind w:left="152"/>
              <w:jc w:val="left"/>
              <w:rPr>
                <w:sz w:val="17"/>
              </w:rPr>
            </w:pPr>
            <w:r>
              <w:rPr>
                <w:color w:val="231F20"/>
                <w:sz w:val="17"/>
              </w:rPr>
              <w:t>4.0</w:t>
            </w:r>
          </w:p>
        </w:tc>
        <w:tc>
          <w:tcPr>
            <w:tcW w:w="515" w:type="dxa"/>
          </w:tcPr>
          <w:p>
            <w:pPr>
              <w:pStyle w:val="TableParagraph"/>
              <w:spacing w:before="51"/>
              <w:ind w:left="54" w:right="62"/>
              <w:rPr>
                <w:sz w:val="17"/>
              </w:rPr>
            </w:pPr>
            <w:r>
              <w:rPr>
                <w:color w:val="231F20"/>
                <w:sz w:val="17"/>
              </w:rPr>
              <w:t>-5.3</w:t>
            </w:r>
          </w:p>
        </w:tc>
      </w:tr>
      <w:tr>
        <w:trPr>
          <w:trHeight w:val="340" w:hRule="exact"/>
        </w:trPr>
        <w:tc>
          <w:tcPr>
            <w:tcW w:w="1593" w:type="dxa"/>
          </w:tcPr>
          <w:p>
            <w:pPr>
              <w:pStyle w:val="TableParagraph"/>
              <w:tabs>
                <w:tab w:pos="1155" w:val="left" w:leader="none"/>
              </w:tabs>
              <w:spacing w:before="51"/>
              <w:ind w:right="74"/>
              <w:rPr>
                <w:sz w:val="17"/>
              </w:rPr>
            </w:pPr>
            <w:r>
              <w:rPr>
                <w:color w:val="231F20"/>
                <w:sz w:val="17"/>
              </w:rPr>
              <w:t>Fiat</w:t>
              <w:tab/>
              <w:t>-8.8</w:t>
            </w:r>
          </w:p>
        </w:tc>
        <w:tc>
          <w:tcPr>
            <w:tcW w:w="509" w:type="dxa"/>
          </w:tcPr>
          <w:p>
            <w:pPr>
              <w:pStyle w:val="TableParagraph"/>
              <w:spacing w:before="51"/>
              <w:ind w:right="123"/>
              <w:jc w:val="right"/>
              <w:rPr>
                <w:sz w:val="17"/>
              </w:rPr>
            </w:pPr>
            <w:r>
              <w:rPr>
                <w:color w:val="231F20"/>
                <w:w w:val="95"/>
                <w:sz w:val="17"/>
              </w:rPr>
              <w:t>-9.0</w:t>
            </w:r>
          </w:p>
        </w:tc>
        <w:tc>
          <w:tcPr>
            <w:tcW w:w="516" w:type="dxa"/>
          </w:tcPr>
          <w:p>
            <w:pPr>
              <w:pStyle w:val="TableParagraph"/>
              <w:spacing w:before="51"/>
              <w:ind w:left="122"/>
              <w:jc w:val="left"/>
              <w:rPr>
                <w:sz w:val="17"/>
              </w:rPr>
            </w:pPr>
            <w:r>
              <w:rPr>
                <w:color w:val="231F20"/>
                <w:sz w:val="17"/>
              </w:rPr>
              <w:t>-5.2</w:t>
            </w:r>
          </w:p>
        </w:tc>
        <w:tc>
          <w:tcPr>
            <w:tcW w:w="510" w:type="dxa"/>
          </w:tcPr>
          <w:p>
            <w:pPr>
              <w:pStyle w:val="TableParagraph"/>
              <w:spacing w:before="51"/>
              <w:ind w:left="53" w:right="65"/>
              <w:rPr>
                <w:sz w:val="17"/>
              </w:rPr>
            </w:pPr>
            <w:r>
              <w:rPr>
                <w:color w:val="231F20"/>
                <w:sz w:val="17"/>
              </w:rPr>
              <w:t>2.0</w:t>
            </w:r>
          </w:p>
        </w:tc>
        <w:tc>
          <w:tcPr>
            <w:tcW w:w="510" w:type="dxa"/>
          </w:tcPr>
          <w:p>
            <w:pPr>
              <w:pStyle w:val="TableParagraph"/>
              <w:spacing w:before="51"/>
              <w:ind w:right="129"/>
              <w:jc w:val="right"/>
              <w:rPr>
                <w:sz w:val="17"/>
              </w:rPr>
            </w:pPr>
            <w:r>
              <w:rPr>
                <w:color w:val="231F20"/>
                <w:w w:val="95"/>
                <w:sz w:val="17"/>
              </w:rPr>
              <w:t>-3.9</w:t>
            </w:r>
          </w:p>
        </w:tc>
        <w:tc>
          <w:tcPr>
            <w:tcW w:w="510" w:type="dxa"/>
          </w:tcPr>
          <w:p>
            <w:pPr>
              <w:pStyle w:val="TableParagraph"/>
              <w:spacing w:before="51"/>
              <w:ind w:left="53" w:right="65"/>
              <w:rPr>
                <w:sz w:val="17"/>
              </w:rPr>
            </w:pPr>
            <w:r>
              <w:rPr>
                <w:color w:val="231F20"/>
                <w:sz w:val="17"/>
              </w:rPr>
              <w:t>13.8</w:t>
            </w:r>
          </w:p>
        </w:tc>
        <w:tc>
          <w:tcPr>
            <w:tcW w:w="507" w:type="dxa"/>
          </w:tcPr>
          <w:p>
            <w:pPr>
              <w:pStyle w:val="TableParagraph"/>
              <w:spacing w:before="51"/>
              <w:ind w:right="115"/>
              <w:jc w:val="right"/>
              <w:rPr>
                <w:sz w:val="17"/>
              </w:rPr>
            </w:pPr>
            <w:r>
              <w:rPr>
                <w:color w:val="231F20"/>
                <w:w w:val="95"/>
                <w:sz w:val="17"/>
              </w:rPr>
              <w:t>15.5</w:t>
            </w:r>
          </w:p>
        </w:tc>
        <w:tc>
          <w:tcPr>
            <w:tcW w:w="507" w:type="dxa"/>
          </w:tcPr>
          <w:p>
            <w:pPr>
              <w:pStyle w:val="TableParagraph"/>
              <w:spacing w:before="51"/>
              <w:ind w:left="119"/>
              <w:jc w:val="left"/>
              <w:rPr>
                <w:sz w:val="17"/>
              </w:rPr>
            </w:pPr>
            <w:r>
              <w:rPr>
                <w:color w:val="231F20"/>
                <w:sz w:val="17"/>
              </w:rPr>
              <w:t>-5.8</w:t>
            </w:r>
          </w:p>
        </w:tc>
        <w:tc>
          <w:tcPr>
            <w:tcW w:w="520" w:type="dxa"/>
          </w:tcPr>
          <w:p>
            <w:pPr>
              <w:pStyle w:val="TableParagraph"/>
              <w:spacing w:before="51"/>
              <w:ind w:left="52" w:right="62"/>
              <w:rPr>
                <w:sz w:val="17"/>
              </w:rPr>
            </w:pPr>
            <w:r>
              <w:rPr>
                <w:color w:val="231F20"/>
                <w:sz w:val="17"/>
              </w:rPr>
              <w:t>-2.5</w:t>
            </w:r>
          </w:p>
        </w:tc>
        <w:tc>
          <w:tcPr>
            <w:tcW w:w="501" w:type="dxa"/>
          </w:tcPr>
          <w:p>
            <w:pPr>
              <w:pStyle w:val="TableParagraph"/>
              <w:spacing w:before="51"/>
              <w:ind w:right="123"/>
              <w:jc w:val="right"/>
              <w:rPr>
                <w:sz w:val="17"/>
              </w:rPr>
            </w:pPr>
            <w:r>
              <w:rPr>
                <w:color w:val="231F20"/>
                <w:w w:val="95"/>
                <w:sz w:val="17"/>
              </w:rPr>
              <w:t>-2.0</w:t>
            </w:r>
          </w:p>
        </w:tc>
        <w:tc>
          <w:tcPr>
            <w:tcW w:w="512" w:type="dxa"/>
          </w:tcPr>
          <w:p>
            <w:pPr>
              <w:pStyle w:val="TableParagraph"/>
              <w:spacing w:before="51"/>
              <w:ind w:left="121"/>
              <w:jc w:val="left"/>
              <w:rPr>
                <w:sz w:val="17"/>
              </w:rPr>
            </w:pPr>
            <w:r>
              <w:rPr>
                <w:color w:val="231F20"/>
                <w:sz w:val="17"/>
              </w:rPr>
              <w:t>-3.0</w:t>
            </w:r>
          </w:p>
        </w:tc>
        <w:tc>
          <w:tcPr>
            <w:tcW w:w="515" w:type="dxa"/>
          </w:tcPr>
          <w:p>
            <w:pPr>
              <w:pStyle w:val="TableParagraph"/>
              <w:spacing w:before="51"/>
              <w:ind w:left="52" w:right="62"/>
              <w:rPr>
                <w:sz w:val="17"/>
              </w:rPr>
            </w:pPr>
            <w:r>
              <w:rPr>
                <w:color w:val="231F20"/>
                <w:sz w:val="17"/>
              </w:rPr>
              <w:t>-9.0</w:t>
            </w:r>
          </w:p>
        </w:tc>
      </w:tr>
      <w:tr>
        <w:trPr>
          <w:trHeight w:val="340" w:hRule="exact"/>
        </w:trPr>
        <w:tc>
          <w:tcPr>
            <w:tcW w:w="1593" w:type="dxa"/>
          </w:tcPr>
          <w:p>
            <w:pPr>
              <w:pStyle w:val="TableParagraph"/>
              <w:spacing w:before="51"/>
              <w:ind w:right="65"/>
              <w:rPr>
                <w:sz w:val="17"/>
              </w:rPr>
            </w:pPr>
            <w:r>
              <w:rPr>
                <w:color w:val="231F20"/>
                <w:sz w:val="17"/>
              </w:rPr>
              <w:t>Suzuki-Maruti    13.1</w:t>
            </w:r>
          </w:p>
        </w:tc>
        <w:tc>
          <w:tcPr>
            <w:tcW w:w="509" w:type="dxa"/>
          </w:tcPr>
          <w:p>
            <w:pPr>
              <w:pStyle w:val="TableParagraph"/>
              <w:spacing w:before="51"/>
              <w:ind w:right="113"/>
              <w:jc w:val="right"/>
              <w:rPr>
                <w:sz w:val="17"/>
              </w:rPr>
            </w:pPr>
            <w:r>
              <w:rPr>
                <w:color w:val="231F20"/>
                <w:w w:val="95"/>
                <w:sz w:val="17"/>
              </w:rPr>
              <w:t>10.5</w:t>
            </w:r>
          </w:p>
        </w:tc>
        <w:tc>
          <w:tcPr>
            <w:tcW w:w="516" w:type="dxa"/>
          </w:tcPr>
          <w:p>
            <w:pPr>
              <w:pStyle w:val="TableParagraph"/>
              <w:spacing w:before="51"/>
              <w:ind w:left="121"/>
              <w:jc w:val="left"/>
              <w:rPr>
                <w:sz w:val="17"/>
              </w:rPr>
            </w:pPr>
            <w:r>
              <w:rPr>
                <w:color w:val="231F20"/>
                <w:sz w:val="17"/>
              </w:rPr>
              <w:t>-0.5</w:t>
            </w:r>
          </w:p>
        </w:tc>
        <w:tc>
          <w:tcPr>
            <w:tcW w:w="510" w:type="dxa"/>
          </w:tcPr>
          <w:p>
            <w:pPr>
              <w:pStyle w:val="TableParagraph"/>
              <w:spacing w:before="51"/>
              <w:ind w:left="51" w:right="65"/>
              <w:rPr>
                <w:sz w:val="17"/>
              </w:rPr>
            </w:pPr>
            <w:r>
              <w:rPr>
                <w:color w:val="231F20"/>
                <w:sz w:val="17"/>
              </w:rPr>
              <w:t>9.2</w:t>
            </w:r>
          </w:p>
        </w:tc>
        <w:tc>
          <w:tcPr>
            <w:tcW w:w="510" w:type="dxa"/>
          </w:tcPr>
          <w:p>
            <w:pPr>
              <w:pStyle w:val="TableParagraph"/>
              <w:spacing w:before="51"/>
              <w:ind w:right="160"/>
              <w:jc w:val="right"/>
              <w:rPr>
                <w:sz w:val="17"/>
              </w:rPr>
            </w:pPr>
            <w:r>
              <w:rPr>
                <w:color w:val="231F20"/>
                <w:w w:val="95"/>
                <w:sz w:val="17"/>
              </w:rPr>
              <w:t>4.8</w:t>
            </w:r>
          </w:p>
        </w:tc>
        <w:tc>
          <w:tcPr>
            <w:tcW w:w="510" w:type="dxa"/>
          </w:tcPr>
          <w:p>
            <w:pPr>
              <w:pStyle w:val="TableParagraph"/>
              <w:spacing w:before="51"/>
              <w:ind w:left="51" w:right="65"/>
              <w:rPr>
                <w:sz w:val="17"/>
              </w:rPr>
            </w:pPr>
            <w:r>
              <w:rPr>
                <w:color w:val="231F20"/>
                <w:sz w:val="17"/>
              </w:rPr>
              <w:t>10.9</w:t>
            </w:r>
          </w:p>
        </w:tc>
        <w:tc>
          <w:tcPr>
            <w:tcW w:w="507" w:type="dxa"/>
          </w:tcPr>
          <w:p>
            <w:pPr>
              <w:pStyle w:val="TableParagraph"/>
              <w:spacing w:before="51"/>
              <w:ind w:right="116"/>
              <w:jc w:val="right"/>
              <w:rPr>
                <w:sz w:val="17"/>
              </w:rPr>
            </w:pPr>
            <w:r>
              <w:rPr>
                <w:color w:val="231F20"/>
                <w:w w:val="95"/>
                <w:sz w:val="17"/>
              </w:rPr>
              <w:t>13.0</w:t>
            </w:r>
          </w:p>
        </w:tc>
        <w:tc>
          <w:tcPr>
            <w:tcW w:w="507" w:type="dxa"/>
          </w:tcPr>
          <w:p>
            <w:pPr>
              <w:pStyle w:val="TableParagraph"/>
              <w:spacing w:before="51"/>
              <w:ind w:left="149"/>
              <w:jc w:val="left"/>
              <w:rPr>
                <w:sz w:val="17"/>
              </w:rPr>
            </w:pPr>
            <w:r>
              <w:rPr>
                <w:color w:val="231F20"/>
                <w:sz w:val="17"/>
              </w:rPr>
              <w:t>1.0</w:t>
            </w:r>
          </w:p>
        </w:tc>
        <w:tc>
          <w:tcPr>
            <w:tcW w:w="520" w:type="dxa"/>
          </w:tcPr>
          <w:p>
            <w:pPr>
              <w:pStyle w:val="TableParagraph"/>
              <w:spacing w:before="51"/>
              <w:ind w:left="51" w:right="62"/>
              <w:rPr>
                <w:sz w:val="17"/>
              </w:rPr>
            </w:pPr>
            <w:r>
              <w:rPr>
                <w:color w:val="231F20"/>
                <w:sz w:val="17"/>
              </w:rPr>
              <w:t>-9.0</w:t>
            </w:r>
          </w:p>
        </w:tc>
        <w:tc>
          <w:tcPr>
            <w:tcW w:w="501" w:type="dxa"/>
          </w:tcPr>
          <w:p>
            <w:pPr>
              <w:pStyle w:val="TableParagraph"/>
              <w:spacing w:before="51"/>
              <w:ind w:right="114"/>
              <w:jc w:val="right"/>
              <w:rPr>
                <w:sz w:val="17"/>
              </w:rPr>
            </w:pPr>
            <w:r>
              <w:rPr>
                <w:color w:val="231F20"/>
                <w:w w:val="95"/>
                <w:sz w:val="17"/>
              </w:rPr>
              <w:t>21.2</w:t>
            </w:r>
          </w:p>
        </w:tc>
        <w:tc>
          <w:tcPr>
            <w:tcW w:w="512" w:type="dxa"/>
          </w:tcPr>
          <w:p>
            <w:pPr>
              <w:pStyle w:val="TableParagraph"/>
              <w:spacing w:before="51"/>
              <w:ind w:left="121"/>
              <w:jc w:val="left"/>
              <w:rPr>
                <w:sz w:val="17"/>
              </w:rPr>
            </w:pPr>
            <w:r>
              <w:rPr>
                <w:color w:val="231F20"/>
                <w:sz w:val="17"/>
              </w:rPr>
              <w:t>-5.8</w:t>
            </w:r>
          </w:p>
        </w:tc>
        <w:tc>
          <w:tcPr>
            <w:tcW w:w="515" w:type="dxa"/>
          </w:tcPr>
          <w:p>
            <w:pPr>
              <w:pStyle w:val="TableParagraph"/>
              <w:spacing w:before="51"/>
              <w:ind w:left="51" w:right="62"/>
              <w:rPr>
                <w:sz w:val="17"/>
              </w:rPr>
            </w:pPr>
            <w:r>
              <w:rPr>
                <w:color w:val="231F20"/>
                <w:sz w:val="17"/>
              </w:rPr>
              <w:t>6.2</w:t>
            </w:r>
          </w:p>
        </w:tc>
      </w:tr>
      <w:tr>
        <w:trPr>
          <w:trHeight w:val="340" w:hRule="exact"/>
        </w:trPr>
        <w:tc>
          <w:tcPr>
            <w:tcW w:w="1593" w:type="dxa"/>
          </w:tcPr>
          <w:p>
            <w:pPr>
              <w:pStyle w:val="TableParagraph"/>
              <w:tabs>
                <w:tab w:pos="1114" w:val="left" w:leader="none"/>
              </w:tabs>
              <w:spacing w:before="51"/>
              <w:ind w:right="36"/>
              <w:rPr>
                <w:sz w:val="17"/>
              </w:rPr>
            </w:pPr>
            <w:r>
              <w:rPr>
                <w:color w:val="231F20"/>
                <w:sz w:val="17"/>
              </w:rPr>
              <w:t>Mazda</w:t>
              <w:tab/>
              <w:t>-15.1</w:t>
            </w:r>
          </w:p>
        </w:tc>
        <w:tc>
          <w:tcPr>
            <w:tcW w:w="509" w:type="dxa"/>
          </w:tcPr>
          <w:p>
            <w:pPr>
              <w:pStyle w:val="TableParagraph"/>
              <w:spacing w:before="51"/>
              <w:ind w:right="83"/>
              <w:jc w:val="right"/>
              <w:rPr>
                <w:sz w:val="17"/>
              </w:rPr>
            </w:pPr>
            <w:r>
              <w:rPr>
                <w:color w:val="231F20"/>
                <w:w w:val="95"/>
                <w:sz w:val="17"/>
              </w:rPr>
              <w:t>-10.6</w:t>
            </w:r>
          </w:p>
        </w:tc>
        <w:tc>
          <w:tcPr>
            <w:tcW w:w="516" w:type="dxa"/>
          </w:tcPr>
          <w:p>
            <w:pPr>
              <w:pStyle w:val="TableParagraph"/>
              <w:spacing w:before="51"/>
              <w:ind w:left="110"/>
              <w:jc w:val="left"/>
              <w:rPr>
                <w:sz w:val="17"/>
              </w:rPr>
            </w:pPr>
            <w:r>
              <w:rPr>
                <w:color w:val="231F20"/>
                <w:sz w:val="17"/>
              </w:rPr>
              <w:t>64.0</w:t>
            </w:r>
          </w:p>
        </w:tc>
        <w:tc>
          <w:tcPr>
            <w:tcW w:w="510" w:type="dxa"/>
          </w:tcPr>
          <w:p>
            <w:pPr>
              <w:pStyle w:val="TableParagraph"/>
              <w:spacing w:before="51"/>
              <w:ind w:left="50" w:right="65"/>
              <w:rPr>
                <w:sz w:val="17"/>
              </w:rPr>
            </w:pPr>
            <w:r>
              <w:rPr>
                <w:color w:val="231F20"/>
                <w:sz w:val="17"/>
              </w:rPr>
              <w:t>10.6</w:t>
            </w:r>
          </w:p>
        </w:tc>
        <w:tc>
          <w:tcPr>
            <w:tcW w:w="510" w:type="dxa"/>
          </w:tcPr>
          <w:p>
            <w:pPr>
              <w:pStyle w:val="TableParagraph"/>
              <w:spacing w:before="51"/>
              <w:ind w:right="160"/>
              <w:jc w:val="right"/>
              <w:rPr>
                <w:sz w:val="17"/>
              </w:rPr>
            </w:pPr>
            <w:r>
              <w:rPr>
                <w:color w:val="231F20"/>
                <w:w w:val="95"/>
                <w:sz w:val="17"/>
              </w:rPr>
              <w:t>1.0</w:t>
            </w:r>
          </w:p>
        </w:tc>
        <w:tc>
          <w:tcPr>
            <w:tcW w:w="510" w:type="dxa"/>
          </w:tcPr>
          <w:p>
            <w:pPr>
              <w:pStyle w:val="TableParagraph"/>
              <w:spacing w:before="51"/>
              <w:ind w:left="50" w:right="65"/>
              <w:rPr>
                <w:sz w:val="17"/>
              </w:rPr>
            </w:pPr>
            <w:r>
              <w:rPr>
                <w:color w:val="231F20"/>
                <w:sz w:val="17"/>
              </w:rPr>
              <w:t>8.4</w:t>
            </w:r>
          </w:p>
        </w:tc>
        <w:tc>
          <w:tcPr>
            <w:tcW w:w="507" w:type="dxa"/>
          </w:tcPr>
          <w:p>
            <w:pPr>
              <w:pStyle w:val="TableParagraph"/>
              <w:spacing w:before="51"/>
              <w:ind w:right="127"/>
              <w:jc w:val="right"/>
              <w:rPr>
                <w:sz w:val="17"/>
              </w:rPr>
            </w:pPr>
            <w:r>
              <w:rPr>
                <w:color w:val="231F20"/>
                <w:w w:val="95"/>
                <w:sz w:val="17"/>
              </w:rPr>
              <w:t>-7.8</w:t>
            </w:r>
          </w:p>
        </w:tc>
        <w:tc>
          <w:tcPr>
            <w:tcW w:w="507" w:type="dxa"/>
          </w:tcPr>
          <w:p>
            <w:pPr>
              <w:pStyle w:val="TableParagraph"/>
              <w:spacing w:before="51"/>
              <w:ind w:left="148"/>
              <w:jc w:val="left"/>
              <w:rPr>
                <w:sz w:val="17"/>
              </w:rPr>
            </w:pPr>
            <w:r>
              <w:rPr>
                <w:color w:val="231F20"/>
                <w:sz w:val="17"/>
              </w:rPr>
              <w:t>4.8</w:t>
            </w:r>
          </w:p>
        </w:tc>
        <w:tc>
          <w:tcPr>
            <w:tcW w:w="520" w:type="dxa"/>
          </w:tcPr>
          <w:p>
            <w:pPr>
              <w:pStyle w:val="TableParagraph"/>
              <w:spacing w:before="51"/>
              <w:ind w:left="49" w:right="62"/>
              <w:rPr>
                <w:sz w:val="17"/>
              </w:rPr>
            </w:pPr>
            <w:r>
              <w:rPr>
                <w:color w:val="231F20"/>
                <w:sz w:val="17"/>
              </w:rPr>
              <w:t>-27.0</w:t>
            </w:r>
          </w:p>
        </w:tc>
        <w:tc>
          <w:tcPr>
            <w:tcW w:w="501" w:type="dxa"/>
          </w:tcPr>
          <w:p>
            <w:pPr>
              <w:pStyle w:val="TableParagraph"/>
              <w:spacing w:before="51"/>
              <w:ind w:right="114"/>
              <w:jc w:val="right"/>
              <w:rPr>
                <w:sz w:val="17"/>
              </w:rPr>
            </w:pPr>
            <w:r>
              <w:rPr>
                <w:color w:val="231F20"/>
                <w:w w:val="95"/>
                <w:sz w:val="17"/>
              </w:rPr>
              <w:t>32.8</w:t>
            </w:r>
          </w:p>
        </w:tc>
        <w:tc>
          <w:tcPr>
            <w:tcW w:w="512" w:type="dxa"/>
          </w:tcPr>
          <w:p>
            <w:pPr>
              <w:pStyle w:val="TableParagraph"/>
              <w:spacing w:before="51"/>
              <w:ind w:left="79"/>
              <w:jc w:val="left"/>
              <w:rPr>
                <w:sz w:val="17"/>
              </w:rPr>
            </w:pPr>
            <w:r>
              <w:rPr>
                <w:color w:val="231F20"/>
                <w:sz w:val="17"/>
              </w:rPr>
              <w:t>-10.9</w:t>
            </w:r>
          </w:p>
        </w:tc>
        <w:tc>
          <w:tcPr>
            <w:tcW w:w="515" w:type="dxa"/>
          </w:tcPr>
          <w:p>
            <w:pPr>
              <w:pStyle w:val="TableParagraph"/>
              <w:spacing w:before="51"/>
              <w:ind w:left="50" w:right="62"/>
              <w:rPr>
                <w:sz w:val="17"/>
              </w:rPr>
            </w:pPr>
            <w:r>
              <w:rPr>
                <w:color w:val="231F20"/>
                <w:sz w:val="17"/>
              </w:rPr>
              <w:t>2.0</w:t>
            </w:r>
          </w:p>
        </w:tc>
      </w:tr>
      <w:tr>
        <w:trPr>
          <w:trHeight w:val="340" w:hRule="exact"/>
        </w:trPr>
        <w:tc>
          <w:tcPr>
            <w:tcW w:w="1593" w:type="dxa"/>
          </w:tcPr>
          <w:p>
            <w:pPr>
              <w:pStyle w:val="TableParagraph"/>
              <w:tabs>
                <w:tab w:pos="1428" w:val="right" w:leader="none"/>
              </w:tabs>
              <w:spacing w:before="51"/>
              <w:ind w:right="68"/>
              <w:rPr>
                <w:sz w:val="17"/>
              </w:rPr>
            </w:pPr>
            <w:r>
              <w:rPr>
                <w:color w:val="231F20"/>
                <w:sz w:val="17"/>
              </w:rPr>
              <w:t>BMW</w:t>
              <w:tab/>
              <w:t>14.6</w:t>
            </w:r>
          </w:p>
        </w:tc>
        <w:tc>
          <w:tcPr>
            <w:tcW w:w="509" w:type="dxa"/>
          </w:tcPr>
          <w:p>
            <w:pPr>
              <w:pStyle w:val="TableParagraph"/>
              <w:spacing w:before="51"/>
              <w:ind w:right="155"/>
              <w:jc w:val="right"/>
              <w:rPr>
                <w:sz w:val="17"/>
              </w:rPr>
            </w:pPr>
            <w:r>
              <w:rPr>
                <w:color w:val="231F20"/>
                <w:w w:val="95"/>
                <w:sz w:val="17"/>
              </w:rPr>
              <w:t>9.2</w:t>
            </w:r>
          </w:p>
        </w:tc>
        <w:tc>
          <w:tcPr>
            <w:tcW w:w="516" w:type="dxa"/>
          </w:tcPr>
          <w:p>
            <w:pPr>
              <w:pStyle w:val="TableParagraph"/>
              <w:spacing w:before="51"/>
              <w:ind w:left="150"/>
              <w:jc w:val="left"/>
              <w:rPr>
                <w:sz w:val="17"/>
              </w:rPr>
            </w:pPr>
            <w:r>
              <w:rPr>
                <w:color w:val="231F20"/>
                <w:sz w:val="17"/>
              </w:rPr>
              <w:t>7.1</w:t>
            </w:r>
          </w:p>
        </w:tc>
        <w:tc>
          <w:tcPr>
            <w:tcW w:w="510" w:type="dxa"/>
          </w:tcPr>
          <w:p>
            <w:pPr>
              <w:pStyle w:val="TableParagraph"/>
              <w:spacing w:before="51"/>
              <w:ind w:left="48" w:right="65"/>
              <w:rPr>
                <w:sz w:val="17"/>
              </w:rPr>
            </w:pPr>
            <w:r>
              <w:rPr>
                <w:color w:val="231F20"/>
                <w:sz w:val="17"/>
              </w:rPr>
              <w:t>11.7</w:t>
            </w:r>
          </w:p>
        </w:tc>
        <w:tc>
          <w:tcPr>
            <w:tcW w:w="510" w:type="dxa"/>
          </w:tcPr>
          <w:p>
            <w:pPr>
              <w:pStyle w:val="TableParagraph"/>
              <w:spacing w:before="51"/>
              <w:ind w:right="161"/>
              <w:jc w:val="right"/>
              <w:rPr>
                <w:sz w:val="17"/>
              </w:rPr>
            </w:pPr>
            <w:r>
              <w:rPr>
                <w:color w:val="231F20"/>
                <w:w w:val="95"/>
                <w:sz w:val="17"/>
              </w:rPr>
              <w:t>5.8</w:t>
            </w:r>
          </w:p>
        </w:tc>
        <w:tc>
          <w:tcPr>
            <w:tcW w:w="510" w:type="dxa"/>
          </w:tcPr>
          <w:p>
            <w:pPr>
              <w:pStyle w:val="TableParagraph"/>
              <w:spacing w:before="51"/>
              <w:ind w:left="48" w:right="65"/>
              <w:rPr>
                <w:sz w:val="17"/>
              </w:rPr>
            </w:pPr>
            <w:r>
              <w:rPr>
                <w:color w:val="231F20"/>
                <w:sz w:val="17"/>
              </w:rPr>
              <w:t>3.3</w:t>
            </w:r>
          </w:p>
        </w:tc>
        <w:tc>
          <w:tcPr>
            <w:tcW w:w="507" w:type="dxa"/>
          </w:tcPr>
          <w:p>
            <w:pPr>
              <w:pStyle w:val="TableParagraph"/>
              <w:spacing w:before="51"/>
              <w:ind w:right="117"/>
              <w:jc w:val="right"/>
              <w:rPr>
                <w:sz w:val="17"/>
              </w:rPr>
            </w:pPr>
            <w:r>
              <w:rPr>
                <w:color w:val="231F20"/>
                <w:w w:val="95"/>
                <w:sz w:val="17"/>
              </w:rPr>
              <w:t>12.7</w:t>
            </w:r>
          </w:p>
        </w:tc>
        <w:tc>
          <w:tcPr>
            <w:tcW w:w="507" w:type="dxa"/>
          </w:tcPr>
          <w:p>
            <w:pPr>
              <w:pStyle w:val="TableParagraph"/>
              <w:spacing w:before="51"/>
              <w:ind w:left="117"/>
              <w:jc w:val="left"/>
              <w:rPr>
                <w:sz w:val="17"/>
              </w:rPr>
            </w:pPr>
            <w:r>
              <w:rPr>
                <w:color w:val="231F20"/>
                <w:sz w:val="17"/>
              </w:rPr>
              <w:t>-6.6</w:t>
            </w:r>
          </w:p>
        </w:tc>
        <w:tc>
          <w:tcPr>
            <w:tcW w:w="520" w:type="dxa"/>
          </w:tcPr>
          <w:p>
            <w:pPr>
              <w:pStyle w:val="TableParagraph"/>
              <w:spacing w:before="51"/>
              <w:ind w:left="48" w:right="62"/>
              <w:rPr>
                <w:sz w:val="17"/>
              </w:rPr>
            </w:pPr>
            <w:r>
              <w:rPr>
                <w:color w:val="231F20"/>
                <w:sz w:val="17"/>
              </w:rPr>
              <w:t>-12.5</w:t>
            </w:r>
          </w:p>
        </w:tc>
        <w:tc>
          <w:tcPr>
            <w:tcW w:w="501" w:type="dxa"/>
          </w:tcPr>
          <w:p>
            <w:pPr>
              <w:pStyle w:val="TableParagraph"/>
              <w:spacing w:before="51"/>
              <w:ind w:right="115"/>
              <w:jc w:val="right"/>
              <w:rPr>
                <w:sz w:val="17"/>
              </w:rPr>
            </w:pPr>
            <w:r>
              <w:rPr>
                <w:color w:val="231F20"/>
                <w:w w:val="95"/>
                <w:sz w:val="17"/>
              </w:rPr>
              <w:t>17.7</w:t>
            </w:r>
          </w:p>
        </w:tc>
        <w:tc>
          <w:tcPr>
            <w:tcW w:w="512" w:type="dxa"/>
          </w:tcPr>
          <w:p>
            <w:pPr>
              <w:pStyle w:val="TableParagraph"/>
              <w:spacing w:before="51"/>
              <w:ind w:left="109"/>
              <w:jc w:val="left"/>
              <w:rPr>
                <w:sz w:val="17"/>
              </w:rPr>
            </w:pPr>
            <w:r>
              <w:rPr>
                <w:color w:val="231F20"/>
                <w:sz w:val="17"/>
              </w:rPr>
              <w:t>17.3</w:t>
            </w:r>
          </w:p>
        </w:tc>
        <w:tc>
          <w:tcPr>
            <w:tcW w:w="515" w:type="dxa"/>
          </w:tcPr>
          <w:p>
            <w:pPr>
              <w:pStyle w:val="TableParagraph"/>
              <w:spacing w:before="51"/>
              <w:ind w:left="48" w:right="62"/>
              <w:rPr>
                <w:sz w:val="17"/>
              </w:rPr>
            </w:pPr>
            <w:r>
              <w:rPr>
                <w:color w:val="231F20"/>
                <w:sz w:val="17"/>
              </w:rPr>
              <w:t>18.8</w:t>
            </w:r>
          </w:p>
        </w:tc>
      </w:tr>
      <w:tr>
        <w:trPr>
          <w:trHeight w:val="318" w:hRule="exact"/>
        </w:trPr>
        <w:tc>
          <w:tcPr>
            <w:tcW w:w="1593" w:type="dxa"/>
            <w:tcBorders>
              <w:bottom w:val="single" w:sz="4" w:space="0" w:color="231F20"/>
            </w:tcBorders>
          </w:tcPr>
          <w:p>
            <w:pPr>
              <w:pStyle w:val="TableParagraph"/>
              <w:tabs>
                <w:tab w:pos="1145" w:val="left" w:leader="none"/>
              </w:tabs>
              <w:spacing w:before="51"/>
              <w:ind w:right="69"/>
              <w:rPr>
                <w:sz w:val="17"/>
              </w:rPr>
            </w:pPr>
            <w:r>
              <w:rPr>
                <w:color w:val="231F20"/>
                <w:sz w:val="17"/>
              </w:rPr>
              <w:t>Mitsubishi</w:t>
              <w:tab/>
              <w:t>30.0</w:t>
            </w:r>
          </w:p>
        </w:tc>
        <w:tc>
          <w:tcPr>
            <w:tcW w:w="509" w:type="dxa"/>
            <w:tcBorders>
              <w:bottom w:val="single" w:sz="4" w:space="0" w:color="231F20"/>
            </w:tcBorders>
          </w:tcPr>
          <w:p>
            <w:pPr>
              <w:pStyle w:val="TableParagraph"/>
              <w:spacing w:before="51"/>
              <w:ind w:right="125"/>
              <w:jc w:val="right"/>
              <w:rPr>
                <w:sz w:val="17"/>
              </w:rPr>
            </w:pPr>
            <w:r>
              <w:rPr>
                <w:color w:val="231F20"/>
                <w:w w:val="95"/>
                <w:sz w:val="17"/>
              </w:rPr>
              <w:t>-1.9</w:t>
            </w:r>
          </w:p>
        </w:tc>
        <w:tc>
          <w:tcPr>
            <w:tcW w:w="516" w:type="dxa"/>
            <w:tcBorders>
              <w:bottom w:val="single" w:sz="4" w:space="0" w:color="231F20"/>
            </w:tcBorders>
          </w:tcPr>
          <w:p>
            <w:pPr>
              <w:pStyle w:val="TableParagraph"/>
              <w:spacing w:before="51"/>
              <w:ind w:left="78"/>
              <w:jc w:val="left"/>
              <w:rPr>
                <w:sz w:val="17"/>
              </w:rPr>
            </w:pPr>
            <w:r>
              <w:rPr>
                <w:color w:val="231F20"/>
                <w:sz w:val="17"/>
              </w:rPr>
              <w:t>-32.1</w:t>
            </w:r>
          </w:p>
        </w:tc>
        <w:tc>
          <w:tcPr>
            <w:tcW w:w="510" w:type="dxa"/>
            <w:tcBorders>
              <w:bottom w:val="single" w:sz="4" w:space="0" w:color="231F20"/>
            </w:tcBorders>
          </w:tcPr>
          <w:p>
            <w:pPr>
              <w:pStyle w:val="TableParagraph"/>
              <w:spacing w:before="51"/>
              <w:ind w:left="47" w:right="65"/>
              <w:rPr>
                <w:sz w:val="17"/>
              </w:rPr>
            </w:pPr>
            <w:r>
              <w:rPr>
                <w:color w:val="231F20"/>
                <w:sz w:val="17"/>
              </w:rPr>
              <w:t>-9.7</w:t>
            </w:r>
          </w:p>
        </w:tc>
        <w:tc>
          <w:tcPr>
            <w:tcW w:w="510" w:type="dxa"/>
            <w:tcBorders>
              <w:bottom w:val="single" w:sz="4" w:space="0" w:color="231F20"/>
            </w:tcBorders>
          </w:tcPr>
          <w:p>
            <w:pPr>
              <w:pStyle w:val="TableParagraph"/>
              <w:spacing w:before="51"/>
              <w:ind w:right="132"/>
              <w:jc w:val="right"/>
              <w:rPr>
                <w:sz w:val="17"/>
              </w:rPr>
            </w:pPr>
            <w:r>
              <w:rPr>
                <w:color w:val="231F20"/>
                <w:w w:val="95"/>
                <w:sz w:val="17"/>
              </w:rPr>
              <w:t>-6.9</w:t>
            </w:r>
          </w:p>
        </w:tc>
        <w:tc>
          <w:tcPr>
            <w:tcW w:w="510" w:type="dxa"/>
            <w:tcBorders>
              <w:bottom w:val="single" w:sz="4" w:space="0" w:color="231F20"/>
            </w:tcBorders>
          </w:tcPr>
          <w:p>
            <w:pPr>
              <w:pStyle w:val="TableParagraph"/>
              <w:spacing w:before="51"/>
              <w:ind w:left="47" w:right="65"/>
              <w:rPr>
                <w:sz w:val="17"/>
              </w:rPr>
            </w:pPr>
            <w:r>
              <w:rPr>
                <w:color w:val="231F20"/>
                <w:sz w:val="17"/>
              </w:rPr>
              <w:t>-1.4</w:t>
            </w:r>
          </w:p>
        </w:tc>
        <w:tc>
          <w:tcPr>
            <w:tcW w:w="507" w:type="dxa"/>
            <w:tcBorders>
              <w:bottom w:val="single" w:sz="4" w:space="0" w:color="231F20"/>
            </w:tcBorders>
          </w:tcPr>
          <w:p>
            <w:pPr>
              <w:pStyle w:val="TableParagraph"/>
              <w:spacing w:before="51"/>
              <w:ind w:left="143"/>
              <w:jc w:val="left"/>
              <w:rPr>
                <w:sz w:val="17"/>
              </w:rPr>
            </w:pPr>
            <w:r>
              <w:rPr>
                <w:color w:val="231F20"/>
                <w:sz w:val="17"/>
              </w:rPr>
              <w:t>7.5</w:t>
            </w:r>
          </w:p>
        </w:tc>
        <w:tc>
          <w:tcPr>
            <w:tcW w:w="507" w:type="dxa"/>
            <w:tcBorders>
              <w:bottom w:val="single" w:sz="4" w:space="0" w:color="231F20"/>
            </w:tcBorders>
          </w:tcPr>
          <w:p>
            <w:pPr>
              <w:pStyle w:val="TableParagraph"/>
              <w:spacing w:before="51"/>
              <w:ind w:left="116"/>
              <w:jc w:val="left"/>
              <w:rPr>
                <w:sz w:val="17"/>
              </w:rPr>
            </w:pPr>
            <w:r>
              <w:rPr>
                <w:color w:val="231F20"/>
                <w:sz w:val="17"/>
              </w:rPr>
              <w:t>-7.3</w:t>
            </w:r>
          </w:p>
        </w:tc>
        <w:tc>
          <w:tcPr>
            <w:tcW w:w="520" w:type="dxa"/>
            <w:tcBorders>
              <w:bottom w:val="single" w:sz="4" w:space="0" w:color="231F20"/>
            </w:tcBorders>
          </w:tcPr>
          <w:p>
            <w:pPr>
              <w:pStyle w:val="TableParagraph"/>
              <w:spacing w:before="51"/>
              <w:ind w:left="46" w:right="62"/>
              <w:rPr>
                <w:sz w:val="17"/>
              </w:rPr>
            </w:pPr>
            <w:r>
              <w:rPr>
                <w:color w:val="231F20"/>
                <w:sz w:val="17"/>
              </w:rPr>
              <w:t>-38.7</w:t>
            </w:r>
          </w:p>
        </w:tc>
        <w:tc>
          <w:tcPr>
            <w:tcW w:w="501" w:type="dxa"/>
            <w:tcBorders>
              <w:bottom w:val="single" w:sz="4" w:space="0" w:color="231F20"/>
            </w:tcBorders>
          </w:tcPr>
          <w:p>
            <w:pPr>
              <w:pStyle w:val="TableParagraph"/>
              <w:spacing w:before="51"/>
              <w:ind w:right="116"/>
              <w:jc w:val="right"/>
              <w:rPr>
                <w:sz w:val="17"/>
              </w:rPr>
            </w:pPr>
            <w:r>
              <w:rPr>
                <w:color w:val="231F20"/>
                <w:w w:val="95"/>
                <w:sz w:val="17"/>
              </w:rPr>
              <w:t>46.3</w:t>
            </w:r>
          </w:p>
        </w:tc>
        <w:tc>
          <w:tcPr>
            <w:tcW w:w="512" w:type="dxa"/>
            <w:tcBorders>
              <w:bottom w:val="single" w:sz="4" w:space="0" w:color="231F20"/>
            </w:tcBorders>
          </w:tcPr>
          <w:p>
            <w:pPr>
              <w:pStyle w:val="TableParagraph"/>
              <w:spacing w:before="51"/>
              <w:ind w:left="119"/>
              <w:jc w:val="left"/>
              <w:rPr>
                <w:sz w:val="17"/>
              </w:rPr>
            </w:pPr>
            <w:r>
              <w:rPr>
                <w:color w:val="231F20"/>
                <w:sz w:val="17"/>
              </w:rPr>
              <w:t>-2.9</w:t>
            </w:r>
          </w:p>
        </w:tc>
        <w:tc>
          <w:tcPr>
            <w:tcW w:w="515" w:type="dxa"/>
            <w:tcBorders>
              <w:bottom w:val="single" w:sz="4" w:space="0" w:color="231F20"/>
            </w:tcBorders>
          </w:tcPr>
          <w:p>
            <w:pPr>
              <w:pStyle w:val="TableParagraph"/>
              <w:spacing w:before="51"/>
              <w:ind w:left="47" w:right="62"/>
              <w:rPr>
                <w:sz w:val="17"/>
              </w:rPr>
            </w:pPr>
            <w:r>
              <w:rPr>
                <w:color w:val="231F20"/>
                <w:sz w:val="17"/>
              </w:rPr>
              <w:t>-2.7</w:t>
            </w:r>
          </w:p>
        </w:tc>
      </w:tr>
    </w:tbl>
    <w:p>
      <w:pPr>
        <w:pStyle w:val="BodyText"/>
        <w:spacing w:before="4"/>
        <w:rPr>
          <w:rFonts w:ascii="Palatino Linotype"/>
          <w:b/>
          <w:sz w:val="9"/>
        </w:rPr>
      </w:pPr>
    </w:p>
    <w:p>
      <w:pPr>
        <w:spacing w:line="307" w:lineRule="auto" w:before="62"/>
        <w:ind w:left="103" w:right="673" w:firstLine="0"/>
        <w:jc w:val="left"/>
        <w:rPr>
          <w:sz w:val="19"/>
        </w:rPr>
      </w:pPr>
      <w:r>
        <w:rPr>
          <w:color w:val="231F20"/>
          <w:sz w:val="19"/>
        </w:rPr>
        <w:t>Nota:</w:t>
      </w:r>
      <w:r>
        <w:rPr>
          <w:color w:val="231F20"/>
          <w:spacing w:val="-8"/>
          <w:sz w:val="19"/>
        </w:rPr>
        <w:t> </w:t>
      </w:r>
      <w:r>
        <w:rPr>
          <w:color w:val="231F20"/>
          <w:sz w:val="19"/>
        </w:rPr>
        <w:t>Los</w:t>
      </w:r>
      <w:r>
        <w:rPr>
          <w:color w:val="231F20"/>
          <w:spacing w:val="-8"/>
          <w:sz w:val="19"/>
        </w:rPr>
        <w:t> </w:t>
      </w:r>
      <w:r>
        <w:rPr>
          <w:color w:val="231F20"/>
          <w:sz w:val="19"/>
        </w:rPr>
        <w:t>datos</w:t>
      </w:r>
      <w:r>
        <w:rPr>
          <w:color w:val="231F20"/>
          <w:spacing w:val="-8"/>
          <w:sz w:val="19"/>
        </w:rPr>
        <w:t> </w:t>
      </w:r>
      <w:r>
        <w:rPr>
          <w:color w:val="231F20"/>
          <w:sz w:val="19"/>
        </w:rPr>
        <w:t>de</w:t>
      </w:r>
      <w:r>
        <w:rPr>
          <w:color w:val="231F20"/>
          <w:spacing w:val="-8"/>
          <w:sz w:val="19"/>
        </w:rPr>
        <w:t> </w:t>
      </w:r>
      <w:r>
        <w:rPr>
          <w:color w:val="231F20"/>
          <w:sz w:val="19"/>
        </w:rPr>
        <w:t>2000</w:t>
      </w:r>
      <w:r>
        <w:rPr>
          <w:color w:val="231F20"/>
          <w:spacing w:val="-8"/>
          <w:sz w:val="19"/>
        </w:rPr>
        <w:t> </w:t>
      </w:r>
      <w:r>
        <w:rPr>
          <w:color w:val="231F20"/>
          <w:sz w:val="19"/>
        </w:rPr>
        <w:t>a</w:t>
      </w:r>
      <w:r>
        <w:rPr>
          <w:color w:val="231F20"/>
          <w:spacing w:val="-8"/>
          <w:sz w:val="19"/>
        </w:rPr>
        <w:t> </w:t>
      </w:r>
      <w:r>
        <w:rPr>
          <w:color w:val="231F20"/>
          <w:sz w:val="19"/>
        </w:rPr>
        <w:t>2007</w:t>
      </w:r>
      <w:r>
        <w:rPr>
          <w:color w:val="231F20"/>
          <w:spacing w:val="-8"/>
          <w:sz w:val="19"/>
        </w:rPr>
        <w:t> </w:t>
      </w:r>
      <w:r>
        <w:rPr>
          <w:color w:val="231F20"/>
          <w:sz w:val="19"/>
        </w:rPr>
        <w:t>incluyen</w:t>
      </w:r>
      <w:r>
        <w:rPr>
          <w:color w:val="231F20"/>
          <w:spacing w:val="-8"/>
          <w:sz w:val="19"/>
        </w:rPr>
        <w:t> </w:t>
      </w:r>
      <w:r>
        <w:rPr>
          <w:color w:val="231F20"/>
          <w:sz w:val="19"/>
        </w:rPr>
        <w:t>la</w:t>
      </w:r>
      <w:r>
        <w:rPr>
          <w:color w:val="231F20"/>
          <w:spacing w:val="-8"/>
          <w:sz w:val="19"/>
        </w:rPr>
        <w:t> </w:t>
      </w:r>
      <w:r>
        <w:rPr>
          <w:color w:val="231F20"/>
          <w:sz w:val="19"/>
        </w:rPr>
        <w:t>producción</w:t>
      </w:r>
      <w:r>
        <w:rPr>
          <w:color w:val="231F20"/>
          <w:spacing w:val="-8"/>
          <w:sz w:val="19"/>
        </w:rPr>
        <w:t> </w:t>
      </w:r>
      <w:r>
        <w:rPr>
          <w:color w:val="231F20"/>
          <w:sz w:val="19"/>
        </w:rPr>
        <w:t>de</w:t>
      </w:r>
      <w:r>
        <w:rPr>
          <w:color w:val="231F20"/>
          <w:spacing w:val="-8"/>
          <w:sz w:val="19"/>
        </w:rPr>
        <w:t> </w:t>
      </w:r>
      <w:r>
        <w:rPr>
          <w:color w:val="231F20"/>
          <w:sz w:val="19"/>
        </w:rPr>
        <w:t>Daimler,</w:t>
      </w:r>
      <w:r>
        <w:rPr>
          <w:color w:val="231F20"/>
          <w:spacing w:val="-8"/>
          <w:sz w:val="19"/>
        </w:rPr>
        <w:t> </w:t>
      </w:r>
      <w:r>
        <w:rPr>
          <w:color w:val="231F20"/>
          <w:sz w:val="19"/>
        </w:rPr>
        <w:t>empresa</w:t>
      </w:r>
      <w:r>
        <w:rPr>
          <w:color w:val="231F20"/>
          <w:spacing w:val="-8"/>
          <w:sz w:val="19"/>
        </w:rPr>
        <w:t> </w:t>
      </w:r>
      <w:r>
        <w:rPr>
          <w:color w:val="231F20"/>
          <w:sz w:val="19"/>
        </w:rPr>
        <w:t>que</w:t>
      </w:r>
      <w:r>
        <w:rPr>
          <w:color w:val="231F20"/>
          <w:spacing w:val="-8"/>
          <w:sz w:val="19"/>
        </w:rPr>
        <w:t> </w:t>
      </w:r>
      <w:r>
        <w:rPr>
          <w:color w:val="231F20"/>
          <w:sz w:val="19"/>
        </w:rPr>
        <w:t>en</w:t>
      </w:r>
      <w:r>
        <w:rPr>
          <w:color w:val="231F20"/>
          <w:spacing w:val="-8"/>
          <w:sz w:val="19"/>
        </w:rPr>
        <w:t> </w:t>
      </w:r>
      <w:r>
        <w:rPr>
          <w:color w:val="231F20"/>
          <w:sz w:val="19"/>
        </w:rPr>
        <w:t>esos</w:t>
      </w:r>
      <w:r>
        <w:rPr>
          <w:color w:val="231F20"/>
          <w:spacing w:val="-8"/>
          <w:sz w:val="19"/>
        </w:rPr>
        <w:t> </w:t>
      </w:r>
      <w:r>
        <w:rPr>
          <w:color w:val="231F20"/>
          <w:sz w:val="19"/>
        </w:rPr>
        <w:t>mo- mentos se encontraba fusionada con</w:t>
      </w:r>
      <w:r>
        <w:rPr>
          <w:color w:val="231F20"/>
          <w:spacing w:val="-14"/>
          <w:sz w:val="19"/>
        </w:rPr>
        <w:t> </w:t>
      </w:r>
      <w:r>
        <w:rPr>
          <w:color w:val="231F20"/>
          <w:sz w:val="19"/>
        </w:rPr>
        <w:t>Chrysler.</w:t>
      </w:r>
    </w:p>
    <w:p>
      <w:pPr>
        <w:spacing w:line="237" w:lineRule="exact" w:before="0"/>
        <w:ind w:left="103" w:right="0" w:firstLine="0"/>
        <w:jc w:val="both"/>
        <w:rPr>
          <w:sz w:val="19"/>
        </w:rPr>
      </w:pPr>
      <w:r>
        <w:rPr>
          <w:rFonts w:ascii="Palatino Linotype" w:hAnsi="Palatino Linotype"/>
          <w:i/>
          <w:color w:val="231F20"/>
          <w:sz w:val="19"/>
        </w:rPr>
        <w:t>Fuente: </w:t>
      </w:r>
      <w:r>
        <w:rPr>
          <w:color w:val="231F20"/>
          <w:sz w:val="19"/>
        </w:rPr>
        <w:t>Elaboración propia con datos de OICA (2012).</w:t>
      </w:r>
    </w:p>
    <w:p>
      <w:pPr>
        <w:pStyle w:val="BodyText"/>
        <w:rPr>
          <w:sz w:val="22"/>
        </w:rPr>
      </w:pPr>
    </w:p>
    <w:p>
      <w:pPr>
        <w:pStyle w:val="BodyText"/>
        <w:spacing w:line="278" w:lineRule="auto"/>
        <w:ind w:left="103" w:right="652"/>
        <w:jc w:val="both"/>
      </w:pPr>
      <w:r>
        <w:rPr>
          <w:color w:val="231F20"/>
        </w:rPr>
        <w:t>Las empresas japonesas fueron las menos perjudicadas por la crisis del sector a ni- vel mundial; además, fueron las ganadoras en la reestructuración o reconfiguración del mercado mundial de vehículos, lo que con toda seguridad fue consecuencia de las grandes</w:t>
      </w:r>
      <w:r>
        <w:rPr>
          <w:color w:val="231F20"/>
          <w:spacing w:val="-5"/>
        </w:rPr>
        <w:t> </w:t>
      </w:r>
      <w:r>
        <w:rPr>
          <w:color w:val="231F20"/>
        </w:rPr>
        <w:t>inversiones</w:t>
      </w:r>
      <w:r>
        <w:rPr>
          <w:color w:val="231F20"/>
          <w:spacing w:val="-5"/>
        </w:rPr>
        <w:t> </w:t>
      </w:r>
      <w:r>
        <w:rPr>
          <w:color w:val="231F20"/>
        </w:rPr>
        <w:t>en</w:t>
      </w:r>
      <w:r>
        <w:rPr>
          <w:color w:val="231F20"/>
          <w:spacing w:val="-5"/>
        </w:rPr>
        <w:t> </w:t>
      </w:r>
      <w:r>
        <w:rPr>
          <w:color w:val="231F20"/>
        </w:rPr>
        <w:t>I+D</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innovaciones</w:t>
      </w:r>
      <w:r>
        <w:rPr>
          <w:color w:val="231F20"/>
          <w:spacing w:val="-5"/>
        </w:rPr>
        <w:t> </w:t>
      </w:r>
      <w:r>
        <w:rPr>
          <w:color w:val="231F20"/>
        </w:rPr>
        <w:t>tanto</w:t>
      </w:r>
      <w:r>
        <w:rPr>
          <w:color w:val="231F20"/>
          <w:spacing w:val="-5"/>
        </w:rPr>
        <w:t> </w:t>
      </w:r>
      <w:r>
        <w:rPr>
          <w:color w:val="231F20"/>
        </w:rPr>
        <w:t>en</w:t>
      </w:r>
      <w:r>
        <w:rPr>
          <w:color w:val="231F20"/>
          <w:spacing w:val="-5"/>
        </w:rPr>
        <w:t> </w:t>
      </w:r>
      <w:r>
        <w:rPr>
          <w:color w:val="231F20"/>
        </w:rPr>
        <w:t>procesos</w:t>
      </w:r>
      <w:r>
        <w:rPr>
          <w:color w:val="231F20"/>
          <w:spacing w:val="-5"/>
        </w:rPr>
        <w:t> </w:t>
      </w:r>
      <w:r>
        <w:rPr>
          <w:color w:val="231F20"/>
        </w:rPr>
        <w:t>productivos</w:t>
      </w:r>
      <w:r>
        <w:rPr>
          <w:color w:val="231F20"/>
          <w:spacing w:val="-5"/>
        </w:rPr>
        <w:t> </w:t>
      </w:r>
      <w:r>
        <w:rPr>
          <w:color w:val="231F20"/>
        </w:rPr>
        <w:t>como</w:t>
      </w:r>
      <w:r>
        <w:rPr>
          <w:color w:val="231F20"/>
          <w:spacing w:val="-5"/>
        </w:rPr>
        <w:t> </w:t>
      </w:r>
      <w:r>
        <w:rPr>
          <w:color w:val="231F20"/>
        </w:rPr>
        <w:t>en organización. Esta característica las ha vuelto más competitivas, con sistemas de pro- ducción</w:t>
      </w:r>
      <w:r>
        <w:rPr>
          <w:color w:val="231F20"/>
          <w:spacing w:val="-12"/>
        </w:rPr>
        <w:t> </w:t>
      </w:r>
      <w:r>
        <w:rPr>
          <w:color w:val="231F20"/>
        </w:rPr>
        <w:t>más</w:t>
      </w:r>
      <w:r>
        <w:rPr>
          <w:color w:val="231F20"/>
          <w:spacing w:val="-12"/>
        </w:rPr>
        <w:t> </w:t>
      </w:r>
      <w:r>
        <w:rPr>
          <w:color w:val="231F20"/>
        </w:rPr>
        <w:t>flexibles</w:t>
      </w:r>
      <w:r>
        <w:rPr>
          <w:color w:val="231F20"/>
          <w:spacing w:val="-12"/>
        </w:rPr>
        <w:t> </w:t>
      </w:r>
      <w:r>
        <w:rPr>
          <w:color w:val="231F20"/>
        </w:rPr>
        <w:t>que</w:t>
      </w:r>
      <w:r>
        <w:rPr>
          <w:color w:val="231F20"/>
          <w:spacing w:val="-12"/>
        </w:rPr>
        <w:t> </w:t>
      </w:r>
      <w:r>
        <w:rPr>
          <w:color w:val="231F20"/>
        </w:rPr>
        <w:t>pueden</w:t>
      </w:r>
      <w:r>
        <w:rPr>
          <w:color w:val="231F20"/>
          <w:spacing w:val="-12"/>
        </w:rPr>
        <w:t> </w:t>
      </w:r>
      <w:r>
        <w:rPr>
          <w:color w:val="231F20"/>
        </w:rPr>
        <w:t>adecuarse</w:t>
      </w:r>
      <w:r>
        <w:rPr>
          <w:color w:val="231F20"/>
          <w:spacing w:val="-12"/>
        </w:rPr>
        <w:t> </w:t>
      </w:r>
      <w:r>
        <w:rPr>
          <w:color w:val="231F20"/>
        </w:rPr>
        <w:t>a</w:t>
      </w:r>
      <w:r>
        <w:rPr>
          <w:color w:val="231F20"/>
          <w:spacing w:val="-12"/>
        </w:rPr>
        <w:t> </w:t>
      </w:r>
      <w:r>
        <w:rPr>
          <w:color w:val="231F20"/>
        </w:rPr>
        <w:t>los</w:t>
      </w:r>
      <w:r>
        <w:rPr>
          <w:color w:val="231F20"/>
          <w:spacing w:val="-12"/>
        </w:rPr>
        <w:t> </w:t>
      </w:r>
      <w:r>
        <w:rPr>
          <w:color w:val="231F20"/>
        </w:rPr>
        <w:t>vaivenes</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mercados</w:t>
      </w:r>
      <w:r>
        <w:rPr>
          <w:color w:val="231F20"/>
          <w:spacing w:val="-12"/>
        </w:rPr>
        <w:t> </w:t>
      </w:r>
      <w:r>
        <w:rPr>
          <w:color w:val="231F20"/>
        </w:rPr>
        <w:t>mundiales. </w:t>
      </w:r>
      <w:r>
        <w:rPr>
          <w:color w:val="231F20"/>
          <w:spacing w:val="-3"/>
        </w:rPr>
        <w:t>Incluso, </w:t>
      </w:r>
      <w:r>
        <w:rPr>
          <w:color w:val="231F20"/>
        </w:rPr>
        <w:t>si se revisan series más largas (véase gráfica II.3) se observa que las mismas empresas</w:t>
      </w:r>
      <w:r>
        <w:rPr>
          <w:color w:val="231F20"/>
          <w:spacing w:val="-6"/>
        </w:rPr>
        <w:t> </w:t>
      </w:r>
      <w:r>
        <w:rPr>
          <w:color w:val="231F20"/>
        </w:rPr>
        <w:t>norteamericanas</w:t>
      </w:r>
      <w:r>
        <w:rPr>
          <w:color w:val="231F20"/>
          <w:spacing w:val="-6"/>
        </w:rPr>
        <w:t> </w:t>
      </w:r>
      <w:r>
        <w:rPr>
          <w:color w:val="231F20"/>
        </w:rPr>
        <w:t>son</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resintieron</w:t>
      </w:r>
      <w:r>
        <w:rPr>
          <w:color w:val="231F20"/>
          <w:spacing w:val="-6"/>
        </w:rPr>
        <w:t> </w:t>
      </w:r>
      <w:r>
        <w:rPr>
          <w:color w:val="231F20"/>
        </w:rPr>
        <w:t>más</w:t>
      </w:r>
      <w:r>
        <w:rPr>
          <w:color w:val="231F20"/>
          <w:spacing w:val="-6"/>
        </w:rPr>
        <w:t> </w:t>
      </w:r>
      <w:r>
        <w:rPr>
          <w:color w:val="231F20"/>
        </w:rPr>
        <w:t>la</w:t>
      </w:r>
      <w:r>
        <w:rPr>
          <w:color w:val="231F20"/>
          <w:spacing w:val="-6"/>
        </w:rPr>
        <w:t> </w:t>
      </w:r>
      <w:r>
        <w:rPr>
          <w:color w:val="231F20"/>
        </w:rPr>
        <w:t>recesión</w:t>
      </w:r>
      <w:r>
        <w:rPr>
          <w:color w:val="231F20"/>
          <w:spacing w:val="-6"/>
        </w:rPr>
        <w:t> </w:t>
      </w:r>
      <w:r>
        <w:rPr>
          <w:color w:val="231F20"/>
        </w:rPr>
        <w:t>de</w:t>
      </w:r>
      <w:r>
        <w:rPr>
          <w:color w:val="231F20"/>
          <w:spacing w:val="-6"/>
        </w:rPr>
        <w:t> </w:t>
      </w:r>
      <w:r>
        <w:rPr>
          <w:color w:val="231F20"/>
        </w:rPr>
        <w:t>2001.</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5"/>
      </w:pPr>
    </w:p>
    <w:p>
      <w:pPr>
        <w:pStyle w:val="Heading4"/>
        <w:spacing w:line="280" w:lineRule="exact" w:before="31"/>
        <w:ind w:left="2782" w:right="2218" w:firstLine="977"/>
        <w:jc w:val="left"/>
      </w:pPr>
      <w:r>
        <w:rPr>
          <w:color w:val="231F20"/>
        </w:rPr>
        <w:t>Gráfica II.3 </w:t>
      </w:r>
      <w:r>
        <w:rPr>
          <w:color w:val="231F20"/>
          <w:w w:val="90"/>
        </w:rPr>
        <w:t>Producción mundial de vehículos.</w:t>
      </w:r>
    </w:p>
    <w:p>
      <w:pPr>
        <w:spacing w:before="3"/>
        <w:ind w:left="561" w:right="11" w:firstLine="0"/>
        <w:jc w:val="center"/>
        <w:rPr>
          <w:rFonts w:ascii="Palatino Linotype"/>
          <w:b/>
          <w:sz w:val="21"/>
        </w:rPr>
      </w:pPr>
      <w:r>
        <w:rPr>
          <w:rFonts w:ascii="Palatino Linotype"/>
          <w:b/>
          <w:color w:val="231F20"/>
          <w:w w:val="90"/>
          <w:sz w:val="21"/>
        </w:rPr>
        <w:t>Principales  empresas  productoras, 1985-2012</w:t>
      </w:r>
    </w:p>
    <w:p>
      <w:pPr>
        <w:spacing w:before="18"/>
        <w:ind w:left="561" w:right="12" w:firstLine="0"/>
        <w:jc w:val="center"/>
        <w:rPr>
          <w:rFonts w:ascii="Palatino Linotype" w:hAnsi="Palatino Linotype"/>
          <w:b/>
          <w:sz w:val="19"/>
        </w:rPr>
      </w:pPr>
      <w:r>
        <w:rPr>
          <w:rFonts w:ascii="Palatino Linotype" w:hAnsi="Palatino Linotype"/>
          <w:b/>
          <w:color w:val="231F20"/>
          <w:w w:val="90"/>
          <w:sz w:val="19"/>
        </w:rPr>
        <w:t>(Miles de vehículos)</w:t>
      </w:r>
    </w:p>
    <w:p>
      <w:pPr>
        <w:pStyle w:val="BodyText"/>
        <w:spacing w:before="10"/>
        <w:rPr>
          <w:rFonts w:ascii="Palatino Linotype"/>
          <w:b/>
          <w:sz w:val="9"/>
        </w:rPr>
      </w:pPr>
    </w:p>
    <w:p>
      <w:pPr>
        <w:spacing w:before="69"/>
        <w:ind w:left="699" w:right="673" w:firstLine="0"/>
        <w:jc w:val="left"/>
        <w:rPr>
          <w:sz w:val="16"/>
        </w:rPr>
      </w:pPr>
      <w:r>
        <w:rPr/>
        <w:pict>
          <v:group style="position:absolute;margin-left:89.984596pt;margin-top:7.815233pt;width:324.05pt;height:124.7pt;mso-position-horizontal-relative:page;mso-position-vertical-relative:paragraph;z-index:7552" coordorigin="1800,156" coordsize="6481,2494">
            <v:shape style="position:absolute;left:0;top:10497;width:6468;height:2481" coordorigin="0,10497" coordsize="6468,2481" path="m1806,163l8274,163m1806,582l8274,582m1806,990l5000,990m1806,1409l4224,1409m1806,1817l8274,1817m1806,2236l8274,2236m1806,2644l1806,163m1806,2644l8274,2644m5086,990l8274,990m4310,1409l8274,1409e" filled="false" stroked="true" strokeweight=".617pt" strokecolor="#989b9d">
              <v:path arrowok="t"/>
            </v:shape>
            <v:shape style="position:absolute;left:1851;top:515;width:6384;height:1989" type="#_x0000_t75" stroked="false">
              <v:imagedata r:id="rId86" o:title=""/>
            </v:shape>
            <w10:wrap type="none"/>
          </v:group>
        </w:pict>
      </w:r>
      <w:r>
        <w:rPr>
          <w:color w:val="231F20"/>
          <w:sz w:val="16"/>
        </w:rPr>
        <w:t>12,000</w:t>
      </w:r>
    </w:p>
    <w:p>
      <w:pPr>
        <w:pStyle w:val="BodyText"/>
        <w:spacing w:before="1"/>
        <w:rPr>
          <w:sz w:val="14"/>
        </w:rPr>
      </w:pPr>
    </w:p>
    <w:p>
      <w:pPr>
        <w:spacing w:before="68"/>
        <w:ind w:left="699" w:right="673" w:firstLine="0"/>
        <w:jc w:val="left"/>
        <w:rPr>
          <w:sz w:val="16"/>
        </w:rPr>
      </w:pPr>
      <w:r>
        <w:rPr>
          <w:color w:val="231F20"/>
          <w:sz w:val="16"/>
        </w:rPr>
        <w:t>10,000</w:t>
      </w:r>
    </w:p>
    <w:p>
      <w:pPr>
        <w:pStyle w:val="BodyText"/>
        <w:spacing w:before="1"/>
        <w:rPr>
          <w:sz w:val="14"/>
        </w:rPr>
      </w:pPr>
    </w:p>
    <w:p>
      <w:pPr>
        <w:spacing w:before="68"/>
        <w:ind w:left="791" w:right="673" w:firstLine="0"/>
        <w:jc w:val="left"/>
        <w:rPr>
          <w:sz w:val="16"/>
        </w:rPr>
      </w:pPr>
      <w:r>
        <w:rPr>
          <w:color w:val="231F20"/>
          <w:sz w:val="16"/>
        </w:rPr>
        <w:t>8,000</w:t>
      </w:r>
    </w:p>
    <w:p>
      <w:pPr>
        <w:pStyle w:val="BodyText"/>
        <w:spacing w:before="1"/>
        <w:rPr>
          <w:sz w:val="14"/>
        </w:rPr>
      </w:pPr>
    </w:p>
    <w:p>
      <w:pPr>
        <w:spacing w:before="68"/>
        <w:ind w:left="791" w:right="673" w:firstLine="0"/>
        <w:jc w:val="left"/>
        <w:rPr>
          <w:sz w:val="16"/>
        </w:rPr>
      </w:pPr>
      <w:r>
        <w:rPr>
          <w:color w:val="231F20"/>
          <w:sz w:val="16"/>
        </w:rPr>
        <w:t>6,000</w:t>
      </w:r>
    </w:p>
    <w:p>
      <w:pPr>
        <w:pStyle w:val="BodyText"/>
        <w:spacing w:before="1"/>
        <w:rPr>
          <w:sz w:val="14"/>
        </w:rPr>
      </w:pPr>
    </w:p>
    <w:p>
      <w:pPr>
        <w:spacing w:before="68"/>
        <w:ind w:left="791" w:right="673" w:firstLine="0"/>
        <w:jc w:val="left"/>
        <w:rPr>
          <w:sz w:val="16"/>
        </w:rPr>
      </w:pPr>
      <w:r>
        <w:rPr>
          <w:color w:val="231F20"/>
          <w:sz w:val="16"/>
        </w:rPr>
        <w:t>4,000</w:t>
      </w:r>
    </w:p>
    <w:p>
      <w:pPr>
        <w:pStyle w:val="BodyText"/>
        <w:spacing w:before="1"/>
        <w:rPr>
          <w:sz w:val="14"/>
        </w:rPr>
      </w:pPr>
    </w:p>
    <w:p>
      <w:pPr>
        <w:spacing w:before="68"/>
        <w:ind w:left="791" w:right="673" w:firstLine="0"/>
        <w:jc w:val="left"/>
        <w:rPr>
          <w:sz w:val="16"/>
        </w:rPr>
      </w:pPr>
      <w:r>
        <w:rPr>
          <w:color w:val="231F20"/>
          <w:sz w:val="16"/>
        </w:rPr>
        <w:t>2,000</w:t>
      </w:r>
    </w:p>
    <w:p>
      <w:pPr>
        <w:pStyle w:val="BodyText"/>
        <w:spacing w:before="1"/>
        <w:rPr>
          <w:sz w:val="14"/>
        </w:rPr>
      </w:pPr>
    </w:p>
    <w:p>
      <w:pPr>
        <w:spacing w:before="68"/>
        <w:ind w:left="1085" w:right="0" w:firstLine="0"/>
        <w:jc w:val="left"/>
        <w:rPr>
          <w:sz w:val="16"/>
        </w:rPr>
      </w:pPr>
      <w:r>
        <w:rPr/>
        <w:pict>
          <v:shape style="position:absolute;margin-left:92.763145pt;margin-top:13.482178pt;width:321.1pt;height:18.5pt;mso-position-horizontal-relative:page;mso-position-vertical-relative:paragraph;z-index:7720" type="#_x0000_t202" filled="false" stroked="false">
            <v:textbox inset="0,0,0,0" style="layout-flow:vertical;mso-layout-flow-alt:bottom-to-top">
              <w:txbxContent>
                <w:p>
                  <w:pPr>
                    <w:spacing w:line="172" w:lineRule="exact" w:before="0"/>
                    <w:ind w:left="20" w:right="0" w:firstLine="0"/>
                    <w:jc w:val="left"/>
                    <w:rPr>
                      <w:sz w:val="16"/>
                    </w:rPr>
                  </w:pPr>
                  <w:r>
                    <w:rPr>
                      <w:color w:val="231F20"/>
                      <w:spacing w:val="5"/>
                      <w:w w:val="96"/>
                      <w:sz w:val="16"/>
                    </w:rPr>
                    <w:t>1985</w:t>
                  </w:r>
                </w:p>
                <w:p>
                  <w:pPr>
                    <w:spacing w:before="75"/>
                    <w:ind w:left="20" w:right="0" w:firstLine="0"/>
                    <w:jc w:val="left"/>
                    <w:rPr>
                      <w:sz w:val="16"/>
                    </w:rPr>
                  </w:pPr>
                  <w:r>
                    <w:rPr>
                      <w:color w:val="231F20"/>
                      <w:spacing w:val="5"/>
                      <w:w w:val="96"/>
                      <w:sz w:val="16"/>
                    </w:rPr>
                    <w:t>1986</w:t>
                  </w:r>
                </w:p>
                <w:p>
                  <w:pPr>
                    <w:spacing w:before="75"/>
                    <w:ind w:left="20" w:right="0" w:firstLine="0"/>
                    <w:jc w:val="left"/>
                    <w:rPr>
                      <w:sz w:val="16"/>
                    </w:rPr>
                  </w:pPr>
                  <w:r>
                    <w:rPr>
                      <w:color w:val="231F20"/>
                      <w:spacing w:val="5"/>
                      <w:w w:val="96"/>
                      <w:sz w:val="16"/>
                    </w:rPr>
                    <w:t>1987</w:t>
                  </w:r>
                </w:p>
                <w:p>
                  <w:pPr>
                    <w:spacing w:before="75"/>
                    <w:ind w:left="20" w:right="0" w:firstLine="0"/>
                    <w:jc w:val="left"/>
                    <w:rPr>
                      <w:sz w:val="16"/>
                    </w:rPr>
                  </w:pPr>
                  <w:r>
                    <w:rPr>
                      <w:color w:val="231F20"/>
                      <w:spacing w:val="5"/>
                      <w:w w:val="96"/>
                      <w:sz w:val="16"/>
                    </w:rPr>
                    <w:t>1988</w:t>
                  </w:r>
                </w:p>
                <w:p>
                  <w:pPr>
                    <w:spacing w:before="75"/>
                    <w:ind w:left="20" w:right="0" w:firstLine="0"/>
                    <w:jc w:val="left"/>
                    <w:rPr>
                      <w:sz w:val="16"/>
                    </w:rPr>
                  </w:pPr>
                  <w:r>
                    <w:rPr>
                      <w:color w:val="231F20"/>
                      <w:spacing w:val="5"/>
                      <w:w w:val="96"/>
                      <w:sz w:val="16"/>
                    </w:rPr>
                    <w:t>1989</w:t>
                  </w:r>
                </w:p>
                <w:p>
                  <w:pPr>
                    <w:spacing w:before="75"/>
                    <w:ind w:left="20" w:right="0" w:firstLine="0"/>
                    <w:jc w:val="left"/>
                    <w:rPr>
                      <w:sz w:val="16"/>
                    </w:rPr>
                  </w:pPr>
                  <w:r>
                    <w:rPr>
                      <w:color w:val="231F20"/>
                      <w:spacing w:val="5"/>
                      <w:w w:val="96"/>
                      <w:sz w:val="16"/>
                    </w:rPr>
                    <w:t>1990</w:t>
                  </w:r>
                </w:p>
                <w:p>
                  <w:pPr>
                    <w:spacing w:before="75"/>
                    <w:ind w:left="20" w:right="0" w:firstLine="0"/>
                    <w:jc w:val="left"/>
                    <w:rPr>
                      <w:sz w:val="16"/>
                    </w:rPr>
                  </w:pPr>
                  <w:r>
                    <w:rPr>
                      <w:color w:val="231F20"/>
                      <w:spacing w:val="5"/>
                      <w:w w:val="96"/>
                      <w:sz w:val="16"/>
                    </w:rPr>
                    <w:t>1991</w:t>
                  </w:r>
                </w:p>
                <w:p>
                  <w:pPr>
                    <w:spacing w:before="75"/>
                    <w:ind w:left="20" w:right="0" w:firstLine="0"/>
                    <w:jc w:val="left"/>
                    <w:rPr>
                      <w:sz w:val="16"/>
                    </w:rPr>
                  </w:pPr>
                  <w:r>
                    <w:rPr>
                      <w:color w:val="231F20"/>
                      <w:spacing w:val="5"/>
                      <w:w w:val="96"/>
                      <w:sz w:val="16"/>
                    </w:rPr>
                    <w:t>1992</w:t>
                  </w:r>
                </w:p>
                <w:p>
                  <w:pPr>
                    <w:spacing w:before="75"/>
                    <w:ind w:left="20" w:right="0" w:firstLine="0"/>
                    <w:jc w:val="left"/>
                    <w:rPr>
                      <w:sz w:val="16"/>
                    </w:rPr>
                  </w:pPr>
                  <w:r>
                    <w:rPr>
                      <w:color w:val="231F20"/>
                      <w:spacing w:val="5"/>
                      <w:w w:val="96"/>
                      <w:sz w:val="16"/>
                    </w:rPr>
                    <w:t>1993</w:t>
                  </w:r>
                </w:p>
                <w:p>
                  <w:pPr>
                    <w:spacing w:before="75"/>
                    <w:ind w:left="20" w:right="0" w:firstLine="0"/>
                    <w:jc w:val="left"/>
                    <w:rPr>
                      <w:sz w:val="16"/>
                    </w:rPr>
                  </w:pPr>
                  <w:r>
                    <w:rPr>
                      <w:color w:val="231F20"/>
                      <w:spacing w:val="5"/>
                      <w:w w:val="96"/>
                      <w:sz w:val="16"/>
                    </w:rPr>
                    <w:t>1994</w:t>
                  </w:r>
                </w:p>
                <w:p>
                  <w:pPr>
                    <w:spacing w:before="75"/>
                    <w:ind w:left="20" w:right="0" w:firstLine="0"/>
                    <w:jc w:val="left"/>
                    <w:rPr>
                      <w:sz w:val="16"/>
                    </w:rPr>
                  </w:pPr>
                  <w:r>
                    <w:rPr>
                      <w:color w:val="231F20"/>
                      <w:spacing w:val="5"/>
                      <w:w w:val="96"/>
                      <w:sz w:val="16"/>
                    </w:rPr>
                    <w:t>1995</w:t>
                  </w:r>
                </w:p>
                <w:p>
                  <w:pPr>
                    <w:spacing w:before="75"/>
                    <w:ind w:left="20" w:right="0" w:firstLine="0"/>
                    <w:jc w:val="left"/>
                    <w:rPr>
                      <w:sz w:val="16"/>
                    </w:rPr>
                  </w:pPr>
                  <w:r>
                    <w:rPr>
                      <w:color w:val="231F20"/>
                      <w:spacing w:val="5"/>
                      <w:w w:val="96"/>
                      <w:sz w:val="16"/>
                    </w:rPr>
                    <w:t>1998</w:t>
                  </w:r>
                </w:p>
                <w:p>
                  <w:pPr>
                    <w:spacing w:before="75"/>
                    <w:ind w:left="20" w:right="0" w:firstLine="0"/>
                    <w:jc w:val="left"/>
                    <w:rPr>
                      <w:sz w:val="16"/>
                    </w:rPr>
                  </w:pPr>
                  <w:r>
                    <w:rPr>
                      <w:color w:val="231F20"/>
                      <w:spacing w:val="5"/>
                      <w:w w:val="96"/>
                      <w:sz w:val="16"/>
                    </w:rPr>
                    <w:t>2000</w:t>
                  </w:r>
                </w:p>
                <w:p>
                  <w:pPr>
                    <w:spacing w:before="75"/>
                    <w:ind w:left="20" w:right="0" w:firstLine="0"/>
                    <w:jc w:val="left"/>
                    <w:rPr>
                      <w:sz w:val="16"/>
                    </w:rPr>
                  </w:pPr>
                  <w:r>
                    <w:rPr>
                      <w:color w:val="231F20"/>
                      <w:spacing w:val="5"/>
                      <w:w w:val="96"/>
                      <w:sz w:val="16"/>
                    </w:rPr>
                    <w:t>2001</w:t>
                  </w:r>
                </w:p>
                <w:p>
                  <w:pPr>
                    <w:spacing w:before="75"/>
                    <w:ind w:left="20" w:right="0" w:firstLine="0"/>
                    <w:jc w:val="left"/>
                    <w:rPr>
                      <w:sz w:val="16"/>
                    </w:rPr>
                  </w:pPr>
                  <w:r>
                    <w:rPr>
                      <w:color w:val="231F20"/>
                      <w:spacing w:val="5"/>
                      <w:w w:val="96"/>
                      <w:sz w:val="16"/>
                    </w:rPr>
                    <w:t>2002</w:t>
                  </w:r>
                </w:p>
                <w:p>
                  <w:pPr>
                    <w:spacing w:before="75"/>
                    <w:ind w:left="20" w:right="0" w:firstLine="0"/>
                    <w:jc w:val="left"/>
                    <w:rPr>
                      <w:sz w:val="16"/>
                    </w:rPr>
                  </w:pPr>
                  <w:r>
                    <w:rPr>
                      <w:color w:val="231F20"/>
                      <w:spacing w:val="5"/>
                      <w:w w:val="96"/>
                      <w:sz w:val="16"/>
                    </w:rPr>
                    <w:t>2003</w:t>
                  </w:r>
                </w:p>
                <w:p>
                  <w:pPr>
                    <w:spacing w:before="75"/>
                    <w:ind w:left="20" w:right="0" w:firstLine="0"/>
                    <w:jc w:val="left"/>
                    <w:rPr>
                      <w:sz w:val="16"/>
                    </w:rPr>
                  </w:pPr>
                  <w:r>
                    <w:rPr>
                      <w:color w:val="231F20"/>
                      <w:spacing w:val="5"/>
                      <w:w w:val="96"/>
                      <w:sz w:val="16"/>
                    </w:rPr>
                    <w:t>2004</w:t>
                  </w:r>
                </w:p>
                <w:p>
                  <w:pPr>
                    <w:spacing w:before="75"/>
                    <w:ind w:left="20" w:right="0" w:firstLine="0"/>
                    <w:jc w:val="left"/>
                    <w:rPr>
                      <w:sz w:val="16"/>
                    </w:rPr>
                  </w:pPr>
                  <w:r>
                    <w:rPr>
                      <w:color w:val="231F20"/>
                      <w:spacing w:val="5"/>
                      <w:w w:val="96"/>
                      <w:sz w:val="16"/>
                    </w:rPr>
                    <w:t>2005</w:t>
                  </w:r>
                </w:p>
                <w:p>
                  <w:pPr>
                    <w:spacing w:before="75"/>
                    <w:ind w:left="20" w:right="0" w:firstLine="0"/>
                    <w:jc w:val="left"/>
                    <w:rPr>
                      <w:sz w:val="16"/>
                    </w:rPr>
                  </w:pPr>
                  <w:r>
                    <w:rPr>
                      <w:color w:val="231F20"/>
                      <w:spacing w:val="5"/>
                      <w:w w:val="96"/>
                      <w:sz w:val="16"/>
                    </w:rPr>
                    <w:t>2006</w:t>
                  </w:r>
                </w:p>
                <w:p>
                  <w:pPr>
                    <w:spacing w:before="75"/>
                    <w:ind w:left="20" w:right="0" w:firstLine="0"/>
                    <w:jc w:val="left"/>
                    <w:rPr>
                      <w:sz w:val="16"/>
                    </w:rPr>
                  </w:pPr>
                  <w:r>
                    <w:rPr>
                      <w:color w:val="231F20"/>
                      <w:spacing w:val="5"/>
                      <w:w w:val="96"/>
                      <w:sz w:val="16"/>
                    </w:rPr>
                    <w:t>2007</w:t>
                  </w:r>
                </w:p>
                <w:p>
                  <w:pPr>
                    <w:spacing w:before="75"/>
                    <w:ind w:left="20" w:right="0" w:firstLine="0"/>
                    <w:jc w:val="left"/>
                    <w:rPr>
                      <w:sz w:val="16"/>
                    </w:rPr>
                  </w:pPr>
                  <w:r>
                    <w:rPr>
                      <w:color w:val="231F20"/>
                      <w:spacing w:val="5"/>
                      <w:w w:val="96"/>
                      <w:sz w:val="16"/>
                    </w:rPr>
                    <w:t>2008</w:t>
                  </w:r>
                </w:p>
                <w:p>
                  <w:pPr>
                    <w:spacing w:before="75"/>
                    <w:ind w:left="20" w:right="0" w:firstLine="0"/>
                    <w:jc w:val="left"/>
                    <w:rPr>
                      <w:sz w:val="16"/>
                    </w:rPr>
                  </w:pPr>
                  <w:r>
                    <w:rPr>
                      <w:color w:val="231F20"/>
                      <w:spacing w:val="5"/>
                      <w:w w:val="96"/>
                      <w:sz w:val="16"/>
                    </w:rPr>
                    <w:t>2009</w:t>
                  </w:r>
                </w:p>
                <w:p>
                  <w:pPr>
                    <w:spacing w:before="75"/>
                    <w:ind w:left="20" w:right="0" w:firstLine="0"/>
                    <w:jc w:val="left"/>
                    <w:rPr>
                      <w:sz w:val="16"/>
                    </w:rPr>
                  </w:pPr>
                  <w:r>
                    <w:rPr>
                      <w:color w:val="231F20"/>
                      <w:spacing w:val="5"/>
                      <w:w w:val="96"/>
                      <w:sz w:val="16"/>
                    </w:rPr>
                    <w:t>2010</w:t>
                  </w:r>
                </w:p>
                <w:p>
                  <w:pPr>
                    <w:spacing w:before="75"/>
                    <w:ind w:left="20" w:right="0" w:firstLine="0"/>
                    <w:jc w:val="left"/>
                    <w:rPr>
                      <w:sz w:val="16"/>
                    </w:rPr>
                  </w:pPr>
                  <w:r>
                    <w:rPr>
                      <w:color w:val="231F20"/>
                      <w:spacing w:val="5"/>
                      <w:w w:val="96"/>
                      <w:sz w:val="16"/>
                    </w:rPr>
                    <w:t>2011</w:t>
                  </w:r>
                </w:p>
                <w:p>
                  <w:pPr>
                    <w:spacing w:before="75"/>
                    <w:ind w:left="20" w:right="0" w:firstLine="0"/>
                    <w:jc w:val="left"/>
                    <w:rPr>
                      <w:sz w:val="16"/>
                    </w:rPr>
                  </w:pPr>
                  <w:r>
                    <w:rPr>
                      <w:color w:val="231F20"/>
                      <w:spacing w:val="5"/>
                      <w:w w:val="96"/>
                      <w:sz w:val="16"/>
                    </w:rPr>
                    <w:t>2012</w:t>
                  </w:r>
                </w:p>
              </w:txbxContent>
            </v:textbox>
            <w10:wrap type="none"/>
          </v:shape>
        </w:pict>
      </w:r>
      <w:r>
        <w:rPr>
          <w:color w:val="231F20"/>
          <w:w w:val="96"/>
          <w:sz w:val="16"/>
        </w:rPr>
        <w:t>0</w:t>
      </w:r>
    </w:p>
    <w:p>
      <w:pPr>
        <w:pStyle w:val="BodyText"/>
        <w:rPr>
          <w:sz w:val="20"/>
        </w:rPr>
      </w:pPr>
    </w:p>
    <w:p>
      <w:pPr>
        <w:pStyle w:val="BodyText"/>
        <w:spacing w:before="6"/>
        <w:rPr>
          <w:sz w:val="18"/>
        </w:rPr>
      </w:pPr>
    </w:p>
    <w:p>
      <w:pPr>
        <w:tabs>
          <w:tab w:pos="2419" w:val="left" w:leader="none"/>
          <w:tab w:pos="3966" w:val="left" w:leader="none"/>
          <w:tab w:pos="4761" w:val="left" w:leader="none"/>
          <w:tab w:pos="6050" w:val="left" w:leader="none"/>
          <w:tab w:pos="7087" w:val="left" w:leader="none"/>
        </w:tabs>
        <w:spacing w:before="69"/>
        <w:ind w:left="1467" w:right="0" w:firstLine="0"/>
        <w:jc w:val="left"/>
        <w:rPr>
          <w:sz w:val="16"/>
        </w:rPr>
      </w:pPr>
      <w:r>
        <w:rPr/>
        <w:pict>
          <v:group style="position:absolute;margin-left:79.501602pt;margin-top:5.035764pt;width:16.7pt;height:5pt;mso-position-horizontal-relative:page;mso-position-vertical-relative:paragraph;z-index:-612016" coordorigin="1590,101" coordsize="334,100">
            <v:line style="position:absolute" from="1603,157" to="1911,157" stroked="true" strokeweight="1.234pt" strokecolor="#424244"/>
            <v:shape style="position:absolute;left:1714;top:107;width:87;height:87" coordorigin="1714,107" coordsize="87,87" path="m1757,107l1714,150,1757,194,1800,150,1757,107xe" filled="true" fillcolor="#424244" stroked="false">
              <v:path arrowok="t"/>
              <v:fill type="solid"/>
            </v:shape>
            <v:shape style="position:absolute;left:-43;top:7227;width:87;height:87" coordorigin="-43,7227" coordsize="87,87" path="m1757,194l1714,150m1714,150l1757,107m1757,107l1800,150e" filled="false" stroked="true" strokeweight=".617pt" strokecolor="#424244">
              <v:path arrowok="t"/>
            </v:shape>
            <w10:wrap type="none"/>
          </v:group>
        </w:pict>
      </w:r>
      <w:r>
        <w:rPr/>
        <w:pict>
          <v:group style="position:absolute;margin-left:127.021904pt;margin-top:5.653864pt;width:16.7pt;height:4.350pt;mso-position-horizontal-relative:page;mso-position-vertical-relative:paragraph;z-index:-611992" coordorigin="2540,113" coordsize="334,87">
            <v:shape style="position:absolute;left:0;top:7313;width:309;height:2" coordorigin="0,7313" coordsize="309,0" path="m2744,157l2861,157m2553,157l2658,157e" filled="false" stroked="true" strokeweight="1.234pt" strokecolor="#afb2b4">
              <v:path arrowok="t"/>
            </v:shape>
            <v:line style="position:absolute" from="2658,157" to="2744,157" stroked="true" strokeweight="4.321pt" strokecolor="#afb2b4"/>
            <w10:wrap type="none"/>
          </v:group>
        </w:pict>
      </w:r>
      <w:r>
        <w:rPr/>
        <w:pict>
          <v:group style="position:absolute;margin-left:204.164505pt;margin-top:5.035364pt;width:16.7pt;height:5pt;mso-position-horizontal-relative:page;mso-position-vertical-relative:paragraph;z-index:-611968" coordorigin="4083,101" coordsize="334,100">
            <v:line style="position:absolute" from="4096,157" to="4404,157" stroked="true" strokeweight="1.234pt" strokecolor="#797b7d"/>
            <v:shape style="position:absolute;left:4207;top:107;width:87;height:87" coordorigin="4207,107" coordsize="87,87" path="m4250,107l4207,194,4293,194,4250,107xe" filled="true" fillcolor="#797b7d" stroked="false">
              <v:path arrowok="t"/>
              <v:fill type="solid"/>
            </v:shape>
            <v:shape style="position:absolute;left:-43;top:7313;width:87;height:87" coordorigin="-43,7313" coordsize="87,87" path="m4250,107l4293,194m4293,194l4207,194e" filled="false" stroked="true" strokeweight=".617pt" strokecolor="#797b7d">
              <v:path arrowok="t"/>
            </v:shape>
            <w10:wrap type="none"/>
          </v:group>
        </w:pict>
      </w:r>
      <w:r>
        <w:rPr/>
        <w:pict>
          <v:group style="position:absolute;margin-left:243.661896pt;margin-top:5.343364pt;width:17.3pt;height:5pt;mso-position-horizontal-relative:page;mso-position-vertical-relative:paragraph;z-index:-611944" coordorigin="4873,107" coordsize="346,100">
            <v:line style="position:absolute" from="4886,157" to="5207,157" stroked="true" strokeweight="1.234pt" strokecolor="#231f20"/>
            <v:shape style="position:absolute;left:5003;top:113;width:87;height:87" coordorigin="5003,113" coordsize="87,87" path="m5046,157l5003,200,5089,200,5046,157xm5089,113l5003,113,5046,157,5089,113xe" filled="true" fillcolor="#231f20" stroked="false">
              <v:path arrowok="t"/>
              <v:fill type="solid"/>
            </v:shape>
            <v:shape style="position:absolute;left:0;top:7227;width:87;height:87" coordorigin="0,7227" coordsize="87,87" path="m5003,200l5089,113m5089,200l5003,113e" filled="false" stroked="true" strokeweight=".617pt" strokecolor="#231f20">
              <v:path arrowok="t"/>
            </v:shape>
            <w10:wrap type="none"/>
          </v:group>
        </w:pict>
      </w:r>
      <w:r>
        <w:rPr/>
        <w:pict>
          <v:group style="position:absolute;margin-left:307.843903pt;margin-top:5.343364pt;width:17.3pt;height:5pt;mso-position-horizontal-relative:page;mso-position-vertical-relative:paragraph;z-index:-611920" coordorigin="6157,107" coordsize="346,100">
            <v:line style="position:absolute" from="6169,157" to="6490,157" stroked="true" strokeweight="1.234pt" strokecolor="#231f20"/>
            <v:shape style="position:absolute;left:6287;top:113;width:50;height:87" coordorigin="6287,113" coordsize="50,87" path="m6330,157l6287,200,6336,200,6336,163,6330,157xm6336,113l6287,113,6330,157,6336,150,6336,113xe" filled="true" fillcolor="#919395" stroked="false">
              <v:path arrowok="t"/>
              <v:fill type="solid"/>
            </v:shape>
            <v:shape style="position:absolute;left:0;top:7227;width:87;height:87" coordorigin="0,7227" coordsize="87,87" path="m6287,200l6373,113m6336,113l6336,200m6373,200l6287,113e" filled="false" stroked="true" strokeweight=".617pt" strokecolor="#231f20">
              <v:path arrowok="t"/>
            </v:shape>
            <w10:wrap type="none"/>
          </v:group>
        </w:pict>
      </w:r>
      <w:r>
        <w:rPr/>
        <w:pict>
          <v:group style="position:absolute;margin-left:359.684509pt;margin-top:5.344164pt;width:17.3pt;height:5pt;mso-position-horizontal-relative:page;mso-position-vertical-relative:paragraph;z-index:-611896" coordorigin="7194,107" coordsize="346,100">
            <v:line style="position:absolute" from="7206,157" to="7527,157" stroked="true" strokeweight="1.234pt" strokecolor="#787a7d"/>
            <v:shape style="position:absolute;left:7323;top:113;width:87;height:87" coordorigin="7323,113" coordsize="87,87" path="m7367,113l7350,117,7336,126,7327,140,7323,157,7327,173,7336,187,7350,196,7367,200,7384,196,7397,187,7406,173,7410,157,7406,140,7397,126,7384,117,7367,113xe" filled="true" fillcolor="#787a7d" stroked="false">
              <v:path arrowok="t"/>
              <v:fill type="solid"/>
            </v:shape>
            <v:shape style="position:absolute;left:7323;top:113;width:87;height:87" coordorigin="7323,113" coordsize="87,87" path="m7323,157l7327,140,7336,126,7350,117,7367,113,7384,117,7397,126,7406,140,7410,157,7406,173,7397,187,7384,196,7367,200,7350,196,7336,187,7327,173,7323,157xe" filled="false" stroked="true" strokeweight=".617pt" strokecolor="#787a7d">
              <v:path arrowok="t"/>
            </v:shape>
            <w10:wrap type="none"/>
          </v:group>
        </w:pict>
      </w:r>
      <w:r>
        <w:rPr>
          <w:color w:val="231F20"/>
          <w:sz w:val="16"/>
        </w:rPr>
        <w:t>Toyota</w:t>
        <w:tab/>
        <w:t>General</w:t>
      </w:r>
      <w:r>
        <w:rPr>
          <w:color w:val="231F20"/>
          <w:spacing w:val="-9"/>
          <w:sz w:val="16"/>
        </w:rPr>
        <w:t> </w:t>
      </w:r>
      <w:r>
        <w:rPr>
          <w:color w:val="231F20"/>
          <w:sz w:val="16"/>
        </w:rPr>
        <w:t>Motors</w:t>
        <w:tab/>
        <w:t>Ford</w:t>
        <w:tab/>
        <w:t>Volkswagen</w:t>
        <w:tab/>
        <w:t>Chrysler</w:t>
        <w:tab/>
        <w:t>Honda</w:t>
      </w:r>
    </w:p>
    <w:p>
      <w:pPr>
        <w:pStyle w:val="BodyText"/>
        <w:rPr>
          <w:sz w:val="16"/>
        </w:rPr>
      </w:pPr>
    </w:p>
    <w:p>
      <w:pPr>
        <w:pStyle w:val="BodyText"/>
        <w:spacing w:before="9"/>
      </w:pPr>
    </w:p>
    <w:p>
      <w:pPr>
        <w:spacing w:line="283" w:lineRule="auto" w:before="0"/>
        <w:ind w:left="653" w:right="0" w:firstLine="0"/>
        <w:jc w:val="left"/>
        <w:rPr>
          <w:sz w:val="19"/>
        </w:rPr>
      </w:pPr>
      <w:r>
        <w:rPr>
          <w:rFonts w:ascii="Palatino Linotype" w:hAnsi="Palatino Linotype"/>
          <w:i/>
          <w:color w:val="231F20"/>
          <w:sz w:val="19"/>
        </w:rPr>
        <w:t>Fuente:</w:t>
      </w:r>
      <w:r>
        <w:rPr>
          <w:rFonts w:ascii="Palatino Linotype" w:hAnsi="Palatino Linotype"/>
          <w:i/>
          <w:color w:val="231F20"/>
          <w:spacing w:val="-12"/>
          <w:sz w:val="19"/>
        </w:rPr>
        <w:t> </w:t>
      </w:r>
      <w:r>
        <w:rPr>
          <w:color w:val="231F20"/>
          <w:sz w:val="19"/>
        </w:rPr>
        <w:t>Elaboración</w:t>
      </w:r>
      <w:r>
        <w:rPr>
          <w:color w:val="231F20"/>
          <w:spacing w:val="-13"/>
          <w:sz w:val="19"/>
        </w:rPr>
        <w:t> </w:t>
      </w:r>
      <w:r>
        <w:rPr>
          <w:color w:val="231F20"/>
          <w:sz w:val="19"/>
        </w:rPr>
        <w:t>propia.</w:t>
      </w:r>
      <w:r>
        <w:rPr>
          <w:color w:val="231F20"/>
          <w:spacing w:val="-13"/>
          <w:sz w:val="19"/>
        </w:rPr>
        <w:t> </w:t>
      </w:r>
      <w:r>
        <w:rPr>
          <w:color w:val="231F20"/>
          <w:sz w:val="19"/>
        </w:rPr>
        <w:t>De</w:t>
      </w:r>
      <w:r>
        <w:rPr>
          <w:color w:val="231F20"/>
          <w:spacing w:val="-13"/>
          <w:sz w:val="19"/>
        </w:rPr>
        <w:t> </w:t>
      </w:r>
      <w:r>
        <w:rPr>
          <w:color w:val="231F20"/>
          <w:sz w:val="19"/>
        </w:rPr>
        <w:t>1985</w:t>
      </w:r>
      <w:r>
        <w:rPr>
          <w:color w:val="231F20"/>
          <w:spacing w:val="-13"/>
          <w:sz w:val="19"/>
        </w:rPr>
        <w:t> </w:t>
      </w:r>
      <w:r>
        <w:rPr>
          <w:color w:val="231F20"/>
          <w:sz w:val="19"/>
        </w:rPr>
        <w:t>a</w:t>
      </w:r>
      <w:r>
        <w:rPr>
          <w:color w:val="231F20"/>
          <w:spacing w:val="-13"/>
          <w:sz w:val="19"/>
        </w:rPr>
        <w:t> </w:t>
      </w:r>
      <w:r>
        <w:rPr>
          <w:color w:val="231F20"/>
          <w:sz w:val="19"/>
        </w:rPr>
        <w:t>1998,</w:t>
      </w:r>
      <w:r>
        <w:rPr>
          <w:color w:val="231F20"/>
          <w:spacing w:val="-13"/>
          <w:sz w:val="19"/>
        </w:rPr>
        <w:t> </w:t>
      </w:r>
      <w:r>
        <w:rPr>
          <w:color w:val="231F20"/>
          <w:sz w:val="19"/>
        </w:rPr>
        <w:t>datos</w:t>
      </w:r>
      <w:r>
        <w:rPr>
          <w:color w:val="231F20"/>
          <w:spacing w:val="-13"/>
          <w:sz w:val="19"/>
        </w:rPr>
        <w:t> </w:t>
      </w:r>
      <w:r>
        <w:rPr>
          <w:color w:val="231F20"/>
          <w:sz w:val="19"/>
        </w:rPr>
        <w:t>de</w:t>
      </w:r>
      <w:r>
        <w:rPr>
          <w:color w:val="231F20"/>
          <w:spacing w:val="-12"/>
          <w:sz w:val="19"/>
        </w:rPr>
        <w:t> </w:t>
      </w:r>
      <w:r>
        <w:rPr>
          <w:color w:val="231F20"/>
          <w:sz w:val="19"/>
        </w:rPr>
        <w:t>INEGI</w:t>
      </w:r>
      <w:r>
        <w:rPr>
          <w:color w:val="231F20"/>
          <w:spacing w:val="-12"/>
          <w:sz w:val="19"/>
        </w:rPr>
        <w:t> </w:t>
      </w:r>
      <w:r>
        <w:rPr>
          <w:color w:val="231F20"/>
          <w:sz w:val="19"/>
        </w:rPr>
        <w:t>(1998),</w:t>
      </w:r>
      <w:r>
        <w:rPr>
          <w:color w:val="231F20"/>
          <w:spacing w:val="-13"/>
          <w:sz w:val="19"/>
        </w:rPr>
        <w:t> </w:t>
      </w:r>
      <w:r>
        <w:rPr>
          <w:color w:val="231F20"/>
          <w:sz w:val="19"/>
        </w:rPr>
        <w:t>de</w:t>
      </w:r>
      <w:r>
        <w:rPr>
          <w:color w:val="231F20"/>
          <w:spacing w:val="-13"/>
          <w:sz w:val="19"/>
        </w:rPr>
        <w:t> </w:t>
      </w:r>
      <w:r>
        <w:rPr>
          <w:color w:val="231F20"/>
          <w:sz w:val="19"/>
        </w:rPr>
        <w:t>2000</w:t>
      </w:r>
      <w:r>
        <w:rPr>
          <w:color w:val="231F20"/>
          <w:spacing w:val="-13"/>
          <w:sz w:val="19"/>
        </w:rPr>
        <w:t> </w:t>
      </w:r>
      <w:r>
        <w:rPr>
          <w:color w:val="231F20"/>
          <w:sz w:val="19"/>
        </w:rPr>
        <w:t>a</w:t>
      </w:r>
      <w:r>
        <w:rPr>
          <w:color w:val="231F20"/>
          <w:spacing w:val="-13"/>
          <w:sz w:val="19"/>
        </w:rPr>
        <w:t> </w:t>
      </w:r>
      <w:r>
        <w:rPr>
          <w:color w:val="231F20"/>
          <w:sz w:val="19"/>
        </w:rPr>
        <w:t>2005,</w:t>
      </w:r>
      <w:r>
        <w:rPr>
          <w:color w:val="231F20"/>
          <w:spacing w:val="-13"/>
          <w:sz w:val="19"/>
        </w:rPr>
        <w:t> </w:t>
      </w:r>
      <w:r>
        <w:rPr>
          <w:color w:val="231F20"/>
          <w:sz w:val="19"/>
        </w:rPr>
        <w:t>datos</w:t>
      </w:r>
      <w:r>
        <w:rPr>
          <w:color w:val="231F20"/>
          <w:spacing w:val="-13"/>
          <w:sz w:val="19"/>
        </w:rPr>
        <w:t> </w:t>
      </w:r>
      <w:r>
        <w:rPr>
          <w:color w:val="231F20"/>
          <w:sz w:val="19"/>
        </w:rPr>
        <w:t>del IMF</w:t>
      </w:r>
      <w:r>
        <w:rPr>
          <w:color w:val="231F20"/>
          <w:spacing w:val="-13"/>
          <w:sz w:val="19"/>
        </w:rPr>
        <w:t> </w:t>
      </w:r>
      <w:r>
        <w:rPr>
          <w:color w:val="231F20"/>
          <w:sz w:val="19"/>
        </w:rPr>
        <w:t>(2007),</w:t>
      </w:r>
      <w:r>
        <w:rPr>
          <w:color w:val="231F20"/>
          <w:spacing w:val="-13"/>
          <w:sz w:val="19"/>
        </w:rPr>
        <w:t> </w:t>
      </w:r>
      <w:r>
        <w:rPr>
          <w:color w:val="231F20"/>
          <w:sz w:val="19"/>
        </w:rPr>
        <w:t>de</w:t>
      </w:r>
      <w:r>
        <w:rPr>
          <w:color w:val="231F20"/>
          <w:spacing w:val="-13"/>
          <w:sz w:val="19"/>
        </w:rPr>
        <w:t> </w:t>
      </w:r>
      <w:r>
        <w:rPr>
          <w:color w:val="231F20"/>
          <w:sz w:val="19"/>
        </w:rPr>
        <w:t>2006</w:t>
      </w:r>
      <w:r>
        <w:rPr>
          <w:color w:val="231F20"/>
          <w:spacing w:val="-13"/>
          <w:sz w:val="19"/>
        </w:rPr>
        <w:t> </w:t>
      </w:r>
      <w:r>
        <w:rPr>
          <w:color w:val="231F20"/>
          <w:sz w:val="19"/>
        </w:rPr>
        <w:t>a</w:t>
      </w:r>
      <w:r>
        <w:rPr>
          <w:color w:val="231F20"/>
          <w:spacing w:val="-13"/>
          <w:sz w:val="19"/>
        </w:rPr>
        <w:t> </w:t>
      </w:r>
      <w:r>
        <w:rPr>
          <w:color w:val="231F20"/>
          <w:sz w:val="19"/>
        </w:rPr>
        <w:t>2012,</w:t>
      </w:r>
      <w:r>
        <w:rPr>
          <w:color w:val="231F20"/>
          <w:spacing w:val="-13"/>
          <w:sz w:val="19"/>
        </w:rPr>
        <w:t> </w:t>
      </w:r>
      <w:r>
        <w:rPr>
          <w:color w:val="231F20"/>
          <w:sz w:val="19"/>
        </w:rPr>
        <w:t>datos</w:t>
      </w:r>
      <w:r>
        <w:rPr>
          <w:color w:val="231F20"/>
          <w:spacing w:val="-13"/>
          <w:sz w:val="19"/>
        </w:rPr>
        <w:t> </w:t>
      </w:r>
      <w:r>
        <w:rPr>
          <w:color w:val="231F20"/>
          <w:sz w:val="19"/>
        </w:rPr>
        <w:t>de</w:t>
      </w:r>
      <w:r>
        <w:rPr>
          <w:color w:val="231F20"/>
          <w:spacing w:val="-13"/>
          <w:sz w:val="19"/>
        </w:rPr>
        <w:t> </w:t>
      </w:r>
      <w:r>
        <w:rPr>
          <w:color w:val="231F20"/>
          <w:sz w:val="19"/>
        </w:rPr>
        <w:t>OICA</w:t>
      </w:r>
      <w:r>
        <w:rPr>
          <w:color w:val="231F20"/>
          <w:spacing w:val="-13"/>
          <w:sz w:val="19"/>
        </w:rPr>
        <w:t> </w:t>
      </w:r>
      <w:r>
        <w:rPr>
          <w:color w:val="231F20"/>
          <w:sz w:val="19"/>
        </w:rPr>
        <w:t>(2014).</w:t>
      </w:r>
    </w:p>
    <w:p>
      <w:pPr>
        <w:pStyle w:val="BodyText"/>
        <w:spacing w:before="1"/>
        <w:rPr>
          <w:sz w:val="20"/>
        </w:rPr>
      </w:pPr>
    </w:p>
    <w:p>
      <w:pPr>
        <w:pStyle w:val="BodyText"/>
        <w:spacing w:line="278" w:lineRule="auto"/>
        <w:ind w:left="653" w:right="100"/>
        <w:jc w:val="both"/>
      </w:pPr>
      <w:r>
        <w:rPr>
          <w:color w:val="231F20"/>
        </w:rPr>
        <w:t>En este sentido, General Motors, Ford y Chrysler han disminuido su participación a nivel mundial en la producción de vehículos, mientras que la producción de Toyota y Honda ha crecido de manera notable.</w:t>
      </w:r>
    </w:p>
    <w:p>
      <w:pPr>
        <w:pStyle w:val="BodyText"/>
        <w:spacing w:line="278" w:lineRule="auto" w:before="1"/>
        <w:ind w:left="653" w:right="101" w:firstLine="396"/>
        <w:jc w:val="both"/>
      </w:pPr>
      <w:r>
        <w:rPr>
          <w:color w:val="231F20"/>
        </w:rPr>
        <w:t>Es</w:t>
      </w:r>
      <w:r>
        <w:rPr>
          <w:color w:val="231F20"/>
          <w:spacing w:val="-4"/>
        </w:rPr>
        <w:t> </w:t>
      </w:r>
      <w:r>
        <w:rPr>
          <w:color w:val="231F20"/>
        </w:rPr>
        <w:t>claro</w:t>
      </w:r>
      <w:r>
        <w:rPr>
          <w:color w:val="231F20"/>
          <w:spacing w:val="-4"/>
        </w:rPr>
        <w:t> </w:t>
      </w:r>
      <w:r>
        <w:rPr>
          <w:color w:val="231F20"/>
        </w:rPr>
        <w:t>que</w:t>
      </w:r>
      <w:r>
        <w:rPr>
          <w:color w:val="231F20"/>
          <w:spacing w:val="-4"/>
        </w:rPr>
        <w:t> </w:t>
      </w:r>
      <w:r>
        <w:rPr>
          <w:color w:val="231F20"/>
        </w:rPr>
        <w:t>los</w:t>
      </w:r>
      <w:r>
        <w:rPr>
          <w:color w:val="231F20"/>
          <w:spacing w:val="-4"/>
        </w:rPr>
        <w:t> </w:t>
      </w:r>
      <w:r>
        <w:rPr>
          <w:color w:val="231F20"/>
        </w:rPr>
        <w:t>problemas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atravesado</w:t>
      </w:r>
      <w:r>
        <w:rPr>
          <w:color w:val="231F20"/>
          <w:spacing w:val="-4"/>
        </w:rPr>
        <w:t> </w:t>
      </w:r>
      <w:r>
        <w:rPr>
          <w:color w:val="231F20"/>
        </w:rPr>
        <w:t>los</w:t>
      </w:r>
      <w:r>
        <w:rPr>
          <w:color w:val="231F20"/>
          <w:spacing w:val="-4"/>
        </w:rPr>
        <w:t> </w:t>
      </w:r>
      <w:r>
        <w:rPr>
          <w:color w:val="231F20"/>
        </w:rPr>
        <w:t>tres</w:t>
      </w:r>
      <w:r>
        <w:rPr>
          <w:color w:val="231F20"/>
          <w:spacing w:val="-4"/>
        </w:rPr>
        <w:t> </w:t>
      </w:r>
      <w:r>
        <w:rPr>
          <w:color w:val="231F20"/>
        </w:rPr>
        <w:t>grandes</w:t>
      </w:r>
      <w:r>
        <w:rPr>
          <w:color w:val="231F20"/>
          <w:spacing w:val="-4"/>
        </w:rPr>
        <w:t> </w:t>
      </w:r>
      <w:r>
        <w:rPr>
          <w:color w:val="231F20"/>
        </w:rPr>
        <w:t>fabricantes</w:t>
      </w:r>
      <w:r>
        <w:rPr>
          <w:color w:val="231F20"/>
          <w:spacing w:val="-4"/>
        </w:rPr>
        <w:t> </w:t>
      </w:r>
      <w:r>
        <w:rPr>
          <w:color w:val="231F20"/>
        </w:rPr>
        <w:t>de</w:t>
      </w:r>
      <w:r>
        <w:rPr>
          <w:color w:val="231F20"/>
          <w:spacing w:val="-4"/>
        </w:rPr>
        <w:t> </w:t>
      </w:r>
      <w:r>
        <w:rPr>
          <w:color w:val="231F20"/>
        </w:rPr>
        <w:t>au- tomóviles estadounidenses</w:t>
      </w:r>
      <w:r>
        <w:rPr>
          <w:color w:val="231F20"/>
          <w:position w:val="7"/>
          <w:sz w:val="12"/>
        </w:rPr>
        <w:t>13 </w:t>
      </w:r>
      <w:r>
        <w:rPr>
          <w:color w:val="231F20"/>
        </w:rPr>
        <w:t>se relacionan con diversos aspectos: la fuerte competen- cia que han representado las empresas japonesas al quitarles gran parte del mercado mundial de vehículos; el rezago que en términos de desarrollo tecnológico tienen en comparación con las ensambladoras japonesas, sobre todo en la puesta en marcha de vehículos con nuevas tecnologías, vehículos híbridos y eléctricos; la falta de acopla- miento</w:t>
      </w:r>
      <w:r>
        <w:rPr>
          <w:color w:val="231F20"/>
          <w:spacing w:val="-3"/>
        </w:rPr>
        <w:t> </w:t>
      </w:r>
      <w:r>
        <w:rPr>
          <w:color w:val="231F20"/>
        </w:rPr>
        <w:t>de</w:t>
      </w:r>
      <w:r>
        <w:rPr>
          <w:color w:val="231F20"/>
          <w:spacing w:val="-3"/>
        </w:rPr>
        <w:t> </w:t>
      </w:r>
      <w:r>
        <w:rPr>
          <w:color w:val="231F20"/>
        </w:rPr>
        <w:t>los</w:t>
      </w:r>
      <w:r>
        <w:rPr>
          <w:color w:val="231F20"/>
          <w:spacing w:val="-3"/>
        </w:rPr>
        <w:t> </w:t>
      </w:r>
      <w:r>
        <w:rPr>
          <w:color w:val="231F20"/>
        </w:rPr>
        <w:t>vehículos</w:t>
      </w:r>
      <w:r>
        <w:rPr>
          <w:color w:val="231F20"/>
          <w:spacing w:val="-3"/>
        </w:rPr>
        <w:t> </w:t>
      </w:r>
      <w:r>
        <w:rPr>
          <w:color w:val="231F20"/>
        </w:rPr>
        <w:t>a</w:t>
      </w:r>
      <w:r>
        <w:rPr>
          <w:color w:val="231F20"/>
          <w:spacing w:val="-3"/>
        </w:rPr>
        <w:t> </w:t>
      </w:r>
      <w:r>
        <w:rPr>
          <w:color w:val="231F20"/>
        </w:rPr>
        <w:t>las</w:t>
      </w:r>
      <w:r>
        <w:rPr>
          <w:color w:val="231F20"/>
          <w:spacing w:val="-3"/>
        </w:rPr>
        <w:t> </w:t>
      </w:r>
      <w:r>
        <w:rPr>
          <w:color w:val="231F20"/>
        </w:rPr>
        <w:t>necesidades</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demanda</w:t>
      </w:r>
      <w:r>
        <w:rPr>
          <w:color w:val="231F20"/>
          <w:spacing w:val="-3"/>
        </w:rPr>
        <w:t> </w:t>
      </w:r>
      <w:r>
        <w:rPr>
          <w:color w:val="231F20"/>
        </w:rPr>
        <w:t>y</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propias</w:t>
      </w:r>
      <w:r>
        <w:rPr>
          <w:color w:val="231F20"/>
          <w:spacing w:val="-3"/>
        </w:rPr>
        <w:t> </w:t>
      </w:r>
      <w:r>
        <w:rPr>
          <w:color w:val="231F20"/>
        </w:rPr>
        <w:t>regulaciones gubernamentales en términos de emisión de contaminantes (vehículos más pequeños y menos contaminantes); y las malas políticas que estas empresas han aplicado desde hace años, que las han llevado a incurrir en significativos gastos administrativos y</w:t>
      </w:r>
      <w:r>
        <w:rPr>
          <w:color w:val="231F20"/>
          <w:spacing w:val="-29"/>
        </w:rPr>
        <w:t> </w:t>
      </w:r>
      <w:r>
        <w:rPr>
          <w:color w:val="231F20"/>
        </w:rPr>
        <w:t>en- deudamiento,</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recrudeció</w:t>
      </w:r>
      <w:r>
        <w:rPr>
          <w:color w:val="231F20"/>
          <w:spacing w:val="-7"/>
        </w:rPr>
        <w:t> </w:t>
      </w:r>
      <w:r>
        <w:rPr>
          <w:color w:val="231F20"/>
        </w:rPr>
        <w:t>y</w:t>
      </w:r>
      <w:r>
        <w:rPr>
          <w:color w:val="231F20"/>
          <w:spacing w:val="-7"/>
        </w:rPr>
        <w:t> </w:t>
      </w:r>
      <w:r>
        <w:rPr>
          <w:color w:val="231F20"/>
        </w:rPr>
        <w:t>evidenció</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crisis</w:t>
      </w:r>
      <w:r>
        <w:rPr>
          <w:color w:val="231F20"/>
          <w:spacing w:val="-7"/>
        </w:rPr>
        <w:t> </w:t>
      </w:r>
      <w:r>
        <w:rPr>
          <w:color w:val="231F20"/>
        </w:rPr>
        <w:t>económica.</w:t>
      </w:r>
    </w:p>
    <w:p>
      <w:pPr>
        <w:pStyle w:val="BodyText"/>
        <w:spacing w:before="7"/>
        <w:rPr>
          <w:sz w:val="10"/>
        </w:rPr>
      </w:pPr>
      <w:r>
        <w:rPr/>
        <w:pict>
          <v:line style="position:absolute;mso-position-horizontal-relative:page;mso-position-vertical-relative:paragraph;z-index:7528;mso-wrap-distance-left:0;mso-wrap-distance-right:0" from="56.692902pt,8.321592pt" to="198.424902pt,8.321592pt" stroked="true" strokeweight=".5pt" strokecolor="#231f20">
            <w10:wrap type="topAndBottom"/>
          </v:line>
        </w:pict>
      </w:r>
    </w:p>
    <w:p>
      <w:pPr>
        <w:spacing w:line="288" w:lineRule="auto" w:before="43"/>
        <w:ind w:left="860" w:right="0" w:hanging="207"/>
        <w:jc w:val="left"/>
        <w:rPr>
          <w:sz w:val="16"/>
        </w:rPr>
      </w:pPr>
      <w:r>
        <w:rPr>
          <w:color w:val="231F20"/>
          <w:position w:val="5"/>
          <w:sz w:val="9"/>
        </w:rPr>
        <w:t>13 </w:t>
      </w:r>
      <w:r>
        <w:rPr>
          <w:color w:val="231F20"/>
          <w:sz w:val="16"/>
        </w:rPr>
        <w:t>Si se considera que las compañías asiáticas que fabrican automóviles en los Estados Unidos no están experi- mentando problemas similares.</w:t>
      </w:r>
    </w:p>
    <w:p>
      <w:pPr>
        <w:spacing w:after="0" w:line="288" w:lineRule="auto"/>
        <w:jc w:val="left"/>
        <w:rPr>
          <w:sz w:val="16"/>
        </w:rPr>
        <w:sectPr>
          <w:footerReference w:type="even" r:id="rId84"/>
          <w:footerReference w:type="default" r:id="rId85"/>
          <w:pgSz w:w="9640" w:h="13040"/>
          <w:pgMar w:footer="654" w:header="581" w:top="780" w:bottom="840" w:left="480" w:right="1200"/>
          <w:pgNumType w:start="62"/>
        </w:sectPr>
      </w:pPr>
    </w:p>
    <w:p>
      <w:pPr>
        <w:pStyle w:val="BodyText"/>
        <w:rPr>
          <w:sz w:val="20"/>
        </w:rPr>
      </w:pPr>
    </w:p>
    <w:p>
      <w:pPr>
        <w:pStyle w:val="BodyText"/>
        <w:spacing w:before="10"/>
        <w:rPr>
          <w:sz w:val="17"/>
        </w:rPr>
      </w:pPr>
    </w:p>
    <w:p>
      <w:pPr>
        <w:pStyle w:val="BodyText"/>
        <w:spacing w:line="278" w:lineRule="auto"/>
        <w:ind w:left="103" w:right="651" w:firstLine="396"/>
        <w:jc w:val="both"/>
      </w:pPr>
      <w:r>
        <w:rPr>
          <w:color w:val="231F20"/>
          <w:spacing w:val="-3"/>
        </w:rPr>
        <w:t>Finalmente, </w:t>
      </w:r>
      <w:r>
        <w:rPr>
          <w:color w:val="231F20"/>
          <w:spacing w:val="-2"/>
        </w:rPr>
        <w:t>con </w:t>
      </w:r>
      <w:r>
        <w:rPr>
          <w:color w:val="231F20"/>
        </w:rPr>
        <w:t>esta crisis se </w:t>
      </w:r>
      <w:r>
        <w:rPr>
          <w:color w:val="231F20"/>
          <w:spacing w:val="-3"/>
        </w:rPr>
        <w:t>mostró </w:t>
      </w:r>
      <w:r>
        <w:rPr>
          <w:color w:val="231F20"/>
          <w:spacing w:val="-2"/>
        </w:rPr>
        <w:t>que </w:t>
      </w:r>
      <w:r>
        <w:rPr>
          <w:color w:val="231F20"/>
          <w:spacing w:val="-3"/>
        </w:rPr>
        <w:t>aun </w:t>
      </w:r>
      <w:r>
        <w:rPr>
          <w:color w:val="231F20"/>
        </w:rPr>
        <w:t>cuando la cadena </w:t>
      </w:r>
      <w:r>
        <w:rPr>
          <w:color w:val="231F20"/>
          <w:spacing w:val="-3"/>
        </w:rPr>
        <w:t>automotriz </w:t>
      </w:r>
      <w:r>
        <w:rPr>
          <w:color w:val="231F20"/>
        </w:rPr>
        <w:t>es una de las más </w:t>
      </w:r>
      <w:r>
        <w:rPr>
          <w:color w:val="231F20"/>
          <w:spacing w:val="-3"/>
        </w:rPr>
        <w:t>dinámicas </w:t>
      </w:r>
      <w:r>
        <w:rPr>
          <w:color w:val="231F20"/>
        </w:rPr>
        <w:t>e </w:t>
      </w:r>
      <w:r>
        <w:rPr>
          <w:color w:val="231F20"/>
          <w:spacing w:val="-3"/>
        </w:rPr>
        <w:t>innovadoras </w:t>
      </w:r>
      <w:r>
        <w:rPr>
          <w:color w:val="231F20"/>
        </w:rPr>
        <w:t>a </w:t>
      </w:r>
      <w:r>
        <w:rPr>
          <w:color w:val="231F20"/>
          <w:spacing w:val="-3"/>
        </w:rPr>
        <w:t>nivel mundial, presenta problemas importantes </w:t>
      </w:r>
      <w:r>
        <w:rPr>
          <w:color w:val="231F20"/>
        </w:rPr>
        <w:t>de </w:t>
      </w:r>
      <w:r>
        <w:rPr>
          <w:color w:val="231F20"/>
          <w:spacing w:val="-3"/>
        </w:rPr>
        <w:t>competitividad, sobre </w:t>
      </w:r>
      <w:r>
        <w:rPr>
          <w:color w:val="231F20"/>
        </w:rPr>
        <w:t>todo </w:t>
      </w:r>
      <w:r>
        <w:rPr>
          <w:color w:val="231F20"/>
          <w:spacing w:val="-3"/>
        </w:rPr>
        <w:t>dentro </w:t>
      </w:r>
      <w:r>
        <w:rPr>
          <w:color w:val="231F20"/>
        </w:rPr>
        <w:t>de la </w:t>
      </w:r>
      <w:r>
        <w:rPr>
          <w:color w:val="231F20"/>
          <w:spacing w:val="-2"/>
        </w:rPr>
        <w:t>industria </w:t>
      </w:r>
      <w:r>
        <w:rPr>
          <w:color w:val="231F20"/>
        </w:rPr>
        <w:t>terminal de las tres grandes </w:t>
      </w:r>
      <w:r>
        <w:rPr>
          <w:color w:val="231F20"/>
          <w:spacing w:val="-3"/>
        </w:rPr>
        <w:t>norteame- </w:t>
      </w:r>
      <w:r>
        <w:rPr>
          <w:color w:val="231F20"/>
        </w:rPr>
        <w:t>ricanas,</w:t>
      </w:r>
      <w:r>
        <w:rPr>
          <w:color w:val="231F20"/>
          <w:spacing w:val="-14"/>
        </w:rPr>
        <w:t> </w:t>
      </w:r>
      <w:r>
        <w:rPr>
          <w:color w:val="231F20"/>
        </w:rPr>
        <w:t>cuya</w:t>
      </w:r>
      <w:r>
        <w:rPr>
          <w:color w:val="231F20"/>
          <w:spacing w:val="-14"/>
        </w:rPr>
        <w:t> </w:t>
      </w:r>
      <w:r>
        <w:rPr>
          <w:color w:val="231F20"/>
          <w:spacing w:val="-3"/>
        </w:rPr>
        <w:t>presencia</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visto</w:t>
      </w:r>
      <w:r>
        <w:rPr>
          <w:color w:val="231F20"/>
          <w:spacing w:val="-14"/>
        </w:rPr>
        <w:t> </w:t>
      </w:r>
      <w:r>
        <w:rPr>
          <w:color w:val="231F20"/>
        </w:rPr>
        <w:t>opacada</w:t>
      </w:r>
      <w:r>
        <w:rPr>
          <w:color w:val="231F20"/>
          <w:spacing w:val="-14"/>
        </w:rPr>
        <w:t> </w:t>
      </w:r>
      <w:r>
        <w:rPr>
          <w:color w:val="231F20"/>
          <w:spacing w:val="-4"/>
        </w:rPr>
        <w:t>ante</w:t>
      </w:r>
      <w:r>
        <w:rPr>
          <w:color w:val="231F20"/>
          <w:spacing w:val="-14"/>
        </w:rPr>
        <w:t> </w:t>
      </w:r>
      <w:r>
        <w:rPr>
          <w:color w:val="231F20"/>
        </w:rPr>
        <w:t>las</w:t>
      </w:r>
      <w:r>
        <w:rPr>
          <w:color w:val="231F20"/>
          <w:spacing w:val="-14"/>
        </w:rPr>
        <w:t> </w:t>
      </w:r>
      <w:r>
        <w:rPr>
          <w:color w:val="231F20"/>
          <w:spacing w:val="-3"/>
        </w:rPr>
        <w:t>japonesas,</w:t>
      </w:r>
      <w:r>
        <w:rPr>
          <w:color w:val="231F20"/>
          <w:spacing w:val="-14"/>
        </w:rPr>
        <w:t> </w:t>
      </w:r>
      <w:r>
        <w:rPr>
          <w:color w:val="231F20"/>
          <w:spacing w:val="-3"/>
        </w:rPr>
        <w:t>tanto</w:t>
      </w:r>
      <w:r>
        <w:rPr>
          <w:color w:val="231F20"/>
          <w:spacing w:val="-14"/>
        </w:rPr>
        <w:t> </w:t>
      </w:r>
      <w:r>
        <w:rPr>
          <w:color w:val="231F20"/>
        </w:rPr>
        <w:t>en</w:t>
      </w:r>
      <w:r>
        <w:rPr>
          <w:color w:val="231F20"/>
          <w:spacing w:val="-14"/>
        </w:rPr>
        <w:t> </w:t>
      </w:r>
      <w:r>
        <w:rPr>
          <w:color w:val="231F20"/>
          <w:spacing w:val="-3"/>
        </w:rPr>
        <w:t>producción</w:t>
      </w:r>
      <w:r>
        <w:rPr>
          <w:color w:val="231F20"/>
          <w:spacing w:val="-14"/>
        </w:rPr>
        <w:t> </w:t>
      </w:r>
      <w:r>
        <w:rPr>
          <w:color w:val="231F20"/>
          <w:spacing w:val="-3"/>
        </w:rPr>
        <w:t>como </w:t>
      </w:r>
      <w:r>
        <w:rPr>
          <w:color w:val="231F20"/>
        </w:rPr>
        <w:t>en </w:t>
      </w:r>
      <w:r>
        <w:rPr>
          <w:color w:val="231F20"/>
          <w:spacing w:val="-3"/>
        </w:rPr>
        <w:t>ventas </w:t>
      </w:r>
      <w:r>
        <w:rPr>
          <w:color w:val="231F20"/>
        </w:rPr>
        <w:t>a </w:t>
      </w:r>
      <w:r>
        <w:rPr>
          <w:color w:val="231F20"/>
          <w:spacing w:val="-3"/>
        </w:rPr>
        <w:t>nivel mundial, </w:t>
      </w:r>
      <w:r>
        <w:rPr>
          <w:color w:val="231F20"/>
        </w:rPr>
        <w:t>y </w:t>
      </w:r>
      <w:r>
        <w:rPr>
          <w:color w:val="231F20"/>
          <w:spacing w:val="-4"/>
        </w:rPr>
        <w:t>ante </w:t>
      </w:r>
      <w:r>
        <w:rPr>
          <w:color w:val="231F20"/>
        </w:rPr>
        <w:t>el </w:t>
      </w:r>
      <w:r>
        <w:rPr>
          <w:color w:val="231F20"/>
          <w:spacing w:val="-3"/>
        </w:rPr>
        <w:t>surgimiento </w:t>
      </w:r>
      <w:r>
        <w:rPr>
          <w:color w:val="231F20"/>
        </w:rPr>
        <w:t>de países </w:t>
      </w:r>
      <w:r>
        <w:rPr>
          <w:color w:val="231F20"/>
          <w:spacing w:val="-3"/>
        </w:rPr>
        <w:t>como </w:t>
      </w:r>
      <w:r>
        <w:rPr>
          <w:color w:val="231F20"/>
        </w:rPr>
        <w:t>China y la </w:t>
      </w:r>
      <w:r>
        <w:rPr>
          <w:color w:val="231F20"/>
          <w:spacing w:val="-3"/>
        </w:rPr>
        <w:t>India, que  </w:t>
      </w:r>
      <w:r>
        <w:rPr>
          <w:color w:val="231F20"/>
        </w:rPr>
        <w:t>se están </w:t>
      </w:r>
      <w:r>
        <w:rPr>
          <w:color w:val="231F20"/>
          <w:spacing w:val="-3"/>
        </w:rPr>
        <w:t>convirtiendo </w:t>
      </w:r>
      <w:r>
        <w:rPr>
          <w:color w:val="231F20"/>
        </w:rPr>
        <w:t>en grandes </w:t>
      </w:r>
      <w:r>
        <w:rPr>
          <w:color w:val="231F20"/>
          <w:spacing w:val="-3"/>
        </w:rPr>
        <w:t>productores </w:t>
      </w:r>
      <w:r>
        <w:rPr>
          <w:color w:val="231F20"/>
        </w:rPr>
        <w:t>y en </w:t>
      </w:r>
      <w:r>
        <w:rPr>
          <w:color w:val="231F20"/>
          <w:spacing w:val="-3"/>
        </w:rPr>
        <w:t>importantes mercados </w:t>
      </w:r>
      <w:r>
        <w:rPr>
          <w:color w:val="231F20"/>
        </w:rPr>
        <w:t>de</w:t>
      </w:r>
      <w:r>
        <w:rPr>
          <w:color w:val="231F20"/>
          <w:spacing w:val="-9"/>
        </w:rPr>
        <w:t> </w:t>
      </w:r>
      <w:r>
        <w:rPr>
          <w:color w:val="231F20"/>
        </w:rPr>
        <w:t>vehículos.</w:t>
      </w:r>
    </w:p>
    <w:p>
      <w:pPr>
        <w:pStyle w:val="Heading3"/>
        <w:numPr>
          <w:ilvl w:val="1"/>
          <w:numId w:val="15"/>
        </w:numPr>
        <w:tabs>
          <w:tab w:pos="518" w:val="left" w:leader="none"/>
        </w:tabs>
        <w:spacing w:line="240" w:lineRule="auto" w:before="172" w:after="0"/>
        <w:ind w:left="517" w:right="0" w:hanging="414"/>
        <w:jc w:val="both"/>
      </w:pPr>
      <w:r>
        <w:rPr>
          <w:color w:val="231F20"/>
          <w:w w:val="90"/>
        </w:rPr>
        <w:t>Conclusiones del</w:t>
      </w:r>
      <w:r>
        <w:rPr>
          <w:color w:val="231F20"/>
          <w:spacing w:val="9"/>
          <w:w w:val="90"/>
        </w:rPr>
        <w:t> </w:t>
      </w:r>
      <w:r>
        <w:rPr>
          <w:color w:val="231F20"/>
          <w:w w:val="90"/>
        </w:rPr>
        <w:t>capítulo</w:t>
      </w:r>
    </w:p>
    <w:p>
      <w:pPr>
        <w:pStyle w:val="BodyText"/>
        <w:spacing w:line="278" w:lineRule="auto" w:before="125"/>
        <w:ind w:left="103" w:right="651"/>
        <w:jc w:val="both"/>
      </w:pPr>
      <w:r>
        <w:rPr>
          <w:color w:val="231F20"/>
        </w:rPr>
        <w:t>Las innovaciones tecnológicas se han convertido en un factor fundamental que ha determinado la evolución y la reestructuración de la industria automotriz en el mun- do, pues la demanda de los consumidores y las propias regulaciones gubernamentales han sido un factor de impulso a la búsqueda constante de nuevas tecnologías para el sector. Además, han servido a las ensambladoras como una estrategia para aumentar la penetración en el mercado de ciertos modelos en  particular.</w:t>
      </w:r>
    </w:p>
    <w:p>
      <w:pPr>
        <w:pStyle w:val="BodyText"/>
        <w:spacing w:line="278" w:lineRule="auto" w:before="1"/>
        <w:ind w:left="103" w:right="649" w:firstLine="396"/>
        <w:jc w:val="both"/>
      </w:pPr>
      <w:r>
        <w:rPr>
          <w:color w:val="231F20"/>
          <w:spacing w:val="2"/>
        </w:rPr>
        <w:t>La </w:t>
      </w:r>
      <w:r>
        <w:rPr>
          <w:color w:val="231F20"/>
        </w:rPr>
        <w:t>revisión y el análisis de la información reciente nos dan elementos para pen- sar en que se está generando un tercer momento de transición fundamental dentro    de esta industria, que se relaciona con el uso de nuevas tecnologías, encaminadas a  los sistemas híbridos en la producción de vehículos y la búsqueda de combustibles alternativos a las</w:t>
      </w:r>
      <w:r>
        <w:rPr>
          <w:color w:val="231F20"/>
          <w:spacing w:val="2"/>
        </w:rPr>
        <w:t> </w:t>
      </w:r>
      <w:r>
        <w:rPr>
          <w:color w:val="231F20"/>
        </w:rPr>
        <w:t>gasolinas.</w:t>
      </w:r>
    </w:p>
    <w:p>
      <w:pPr>
        <w:pStyle w:val="BodyText"/>
        <w:spacing w:line="278" w:lineRule="auto" w:before="1"/>
        <w:ind w:left="103" w:right="651" w:firstLine="396"/>
        <w:jc w:val="both"/>
      </w:pPr>
      <w:r>
        <w:rPr>
          <w:color w:val="231F20"/>
        </w:rPr>
        <w:t>La</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autos</w:t>
      </w:r>
      <w:r>
        <w:rPr>
          <w:color w:val="231F20"/>
          <w:spacing w:val="-5"/>
        </w:rPr>
        <w:t> </w:t>
      </w:r>
      <w:r>
        <w:rPr>
          <w:color w:val="231F20"/>
        </w:rPr>
        <w:t>híbridos</w:t>
      </w:r>
      <w:r>
        <w:rPr>
          <w:color w:val="231F20"/>
          <w:spacing w:val="-5"/>
        </w:rPr>
        <w:t> </w:t>
      </w:r>
      <w:r>
        <w:rPr>
          <w:color w:val="231F20"/>
        </w:rPr>
        <w:t>parece</w:t>
      </w:r>
      <w:r>
        <w:rPr>
          <w:color w:val="231F20"/>
          <w:spacing w:val="-5"/>
        </w:rPr>
        <w:t> </w:t>
      </w:r>
      <w:r>
        <w:rPr>
          <w:color w:val="231F20"/>
        </w:rPr>
        <w:t>ser</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principales</w:t>
      </w:r>
      <w:r>
        <w:rPr>
          <w:color w:val="231F20"/>
          <w:spacing w:val="-5"/>
        </w:rPr>
        <w:t> </w:t>
      </w:r>
      <w:r>
        <w:rPr>
          <w:color w:val="231F20"/>
        </w:rPr>
        <w:t>estrategias</w:t>
      </w:r>
      <w:r>
        <w:rPr>
          <w:color w:val="231F20"/>
          <w:spacing w:val="-5"/>
        </w:rPr>
        <w:t> </w:t>
      </w:r>
      <w:r>
        <w:rPr>
          <w:color w:val="231F20"/>
        </w:rPr>
        <w:t>a</w:t>
      </w:r>
      <w:r>
        <w:rPr>
          <w:color w:val="231F20"/>
          <w:spacing w:val="-5"/>
        </w:rPr>
        <w:t> </w:t>
      </w:r>
      <w:r>
        <w:rPr>
          <w:color w:val="231F20"/>
        </w:rPr>
        <w:t>las que las grandes armadoras de vehículos les están apostando actualmente; por ello, se han</w:t>
      </w:r>
      <w:r>
        <w:rPr>
          <w:color w:val="231F20"/>
          <w:spacing w:val="-7"/>
        </w:rPr>
        <w:t> </w:t>
      </w:r>
      <w:r>
        <w:rPr>
          <w:color w:val="231F20"/>
        </w:rPr>
        <w:t>realizado</w:t>
      </w:r>
      <w:r>
        <w:rPr>
          <w:color w:val="231F20"/>
          <w:spacing w:val="-7"/>
        </w:rPr>
        <w:t> </w:t>
      </w:r>
      <w:r>
        <w:rPr>
          <w:color w:val="231F20"/>
        </w:rPr>
        <w:t>inversiones</w:t>
      </w:r>
      <w:r>
        <w:rPr>
          <w:color w:val="231F20"/>
          <w:spacing w:val="-7"/>
        </w:rPr>
        <w:t> </w:t>
      </w:r>
      <w:r>
        <w:rPr>
          <w:color w:val="231F20"/>
        </w:rPr>
        <w:t>masivas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terreno</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I+D</w:t>
      </w:r>
      <w:r>
        <w:rPr>
          <w:color w:val="231F20"/>
          <w:spacing w:val="-7"/>
        </w:rPr>
        <w:t> </w:t>
      </w:r>
      <w:r>
        <w:rPr>
          <w:color w:val="231F20"/>
        </w:rPr>
        <w:t>de</w:t>
      </w:r>
      <w:r>
        <w:rPr>
          <w:color w:val="231F20"/>
          <w:spacing w:val="-7"/>
        </w:rPr>
        <w:t> </w:t>
      </w:r>
      <w:r>
        <w:rPr>
          <w:color w:val="231F20"/>
        </w:rPr>
        <w:t>nuevas</w:t>
      </w:r>
      <w:r>
        <w:rPr>
          <w:color w:val="231F20"/>
          <w:spacing w:val="-7"/>
        </w:rPr>
        <w:t> </w:t>
      </w:r>
      <w:r>
        <w:rPr>
          <w:color w:val="231F20"/>
        </w:rPr>
        <w:t>tecnologías.</w:t>
      </w:r>
    </w:p>
    <w:p>
      <w:pPr>
        <w:pStyle w:val="BodyText"/>
        <w:spacing w:line="278" w:lineRule="auto" w:before="1"/>
        <w:ind w:left="103" w:right="649" w:firstLine="396"/>
        <w:jc w:val="both"/>
      </w:pPr>
      <w:r>
        <w:rPr>
          <w:color w:val="231F20"/>
          <w:spacing w:val="2"/>
        </w:rPr>
        <w:t>Las </w:t>
      </w:r>
      <w:r>
        <w:rPr>
          <w:color w:val="231F20"/>
        </w:rPr>
        <w:t>empresas proveedoras de autopartes han </w:t>
      </w:r>
      <w:r>
        <w:rPr>
          <w:color w:val="231F20"/>
          <w:spacing w:val="2"/>
        </w:rPr>
        <w:t>tenido </w:t>
      </w:r>
      <w:r>
        <w:rPr>
          <w:color w:val="231F20"/>
        </w:rPr>
        <w:t>también que ajustarse a las nuevas </w:t>
      </w:r>
      <w:r>
        <w:rPr>
          <w:color w:val="231F20"/>
          <w:spacing w:val="2"/>
        </w:rPr>
        <w:t>necesidades </w:t>
      </w:r>
      <w:r>
        <w:rPr>
          <w:color w:val="231F20"/>
        </w:rPr>
        <w:t>y los </w:t>
      </w:r>
      <w:r>
        <w:rPr>
          <w:color w:val="231F20"/>
          <w:spacing w:val="2"/>
        </w:rPr>
        <w:t>requerimientos </w:t>
      </w:r>
      <w:r>
        <w:rPr>
          <w:color w:val="231F20"/>
        </w:rPr>
        <w:t>de la </w:t>
      </w:r>
      <w:r>
        <w:rPr>
          <w:color w:val="231F20"/>
          <w:spacing w:val="2"/>
        </w:rPr>
        <w:t>industria terminal. </w:t>
      </w:r>
      <w:r>
        <w:rPr>
          <w:color w:val="231F20"/>
        </w:rPr>
        <w:t>En este sentido,  las empresas de primer nivel, principalmente, como estrategia para no quedarse </w:t>
      </w:r>
      <w:r>
        <w:rPr>
          <w:color w:val="231F20"/>
          <w:spacing w:val="2"/>
        </w:rPr>
        <w:t>fuera </w:t>
      </w:r>
      <w:r>
        <w:rPr>
          <w:color w:val="231F20"/>
        </w:rPr>
        <w:t>del mercado y </w:t>
      </w:r>
      <w:r>
        <w:rPr>
          <w:color w:val="231F20"/>
          <w:spacing w:val="2"/>
        </w:rPr>
        <w:t>poder </w:t>
      </w:r>
      <w:r>
        <w:rPr>
          <w:color w:val="231F20"/>
        </w:rPr>
        <w:t>proveer las partes y componentes para los vehículos híbridos, han rediseñado sus métodos y formas de  </w:t>
      </w:r>
      <w:r>
        <w:rPr>
          <w:color w:val="231F20"/>
          <w:spacing w:val="2"/>
        </w:rPr>
        <w:t> </w:t>
      </w:r>
      <w:r>
        <w:rPr>
          <w:color w:val="231F20"/>
        </w:rPr>
        <w:t>producción.</w:t>
      </w:r>
    </w:p>
    <w:p>
      <w:pPr>
        <w:pStyle w:val="BodyText"/>
        <w:spacing w:line="278" w:lineRule="auto" w:before="2"/>
        <w:ind w:left="103" w:right="650" w:firstLine="396"/>
        <w:jc w:val="both"/>
      </w:pPr>
      <w:r>
        <w:rPr>
          <w:color w:val="231F20"/>
          <w:spacing w:val="-5"/>
        </w:rPr>
        <w:t>Todo </w:t>
      </w:r>
      <w:r>
        <w:rPr>
          <w:color w:val="231F20"/>
        </w:rPr>
        <w:t>parece indicar que con el uso de las nuevas tecnologías en los próximos años se generará una reestructuración en el sector a nivel mundial. </w:t>
      </w:r>
      <w:r>
        <w:rPr>
          <w:color w:val="231F20"/>
          <w:spacing w:val="-5"/>
        </w:rPr>
        <w:t>Toyota </w:t>
      </w:r>
      <w:r>
        <w:rPr>
          <w:color w:val="231F20"/>
        </w:rPr>
        <w:t>—que está a la vanguardia en el uso de estas nuevas tecnologías híbridas— está ganando terreno y lleva un importante camino recorrido en el campo de la I+D en nuevas tecnologías, lo cual le ha permitido la producción y la venta en masa de vehículos híbridos desde mediados de los años noventa. </w:t>
      </w:r>
      <w:r>
        <w:rPr>
          <w:color w:val="231F20"/>
          <w:spacing w:val="-4"/>
        </w:rPr>
        <w:t>Por </w:t>
      </w:r>
      <w:r>
        <w:rPr>
          <w:color w:val="231F20"/>
        </w:rPr>
        <w:t>el contrario, General </w:t>
      </w:r>
      <w:r>
        <w:rPr>
          <w:color w:val="231F20"/>
          <w:spacing w:val="-3"/>
        </w:rPr>
        <w:t>Motors </w:t>
      </w:r>
      <w:r>
        <w:rPr>
          <w:color w:val="231F20"/>
        </w:rPr>
        <w:t>—empresa que por muchos años fue el principal productor de vehículos a nivel mundial— se ha quedado rezagada</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uso</w:t>
      </w:r>
      <w:r>
        <w:rPr>
          <w:color w:val="231F20"/>
          <w:spacing w:val="-6"/>
        </w:rPr>
        <w:t> </w:t>
      </w:r>
      <w:r>
        <w:rPr>
          <w:color w:val="231F20"/>
        </w:rPr>
        <w:t>de</w:t>
      </w:r>
      <w:r>
        <w:rPr>
          <w:color w:val="231F20"/>
          <w:spacing w:val="-6"/>
        </w:rPr>
        <w:t> </w:t>
      </w:r>
      <w:r>
        <w:rPr>
          <w:color w:val="231F20"/>
        </w:rPr>
        <w:t>estas</w:t>
      </w:r>
      <w:r>
        <w:rPr>
          <w:color w:val="231F20"/>
          <w:spacing w:val="-6"/>
        </w:rPr>
        <w:t> </w:t>
      </w:r>
      <w:r>
        <w:rPr>
          <w:color w:val="231F20"/>
        </w:rPr>
        <w:t>nuevas</w:t>
      </w:r>
      <w:r>
        <w:rPr>
          <w:color w:val="231F20"/>
          <w:spacing w:val="-6"/>
        </w:rPr>
        <w:t> </w:t>
      </w:r>
      <w:r>
        <w:rPr>
          <w:color w:val="231F20"/>
        </w:rPr>
        <w:t>tecnologías,</w:t>
      </w:r>
      <w:r>
        <w:rPr>
          <w:color w:val="231F20"/>
          <w:spacing w:val="-6"/>
        </w:rPr>
        <w:t> </w:t>
      </w:r>
      <w:r>
        <w:rPr>
          <w:color w:val="231F20"/>
        </w:rPr>
        <w:t>que</w:t>
      </w:r>
      <w:r>
        <w:rPr>
          <w:color w:val="231F20"/>
          <w:spacing w:val="-6"/>
        </w:rPr>
        <w:t> </w:t>
      </w:r>
      <w:r>
        <w:rPr>
          <w:color w:val="231F20"/>
        </w:rPr>
        <w:t>son</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motores</w:t>
      </w:r>
      <w:r>
        <w:rPr>
          <w:color w:val="231F20"/>
          <w:spacing w:val="-6"/>
        </w:rPr>
        <w:t> </w:t>
      </w:r>
      <w:r>
        <w:rPr>
          <w:color w:val="231F20"/>
        </w:rPr>
        <w:t>fundamen- tales</w:t>
      </w:r>
      <w:r>
        <w:rPr>
          <w:color w:val="231F20"/>
          <w:spacing w:val="-10"/>
        </w:rPr>
        <w:t> </w:t>
      </w:r>
      <w:r>
        <w:rPr>
          <w:color w:val="231F20"/>
        </w:rPr>
        <w:t>que</w:t>
      </w:r>
      <w:r>
        <w:rPr>
          <w:color w:val="231F20"/>
          <w:spacing w:val="-10"/>
        </w:rPr>
        <w:t> </w:t>
      </w:r>
      <w:r>
        <w:rPr>
          <w:color w:val="231F20"/>
        </w:rPr>
        <w:t>están</w:t>
      </w:r>
      <w:r>
        <w:rPr>
          <w:color w:val="231F20"/>
          <w:spacing w:val="-10"/>
        </w:rPr>
        <w:t> </w:t>
      </w:r>
      <w:r>
        <w:rPr>
          <w:color w:val="231F20"/>
        </w:rPr>
        <w:t>impulsando</w:t>
      </w:r>
      <w:r>
        <w:rPr>
          <w:color w:val="231F20"/>
          <w:spacing w:val="-10"/>
        </w:rPr>
        <w:t> </w:t>
      </w:r>
      <w:r>
        <w:rPr>
          <w:color w:val="231F20"/>
        </w:rPr>
        <w:t>el</w:t>
      </w:r>
      <w:r>
        <w:rPr>
          <w:color w:val="231F20"/>
          <w:spacing w:val="-10"/>
        </w:rPr>
        <w:t> </w:t>
      </w:r>
      <w:r>
        <w:rPr>
          <w:color w:val="231F20"/>
        </w:rPr>
        <w:t>sector</w:t>
      </w:r>
      <w:r>
        <w:rPr>
          <w:color w:val="231F20"/>
          <w:spacing w:val="-10"/>
        </w:rPr>
        <w:t> </w:t>
      </w:r>
      <w:r>
        <w:rPr>
          <w:color w:val="231F20"/>
        </w:rPr>
        <w:t>a</w:t>
      </w:r>
      <w:r>
        <w:rPr>
          <w:color w:val="231F20"/>
          <w:spacing w:val="-10"/>
        </w:rPr>
        <w:t> </w:t>
      </w:r>
      <w:r>
        <w:rPr>
          <w:color w:val="231F20"/>
        </w:rPr>
        <w:t>nivel</w:t>
      </w:r>
      <w:r>
        <w:rPr>
          <w:color w:val="231F20"/>
          <w:spacing w:val="-10"/>
        </w:rPr>
        <w:t> </w:t>
      </w:r>
      <w:r>
        <w:rPr>
          <w:color w:val="231F20"/>
        </w:rPr>
        <w:t>mundial</w:t>
      </w:r>
      <w:r>
        <w:rPr>
          <w:color w:val="231F20"/>
          <w:spacing w:val="-10"/>
        </w:rPr>
        <w:t> </w:t>
      </w:r>
      <w:r>
        <w:rPr>
          <w:color w:val="231F20"/>
        </w:rPr>
        <w:t>y</w:t>
      </w:r>
      <w:r>
        <w:rPr>
          <w:color w:val="231F20"/>
          <w:spacing w:val="-10"/>
        </w:rPr>
        <w:t> </w:t>
      </w:r>
      <w:r>
        <w:rPr>
          <w:color w:val="231F20"/>
        </w:rPr>
        <w:t>que</w:t>
      </w:r>
      <w:r>
        <w:rPr>
          <w:color w:val="231F20"/>
          <w:spacing w:val="-10"/>
        </w:rPr>
        <w:t> </w:t>
      </w:r>
      <w:r>
        <w:rPr>
          <w:color w:val="231F20"/>
        </w:rPr>
        <w:t>sin</w:t>
      </w:r>
      <w:r>
        <w:rPr>
          <w:color w:val="231F20"/>
          <w:spacing w:val="-10"/>
        </w:rPr>
        <w:t> </w:t>
      </w:r>
      <w:r>
        <w:rPr>
          <w:color w:val="231F20"/>
        </w:rPr>
        <w:t>duda</w:t>
      </w:r>
      <w:r>
        <w:rPr>
          <w:color w:val="231F20"/>
          <w:spacing w:val="-10"/>
        </w:rPr>
        <w:t> </w:t>
      </w:r>
      <w:r>
        <w:rPr>
          <w:color w:val="231F20"/>
        </w:rPr>
        <w:t>se</w:t>
      </w:r>
      <w:r>
        <w:rPr>
          <w:color w:val="231F20"/>
          <w:spacing w:val="-10"/>
        </w:rPr>
        <w:t> </w:t>
      </w:r>
      <w:r>
        <w:rPr>
          <w:color w:val="231F20"/>
        </w:rPr>
        <w:t>convierten</w:t>
      </w:r>
      <w:r>
        <w:rPr>
          <w:color w:val="231F20"/>
          <w:spacing w:val="-10"/>
        </w:rPr>
        <w:t> </w:t>
      </w:r>
      <w:r>
        <w:rPr>
          <w:color w:val="231F20"/>
        </w:rPr>
        <w:t>en</w:t>
      </w:r>
      <w:r>
        <w:rPr>
          <w:color w:val="231F20"/>
          <w:spacing w:val="-10"/>
        </w:rPr>
        <w:t> </w:t>
      </w:r>
      <w:r>
        <w:rPr>
          <w:color w:val="231F20"/>
        </w:rPr>
        <w:t>un factor fundamental de</w:t>
      </w:r>
      <w:r>
        <w:rPr>
          <w:color w:val="231F20"/>
          <w:spacing w:val="8"/>
        </w:rPr>
        <w:t> </w:t>
      </w:r>
      <w:r>
        <w:rPr>
          <w:color w:val="231F20"/>
        </w:rPr>
        <w:t>competitividad.</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firstLine="396"/>
        <w:jc w:val="both"/>
      </w:pPr>
      <w:r>
        <w:rPr>
          <w:color w:val="231F20"/>
        </w:rPr>
        <w:t>Chrysler, Ford y General Motors han resultado las grandes perdedoras en el con- cierto mundial de la industria automotriz, por lo que se hace inminente la necesidad de una importante reestructuración a fin de no continuar perdiendo parte del mercado mundial.</w:t>
      </w:r>
    </w:p>
    <w:p>
      <w:pPr>
        <w:pStyle w:val="BodyText"/>
        <w:spacing w:line="278" w:lineRule="auto" w:before="1"/>
        <w:ind w:left="653" w:right="100" w:firstLine="396"/>
        <w:jc w:val="both"/>
      </w:pPr>
      <w:r>
        <w:rPr>
          <w:color w:val="231F20"/>
          <w:spacing w:val="-4"/>
        </w:rPr>
        <w:t>Toyota </w:t>
      </w:r>
      <w:r>
        <w:rPr>
          <w:color w:val="231F20"/>
        </w:rPr>
        <w:t>se está consolidando como la gran ganadora del sector automotriz mun- dial, pues cuenta con los mayores adelantos tecnológicos dentro de sus procesos de producción, así como con los mejores esquemas de relación con sus proveedores.    Su sistema de producción representa la práctica óptima respecto a la calidad de </w:t>
      </w:r>
      <w:r>
        <w:rPr>
          <w:color w:val="231F20"/>
          <w:spacing w:val="2"/>
        </w:rPr>
        <w:t>los </w:t>
      </w:r>
      <w:r>
        <w:rPr>
          <w:color w:val="231F20"/>
        </w:rPr>
        <w:t>automóviles. En él se dan las mejores relaciones a largo plazo entre productores, pro- veedores y distribuidores, y una enorme baja de los costos de transacción inherentes  a las relaciones comerciales a corto</w:t>
      </w:r>
      <w:r>
        <w:rPr>
          <w:color w:val="231F20"/>
          <w:spacing w:val="3"/>
        </w:rPr>
        <w:t> </w:t>
      </w:r>
      <w:r>
        <w:rPr>
          <w:color w:val="231F20"/>
        </w:rPr>
        <w:t>plazo.</w:t>
      </w:r>
    </w:p>
    <w:p>
      <w:pPr>
        <w:pStyle w:val="BodyText"/>
        <w:spacing w:line="278" w:lineRule="auto" w:before="1"/>
        <w:ind w:left="653" w:right="101" w:firstLine="396"/>
        <w:jc w:val="both"/>
      </w:pPr>
      <w:r>
        <w:rPr>
          <w:color w:val="231F20"/>
        </w:rPr>
        <w:t>China debe considerarse, sin duda, uno de los motores que está impulsando al sector automotriz a nivel mundial: ha tenido avances espectaculares en los últimos años, hasta llegar a posicionarse como el principal productor de vehículos a partir de 2010,</w:t>
      </w:r>
      <w:r>
        <w:rPr>
          <w:color w:val="231F20"/>
          <w:spacing w:val="-12"/>
        </w:rPr>
        <w:t> </w:t>
      </w:r>
      <w:r>
        <w:rPr>
          <w:color w:val="231F20"/>
        </w:rPr>
        <w:t>desplazando</w:t>
      </w:r>
      <w:r>
        <w:rPr>
          <w:color w:val="231F20"/>
          <w:spacing w:val="-12"/>
        </w:rPr>
        <w:t> </w:t>
      </w:r>
      <w:r>
        <w:rPr>
          <w:color w:val="231F20"/>
        </w:rPr>
        <w:t>a</w:t>
      </w:r>
      <w:r>
        <w:rPr>
          <w:color w:val="231F20"/>
          <w:spacing w:val="-12"/>
        </w:rPr>
        <w:t> </w:t>
      </w:r>
      <w:r>
        <w:rPr>
          <w:color w:val="231F20"/>
        </w:rPr>
        <w:t>Estados</w:t>
      </w:r>
      <w:r>
        <w:rPr>
          <w:color w:val="231F20"/>
          <w:spacing w:val="-12"/>
        </w:rPr>
        <w:t> </w:t>
      </w:r>
      <w:r>
        <w:rPr>
          <w:color w:val="231F20"/>
        </w:rPr>
        <w:t>Unidos</w:t>
      </w:r>
      <w:r>
        <w:rPr>
          <w:color w:val="231F20"/>
          <w:spacing w:val="-12"/>
        </w:rPr>
        <w:t> </w:t>
      </w:r>
      <w:r>
        <w:rPr>
          <w:color w:val="231F20"/>
        </w:rPr>
        <w:t>y</w:t>
      </w:r>
      <w:r>
        <w:rPr>
          <w:color w:val="231F20"/>
          <w:spacing w:val="-12"/>
        </w:rPr>
        <w:t> </w:t>
      </w:r>
      <w:r>
        <w:rPr>
          <w:color w:val="231F20"/>
        </w:rPr>
        <w:t>Japón,</w:t>
      </w:r>
      <w:r>
        <w:rPr>
          <w:color w:val="231F20"/>
          <w:spacing w:val="-12"/>
        </w:rPr>
        <w:t> </w:t>
      </w:r>
      <w:r>
        <w:rPr>
          <w:color w:val="231F20"/>
        </w:rPr>
        <w:t>países</w:t>
      </w:r>
      <w:r>
        <w:rPr>
          <w:color w:val="231F20"/>
          <w:spacing w:val="-12"/>
        </w:rPr>
        <w:t> </w:t>
      </w:r>
      <w:r>
        <w:rPr>
          <w:color w:val="231F20"/>
        </w:rPr>
        <w:t>que</w:t>
      </w:r>
      <w:r>
        <w:rPr>
          <w:color w:val="231F20"/>
          <w:spacing w:val="-12"/>
        </w:rPr>
        <w:t> </w:t>
      </w:r>
      <w:r>
        <w:rPr>
          <w:color w:val="231F20"/>
        </w:rPr>
        <w:t>desde</w:t>
      </w:r>
      <w:r>
        <w:rPr>
          <w:color w:val="231F20"/>
          <w:spacing w:val="-12"/>
        </w:rPr>
        <w:t> </w:t>
      </w:r>
      <w:r>
        <w:rPr>
          <w:color w:val="231F20"/>
        </w:rPr>
        <w:t>hace</w:t>
      </w:r>
      <w:r>
        <w:rPr>
          <w:color w:val="231F20"/>
          <w:spacing w:val="-12"/>
        </w:rPr>
        <w:t> </w:t>
      </w:r>
      <w:r>
        <w:rPr>
          <w:color w:val="231F20"/>
        </w:rPr>
        <w:t>décadas</w:t>
      </w:r>
      <w:r>
        <w:rPr>
          <w:color w:val="231F20"/>
          <w:spacing w:val="-12"/>
        </w:rPr>
        <w:t> </w:t>
      </w:r>
      <w:r>
        <w:rPr>
          <w:color w:val="231F20"/>
        </w:rPr>
        <w:t>fueron</w:t>
      </w:r>
      <w:r>
        <w:rPr>
          <w:color w:val="231F20"/>
          <w:spacing w:val="-12"/>
        </w:rPr>
        <w:t> </w:t>
      </w:r>
      <w:r>
        <w:rPr>
          <w:color w:val="231F20"/>
        </w:rPr>
        <w:t>los productores de vehículos más importantes a nivel</w:t>
      </w:r>
      <w:r>
        <w:rPr>
          <w:color w:val="231F20"/>
          <w:spacing w:val="-11"/>
        </w:rPr>
        <w:t> </w:t>
      </w:r>
      <w:r>
        <w:rPr>
          <w:color w:val="231F20"/>
        </w:rPr>
        <w:t>mundial.</w:t>
      </w:r>
    </w:p>
    <w:p>
      <w:pPr>
        <w:pStyle w:val="BodyText"/>
        <w:spacing w:line="278" w:lineRule="auto" w:before="1"/>
        <w:ind w:left="653" w:right="101" w:firstLine="396"/>
        <w:jc w:val="both"/>
      </w:pPr>
      <w:r>
        <w:rPr>
          <w:color w:val="231F20"/>
        </w:rPr>
        <w:t>Los</w:t>
      </w:r>
      <w:r>
        <w:rPr>
          <w:color w:val="231F20"/>
          <w:spacing w:val="-8"/>
        </w:rPr>
        <w:t> </w:t>
      </w:r>
      <w:r>
        <w:rPr>
          <w:color w:val="231F20"/>
        </w:rPr>
        <w:t>problemas</w:t>
      </w:r>
      <w:r>
        <w:rPr>
          <w:color w:val="231F20"/>
          <w:spacing w:val="-8"/>
        </w:rPr>
        <w:t> </w:t>
      </w:r>
      <w:r>
        <w:rPr>
          <w:color w:val="231F20"/>
        </w:rPr>
        <w:t>que</w:t>
      </w:r>
      <w:r>
        <w:rPr>
          <w:color w:val="231F20"/>
          <w:spacing w:val="-8"/>
        </w:rPr>
        <w:t> </w:t>
      </w:r>
      <w:r>
        <w:rPr>
          <w:color w:val="231F20"/>
        </w:rPr>
        <w:t>han</w:t>
      </w:r>
      <w:r>
        <w:rPr>
          <w:color w:val="231F20"/>
          <w:spacing w:val="-8"/>
        </w:rPr>
        <w:t> </w:t>
      </w:r>
      <w:r>
        <w:rPr>
          <w:color w:val="231F20"/>
        </w:rPr>
        <w:t>atravesado</w:t>
      </w:r>
      <w:r>
        <w:rPr>
          <w:color w:val="231F20"/>
          <w:spacing w:val="-8"/>
        </w:rPr>
        <w:t> </w:t>
      </w:r>
      <w:r>
        <w:rPr>
          <w:color w:val="231F20"/>
        </w:rPr>
        <w:t>los</w:t>
      </w:r>
      <w:r>
        <w:rPr>
          <w:color w:val="231F20"/>
          <w:spacing w:val="-8"/>
        </w:rPr>
        <w:t> </w:t>
      </w:r>
      <w:r>
        <w:rPr>
          <w:color w:val="231F20"/>
        </w:rPr>
        <w:t>tres</w:t>
      </w:r>
      <w:r>
        <w:rPr>
          <w:color w:val="231F20"/>
          <w:spacing w:val="-8"/>
        </w:rPr>
        <w:t> </w:t>
      </w:r>
      <w:r>
        <w:rPr>
          <w:color w:val="231F20"/>
        </w:rPr>
        <w:t>grandes</w:t>
      </w:r>
      <w:r>
        <w:rPr>
          <w:color w:val="231F20"/>
          <w:spacing w:val="-8"/>
        </w:rPr>
        <w:t> </w:t>
      </w:r>
      <w:r>
        <w:rPr>
          <w:color w:val="231F20"/>
        </w:rPr>
        <w:t>fabricantes</w:t>
      </w:r>
      <w:r>
        <w:rPr>
          <w:color w:val="231F20"/>
          <w:spacing w:val="-8"/>
        </w:rPr>
        <w:t> </w:t>
      </w:r>
      <w:r>
        <w:rPr>
          <w:color w:val="231F20"/>
        </w:rPr>
        <w:t>de</w:t>
      </w:r>
      <w:r>
        <w:rPr>
          <w:color w:val="231F20"/>
          <w:spacing w:val="-8"/>
        </w:rPr>
        <w:t> </w:t>
      </w:r>
      <w:r>
        <w:rPr>
          <w:color w:val="231F20"/>
        </w:rPr>
        <w:t>automóviles</w:t>
      </w:r>
      <w:r>
        <w:rPr>
          <w:color w:val="231F20"/>
          <w:spacing w:val="-8"/>
        </w:rPr>
        <w:t> </w:t>
      </w:r>
      <w:r>
        <w:rPr>
          <w:color w:val="231F20"/>
        </w:rPr>
        <w:t>es- tadounidenses</w:t>
      </w:r>
      <w:r>
        <w:rPr>
          <w:color w:val="231F20"/>
          <w:spacing w:val="-8"/>
        </w:rPr>
        <w:t> </w:t>
      </w:r>
      <w:r>
        <w:rPr>
          <w:color w:val="231F20"/>
        </w:rPr>
        <w:t>en</w:t>
      </w:r>
      <w:r>
        <w:rPr>
          <w:color w:val="231F20"/>
          <w:spacing w:val="-8"/>
        </w:rPr>
        <w:t> </w:t>
      </w:r>
      <w:r>
        <w:rPr>
          <w:color w:val="231F20"/>
        </w:rPr>
        <w:t>los</w:t>
      </w:r>
      <w:r>
        <w:rPr>
          <w:color w:val="231F20"/>
          <w:spacing w:val="-8"/>
        </w:rPr>
        <w:t> </w:t>
      </w:r>
      <w:r>
        <w:rPr>
          <w:color w:val="231F20"/>
        </w:rPr>
        <w:t>últimos</w:t>
      </w:r>
      <w:r>
        <w:rPr>
          <w:color w:val="231F20"/>
          <w:spacing w:val="-8"/>
        </w:rPr>
        <w:t> </w:t>
      </w:r>
      <w:r>
        <w:rPr>
          <w:color w:val="231F20"/>
        </w:rPr>
        <w:t>años</w:t>
      </w:r>
      <w:r>
        <w:rPr>
          <w:color w:val="231F20"/>
          <w:spacing w:val="-8"/>
        </w:rPr>
        <w:t> </w:t>
      </w:r>
      <w:r>
        <w:rPr>
          <w:color w:val="231F20"/>
        </w:rPr>
        <w:t>se</w:t>
      </w:r>
      <w:r>
        <w:rPr>
          <w:color w:val="231F20"/>
          <w:spacing w:val="-8"/>
        </w:rPr>
        <w:t> </w:t>
      </w:r>
      <w:r>
        <w:rPr>
          <w:color w:val="231F20"/>
        </w:rPr>
        <w:t>deben</w:t>
      </w:r>
      <w:r>
        <w:rPr>
          <w:color w:val="231F20"/>
          <w:spacing w:val="-8"/>
        </w:rPr>
        <w:t> </w:t>
      </w:r>
      <w:r>
        <w:rPr>
          <w:color w:val="231F20"/>
        </w:rPr>
        <w:t>en</w:t>
      </w:r>
      <w:r>
        <w:rPr>
          <w:color w:val="231F20"/>
          <w:spacing w:val="-8"/>
        </w:rPr>
        <w:t> </w:t>
      </w:r>
      <w:r>
        <w:rPr>
          <w:color w:val="231F20"/>
        </w:rPr>
        <w:t>su</w:t>
      </w:r>
      <w:r>
        <w:rPr>
          <w:color w:val="231F20"/>
          <w:spacing w:val="-8"/>
        </w:rPr>
        <w:t> </w:t>
      </w:r>
      <w:r>
        <w:rPr>
          <w:color w:val="231F20"/>
        </w:rPr>
        <w:t>mayor</w:t>
      </w:r>
      <w:r>
        <w:rPr>
          <w:color w:val="231F20"/>
          <w:spacing w:val="-8"/>
        </w:rPr>
        <w:t> </w:t>
      </w:r>
      <w:r>
        <w:rPr>
          <w:color w:val="231F20"/>
        </w:rPr>
        <w:t>parte</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malas</w:t>
      </w:r>
      <w:r>
        <w:rPr>
          <w:color w:val="231F20"/>
          <w:spacing w:val="-8"/>
        </w:rPr>
        <w:t> </w:t>
      </w:r>
      <w:r>
        <w:rPr>
          <w:color w:val="231F20"/>
        </w:rPr>
        <w:t>políticas</w:t>
      </w:r>
      <w:r>
        <w:rPr>
          <w:color w:val="231F20"/>
          <w:spacing w:val="-8"/>
        </w:rPr>
        <w:t> </w:t>
      </w:r>
      <w:r>
        <w:rPr>
          <w:color w:val="231F20"/>
        </w:rPr>
        <w:t>que estas empresas han aplicado desde hace años y que con la pasada crisis económica se recrudecieron y evidenciaron. Las tres han sido víctimas de políticas erróneas que las han</w:t>
      </w:r>
      <w:r>
        <w:rPr>
          <w:color w:val="231F20"/>
          <w:spacing w:val="-13"/>
        </w:rPr>
        <w:t> </w:t>
      </w:r>
      <w:r>
        <w:rPr>
          <w:color w:val="231F20"/>
        </w:rPr>
        <w:t>llevado</w:t>
      </w:r>
      <w:r>
        <w:rPr>
          <w:color w:val="231F20"/>
          <w:spacing w:val="-13"/>
        </w:rPr>
        <w:t> </w:t>
      </w:r>
      <w:r>
        <w:rPr>
          <w:color w:val="231F20"/>
        </w:rPr>
        <w:t>a</w:t>
      </w:r>
      <w:r>
        <w:rPr>
          <w:color w:val="231F20"/>
          <w:spacing w:val="-13"/>
        </w:rPr>
        <w:t> </w:t>
      </w:r>
      <w:r>
        <w:rPr>
          <w:color w:val="231F20"/>
        </w:rPr>
        <w:t>conformar</w:t>
      </w:r>
      <w:r>
        <w:rPr>
          <w:color w:val="231F20"/>
          <w:spacing w:val="-13"/>
        </w:rPr>
        <w:t> </w:t>
      </w:r>
      <w:r>
        <w:rPr>
          <w:color w:val="231F20"/>
        </w:rPr>
        <w:t>estructuras</w:t>
      </w:r>
      <w:r>
        <w:rPr>
          <w:color w:val="231F20"/>
          <w:spacing w:val="-13"/>
        </w:rPr>
        <w:t> </w:t>
      </w:r>
      <w:r>
        <w:rPr>
          <w:color w:val="231F20"/>
        </w:rPr>
        <w:t>de</w:t>
      </w:r>
      <w:r>
        <w:rPr>
          <w:color w:val="231F20"/>
          <w:spacing w:val="-13"/>
        </w:rPr>
        <w:t> </w:t>
      </w:r>
      <w:r>
        <w:rPr>
          <w:color w:val="231F20"/>
        </w:rPr>
        <w:t>costos</w:t>
      </w:r>
      <w:r>
        <w:rPr>
          <w:color w:val="231F20"/>
          <w:spacing w:val="-13"/>
        </w:rPr>
        <w:t> </w:t>
      </w:r>
      <w:r>
        <w:rPr>
          <w:color w:val="231F20"/>
          <w:spacing w:val="-2"/>
        </w:rPr>
        <w:t>muy</w:t>
      </w:r>
      <w:r>
        <w:rPr>
          <w:color w:val="231F20"/>
          <w:spacing w:val="-13"/>
        </w:rPr>
        <w:t> </w:t>
      </w:r>
      <w:r>
        <w:rPr>
          <w:color w:val="231F20"/>
        </w:rPr>
        <w:t>elevados,</w:t>
      </w:r>
      <w:r>
        <w:rPr>
          <w:color w:val="231F20"/>
          <w:spacing w:val="-13"/>
        </w:rPr>
        <w:t> </w:t>
      </w:r>
      <w:r>
        <w:rPr>
          <w:color w:val="231F20"/>
        </w:rPr>
        <w:t>lo</w:t>
      </w:r>
      <w:r>
        <w:rPr>
          <w:color w:val="231F20"/>
          <w:spacing w:val="-13"/>
        </w:rPr>
        <w:t> </w:t>
      </w:r>
      <w:r>
        <w:rPr>
          <w:color w:val="231F20"/>
        </w:rPr>
        <w:t>que</w:t>
      </w:r>
      <w:r>
        <w:rPr>
          <w:color w:val="231F20"/>
          <w:spacing w:val="-13"/>
        </w:rPr>
        <w:t> </w:t>
      </w:r>
      <w:r>
        <w:rPr>
          <w:color w:val="231F20"/>
        </w:rPr>
        <w:t>las</w:t>
      </w:r>
      <w:r>
        <w:rPr>
          <w:color w:val="231F20"/>
          <w:spacing w:val="-13"/>
        </w:rPr>
        <w:t> </w:t>
      </w:r>
      <w:r>
        <w:rPr>
          <w:color w:val="231F20"/>
        </w:rPr>
        <w:t>ha</w:t>
      </w:r>
      <w:r>
        <w:rPr>
          <w:color w:val="231F20"/>
          <w:spacing w:val="-13"/>
        </w:rPr>
        <w:t> </w:t>
      </w:r>
      <w:r>
        <w:rPr>
          <w:color w:val="231F20"/>
        </w:rPr>
        <w:t>hecho</w:t>
      </w:r>
      <w:r>
        <w:rPr>
          <w:color w:val="231F20"/>
          <w:spacing w:val="-13"/>
        </w:rPr>
        <w:t> </w:t>
      </w:r>
      <w:r>
        <w:rPr>
          <w:color w:val="231F20"/>
        </w:rPr>
        <w:t>menos competitivas que las empresas japonesas, y les ha generado grandes problemas, que detonaron con la crisis económica</w:t>
      </w:r>
      <w:r>
        <w:rPr>
          <w:color w:val="231F20"/>
          <w:spacing w:val="-19"/>
        </w:rPr>
        <w:t> </w:t>
      </w:r>
      <w:r>
        <w:rPr>
          <w:color w:val="231F20"/>
        </w:rPr>
        <w:t>actual.</w:t>
      </w:r>
    </w:p>
    <w:p>
      <w:pPr>
        <w:pStyle w:val="BodyText"/>
        <w:spacing w:line="278" w:lineRule="auto" w:before="1"/>
        <w:ind w:left="653" w:right="101" w:firstLine="396"/>
        <w:jc w:val="both"/>
      </w:pPr>
      <w:r>
        <w:rPr>
          <w:color w:val="231F20"/>
        </w:rPr>
        <w:t>Finalmente, debe reconocerse que lo que la Gran Recesión del 2008 evidenció es que a pesar de que el sector automotriz es uno de los más dinámicos e innovadores    a nivel mundial, presenta importantes problemas de competitividad, sobre todo para las tres grandes norteamericanas, que paulatinamente han perdido presencia ante las japonesas, tanto en producción como en ventas a nivel</w:t>
      </w:r>
      <w:r>
        <w:rPr>
          <w:color w:val="231F20"/>
          <w:spacing w:val="-21"/>
        </w:rPr>
        <w:t> </w:t>
      </w:r>
      <w:r>
        <w:rPr>
          <w:color w:val="231F20"/>
        </w:rPr>
        <w:t>mundial.</w:t>
      </w:r>
    </w:p>
    <w:p>
      <w:pPr>
        <w:spacing w:after="0" w:line="278" w:lineRule="auto"/>
        <w:jc w:val="both"/>
        <w:sectPr>
          <w:pgSz w:w="9640" w:h="13040"/>
          <w:pgMar w:header="581" w:footer="654" w:top="780" w:bottom="840" w:left="480" w:right="12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right="1131"/>
        <w:jc w:val="right"/>
      </w:pPr>
      <w:r>
        <w:rPr/>
        <w:pict>
          <v:group style="position:absolute;margin-left:64.696899pt;margin-top:-62.737774pt;width:417.7pt;height:248.35pt;mso-position-horizontal-relative:page;mso-position-vertical-relative:paragraph;z-index:-611848" coordorigin="1294,-1255" coordsize="8354,4967">
            <v:line style="position:absolute" from="1304,3702" to="9638,3702" stroked="true" strokeweight="1pt" strokecolor="#58595b"/>
            <v:rect style="position:absolute;left:9194;top:-1255;width:444;height:4956" filled="true" fillcolor="#58595b" stroked="false">
              <v:fill type="solid"/>
            </v:rect>
            <w10:wrap type="none"/>
          </v:group>
        </w:pict>
      </w:r>
      <w:r>
        <w:rPr>
          <w:color w:val="231F20"/>
          <w:w w:val="110"/>
        </w:rPr>
        <w:t>Capítulo</w:t>
      </w:r>
      <w:r>
        <w:rPr>
          <w:color w:val="231F20"/>
          <w:spacing w:val="-65"/>
          <w:w w:val="110"/>
        </w:rPr>
        <w:t> </w:t>
      </w:r>
      <w:r>
        <w:rPr>
          <w:color w:val="231F20"/>
          <w:w w:val="110"/>
        </w:rPr>
        <w:t>III</w:t>
      </w:r>
    </w:p>
    <w:p>
      <w:pPr>
        <w:pStyle w:val="BodyText"/>
        <w:rPr>
          <w:rFonts w:ascii="Palatino Linotype"/>
          <w:b/>
          <w:sz w:val="41"/>
        </w:rPr>
      </w:pPr>
    </w:p>
    <w:p>
      <w:pPr>
        <w:pStyle w:val="Heading2"/>
        <w:spacing w:line="249" w:lineRule="auto"/>
        <w:ind w:left="678" w:firstLine="137"/>
        <w:jc w:val="right"/>
      </w:pPr>
      <w:r>
        <w:rPr>
          <w:color w:val="231F20"/>
          <w:spacing w:val="5"/>
          <w:w w:val="115"/>
        </w:rPr>
        <w:t>La </w:t>
      </w:r>
      <w:r>
        <w:rPr>
          <w:color w:val="231F20"/>
          <w:w w:val="115"/>
        </w:rPr>
        <w:t>industria </w:t>
      </w:r>
      <w:r>
        <w:rPr>
          <w:color w:val="231F20"/>
          <w:spacing w:val="-4"/>
          <w:w w:val="115"/>
        </w:rPr>
        <w:t>automotriz </w:t>
      </w:r>
      <w:r>
        <w:rPr>
          <w:color w:val="231F20"/>
          <w:w w:val="115"/>
        </w:rPr>
        <w:t>en </w:t>
      </w:r>
      <w:r>
        <w:rPr>
          <w:color w:val="231F20"/>
          <w:spacing w:val="-3"/>
          <w:w w:val="115"/>
        </w:rPr>
        <w:t>México.</w:t>
      </w:r>
      <w:r>
        <w:rPr>
          <w:color w:val="231F20"/>
          <w:w w:val="91"/>
        </w:rPr>
        <w:t> </w:t>
      </w:r>
      <w:r>
        <w:rPr>
          <w:color w:val="231F20"/>
          <w:spacing w:val="-4"/>
          <w:w w:val="115"/>
        </w:rPr>
        <w:t>Importancia,</w:t>
      </w:r>
      <w:r>
        <w:rPr>
          <w:color w:val="231F20"/>
          <w:spacing w:val="-62"/>
          <w:w w:val="115"/>
        </w:rPr>
        <w:t> </w:t>
      </w:r>
      <w:r>
        <w:rPr>
          <w:color w:val="231F20"/>
          <w:spacing w:val="-4"/>
          <w:w w:val="115"/>
        </w:rPr>
        <w:t>evolución,</w:t>
      </w:r>
      <w:r>
        <w:rPr>
          <w:color w:val="231F20"/>
          <w:spacing w:val="-62"/>
          <w:w w:val="115"/>
        </w:rPr>
        <w:t> </w:t>
      </w:r>
      <w:r>
        <w:rPr>
          <w:color w:val="231F20"/>
          <w:w w:val="115"/>
        </w:rPr>
        <w:t>desempeño</w:t>
      </w:r>
      <w:r>
        <w:rPr>
          <w:color w:val="231F20"/>
          <w:spacing w:val="-62"/>
          <w:w w:val="115"/>
        </w:rPr>
        <w:t> </w:t>
      </w:r>
      <w:r>
        <w:rPr>
          <w:color w:val="231F20"/>
          <w:w w:val="115"/>
        </w:rPr>
        <w:t>y</w:t>
      </w:r>
      <w:r>
        <w:rPr>
          <w:color w:val="231F20"/>
          <w:w w:val="102"/>
        </w:rPr>
        <w:t> </w:t>
      </w:r>
      <w:r>
        <w:rPr>
          <w:color w:val="231F20"/>
          <w:w w:val="115"/>
        </w:rPr>
        <w:t>tendencias en el crecimiento de un</w:t>
      </w:r>
    </w:p>
    <w:p>
      <w:pPr>
        <w:spacing w:before="2"/>
        <w:ind w:left="0" w:right="1131" w:firstLine="0"/>
        <w:jc w:val="right"/>
        <w:rPr>
          <w:sz w:val="40"/>
        </w:rPr>
      </w:pPr>
      <w:r>
        <w:rPr>
          <w:color w:val="231F20"/>
          <w:w w:val="125"/>
          <w:sz w:val="40"/>
        </w:rPr>
        <w:t>sector estratégico</w:t>
      </w:r>
    </w:p>
    <w:p>
      <w:pPr>
        <w:pStyle w:val="BodyText"/>
        <w:rPr>
          <w:sz w:val="40"/>
        </w:rPr>
      </w:pPr>
    </w:p>
    <w:p>
      <w:pPr>
        <w:pStyle w:val="BodyText"/>
        <w:rPr>
          <w:sz w:val="40"/>
        </w:rPr>
      </w:pPr>
    </w:p>
    <w:p>
      <w:pPr>
        <w:pStyle w:val="BodyText"/>
        <w:spacing w:before="5"/>
        <w:rPr>
          <w:sz w:val="35"/>
        </w:rPr>
      </w:pPr>
    </w:p>
    <w:p>
      <w:pPr>
        <w:pStyle w:val="BodyText"/>
        <w:spacing w:line="278" w:lineRule="auto"/>
        <w:ind w:left="123" w:right="1131"/>
        <w:jc w:val="both"/>
      </w:pPr>
      <w:r>
        <w:rPr>
          <w:color w:val="231F20"/>
        </w:rPr>
        <w:t>El sector automotriz en México ha llegado a convertirse en uno de los más importan- tes,</w:t>
      </w:r>
      <w:r>
        <w:rPr>
          <w:color w:val="231F20"/>
          <w:spacing w:val="-3"/>
        </w:rPr>
        <w:t> </w:t>
      </w:r>
      <w:r>
        <w:rPr>
          <w:color w:val="231F20"/>
        </w:rPr>
        <w:t>pues</w:t>
      </w:r>
      <w:r>
        <w:rPr>
          <w:color w:val="231F20"/>
          <w:spacing w:val="-3"/>
        </w:rPr>
        <w:t> </w:t>
      </w:r>
      <w:r>
        <w:rPr>
          <w:color w:val="231F20"/>
        </w:rPr>
        <w:t>su</w:t>
      </w:r>
      <w:r>
        <w:rPr>
          <w:color w:val="231F20"/>
          <w:spacing w:val="-3"/>
        </w:rPr>
        <w:t> </w:t>
      </w:r>
      <w:r>
        <w:rPr>
          <w:color w:val="231F20"/>
        </w:rPr>
        <w:t>aportación</w:t>
      </w:r>
      <w:r>
        <w:rPr>
          <w:color w:val="231F20"/>
          <w:spacing w:val="-3"/>
        </w:rPr>
        <w:t> </w:t>
      </w:r>
      <w:r>
        <w:rPr>
          <w:color w:val="231F20"/>
        </w:rPr>
        <w:t>al</w:t>
      </w:r>
      <w:r>
        <w:rPr>
          <w:color w:val="231F20"/>
          <w:spacing w:val="-3"/>
        </w:rPr>
        <w:t> </w:t>
      </w:r>
      <w:r>
        <w:rPr>
          <w:color w:val="231F20"/>
        </w:rPr>
        <w:t>producto</w:t>
      </w:r>
      <w:r>
        <w:rPr>
          <w:color w:val="231F20"/>
          <w:spacing w:val="-3"/>
        </w:rPr>
        <w:t> </w:t>
      </w:r>
      <w:r>
        <w:rPr>
          <w:color w:val="231F20"/>
        </w:rPr>
        <w:t>interno</w:t>
      </w:r>
      <w:r>
        <w:rPr>
          <w:color w:val="231F20"/>
          <w:spacing w:val="-3"/>
        </w:rPr>
        <w:t> </w:t>
      </w:r>
      <w:r>
        <w:rPr>
          <w:color w:val="231F20"/>
        </w:rPr>
        <w:t>bruto</w:t>
      </w:r>
      <w:r>
        <w:rPr>
          <w:color w:val="231F20"/>
          <w:spacing w:val="-3"/>
        </w:rPr>
        <w:t> </w:t>
      </w:r>
      <w:r>
        <w:rPr>
          <w:color w:val="231F20"/>
        </w:rPr>
        <w:t>total</w:t>
      </w:r>
      <w:r>
        <w:rPr>
          <w:color w:val="231F20"/>
          <w:spacing w:val="-3"/>
        </w:rPr>
        <w:t> </w:t>
      </w:r>
      <w:r>
        <w:rPr>
          <w:color w:val="231F20"/>
        </w:rPr>
        <w:t>y</w:t>
      </w:r>
      <w:r>
        <w:rPr>
          <w:color w:val="231F20"/>
          <w:spacing w:val="-3"/>
        </w:rPr>
        <w:t> </w:t>
      </w:r>
      <w:r>
        <w:rPr>
          <w:color w:val="231F20"/>
        </w:rPr>
        <w:t>al</w:t>
      </w:r>
      <w:r>
        <w:rPr>
          <w:color w:val="231F20"/>
          <w:spacing w:val="-3"/>
        </w:rPr>
        <w:t> </w:t>
      </w:r>
      <w:r>
        <w:rPr>
          <w:color w:val="231F20"/>
        </w:rPr>
        <w:t>manufacturero,</w:t>
      </w:r>
      <w:r>
        <w:rPr>
          <w:color w:val="231F20"/>
          <w:spacing w:val="-3"/>
        </w:rPr>
        <w:t> </w:t>
      </w:r>
      <w:r>
        <w:rPr>
          <w:color w:val="231F20"/>
        </w:rPr>
        <w:t>los</w:t>
      </w:r>
      <w:r>
        <w:rPr>
          <w:color w:val="231F20"/>
          <w:spacing w:val="-3"/>
        </w:rPr>
        <w:t> </w:t>
      </w:r>
      <w:r>
        <w:rPr>
          <w:color w:val="231F20"/>
        </w:rPr>
        <w:t>empleos</w:t>
      </w:r>
    </w:p>
    <w:p>
      <w:pPr>
        <w:pStyle w:val="BodyText"/>
        <w:spacing w:line="278" w:lineRule="auto" w:before="1"/>
        <w:ind w:left="123" w:right="1131"/>
        <w:jc w:val="both"/>
      </w:pPr>
      <w:r>
        <w:rPr>
          <w:color w:val="231F20"/>
        </w:rPr>
        <w:t>—tanto directos como indirectos— que genera y la dinámica económico-productiva que</w:t>
      </w:r>
      <w:r>
        <w:rPr>
          <w:color w:val="231F20"/>
          <w:spacing w:val="-12"/>
        </w:rPr>
        <w:t> </w:t>
      </w:r>
      <w:r>
        <w:rPr>
          <w:color w:val="231F20"/>
        </w:rPr>
        <w:t>propicia</w:t>
      </w:r>
      <w:r>
        <w:rPr>
          <w:color w:val="231F20"/>
          <w:spacing w:val="-12"/>
        </w:rPr>
        <w:t> </w:t>
      </w:r>
      <w:r>
        <w:rPr>
          <w:color w:val="231F20"/>
        </w:rPr>
        <w:t>en</w:t>
      </w:r>
      <w:r>
        <w:rPr>
          <w:color w:val="231F20"/>
          <w:spacing w:val="-12"/>
        </w:rPr>
        <w:t> </w:t>
      </w:r>
      <w:r>
        <w:rPr>
          <w:color w:val="231F20"/>
        </w:rPr>
        <w:t>los</w:t>
      </w:r>
      <w:r>
        <w:rPr>
          <w:color w:val="231F20"/>
          <w:spacing w:val="-12"/>
        </w:rPr>
        <w:t> </w:t>
      </w:r>
      <w:r>
        <w:rPr>
          <w:color w:val="231F20"/>
        </w:rPr>
        <w:t>lugares</w:t>
      </w:r>
      <w:r>
        <w:rPr>
          <w:color w:val="231F20"/>
          <w:spacing w:val="-12"/>
        </w:rPr>
        <w:t> </w:t>
      </w:r>
      <w:r>
        <w:rPr>
          <w:color w:val="231F20"/>
        </w:rPr>
        <w:t>donde</w:t>
      </w:r>
      <w:r>
        <w:rPr>
          <w:color w:val="231F20"/>
          <w:spacing w:val="-12"/>
        </w:rPr>
        <w:t> </w:t>
      </w:r>
      <w:r>
        <w:rPr>
          <w:color w:val="231F20"/>
        </w:rPr>
        <w:t>se</w:t>
      </w:r>
      <w:r>
        <w:rPr>
          <w:color w:val="231F20"/>
          <w:spacing w:val="-12"/>
        </w:rPr>
        <w:t> </w:t>
      </w:r>
      <w:r>
        <w:rPr>
          <w:color w:val="231F20"/>
        </w:rPr>
        <w:t>instala,</w:t>
      </w:r>
      <w:r>
        <w:rPr>
          <w:color w:val="231F20"/>
          <w:spacing w:val="-12"/>
        </w:rPr>
        <w:t> </w:t>
      </w:r>
      <w:r>
        <w:rPr>
          <w:color w:val="231F20"/>
        </w:rPr>
        <w:t>lo</w:t>
      </w:r>
      <w:r>
        <w:rPr>
          <w:color w:val="231F20"/>
          <w:spacing w:val="-12"/>
        </w:rPr>
        <w:t> </w:t>
      </w:r>
      <w:r>
        <w:rPr>
          <w:color w:val="231F20"/>
        </w:rPr>
        <w:t>han</w:t>
      </w:r>
      <w:r>
        <w:rPr>
          <w:color w:val="231F20"/>
          <w:spacing w:val="-12"/>
        </w:rPr>
        <w:t> </w:t>
      </w:r>
      <w:r>
        <w:rPr>
          <w:color w:val="231F20"/>
        </w:rPr>
        <w:t>llevado</w:t>
      </w:r>
      <w:r>
        <w:rPr>
          <w:color w:val="231F20"/>
          <w:spacing w:val="-12"/>
        </w:rPr>
        <w:t> </w:t>
      </w:r>
      <w:r>
        <w:rPr>
          <w:color w:val="231F20"/>
        </w:rPr>
        <w:t>a</w:t>
      </w:r>
      <w:r>
        <w:rPr>
          <w:color w:val="231F20"/>
          <w:spacing w:val="-12"/>
        </w:rPr>
        <w:t> </w:t>
      </w:r>
      <w:r>
        <w:rPr>
          <w:color w:val="231F20"/>
        </w:rPr>
        <w:t>ser</w:t>
      </w:r>
      <w:r>
        <w:rPr>
          <w:color w:val="231F20"/>
          <w:spacing w:val="-12"/>
        </w:rPr>
        <w:t> </w:t>
      </w:r>
      <w:r>
        <w:rPr>
          <w:color w:val="231F20"/>
        </w:rPr>
        <w:t>clave</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economía nacional. Se trata de una industria con un largo camino recorrido en este país. Existen muchos hechos y factores que han sido determinantes para su desempeño y su situa- ción actual. </w:t>
      </w:r>
      <w:r>
        <w:rPr>
          <w:color w:val="231F20"/>
          <w:spacing w:val="-5"/>
        </w:rPr>
        <w:t>Un </w:t>
      </w:r>
      <w:r>
        <w:rPr>
          <w:color w:val="231F20"/>
        </w:rPr>
        <w:t>primer factor son los diferentes decretos automotrices emitidos a lo largo</w:t>
      </w:r>
      <w:r>
        <w:rPr>
          <w:color w:val="231F20"/>
          <w:spacing w:val="-3"/>
        </w:rPr>
        <w:t> </w:t>
      </w:r>
      <w:r>
        <w:rPr>
          <w:color w:val="231F20"/>
        </w:rPr>
        <w:t>de</w:t>
      </w:r>
      <w:r>
        <w:rPr>
          <w:color w:val="231F20"/>
          <w:spacing w:val="-3"/>
        </w:rPr>
        <w:t> </w:t>
      </w:r>
      <w:r>
        <w:rPr>
          <w:color w:val="231F20"/>
        </w:rPr>
        <w:t>las</w:t>
      </w:r>
      <w:r>
        <w:rPr>
          <w:color w:val="231F20"/>
          <w:spacing w:val="-3"/>
        </w:rPr>
        <w:t> </w:t>
      </w:r>
      <w:r>
        <w:rPr>
          <w:color w:val="231F20"/>
        </w:rPr>
        <w:t>últimas</w:t>
      </w:r>
      <w:r>
        <w:rPr>
          <w:color w:val="231F20"/>
          <w:spacing w:val="-3"/>
        </w:rPr>
        <w:t> </w:t>
      </w:r>
      <w:r>
        <w:rPr>
          <w:color w:val="231F20"/>
        </w:rPr>
        <w:t>décadas</w:t>
      </w:r>
      <w:r>
        <w:rPr>
          <w:color w:val="231F20"/>
          <w:spacing w:val="-3"/>
        </w:rPr>
        <w:t> </w:t>
      </w:r>
      <w:r>
        <w:rPr>
          <w:color w:val="231F20"/>
        </w:rPr>
        <w:t>para</w:t>
      </w:r>
      <w:r>
        <w:rPr>
          <w:color w:val="231F20"/>
          <w:spacing w:val="-3"/>
        </w:rPr>
        <w:t> </w:t>
      </w:r>
      <w:r>
        <w:rPr>
          <w:color w:val="231F20"/>
        </w:rPr>
        <w:t>apoyar</w:t>
      </w:r>
      <w:r>
        <w:rPr>
          <w:color w:val="231F20"/>
          <w:spacing w:val="-3"/>
        </w:rPr>
        <w:t> </w:t>
      </w:r>
      <w:r>
        <w:rPr>
          <w:color w:val="231F20"/>
        </w:rPr>
        <w:t>a</w:t>
      </w:r>
      <w:r>
        <w:rPr>
          <w:color w:val="231F20"/>
          <w:spacing w:val="-3"/>
        </w:rPr>
        <w:t> </w:t>
      </w:r>
      <w:r>
        <w:rPr>
          <w:color w:val="231F20"/>
        </w:rPr>
        <w:t>esta</w:t>
      </w:r>
      <w:r>
        <w:rPr>
          <w:color w:val="231F20"/>
          <w:spacing w:val="-3"/>
        </w:rPr>
        <w:t> </w:t>
      </w:r>
      <w:r>
        <w:rPr>
          <w:color w:val="231F20"/>
        </w:rPr>
        <w:t>industria;</w:t>
      </w:r>
      <w:r>
        <w:rPr>
          <w:color w:val="231F20"/>
          <w:spacing w:val="-3"/>
        </w:rPr>
        <w:t> otro, </w:t>
      </w:r>
      <w:r>
        <w:rPr>
          <w:color w:val="231F20"/>
        </w:rPr>
        <w:t>la</w:t>
      </w:r>
      <w:r>
        <w:rPr>
          <w:color w:val="231F20"/>
          <w:spacing w:val="-3"/>
        </w:rPr>
        <w:t> </w:t>
      </w:r>
      <w:r>
        <w:rPr>
          <w:color w:val="231F20"/>
        </w:rPr>
        <w:t>puesta</w:t>
      </w:r>
      <w:r>
        <w:rPr>
          <w:color w:val="231F20"/>
          <w:spacing w:val="-3"/>
        </w:rPr>
        <w:t> </w:t>
      </w:r>
      <w:r>
        <w:rPr>
          <w:color w:val="231F20"/>
        </w:rPr>
        <w:t>en</w:t>
      </w:r>
      <w:r>
        <w:rPr>
          <w:color w:val="231F20"/>
          <w:spacing w:val="-3"/>
        </w:rPr>
        <w:t> </w:t>
      </w:r>
      <w:r>
        <w:rPr>
          <w:color w:val="231F20"/>
        </w:rPr>
        <w:t>marcha</w:t>
      </w:r>
      <w:r>
        <w:rPr>
          <w:color w:val="231F20"/>
          <w:spacing w:val="-3"/>
        </w:rPr>
        <w:t> </w:t>
      </w:r>
      <w:r>
        <w:rPr>
          <w:color w:val="231F20"/>
        </w:rPr>
        <w:t>del TLCAN, que ha permitido consolidar la etapa exportadora del sector y la relocaliza- ción</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industria</w:t>
      </w:r>
      <w:r>
        <w:rPr>
          <w:color w:val="231F20"/>
          <w:spacing w:val="-6"/>
        </w:rPr>
        <w:t> </w:t>
      </w:r>
      <w:r>
        <w:rPr>
          <w:color w:val="231F20"/>
        </w:rPr>
        <w:t>en</w:t>
      </w:r>
      <w:r>
        <w:rPr>
          <w:color w:val="231F20"/>
          <w:spacing w:val="-6"/>
        </w:rPr>
        <w:t> </w:t>
      </w:r>
      <w:r>
        <w:rPr>
          <w:color w:val="231F20"/>
        </w:rPr>
        <w:t>lugares</w:t>
      </w:r>
      <w:r>
        <w:rPr>
          <w:color w:val="231F20"/>
          <w:spacing w:val="-6"/>
        </w:rPr>
        <w:t> </w:t>
      </w:r>
      <w:r>
        <w:rPr>
          <w:color w:val="231F20"/>
        </w:rPr>
        <w:t>diferentes</w:t>
      </w:r>
      <w:r>
        <w:rPr>
          <w:color w:val="231F20"/>
          <w:spacing w:val="-6"/>
        </w:rPr>
        <w:t> </w:t>
      </w:r>
      <w:r>
        <w:rPr>
          <w:color w:val="231F20"/>
        </w:rPr>
        <w:t>al</w:t>
      </w:r>
      <w:r>
        <w:rPr>
          <w:color w:val="231F20"/>
          <w:spacing w:val="-6"/>
        </w:rPr>
        <w:t> </w:t>
      </w:r>
      <w:r>
        <w:rPr>
          <w:color w:val="231F20"/>
        </w:rPr>
        <w:t>tradicional:</w:t>
      </w:r>
      <w:r>
        <w:rPr>
          <w:color w:val="231F20"/>
          <w:spacing w:val="-6"/>
        </w:rPr>
        <w:t> </w:t>
      </w:r>
      <w:r>
        <w:rPr>
          <w:color w:val="231F20"/>
        </w:rPr>
        <w:t>el</w:t>
      </w:r>
      <w:r>
        <w:rPr>
          <w:color w:val="231F20"/>
          <w:spacing w:val="-6"/>
        </w:rPr>
        <w:t> </w:t>
      </w:r>
      <w:r>
        <w:rPr>
          <w:color w:val="231F20"/>
        </w:rPr>
        <w:t>centro</w:t>
      </w:r>
      <w:r>
        <w:rPr>
          <w:color w:val="231F20"/>
          <w:spacing w:val="-6"/>
        </w:rPr>
        <w:t> </w:t>
      </w:r>
      <w:r>
        <w:rPr>
          <w:color w:val="231F20"/>
        </w:rPr>
        <w:t>del</w:t>
      </w:r>
      <w:r>
        <w:rPr>
          <w:color w:val="231F20"/>
          <w:spacing w:val="-6"/>
        </w:rPr>
        <w:t> </w:t>
      </w:r>
      <w:r>
        <w:rPr>
          <w:color w:val="231F20"/>
        </w:rPr>
        <w:t>país.</w:t>
      </w:r>
    </w:p>
    <w:p>
      <w:pPr>
        <w:pStyle w:val="BodyText"/>
        <w:spacing w:line="278" w:lineRule="auto" w:before="1"/>
        <w:ind w:left="123" w:right="1130" w:firstLine="396"/>
        <w:jc w:val="both"/>
      </w:pPr>
      <w:r>
        <w:rPr>
          <w:color w:val="231F20"/>
        </w:rPr>
        <w:t>En este capítulo se tiene precisamente como propósito mostrar la evolución y el desempeño del sector automotriz en México. En la parte introductoria se presentan algunos datos que dan evidencia de la importancia que esta industria tiene para la economía</w:t>
      </w:r>
      <w:r>
        <w:rPr>
          <w:color w:val="231F20"/>
          <w:spacing w:val="-11"/>
        </w:rPr>
        <w:t> </w:t>
      </w:r>
      <w:r>
        <w:rPr>
          <w:color w:val="231F20"/>
        </w:rPr>
        <w:t>nacional.</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siguiente</w:t>
      </w:r>
      <w:r>
        <w:rPr>
          <w:color w:val="231F20"/>
          <w:spacing w:val="-11"/>
        </w:rPr>
        <w:t> </w:t>
      </w:r>
      <w:r>
        <w:rPr>
          <w:color w:val="231F20"/>
        </w:rPr>
        <w:t>apartado</w:t>
      </w:r>
      <w:r>
        <w:rPr>
          <w:color w:val="231F20"/>
          <w:spacing w:val="-11"/>
        </w:rPr>
        <w:t> </w:t>
      </w:r>
      <w:r>
        <w:rPr>
          <w:color w:val="231F20"/>
        </w:rPr>
        <w:t>se</w:t>
      </w:r>
      <w:r>
        <w:rPr>
          <w:color w:val="231F20"/>
          <w:spacing w:val="-11"/>
        </w:rPr>
        <w:t> </w:t>
      </w:r>
      <w:r>
        <w:rPr>
          <w:color w:val="231F20"/>
        </w:rPr>
        <w:t>da</w:t>
      </w:r>
      <w:r>
        <w:rPr>
          <w:color w:val="231F20"/>
          <w:spacing w:val="-11"/>
        </w:rPr>
        <w:t> </w:t>
      </w:r>
      <w:r>
        <w:rPr>
          <w:color w:val="231F20"/>
        </w:rPr>
        <w:t>cuenta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diferentes</w:t>
      </w:r>
      <w:r>
        <w:rPr>
          <w:color w:val="231F20"/>
          <w:spacing w:val="-11"/>
        </w:rPr>
        <w:t> </w:t>
      </w:r>
      <w:r>
        <w:rPr>
          <w:color w:val="231F20"/>
        </w:rPr>
        <w:t>decretos</w:t>
      </w:r>
      <w:r>
        <w:rPr>
          <w:color w:val="231F20"/>
          <w:spacing w:val="-11"/>
        </w:rPr>
        <w:t> </w:t>
      </w:r>
      <w:r>
        <w:rPr>
          <w:color w:val="231F20"/>
        </w:rPr>
        <w:t>que se han emitido en apoyo al sector automotriz, los cuales resultan fundamentales, dada la</w:t>
      </w:r>
      <w:r>
        <w:rPr>
          <w:color w:val="231F20"/>
          <w:spacing w:val="-4"/>
        </w:rPr>
        <w:t> </w:t>
      </w:r>
      <w:r>
        <w:rPr>
          <w:color w:val="231F20"/>
        </w:rPr>
        <w:t>relevancia</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tenido</w:t>
      </w:r>
      <w:r>
        <w:rPr>
          <w:color w:val="231F20"/>
          <w:spacing w:val="-4"/>
        </w:rPr>
        <w:t> </w:t>
      </w:r>
      <w:r>
        <w:rPr>
          <w:color w:val="231F20"/>
        </w:rPr>
        <w:t>para</w:t>
      </w:r>
      <w:r>
        <w:rPr>
          <w:color w:val="231F20"/>
          <w:spacing w:val="-4"/>
        </w:rPr>
        <w:t> </w:t>
      </w:r>
      <w:r>
        <w:rPr>
          <w:color w:val="231F20"/>
        </w:rPr>
        <w:t>su</w:t>
      </w:r>
      <w:r>
        <w:rPr>
          <w:color w:val="231F20"/>
          <w:spacing w:val="-4"/>
        </w:rPr>
        <w:t> </w:t>
      </w:r>
      <w:r>
        <w:rPr>
          <w:color w:val="231F20"/>
        </w:rPr>
        <w:t>desarrollo.</w:t>
      </w:r>
      <w:r>
        <w:rPr>
          <w:color w:val="231F20"/>
          <w:spacing w:val="-4"/>
        </w:rPr>
        <w:t> </w:t>
      </w:r>
      <w:r>
        <w:rPr>
          <w:color w:val="231F20"/>
        </w:rPr>
        <w:t>En</w:t>
      </w:r>
      <w:r>
        <w:rPr>
          <w:color w:val="231F20"/>
          <w:spacing w:val="-4"/>
        </w:rPr>
        <w:t> </w:t>
      </w:r>
      <w:r>
        <w:rPr>
          <w:color w:val="231F20"/>
        </w:rPr>
        <w:t>un</w:t>
      </w:r>
      <w:r>
        <w:rPr>
          <w:color w:val="231F20"/>
          <w:spacing w:val="-4"/>
        </w:rPr>
        <w:t> </w:t>
      </w:r>
      <w:r>
        <w:rPr>
          <w:color w:val="231F20"/>
        </w:rPr>
        <w:t>siguiente</w:t>
      </w:r>
      <w:r>
        <w:rPr>
          <w:color w:val="231F20"/>
          <w:spacing w:val="-4"/>
        </w:rPr>
        <w:t> </w:t>
      </w:r>
      <w:r>
        <w:rPr>
          <w:color w:val="231F20"/>
        </w:rPr>
        <w:t>apartado</w:t>
      </w:r>
      <w:r>
        <w:rPr>
          <w:color w:val="231F20"/>
          <w:spacing w:val="-4"/>
        </w:rPr>
        <w:t> </w:t>
      </w:r>
      <w:r>
        <w:rPr>
          <w:color w:val="231F20"/>
        </w:rPr>
        <w:t>se</w:t>
      </w:r>
      <w:r>
        <w:rPr>
          <w:color w:val="231F20"/>
          <w:spacing w:val="-4"/>
        </w:rPr>
        <w:t> </w:t>
      </w:r>
      <w:r>
        <w:rPr>
          <w:color w:val="231F20"/>
        </w:rPr>
        <w:t>muestra</w:t>
      </w:r>
      <w:r>
        <w:rPr>
          <w:color w:val="231F20"/>
          <w:spacing w:val="-4"/>
        </w:rPr>
        <w:t> </w:t>
      </w:r>
      <w:r>
        <w:rPr>
          <w:color w:val="231F20"/>
        </w:rPr>
        <w:t>el desempeño del sector durante las últimas décadas, haciendo hincapié en la importan- cia</w:t>
      </w:r>
      <w:r>
        <w:rPr>
          <w:color w:val="231F20"/>
          <w:spacing w:val="-12"/>
        </w:rPr>
        <w:t> </w:t>
      </w:r>
      <w:r>
        <w:rPr>
          <w:color w:val="231F20"/>
        </w:rPr>
        <w:t>que</w:t>
      </w:r>
      <w:r>
        <w:rPr>
          <w:color w:val="231F20"/>
          <w:spacing w:val="-12"/>
        </w:rPr>
        <w:t> </w:t>
      </w:r>
      <w:r>
        <w:rPr>
          <w:color w:val="231F20"/>
        </w:rPr>
        <w:t>adquiere</w:t>
      </w:r>
      <w:r>
        <w:rPr>
          <w:color w:val="231F20"/>
          <w:spacing w:val="-12"/>
        </w:rPr>
        <w:t> </w:t>
      </w:r>
      <w:r>
        <w:rPr>
          <w:color w:val="231F20"/>
        </w:rPr>
        <w:t>el</w:t>
      </w:r>
      <w:r>
        <w:rPr>
          <w:color w:val="231F20"/>
          <w:spacing w:val="-12"/>
        </w:rPr>
        <w:t> </w:t>
      </w:r>
      <w:r>
        <w:rPr>
          <w:color w:val="231F20"/>
        </w:rPr>
        <w:t>mercado</w:t>
      </w:r>
      <w:r>
        <w:rPr>
          <w:color w:val="231F20"/>
          <w:spacing w:val="-12"/>
        </w:rPr>
        <w:t> </w:t>
      </w:r>
      <w:r>
        <w:rPr>
          <w:color w:val="231F20"/>
        </w:rPr>
        <w:t>externo</w:t>
      </w:r>
      <w:r>
        <w:rPr>
          <w:color w:val="231F20"/>
          <w:spacing w:val="-12"/>
        </w:rPr>
        <w:t> </w:t>
      </w:r>
      <w:r>
        <w:rPr>
          <w:color w:val="231F20"/>
        </w:rPr>
        <w:t>para</w:t>
      </w:r>
      <w:r>
        <w:rPr>
          <w:color w:val="231F20"/>
          <w:spacing w:val="-12"/>
        </w:rPr>
        <w:t> </w:t>
      </w:r>
      <w:r>
        <w:rPr>
          <w:color w:val="231F20"/>
        </w:rPr>
        <w:t>esta</w:t>
      </w:r>
      <w:r>
        <w:rPr>
          <w:color w:val="231F20"/>
          <w:spacing w:val="-12"/>
        </w:rPr>
        <w:t> </w:t>
      </w:r>
      <w:r>
        <w:rPr>
          <w:color w:val="231F20"/>
        </w:rPr>
        <w:t>industria</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firma</w:t>
      </w:r>
      <w:r>
        <w:rPr>
          <w:color w:val="231F20"/>
          <w:spacing w:val="-12"/>
        </w:rPr>
        <w:t> </w:t>
      </w:r>
      <w:r>
        <w:rPr>
          <w:color w:val="231F20"/>
        </w:rPr>
        <w:t>del</w:t>
      </w:r>
      <w:r>
        <w:rPr>
          <w:color w:val="231F20"/>
          <w:spacing w:val="-12"/>
        </w:rPr>
        <w:t> </w:t>
      </w:r>
      <w:r>
        <w:rPr>
          <w:color w:val="231F20"/>
        </w:rPr>
        <w:t>TLCAN; también, se toma la producción total de vehículos, para mercado interno y de</w:t>
      </w:r>
      <w:r>
        <w:rPr>
          <w:color w:val="231F20"/>
          <w:spacing w:val="-31"/>
        </w:rPr>
        <w:t> </w:t>
      </w:r>
      <w:r>
        <w:rPr>
          <w:color w:val="231F20"/>
        </w:rPr>
        <w:t>exporta- ción,</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de</w:t>
      </w:r>
      <w:r>
        <w:rPr>
          <w:color w:val="231F20"/>
          <w:spacing w:val="-11"/>
        </w:rPr>
        <w:t> </w:t>
      </w:r>
      <w:r>
        <w:rPr>
          <w:color w:val="231F20"/>
        </w:rPr>
        <w:t>autopartes,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localización</w:t>
      </w:r>
      <w:r>
        <w:rPr>
          <w:color w:val="231F20"/>
          <w:spacing w:val="-11"/>
        </w:rPr>
        <w:t> </w:t>
      </w:r>
      <w:r>
        <w:rPr>
          <w:color w:val="231F20"/>
        </w:rPr>
        <w:t>geográfica.</w:t>
      </w:r>
      <w:r>
        <w:rPr>
          <w:color w:val="231F20"/>
          <w:spacing w:val="-11"/>
        </w:rPr>
        <w:t> </w:t>
      </w:r>
      <w:r>
        <w:rPr>
          <w:color w:val="231F20"/>
        </w:rPr>
        <w:t>Finalmente</w:t>
      </w:r>
      <w:r>
        <w:rPr>
          <w:color w:val="231F20"/>
          <w:spacing w:val="-11"/>
        </w:rPr>
        <w:t> </w:t>
      </w:r>
      <w:r>
        <w:rPr>
          <w:color w:val="231F20"/>
        </w:rPr>
        <w:t>se presentan</w:t>
      </w:r>
      <w:r>
        <w:rPr>
          <w:color w:val="231F20"/>
          <w:spacing w:val="-4"/>
        </w:rPr>
        <w:t> </w:t>
      </w:r>
      <w:r>
        <w:rPr>
          <w:color w:val="231F20"/>
        </w:rPr>
        <w:t>las</w:t>
      </w:r>
      <w:r>
        <w:rPr>
          <w:color w:val="231F20"/>
          <w:spacing w:val="-4"/>
        </w:rPr>
        <w:t> </w:t>
      </w:r>
      <w:r>
        <w:rPr>
          <w:color w:val="231F20"/>
        </w:rPr>
        <w:t>tendencias</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crecimiento</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localización</w:t>
      </w:r>
      <w:r>
        <w:rPr>
          <w:color w:val="231F20"/>
          <w:spacing w:val="-4"/>
        </w:rPr>
        <w:t> </w:t>
      </w:r>
      <w:r>
        <w:rPr>
          <w:color w:val="231F20"/>
        </w:rPr>
        <w:t>espacial</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durante los</w:t>
      </w:r>
      <w:r>
        <w:rPr>
          <w:color w:val="231F20"/>
          <w:spacing w:val="-8"/>
        </w:rPr>
        <w:t> </w:t>
      </w:r>
      <w:r>
        <w:rPr>
          <w:color w:val="231F20"/>
        </w:rPr>
        <w:t>últimos</w:t>
      </w:r>
      <w:r>
        <w:rPr>
          <w:color w:val="231F20"/>
          <w:spacing w:val="-8"/>
        </w:rPr>
        <w:t> </w:t>
      </w:r>
      <w:r>
        <w:rPr>
          <w:color w:val="231F20"/>
        </w:rPr>
        <w:t>años</w:t>
      </w:r>
      <w:r>
        <w:rPr>
          <w:color w:val="231F20"/>
          <w:spacing w:val="-8"/>
        </w:rPr>
        <w:t> </w:t>
      </w:r>
      <w:r>
        <w:rPr>
          <w:color w:val="231F20"/>
        </w:rPr>
        <w:t>y</w:t>
      </w:r>
      <w:r>
        <w:rPr>
          <w:color w:val="231F20"/>
          <w:spacing w:val="-8"/>
        </w:rPr>
        <w:t> </w:t>
      </w:r>
      <w:r>
        <w:rPr>
          <w:color w:val="231F20"/>
        </w:rPr>
        <w:t>algunas</w:t>
      </w:r>
      <w:r>
        <w:rPr>
          <w:color w:val="231F20"/>
          <w:spacing w:val="-8"/>
        </w:rPr>
        <w:t> </w:t>
      </w:r>
      <w:r>
        <w:rPr>
          <w:color w:val="231F20"/>
        </w:rPr>
        <w:t>conclusiones</w:t>
      </w:r>
      <w:r>
        <w:rPr>
          <w:color w:val="231F20"/>
          <w:spacing w:val="-8"/>
        </w:rPr>
        <w:t> </w:t>
      </w:r>
      <w:r>
        <w:rPr>
          <w:color w:val="231F20"/>
        </w:rPr>
        <w:t>del</w:t>
      </w:r>
      <w:r>
        <w:rPr>
          <w:color w:val="231F20"/>
          <w:spacing w:val="-8"/>
        </w:rPr>
        <w:t> </w:t>
      </w:r>
      <w:r>
        <w:rPr>
          <w:color w:val="231F20"/>
          <w:spacing w:val="-3"/>
        </w:rPr>
        <w:t>capítulo.</w:t>
      </w:r>
    </w:p>
    <w:p>
      <w:pPr>
        <w:spacing w:after="0" w:line="278" w:lineRule="auto"/>
        <w:jc w:val="both"/>
        <w:sectPr>
          <w:headerReference w:type="default" r:id="rId87"/>
          <w:footerReference w:type="default" r:id="rId88"/>
          <w:footerReference w:type="even" r:id="rId89"/>
          <w:pgSz w:w="9640" w:h="13040"/>
          <w:pgMar w:header="0" w:footer="654" w:top="0" w:bottom="840" w:left="1180" w:right="0"/>
          <w:pgNumType w:start="65"/>
        </w:sectPr>
      </w:pPr>
    </w:p>
    <w:p>
      <w:pPr>
        <w:pStyle w:val="BodyText"/>
        <w:rPr>
          <w:sz w:val="20"/>
        </w:rPr>
      </w:pPr>
    </w:p>
    <w:p>
      <w:pPr>
        <w:pStyle w:val="BodyText"/>
        <w:spacing w:before="4"/>
      </w:pPr>
    </w:p>
    <w:p>
      <w:pPr>
        <w:pStyle w:val="Heading3"/>
        <w:numPr>
          <w:ilvl w:val="1"/>
          <w:numId w:val="17"/>
        </w:numPr>
        <w:tabs>
          <w:tab w:pos="1068" w:val="left" w:leader="none"/>
        </w:tabs>
        <w:spacing w:line="240" w:lineRule="auto" w:before="26" w:after="0"/>
        <w:ind w:left="1067" w:right="0" w:hanging="414"/>
        <w:jc w:val="both"/>
      </w:pPr>
      <w:r>
        <w:rPr>
          <w:color w:val="231F20"/>
          <w:w w:val="95"/>
        </w:rPr>
        <w:t>Importancia</w:t>
      </w:r>
      <w:r>
        <w:rPr>
          <w:color w:val="231F20"/>
          <w:spacing w:val="-28"/>
          <w:w w:val="95"/>
        </w:rPr>
        <w:t> </w:t>
      </w:r>
      <w:r>
        <w:rPr>
          <w:color w:val="231F20"/>
          <w:w w:val="95"/>
        </w:rPr>
        <w:t>del</w:t>
      </w:r>
      <w:r>
        <w:rPr>
          <w:color w:val="231F20"/>
          <w:spacing w:val="-28"/>
          <w:w w:val="95"/>
        </w:rPr>
        <w:t> </w:t>
      </w:r>
      <w:r>
        <w:rPr>
          <w:color w:val="231F20"/>
          <w:w w:val="95"/>
        </w:rPr>
        <w:t>sector</w:t>
      </w:r>
      <w:r>
        <w:rPr>
          <w:color w:val="231F20"/>
          <w:spacing w:val="-28"/>
          <w:w w:val="95"/>
        </w:rPr>
        <w:t> </w:t>
      </w:r>
      <w:r>
        <w:rPr>
          <w:color w:val="231F20"/>
          <w:w w:val="95"/>
        </w:rPr>
        <w:t>automotriz</w:t>
      </w:r>
      <w:r>
        <w:rPr>
          <w:color w:val="231F20"/>
          <w:spacing w:val="-28"/>
          <w:w w:val="95"/>
        </w:rPr>
        <w:t> </w:t>
      </w:r>
      <w:r>
        <w:rPr>
          <w:color w:val="231F20"/>
          <w:w w:val="95"/>
        </w:rPr>
        <w:t>en</w:t>
      </w:r>
      <w:r>
        <w:rPr>
          <w:color w:val="231F20"/>
          <w:spacing w:val="-28"/>
          <w:w w:val="95"/>
        </w:rPr>
        <w:t> </w:t>
      </w:r>
      <w:r>
        <w:rPr>
          <w:color w:val="231F20"/>
          <w:w w:val="95"/>
        </w:rPr>
        <w:t>México</w:t>
      </w:r>
    </w:p>
    <w:p>
      <w:pPr>
        <w:pStyle w:val="BodyText"/>
        <w:spacing w:line="278" w:lineRule="auto" w:before="125"/>
        <w:ind w:left="653" w:right="100"/>
        <w:jc w:val="both"/>
      </w:pPr>
      <w:r>
        <w:rPr>
          <w:color w:val="231F20"/>
        </w:rPr>
        <w:t>La industria automotriz genera 3.2% del producto interno bruto total nacional y más de un millón de empleos directos e indirectos, que representan 1.6% del empleo total nacional. Para la manufactura representa un sector clave, pues aporta 17.5% al pro- ducto manufacturero y emplea 11% de la población ocupada; contribuye con 15.4% 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bruta</w:t>
      </w:r>
      <w:r>
        <w:rPr>
          <w:color w:val="231F20"/>
          <w:spacing w:val="-7"/>
        </w:rPr>
        <w:t> </w:t>
      </w:r>
      <w:r>
        <w:rPr>
          <w:color w:val="231F20"/>
        </w:rPr>
        <w:t>total,</w:t>
      </w:r>
      <w:r>
        <w:rPr>
          <w:color w:val="231F20"/>
          <w:spacing w:val="-7"/>
        </w:rPr>
        <w:t> </w:t>
      </w:r>
      <w:r>
        <w:rPr>
          <w:color w:val="231F20"/>
        </w:rPr>
        <w:t>14.4%</w:t>
      </w:r>
      <w:r>
        <w:rPr>
          <w:color w:val="231F20"/>
          <w:spacing w:val="-7"/>
        </w:rPr>
        <w:t> </w:t>
      </w:r>
      <w:r>
        <w:rPr>
          <w:color w:val="231F20"/>
        </w:rPr>
        <w:t>del</w:t>
      </w:r>
      <w:r>
        <w:rPr>
          <w:color w:val="231F20"/>
          <w:spacing w:val="-7"/>
        </w:rPr>
        <w:t> </w:t>
      </w:r>
      <w:r>
        <w:rPr>
          <w:color w:val="231F20"/>
        </w:rPr>
        <w:t>valor</w:t>
      </w:r>
      <w:r>
        <w:rPr>
          <w:color w:val="231F20"/>
          <w:spacing w:val="-7"/>
        </w:rPr>
        <w:t> </w:t>
      </w:r>
      <w:r>
        <w:rPr>
          <w:color w:val="231F20"/>
        </w:rPr>
        <w:t>agregado</w:t>
      </w:r>
      <w:r>
        <w:rPr>
          <w:color w:val="231F20"/>
          <w:spacing w:val="-7"/>
        </w:rPr>
        <w:t> </w:t>
      </w:r>
      <w:r>
        <w:rPr>
          <w:color w:val="231F20"/>
        </w:rPr>
        <w:t>censal</w:t>
      </w:r>
      <w:r>
        <w:rPr>
          <w:color w:val="231F20"/>
          <w:spacing w:val="-7"/>
        </w:rPr>
        <w:t> </w:t>
      </w:r>
      <w:r>
        <w:rPr>
          <w:color w:val="231F20"/>
        </w:rPr>
        <w:t>bruto</w:t>
      </w:r>
      <w:r>
        <w:rPr>
          <w:color w:val="231F20"/>
          <w:spacing w:val="-7"/>
        </w:rPr>
        <w:t> </w:t>
      </w:r>
      <w:r>
        <w:rPr>
          <w:color w:val="231F20"/>
        </w:rPr>
        <w:t>y</w:t>
      </w:r>
      <w:r>
        <w:rPr>
          <w:color w:val="231F20"/>
          <w:spacing w:val="-7"/>
        </w:rPr>
        <w:t> </w:t>
      </w:r>
      <w:r>
        <w:rPr>
          <w:color w:val="231F20"/>
        </w:rPr>
        <w:t>recibe</w:t>
      </w:r>
      <w:r>
        <w:rPr>
          <w:color w:val="231F20"/>
          <w:spacing w:val="-7"/>
        </w:rPr>
        <w:t> </w:t>
      </w:r>
      <w:r>
        <w:rPr>
          <w:color w:val="231F20"/>
        </w:rPr>
        <w:t>14.8%</w:t>
      </w:r>
      <w:r>
        <w:rPr>
          <w:color w:val="231F20"/>
          <w:spacing w:val="-7"/>
        </w:rPr>
        <w:t> </w:t>
      </w:r>
      <w:r>
        <w:rPr>
          <w:color w:val="231F20"/>
        </w:rPr>
        <w:t>del total de las remuneraciones pagadas en ese sector </w:t>
      </w:r>
      <w:r>
        <w:rPr>
          <w:color w:val="231F20"/>
          <w:spacing w:val="2"/>
        </w:rPr>
        <w:t>(INEGI, </w:t>
      </w:r>
      <w:r>
        <w:rPr>
          <w:color w:val="231F20"/>
        </w:rPr>
        <w:t>2009). Se ha convertido</w:t>
      </w:r>
      <w:r>
        <w:rPr>
          <w:color w:val="231F20"/>
          <w:spacing w:val="-36"/>
        </w:rPr>
        <w:t> </w:t>
      </w:r>
      <w:r>
        <w:rPr>
          <w:color w:val="231F20"/>
        </w:rPr>
        <w:t>en el</w:t>
      </w:r>
      <w:r>
        <w:rPr>
          <w:color w:val="231F20"/>
          <w:spacing w:val="-5"/>
        </w:rPr>
        <w:t> </w:t>
      </w:r>
      <w:r>
        <w:rPr>
          <w:color w:val="231F20"/>
        </w:rPr>
        <w:t>principal</w:t>
      </w:r>
      <w:r>
        <w:rPr>
          <w:color w:val="231F20"/>
          <w:spacing w:val="-5"/>
        </w:rPr>
        <w:t> </w:t>
      </w:r>
      <w:r>
        <w:rPr>
          <w:color w:val="231F20"/>
        </w:rPr>
        <w:t>generador</w:t>
      </w:r>
      <w:r>
        <w:rPr>
          <w:color w:val="231F20"/>
          <w:spacing w:val="-5"/>
        </w:rPr>
        <w:t> </w:t>
      </w:r>
      <w:r>
        <w:rPr>
          <w:color w:val="231F20"/>
        </w:rPr>
        <w:t>de</w:t>
      </w:r>
      <w:r>
        <w:rPr>
          <w:color w:val="231F20"/>
          <w:spacing w:val="-5"/>
        </w:rPr>
        <w:t> </w:t>
      </w:r>
      <w:r>
        <w:rPr>
          <w:color w:val="231F20"/>
        </w:rPr>
        <w:t>divisas</w:t>
      </w:r>
      <w:r>
        <w:rPr>
          <w:color w:val="231F20"/>
          <w:spacing w:val="-5"/>
        </w:rPr>
        <w:t> </w:t>
      </w:r>
      <w:r>
        <w:rPr>
          <w:color w:val="231F20"/>
        </w:rPr>
        <w:t>(Business,</w:t>
      </w:r>
      <w:r>
        <w:rPr>
          <w:color w:val="231F20"/>
          <w:spacing w:val="-5"/>
        </w:rPr>
        <w:t> </w:t>
      </w:r>
      <w:r>
        <w:rPr>
          <w:color w:val="231F20"/>
        </w:rPr>
        <w:t>2011)</w:t>
      </w:r>
      <w:r>
        <w:rPr>
          <w:color w:val="231F20"/>
          <w:spacing w:val="-5"/>
        </w:rPr>
        <w:t> </w:t>
      </w:r>
      <w:r>
        <w:rPr>
          <w:color w:val="231F20"/>
        </w:rPr>
        <w:t>por</w:t>
      </w:r>
      <w:r>
        <w:rPr>
          <w:color w:val="231F20"/>
          <w:spacing w:val="-5"/>
        </w:rPr>
        <w:t> </w:t>
      </w:r>
      <w:r>
        <w:rPr>
          <w:color w:val="231F20"/>
        </w:rPr>
        <w:t>arriba</w:t>
      </w:r>
      <w:r>
        <w:rPr>
          <w:color w:val="231F20"/>
          <w:spacing w:val="-5"/>
        </w:rPr>
        <w:t> </w:t>
      </w:r>
      <w:r>
        <w:rPr>
          <w:color w:val="231F20"/>
        </w:rPr>
        <w:t>de</w:t>
      </w:r>
      <w:r>
        <w:rPr>
          <w:color w:val="231F20"/>
          <w:spacing w:val="-5"/>
        </w:rPr>
        <w:t> </w:t>
      </w:r>
      <w:r>
        <w:rPr>
          <w:color w:val="231F20"/>
        </w:rPr>
        <w:t>sectores</w:t>
      </w:r>
      <w:r>
        <w:rPr>
          <w:color w:val="231F20"/>
          <w:spacing w:val="-5"/>
        </w:rPr>
        <w:t> </w:t>
      </w:r>
      <w:r>
        <w:rPr>
          <w:color w:val="231F20"/>
        </w:rPr>
        <w:t>como</w:t>
      </w:r>
      <w:r>
        <w:rPr>
          <w:color w:val="231F20"/>
          <w:spacing w:val="-5"/>
        </w:rPr>
        <w:t> </w:t>
      </w:r>
      <w:r>
        <w:rPr>
          <w:color w:val="231F20"/>
        </w:rPr>
        <w:t>el</w:t>
      </w:r>
      <w:r>
        <w:rPr>
          <w:color w:val="231F20"/>
          <w:spacing w:val="-5"/>
        </w:rPr>
        <w:t> </w:t>
      </w:r>
      <w:r>
        <w:rPr>
          <w:color w:val="231F20"/>
        </w:rPr>
        <w:t>eléc- trico-electrónico, el petrolero y el turismo. En 2013 las exportaciones automotrices representaron 25.2% del total de las exportaciones mexicanas con aproximadamente 97,</w:t>
      </w:r>
      <w:r>
        <w:rPr>
          <w:color w:val="231F20"/>
          <w:spacing w:val="-7"/>
        </w:rPr>
        <w:t> </w:t>
      </w:r>
      <w:r>
        <w:rPr>
          <w:color w:val="231F20"/>
        </w:rPr>
        <w:t>781</w:t>
      </w:r>
      <w:r>
        <w:rPr>
          <w:color w:val="231F20"/>
          <w:spacing w:val="-7"/>
        </w:rPr>
        <w:t> </w:t>
      </w:r>
      <w:r>
        <w:rPr>
          <w:color w:val="231F20"/>
        </w:rPr>
        <w:t>millones</w:t>
      </w:r>
      <w:r>
        <w:rPr>
          <w:color w:val="231F20"/>
          <w:spacing w:val="-7"/>
        </w:rPr>
        <w:t> </w:t>
      </w:r>
      <w:r>
        <w:rPr>
          <w:color w:val="231F20"/>
        </w:rPr>
        <w:t>de</w:t>
      </w:r>
      <w:r>
        <w:rPr>
          <w:color w:val="231F20"/>
          <w:spacing w:val="-7"/>
        </w:rPr>
        <w:t> </w:t>
      </w:r>
      <w:r>
        <w:rPr>
          <w:color w:val="231F20"/>
        </w:rPr>
        <w:t>dólares</w:t>
      </w:r>
      <w:r>
        <w:rPr>
          <w:color w:val="231F20"/>
          <w:spacing w:val="-7"/>
        </w:rPr>
        <w:t> </w:t>
      </w:r>
      <w:r>
        <w:rPr>
          <w:color w:val="231F20"/>
        </w:rPr>
        <w:t>(mdd)</w:t>
      </w:r>
      <w:r>
        <w:rPr>
          <w:color w:val="231F20"/>
          <w:spacing w:val="-7"/>
        </w:rPr>
        <w:t> </w:t>
      </w:r>
      <w:r>
        <w:rPr>
          <w:color w:val="231F20"/>
        </w:rPr>
        <w:t>y</w:t>
      </w:r>
      <w:r>
        <w:rPr>
          <w:color w:val="231F20"/>
          <w:spacing w:val="-7"/>
        </w:rPr>
        <w:t> </w:t>
      </w:r>
      <w:r>
        <w:rPr>
          <w:color w:val="231F20"/>
        </w:rPr>
        <w:t>envíos</w:t>
      </w:r>
      <w:r>
        <w:rPr>
          <w:color w:val="231F20"/>
          <w:spacing w:val="-7"/>
        </w:rPr>
        <w:t> </w:t>
      </w:r>
      <w:r>
        <w:rPr>
          <w:color w:val="231F20"/>
        </w:rPr>
        <w:t>a</w:t>
      </w:r>
      <w:r>
        <w:rPr>
          <w:color w:val="231F20"/>
          <w:spacing w:val="-7"/>
        </w:rPr>
        <w:t> </w:t>
      </w:r>
      <w:r>
        <w:rPr>
          <w:color w:val="231F20"/>
        </w:rPr>
        <w:t>más</w:t>
      </w:r>
      <w:r>
        <w:rPr>
          <w:color w:val="231F20"/>
          <w:spacing w:val="-7"/>
        </w:rPr>
        <w:t> </w:t>
      </w:r>
      <w:r>
        <w:rPr>
          <w:color w:val="231F20"/>
        </w:rPr>
        <w:t>de</w:t>
      </w:r>
      <w:r>
        <w:rPr>
          <w:color w:val="231F20"/>
          <w:spacing w:val="-7"/>
        </w:rPr>
        <w:t> </w:t>
      </w:r>
      <w:r>
        <w:rPr>
          <w:color w:val="231F20"/>
        </w:rPr>
        <w:t>100</w:t>
      </w:r>
      <w:r>
        <w:rPr>
          <w:color w:val="231F20"/>
          <w:spacing w:val="-7"/>
        </w:rPr>
        <w:t> </w:t>
      </w:r>
      <w:r>
        <w:rPr>
          <w:color w:val="231F20"/>
        </w:rPr>
        <w:t>países,</w:t>
      </w:r>
      <w:r>
        <w:rPr>
          <w:color w:val="231F20"/>
          <w:spacing w:val="-7"/>
        </w:rPr>
        <w:t> </w:t>
      </w:r>
      <w:r>
        <w:rPr>
          <w:color w:val="231F20"/>
        </w:rPr>
        <w:t>superando</w:t>
      </w:r>
      <w:r>
        <w:rPr>
          <w:color w:val="231F20"/>
          <w:spacing w:val="-7"/>
        </w:rPr>
        <w:t> </w:t>
      </w:r>
      <w:r>
        <w:rPr>
          <w:color w:val="231F20"/>
        </w:rPr>
        <w:t>incluso</w:t>
      </w:r>
      <w:r>
        <w:rPr>
          <w:color w:val="231F20"/>
          <w:spacing w:val="-7"/>
        </w:rPr>
        <w:t> </w:t>
      </w:r>
      <w:r>
        <w:rPr>
          <w:color w:val="231F20"/>
        </w:rPr>
        <w:t>las exportaciones petroleras y las de equipo y aparatos eléctricos y electrónicos (AMIA, 2014).</w:t>
      </w:r>
    </w:p>
    <w:p>
      <w:pPr>
        <w:pStyle w:val="BodyText"/>
        <w:spacing w:line="278" w:lineRule="auto" w:before="1"/>
        <w:ind w:left="653" w:right="100" w:firstLine="396"/>
        <w:jc w:val="both"/>
        <w:rPr>
          <w:sz w:val="12"/>
        </w:rPr>
      </w:pPr>
      <w:r>
        <w:rPr>
          <w:color w:val="231F20"/>
        </w:rPr>
        <w:t>Es</w:t>
      </w:r>
      <w:r>
        <w:rPr>
          <w:color w:val="231F20"/>
          <w:spacing w:val="-6"/>
        </w:rPr>
        <w:t> </w:t>
      </w:r>
      <w:r>
        <w:rPr>
          <w:color w:val="231F20"/>
        </w:rPr>
        <w:t>también</w:t>
      </w:r>
      <w:r>
        <w:rPr>
          <w:color w:val="231F20"/>
          <w:spacing w:val="-6"/>
        </w:rPr>
        <w:t> </w:t>
      </w:r>
      <w:r>
        <w:rPr>
          <w:color w:val="231F20"/>
        </w:rPr>
        <w:t>uno</w:t>
      </w:r>
      <w:r>
        <w:rPr>
          <w:color w:val="231F20"/>
          <w:spacing w:val="-6"/>
        </w:rPr>
        <w:t> </w:t>
      </w:r>
      <w:r>
        <w:rPr>
          <w:color w:val="231F20"/>
        </w:rPr>
        <w:t>de</w:t>
      </w:r>
      <w:r>
        <w:rPr>
          <w:color w:val="231F20"/>
          <w:spacing w:val="-6"/>
        </w:rPr>
        <w:t> </w:t>
      </w:r>
      <w:r>
        <w:rPr>
          <w:color w:val="231F20"/>
        </w:rPr>
        <w:t>los</w:t>
      </w:r>
      <w:r>
        <w:rPr>
          <w:color w:val="231F20"/>
          <w:spacing w:val="-6"/>
        </w:rPr>
        <w:t> </w:t>
      </w:r>
      <w:r>
        <w:rPr>
          <w:color w:val="231F20"/>
        </w:rPr>
        <w:t>mayores</w:t>
      </w:r>
      <w:r>
        <w:rPr>
          <w:color w:val="231F20"/>
          <w:spacing w:val="-6"/>
        </w:rPr>
        <w:t> </w:t>
      </w:r>
      <w:r>
        <w:rPr>
          <w:color w:val="231F20"/>
        </w:rPr>
        <w:t>receptores</w:t>
      </w:r>
      <w:r>
        <w:rPr>
          <w:color w:val="231F20"/>
          <w:spacing w:val="-6"/>
        </w:rPr>
        <w:t> </w:t>
      </w:r>
      <w:r>
        <w:rPr>
          <w:color w:val="231F20"/>
        </w:rPr>
        <w:t>de</w:t>
      </w:r>
      <w:r>
        <w:rPr>
          <w:color w:val="231F20"/>
          <w:spacing w:val="-6"/>
        </w:rPr>
        <w:t> </w:t>
      </w:r>
      <w:r>
        <w:rPr>
          <w:color w:val="231F20"/>
          <w:spacing w:val="-3"/>
        </w:rPr>
        <w:t>IED.</w:t>
      </w:r>
      <w:r>
        <w:rPr>
          <w:color w:val="231F20"/>
          <w:spacing w:val="-6"/>
        </w:rPr>
        <w:t> </w:t>
      </w:r>
      <w:r>
        <w:rPr>
          <w:color w:val="231F20"/>
        </w:rPr>
        <w:t>Entre</w:t>
      </w:r>
      <w:r>
        <w:rPr>
          <w:color w:val="231F20"/>
          <w:spacing w:val="-6"/>
        </w:rPr>
        <w:t> </w:t>
      </w:r>
      <w:r>
        <w:rPr>
          <w:color w:val="231F20"/>
        </w:rPr>
        <w:t>1999</w:t>
      </w:r>
      <w:r>
        <w:rPr>
          <w:color w:val="231F20"/>
          <w:spacing w:val="-6"/>
        </w:rPr>
        <w:t> </w:t>
      </w:r>
      <w:r>
        <w:rPr>
          <w:color w:val="231F20"/>
        </w:rPr>
        <w:t>y</w:t>
      </w:r>
      <w:r>
        <w:rPr>
          <w:color w:val="231F20"/>
          <w:spacing w:val="-6"/>
        </w:rPr>
        <w:t> </w:t>
      </w:r>
      <w:r>
        <w:rPr>
          <w:color w:val="231F20"/>
        </w:rPr>
        <w:t>2004,</w:t>
      </w:r>
      <w:r>
        <w:rPr>
          <w:color w:val="231F20"/>
          <w:spacing w:val="-6"/>
        </w:rPr>
        <w:t> </w:t>
      </w:r>
      <w:r>
        <w:rPr>
          <w:color w:val="231F20"/>
        </w:rPr>
        <w:t>la</w:t>
      </w:r>
      <w:r>
        <w:rPr>
          <w:color w:val="231F20"/>
          <w:spacing w:val="-6"/>
        </w:rPr>
        <w:t> </w:t>
      </w:r>
      <w:r>
        <w:rPr>
          <w:color w:val="231F20"/>
        </w:rPr>
        <w:t>IED</w:t>
      </w:r>
      <w:r>
        <w:rPr>
          <w:color w:val="231F20"/>
          <w:spacing w:val="-6"/>
        </w:rPr>
        <w:t> </w:t>
      </w:r>
      <w:r>
        <w:rPr>
          <w:color w:val="231F20"/>
        </w:rPr>
        <w:t>rea- lizada en el sector alcanzó los 9390 mdd, cantidad que representa poco más del 21% de la IED del sector manufacturero para ese mismo periodo. El 75% del total de esa inversión</w:t>
      </w:r>
      <w:r>
        <w:rPr>
          <w:color w:val="231F20"/>
          <w:spacing w:val="-16"/>
        </w:rPr>
        <w:t> </w:t>
      </w:r>
      <w:r>
        <w:rPr>
          <w:color w:val="231F20"/>
        </w:rPr>
        <w:t>provino</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Estados</w:t>
      </w:r>
      <w:r>
        <w:rPr>
          <w:color w:val="231F20"/>
          <w:spacing w:val="-16"/>
        </w:rPr>
        <w:t> </w:t>
      </w:r>
      <w:r>
        <w:rPr>
          <w:color w:val="231F20"/>
        </w:rPr>
        <w:t>Unidos</w:t>
      </w:r>
      <w:r>
        <w:rPr>
          <w:color w:val="231F20"/>
          <w:spacing w:val="-16"/>
        </w:rPr>
        <w:t> </w:t>
      </w:r>
      <w:r>
        <w:rPr>
          <w:color w:val="231F20"/>
        </w:rPr>
        <w:t>y</w:t>
      </w:r>
      <w:r>
        <w:rPr>
          <w:color w:val="231F20"/>
          <w:spacing w:val="-16"/>
        </w:rPr>
        <w:t> </w:t>
      </w:r>
      <w:r>
        <w:rPr>
          <w:color w:val="231F20"/>
        </w:rPr>
        <w:t>Japón.</w:t>
      </w:r>
      <w:r>
        <w:rPr>
          <w:color w:val="231F20"/>
          <w:spacing w:val="-16"/>
        </w:rPr>
        <w:t> </w:t>
      </w:r>
      <w:r>
        <w:rPr>
          <w:color w:val="231F20"/>
        </w:rPr>
        <w:t>Entre</w:t>
      </w:r>
      <w:r>
        <w:rPr>
          <w:color w:val="231F20"/>
          <w:spacing w:val="-16"/>
        </w:rPr>
        <w:t> </w:t>
      </w:r>
      <w:r>
        <w:rPr>
          <w:color w:val="231F20"/>
        </w:rPr>
        <w:t>2007</w:t>
      </w:r>
      <w:r>
        <w:rPr>
          <w:color w:val="231F20"/>
          <w:spacing w:val="-16"/>
        </w:rPr>
        <w:t> </w:t>
      </w:r>
      <w:r>
        <w:rPr>
          <w:color w:val="231F20"/>
        </w:rPr>
        <w:t>y</w:t>
      </w:r>
      <w:r>
        <w:rPr>
          <w:color w:val="231F20"/>
          <w:spacing w:val="-16"/>
        </w:rPr>
        <w:t> </w:t>
      </w:r>
      <w:r>
        <w:rPr>
          <w:color w:val="231F20"/>
        </w:rPr>
        <w:t>2012,</w:t>
      </w:r>
      <w:r>
        <w:rPr>
          <w:color w:val="231F20"/>
          <w:spacing w:val="-16"/>
        </w:rPr>
        <w:t> </w:t>
      </w:r>
      <w:r>
        <w:rPr>
          <w:color w:val="231F20"/>
        </w:rPr>
        <w:t>la</w:t>
      </w:r>
      <w:r>
        <w:rPr>
          <w:color w:val="231F20"/>
          <w:spacing w:val="-16"/>
        </w:rPr>
        <w:t> </w:t>
      </w:r>
      <w:r>
        <w:rPr>
          <w:color w:val="231F20"/>
        </w:rPr>
        <w:t>IED</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sector alcanzó los 10 284.6 mdd (Secretaría de Economía, 2013). En 2012 Mazda, Nissan, </w:t>
      </w:r>
      <w:r>
        <w:rPr>
          <w:color w:val="231F20"/>
          <w:spacing w:val="-3"/>
        </w:rPr>
        <w:t>Ford, </w:t>
      </w:r>
      <w:r>
        <w:rPr>
          <w:color w:val="231F20"/>
        </w:rPr>
        <w:t>Honda y </w:t>
      </w:r>
      <w:r>
        <w:rPr>
          <w:color w:val="231F20"/>
          <w:spacing w:val="-3"/>
        </w:rPr>
        <w:t>Audi </w:t>
      </w:r>
      <w:r>
        <w:rPr>
          <w:color w:val="231F20"/>
        </w:rPr>
        <w:t>pusieron en marcha inversiones por arriba de los 4, 900 mdd para la construcción y la ampliación de nuevas plantas en territorio</w:t>
      </w:r>
      <w:r>
        <w:rPr>
          <w:color w:val="231F20"/>
          <w:spacing w:val="-32"/>
        </w:rPr>
        <w:t> </w:t>
      </w:r>
      <w:r>
        <w:rPr>
          <w:color w:val="231F20"/>
        </w:rPr>
        <w:t>nacional.</w:t>
      </w:r>
      <w:r>
        <w:rPr>
          <w:color w:val="231F20"/>
          <w:position w:val="7"/>
          <w:sz w:val="12"/>
        </w:rPr>
        <w:t>1</w:t>
      </w:r>
    </w:p>
    <w:p>
      <w:pPr>
        <w:pStyle w:val="BodyText"/>
        <w:spacing w:line="278" w:lineRule="auto" w:before="2"/>
        <w:ind w:left="653" w:right="101" w:firstLine="396"/>
        <w:jc w:val="both"/>
      </w:pPr>
      <w:r>
        <w:rPr>
          <w:color w:val="231F20"/>
        </w:rPr>
        <w:t>Dentro de la cadena productiva del sector sobresalen las unidades económicas dedicadas a la fabricación de automóviles y camiones —industria terminal— y a la fabricación de partes para vehículos automotores; estas actividades contribuyen a la producción bruta total del sector con 52.7 y 45.2%, respectivamente (INEGI, 2009).</w:t>
      </w:r>
    </w:p>
    <w:p>
      <w:pPr>
        <w:pStyle w:val="BodyText"/>
        <w:spacing w:line="278" w:lineRule="auto" w:before="1"/>
        <w:ind w:left="653" w:right="101" w:firstLine="396"/>
        <w:jc w:val="both"/>
      </w:pPr>
      <w:r>
        <w:rPr>
          <w:color w:val="231F20"/>
        </w:rPr>
        <w:t>La industria terminal se refiere al ensamble de automóviles y camiones; en ella participa un reducido número de firmas, todas ellas transnacionales, que son las que dirigen la cadena. Las empresas ensambladoras de automóviles y camiones</w:t>
      </w:r>
      <w:r>
        <w:rPr>
          <w:color w:val="231F20"/>
          <w:position w:val="7"/>
          <w:sz w:val="12"/>
        </w:rPr>
        <w:t>2 </w:t>
      </w:r>
      <w:r>
        <w:rPr>
          <w:color w:val="231F20"/>
        </w:rPr>
        <w:t>presentes</w:t>
      </w:r>
    </w:p>
    <w:p>
      <w:pPr>
        <w:pStyle w:val="BodyText"/>
        <w:rPr>
          <w:sz w:val="20"/>
        </w:rPr>
      </w:pPr>
    </w:p>
    <w:p>
      <w:pPr>
        <w:pStyle w:val="BodyText"/>
        <w:spacing w:before="8"/>
        <w:rPr>
          <w:sz w:val="10"/>
        </w:rPr>
      </w:pPr>
      <w:r>
        <w:rPr/>
        <w:pict>
          <v:line style="position:absolute;mso-position-horizontal-relative:page;mso-position-vertical-relative:paragraph;z-index:7768;mso-wrap-distance-left:0;mso-wrap-distance-right:0" from="56.692902pt,8.369867pt" to="198.424902pt,8.369867pt" stroked="true" strokeweight=".5pt" strokecolor="#231f20">
            <w10:wrap type="topAndBottom"/>
          </v:line>
        </w:pict>
      </w:r>
    </w:p>
    <w:p>
      <w:pPr>
        <w:spacing w:line="288" w:lineRule="auto" w:before="43"/>
        <w:ind w:left="823" w:right="101" w:hanging="171"/>
        <w:jc w:val="both"/>
        <w:rPr>
          <w:sz w:val="16"/>
        </w:rPr>
      </w:pPr>
      <w:r>
        <w:rPr>
          <w:color w:val="231F20"/>
          <w:position w:val="5"/>
          <w:sz w:val="9"/>
        </w:rPr>
        <w:t>1</w:t>
      </w:r>
      <w:r>
        <w:rPr>
          <w:color w:val="231F20"/>
          <w:spacing w:val="6"/>
          <w:position w:val="5"/>
          <w:sz w:val="9"/>
        </w:rPr>
        <w:t> </w:t>
      </w:r>
      <w:r>
        <w:rPr>
          <w:color w:val="231F20"/>
          <w:sz w:val="16"/>
        </w:rPr>
        <w:t>Mazda</w:t>
      </w:r>
      <w:r>
        <w:rPr>
          <w:color w:val="231F20"/>
          <w:spacing w:val="-12"/>
          <w:sz w:val="16"/>
        </w:rPr>
        <w:t> </w:t>
      </w:r>
      <w:r>
        <w:rPr>
          <w:color w:val="231F20"/>
          <w:sz w:val="16"/>
        </w:rPr>
        <w:t>anunció,</w:t>
      </w:r>
      <w:r>
        <w:rPr>
          <w:color w:val="231F20"/>
          <w:spacing w:val="-12"/>
          <w:sz w:val="16"/>
        </w:rPr>
        <w:t> </w:t>
      </w:r>
      <w:r>
        <w:rPr>
          <w:color w:val="231F20"/>
          <w:sz w:val="16"/>
        </w:rPr>
        <w:t>a</w:t>
      </w:r>
      <w:r>
        <w:rPr>
          <w:color w:val="231F20"/>
          <w:spacing w:val="-12"/>
          <w:sz w:val="16"/>
        </w:rPr>
        <w:t> </w:t>
      </w:r>
      <w:r>
        <w:rPr>
          <w:color w:val="231F20"/>
          <w:sz w:val="16"/>
        </w:rPr>
        <w:t>finales</w:t>
      </w:r>
      <w:r>
        <w:rPr>
          <w:color w:val="231F20"/>
          <w:spacing w:val="-12"/>
          <w:sz w:val="16"/>
        </w:rPr>
        <w:t> </w:t>
      </w:r>
      <w:r>
        <w:rPr>
          <w:color w:val="231F20"/>
          <w:sz w:val="16"/>
        </w:rPr>
        <w:t>de</w:t>
      </w:r>
      <w:r>
        <w:rPr>
          <w:color w:val="231F20"/>
          <w:spacing w:val="-12"/>
          <w:sz w:val="16"/>
        </w:rPr>
        <w:t> </w:t>
      </w:r>
      <w:r>
        <w:rPr>
          <w:color w:val="231F20"/>
          <w:sz w:val="16"/>
        </w:rPr>
        <w:t>2011,</w:t>
      </w:r>
      <w:r>
        <w:rPr>
          <w:color w:val="231F20"/>
          <w:spacing w:val="-12"/>
          <w:sz w:val="16"/>
        </w:rPr>
        <w:t> </w:t>
      </w:r>
      <w:r>
        <w:rPr>
          <w:color w:val="231F20"/>
          <w:sz w:val="16"/>
        </w:rPr>
        <w:t>una</w:t>
      </w:r>
      <w:r>
        <w:rPr>
          <w:color w:val="231F20"/>
          <w:spacing w:val="-12"/>
          <w:sz w:val="16"/>
        </w:rPr>
        <w:t> </w:t>
      </w:r>
      <w:r>
        <w:rPr>
          <w:color w:val="231F20"/>
          <w:sz w:val="16"/>
        </w:rPr>
        <w:t>inversión</w:t>
      </w:r>
      <w:r>
        <w:rPr>
          <w:color w:val="231F20"/>
          <w:spacing w:val="-12"/>
          <w:sz w:val="16"/>
        </w:rPr>
        <w:t> </w:t>
      </w:r>
      <w:r>
        <w:rPr>
          <w:color w:val="231F20"/>
          <w:sz w:val="16"/>
        </w:rPr>
        <w:t>de</w:t>
      </w:r>
      <w:r>
        <w:rPr>
          <w:color w:val="231F20"/>
          <w:spacing w:val="-12"/>
          <w:sz w:val="16"/>
        </w:rPr>
        <w:t> </w:t>
      </w:r>
      <w:r>
        <w:rPr>
          <w:color w:val="231F20"/>
          <w:sz w:val="16"/>
        </w:rPr>
        <w:t>500</w:t>
      </w:r>
      <w:r>
        <w:rPr>
          <w:color w:val="231F20"/>
          <w:spacing w:val="-12"/>
          <w:sz w:val="16"/>
        </w:rPr>
        <w:t> </w:t>
      </w:r>
      <w:r>
        <w:rPr>
          <w:color w:val="231F20"/>
          <w:sz w:val="16"/>
        </w:rPr>
        <w:t>millones</w:t>
      </w:r>
      <w:r>
        <w:rPr>
          <w:color w:val="231F20"/>
          <w:spacing w:val="-12"/>
          <w:sz w:val="16"/>
        </w:rPr>
        <w:t> </w:t>
      </w:r>
      <w:r>
        <w:rPr>
          <w:color w:val="231F20"/>
          <w:sz w:val="16"/>
        </w:rPr>
        <w:t>de</w:t>
      </w:r>
      <w:r>
        <w:rPr>
          <w:color w:val="231F20"/>
          <w:spacing w:val="-12"/>
          <w:sz w:val="16"/>
        </w:rPr>
        <w:t> </w:t>
      </w:r>
      <w:r>
        <w:rPr>
          <w:color w:val="231F20"/>
          <w:sz w:val="16"/>
        </w:rPr>
        <w:t>dólares</w:t>
      </w:r>
      <w:r>
        <w:rPr>
          <w:color w:val="231F20"/>
          <w:spacing w:val="-12"/>
          <w:sz w:val="16"/>
        </w:rPr>
        <w:t> </w:t>
      </w:r>
      <w:r>
        <w:rPr>
          <w:color w:val="231F20"/>
          <w:sz w:val="16"/>
        </w:rPr>
        <w:t>en</w:t>
      </w:r>
      <w:r>
        <w:rPr>
          <w:color w:val="231F20"/>
          <w:spacing w:val="-12"/>
          <w:sz w:val="16"/>
        </w:rPr>
        <w:t> </w:t>
      </w:r>
      <w:r>
        <w:rPr>
          <w:color w:val="231F20"/>
          <w:sz w:val="16"/>
        </w:rPr>
        <w:t>una</w:t>
      </w:r>
      <w:r>
        <w:rPr>
          <w:color w:val="231F20"/>
          <w:spacing w:val="-12"/>
          <w:sz w:val="16"/>
        </w:rPr>
        <w:t> </w:t>
      </w:r>
      <w:r>
        <w:rPr>
          <w:color w:val="231F20"/>
          <w:sz w:val="16"/>
        </w:rPr>
        <w:t>planta</w:t>
      </w:r>
      <w:r>
        <w:rPr>
          <w:color w:val="231F20"/>
          <w:spacing w:val="-12"/>
          <w:sz w:val="16"/>
        </w:rPr>
        <w:t> </w:t>
      </w:r>
      <w:r>
        <w:rPr>
          <w:color w:val="231F20"/>
          <w:sz w:val="16"/>
        </w:rPr>
        <w:t>en</w:t>
      </w:r>
      <w:r>
        <w:rPr>
          <w:color w:val="231F20"/>
          <w:spacing w:val="-12"/>
          <w:sz w:val="16"/>
        </w:rPr>
        <w:t> </w:t>
      </w:r>
      <w:r>
        <w:rPr>
          <w:color w:val="231F20"/>
          <w:sz w:val="16"/>
        </w:rPr>
        <w:t>Salamanca,</w:t>
      </w:r>
      <w:r>
        <w:rPr>
          <w:color w:val="231F20"/>
          <w:spacing w:val="-12"/>
          <w:sz w:val="16"/>
        </w:rPr>
        <w:t> </w:t>
      </w:r>
      <w:r>
        <w:rPr>
          <w:color w:val="231F20"/>
          <w:sz w:val="16"/>
        </w:rPr>
        <w:t>Guana- juato;</w:t>
      </w:r>
      <w:r>
        <w:rPr>
          <w:color w:val="231F20"/>
          <w:spacing w:val="-9"/>
          <w:sz w:val="16"/>
        </w:rPr>
        <w:t> </w:t>
      </w:r>
      <w:r>
        <w:rPr>
          <w:color w:val="231F20"/>
          <w:sz w:val="16"/>
        </w:rPr>
        <w:t>Nissan,</w:t>
      </w:r>
      <w:r>
        <w:rPr>
          <w:color w:val="231F20"/>
          <w:spacing w:val="-9"/>
          <w:sz w:val="16"/>
        </w:rPr>
        <w:t> </w:t>
      </w:r>
      <w:r>
        <w:rPr>
          <w:color w:val="231F20"/>
          <w:sz w:val="16"/>
        </w:rPr>
        <w:t>en</w:t>
      </w:r>
      <w:r>
        <w:rPr>
          <w:color w:val="231F20"/>
          <w:spacing w:val="-9"/>
          <w:sz w:val="16"/>
        </w:rPr>
        <w:t> </w:t>
      </w:r>
      <w:r>
        <w:rPr>
          <w:color w:val="231F20"/>
          <w:sz w:val="16"/>
        </w:rPr>
        <w:t>enero</w:t>
      </w:r>
      <w:r>
        <w:rPr>
          <w:color w:val="231F20"/>
          <w:spacing w:val="-9"/>
          <w:sz w:val="16"/>
        </w:rPr>
        <w:t> </w:t>
      </w:r>
      <w:r>
        <w:rPr>
          <w:color w:val="231F20"/>
          <w:sz w:val="16"/>
        </w:rPr>
        <w:t>de</w:t>
      </w:r>
      <w:r>
        <w:rPr>
          <w:color w:val="231F20"/>
          <w:spacing w:val="-9"/>
          <w:sz w:val="16"/>
        </w:rPr>
        <w:t> </w:t>
      </w:r>
      <w:r>
        <w:rPr>
          <w:color w:val="231F20"/>
          <w:sz w:val="16"/>
        </w:rPr>
        <w:t>2012,</w:t>
      </w:r>
      <w:r>
        <w:rPr>
          <w:color w:val="231F20"/>
          <w:spacing w:val="-9"/>
          <w:sz w:val="16"/>
        </w:rPr>
        <w:t> </w:t>
      </w:r>
      <w:r>
        <w:rPr>
          <w:color w:val="231F20"/>
          <w:sz w:val="16"/>
        </w:rPr>
        <w:t>anunció</w:t>
      </w:r>
      <w:r>
        <w:rPr>
          <w:color w:val="231F20"/>
          <w:spacing w:val="-9"/>
          <w:sz w:val="16"/>
        </w:rPr>
        <w:t> </w:t>
      </w:r>
      <w:r>
        <w:rPr>
          <w:color w:val="231F20"/>
          <w:sz w:val="16"/>
        </w:rPr>
        <w:t>inversión</w:t>
      </w:r>
      <w:r>
        <w:rPr>
          <w:color w:val="231F20"/>
          <w:spacing w:val="-9"/>
          <w:sz w:val="16"/>
        </w:rPr>
        <w:t> </w:t>
      </w:r>
      <w:r>
        <w:rPr>
          <w:color w:val="231F20"/>
          <w:sz w:val="16"/>
        </w:rPr>
        <w:t>para</w:t>
      </w:r>
      <w:r>
        <w:rPr>
          <w:color w:val="231F20"/>
          <w:spacing w:val="-9"/>
          <w:sz w:val="16"/>
        </w:rPr>
        <w:t> </w:t>
      </w:r>
      <w:r>
        <w:rPr>
          <w:color w:val="231F20"/>
          <w:sz w:val="16"/>
        </w:rPr>
        <w:t>una</w:t>
      </w:r>
      <w:r>
        <w:rPr>
          <w:color w:val="231F20"/>
          <w:spacing w:val="-9"/>
          <w:sz w:val="16"/>
        </w:rPr>
        <w:t> </w:t>
      </w:r>
      <w:r>
        <w:rPr>
          <w:color w:val="231F20"/>
          <w:sz w:val="16"/>
        </w:rPr>
        <w:t>nueva</w:t>
      </w:r>
      <w:r>
        <w:rPr>
          <w:color w:val="231F20"/>
          <w:spacing w:val="-9"/>
          <w:sz w:val="16"/>
        </w:rPr>
        <w:t> </w:t>
      </w:r>
      <w:r>
        <w:rPr>
          <w:color w:val="231F20"/>
          <w:sz w:val="16"/>
        </w:rPr>
        <w:t>planta</w:t>
      </w:r>
      <w:r>
        <w:rPr>
          <w:color w:val="231F20"/>
          <w:spacing w:val="-9"/>
          <w:sz w:val="16"/>
        </w:rPr>
        <w:t> </w:t>
      </w:r>
      <w:r>
        <w:rPr>
          <w:color w:val="231F20"/>
          <w:sz w:val="16"/>
        </w:rPr>
        <w:t>en</w:t>
      </w:r>
      <w:r>
        <w:rPr>
          <w:color w:val="231F20"/>
          <w:spacing w:val="-9"/>
          <w:sz w:val="16"/>
        </w:rPr>
        <w:t> </w:t>
      </w:r>
      <w:r>
        <w:rPr>
          <w:color w:val="231F20"/>
          <w:sz w:val="16"/>
        </w:rPr>
        <w:t>Aguascalientes</w:t>
      </w:r>
      <w:r>
        <w:rPr>
          <w:color w:val="231F20"/>
          <w:spacing w:val="-9"/>
          <w:sz w:val="16"/>
        </w:rPr>
        <w:t> </w:t>
      </w:r>
      <w:r>
        <w:rPr>
          <w:color w:val="231F20"/>
          <w:sz w:val="16"/>
        </w:rPr>
        <w:t>por</w:t>
      </w:r>
      <w:r>
        <w:rPr>
          <w:color w:val="231F20"/>
          <w:spacing w:val="-9"/>
          <w:sz w:val="16"/>
        </w:rPr>
        <w:t> </w:t>
      </w:r>
      <w:r>
        <w:rPr>
          <w:color w:val="231F20"/>
          <w:sz w:val="16"/>
        </w:rPr>
        <w:t>2,</w:t>
      </w:r>
      <w:r>
        <w:rPr>
          <w:color w:val="231F20"/>
          <w:spacing w:val="-24"/>
          <w:sz w:val="16"/>
        </w:rPr>
        <w:t> </w:t>
      </w:r>
      <w:r>
        <w:rPr>
          <w:color w:val="231F20"/>
          <w:sz w:val="16"/>
        </w:rPr>
        <w:t>000</w:t>
      </w:r>
      <w:r>
        <w:rPr>
          <w:color w:val="231F20"/>
          <w:spacing w:val="-9"/>
          <w:sz w:val="16"/>
        </w:rPr>
        <w:t> </w:t>
      </w:r>
      <w:r>
        <w:rPr>
          <w:color w:val="231F20"/>
          <w:sz w:val="16"/>
        </w:rPr>
        <w:t>millones de</w:t>
      </w:r>
      <w:r>
        <w:rPr>
          <w:color w:val="231F20"/>
          <w:spacing w:val="-8"/>
          <w:sz w:val="16"/>
        </w:rPr>
        <w:t> </w:t>
      </w:r>
      <w:r>
        <w:rPr>
          <w:color w:val="231F20"/>
          <w:sz w:val="16"/>
        </w:rPr>
        <w:t>dólares</w:t>
      </w:r>
      <w:r>
        <w:rPr>
          <w:color w:val="231F20"/>
          <w:spacing w:val="-8"/>
          <w:sz w:val="16"/>
        </w:rPr>
        <w:t> </w:t>
      </w:r>
      <w:r>
        <w:rPr>
          <w:color w:val="231F20"/>
          <w:sz w:val="16"/>
        </w:rPr>
        <w:t>y</w:t>
      </w:r>
      <w:r>
        <w:rPr>
          <w:color w:val="231F20"/>
          <w:spacing w:val="-8"/>
          <w:sz w:val="16"/>
        </w:rPr>
        <w:t> </w:t>
      </w:r>
      <w:r>
        <w:rPr>
          <w:color w:val="231F20"/>
          <w:spacing w:val="-2"/>
          <w:sz w:val="16"/>
        </w:rPr>
        <w:t>Ford,</w:t>
      </w:r>
      <w:r>
        <w:rPr>
          <w:color w:val="231F20"/>
          <w:spacing w:val="-8"/>
          <w:sz w:val="16"/>
        </w:rPr>
        <w:t> </w:t>
      </w:r>
      <w:r>
        <w:rPr>
          <w:color w:val="231F20"/>
          <w:sz w:val="16"/>
        </w:rPr>
        <w:t>en</w:t>
      </w:r>
      <w:r>
        <w:rPr>
          <w:color w:val="231F20"/>
          <w:spacing w:val="-8"/>
          <w:sz w:val="16"/>
        </w:rPr>
        <w:t> </w:t>
      </w:r>
      <w:r>
        <w:rPr>
          <w:color w:val="231F20"/>
          <w:sz w:val="16"/>
        </w:rPr>
        <w:t>marzo</w:t>
      </w:r>
      <w:r>
        <w:rPr>
          <w:color w:val="231F20"/>
          <w:spacing w:val="-8"/>
          <w:sz w:val="16"/>
        </w:rPr>
        <w:t> </w:t>
      </w:r>
      <w:r>
        <w:rPr>
          <w:color w:val="231F20"/>
          <w:sz w:val="16"/>
        </w:rPr>
        <w:t>del</w:t>
      </w:r>
      <w:r>
        <w:rPr>
          <w:color w:val="231F20"/>
          <w:spacing w:val="-8"/>
          <w:sz w:val="16"/>
        </w:rPr>
        <w:t> </w:t>
      </w:r>
      <w:r>
        <w:rPr>
          <w:color w:val="231F20"/>
          <w:sz w:val="16"/>
        </w:rPr>
        <w:t>mismo</w:t>
      </w:r>
      <w:r>
        <w:rPr>
          <w:color w:val="231F20"/>
          <w:spacing w:val="-8"/>
          <w:sz w:val="16"/>
        </w:rPr>
        <w:t> </w:t>
      </w:r>
      <w:r>
        <w:rPr>
          <w:color w:val="231F20"/>
          <w:sz w:val="16"/>
        </w:rPr>
        <w:t>año,</w:t>
      </w:r>
      <w:r>
        <w:rPr>
          <w:color w:val="231F20"/>
          <w:spacing w:val="-8"/>
          <w:sz w:val="16"/>
        </w:rPr>
        <w:t> </w:t>
      </w:r>
      <w:r>
        <w:rPr>
          <w:color w:val="231F20"/>
          <w:sz w:val="16"/>
        </w:rPr>
        <w:t>por</w:t>
      </w:r>
      <w:r>
        <w:rPr>
          <w:color w:val="231F20"/>
          <w:spacing w:val="-8"/>
          <w:sz w:val="16"/>
        </w:rPr>
        <w:t> </w:t>
      </w:r>
      <w:r>
        <w:rPr>
          <w:color w:val="231F20"/>
          <w:sz w:val="16"/>
        </w:rPr>
        <w:t>300</w:t>
      </w:r>
      <w:r>
        <w:rPr>
          <w:color w:val="231F20"/>
          <w:spacing w:val="-8"/>
          <w:sz w:val="16"/>
        </w:rPr>
        <w:t> </w:t>
      </w:r>
      <w:r>
        <w:rPr>
          <w:color w:val="231F20"/>
          <w:sz w:val="16"/>
        </w:rPr>
        <w:t>millones</w:t>
      </w:r>
      <w:r>
        <w:rPr>
          <w:color w:val="231F20"/>
          <w:spacing w:val="-8"/>
          <w:sz w:val="16"/>
        </w:rPr>
        <w:t> </w:t>
      </w:r>
      <w:r>
        <w:rPr>
          <w:color w:val="231F20"/>
          <w:sz w:val="16"/>
        </w:rPr>
        <w:t>de</w:t>
      </w:r>
      <w:r>
        <w:rPr>
          <w:color w:val="231F20"/>
          <w:spacing w:val="-8"/>
          <w:sz w:val="16"/>
        </w:rPr>
        <w:t> </w:t>
      </w:r>
      <w:r>
        <w:rPr>
          <w:color w:val="231F20"/>
          <w:sz w:val="16"/>
        </w:rPr>
        <w:t>dólares</w:t>
      </w:r>
      <w:r>
        <w:rPr>
          <w:color w:val="231F20"/>
          <w:spacing w:val="-8"/>
          <w:sz w:val="16"/>
        </w:rPr>
        <w:t> </w:t>
      </w:r>
      <w:r>
        <w:rPr>
          <w:color w:val="231F20"/>
          <w:sz w:val="16"/>
        </w:rPr>
        <w:t>para</w:t>
      </w:r>
      <w:r>
        <w:rPr>
          <w:color w:val="231F20"/>
          <w:spacing w:val="-8"/>
          <w:sz w:val="16"/>
        </w:rPr>
        <w:t> </w:t>
      </w:r>
      <w:r>
        <w:rPr>
          <w:color w:val="231F20"/>
          <w:sz w:val="16"/>
        </w:rPr>
        <w:t>su</w:t>
      </w:r>
      <w:r>
        <w:rPr>
          <w:color w:val="231F20"/>
          <w:spacing w:val="-8"/>
          <w:sz w:val="16"/>
        </w:rPr>
        <w:t> </w:t>
      </w:r>
      <w:r>
        <w:rPr>
          <w:color w:val="231F20"/>
          <w:sz w:val="16"/>
        </w:rPr>
        <w:t>planta</w:t>
      </w:r>
      <w:r>
        <w:rPr>
          <w:color w:val="231F20"/>
          <w:spacing w:val="-8"/>
          <w:sz w:val="16"/>
        </w:rPr>
        <w:t> </w:t>
      </w:r>
      <w:r>
        <w:rPr>
          <w:color w:val="231F20"/>
          <w:sz w:val="16"/>
        </w:rPr>
        <w:t>de</w:t>
      </w:r>
      <w:r>
        <w:rPr>
          <w:color w:val="231F20"/>
          <w:spacing w:val="-8"/>
          <w:sz w:val="16"/>
        </w:rPr>
        <w:t> </w:t>
      </w:r>
      <w:r>
        <w:rPr>
          <w:color w:val="231F20"/>
          <w:sz w:val="16"/>
        </w:rPr>
        <w:t>estampados</w:t>
      </w:r>
      <w:r>
        <w:rPr>
          <w:color w:val="231F20"/>
          <w:spacing w:val="-8"/>
          <w:sz w:val="16"/>
        </w:rPr>
        <w:t> </w:t>
      </w:r>
      <w:r>
        <w:rPr>
          <w:color w:val="231F20"/>
          <w:sz w:val="16"/>
        </w:rPr>
        <w:t>y</w:t>
      </w:r>
      <w:r>
        <w:rPr>
          <w:color w:val="231F20"/>
          <w:spacing w:val="-8"/>
          <w:sz w:val="16"/>
        </w:rPr>
        <w:t> </w:t>
      </w:r>
      <w:r>
        <w:rPr>
          <w:color w:val="231F20"/>
          <w:sz w:val="16"/>
        </w:rPr>
        <w:t>ensam- ble</w:t>
      </w:r>
      <w:r>
        <w:rPr>
          <w:color w:val="231F20"/>
          <w:spacing w:val="-4"/>
          <w:sz w:val="16"/>
        </w:rPr>
        <w:t> </w:t>
      </w:r>
      <w:r>
        <w:rPr>
          <w:color w:val="231F20"/>
          <w:sz w:val="16"/>
        </w:rPr>
        <w:t>de</w:t>
      </w:r>
      <w:r>
        <w:rPr>
          <w:color w:val="231F20"/>
          <w:spacing w:val="-4"/>
          <w:sz w:val="16"/>
        </w:rPr>
        <w:t> </w:t>
      </w:r>
      <w:r>
        <w:rPr>
          <w:color w:val="231F20"/>
          <w:sz w:val="16"/>
        </w:rPr>
        <w:t>Hermosillo.</w:t>
      </w:r>
      <w:r>
        <w:rPr>
          <w:color w:val="231F20"/>
          <w:spacing w:val="-4"/>
          <w:sz w:val="16"/>
        </w:rPr>
        <w:t> </w:t>
      </w:r>
      <w:r>
        <w:rPr>
          <w:color w:val="231F20"/>
          <w:sz w:val="16"/>
        </w:rPr>
        <w:t>Honda,</w:t>
      </w:r>
      <w:r>
        <w:rPr>
          <w:color w:val="231F20"/>
          <w:spacing w:val="-4"/>
          <w:sz w:val="16"/>
        </w:rPr>
        <w:t> </w:t>
      </w:r>
      <w:r>
        <w:rPr>
          <w:color w:val="231F20"/>
          <w:sz w:val="16"/>
        </w:rPr>
        <w:t>por</w:t>
      </w:r>
      <w:r>
        <w:rPr>
          <w:color w:val="231F20"/>
          <w:spacing w:val="-4"/>
          <w:sz w:val="16"/>
        </w:rPr>
        <w:t> </w:t>
      </w:r>
      <w:r>
        <w:rPr>
          <w:color w:val="231F20"/>
          <w:sz w:val="16"/>
        </w:rPr>
        <w:t>su</w:t>
      </w:r>
      <w:r>
        <w:rPr>
          <w:color w:val="231F20"/>
          <w:spacing w:val="-4"/>
          <w:sz w:val="16"/>
        </w:rPr>
        <w:t> </w:t>
      </w:r>
      <w:r>
        <w:rPr>
          <w:color w:val="231F20"/>
          <w:sz w:val="16"/>
        </w:rPr>
        <w:t>parte,</w:t>
      </w:r>
      <w:r>
        <w:rPr>
          <w:color w:val="231F20"/>
          <w:spacing w:val="-4"/>
          <w:sz w:val="16"/>
        </w:rPr>
        <w:t> </w:t>
      </w:r>
      <w:r>
        <w:rPr>
          <w:color w:val="231F20"/>
          <w:sz w:val="16"/>
        </w:rPr>
        <w:t>anunció</w:t>
      </w:r>
      <w:r>
        <w:rPr>
          <w:color w:val="231F20"/>
          <w:spacing w:val="-4"/>
          <w:sz w:val="16"/>
        </w:rPr>
        <w:t> </w:t>
      </w:r>
      <w:r>
        <w:rPr>
          <w:color w:val="231F20"/>
          <w:sz w:val="16"/>
        </w:rPr>
        <w:t>una</w:t>
      </w:r>
      <w:r>
        <w:rPr>
          <w:color w:val="231F20"/>
          <w:spacing w:val="-4"/>
          <w:sz w:val="16"/>
        </w:rPr>
        <w:t> </w:t>
      </w:r>
      <w:r>
        <w:rPr>
          <w:color w:val="231F20"/>
          <w:sz w:val="16"/>
        </w:rPr>
        <w:t>inversión</w:t>
      </w:r>
      <w:r>
        <w:rPr>
          <w:color w:val="231F20"/>
          <w:spacing w:val="-4"/>
          <w:sz w:val="16"/>
        </w:rPr>
        <w:t> </w:t>
      </w:r>
      <w:r>
        <w:rPr>
          <w:color w:val="231F20"/>
          <w:sz w:val="16"/>
        </w:rPr>
        <w:t>de</w:t>
      </w:r>
      <w:r>
        <w:rPr>
          <w:color w:val="231F20"/>
          <w:spacing w:val="-4"/>
          <w:sz w:val="16"/>
        </w:rPr>
        <w:t> </w:t>
      </w:r>
      <w:r>
        <w:rPr>
          <w:color w:val="231F20"/>
          <w:sz w:val="16"/>
        </w:rPr>
        <w:t>800</w:t>
      </w:r>
      <w:r>
        <w:rPr>
          <w:color w:val="231F20"/>
          <w:spacing w:val="-4"/>
          <w:sz w:val="16"/>
        </w:rPr>
        <w:t> </w:t>
      </w:r>
      <w:r>
        <w:rPr>
          <w:color w:val="231F20"/>
          <w:sz w:val="16"/>
        </w:rPr>
        <w:t>millones</w:t>
      </w:r>
      <w:r>
        <w:rPr>
          <w:color w:val="231F20"/>
          <w:spacing w:val="-4"/>
          <w:sz w:val="16"/>
        </w:rPr>
        <w:t> </w:t>
      </w:r>
      <w:r>
        <w:rPr>
          <w:color w:val="231F20"/>
          <w:sz w:val="16"/>
        </w:rPr>
        <w:t>de</w:t>
      </w:r>
      <w:r>
        <w:rPr>
          <w:color w:val="231F20"/>
          <w:spacing w:val="-4"/>
          <w:sz w:val="16"/>
        </w:rPr>
        <w:t> </w:t>
      </w:r>
      <w:r>
        <w:rPr>
          <w:color w:val="231F20"/>
          <w:sz w:val="16"/>
        </w:rPr>
        <w:t>dólares</w:t>
      </w:r>
      <w:r>
        <w:rPr>
          <w:color w:val="231F20"/>
          <w:spacing w:val="-4"/>
          <w:sz w:val="16"/>
        </w:rPr>
        <w:t> </w:t>
      </w:r>
      <w:r>
        <w:rPr>
          <w:color w:val="231F20"/>
          <w:sz w:val="16"/>
        </w:rPr>
        <w:t>para</w:t>
      </w:r>
      <w:r>
        <w:rPr>
          <w:color w:val="231F20"/>
          <w:spacing w:val="-4"/>
          <w:sz w:val="16"/>
        </w:rPr>
        <w:t> </w:t>
      </w:r>
      <w:r>
        <w:rPr>
          <w:color w:val="231F20"/>
          <w:sz w:val="16"/>
        </w:rPr>
        <w:t>la</w:t>
      </w:r>
      <w:r>
        <w:rPr>
          <w:color w:val="231F20"/>
          <w:spacing w:val="-4"/>
          <w:sz w:val="16"/>
        </w:rPr>
        <w:t> </w:t>
      </w:r>
      <w:r>
        <w:rPr>
          <w:color w:val="231F20"/>
          <w:sz w:val="16"/>
        </w:rPr>
        <w:t>construcción de una planta en Celaya, Guanajuato, donde se ensamblará el Fit, y además se construirá una planta de fundi- ción, maquinado y ensamble de motores para ese modelo. Audi también anunció recientemente una inversión por</w:t>
      </w:r>
      <w:r>
        <w:rPr>
          <w:color w:val="231F20"/>
          <w:spacing w:val="-6"/>
          <w:sz w:val="16"/>
        </w:rPr>
        <w:t> </w:t>
      </w:r>
      <w:r>
        <w:rPr>
          <w:color w:val="231F20"/>
          <w:sz w:val="16"/>
        </w:rPr>
        <w:t>1,</w:t>
      </w:r>
      <w:r>
        <w:rPr>
          <w:color w:val="231F20"/>
          <w:spacing w:val="-22"/>
          <w:sz w:val="16"/>
        </w:rPr>
        <w:t> </w:t>
      </w:r>
      <w:r>
        <w:rPr>
          <w:color w:val="231F20"/>
          <w:sz w:val="16"/>
        </w:rPr>
        <w:t>300</w:t>
      </w:r>
      <w:r>
        <w:rPr>
          <w:color w:val="231F20"/>
          <w:spacing w:val="-6"/>
          <w:sz w:val="16"/>
        </w:rPr>
        <w:t> </w:t>
      </w:r>
      <w:r>
        <w:rPr>
          <w:color w:val="231F20"/>
          <w:sz w:val="16"/>
        </w:rPr>
        <w:t>millones</w:t>
      </w:r>
      <w:r>
        <w:rPr>
          <w:color w:val="231F20"/>
          <w:spacing w:val="-6"/>
          <w:sz w:val="16"/>
        </w:rPr>
        <w:t> </w:t>
      </w:r>
      <w:r>
        <w:rPr>
          <w:color w:val="231F20"/>
          <w:sz w:val="16"/>
        </w:rPr>
        <w:t>de</w:t>
      </w:r>
      <w:r>
        <w:rPr>
          <w:color w:val="231F20"/>
          <w:spacing w:val="-6"/>
          <w:sz w:val="16"/>
        </w:rPr>
        <w:t> </w:t>
      </w:r>
      <w:r>
        <w:rPr>
          <w:color w:val="231F20"/>
          <w:sz w:val="16"/>
        </w:rPr>
        <w:t>dólares</w:t>
      </w:r>
      <w:r>
        <w:rPr>
          <w:color w:val="231F20"/>
          <w:spacing w:val="-6"/>
          <w:sz w:val="16"/>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construcción</w:t>
      </w:r>
      <w:r>
        <w:rPr>
          <w:color w:val="231F20"/>
          <w:spacing w:val="-6"/>
          <w:sz w:val="16"/>
        </w:rPr>
        <w:t> </w:t>
      </w:r>
      <w:r>
        <w:rPr>
          <w:color w:val="231F20"/>
          <w:sz w:val="16"/>
        </w:rPr>
        <w:t>de</w:t>
      </w:r>
      <w:r>
        <w:rPr>
          <w:color w:val="231F20"/>
          <w:spacing w:val="-6"/>
          <w:sz w:val="16"/>
        </w:rPr>
        <w:t> </w:t>
      </w:r>
      <w:r>
        <w:rPr>
          <w:color w:val="231F20"/>
          <w:sz w:val="16"/>
        </w:rPr>
        <w:t>una</w:t>
      </w:r>
      <w:r>
        <w:rPr>
          <w:color w:val="231F20"/>
          <w:spacing w:val="-6"/>
          <w:sz w:val="16"/>
        </w:rPr>
        <w:t> </w:t>
      </w:r>
      <w:r>
        <w:rPr>
          <w:color w:val="231F20"/>
          <w:sz w:val="16"/>
        </w:rPr>
        <w:t>planta</w:t>
      </w:r>
      <w:r>
        <w:rPr>
          <w:color w:val="231F20"/>
          <w:spacing w:val="-6"/>
          <w:sz w:val="16"/>
        </w:rPr>
        <w:t> </w:t>
      </w:r>
      <w:r>
        <w:rPr>
          <w:color w:val="231F20"/>
          <w:sz w:val="16"/>
        </w:rPr>
        <w:t>en</w:t>
      </w:r>
      <w:r>
        <w:rPr>
          <w:color w:val="231F20"/>
          <w:spacing w:val="-6"/>
          <w:sz w:val="16"/>
        </w:rPr>
        <w:t> </w:t>
      </w:r>
      <w:r>
        <w:rPr>
          <w:color w:val="231F20"/>
          <w:sz w:val="16"/>
        </w:rPr>
        <w:t>Puebla,</w:t>
      </w:r>
      <w:r>
        <w:rPr>
          <w:color w:val="231F20"/>
          <w:spacing w:val="-6"/>
          <w:sz w:val="16"/>
        </w:rPr>
        <w:t> </w:t>
      </w:r>
      <w:r>
        <w:rPr>
          <w:color w:val="231F20"/>
          <w:sz w:val="16"/>
        </w:rPr>
        <w:t>para</w:t>
      </w:r>
      <w:r>
        <w:rPr>
          <w:color w:val="231F20"/>
          <w:spacing w:val="-6"/>
          <w:sz w:val="16"/>
        </w:rPr>
        <w:t> </w:t>
      </w:r>
      <w:r>
        <w:rPr>
          <w:color w:val="231F20"/>
          <w:sz w:val="16"/>
        </w:rPr>
        <w:t>la</w:t>
      </w:r>
      <w:r>
        <w:rPr>
          <w:color w:val="231F20"/>
          <w:spacing w:val="-6"/>
          <w:sz w:val="16"/>
        </w:rPr>
        <w:t> </w:t>
      </w:r>
      <w:r>
        <w:rPr>
          <w:color w:val="231F20"/>
          <w:sz w:val="16"/>
        </w:rPr>
        <w:t>manufactura</w:t>
      </w:r>
      <w:r>
        <w:rPr>
          <w:color w:val="231F20"/>
          <w:spacing w:val="-6"/>
          <w:sz w:val="16"/>
        </w:rPr>
        <w:t> </w:t>
      </w:r>
      <w:r>
        <w:rPr>
          <w:color w:val="231F20"/>
          <w:sz w:val="16"/>
        </w:rPr>
        <w:t>de</w:t>
      </w:r>
      <w:r>
        <w:rPr>
          <w:color w:val="231F20"/>
          <w:spacing w:val="-6"/>
          <w:sz w:val="16"/>
        </w:rPr>
        <w:t> </w:t>
      </w:r>
      <w:r>
        <w:rPr>
          <w:color w:val="231F20"/>
          <w:sz w:val="16"/>
        </w:rPr>
        <w:t>automóviles, que se pondrá en marcha en</w:t>
      </w:r>
      <w:r>
        <w:rPr>
          <w:color w:val="231F20"/>
          <w:spacing w:val="-10"/>
          <w:sz w:val="16"/>
        </w:rPr>
        <w:t> </w:t>
      </w:r>
      <w:r>
        <w:rPr>
          <w:color w:val="231F20"/>
          <w:sz w:val="16"/>
        </w:rPr>
        <w:t>2016.</w:t>
      </w:r>
    </w:p>
    <w:p>
      <w:pPr>
        <w:spacing w:line="288" w:lineRule="auto" w:before="120"/>
        <w:ind w:left="823" w:right="101" w:hanging="171"/>
        <w:jc w:val="both"/>
        <w:rPr>
          <w:sz w:val="16"/>
        </w:rPr>
      </w:pPr>
      <w:r>
        <w:rPr>
          <w:color w:val="231F20"/>
          <w:position w:val="5"/>
          <w:sz w:val="9"/>
        </w:rPr>
        <w:t>2 </w:t>
      </w:r>
      <w:r>
        <w:rPr>
          <w:color w:val="231F20"/>
          <w:sz w:val="16"/>
        </w:rPr>
        <w:t>Estas transnacionales también producen motores: Daimler, Chrysler, Ford, General Motors, Nissan, Renault, Volkswagen, Perkins y Cummins.</w:t>
      </w:r>
    </w:p>
    <w:p>
      <w:pPr>
        <w:spacing w:after="0" w:line="288" w:lineRule="auto"/>
        <w:jc w:val="both"/>
        <w:rPr>
          <w:sz w:val="16"/>
        </w:rPr>
        <w:sectPr>
          <w:headerReference w:type="even" r:id="rId90"/>
          <w:headerReference w:type="default" r:id="rId91"/>
          <w:pgSz w:w="9640" w:h="13040"/>
          <w:pgMar w:header="581" w:footer="654" w:top="780" w:bottom="840" w:left="480" w:right="1200"/>
        </w:sectPr>
      </w:pPr>
    </w:p>
    <w:p>
      <w:pPr>
        <w:pStyle w:val="BodyText"/>
        <w:rPr>
          <w:sz w:val="20"/>
        </w:rPr>
      </w:pPr>
    </w:p>
    <w:p>
      <w:pPr>
        <w:pStyle w:val="BodyText"/>
        <w:spacing w:before="9"/>
        <w:rPr>
          <w:sz w:val="15"/>
        </w:rPr>
      </w:pPr>
    </w:p>
    <w:p>
      <w:pPr>
        <w:pStyle w:val="BodyText"/>
        <w:spacing w:line="256" w:lineRule="auto"/>
        <w:ind w:left="123" w:right="651"/>
        <w:jc w:val="both"/>
      </w:pPr>
      <w:r>
        <w:rPr>
          <w:color w:val="231F20"/>
        </w:rPr>
        <w:t>en México son: </w:t>
      </w:r>
      <w:r>
        <w:rPr>
          <w:rFonts w:ascii="Palatino Linotype" w:hAnsi="Palatino Linotype"/>
          <w:i/>
          <w:color w:val="231F20"/>
        </w:rPr>
        <w:t>a) </w:t>
      </w:r>
      <w:r>
        <w:rPr>
          <w:color w:val="231F20"/>
        </w:rPr>
        <w:t>automóviles: </w:t>
      </w:r>
      <w:r>
        <w:rPr>
          <w:color w:val="231F20"/>
          <w:spacing w:val="-8"/>
        </w:rPr>
        <w:t>BMW, </w:t>
      </w:r>
      <w:r>
        <w:rPr>
          <w:color w:val="231F20"/>
        </w:rPr>
        <w:t>Chrysler-Fiat, </w:t>
      </w:r>
      <w:r>
        <w:rPr>
          <w:color w:val="231F20"/>
          <w:spacing w:val="-3"/>
        </w:rPr>
        <w:t>Ford, </w:t>
      </w:r>
      <w:r>
        <w:rPr>
          <w:color w:val="231F20"/>
        </w:rPr>
        <w:t>General </w:t>
      </w:r>
      <w:r>
        <w:rPr>
          <w:color w:val="231F20"/>
          <w:spacing w:val="-3"/>
        </w:rPr>
        <w:t>Motors, </w:t>
      </w:r>
      <w:r>
        <w:rPr>
          <w:color w:val="231F20"/>
        </w:rPr>
        <w:t>Honda, </w:t>
      </w:r>
      <w:r>
        <w:rPr>
          <w:color w:val="231F20"/>
          <w:spacing w:val="-5"/>
        </w:rPr>
        <w:t>Toyota,</w:t>
      </w:r>
      <w:r>
        <w:rPr>
          <w:color w:val="231F20"/>
          <w:spacing w:val="-8"/>
        </w:rPr>
        <w:t> </w:t>
      </w:r>
      <w:r>
        <w:rPr>
          <w:color w:val="231F20"/>
        </w:rPr>
        <w:t>Nissan,</w:t>
      </w:r>
      <w:r>
        <w:rPr>
          <w:color w:val="231F20"/>
          <w:spacing w:val="-8"/>
        </w:rPr>
        <w:t> </w:t>
      </w:r>
      <w:r>
        <w:rPr>
          <w:color w:val="231F20"/>
        </w:rPr>
        <w:t>Mazda,</w:t>
      </w:r>
      <w:r>
        <w:rPr>
          <w:color w:val="231F20"/>
          <w:spacing w:val="-8"/>
        </w:rPr>
        <w:t> </w:t>
      </w:r>
      <w:r>
        <w:rPr>
          <w:color w:val="231F20"/>
        </w:rPr>
        <w:t>Renault</w:t>
      </w:r>
      <w:r>
        <w:rPr>
          <w:color w:val="231F20"/>
          <w:spacing w:val="-8"/>
        </w:rPr>
        <w:t> </w:t>
      </w:r>
      <w:r>
        <w:rPr>
          <w:color w:val="231F20"/>
        </w:rPr>
        <w:t>y</w:t>
      </w:r>
      <w:r>
        <w:rPr>
          <w:color w:val="231F20"/>
          <w:spacing w:val="-8"/>
        </w:rPr>
        <w:t> </w:t>
      </w:r>
      <w:r>
        <w:rPr>
          <w:color w:val="231F20"/>
          <w:spacing w:val="-3"/>
        </w:rPr>
        <w:t>Volkswagen;</w:t>
      </w:r>
      <w:r>
        <w:rPr>
          <w:color w:val="231F20"/>
          <w:spacing w:val="-8"/>
        </w:rPr>
        <w:t> </w:t>
      </w:r>
      <w:r>
        <w:rPr>
          <w:rFonts w:ascii="Palatino Linotype" w:hAnsi="Palatino Linotype"/>
          <w:i/>
          <w:color w:val="231F20"/>
        </w:rPr>
        <w:t>b)</w:t>
      </w:r>
      <w:r>
        <w:rPr>
          <w:rFonts w:ascii="Palatino Linotype" w:hAnsi="Palatino Linotype"/>
          <w:i/>
          <w:color w:val="231F20"/>
          <w:spacing w:val="-8"/>
        </w:rPr>
        <w:t> </w:t>
      </w:r>
      <w:r>
        <w:rPr>
          <w:color w:val="231F20"/>
        </w:rPr>
        <w:t>camiones</w:t>
      </w:r>
      <w:r>
        <w:rPr>
          <w:color w:val="231F20"/>
          <w:spacing w:val="-8"/>
        </w:rPr>
        <w:t> </w:t>
      </w:r>
      <w:r>
        <w:rPr>
          <w:color w:val="231F20"/>
        </w:rPr>
        <w:t>pesados</w:t>
      </w:r>
      <w:r>
        <w:rPr>
          <w:color w:val="231F20"/>
          <w:spacing w:val="-8"/>
        </w:rPr>
        <w:t> </w:t>
      </w:r>
      <w:r>
        <w:rPr>
          <w:color w:val="231F20"/>
        </w:rPr>
        <w:t>y</w:t>
      </w:r>
      <w:r>
        <w:rPr>
          <w:color w:val="231F20"/>
          <w:spacing w:val="-8"/>
        </w:rPr>
        <w:t> </w:t>
      </w:r>
      <w:r>
        <w:rPr>
          <w:color w:val="231F20"/>
        </w:rPr>
        <w:t>autobuses:</w:t>
      </w:r>
      <w:r>
        <w:rPr>
          <w:color w:val="231F20"/>
          <w:spacing w:val="-8"/>
        </w:rPr>
        <w:t> </w:t>
      </w:r>
      <w:r>
        <w:rPr>
          <w:color w:val="231F20"/>
        </w:rPr>
        <w:t>Dai- </w:t>
      </w:r>
      <w:r>
        <w:rPr>
          <w:color w:val="231F20"/>
          <w:spacing w:val="-3"/>
        </w:rPr>
        <w:t>mler,</w:t>
      </w:r>
      <w:r>
        <w:rPr>
          <w:color w:val="231F20"/>
          <w:spacing w:val="-11"/>
        </w:rPr>
        <w:t> </w:t>
      </w:r>
      <w:r>
        <w:rPr>
          <w:color w:val="231F20"/>
          <w:spacing w:val="-3"/>
        </w:rPr>
        <w:t>Ford,</w:t>
      </w:r>
      <w:r>
        <w:rPr>
          <w:color w:val="231F20"/>
          <w:spacing w:val="-11"/>
        </w:rPr>
        <w:t> </w:t>
      </w:r>
      <w:r>
        <w:rPr>
          <w:color w:val="231F20"/>
        </w:rPr>
        <w:t>General</w:t>
      </w:r>
      <w:r>
        <w:rPr>
          <w:color w:val="231F20"/>
          <w:spacing w:val="-11"/>
        </w:rPr>
        <w:t> </w:t>
      </w:r>
      <w:r>
        <w:rPr>
          <w:color w:val="231F20"/>
          <w:spacing w:val="-3"/>
        </w:rPr>
        <w:t>Motors,</w:t>
      </w:r>
      <w:r>
        <w:rPr>
          <w:color w:val="231F20"/>
          <w:spacing w:val="-11"/>
        </w:rPr>
        <w:t> </w:t>
      </w:r>
      <w:r>
        <w:rPr>
          <w:color w:val="231F20"/>
        </w:rPr>
        <w:t>Dina,</w:t>
      </w:r>
      <w:r>
        <w:rPr>
          <w:color w:val="231F20"/>
          <w:spacing w:val="-11"/>
        </w:rPr>
        <w:t> </w:t>
      </w:r>
      <w:r>
        <w:rPr>
          <w:color w:val="231F20"/>
        </w:rPr>
        <w:t>Kenworth,</w:t>
      </w:r>
      <w:r>
        <w:rPr>
          <w:color w:val="231F20"/>
          <w:spacing w:val="-11"/>
        </w:rPr>
        <w:t> </w:t>
      </w:r>
      <w:r>
        <w:rPr>
          <w:color w:val="231F20"/>
        </w:rPr>
        <w:t>Masa,</w:t>
      </w:r>
      <w:r>
        <w:rPr>
          <w:color w:val="231F20"/>
          <w:spacing w:val="-11"/>
        </w:rPr>
        <w:t> </w:t>
      </w:r>
      <w:r>
        <w:rPr>
          <w:color w:val="231F20"/>
          <w:spacing w:val="-6"/>
        </w:rPr>
        <w:t>Volvo,</w:t>
      </w:r>
      <w:r>
        <w:rPr>
          <w:color w:val="231F20"/>
          <w:spacing w:val="-11"/>
        </w:rPr>
        <w:t> </w:t>
      </w:r>
      <w:r>
        <w:rPr>
          <w:color w:val="231F20"/>
        </w:rPr>
        <w:t>Omnibuses</w:t>
      </w:r>
      <w:r>
        <w:rPr>
          <w:color w:val="231F20"/>
          <w:spacing w:val="-11"/>
        </w:rPr>
        <w:t> </w:t>
      </w:r>
      <w:r>
        <w:rPr>
          <w:color w:val="231F20"/>
        </w:rPr>
        <w:t>Integrales,</w:t>
      </w:r>
      <w:r>
        <w:rPr>
          <w:color w:val="231F20"/>
          <w:spacing w:val="-11"/>
        </w:rPr>
        <w:t> </w:t>
      </w:r>
      <w:r>
        <w:rPr>
          <w:color w:val="231F20"/>
        </w:rPr>
        <w:t>Sca- nia y</w:t>
      </w:r>
      <w:r>
        <w:rPr>
          <w:color w:val="231F20"/>
          <w:spacing w:val="-7"/>
        </w:rPr>
        <w:t> </w:t>
      </w:r>
      <w:r>
        <w:rPr>
          <w:color w:val="231F20"/>
          <w:spacing w:val="-4"/>
        </w:rPr>
        <w:t>Navistar.</w:t>
      </w:r>
    </w:p>
    <w:p>
      <w:pPr>
        <w:pStyle w:val="BodyText"/>
        <w:spacing w:line="278" w:lineRule="auto" w:before="22"/>
        <w:ind w:left="123" w:right="650" w:firstLine="396"/>
        <w:jc w:val="both"/>
      </w:pPr>
      <w:r>
        <w:rPr>
          <w:color w:val="231F20"/>
        </w:rPr>
        <w:t>La</w:t>
      </w:r>
      <w:r>
        <w:rPr>
          <w:color w:val="231F20"/>
          <w:spacing w:val="-16"/>
        </w:rPr>
        <w:t> </w:t>
      </w:r>
      <w:r>
        <w:rPr>
          <w:color w:val="231F20"/>
        </w:rPr>
        <w:t>industria</w:t>
      </w:r>
      <w:r>
        <w:rPr>
          <w:color w:val="231F20"/>
          <w:spacing w:val="-16"/>
        </w:rPr>
        <w:t> </w:t>
      </w:r>
      <w:r>
        <w:rPr>
          <w:color w:val="231F20"/>
        </w:rPr>
        <w:t>de</w:t>
      </w:r>
      <w:r>
        <w:rPr>
          <w:color w:val="231F20"/>
          <w:spacing w:val="-16"/>
        </w:rPr>
        <w:t> </w:t>
      </w:r>
      <w:r>
        <w:rPr>
          <w:color w:val="231F20"/>
        </w:rPr>
        <w:t>autopartes</w:t>
      </w:r>
      <w:r>
        <w:rPr>
          <w:color w:val="231F20"/>
          <w:spacing w:val="-16"/>
        </w:rPr>
        <w:t> </w:t>
      </w:r>
      <w:r>
        <w:rPr>
          <w:color w:val="231F20"/>
        </w:rPr>
        <w:t>está</w:t>
      </w:r>
      <w:r>
        <w:rPr>
          <w:color w:val="231F20"/>
          <w:spacing w:val="-16"/>
        </w:rPr>
        <w:t> </w:t>
      </w:r>
      <w:r>
        <w:rPr>
          <w:color w:val="231F20"/>
        </w:rPr>
        <w:t>constituida</w:t>
      </w:r>
      <w:r>
        <w:rPr>
          <w:color w:val="231F20"/>
          <w:spacing w:val="-16"/>
        </w:rPr>
        <w:t> </w:t>
      </w:r>
      <w:r>
        <w:rPr>
          <w:color w:val="231F20"/>
        </w:rPr>
        <w:t>por</w:t>
      </w:r>
      <w:r>
        <w:rPr>
          <w:color w:val="231F20"/>
          <w:spacing w:val="-16"/>
        </w:rPr>
        <w:t> </w:t>
      </w:r>
      <w:r>
        <w:rPr>
          <w:color w:val="231F20"/>
        </w:rPr>
        <w:t>cerca</w:t>
      </w:r>
      <w:r>
        <w:rPr>
          <w:color w:val="231F20"/>
          <w:spacing w:val="-16"/>
        </w:rPr>
        <w:t> </w:t>
      </w:r>
      <w:r>
        <w:rPr>
          <w:color w:val="231F20"/>
        </w:rPr>
        <w:t>de</w:t>
      </w:r>
      <w:r>
        <w:rPr>
          <w:color w:val="231F20"/>
          <w:spacing w:val="-16"/>
        </w:rPr>
        <w:t> </w:t>
      </w:r>
      <w:r>
        <w:rPr>
          <w:color w:val="231F20"/>
        </w:rPr>
        <w:t>1,</w:t>
      </w:r>
      <w:r>
        <w:rPr>
          <w:color w:val="231F20"/>
          <w:spacing w:val="-24"/>
        </w:rPr>
        <w:t> </w:t>
      </w:r>
      <w:r>
        <w:rPr>
          <w:color w:val="231F20"/>
        </w:rPr>
        <w:t>500</w:t>
      </w:r>
      <w:r>
        <w:rPr>
          <w:color w:val="231F20"/>
          <w:spacing w:val="-16"/>
        </w:rPr>
        <w:t> </w:t>
      </w:r>
      <w:r>
        <w:rPr>
          <w:color w:val="231F20"/>
        </w:rPr>
        <w:t>fabricantes:</w:t>
      </w:r>
      <w:r>
        <w:rPr>
          <w:color w:val="231F20"/>
          <w:spacing w:val="-16"/>
        </w:rPr>
        <w:t> </w:t>
      </w:r>
      <w:r>
        <w:rPr>
          <w:color w:val="231F20"/>
        </w:rPr>
        <w:t>70%</w:t>
      </w:r>
      <w:r>
        <w:rPr>
          <w:color w:val="231F20"/>
          <w:spacing w:val="-16"/>
        </w:rPr>
        <w:t> </w:t>
      </w:r>
      <w:r>
        <w:rPr>
          <w:color w:val="231F20"/>
        </w:rPr>
        <w:t>son de</w:t>
      </w:r>
      <w:r>
        <w:rPr>
          <w:color w:val="231F20"/>
          <w:spacing w:val="-18"/>
        </w:rPr>
        <w:t> </w:t>
      </w:r>
      <w:r>
        <w:rPr>
          <w:color w:val="231F20"/>
        </w:rPr>
        <w:t>capital</w:t>
      </w:r>
      <w:r>
        <w:rPr>
          <w:color w:val="231F20"/>
          <w:spacing w:val="-18"/>
        </w:rPr>
        <w:t> </w:t>
      </w:r>
      <w:r>
        <w:rPr>
          <w:color w:val="231F20"/>
        </w:rPr>
        <w:t>extranjero</w:t>
      </w:r>
      <w:r>
        <w:rPr>
          <w:color w:val="231F20"/>
          <w:spacing w:val="-18"/>
        </w:rPr>
        <w:t> </w:t>
      </w:r>
      <w:r>
        <w:rPr>
          <w:color w:val="231F20"/>
        </w:rPr>
        <w:t>y</w:t>
      </w:r>
      <w:r>
        <w:rPr>
          <w:color w:val="231F20"/>
          <w:spacing w:val="-18"/>
        </w:rPr>
        <w:t> </w:t>
      </w:r>
      <w:r>
        <w:rPr>
          <w:color w:val="231F20"/>
        </w:rPr>
        <w:t>30%</w:t>
      </w:r>
      <w:r>
        <w:rPr>
          <w:color w:val="231F20"/>
          <w:spacing w:val="-18"/>
        </w:rPr>
        <w:t> </w:t>
      </w:r>
      <w:r>
        <w:rPr>
          <w:color w:val="231F20"/>
        </w:rPr>
        <w:t>de</w:t>
      </w:r>
      <w:r>
        <w:rPr>
          <w:color w:val="231F20"/>
          <w:spacing w:val="-18"/>
        </w:rPr>
        <w:t> </w:t>
      </w:r>
      <w:r>
        <w:rPr>
          <w:color w:val="231F20"/>
        </w:rPr>
        <w:t>nacional,</w:t>
      </w:r>
      <w:r>
        <w:rPr>
          <w:color w:val="231F20"/>
          <w:spacing w:val="-18"/>
        </w:rPr>
        <w:t> </w:t>
      </w:r>
      <w:r>
        <w:rPr>
          <w:color w:val="231F20"/>
        </w:rPr>
        <w:t>aproximadamente;</w:t>
      </w:r>
      <w:r>
        <w:rPr>
          <w:color w:val="231F20"/>
          <w:spacing w:val="-18"/>
        </w:rPr>
        <w:t> </w:t>
      </w:r>
      <w:r>
        <w:rPr>
          <w:color w:val="231F20"/>
        </w:rPr>
        <w:t>345</w:t>
      </w:r>
      <w:r>
        <w:rPr>
          <w:color w:val="231F20"/>
          <w:spacing w:val="-18"/>
        </w:rPr>
        <w:t> </w:t>
      </w:r>
      <w:r>
        <w:rPr>
          <w:color w:val="231F20"/>
        </w:rPr>
        <w:t>empresas</w:t>
      </w:r>
      <w:r>
        <w:rPr>
          <w:color w:val="231F20"/>
          <w:spacing w:val="-18"/>
        </w:rPr>
        <w:t> </w:t>
      </w:r>
      <w:r>
        <w:rPr>
          <w:color w:val="231F20"/>
        </w:rPr>
        <w:t>se</w:t>
      </w:r>
      <w:r>
        <w:rPr>
          <w:color w:val="231F20"/>
          <w:spacing w:val="-18"/>
        </w:rPr>
        <w:t> </w:t>
      </w:r>
      <w:r>
        <w:rPr>
          <w:color w:val="231F20"/>
        </w:rPr>
        <w:t>consideran de</w:t>
      </w:r>
      <w:r>
        <w:rPr>
          <w:color w:val="231F20"/>
          <w:spacing w:val="-13"/>
        </w:rPr>
        <w:t> </w:t>
      </w:r>
      <w:r>
        <w:rPr>
          <w:color w:val="231F20"/>
        </w:rPr>
        <w:t>primer</w:t>
      </w:r>
      <w:r>
        <w:rPr>
          <w:color w:val="231F20"/>
          <w:spacing w:val="-13"/>
        </w:rPr>
        <w:t> </w:t>
      </w:r>
      <w:r>
        <w:rPr>
          <w:color w:val="231F20"/>
        </w:rPr>
        <w:t>nivel</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restantes</w:t>
      </w:r>
      <w:r>
        <w:rPr>
          <w:color w:val="231F20"/>
          <w:spacing w:val="-13"/>
        </w:rPr>
        <w:t> </w:t>
      </w:r>
      <w:r>
        <w:rPr>
          <w:color w:val="231F20"/>
        </w:rPr>
        <w:t>son</w:t>
      </w:r>
      <w:r>
        <w:rPr>
          <w:color w:val="231F20"/>
          <w:spacing w:val="-13"/>
        </w:rPr>
        <w:t> </w:t>
      </w:r>
      <w:r>
        <w:rPr>
          <w:color w:val="231F20"/>
        </w:rPr>
        <w:t>proveedoras</w:t>
      </w:r>
      <w:r>
        <w:rPr>
          <w:color w:val="231F20"/>
          <w:spacing w:val="-13"/>
        </w:rPr>
        <w:t> </w:t>
      </w:r>
      <w:r>
        <w:rPr>
          <w:color w:val="231F20"/>
        </w:rPr>
        <w:t>de</w:t>
      </w:r>
      <w:r>
        <w:rPr>
          <w:color w:val="231F20"/>
          <w:spacing w:val="-13"/>
        </w:rPr>
        <w:t> </w:t>
      </w:r>
      <w:r>
        <w:rPr>
          <w:color w:val="231F20"/>
        </w:rPr>
        <w:t>insumos</w:t>
      </w:r>
      <w:r>
        <w:rPr>
          <w:color w:val="231F20"/>
          <w:spacing w:val="-13"/>
        </w:rPr>
        <w:t> </w:t>
      </w:r>
      <w:r>
        <w:rPr>
          <w:color w:val="231F20"/>
        </w:rPr>
        <w:t>y</w:t>
      </w:r>
      <w:r>
        <w:rPr>
          <w:color w:val="231F20"/>
          <w:spacing w:val="-13"/>
        </w:rPr>
        <w:t> </w:t>
      </w:r>
      <w:r>
        <w:rPr>
          <w:color w:val="231F20"/>
        </w:rPr>
        <w:t>materias</w:t>
      </w:r>
      <w:r>
        <w:rPr>
          <w:color w:val="231F20"/>
          <w:spacing w:val="-13"/>
        </w:rPr>
        <w:t> </w:t>
      </w:r>
      <w:r>
        <w:rPr>
          <w:color w:val="231F20"/>
        </w:rPr>
        <w:t>primas</w:t>
      </w:r>
      <w:r>
        <w:rPr>
          <w:color w:val="231F20"/>
          <w:spacing w:val="-13"/>
        </w:rPr>
        <w:t> </w:t>
      </w:r>
      <w:r>
        <w:rPr>
          <w:color w:val="231F20"/>
        </w:rPr>
        <w:t>de</w:t>
      </w:r>
      <w:r>
        <w:rPr>
          <w:color w:val="231F20"/>
          <w:spacing w:val="-13"/>
        </w:rPr>
        <w:t> </w:t>
      </w:r>
      <w:r>
        <w:rPr>
          <w:color w:val="231F20"/>
        </w:rPr>
        <w:t>segun- do</w:t>
      </w:r>
      <w:r>
        <w:rPr>
          <w:color w:val="231F20"/>
          <w:spacing w:val="-13"/>
        </w:rPr>
        <w:t> </w:t>
      </w:r>
      <w:r>
        <w:rPr>
          <w:color w:val="231F20"/>
        </w:rPr>
        <w:t>y</w:t>
      </w:r>
      <w:r>
        <w:rPr>
          <w:color w:val="231F20"/>
          <w:spacing w:val="-13"/>
        </w:rPr>
        <w:t> </w:t>
      </w:r>
      <w:r>
        <w:rPr>
          <w:color w:val="231F20"/>
        </w:rPr>
        <w:t>tercer</w:t>
      </w:r>
      <w:r>
        <w:rPr>
          <w:color w:val="231F20"/>
          <w:spacing w:val="-13"/>
        </w:rPr>
        <w:t> </w:t>
      </w:r>
      <w:r>
        <w:rPr>
          <w:color w:val="231F20"/>
        </w:rPr>
        <w:t>nivel</w:t>
      </w:r>
      <w:r>
        <w:rPr>
          <w:color w:val="231F20"/>
          <w:spacing w:val="-13"/>
        </w:rPr>
        <w:t> </w:t>
      </w:r>
      <w:r>
        <w:rPr>
          <w:color w:val="231F20"/>
        </w:rPr>
        <w:t>(INA,</w:t>
      </w:r>
      <w:r>
        <w:rPr>
          <w:color w:val="231F20"/>
          <w:spacing w:val="-13"/>
        </w:rPr>
        <w:t> </w:t>
      </w:r>
      <w:r>
        <w:rPr>
          <w:color w:val="231F20"/>
        </w:rPr>
        <w:t>2009).</w:t>
      </w:r>
    </w:p>
    <w:p>
      <w:pPr>
        <w:pStyle w:val="BodyText"/>
        <w:spacing w:line="278" w:lineRule="auto" w:before="1"/>
        <w:ind w:left="123" w:right="651" w:firstLine="396"/>
        <w:jc w:val="both"/>
      </w:pPr>
      <w:r>
        <w:rPr>
          <w:color w:val="231F20"/>
        </w:rPr>
        <w:t>El peso más importante del sector automotriz recae en la fabricación de partes para vehículos automotores. En este segmento se encuentra el 62.5% de las unidades económicas,</w:t>
      </w:r>
      <w:r>
        <w:rPr>
          <w:color w:val="231F20"/>
          <w:spacing w:val="-10"/>
        </w:rPr>
        <w:t> </w:t>
      </w:r>
      <w:r>
        <w:rPr>
          <w:color w:val="231F20"/>
        </w:rPr>
        <w:t>el</w:t>
      </w:r>
      <w:r>
        <w:rPr>
          <w:color w:val="231F20"/>
          <w:spacing w:val="-10"/>
        </w:rPr>
        <w:t> </w:t>
      </w:r>
      <w:r>
        <w:rPr>
          <w:color w:val="231F20"/>
        </w:rPr>
        <w:t>86%</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población</w:t>
      </w:r>
      <w:r>
        <w:rPr>
          <w:color w:val="231F20"/>
          <w:spacing w:val="-10"/>
        </w:rPr>
        <w:t> </w:t>
      </w:r>
      <w:r>
        <w:rPr>
          <w:color w:val="231F20"/>
        </w:rPr>
        <w:t>ocupada</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59%</w:t>
      </w:r>
      <w:r>
        <w:rPr>
          <w:color w:val="231F20"/>
          <w:spacing w:val="-10"/>
        </w:rPr>
        <w:t> </w:t>
      </w:r>
      <w:r>
        <w:rPr>
          <w:color w:val="231F20"/>
        </w:rPr>
        <w:t>del</w:t>
      </w:r>
      <w:r>
        <w:rPr>
          <w:color w:val="231F20"/>
          <w:spacing w:val="-10"/>
        </w:rPr>
        <w:t> </w:t>
      </w:r>
      <w:r>
        <w:rPr>
          <w:color w:val="231F20"/>
        </w:rPr>
        <w:t>valor</w:t>
      </w:r>
      <w:r>
        <w:rPr>
          <w:color w:val="231F20"/>
          <w:spacing w:val="-10"/>
        </w:rPr>
        <w:t> </w:t>
      </w:r>
      <w:r>
        <w:rPr>
          <w:color w:val="231F20"/>
        </w:rPr>
        <w:t>agregado.</w:t>
      </w:r>
      <w:r>
        <w:rPr>
          <w:color w:val="231F20"/>
          <w:spacing w:val="-10"/>
        </w:rPr>
        <w:t> </w:t>
      </w:r>
      <w:r>
        <w:rPr>
          <w:color w:val="231F20"/>
        </w:rPr>
        <w:t>Dentro</w:t>
      </w:r>
      <w:r>
        <w:rPr>
          <w:color w:val="231F20"/>
          <w:spacing w:val="-10"/>
        </w:rPr>
        <w:t> </w:t>
      </w:r>
      <w:r>
        <w:rPr>
          <w:color w:val="231F20"/>
        </w:rPr>
        <w:t>de</w:t>
      </w:r>
      <w:r>
        <w:rPr>
          <w:color w:val="231F20"/>
          <w:spacing w:val="-10"/>
        </w:rPr>
        <w:t> </w:t>
      </w:r>
      <w:r>
        <w:rPr>
          <w:color w:val="231F20"/>
        </w:rPr>
        <w:t>la industria de autopartes la fabricación de equipo eléctrico y electrónico es uno de los sistemas</w:t>
      </w:r>
      <w:r>
        <w:rPr>
          <w:color w:val="231F20"/>
          <w:spacing w:val="-4"/>
        </w:rPr>
        <w:t> </w:t>
      </w:r>
      <w:r>
        <w:rPr>
          <w:color w:val="231F20"/>
        </w:rPr>
        <w:t>de</w:t>
      </w:r>
      <w:r>
        <w:rPr>
          <w:color w:val="231F20"/>
          <w:spacing w:val="-4"/>
        </w:rPr>
        <w:t> </w:t>
      </w:r>
      <w:r>
        <w:rPr>
          <w:color w:val="231F20"/>
        </w:rPr>
        <w:t>mayor</w:t>
      </w:r>
      <w:r>
        <w:rPr>
          <w:color w:val="231F20"/>
          <w:spacing w:val="-4"/>
        </w:rPr>
        <w:t> </w:t>
      </w:r>
      <w:r>
        <w:rPr>
          <w:color w:val="231F20"/>
        </w:rPr>
        <w:t>dinamismo;</w:t>
      </w:r>
      <w:r>
        <w:rPr>
          <w:color w:val="231F20"/>
          <w:spacing w:val="-4"/>
        </w:rPr>
        <w:t> </w:t>
      </w:r>
      <w:r>
        <w:rPr>
          <w:color w:val="231F20"/>
        </w:rPr>
        <w:t>en</w:t>
      </w:r>
      <w:r>
        <w:rPr>
          <w:color w:val="231F20"/>
          <w:spacing w:val="-4"/>
        </w:rPr>
        <w:t> </w:t>
      </w:r>
      <w:r>
        <w:rPr>
          <w:color w:val="231F20"/>
        </w:rPr>
        <w:t>él</w:t>
      </w:r>
      <w:r>
        <w:rPr>
          <w:color w:val="231F20"/>
          <w:spacing w:val="-4"/>
        </w:rPr>
        <w:t> </w:t>
      </w:r>
      <w:r>
        <w:rPr>
          <w:color w:val="231F20"/>
        </w:rPr>
        <w:t>se</w:t>
      </w:r>
      <w:r>
        <w:rPr>
          <w:color w:val="231F20"/>
          <w:spacing w:val="-4"/>
        </w:rPr>
        <w:t> </w:t>
      </w:r>
      <w:r>
        <w:rPr>
          <w:color w:val="231F20"/>
        </w:rPr>
        <w:t>encuentra</w:t>
      </w:r>
      <w:r>
        <w:rPr>
          <w:color w:val="231F20"/>
          <w:spacing w:val="-4"/>
        </w:rPr>
        <w:t> </w:t>
      </w:r>
      <w:r>
        <w:rPr>
          <w:color w:val="231F20"/>
        </w:rPr>
        <w:t>el</w:t>
      </w:r>
      <w:r>
        <w:rPr>
          <w:color w:val="231F20"/>
          <w:spacing w:val="-4"/>
        </w:rPr>
        <w:t> </w:t>
      </w:r>
      <w:r>
        <w:rPr>
          <w:color w:val="231F20"/>
        </w:rPr>
        <w:t>15%</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unidades</w:t>
      </w:r>
      <w:r>
        <w:rPr>
          <w:color w:val="231F20"/>
          <w:spacing w:val="-4"/>
        </w:rPr>
        <w:t> </w:t>
      </w:r>
      <w:r>
        <w:rPr>
          <w:color w:val="231F20"/>
        </w:rPr>
        <w:t>económicas, 36.2%</w:t>
      </w:r>
      <w:r>
        <w:rPr>
          <w:color w:val="231F20"/>
          <w:spacing w:val="-6"/>
        </w:rPr>
        <w:t> </w:t>
      </w:r>
      <w:r>
        <w:rPr>
          <w:color w:val="231F20"/>
        </w:rPr>
        <w:t>del</w:t>
      </w:r>
      <w:r>
        <w:rPr>
          <w:color w:val="231F20"/>
          <w:spacing w:val="-6"/>
        </w:rPr>
        <w:t> </w:t>
      </w:r>
      <w:r>
        <w:rPr>
          <w:color w:val="231F20"/>
        </w:rPr>
        <w:t>personal</w:t>
      </w:r>
      <w:r>
        <w:rPr>
          <w:color w:val="231F20"/>
          <w:spacing w:val="-6"/>
        </w:rPr>
        <w:t> </w:t>
      </w:r>
      <w:r>
        <w:rPr>
          <w:color w:val="231F20"/>
        </w:rPr>
        <w:t>ocupado,</w:t>
      </w:r>
      <w:r>
        <w:rPr>
          <w:color w:val="231F20"/>
          <w:spacing w:val="-6"/>
        </w:rPr>
        <w:t> </w:t>
      </w:r>
      <w:r>
        <w:rPr>
          <w:color w:val="231F20"/>
        </w:rPr>
        <w:t>10.7%</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bruta</w:t>
      </w:r>
      <w:r>
        <w:rPr>
          <w:color w:val="231F20"/>
          <w:spacing w:val="-6"/>
        </w:rPr>
        <w:t> </w:t>
      </w:r>
      <w:r>
        <w:rPr>
          <w:color w:val="231F20"/>
        </w:rPr>
        <w:t>total</w:t>
      </w:r>
      <w:r>
        <w:rPr>
          <w:color w:val="231F20"/>
          <w:spacing w:val="-6"/>
        </w:rPr>
        <w:t> </w:t>
      </w:r>
      <w:r>
        <w:rPr>
          <w:color w:val="231F20"/>
        </w:rPr>
        <w:t>y</w:t>
      </w:r>
      <w:r>
        <w:rPr>
          <w:color w:val="231F20"/>
          <w:spacing w:val="-6"/>
        </w:rPr>
        <w:t> </w:t>
      </w:r>
      <w:r>
        <w:rPr>
          <w:color w:val="231F20"/>
        </w:rPr>
        <w:t>17%</w:t>
      </w:r>
      <w:r>
        <w:rPr>
          <w:color w:val="231F20"/>
          <w:spacing w:val="-6"/>
        </w:rPr>
        <w:t> </w:t>
      </w:r>
      <w:r>
        <w:rPr>
          <w:color w:val="231F20"/>
        </w:rPr>
        <w:t>del</w:t>
      </w:r>
      <w:r>
        <w:rPr>
          <w:color w:val="231F20"/>
          <w:spacing w:val="-6"/>
        </w:rPr>
        <w:t> </w:t>
      </w:r>
      <w:r>
        <w:rPr>
          <w:color w:val="231F20"/>
        </w:rPr>
        <w:t>valor</w:t>
      </w:r>
      <w:r>
        <w:rPr>
          <w:color w:val="231F20"/>
          <w:spacing w:val="-6"/>
        </w:rPr>
        <w:t> </w:t>
      </w:r>
      <w:r>
        <w:rPr>
          <w:color w:val="231F20"/>
        </w:rPr>
        <w:t>agre- gado total de la industria</w:t>
      </w:r>
      <w:r>
        <w:rPr>
          <w:color w:val="231F20"/>
          <w:spacing w:val="-7"/>
        </w:rPr>
        <w:t> </w:t>
      </w:r>
      <w:r>
        <w:rPr>
          <w:color w:val="231F20"/>
        </w:rPr>
        <w:t>nacional.</w:t>
      </w:r>
    </w:p>
    <w:p>
      <w:pPr>
        <w:pStyle w:val="BodyText"/>
        <w:spacing w:before="8"/>
        <w:rPr>
          <w:sz w:val="17"/>
        </w:rPr>
      </w:pPr>
    </w:p>
    <w:p>
      <w:pPr>
        <w:pStyle w:val="Heading4"/>
        <w:ind w:left="159" w:right="686"/>
      </w:pPr>
      <w:r>
        <w:rPr>
          <w:color w:val="231F20"/>
          <w:w w:val="95"/>
        </w:rPr>
        <w:t>Cuadro III.1</w:t>
      </w:r>
    </w:p>
    <w:p>
      <w:pPr>
        <w:spacing w:line="237" w:lineRule="auto" w:before="0"/>
        <w:ind w:left="507" w:right="1035" w:firstLine="0"/>
        <w:jc w:val="center"/>
        <w:rPr>
          <w:rFonts w:ascii="Palatino Linotype" w:hAnsi="Palatino Linotype"/>
          <w:b/>
          <w:sz w:val="21"/>
        </w:rPr>
      </w:pPr>
      <w:r>
        <w:rPr/>
        <w:pict>
          <v:shape style="position:absolute;margin-left:65.196899pt;margin-top:48.626095pt;width:360pt;height:230.7pt;mso-position-horizontal-relative:page;mso-position-vertical-relative:paragraph;z-index:781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4"/>
                    <w:gridCol w:w="815"/>
                    <w:gridCol w:w="1005"/>
                    <w:gridCol w:w="986"/>
                  </w:tblGrid>
                  <w:tr>
                    <w:trPr>
                      <w:trHeight w:val="907" w:hRule="exact"/>
                    </w:trPr>
                    <w:tc>
                      <w:tcPr>
                        <w:tcW w:w="4394" w:type="dxa"/>
                        <w:tcBorders>
                          <w:bottom w:val="single" w:sz="4" w:space="0" w:color="231F20"/>
                        </w:tcBorders>
                      </w:tcPr>
                      <w:p>
                        <w:pPr>
                          <w:pStyle w:val="TableParagraph"/>
                          <w:jc w:val="left"/>
                          <w:rPr>
                            <w:rFonts w:ascii="Palatino Linotype"/>
                            <w:b/>
                            <w:sz w:val="18"/>
                          </w:rPr>
                        </w:pPr>
                      </w:p>
                      <w:p>
                        <w:pPr>
                          <w:pStyle w:val="TableParagraph"/>
                          <w:tabs>
                            <w:tab w:pos="3541" w:val="left" w:leader="none"/>
                          </w:tabs>
                          <w:spacing w:line="98" w:lineRule="auto"/>
                          <w:ind w:left="3461" w:right="97" w:hanging="2726"/>
                          <w:jc w:val="left"/>
                          <w:rPr>
                            <w:rFonts w:ascii="Palatino Linotype" w:hAnsi="Palatino Linotype"/>
                            <w:b/>
                            <w:sz w:val="17"/>
                          </w:rPr>
                        </w:pPr>
                        <w:r>
                          <w:rPr>
                            <w:rFonts w:ascii="Palatino Linotype" w:hAnsi="Palatino Linotype"/>
                            <w:b/>
                            <w:color w:val="231F20"/>
                            <w:sz w:val="17"/>
                          </w:rPr>
                          <w:t>Subsector,</w:t>
                        </w:r>
                        <w:r>
                          <w:rPr>
                            <w:rFonts w:ascii="Palatino Linotype" w:hAnsi="Palatino Linotype"/>
                            <w:b/>
                            <w:color w:val="231F20"/>
                            <w:spacing w:val="-29"/>
                            <w:sz w:val="17"/>
                          </w:rPr>
                          <w:t> </w:t>
                        </w:r>
                        <w:r>
                          <w:rPr>
                            <w:rFonts w:ascii="Palatino Linotype" w:hAnsi="Palatino Linotype"/>
                            <w:b/>
                            <w:color w:val="231F20"/>
                            <w:sz w:val="17"/>
                          </w:rPr>
                          <w:t>rama</w:t>
                        </w:r>
                        <w:r>
                          <w:rPr>
                            <w:rFonts w:ascii="Palatino Linotype" w:hAnsi="Palatino Linotype"/>
                            <w:b/>
                            <w:color w:val="231F20"/>
                            <w:spacing w:val="-29"/>
                            <w:sz w:val="17"/>
                          </w:rPr>
                          <w:t> </w:t>
                        </w:r>
                        <w:r>
                          <w:rPr>
                            <w:rFonts w:ascii="Palatino Linotype" w:hAnsi="Palatino Linotype"/>
                            <w:b/>
                            <w:color w:val="231F20"/>
                            <w:sz w:val="17"/>
                          </w:rPr>
                          <w:t>y</w:t>
                        </w:r>
                        <w:r>
                          <w:rPr>
                            <w:rFonts w:ascii="Palatino Linotype" w:hAnsi="Palatino Linotype"/>
                            <w:b/>
                            <w:color w:val="231F20"/>
                            <w:spacing w:val="-29"/>
                            <w:sz w:val="17"/>
                          </w:rPr>
                          <w:t> </w:t>
                        </w:r>
                        <w:r>
                          <w:rPr>
                            <w:rFonts w:ascii="Palatino Linotype" w:hAnsi="Palatino Linotype"/>
                            <w:b/>
                            <w:color w:val="231F20"/>
                            <w:sz w:val="17"/>
                          </w:rPr>
                          <w:t>subrama</w:t>
                          <w:tab/>
                          <w:tab/>
                        </w:r>
                        <w:r>
                          <w:rPr>
                            <w:rFonts w:ascii="Palatino Linotype" w:hAnsi="Palatino Linotype"/>
                            <w:b/>
                            <w:color w:val="231F20"/>
                            <w:w w:val="95"/>
                            <w:position w:val="9"/>
                            <w:sz w:val="17"/>
                          </w:rPr>
                          <w:t>Unidades </w:t>
                        </w:r>
                        <w:r>
                          <w:rPr>
                            <w:rFonts w:ascii="Palatino Linotype" w:hAnsi="Palatino Linotype"/>
                            <w:b/>
                            <w:color w:val="231F20"/>
                            <w:w w:val="90"/>
                            <w:sz w:val="17"/>
                          </w:rPr>
                          <w:t>económicas</w:t>
                        </w:r>
                      </w:p>
                    </w:tc>
                    <w:tc>
                      <w:tcPr>
                        <w:tcW w:w="815" w:type="dxa"/>
                        <w:tcBorders>
                          <w:bottom w:val="single" w:sz="4" w:space="0" w:color="231F20"/>
                        </w:tcBorders>
                      </w:tcPr>
                      <w:p>
                        <w:pPr>
                          <w:pStyle w:val="TableParagraph"/>
                          <w:jc w:val="left"/>
                          <w:rPr>
                            <w:rFonts w:ascii="Palatino Linotype"/>
                            <w:b/>
                            <w:sz w:val="12"/>
                          </w:rPr>
                        </w:pPr>
                      </w:p>
                      <w:p>
                        <w:pPr>
                          <w:pStyle w:val="TableParagraph"/>
                          <w:spacing w:line="188" w:lineRule="exact"/>
                          <w:ind w:left="100" w:right="92" w:hanging="1"/>
                          <w:jc w:val="left"/>
                          <w:rPr>
                            <w:rFonts w:ascii="Palatino Linotype"/>
                            <w:b/>
                            <w:sz w:val="17"/>
                          </w:rPr>
                        </w:pPr>
                        <w:r>
                          <w:rPr>
                            <w:rFonts w:ascii="Palatino Linotype"/>
                            <w:b/>
                            <w:color w:val="231F20"/>
                            <w:w w:val="90"/>
                            <w:sz w:val="17"/>
                          </w:rPr>
                          <w:t>Personal ocupado</w:t>
                        </w:r>
                      </w:p>
                    </w:tc>
                    <w:tc>
                      <w:tcPr>
                        <w:tcW w:w="1991" w:type="dxa"/>
                        <w:gridSpan w:val="2"/>
                        <w:tcBorders>
                          <w:bottom w:val="single" w:sz="4" w:space="0" w:color="231F20"/>
                        </w:tcBorders>
                      </w:tcPr>
                      <w:p>
                        <w:pPr>
                          <w:pStyle w:val="TableParagraph"/>
                          <w:tabs>
                            <w:tab w:pos="1303" w:val="left" w:leader="none"/>
                          </w:tabs>
                          <w:spacing w:line="157" w:lineRule="exact"/>
                          <w:ind w:left="98" w:right="56"/>
                          <w:jc w:val="left"/>
                          <w:rPr>
                            <w:rFonts w:ascii="Palatino Linotype" w:hAnsi="Palatino Linotype"/>
                            <w:b/>
                            <w:sz w:val="17"/>
                          </w:rPr>
                        </w:pPr>
                        <w:r>
                          <w:rPr>
                            <w:rFonts w:ascii="Palatino Linotype" w:hAnsi="Palatino Linotype"/>
                            <w:b/>
                            <w:color w:val="231F20"/>
                            <w:sz w:val="17"/>
                          </w:rPr>
                          <w:t>Producción</w:t>
                          <w:tab/>
                        </w:r>
                        <w:r>
                          <w:rPr>
                            <w:rFonts w:ascii="Palatino Linotype" w:hAnsi="Palatino Linotype"/>
                            <w:b/>
                            <w:color w:val="231F20"/>
                            <w:spacing w:val="-4"/>
                            <w:position w:val="9"/>
                            <w:sz w:val="17"/>
                          </w:rPr>
                          <w:t>Valor</w:t>
                        </w:r>
                      </w:p>
                      <w:p>
                        <w:pPr>
                          <w:pStyle w:val="TableParagraph"/>
                          <w:tabs>
                            <w:tab w:pos="1173" w:val="left" w:leader="none"/>
                          </w:tabs>
                          <w:spacing w:line="196" w:lineRule="auto" w:before="12"/>
                          <w:ind w:left="286" w:right="56" w:hanging="153"/>
                          <w:jc w:val="left"/>
                          <w:rPr>
                            <w:rFonts w:ascii="Palatino Linotype"/>
                            <w:b/>
                            <w:sz w:val="17"/>
                          </w:rPr>
                        </w:pPr>
                        <w:r>
                          <w:rPr>
                            <w:rFonts w:ascii="Palatino Linotype"/>
                            <w:b/>
                            <w:color w:val="231F20"/>
                            <w:position w:val="9"/>
                            <w:sz w:val="17"/>
                          </w:rPr>
                          <w:t>bruta total</w:t>
                        </w:r>
                        <w:r>
                          <w:rPr>
                            <w:rFonts w:ascii="Palatino Linotype"/>
                            <w:b/>
                            <w:color w:val="231F20"/>
                            <w:spacing w:val="-3"/>
                            <w:position w:val="9"/>
                            <w:sz w:val="17"/>
                          </w:rPr>
                          <w:t> </w:t>
                        </w:r>
                        <w:r>
                          <w:rPr>
                            <w:rFonts w:ascii="Palatino Linotype"/>
                            <w:b/>
                            <w:color w:val="231F20"/>
                            <w:sz w:val="17"/>
                          </w:rPr>
                          <w:t>censal bruto </w:t>
                        </w:r>
                        <w:r>
                          <w:rPr>
                            <w:rFonts w:ascii="Palatino Linotype"/>
                            <w:b/>
                            <w:color w:val="231F20"/>
                            <w:position w:val="-8"/>
                            <w:sz w:val="17"/>
                          </w:rPr>
                          <w:t>pesos)</w:t>
                          <w:tab/>
                        </w:r>
                        <w:r>
                          <w:rPr>
                            <w:rFonts w:ascii="Palatino Linotype"/>
                            <w:b/>
                            <w:color w:val="231F20"/>
                            <w:w w:val="90"/>
                            <w:sz w:val="17"/>
                          </w:rPr>
                          <w:t>(miles</w:t>
                        </w:r>
                        <w:r>
                          <w:rPr>
                            <w:rFonts w:ascii="Palatino Linotype"/>
                            <w:b/>
                            <w:color w:val="231F20"/>
                            <w:spacing w:val="5"/>
                            <w:w w:val="90"/>
                            <w:sz w:val="17"/>
                          </w:rPr>
                          <w:t> </w:t>
                        </w:r>
                        <w:r>
                          <w:rPr>
                            <w:rFonts w:ascii="Palatino Linotype"/>
                            <w:b/>
                            <w:color w:val="231F20"/>
                            <w:w w:val="90"/>
                            <w:sz w:val="17"/>
                          </w:rPr>
                          <w:t>de</w:t>
                        </w:r>
                      </w:p>
                    </w:tc>
                  </w:tr>
                  <w:tr>
                    <w:trPr>
                      <w:trHeight w:val="578" w:hRule="exact"/>
                    </w:trPr>
                    <w:tc>
                      <w:tcPr>
                        <w:tcW w:w="4394" w:type="dxa"/>
                        <w:tcBorders>
                          <w:top w:val="single" w:sz="4" w:space="0" w:color="231F20"/>
                          <w:bottom w:val="single" w:sz="4" w:space="0" w:color="231F20"/>
                        </w:tcBorders>
                      </w:tcPr>
                      <w:p>
                        <w:pPr>
                          <w:pStyle w:val="TableParagraph"/>
                          <w:tabs>
                            <w:tab w:pos="3978" w:val="right" w:leader="none"/>
                          </w:tabs>
                          <w:spacing w:line="120" w:lineRule="auto" w:before="173"/>
                          <w:ind w:left="56" w:right="413"/>
                          <w:jc w:val="left"/>
                          <w:rPr>
                            <w:sz w:val="17"/>
                          </w:rPr>
                        </w:pPr>
                        <w:r>
                          <w:rPr>
                            <w:color w:val="231F20"/>
                            <w:sz w:val="17"/>
                          </w:rPr>
                          <w:t>Participación de la industria automotriz en la manufactura</w:t>
                        </w:r>
                        <w:r>
                          <w:rPr>
                            <w:color w:val="231F20"/>
                            <w:position w:val="9"/>
                            <w:sz w:val="17"/>
                          </w:rPr>
                          <w:tab/>
                          <w:t>0.5</w:t>
                        </w:r>
                      </w:p>
                    </w:tc>
                    <w:tc>
                      <w:tcPr>
                        <w:tcW w:w="815" w:type="dxa"/>
                        <w:tcBorders>
                          <w:top w:val="single" w:sz="4" w:space="0" w:color="231F20"/>
                          <w:bottom w:val="single" w:sz="4" w:space="0" w:color="231F20"/>
                        </w:tcBorders>
                      </w:tcPr>
                      <w:p>
                        <w:pPr>
                          <w:pStyle w:val="TableParagraph"/>
                          <w:spacing w:before="11"/>
                          <w:jc w:val="left"/>
                          <w:rPr>
                            <w:rFonts w:ascii="Palatino Linotype"/>
                            <w:b/>
                            <w:sz w:val="13"/>
                          </w:rPr>
                        </w:pPr>
                      </w:p>
                      <w:p>
                        <w:pPr>
                          <w:pStyle w:val="TableParagraph"/>
                          <w:spacing w:before="1"/>
                          <w:ind w:left="238" w:right="238"/>
                          <w:rPr>
                            <w:sz w:val="17"/>
                          </w:rPr>
                        </w:pPr>
                        <w:r>
                          <w:rPr>
                            <w:color w:val="231F20"/>
                            <w:sz w:val="17"/>
                          </w:rPr>
                          <w:t>11.0</w:t>
                        </w:r>
                      </w:p>
                    </w:tc>
                    <w:tc>
                      <w:tcPr>
                        <w:tcW w:w="1991" w:type="dxa"/>
                        <w:gridSpan w:val="2"/>
                        <w:tcBorders>
                          <w:top w:val="single" w:sz="4" w:space="0" w:color="231F20"/>
                          <w:bottom w:val="single" w:sz="4" w:space="0" w:color="231F20"/>
                        </w:tcBorders>
                      </w:tcPr>
                      <w:p>
                        <w:pPr>
                          <w:pStyle w:val="TableParagraph"/>
                          <w:spacing w:before="11"/>
                          <w:jc w:val="left"/>
                          <w:rPr>
                            <w:rFonts w:ascii="Palatino Linotype"/>
                            <w:b/>
                            <w:sz w:val="13"/>
                          </w:rPr>
                        </w:pPr>
                      </w:p>
                      <w:p>
                        <w:pPr>
                          <w:pStyle w:val="TableParagraph"/>
                          <w:tabs>
                            <w:tab w:pos="1355" w:val="left" w:leader="none"/>
                          </w:tabs>
                          <w:spacing w:before="1"/>
                          <w:ind w:left="369" w:right="56"/>
                          <w:jc w:val="left"/>
                          <w:rPr>
                            <w:sz w:val="17"/>
                          </w:rPr>
                        </w:pPr>
                        <w:r>
                          <w:rPr>
                            <w:color w:val="231F20"/>
                            <w:sz w:val="17"/>
                          </w:rPr>
                          <w:t>15.4</w:t>
                          <w:tab/>
                          <w:t>14.4</w:t>
                        </w:r>
                      </w:p>
                    </w:tc>
                  </w:tr>
                  <w:tr>
                    <w:trPr>
                      <w:trHeight w:val="609" w:hRule="exact"/>
                    </w:trPr>
                    <w:tc>
                      <w:tcPr>
                        <w:tcW w:w="4394" w:type="dxa"/>
                      </w:tcPr>
                      <w:p>
                        <w:pPr>
                          <w:pStyle w:val="TableParagraph"/>
                          <w:spacing w:line="188" w:lineRule="exact" w:before="112"/>
                          <w:ind w:left="579" w:right="1162" w:hanging="423"/>
                          <w:jc w:val="left"/>
                          <w:rPr>
                            <w:rFonts w:ascii="Palatino Linotype" w:hAnsi="Palatino Linotype"/>
                            <w:b/>
                            <w:sz w:val="17"/>
                          </w:rPr>
                        </w:pPr>
                        <w:r>
                          <w:rPr>
                            <w:rFonts w:ascii="Palatino Linotype" w:hAnsi="Palatino Linotype"/>
                            <w:b/>
                            <w:color w:val="231F20"/>
                            <w:w w:val="95"/>
                            <w:sz w:val="17"/>
                          </w:rPr>
                          <w:t>Participación</w:t>
                        </w:r>
                        <w:r>
                          <w:rPr>
                            <w:rFonts w:ascii="Palatino Linotype" w:hAnsi="Palatino Linotype"/>
                            <w:b/>
                            <w:color w:val="231F20"/>
                            <w:spacing w:val="-19"/>
                            <w:w w:val="95"/>
                            <w:sz w:val="17"/>
                          </w:rPr>
                          <w:t> </w:t>
                        </w:r>
                        <w:r>
                          <w:rPr>
                            <w:rFonts w:ascii="Palatino Linotype" w:hAnsi="Palatino Linotype"/>
                            <w:b/>
                            <w:color w:val="231F20"/>
                            <w:w w:val="95"/>
                            <w:sz w:val="17"/>
                          </w:rPr>
                          <w:t>de</w:t>
                        </w:r>
                        <w:r>
                          <w:rPr>
                            <w:rFonts w:ascii="Palatino Linotype" w:hAnsi="Palatino Linotype"/>
                            <w:b/>
                            <w:color w:val="231F20"/>
                            <w:spacing w:val="-19"/>
                            <w:w w:val="95"/>
                            <w:sz w:val="17"/>
                          </w:rPr>
                          <w:t> </w:t>
                        </w:r>
                        <w:r>
                          <w:rPr>
                            <w:rFonts w:ascii="Palatino Linotype" w:hAnsi="Palatino Linotype"/>
                            <w:b/>
                            <w:color w:val="231F20"/>
                            <w:w w:val="95"/>
                            <w:sz w:val="17"/>
                          </w:rPr>
                          <w:t>las</w:t>
                        </w:r>
                        <w:r>
                          <w:rPr>
                            <w:rFonts w:ascii="Palatino Linotype" w:hAnsi="Palatino Linotype"/>
                            <w:b/>
                            <w:color w:val="231F20"/>
                            <w:spacing w:val="-19"/>
                            <w:w w:val="95"/>
                            <w:sz w:val="17"/>
                          </w:rPr>
                          <w:t> </w:t>
                        </w:r>
                        <w:r>
                          <w:rPr>
                            <w:rFonts w:ascii="Palatino Linotype" w:hAnsi="Palatino Linotype"/>
                            <w:b/>
                            <w:color w:val="231F20"/>
                            <w:w w:val="95"/>
                            <w:sz w:val="17"/>
                          </w:rPr>
                          <w:t>ramas</w:t>
                        </w:r>
                        <w:r>
                          <w:rPr>
                            <w:rFonts w:ascii="Palatino Linotype" w:hAnsi="Palatino Linotype"/>
                            <w:b/>
                            <w:color w:val="231F20"/>
                            <w:spacing w:val="-19"/>
                            <w:w w:val="95"/>
                            <w:sz w:val="17"/>
                          </w:rPr>
                          <w:t> </w:t>
                        </w:r>
                        <w:r>
                          <w:rPr>
                            <w:rFonts w:ascii="Palatino Linotype" w:hAnsi="Palatino Linotype"/>
                            <w:b/>
                            <w:color w:val="231F20"/>
                            <w:w w:val="95"/>
                            <w:sz w:val="17"/>
                          </w:rPr>
                          <w:t>y</w:t>
                        </w:r>
                        <w:r>
                          <w:rPr>
                            <w:rFonts w:ascii="Palatino Linotype" w:hAnsi="Palatino Linotype"/>
                            <w:b/>
                            <w:color w:val="231F20"/>
                            <w:spacing w:val="-19"/>
                            <w:w w:val="95"/>
                            <w:sz w:val="17"/>
                          </w:rPr>
                          <w:t> </w:t>
                        </w:r>
                        <w:r>
                          <w:rPr>
                            <w:rFonts w:ascii="Palatino Linotype" w:hAnsi="Palatino Linotype"/>
                            <w:b/>
                            <w:color w:val="231F20"/>
                            <w:w w:val="95"/>
                            <w:sz w:val="17"/>
                          </w:rPr>
                          <w:t>subramas</w:t>
                        </w:r>
                        <w:r>
                          <w:rPr>
                            <w:rFonts w:ascii="Palatino Linotype" w:hAnsi="Palatino Linotype"/>
                            <w:b/>
                            <w:color w:val="231F20"/>
                            <w:spacing w:val="-19"/>
                            <w:w w:val="95"/>
                            <w:sz w:val="17"/>
                          </w:rPr>
                          <w:t> </w:t>
                        </w:r>
                        <w:r>
                          <w:rPr>
                            <w:rFonts w:ascii="Palatino Linotype" w:hAnsi="Palatino Linotype"/>
                            <w:b/>
                            <w:color w:val="231F20"/>
                            <w:w w:val="95"/>
                            <w:sz w:val="17"/>
                          </w:rPr>
                          <w:t>en</w:t>
                        </w:r>
                        <w:r>
                          <w:rPr>
                            <w:rFonts w:ascii="Palatino Linotype" w:hAnsi="Palatino Linotype"/>
                            <w:b/>
                            <w:color w:val="231F20"/>
                            <w:spacing w:val="-19"/>
                            <w:w w:val="95"/>
                            <w:sz w:val="17"/>
                          </w:rPr>
                          <w:t> </w:t>
                        </w:r>
                        <w:r>
                          <w:rPr>
                            <w:rFonts w:ascii="Palatino Linotype" w:hAnsi="Palatino Linotype"/>
                            <w:b/>
                            <w:color w:val="231F20"/>
                            <w:w w:val="95"/>
                            <w:sz w:val="17"/>
                          </w:rPr>
                          <w:t>el total</w:t>
                        </w:r>
                        <w:r>
                          <w:rPr>
                            <w:rFonts w:ascii="Palatino Linotype" w:hAnsi="Palatino Linotype"/>
                            <w:b/>
                            <w:color w:val="231F20"/>
                            <w:spacing w:val="-19"/>
                            <w:w w:val="95"/>
                            <w:sz w:val="17"/>
                          </w:rPr>
                          <w:t> </w:t>
                        </w:r>
                        <w:r>
                          <w:rPr>
                            <w:rFonts w:ascii="Palatino Linotype" w:hAnsi="Palatino Linotype"/>
                            <w:b/>
                            <w:color w:val="231F20"/>
                            <w:w w:val="95"/>
                            <w:sz w:val="17"/>
                          </w:rPr>
                          <w:t>de</w:t>
                        </w:r>
                        <w:r>
                          <w:rPr>
                            <w:rFonts w:ascii="Palatino Linotype" w:hAnsi="Palatino Linotype"/>
                            <w:b/>
                            <w:color w:val="231F20"/>
                            <w:spacing w:val="-19"/>
                            <w:w w:val="95"/>
                            <w:sz w:val="17"/>
                          </w:rPr>
                          <w:t> </w:t>
                        </w:r>
                        <w:r>
                          <w:rPr>
                            <w:rFonts w:ascii="Palatino Linotype" w:hAnsi="Palatino Linotype"/>
                            <w:b/>
                            <w:color w:val="231F20"/>
                            <w:w w:val="95"/>
                            <w:sz w:val="17"/>
                          </w:rPr>
                          <w:t>la</w:t>
                        </w:r>
                        <w:r>
                          <w:rPr>
                            <w:rFonts w:ascii="Palatino Linotype" w:hAnsi="Palatino Linotype"/>
                            <w:b/>
                            <w:color w:val="231F20"/>
                            <w:spacing w:val="-19"/>
                            <w:w w:val="95"/>
                            <w:sz w:val="17"/>
                          </w:rPr>
                          <w:t> </w:t>
                        </w:r>
                        <w:r>
                          <w:rPr>
                            <w:rFonts w:ascii="Palatino Linotype" w:hAnsi="Palatino Linotype"/>
                            <w:b/>
                            <w:color w:val="231F20"/>
                            <w:w w:val="95"/>
                            <w:sz w:val="17"/>
                          </w:rPr>
                          <w:t>industria</w:t>
                        </w:r>
                        <w:r>
                          <w:rPr>
                            <w:rFonts w:ascii="Palatino Linotype" w:hAnsi="Palatino Linotype"/>
                            <w:b/>
                            <w:color w:val="231F20"/>
                            <w:spacing w:val="-19"/>
                            <w:w w:val="95"/>
                            <w:sz w:val="17"/>
                          </w:rPr>
                          <w:t> </w:t>
                        </w:r>
                        <w:r>
                          <w:rPr>
                            <w:rFonts w:ascii="Palatino Linotype" w:hAnsi="Palatino Linotype"/>
                            <w:b/>
                            <w:color w:val="231F20"/>
                            <w:w w:val="95"/>
                            <w:sz w:val="17"/>
                          </w:rPr>
                          <w:t>automotriz</w:t>
                        </w:r>
                      </w:p>
                    </w:tc>
                    <w:tc>
                      <w:tcPr>
                        <w:tcW w:w="815" w:type="dxa"/>
                      </w:tcPr>
                      <w:p>
                        <w:pPr/>
                      </w:p>
                    </w:tc>
                    <w:tc>
                      <w:tcPr>
                        <w:tcW w:w="1991" w:type="dxa"/>
                        <w:gridSpan w:val="2"/>
                      </w:tcPr>
                      <w:p>
                        <w:pPr/>
                      </w:p>
                    </w:tc>
                  </w:tr>
                  <w:tr>
                    <w:trPr>
                      <w:trHeight w:val="399" w:hRule="exact"/>
                    </w:trPr>
                    <w:tc>
                      <w:tcPr>
                        <w:tcW w:w="4394" w:type="dxa"/>
                      </w:tcPr>
                      <w:p>
                        <w:pPr>
                          <w:pStyle w:val="TableParagraph"/>
                          <w:tabs>
                            <w:tab w:pos="3984" w:val="right" w:leader="none"/>
                          </w:tabs>
                          <w:spacing w:before="62"/>
                          <w:ind w:left="56"/>
                          <w:jc w:val="left"/>
                          <w:rPr>
                            <w:rFonts w:ascii="Palatino Linotype" w:hAnsi="Palatino Linotype"/>
                            <w:b/>
                            <w:sz w:val="17"/>
                          </w:rPr>
                        </w:pPr>
                        <w:r>
                          <w:rPr>
                            <w:rFonts w:ascii="Palatino Linotype" w:hAnsi="Palatino Linotype"/>
                            <w:b/>
                            <w:color w:val="231F20"/>
                            <w:sz w:val="17"/>
                          </w:rPr>
                          <w:t>3361</w:t>
                        </w:r>
                        <w:r>
                          <w:rPr>
                            <w:rFonts w:ascii="Palatino Linotype" w:hAnsi="Palatino Linotype"/>
                            <w:b/>
                            <w:color w:val="231F20"/>
                            <w:spacing w:val="-18"/>
                            <w:sz w:val="17"/>
                          </w:rPr>
                          <w:t> </w:t>
                        </w:r>
                        <w:r>
                          <w:rPr>
                            <w:rFonts w:ascii="Palatino Linotype" w:hAnsi="Palatino Linotype"/>
                            <w:b/>
                            <w:color w:val="231F20"/>
                            <w:sz w:val="17"/>
                          </w:rPr>
                          <w:t>Fabricación</w:t>
                        </w:r>
                        <w:r>
                          <w:rPr>
                            <w:rFonts w:ascii="Palatino Linotype" w:hAnsi="Palatino Linotype"/>
                            <w:b/>
                            <w:color w:val="231F20"/>
                            <w:spacing w:val="-18"/>
                            <w:sz w:val="17"/>
                          </w:rPr>
                          <w:t> </w:t>
                        </w:r>
                        <w:r>
                          <w:rPr>
                            <w:rFonts w:ascii="Palatino Linotype" w:hAnsi="Palatino Linotype"/>
                            <w:b/>
                            <w:color w:val="231F20"/>
                            <w:sz w:val="17"/>
                          </w:rPr>
                          <w:t>de</w:t>
                        </w:r>
                        <w:r>
                          <w:rPr>
                            <w:rFonts w:ascii="Palatino Linotype" w:hAnsi="Palatino Linotype"/>
                            <w:b/>
                            <w:color w:val="231F20"/>
                            <w:spacing w:val="-18"/>
                            <w:sz w:val="17"/>
                          </w:rPr>
                          <w:t> </w:t>
                        </w:r>
                        <w:r>
                          <w:rPr>
                            <w:rFonts w:ascii="Palatino Linotype" w:hAnsi="Palatino Linotype"/>
                            <w:b/>
                            <w:color w:val="231F20"/>
                            <w:sz w:val="17"/>
                          </w:rPr>
                          <w:t>automóviles</w:t>
                        </w:r>
                        <w:r>
                          <w:rPr>
                            <w:rFonts w:ascii="Palatino Linotype" w:hAnsi="Palatino Linotype"/>
                            <w:b/>
                            <w:color w:val="231F20"/>
                            <w:spacing w:val="-18"/>
                            <w:sz w:val="17"/>
                          </w:rPr>
                          <w:t> </w:t>
                        </w:r>
                        <w:r>
                          <w:rPr>
                            <w:rFonts w:ascii="Palatino Linotype" w:hAnsi="Palatino Linotype"/>
                            <w:b/>
                            <w:color w:val="231F20"/>
                            <w:sz w:val="17"/>
                          </w:rPr>
                          <w:t>y</w:t>
                        </w:r>
                        <w:r>
                          <w:rPr>
                            <w:rFonts w:ascii="Palatino Linotype" w:hAnsi="Palatino Linotype"/>
                            <w:b/>
                            <w:color w:val="231F20"/>
                            <w:spacing w:val="-18"/>
                            <w:sz w:val="17"/>
                          </w:rPr>
                          <w:t> </w:t>
                        </w:r>
                        <w:r>
                          <w:rPr>
                            <w:rFonts w:ascii="Palatino Linotype" w:hAnsi="Palatino Linotype"/>
                            <w:b/>
                            <w:color w:val="231F20"/>
                            <w:sz w:val="17"/>
                          </w:rPr>
                          <w:t>camiones</w:t>
                          <w:tab/>
                          <w:t>1.8</w:t>
                        </w:r>
                      </w:p>
                    </w:tc>
                    <w:tc>
                      <w:tcPr>
                        <w:tcW w:w="815" w:type="dxa"/>
                      </w:tcPr>
                      <w:p>
                        <w:pPr>
                          <w:pStyle w:val="TableParagraph"/>
                          <w:spacing w:before="62"/>
                          <w:ind w:left="238" w:right="238"/>
                          <w:rPr>
                            <w:rFonts w:ascii="Palatino Linotype"/>
                            <w:b/>
                            <w:sz w:val="17"/>
                          </w:rPr>
                        </w:pPr>
                        <w:r>
                          <w:rPr>
                            <w:rFonts w:ascii="Palatino Linotype"/>
                            <w:b/>
                            <w:color w:val="231F20"/>
                            <w:sz w:val="17"/>
                          </w:rPr>
                          <w:t>9.9</w:t>
                        </w:r>
                      </w:p>
                    </w:tc>
                    <w:tc>
                      <w:tcPr>
                        <w:tcW w:w="1005" w:type="dxa"/>
                      </w:tcPr>
                      <w:p>
                        <w:pPr>
                          <w:pStyle w:val="TableParagraph"/>
                          <w:spacing w:before="62"/>
                          <w:ind w:left="341" w:right="324"/>
                          <w:rPr>
                            <w:rFonts w:ascii="Palatino Linotype"/>
                            <w:b/>
                            <w:sz w:val="17"/>
                          </w:rPr>
                        </w:pPr>
                        <w:r>
                          <w:rPr>
                            <w:rFonts w:ascii="Palatino Linotype"/>
                            <w:b/>
                            <w:color w:val="231F20"/>
                            <w:sz w:val="17"/>
                          </w:rPr>
                          <w:t>52.7</w:t>
                        </w:r>
                      </w:p>
                    </w:tc>
                    <w:tc>
                      <w:tcPr>
                        <w:tcW w:w="986" w:type="dxa"/>
                      </w:tcPr>
                      <w:p>
                        <w:pPr>
                          <w:pStyle w:val="TableParagraph"/>
                          <w:spacing w:before="62"/>
                          <w:ind w:left="324" w:right="324"/>
                          <w:rPr>
                            <w:rFonts w:ascii="Palatino Linotype"/>
                            <w:b/>
                            <w:sz w:val="17"/>
                          </w:rPr>
                        </w:pPr>
                        <w:r>
                          <w:rPr>
                            <w:rFonts w:ascii="Palatino Linotype"/>
                            <w:b/>
                            <w:color w:val="231F20"/>
                            <w:sz w:val="17"/>
                          </w:rPr>
                          <w:t>38.9</w:t>
                        </w:r>
                      </w:p>
                    </w:tc>
                  </w:tr>
                  <w:tr>
                    <w:trPr>
                      <w:trHeight w:val="415" w:hRule="exact"/>
                    </w:trPr>
                    <w:tc>
                      <w:tcPr>
                        <w:tcW w:w="4394" w:type="dxa"/>
                      </w:tcPr>
                      <w:p>
                        <w:pPr>
                          <w:pStyle w:val="TableParagraph"/>
                          <w:tabs>
                            <w:tab w:pos="3978" w:val="right" w:leader="none"/>
                          </w:tabs>
                          <w:spacing w:before="80"/>
                          <w:ind w:left="56"/>
                          <w:jc w:val="left"/>
                          <w:rPr>
                            <w:sz w:val="17"/>
                          </w:rPr>
                        </w:pPr>
                        <w:r>
                          <w:rPr>
                            <w:color w:val="231F20"/>
                            <w:sz w:val="17"/>
                          </w:rPr>
                          <w:t>33611 Fabricación de automóviles</w:t>
                        </w:r>
                        <w:r>
                          <w:rPr>
                            <w:color w:val="231F20"/>
                            <w:spacing w:val="-29"/>
                            <w:sz w:val="17"/>
                          </w:rPr>
                          <w:t> </w:t>
                        </w:r>
                        <w:r>
                          <w:rPr>
                            <w:color w:val="231F20"/>
                            <w:sz w:val="17"/>
                          </w:rPr>
                          <w:t>y</w:t>
                        </w:r>
                        <w:r>
                          <w:rPr>
                            <w:color w:val="231F20"/>
                            <w:spacing w:val="-8"/>
                            <w:sz w:val="17"/>
                          </w:rPr>
                          <w:t> </w:t>
                        </w:r>
                        <w:r>
                          <w:rPr>
                            <w:color w:val="231F20"/>
                            <w:sz w:val="17"/>
                          </w:rPr>
                          <w:t>camionetas</w:t>
                          <w:tab/>
                          <w:t>0.7</w:t>
                        </w:r>
                      </w:p>
                    </w:tc>
                    <w:tc>
                      <w:tcPr>
                        <w:tcW w:w="815" w:type="dxa"/>
                      </w:tcPr>
                      <w:p>
                        <w:pPr>
                          <w:pStyle w:val="TableParagraph"/>
                          <w:spacing w:before="80"/>
                          <w:ind w:left="238" w:right="238"/>
                          <w:rPr>
                            <w:sz w:val="17"/>
                          </w:rPr>
                        </w:pPr>
                        <w:r>
                          <w:rPr>
                            <w:color w:val="231F20"/>
                            <w:sz w:val="17"/>
                          </w:rPr>
                          <w:t>7.5</w:t>
                        </w:r>
                      </w:p>
                    </w:tc>
                    <w:tc>
                      <w:tcPr>
                        <w:tcW w:w="1005" w:type="dxa"/>
                      </w:tcPr>
                      <w:p>
                        <w:pPr>
                          <w:pStyle w:val="TableParagraph"/>
                          <w:spacing w:before="80"/>
                          <w:ind w:left="342" w:right="324"/>
                          <w:rPr>
                            <w:sz w:val="17"/>
                          </w:rPr>
                        </w:pPr>
                        <w:r>
                          <w:rPr>
                            <w:color w:val="231F20"/>
                            <w:sz w:val="17"/>
                          </w:rPr>
                          <w:t>43.4</w:t>
                        </w:r>
                      </w:p>
                    </w:tc>
                    <w:tc>
                      <w:tcPr>
                        <w:tcW w:w="986" w:type="dxa"/>
                      </w:tcPr>
                      <w:p>
                        <w:pPr>
                          <w:pStyle w:val="TableParagraph"/>
                          <w:spacing w:before="80"/>
                          <w:ind w:left="324" w:right="324"/>
                          <w:rPr>
                            <w:sz w:val="17"/>
                          </w:rPr>
                        </w:pPr>
                        <w:r>
                          <w:rPr>
                            <w:color w:val="231F20"/>
                            <w:sz w:val="17"/>
                          </w:rPr>
                          <w:t>34.0</w:t>
                        </w:r>
                      </w:p>
                    </w:tc>
                  </w:tr>
                  <w:tr>
                    <w:trPr>
                      <w:trHeight w:val="434" w:hRule="exact"/>
                    </w:trPr>
                    <w:tc>
                      <w:tcPr>
                        <w:tcW w:w="4394" w:type="dxa"/>
                      </w:tcPr>
                      <w:p>
                        <w:pPr>
                          <w:pStyle w:val="TableParagraph"/>
                          <w:spacing w:line="148" w:lineRule="exact"/>
                          <w:ind w:left="56" w:right="97"/>
                          <w:jc w:val="left"/>
                          <w:rPr>
                            <w:rFonts w:ascii="Palatino Linotype" w:hAnsi="Palatino Linotype"/>
                            <w:b/>
                            <w:sz w:val="17"/>
                          </w:rPr>
                        </w:pPr>
                        <w:r>
                          <w:rPr>
                            <w:rFonts w:ascii="Palatino Linotype" w:hAnsi="Palatino Linotype"/>
                            <w:b/>
                            <w:color w:val="231F20"/>
                            <w:w w:val="95"/>
                            <w:sz w:val="17"/>
                          </w:rPr>
                          <w:t>33612 Fabricación de camiones y</w:t>
                        </w:r>
                      </w:p>
                      <w:p>
                        <w:pPr>
                          <w:pStyle w:val="TableParagraph"/>
                          <w:tabs>
                            <w:tab w:pos="3984" w:val="right" w:leader="none"/>
                          </w:tabs>
                          <w:spacing w:line="253" w:lineRule="exact"/>
                          <w:ind w:left="56"/>
                          <w:jc w:val="left"/>
                          <w:rPr>
                            <w:rFonts w:ascii="Palatino Linotype"/>
                            <w:b/>
                            <w:sz w:val="17"/>
                          </w:rPr>
                        </w:pPr>
                        <w:r>
                          <w:rPr>
                            <w:rFonts w:ascii="Palatino Linotype"/>
                            <w:b/>
                            <w:color w:val="231F20"/>
                            <w:sz w:val="17"/>
                          </w:rPr>
                          <w:t>tractocamiones</w:t>
                        </w:r>
                        <w:r>
                          <w:rPr>
                            <w:rFonts w:ascii="Palatino Linotype"/>
                            <w:b/>
                            <w:color w:val="231F20"/>
                            <w:position w:val="9"/>
                            <w:sz w:val="17"/>
                          </w:rPr>
                          <w:tab/>
                          <w:t>1.1</w:t>
                        </w:r>
                      </w:p>
                    </w:tc>
                    <w:tc>
                      <w:tcPr>
                        <w:tcW w:w="815" w:type="dxa"/>
                      </w:tcPr>
                      <w:p>
                        <w:pPr>
                          <w:pStyle w:val="TableParagraph"/>
                          <w:spacing w:before="78"/>
                          <w:ind w:left="238" w:right="238"/>
                          <w:rPr>
                            <w:rFonts w:ascii="Palatino Linotype"/>
                            <w:b/>
                            <w:sz w:val="17"/>
                          </w:rPr>
                        </w:pPr>
                        <w:r>
                          <w:rPr>
                            <w:rFonts w:ascii="Palatino Linotype"/>
                            <w:b/>
                            <w:color w:val="231F20"/>
                            <w:sz w:val="17"/>
                          </w:rPr>
                          <w:t>2.5</w:t>
                        </w:r>
                      </w:p>
                    </w:tc>
                    <w:tc>
                      <w:tcPr>
                        <w:tcW w:w="1005" w:type="dxa"/>
                      </w:tcPr>
                      <w:p>
                        <w:pPr>
                          <w:pStyle w:val="TableParagraph"/>
                          <w:spacing w:before="78"/>
                          <w:ind w:left="342" w:right="324"/>
                          <w:rPr>
                            <w:rFonts w:ascii="Palatino Linotype"/>
                            <w:b/>
                            <w:sz w:val="17"/>
                          </w:rPr>
                        </w:pPr>
                        <w:r>
                          <w:rPr>
                            <w:rFonts w:ascii="Palatino Linotype"/>
                            <w:b/>
                            <w:color w:val="231F20"/>
                            <w:sz w:val="17"/>
                          </w:rPr>
                          <w:t>9.3</w:t>
                        </w:r>
                      </w:p>
                    </w:tc>
                    <w:tc>
                      <w:tcPr>
                        <w:tcW w:w="986" w:type="dxa"/>
                      </w:tcPr>
                      <w:p>
                        <w:pPr>
                          <w:pStyle w:val="TableParagraph"/>
                          <w:spacing w:before="78"/>
                          <w:ind w:left="324" w:right="324"/>
                          <w:rPr>
                            <w:rFonts w:ascii="Palatino Linotype"/>
                            <w:b/>
                            <w:sz w:val="17"/>
                          </w:rPr>
                        </w:pPr>
                        <w:r>
                          <w:rPr>
                            <w:rFonts w:ascii="Palatino Linotype"/>
                            <w:b/>
                            <w:color w:val="231F20"/>
                            <w:sz w:val="17"/>
                          </w:rPr>
                          <w:t>5.0</w:t>
                        </w:r>
                      </w:p>
                    </w:tc>
                  </w:tr>
                  <w:tr>
                    <w:trPr>
                      <w:trHeight w:val="416" w:hRule="exact"/>
                    </w:trPr>
                    <w:tc>
                      <w:tcPr>
                        <w:tcW w:w="4394" w:type="dxa"/>
                      </w:tcPr>
                      <w:p>
                        <w:pPr>
                          <w:pStyle w:val="TableParagraph"/>
                          <w:tabs>
                            <w:tab w:pos="4019" w:val="right" w:leader="none"/>
                          </w:tabs>
                          <w:spacing w:before="98"/>
                          <w:ind w:left="57"/>
                          <w:jc w:val="left"/>
                          <w:rPr>
                            <w:sz w:val="17"/>
                          </w:rPr>
                        </w:pPr>
                        <w:r>
                          <w:rPr>
                            <w:color w:val="231F20"/>
                            <w:sz w:val="17"/>
                          </w:rPr>
                          <w:t>3362 Fabricación de carrocerías</w:t>
                        </w:r>
                        <w:r>
                          <w:rPr>
                            <w:color w:val="231F20"/>
                            <w:spacing w:val="-24"/>
                            <w:sz w:val="17"/>
                          </w:rPr>
                          <w:t> </w:t>
                        </w:r>
                        <w:r>
                          <w:rPr>
                            <w:color w:val="231F20"/>
                            <w:sz w:val="17"/>
                          </w:rPr>
                          <w:t>y</w:t>
                        </w:r>
                        <w:r>
                          <w:rPr>
                            <w:color w:val="231F20"/>
                            <w:spacing w:val="-6"/>
                            <w:sz w:val="17"/>
                          </w:rPr>
                          <w:t> </w:t>
                        </w:r>
                        <w:r>
                          <w:rPr>
                            <w:color w:val="231F20"/>
                            <w:sz w:val="17"/>
                          </w:rPr>
                          <w:t>remolques</w:t>
                          <w:tab/>
                          <w:t>35.7</w:t>
                        </w:r>
                      </w:p>
                    </w:tc>
                    <w:tc>
                      <w:tcPr>
                        <w:tcW w:w="815" w:type="dxa"/>
                      </w:tcPr>
                      <w:p>
                        <w:pPr>
                          <w:pStyle w:val="TableParagraph"/>
                          <w:spacing w:before="98"/>
                          <w:ind w:left="238" w:right="237"/>
                          <w:rPr>
                            <w:sz w:val="17"/>
                          </w:rPr>
                        </w:pPr>
                        <w:r>
                          <w:rPr>
                            <w:color w:val="231F20"/>
                            <w:sz w:val="17"/>
                          </w:rPr>
                          <w:t>4.1</w:t>
                        </w:r>
                      </w:p>
                    </w:tc>
                    <w:tc>
                      <w:tcPr>
                        <w:tcW w:w="1005" w:type="dxa"/>
                      </w:tcPr>
                      <w:p>
                        <w:pPr>
                          <w:pStyle w:val="TableParagraph"/>
                          <w:spacing w:before="98"/>
                          <w:ind w:left="342" w:right="324"/>
                          <w:rPr>
                            <w:sz w:val="17"/>
                          </w:rPr>
                        </w:pPr>
                        <w:r>
                          <w:rPr>
                            <w:color w:val="231F20"/>
                            <w:sz w:val="17"/>
                          </w:rPr>
                          <w:t>2.0</w:t>
                        </w:r>
                      </w:p>
                    </w:tc>
                    <w:tc>
                      <w:tcPr>
                        <w:tcW w:w="986" w:type="dxa"/>
                      </w:tcPr>
                      <w:p>
                        <w:pPr>
                          <w:pStyle w:val="TableParagraph"/>
                          <w:spacing w:before="98"/>
                          <w:ind w:left="324" w:right="324"/>
                          <w:rPr>
                            <w:sz w:val="17"/>
                          </w:rPr>
                        </w:pPr>
                        <w:r>
                          <w:rPr>
                            <w:color w:val="231F20"/>
                            <w:sz w:val="17"/>
                          </w:rPr>
                          <w:t>2.1</w:t>
                        </w:r>
                      </w:p>
                    </w:tc>
                  </w:tr>
                  <w:tr>
                    <w:trPr>
                      <w:trHeight w:val="415" w:hRule="exact"/>
                    </w:trPr>
                    <w:tc>
                      <w:tcPr>
                        <w:tcW w:w="4394" w:type="dxa"/>
                      </w:tcPr>
                      <w:p>
                        <w:pPr>
                          <w:pStyle w:val="TableParagraph"/>
                          <w:tabs>
                            <w:tab w:pos="4019" w:val="right" w:leader="none"/>
                          </w:tabs>
                          <w:spacing w:before="79"/>
                          <w:ind w:left="57"/>
                          <w:jc w:val="left"/>
                          <w:rPr>
                            <w:sz w:val="17"/>
                          </w:rPr>
                        </w:pPr>
                        <w:r>
                          <w:rPr>
                            <w:color w:val="231F20"/>
                            <w:sz w:val="17"/>
                          </w:rPr>
                          <w:t>33621 Fabricación de carrocerías</w:t>
                        </w:r>
                        <w:r>
                          <w:rPr>
                            <w:color w:val="231F20"/>
                            <w:spacing w:val="-25"/>
                            <w:sz w:val="17"/>
                          </w:rPr>
                          <w:t> </w:t>
                        </w:r>
                        <w:r>
                          <w:rPr>
                            <w:color w:val="231F20"/>
                            <w:sz w:val="17"/>
                          </w:rPr>
                          <w:t>y</w:t>
                        </w:r>
                        <w:r>
                          <w:rPr>
                            <w:color w:val="231F20"/>
                            <w:spacing w:val="-7"/>
                            <w:sz w:val="17"/>
                          </w:rPr>
                          <w:t> </w:t>
                        </w:r>
                        <w:r>
                          <w:rPr>
                            <w:color w:val="231F20"/>
                            <w:sz w:val="17"/>
                          </w:rPr>
                          <w:t>remolques</w:t>
                          <w:tab/>
                          <w:t>35.7</w:t>
                        </w:r>
                      </w:p>
                    </w:tc>
                    <w:tc>
                      <w:tcPr>
                        <w:tcW w:w="815" w:type="dxa"/>
                      </w:tcPr>
                      <w:p>
                        <w:pPr>
                          <w:pStyle w:val="TableParagraph"/>
                          <w:spacing w:before="79"/>
                          <w:ind w:left="238" w:right="237"/>
                          <w:rPr>
                            <w:sz w:val="17"/>
                          </w:rPr>
                        </w:pPr>
                        <w:r>
                          <w:rPr>
                            <w:color w:val="231F20"/>
                            <w:sz w:val="17"/>
                          </w:rPr>
                          <w:t>4.1</w:t>
                        </w:r>
                      </w:p>
                    </w:tc>
                    <w:tc>
                      <w:tcPr>
                        <w:tcW w:w="1005" w:type="dxa"/>
                      </w:tcPr>
                      <w:p>
                        <w:pPr>
                          <w:pStyle w:val="TableParagraph"/>
                          <w:spacing w:before="79"/>
                          <w:ind w:left="342" w:right="324"/>
                          <w:rPr>
                            <w:sz w:val="17"/>
                          </w:rPr>
                        </w:pPr>
                        <w:r>
                          <w:rPr>
                            <w:color w:val="231F20"/>
                            <w:sz w:val="17"/>
                          </w:rPr>
                          <w:t>2.0</w:t>
                        </w:r>
                      </w:p>
                    </w:tc>
                    <w:tc>
                      <w:tcPr>
                        <w:tcW w:w="986" w:type="dxa"/>
                      </w:tcPr>
                      <w:p>
                        <w:pPr>
                          <w:pStyle w:val="TableParagraph"/>
                          <w:spacing w:before="79"/>
                          <w:ind w:left="324" w:right="324"/>
                          <w:rPr>
                            <w:sz w:val="17"/>
                          </w:rPr>
                        </w:pPr>
                        <w:r>
                          <w:rPr>
                            <w:color w:val="231F20"/>
                            <w:sz w:val="17"/>
                          </w:rPr>
                          <w:t>2.1</w:t>
                        </w:r>
                      </w:p>
                    </w:tc>
                  </w:tr>
                  <w:tr>
                    <w:trPr>
                      <w:trHeight w:val="431" w:hRule="exact"/>
                    </w:trPr>
                    <w:tc>
                      <w:tcPr>
                        <w:tcW w:w="4394" w:type="dxa"/>
                        <w:tcBorders>
                          <w:bottom w:val="single" w:sz="4" w:space="0" w:color="231F20"/>
                        </w:tcBorders>
                      </w:tcPr>
                      <w:p>
                        <w:pPr>
                          <w:pStyle w:val="TableParagraph"/>
                          <w:spacing w:line="148" w:lineRule="exact"/>
                          <w:ind w:left="57" w:right="97"/>
                          <w:jc w:val="left"/>
                          <w:rPr>
                            <w:rFonts w:ascii="Palatino Linotype" w:hAnsi="Palatino Linotype"/>
                            <w:b/>
                            <w:sz w:val="17"/>
                          </w:rPr>
                        </w:pPr>
                        <w:r>
                          <w:rPr>
                            <w:rFonts w:ascii="Palatino Linotype" w:hAnsi="Palatino Linotype"/>
                            <w:b/>
                            <w:color w:val="231F20"/>
                            <w:w w:val="95"/>
                            <w:sz w:val="17"/>
                          </w:rPr>
                          <w:t>3363 Fabricación de partes para vehículos</w:t>
                        </w:r>
                      </w:p>
                      <w:p>
                        <w:pPr>
                          <w:pStyle w:val="TableParagraph"/>
                          <w:tabs>
                            <w:tab w:pos="4027" w:val="right" w:leader="none"/>
                          </w:tabs>
                          <w:spacing w:line="253" w:lineRule="exact"/>
                          <w:ind w:left="57"/>
                          <w:jc w:val="left"/>
                          <w:rPr>
                            <w:rFonts w:ascii="Palatino Linotype"/>
                            <w:b/>
                            <w:sz w:val="17"/>
                          </w:rPr>
                        </w:pPr>
                        <w:r>
                          <w:rPr>
                            <w:rFonts w:ascii="Palatino Linotype"/>
                            <w:b/>
                            <w:color w:val="231F20"/>
                            <w:sz w:val="17"/>
                          </w:rPr>
                          <w:t>automotores</w:t>
                        </w:r>
                        <w:r>
                          <w:rPr>
                            <w:rFonts w:ascii="Palatino Linotype"/>
                            <w:b/>
                            <w:color w:val="231F20"/>
                            <w:position w:val="9"/>
                            <w:sz w:val="17"/>
                          </w:rPr>
                          <w:tab/>
                          <w:t>62.5</w:t>
                        </w:r>
                      </w:p>
                    </w:tc>
                    <w:tc>
                      <w:tcPr>
                        <w:tcW w:w="815" w:type="dxa"/>
                        <w:tcBorders>
                          <w:bottom w:val="single" w:sz="4" w:space="0" w:color="231F20"/>
                        </w:tcBorders>
                      </w:tcPr>
                      <w:p>
                        <w:pPr>
                          <w:pStyle w:val="TableParagraph"/>
                          <w:spacing w:before="78"/>
                          <w:ind w:left="238" w:right="237"/>
                          <w:rPr>
                            <w:rFonts w:ascii="Palatino Linotype"/>
                            <w:b/>
                            <w:sz w:val="17"/>
                          </w:rPr>
                        </w:pPr>
                        <w:r>
                          <w:rPr>
                            <w:rFonts w:ascii="Palatino Linotype"/>
                            <w:b/>
                            <w:color w:val="231F20"/>
                            <w:sz w:val="17"/>
                          </w:rPr>
                          <w:t>86.0</w:t>
                        </w:r>
                      </w:p>
                    </w:tc>
                    <w:tc>
                      <w:tcPr>
                        <w:tcW w:w="1005" w:type="dxa"/>
                        <w:tcBorders>
                          <w:bottom w:val="single" w:sz="4" w:space="0" w:color="231F20"/>
                        </w:tcBorders>
                      </w:tcPr>
                      <w:p>
                        <w:pPr>
                          <w:pStyle w:val="TableParagraph"/>
                          <w:spacing w:before="78"/>
                          <w:ind w:left="342" w:right="324"/>
                          <w:rPr>
                            <w:rFonts w:ascii="Palatino Linotype"/>
                            <w:b/>
                            <w:sz w:val="17"/>
                          </w:rPr>
                        </w:pPr>
                        <w:r>
                          <w:rPr>
                            <w:rFonts w:ascii="Palatino Linotype"/>
                            <w:b/>
                            <w:color w:val="231F20"/>
                            <w:sz w:val="17"/>
                          </w:rPr>
                          <w:t>45.2</w:t>
                        </w:r>
                      </w:p>
                    </w:tc>
                    <w:tc>
                      <w:tcPr>
                        <w:tcW w:w="986" w:type="dxa"/>
                        <w:tcBorders>
                          <w:bottom w:val="single" w:sz="4" w:space="0" w:color="231F20"/>
                        </w:tcBorders>
                      </w:tcPr>
                      <w:p>
                        <w:pPr>
                          <w:pStyle w:val="TableParagraph"/>
                          <w:spacing w:before="78"/>
                          <w:ind w:left="324" w:right="324"/>
                          <w:rPr>
                            <w:rFonts w:ascii="Palatino Linotype"/>
                            <w:b/>
                            <w:sz w:val="17"/>
                          </w:rPr>
                        </w:pPr>
                        <w:r>
                          <w:rPr>
                            <w:rFonts w:ascii="Palatino Linotype"/>
                            <w:b/>
                            <w:color w:val="231F20"/>
                            <w:sz w:val="17"/>
                          </w:rPr>
                          <w:t>59.0</w:t>
                        </w:r>
                      </w:p>
                    </w:tc>
                  </w:tr>
                </w:tbl>
                <w:p>
                  <w:pPr>
                    <w:pStyle w:val="BodyText"/>
                  </w:pPr>
                </w:p>
              </w:txbxContent>
            </v:textbox>
            <w10:wrap type="none"/>
          </v:shape>
        </w:pict>
      </w:r>
      <w:r>
        <w:rPr>
          <w:rFonts w:ascii="Palatino Linotype" w:hAnsi="Palatino Linotype"/>
          <w:b/>
          <w:color w:val="231F20"/>
          <w:w w:val="95"/>
          <w:sz w:val="21"/>
        </w:rPr>
        <w:t>México:</w:t>
      </w:r>
      <w:r>
        <w:rPr>
          <w:rFonts w:ascii="Palatino Linotype" w:hAnsi="Palatino Linotype"/>
          <w:b/>
          <w:color w:val="231F20"/>
          <w:spacing w:val="-28"/>
          <w:w w:val="95"/>
          <w:sz w:val="21"/>
        </w:rPr>
        <w:t> </w:t>
      </w:r>
      <w:r>
        <w:rPr>
          <w:rFonts w:ascii="Palatino Linotype" w:hAnsi="Palatino Linotype"/>
          <w:b/>
          <w:color w:val="231F20"/>
          <w:w w:val="95"/>
          <w:sz w:val="21"/>
        </w:rPr>
        <w:t>sector</w:t>
      </w:r>
      <w:r>
        <w:rPr>
          <w:rFonts w:ascii="Palatino Linotype" w:hAnsi="Palatino Linotype"/>
          <w:b/>
          <w:color w:val="231F20"/>
          <w:spacing w:val="-28"/>
          <w:w w:val="95"/>
          <w:sz w:val="21"/>
        </w:rPr>
        <w:t> </w:t>
      </w:r>
      <w:r>
        <w:rPr>
          <w:rFonts w:ascii="Palatino Linotype" w:hAnsi="Palatino Linotype"/>
          <w:b/>
          <w:color w:val="231F20"/>
          <w:w w:val="95"/>
          <w:sz w:val="21"/>
        </w:rPr>
        <w:t>automotriz,</w:t>
      </w:r>
      <w:r>
        <w:rPr>
          <w:rFonts w:ascii="Palatino Linotype" w:hAnsi="Palatino Linotype"/>
          <w:b/>
          <w:color w:val="231F20"/>
          <w:spacing w:val="-28"/>
          <w:w w:val="95"/>
          <w:sz w:val="21"/>
        </w:rPr>
        <w:t> </w:t>
      </w:r>
      <w:r>
        <w:rPr>
          <w:rFonts w:ascii="Palatino Linotype" w:hAnsi="Palatino Linotype"/>
          <w:b/>
          <w:color w:val="231F20"/>
          <w:w w:val="95"/>
          <w:sz w:val="21"/>
        </w:rPr>
        <w:t>UE,</w:t>
      </w:r>
      <w:r>
        <w:rPr>
          <w:rFonts w:ascii="Palatino Linotype" w:hAnsi="Palatino Linotype"/>
          <w:b/>
          <w:color w:val="231F20"/>
          <w:spacing w:val="-28"/>
          <w:w w:val="95"/>
          <w:sz w:val="21"/>
        </w:rPr>
        <w:t> </w:t>
      </w:r>
      <w:r>
        <w:rPr>
          <w:rFonts w:ascii="Palatino Linotype" w:hAnsi="Palatino Linotype"/>
          <w:b/>
          <w:color w:val="231F20"/>
          <w:spacing w:val="-3"/>
          <w:w w:val="95"/>
          <w:sz w:val="21"/>
        </w:rPr>
        <w:t>PO,</w:t>
      </w:r>
      <w:r>
        <w:rPr>
          <w:rFonts w:ascii="Palatino Linotype" w:hAnsi="Palatino Linotype"/>
          <w:b/>
          <w:color w:val="231F20"/>
          <w:spacing w:val="-28"/>
          <w:w w:val="95"/>
          <w:sz w:val="21"/>
        </w:rPr>
        <w:t> </w:t>
      </w:r>
      <w:r>
        <w:rPr>
          <w:rFonts w:ascii="Palatino Linotype" w:hAnsi="Palatino Linotype"/>
          <w:b/>
          <w:color w:val="231F20"/>
          <w:w w:val="95"/>
          <w:sz w:val="21"/>
        </w:rPr>
        <w:t>PBT</w:t>
      </w:r>
      <w:r>
        <w:rPr>
          <w:rFonts w:ascii="Palatino Linotype" w:hAnsi="Palatino Linotype"/>
          <w:b/>
          <w:color w:val="231F20"/>
          <w:spacing w:val="-28"/>
          <w:w w:val="95"/>
          <w:sz w:val="21"/>
        </w:rPr>
        <w:t> </w:t>
      </w:r>
      <w:r>
        <w:rPr>
          <w:rFonts w:ascii="Palatino Linotype" w:hAnsi="Palatino Linotype"/>
          <w:b/>
          <w:color w:val="231F20"/>
          <w:w w:val="95"/>
          <w:sz w:val="21"/>
        </w:rPr>
        <w:t>y</w:t>
      </w:r>
      <w:r>
        <w:rPr>
          <w:rFonts w:ascii="Palatino Linotype" w:hAnsi="Palatino Linotype"/>
          <w:b/>
          <w:color w:val="231F20"/>
          <w:spacing w:val="-28"/>
          <w:w w:val="95"/>
          <w:sz w:val="21"/>
        </w:rPr>
        <w:t> </w:t>
      </w:r>
      <w:r>
        <w:rPr>
          <w:rFonts w:ascii="Palatino Linotype" w:hAnsi="Palatino Linotype"/>
          <w:b/>
          <w:color w:val="231F20"/>
          <w:spacing w:val="-8"/>
          <w:w w:val="95"/>
          <w:sz w:val="21"/>
        </w:rPr>
        <w:t>VACB,</w:t>
      </w:r>
      <w:r>
        <w:rPr>
          <w:rFonts w:ascii="Palatino Linotype" w:hAnsi="Palatino Linotype"/>
          <w:b/>
          <w:color w:val="231F20"/>
          <w:spacing w:val="-28"/>
          <w:w w:val="95"/>
          <w:sz w:val="21"/>
        </w:rPr>
        <w:t> </w:t>
      </w:r>
      <w:r>
        <w:rPr>
          <w:rFonts w:ascii="Palatino Linotype" w:hAnsi="Palatino Linotype"/>
          <w:b/>
          <w:color w:val="231F20"/>
          <w:w w:val="95"/>
          <w:sz w:val="21"/>
        </w:rPr>
        <w:t>participación</w:t>
      </w:r>
      <w:r>
        <w:rPr>
          <w:rFonts w:ascii="Palatino Linotype" w:hAnsi="Palatino Linotype"/>
          <w:b/>
          <w:color w:val="231F20"/>
          <w:spacing w:val="-28"/>
          <w:w w:val="95"/>
          <w:sz w:val="21"/>
        </w:rPr>
        <w:t> </w:t>
      </w:r>
      <w:r>
        <w:rPr>
          <w:rFonts w:ascii="Palatino Linotype" w:hAnsi="Palatino Linotype"/>
          <w:b/>
          <w:color w:val="231F20"/>
          <w:w w:val="95"/>
          <w:sz w:val="21"/>
        </w:rPr>
        <w:t>porcentual en</w:t>
      </w:r>
      <w:r>
        <w:rPr>
          <w:rFonts w:ascii="Palatino Linotype" w:hAnsi="Palatino Linotype"/>
          <w:b/>
          <w:color w:val="231F20"/>
          <w:spacing w:val="-26"/>
          <w:w w:val="95"/>
          <w:sz w:val="21"/>
        </w:rPr>
        <w:t> </w:t>
      </w:r>
      <w:r>
        <w:rPr>
          <w:rFonts w:ascii="Palatino Linotype" w:hAnsi="Palatino Linotype"/>
          <w:b/>
          <w:color w:val="231F20"/>
          <w:w w:val="95"/>
          <w:sz w:val="21"/>
        </w:rPr>
        <w:t>el</w:t>
      </w:r>
      <w:r>
        <w:rPr>
          <w:rFonts w:ascii="Palatino Linotype" w:hAnsi="Palatino Linotype"/>
          <w:b/>
          <w:color w:val="231F20"/>
          <w:spacing w:val="-26"/>
          <w:w w:val="95"/>
          <w:sz w:val="21"/>
        </w:rPr>
        <w:t> </w:t>
      </w:r>
      <w:r>
        <w:rPr>
          <w:rFonts w:ascii="Palatino Linotype" w:hAnsi="Palatino Linotype"/>
          <w:b/>
          <w:color w:val="231F20"/>
          <w:w w:val="95"/>
          <w:sz w:val="21"/>
        </w:rPr>
        <w:t>total</w:t>
      </w:r>
      <w:r>
        <w:rPr>
          <w:rFonts w:ascii="Palatino Linotype" w:hAnsi="Palatino Linotype"/>
          <w:b/>
          <w:color w:val="231F20"/>
          <w:spacing w:val="-26"/>
          <w:w w:val="95"/>
          <w:sz w:val="21"/>
        </w:rPr>
        <w:t> </w:t>
      </w:r>
      <w:r>
        <w:rPr>
          <w:rFonts w:ascii="Palatino Linotype" w:hAnsi="Palatino Linotype"/>
          <w:b/>
          <w:color w:val="231F20"/>
          <w:w w:val="95"/>
          <w:sz w:val="21"/>
        </w:rPr>
        <w:t>nacional</w:t>
      </w:r>
      <w:r>
        <w:rPr>
          <w:rFonts w:ascii="Palatino Linotype" w:hAnsi="Palatino Linotype"/>
          <w:b/>
          <w:color w:val="231F20"/>
          <w:spacing w:val="-26"/>
          <w:w w:val="95"/>
          <w:sz w:val="21"/>
        </w:rPr>
        <w:t> </w:t>
      </w:r>
      <w:r>
        <w:rPr>
          <w:rFonts w:ascii="Palatino Linotype" w:hAnsi="Palatino Linotype"/>
          <w:b/>
          <w:color w:val="231F20"/>
          <w:w w:val="95"/>
          <w:sz w:val="21"/>
        </w:rPr>
        <w:t>por</w:t>
      </w:r>
      <w:r>
        <w:rPr>
          <w:rFonts w:ascii="Palatino Linotype" w:hAnsi="Palatino Linotype"/>
          <w:b/>
          <w:color w:val="231F20"/>
          <w:spacing w:val="-26"/>
          <w:w w:val="95"/>
          <w:sz w:val="21"/>
        </w:rPr>
        <w:t> </w:t>
      </w:r>
      <w:r>
        <w:rPr>
          <w:rFonts w:ascii="Palatino Linotype" w:hAnsi="Palatino Linotype"/>
          <w:b/>
          <w:color w:val="231F20"/>
          <w:w w:val="95"/>
          <w:sz w:val="21"/>
        </w:rPr>
        <w:t>subsector,</w:t>
      </w:r>
      <w:r>
        <w:rPr>
          <w:rFonts w:ascii="Palatino Linotype" w:hAnsi="Palatino Linotype"/>
          <w:b/>
          <w:color w:val="231F20"/>
          <w:spacing w:val="-26"/>
          <w:w w:val="95"/>
          <w:sz w:val="21"/>
        </w:rPr>
        <w:t> </w:t>
      </w:r>
      <w:r>
        <w:rPr>
          <w:rFonts w:ascii="Palatino Linotype" w:hAnsi="Palatino Linotype"/>
          <w:b/>
          <w:color w:val="231F20"/>
          <w:w w:val="95"/>
          <w:sz w:val="21"/>
        </w:rPr>
        <w:t>rama</w:t>
      </w:r>
      <w:r>
        <w:rPr>
          <w:rFonts w:ascii="Palatino Linotype" w:hAnsi="Palatino Linotype"/>
          <w:b/>
          <w:color w:val="231F20"/>
          <w:spacing w:val="-26"/>
          <w:w w:val="95"/>
          <w:sz w:val="21"/>
        </w:rPr>
        <w:t> </w:t>
      </w:r>
      <w:r>
        <w:rPr>
          <w:rFonts w:ascii="Palatino Linotype" w:hAnsi="Palatino Linotype"/>
          <w:b/>
          <w:color w:val="231F20"/>
          <w:w w:val="95"/>
          <w:sz w:val="21"/>
        </w:rPr>
        <w:t>y</w:t>
      </w:r>
      <w:r>
        <w:rPr>
          <w:rFonts w:ascii="Palatino Linotype" w:hAnsi="Palatino Linotype"/>
          <w:b/>
          <w:color w:val="231F20"/>
          <w:spacing w:val="-26"/>
          <w:w w:val="95"/>
          <w:sz w:val="21"/>
        </w:rPr>
        <w:t> </w:t>
      </w:r>
      <w:r>
        <w:rPr>
          <w:rFonts w:ascii="Palatino Linotype" w:hAnsi="Palatino Linotype"/>
          <w:b/>
          <w:color w:val="231F20"/>
          <w:w w:val="95"/>
          <w:sz w:val="21"/>
        </w:rPr>
        <w:t>subrama,</w:t>
      </w:r>
      <w:r>
        <w:rPr>
          <w:rFonts w:ascii="Palatino Linotype" w:hAnsi="Palatino Linotype"/>
          <w:b/>
          <w:color w:val="231F20"/>
          <w:spacing w:val="-26"/>
          <w:w w:val="95"/>
          <w:sz w:val="21"/>
        </w:rPr>
        <w:t> </w:t>
      </w:r>
      <w:r>
        <w:rPr>
          <w:rFonts w:ascii="Palatino Linotype" w:hAnsi="Palatino Linotype"/>
          <w:b/>
          <w:color w:val="231F20"/>
          <w:w w:val="95"/>
          <w:sz w:val="21"/>
        </w:rPr>
        <w:t>2008</w:t>
      </w:r>
    </w:p>
    <w:p>
      <w:pPr>
        <w:pStyle w:val="BodyText"/>
        <w:spacing w:before="1"/>
        <w:rPr>
          <w:rFonts w:ascii="Palatino Linotype"/>
          <w:b/>
          <w:sz w:val="11"/>
        </w:rPr>
      </w:pPr>
      <w:r>
        <w:rPr/>
        <w:pict>
          <v:group style="position:absolute;margin-left:64.946899pt;margin-top:9.450607pt;width:360.5pt;height:.5pt;mso-position-horizontal-relative:page;mso-position-vertical-relative:paragraph;z-index:7792;mso-wrap-distance-left:0;mso-wrap-distance-right:0" coordorigin="1299,189" coordsize="7210,10">
            <v:line style="position:absolute" from="1304,194" to="4683,194" stroked="true" strokeweight=".5pt" strokecolor="#231f20"/>
            <v:line style="position:absolute" from="4683,194" to="5681,194" stroked="true" strokeweight=".5pt" strokecolor="#231f20"/>
            <v:line style="position:absolute" from="5681,194" to="6531,194" stroked="true" strokeweight=".5pt" strokecolor="#231f20"/>
            <v:line style="position:absolute" from="6531,194" to="7517,194" stroked="true" strokeweight=".5pt" strokecolor="#231f20"/>
            <v:line style="position:absolute" from="7517,194" to="8504,194" stroked="true" strokeweight=".5pt" strokecolor="#231f20"/>
            <w10:wrap type="topAndBottom"/>
          </v:group>
        </w:pict>
      </w:r>
    </w:p>
    <w:p>
      <w:pPr>
        <w:pStyle w:val="BodyText"/>
        <w:spacing w:before="2"/>
        <w:rPr>
          <w:rFonts w:ascii="Palatino Linotype"/>
          <w:b/>
          <w:sz w:val="13"/>
        </w:rPr>
      </w:pPr>
    </w:p>
    <w:p>
      <w:pPr>
        <w:spacing w:after="0"/>
        <w:rPr>
          <w:rFonts w:ascii="Palatino Linotype"/>
          <w:sz w:val="13"/>
        </w:rPr>
        <w:sectPr>
          <w:pgSz w:w="9640" w:h="13040"/>
          <w:pgMar w:header="520" w:footer="654" w:top="880" w:bottom="840" w:left="1180" w:right="480"/>
        </w:sectPr>
      </w:pPr>
    </w:p>
    <w:p>
      <w:pPr>
        <w:pStyle w:val="BodyText"/>
        <w:rPr>
          <w:rFonts w:ascii="Palatino Linotype"/>
          <w:b/>
          <w:sz w:val="16"/>
        </w:rPr>
      </w:pPr>
    </w:p>
    <w:p>
      <w:pPr>
        <w:spacing w:before="112"/>
        <w:ind w:left="0" w:right="0" w:firstLine="0"/>
        <w:jc w:val="right"/>
        <w:rPr>
          <w:rFonts w:ascii="Palatino Linotype"/>
          <w:b/>
          <w:sz w:val="17"/>
        </w:rPr>
      </w:pPr>
      <w:r>
        <w:rPr>
          <w:rFonts w:ascii="Palatino Linotype"/>
          <w:b/>
          <w:color w:val="231F20"/>
          <w:w w:val="90"/>
          <w:sz w:val="17"/>
        </w:rPr>
        <w:t>(miles de</w:t>
      </w:r>
    </w:p>
    <w:p>
      <w:pPr>
        <w:spacing w:line="588" w:lineRule="auto" w:before="47"/>
        <w:ind w:left="397" w:right="367" w:hanging="102"/>
        <w:jc w:val="left"/>
        <w:rPr>
          <w:rFonts w:ascii="Palatino Linotype"/>
          <w:b/>
          <w:sz w:val="17"/>
        </w:rPr>
      </w:pPr>
      <w:r>
        <w:rPr/>
        <w:br w:type="column"/>
      </w:r>
      <w:r>
        <w:rPr>
          <w:rFonts w:ascii="Palatino Linotype"/>
          <w:b/>
          <w:color w:val="231F20"/>
          <w:w w:val="90"/>
          <w:sz w:val="17"/>
        </w:rPr>
        <w:t>agregado </w:t>
      </w:r>
      <w:r>
        <w:rPr>
          <w:rFonts w:ascii="Palatino Linotype"/>
          <w:b/>
          <w:color w:val="231F20"/>
          <w:sz w:val="17"/>
        </w:rPr>
        <w:t>pesos)</w:t>
      </w:r>
    </w:p>
    <w:p>
      <w:pPr>
        <w:spacing w:after="0" w:line="588" w:lineRule="auto"/>
        <w:jc w:val="left"/>
        <w:rPr>
          <w:rFonts w:ascii="Palatino Linotype"/>
          <w:sz w:val="17"/>
        </w:rPr>
        <w:sectPr>
          <w:type w:val="continuous"/>
          <w:pgSz w:w="9640" w:h="13040"/>
          <w:pgMar w:top="1200" w:bottom="280" w:left="1180" w:right="480"/>
          <w:cols w:num="2" w:equalWidth="0">
            <w:col w:w="6169" w:space="40"/>
            <w:col w:w="1771"/>
          </w:cols>
        </w:sectPr>
      </w:pPr>
    </w:p>
    <w:p>
      <w:pPr>
        <w:pStyle w:val="BodyText"/>
        <w:rPr>
          <w:rFonts w:ascii="Palatino Linotype"/>
          <w:b/>
          <w:sz w:val="20"/>
        </w:rPr>
      </w:pPr>
    </w:p>
    <w:p>
      <w:pPr>
        <w:pStyle w:val="BodyText"/>
        <w:spacing w:before="5"/>
        <w:rPr>
          <w:rFonts w:ascii="Palatino Linotype"/>
          <w:b/>
          <w:sz w:val="15"/>
        </w:rPr>
      </w:pP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40"/>
        <w:gridCol w:w="921"/>
        <w:gridCol w:w="953"/>
        <w:gridCol w:w="986"/>
      </w:tblGrid>
      <w:tr>
        <w:trPr>
          <w:trHeight w:val="595" w:hRule="exact"/>
        </w:trPr>
        <w:tc>
          <w:tcPr>
            <w:tcW w:w="7200" w:type="dxa"/>
            <w:gridSpan w:val="4"/>
          </w:tcPr>
          <w:p>
            <w:pPr>
              <w:pStyle w:val="TableParagraph"/>
              <w:spacing w:before="34"/>
              <w:ind w:left="2392"/>
              <w:jc w:val="left"/>
              <w:rPr>
                <w:rFonts w:ascii="Palatino Linotype" w:hAnsi="Palatino Linotype"/>
                <w:b/>
                <w:sz w:val="21"/>
              </w:rPr>
            </w:pPr>
            <w:r>
              <w:rPr>
                <w:rFonts w:ascii="Palatino Linotype" w:hAnsi="Palatino Linotype"/>
                <w:b/>
                <w:color w:val="231F20"/>
                <w:w w:val="90"/>
                <w:sz w:val="21"/>
              </w:rPr>
              <w:t>Cuadro  III.1 (continuación)</w:t>
            </w:r>
          </w:p>
        </w:tc>
      </w:tr>
      <w:tr>
        <w:trPr>
          <w:trHeight w:val="531" w:hRule="exact"/>
        </w:trPr>
        <w:tc>
          <w:tcPr>
            <w:tcW w:w="4340" w:type="dxa"/>
            <w:tcBorders>
              <w:top w:val="single" w:sz="4" w:space="0" w:color="231F20"/>
            </w:tcBorders>
          </w:tcPr>
          <w:p>
            <w:pPr>
              <w:pStyle w:val="TableParagraph"/>
              <w:spacing w:line="146" w:lineRule="exact" w:before="40"/>
              <w:ind w:left="56"/>
              <w:jc w:val="left"/>
              <w:rPr>
                <w:sz w:val="17"/>
              </w:rPr>
            </w:pPr>
            <w:r>
              <w:rPr>
                <w:color w:val="231F20"/>
                <w:sz w:val="17"/>
              </w:rPr>
              <w:t>33631 Fabricación de motores de gasolina y sus</w:t>
            </w:r>
          </w:p>
          <w:p>
            <w:pPr>
              <w:pStyle w:val="TableParagraph"/>
              <w:tabs>
                <w:tab w:pos="3978" w:val="right" w:leader="none"/>
              </w:tabs>
              <w:spacing w:line="236" w:lineRule="exact"/>
              <w:ind w:left="56"/>
              <w:jc w:val="left"/>
              <w:rPr>
                <w:sz w:val="17"/>
              </w:rPr>
            </w:pPr>
            <w:r>
              <w:rPr>
                <w:color w:val="231F20"/>
                <w:sz w:val="17"/>
              </w:rPr>
              <w:t>partes para</w:t>
            </w:r>
            <w:r>
              <w:rPr>
                <w:color w:val="231F20"/>
                <w:spacing w:val="-9"/>
                <w:sz w:val="17"/>
              </w:rPr>
              <w:t> </w:t>
            </w:r>
            <w:r>
              <w:rPr>
                <w:color w:val="231F20"/>
                <w:sz w:val="17"/>
              </w:rPr>
              <w:t>vehículos</w:t>
            </w:r>
            <w:r>
              <w:rPr>
                <w:color w:val="231F20"/>
                <w:spacing w:val="-5"/>
                <w:sz w:val="17"/>
              </w:rPr>
              <w:t> </w:t>
            </w:r>
            <w:r>
              <w:rPr>
                <w:color w:val="231F20"/>
                <w:sz w:val="17"/>
              </w:rPr>
              <w:t>automotrices</w:t>
            </w:r>
            <w:r>
              <w:rPr>
                <w:color w:val="231F20"/>
                <w:position w:val="9"/>
                <w:sz w:val="17"/>
              </w:rPr>
              <w:tab/>
              <w:t>6.6</w:t>
            </w:r>
          </w:p>
        </w:tc>
        <w:tc>
          <w:tcPr>
            <w:tcW w:w="921" w:type="dxa"/>
            <w:tcBorders>
              <w:top w:val="single" w:sz="4" w:space="0" w:color="231F20"/>
            </w:tcBorders>
          </w:tcPr>
          <w:p>
            <w:pPr>
              <w:pStyle w:val="TableParagraph"/>
              <w:spacing w:before="133"/>
              <w:ind w:left="360"/>
              <w:jc w:val="left"/>
              <w:rPr>
                <w:sz w:val="17"/>
              </w:rPr>
            </w:pPr>
            <w:r>
              <w:rPr>
                <w:color w:val="231F20"/>
                <w:sz w:val="17"/>
              </w:rPr>
              <w:t>7.6</w:t>
            </w:r>
          </w:p>
        </w:tc>
        <w:tc>
          <w:tcPr>
            <w:tcW w:w="953" w:type="dxa"/>
            <w:tcBorders>
              <w:top w:val="single" w:sz="4" w:space="0" w:color="231F20"/>
            </w:tcBorders>
          </w:tcPr>
          <w:p>
            <w:pPr>
              <w:pStyle w:val="TableParagraph"/>
              <w:spacing w:before="133"/>
              <w:ind w:left="358"/>
              <w:jc w:val="left"/>
              <w:rPr>
                <w:sz w:val="17"/>
              </w:rPr>
            </w:pPr>
            <w:r>
              <w:rPr>
                <w:color w:val="231F20"/>
                <w:sz w:val="17"/>
              </w:rPr>
              <w:t>7.9</w:t>
            </w:r>
          </w:p>
        </w:tc>
        <w:tc>
          <w:tcPr>
            <w:tcW w:w="986" w:type="dxa"/>
            <w:tcBorders>
              <w:top w:val="single" w:sz="4" w:space="0" w:color="231F20"/>
            </w:tcBorders>
          </w:tcPr>
          <w:p>
            <w:pPr>
              <w:pStyle w:val="TableParagraph"/>
              <w:spacing w:before="133"/>
              <w:ind w:left="392"/>
              <w:jc w:val="left"/>
              <w:rPr>
                <w:sz w:val="17"/>
              </w:rPr>
            </w:pPr>
            <w:r>
              <w:rPr>
                <w:color w:val="231F20"/>
                <w:sz w:val="17"/>
              </w:rPr>
              <w:t>8.1</w:t>
            </w:r>
          </w:p>
        </w:tc>
      </w:tr>
      <w:tr>
        <w:trPr>
          <w:trHeight w:val="359" w:hRule="exact"/>
        </w:trPr>
        <w:tc>
          <w:tcPr>
            <w:tcW w:w="4340" w:type="dxa"/>
          </w:tcPr>
          <w:p>
            <w:pPr>
              <w:pStyle w:val="TableParagraph"/>
              <w:spacing w:line="146" w:lineRule="exact" w:before="61"/>
              <w:ind w:left="56"/>
              <w:jc w:val="left"/>
              <w:rPr>
                <w:sz w:val="17"/>
              </w:rPr>
            </w:pPr>
            <w:r>
              <w:rPr>
                <w:color w:val="231F20"/>
                <w:sz w:val="17"/>
              </w:rPr>
              <w:t>33632 Fabricación de equipo eléctrico y</w:t>
            </w:r>
          </w:p>
          <w:p>
            <w:pPr>
              <w:pStyle w:val="TableParagraph"/>
              <w:tabs>
                <w:tab w:pos="3735" w:val="left" w:leader="none"/>
              </w:tabs>
              <w:spacing w:line="191" w:lineRule="exact"/>
              <w:ind w:left="56"/>
              <w:jc w:val="left"/>
              <w:rPr>
                <w:sz w:val="17"/>
              </w:rPr>
            </w:pPr>
            <w:r>
              <w:rPr>
                <w:color w:val="231F20"/>
                <w:sz w:val="17"/>
              </w:rPr>
              <w:t>electrónico para</w:t>
            </w:r>
            <w:r>
              <w:rPr>
                <w:color w:val="231F20"/>
                <w:spacing w:val="-10"/>
                <w:sz w:val="17"/>
              </w:rPr>
              <w:t> </w:t>
            </w:r>
            <w:r>
              <w:rPr>
                <w:color w:val="231F20"/>
                <w:sz w:val="17"/>
              </w:rPr>
              <w:t>vehículos</w:t>
            </w:r>
            <w:r>
              <w:rPr>
                <w:color w:val="231F20"/>
                <w:spacing w:val="-5"/>
                <w:sz w:val="17"/>
              </w:rPr>
              <w:t> </w:t>
            </w:r>
            <w:r>
              <w:rPr>
                <w:color w:val="231F20"/>
                <w:sz w:val="17"/>
              </w:rPr>
              <w:t>automotores</w:t>
            </w:r>
            <w:r>
              <w:rPr>
                <w:color w:val="231F20"/>
                <w:position w:val="9"/>
                <w:sz w:val="17"/>
              </w:rPr>
              <w:tab/>
              <w:t>15.0</w:t>
            </w:r>
          </w:p>
        </w:tc>
        <w:tc>
          <w:tcPr>
            <w:tcW w:w="921" w:type="dxa"/>
          </w:tcPr>
          <w:p>
            <w:pPr>
              <w:pStyle w:val="TableParagraph"/>
              <w:spacing w:before="6"/>
              <w:jc w:val="left"/>
              <w:rPr>
                <w:rFonts w:ascii="Palatino Linotype"/>
                <w:b/>
                <w:sz w:val="11"/>
              </w:rPr>
            </w:pPr>
          </w:p>
          <w:p>
            <w:pPr>
              <w:pStyle w:val="TableParagraph"/>
              <w:ind w:left="320"/>
              <w:jc w:val="left"/>
              <w:rPr>
                <w:sz w:val="17"/>
              </w:rPr>
            </w:pPr>
            <w:r>
              <w:rPr>
                <w:color w:val="231F20"/>
                <w:sz w:val="17"/>
              </w:rPr>
              <w:t>36.2</w:t>
            </w:r>
          </w:p>
        </w:tc>
        <w:tc>
          <w:tcPr>
            <w:tcW w:w="953" w:type="dxa"/>
          </w:tcPr>
          <w:p>
            <w:pPr>
              <w:pStyle w:val="TableParagraph"/>
              <w:spacing w:before="6"/>
              <w:jc w:val="left"/>
              <w:rPr>
                <w:rFonts w:ascii="Palatino Linotype"/>
                <w:b/>
                <w:sz w:val="11"/>
              </w:rPr>
            </w:pPr>
          </w:p>
          <w:p>
            <w:pPr>
              <w:pStyle w:val="TableParagraph"/>
              <w:ind w:left="317"/>
              <w:jc w:val="left"/>
              <w:rPr>
                <w:sz w:val="17"/>
              </w:rPr>
            </w:pPr>
            <w:r>
              <w:rPr>
                <w:color w:val="231F20"/>
                <w:sz w:val="17"/>
              </w:rPr>
              <w:t>10.9</w:t>
            </w:r>
          </w:p>
        </w:tc>
        <w:tc>
          <w:tcPr>
            <w:tcW w:w="986" w:type="dxa"/>
          </w:tcPr>
          <w:p>
            <w:pPr>
              <w:pStyle w:val="TableParagraph"/>
              <w:spacing w:before="6"/>
              <w:jc w:val="left"/>
              <w:rPr>
                <w:rFonts w:ascii="Palatino Linotype"/>
                <w:b/>
                <w:sz w:val="11"/>
              </w:rPr>
            </w:pPr>
          </w:p>
          <w:p>
            <w:pPr>
              <w:pStyle w:val="TableParagraph"/>
              <w:ind w:left="351"/>
              <w:jc w:val="left"/>
              <w:rPr>
                <w:sz w:val="17"/>
              </w:rPr>
            </w:pPr>
            <w:r>
              <w:rPr>
                <w:color w:val="231F20"/>
                <w:sz w:val="17"/>
              </w:rPr>
              <w:t>17.0</w:t>
            </w:r>
          </w:p>
        </w:tc>
      </w:tr>
      <w:tr>
        <w:trPr>
          <w:trHeight w:val="493" w:hRule="exact"/>
        </w:trPr>
        <w:tc>
          <w:tcPr>
            <w:tcW w:w="4340" w:type="dxa"/>
          </w:tcPr>
          <w:p>
            <w:pPr>
              <w:pStyle w:val="TableParagraph"/>
              <w:spacing w:before="5"/>
              <w:jc w:val="left"/>
              <w:rPr>
                <w:rFonts w:ascii="Palatino Linotype"/>
                <w:b/>
                <w:sz w:val="21"/>
              </w:rPr>
            </w:pPr>
          </w:p>
          <w:p>
            <w:pPr>
              <w:pStyle w:val="TableParagraph"/>
              <w:spacing w:before="1"/>
              <w:ind w:left="56"/>
              <w:jc w:val="left"/>
              <w:rPr>
                <w:sz w:val="17"/>
              </w:rPr>
            </w:pPr>
            <w:r>
              <w:rPr>
                <w:color w:val="231F20"/>
                <w:sz w:val="17"/>
              </w:rPr>
              <w:t>33633 Fabricación de partes de sistemas de</w:t>
            </w:r>
          </w:p>
        </w:tc>
        <w:tc>
          <w:tcPr>
            <w:tcW w:w="921" w:type="dxa"/>
          </w:tcPr>
          <w:p>
            <w:pPr/>
          </w:p>
        </w:tc>
        <w:tc>
          <w:tcPr>
            <w:tcW w:w="953" w:type="dxa"/>
          </w:tcPr>
          <w:p>
            <w:pPr/>
          </w:p>
        </w:tc>
        <w:tc>
          <w:tcPr>
            <w:tcW w:w="986" w:type="dxa"/>
          </w:tcPr>
          <w:p>
            <w:pPr/>
          </w:p>
        </w:tc>
      </w:tr>
      <w:tr>
        <w:trPr>
          <w:trHeight w:val="428" w:hRule="exact"/>
        </w:trPr>
        <w:tc>
          <w:tcPr>
            <w:tcW w:w="4340" w:type="dxa"/>
          </w:tcPr>
          <w:p>
            <w:pPr>
              <w:pStyle w:val="TableParagraph"/>
              <w:tabs>
                <w:tab w:pos="3978" w:val="right" w:leader="none"/>
              </w:tabs>
              <w:spacing w:line="157" w:lineRule="exact"/>
              <w:ind w:left="56"/>
              <w:jc w:val="left"/>
              <w:rPr>
                <w:sz w:val="17"/>
              </w:rPr>
            </w:pPr>
            <w:r>
              <w:rPr>
                <w:color w:val="231F20"/>
                <w:sz w:val="17"/>
              </w:rPr>
              <w:t>dirección y de suspensión</w:t>
            </w:r>
            <w:r>
              <w:rPr>
                <w:color w:val="231F20"/>
                <w:spacing w:val="-19"/>
                <w:sz w:val="17"/>
              </w:rPr>
              <w:t> </w:t>
            </w:r>
            <w:r>
              <w:rPr>
                <w:color w:val="231F20"/>
                <w:sz w:val="17"/>
              </w:rPr>
              <w:t>para</w:t>
            </w:r>
            <w:r>
              <w:rPr>
                <w:color w:val="231F20"/>
                <w:spacing w:val="-5"/>
                <w:sz w:val="17"/>
              </w:rPr>
              <w:t> </w:t>
            </w:r>
            <w:r>
              <w:rPr>
                <w:color w:val="231F20"/>
                <w:sz w:val="17"/>
              </w:rPr>
              <w:t>vehículos</w:t>
              <w:tab/>
              <w:t>3.4</w:t>
            </w:r>
          </w:p>
          <w:p>
            <w:pPr>
              <w:pStyle w:val="TableParagraph"/>
              <w:spacing w:line="191" w:lineRule="exact"/>
              <w:ind w:left="56"/>
              <w:jc w:val="left"/>
              <w:rPr>
                <w:sz w:val="17"/>
              </w:rPr>
            </w:pPr>
            <w:r>
              <w:rPr>
                <w:color w:val="231F20"/>
                <w:sz w:val="17"/>
              </w:rPr>
              <w:t>automotrices</w:t>
            </w:r>
          </w:p>
        </w:tc>
        <w:tc>
          <w:tcPr>
            <w:tcW w:w="921" w:type="dxa"/>
          </w:tcPr>
          <w:p>
            <w:pPr>
              <w:pStyle w:val="TableParagraph"/>
              <w:spacing w:line="161" w:lineRule="exact"/>
              <w:ind w:left="361"/>
              <w:jc w:val="left"/>
              <w:rPr>
                <w:sz w:val="17"/>
              </w:rPr>
            </w:pPr>
            <w:r>
              <w:rPr>
                <w:color w:val="231F20"/>
                <w:sz w:val="17"/>
              </w:rPr>
              <w:t>2.6</w:t>
            </w:r>
          </w:p>
        </w:tc>
        <w:tc>
          <w:tcPr>
            <w:tcW w:w="953" w:type="dxa"/>
          </w:tcPr>
          <w:p>
            <w:pPr>
              <w:pStyle w:val="TableParagraph"/>
              <w:spacing w:line="161" w:lineRule="exact"/>
              <w:ind w:left="358"/>
              <w:jc w:val="left"/>
              <w:rPr>
                <w:sz w:val="17"/>
              </w:rPr>
            </w:pPr>
            <w:r>
              <w:rPr>
                <w:color w:val="231F20"/>
                <w:sz w:val="17"/>
              </w:rPr>
              <w:t>2.1</w:t>
            </w:r>
          </w:p>
        </w:tc>
        <w:tc>
          <w:tcPr>
            <w:tcW w:w="986" w:type="dxa"/>
          </w:tcPr>
          <w:p>
            <w:pPr>
              <w:pStyle w:val="TableParagraph"/>
              <w:spacing w:line="161" w:lineRule="exact"/>
              <w:ind w:left="392"/>
              <w:jc w:val="left"/>
              <w:rPr>
                <w:sz w:val="17"/>
              </w:rPr>
            </w:pPr>
            <w:r>
              <w:rPr>
                <w:color w:val="231F20"/>
                <w:sz w:val="17"/>
              </w:rPr>
              <w:t>2.4</w:t>
            </w:r>
          </w:p>
        </w:tc>
      </w:tr>
      <w:tr>
        <w:trPr>
          <w:trHeight w:val="609" w:hRule="exact"/>
        </w:trPr>
        <w:tc>
          <w:tcPr>
            <w:tcW w:w="4340" w:type="dxa"/>
          </w:tcPr>
          <w:p>
            <w:pPr>
              <w:pStyle w:val="TableParagraph"/>
              <w:spacing w:line="146" w:lineRule="exact" w:before="113"/>
              <w:ind w:left="56"/>
              <w:jc w:val="left"/>
              <w:rPr>
                <w:sz w:val="17"/>
              </w:rPr>
            </w:pPr>
            <w:r>
              <w:rPr>
                <w:color w:val="231F20"/>
                <w:sz w:val="17"/>
              </w:rPr>
              <w:t>33634 Fabricación de partes de sistemas de</w:t>
            </w:r>
          </w:p>
          <w:p>
            <w:pPr>
              <w:pStyle w:val="TableParagraph"/>
              <w:tabs>
                <w:tab w:pos="3978" w:val="right" w:leader="none"/>
              </w:tabs>
              <w:spacing w:line="236" w:lineRule="exact"/>
              <w:ind w:left="56"/>
              <w:jc w:val="left"/>
              <w:rPr>
                <w:sz w:val="17"/>
              </w:rPr>
            </w:pPr>
            <w:r>
              <w:rPr>
                <w:color w:val="231F20"/>
                <w:sz w:val="17"/>
              </w:rPr>
              <w:t>frenos para</w:t>
            </w:r>
            <w:r>
              <w:rPr>
                <w:color w:val="231F20"/>
                <w:spacing w:val="-9"/>
                <w:sz w:val="17"/>
              </w:rPr>
              <w:t> </w:t>
            </w:r>
            <w:r>
              <w:rPr>
                <w:color w:val="231F20"/>
                <w:sz w:val="17"/>
              </w:rPr>
              <w:t>vehículos</w:t>
            </w:r>
            <w:r>
              <w:rPr>
                <w:color w:val="231F20"/>
                <w:spacing w:val="-5"/>
                <w:sz w:val="17"/>
              </w:rPr>
              <w:t> </w:t>
            </w:r>
            <w:r>
              <w:rPr>
                <w:color w:val="231F20"/>
                <w:sz w:val="17"/>
              </w:rPr>
              <w:t>automotrices</w:t>
            </w:r>
            <w:r>
              <w:rPr>
                <w:color w:val="231F20"/>
                <w:position w:val="9"/>
                <w:sz w:val="17"/>
              </w:rPr>
              <w:tab/>
              <w:t>5.3</w:t>
            </w:r>
          </w:p>
        </w:tc>
        <w:tc>
          <w:tcPr>
            <w:tcW w:w="921" w:type="dxa"/>
          </w:tcPr>
          <w:p>
            <w:pPr>
              <w:pStyle w:val="TableParagraph"/>
              <w:spacing w:before="4"/>
              <w:jc w:val="left"/>
              <w:rPr>
                <w:rFonts w:ascii="Palatino Linotype"/>
                <w:b/>
                <w:sz w:val="15"/>
              </w:rPr>
            </w:pPr>
          </w:p>
          <w:p>
            <w:pPr>
              <w:pStyle w:val="TableParagraph"/>
              <w:ind w:left="361"/>
              <w:jc w:val="left"/>
              <w:rPr>
                <w:sz w:val="17"/>
              </w:rPr>
            </w:pPr>
            <w:r>
              <w:rPr>
                <w:color w:val="231F20"/>
                <w:sz w:val="17"/>
              </w:rPr>
              <w:t>2.9</w:t>
            </w:r>
          </w:p>
        </w:tc>
        <w:tc>
          <w:tcPr>
            <w:tcW w:w="953" w:type="dxa"/>
          </w:tcPr>
          <w:p>
            <w:pPr>
              <w:pStyle w:val="TableParagraph"/>
              <w:spacing w:before="4"/>
              <w:jc w:val="left"/>
              <w:rPr>
                <w:rFonts w:ascii="Palatino Linotype"/>
                <w:b/>
                <w:sz w:val="15"/>
              </w:rPr>
            </w:pPr>
          </w:p>
          <w:p>
            <w:pPr>
              <w:pStyle w:val="TableParagraph"/>
              <w:ind w:left="358"/>
              <w:jc w:val="left"/>
              <w:rPr>
                <w:sz w:val="17"/>
              </w:rPr>
            </w:pPr>
            <w:r>
              <w:rPr>
                <w:color w:val="231F20"/>
                <w:sz w:val="17"/>
              </w:rPr>
              <w:t>1.4</w:t>
            </w:r>
          </w:p>
        </w:tc>
        <w:tc>
          <w:tcPr>
            <w:tcW w:w="986" w:type="dxa"/>
          </w:tcPr>
          <w:p>
            <w:pPr>
              <w:pStyle w:val="TableParagraph"/>
              <w:spacing w:before="4"/>
              <w:jc w:val="left"/>
              <w:rPr>
                <w:rFonts w:ascii="Palatino Linotype"/>
                <w:b/>
                <w:sz w:val="15"/>
              </w:rPr>
            </w:pPr>
          </w:p>
          <w:p>
            <w:pPr>
              <w:pStyle w:val="TableParagraph"/>
              <w:ind w:left="392"/>
              <w:jc w:val="left"/>
              <w:rPr>
                <w:sz w:val="17"/>
              </w:rPr>
            </w:pPr>
            <w:r>
              <w:rPr>
                <w:color w:val="231F20"/>
                <w:sz w:val="17"/>
              </w:rPr>
              <w:t>1.9</w:t>
            </w:r>
          </w:p>
        </w:tc>
      </w:tr>
      <w:tr>
        <w:trPr>
          <w:trHeight w:val="567" w:hRule="exact"/>
        </w:trPr>
        <w:tc>
          <w:tcPr>
            <w:tcW w:w="4340" w:type="dxa"/>
          </w:tcPr>
          <w:p>
            <w:pPr>
              <w:pStyle w:val="TableParagraph"/>
              <w:spacing w:line="146" w:lineRule="exact" w:before="71"/>
              <w:ind w:left="56"/>
              <w:jc w:val="left"/>
              <w:rPr>
                <w:sz w:val="17"/>
              </w:rPr>
            </w:pPr>
            <w:r>
              <w:rPr>
                <w:color w:val="231F20"/>
                <w:sz w:val="17"/>
              </w:rPr>
              <w:t>33635 Fabricación de partes de sistemas de</w:t>
            </w:r>
          </w:p>
          <w:p>
            <w:pPr>
              <w:pStyle w:val="TableParagraph"/>
              <w:tabs>
                <w:tab w:pos="3978" w:val="right" w:leader="none"/>
              </w:tabs>
              <w:spacing w:line="236" w:lineRule="exact"/>
              <w:ind w:left="56"/>
              <w:jc w:val="left"/>
              <w:rPr>
                <w:sz w:val="17"/>
              </w:rPr>
            </w:pPr>
            <w:r>
              <w:rPr>
                <w:color w:val="231F20"/>
                <w:sz w:val="17"/>
              </w:rPr>
              <w:t>transmisión</w:t>
            </w:r>
            <w:r>
              <w:rPr>
                <w:color w:val="231F20"/>
                <w:position w:val="9"/>
                <w:sz w:val="17"/>
              </w:rPr>
              <w:tab/>
              <w:t>2.4</w:t>
            </w:r>
          </w:p>
        </w:tc>
        <w:tc>
          <w:tcPr>
            <w:tcW w:w="921" w:type="dxa"/>
          </w:tcPr>
          <w:p>
            <w:pPr>
              <w:pStyle w:val="TableParagraph"/>
              <w:spacing w:before="2"/>
              <w:jc w:val="left"/>
              <w:rPr>
                <w:rFonts w:ascii="Palatino Linotype"/>
                <w:b/>
                <w:sz w:val="12"/>
              </w:rPr>
            </w:pPr>
          </w:p>
          <w:p>
            <w:pPr>
              <w:pStyle w:val="TableParagraph"/>
              <w:ind w:left="361"/>
              <w:jc w:val="left"/>
              <w:rPr>
                <w:sz w:val="17"/>
              </w:rPr>
            </w:pPr>
            <w:r>
              <w:rPr>
                <w:color w:val="231F20"/>
                <w:sz w:val="17"/>
              </w:rPr>
              <w:t>3.6</w:t>
            </w:r>
          </w:p>
        </w:tc>
        <w:tc>
          <w:tcPr>
            <w:tcW w:w="953" w:type="dxa"/>
          </w:tcPr>
          <w:p>
            <w:pPr>
              <w:pStyle w:val="TableParagraph"/>
              <w:spacing w:before="2"/>
              <w:jc w:val="left"/>
              <w:rPr>
                <w:rFonts w:ascii="Palatino Linotype"/>
                <w:b/>
                <w:sz w:val="12"/>
              </w:rPr>
            </w:pPr>
          </w:p>
          <w:p>
            <w:pPr>
              <w:pStyle w:val="TableParagraph"/>
              <w:ind w:left="358"/>
              <w:jc w:val="left"/>
              <w:rPr>
                <w:sz w:val="17"/>
              </w:rPr>
            </w:pPr>
            <w:r>
              <w:rPr>
                <w:color w:val="231F20"/>
                <w:sz w:val="17"/>
              </w:rPr>
              <w:t>3.6</w:t>
            </w:r>
          </w:p>
        </w:tc>
        <w:tc>
          <w:tcPr>
            <w:tcW w:w="986" w:type="dxa"/>
          </w:tcPr>
          <w:p>
            <w:pPr>
              <w:pStyle w:val="TableParagraph"/>
              <w:spacing w:before="2"/>
              <w:jc w:val="left"/>
              <w:rPr>
                <w:rFonts w:ascii="Palatino Linotype"/>
                <w:b/>
                <w:sz w:val="12"/>
              </w:rPr>
            </w:pPr>
          </w:p>
          <w:p>
            <w:pPr>
              <w:pStyle w:val="TableParagraph"/>
              <w:ind w:left="392"/>
              <w:jc w:val="left"/>
              <w:rPr>
                <w:sz w:val="17"/>
              </w:rPr>
            </w:pPr>
            <w:r>
              <w:rPr>
                <w:color w:val="231F20"/>
                <w:sz w:val="17"/>
              </w:rPr>
              <w:t>4.6</w:t>
            </w:r>
          </w:p>
        </w:tc>
      </w:tr>
      <w:tr>
        <w:trPr>
          <w:trHeight w:val="567" w:hRule="exact"/>
        </w:trPr>
        <w:tc>
          <w:tcPr>
            <w:tcW w:w="4340" w:type="dxa"/>
          </w:tcPr>
          <w:p>
            <w:pPr>
              <w:pStyle w:val="TableParagraph"/>
              <w:tabs>
                <w:tab w:pos="3978" w:val="right" w:leader="none"/>
              </w:tabs>
              <w:spacing w:line="120" w:lineRule="auto" w:before="150"/>
              <w:ind w:left="56" w:right="360"/>
              <w:jc w:val="left"/>
              <w:rPr>
                <w:sz w:val="17"/>
              </w:rPr>
            </w:pPr>
            <w:r>
              <w:rPr>
                <w:color w:val="231F20"/>
                <w:sz w:val="17"/>
              </w:rPr>
              <w:t>33636 Fabricación de asientos para vehículos automotores</w:t>
            </w:r>
            <w:r>
              <w:rPr>
                <w:color w:val="231F20"/>
                <w:position w:val="9"/>
                <w:sz w:val="17"/>
              </w:rPr>
              <w:tab/>
              <w:t>6.4</w:t>
            </w:r>
          </w:p>
        </w:tc>
        <w:tc>
          <w:tcPr>
            <w:tcW w:w="921" w:type="dxa"/>
          </w:tcPr>
          <w:p>
            <w:pPr>
              <w:pStyle w:val="TableParagraph"/>
              <w:spacing w:before="2"/>
              <w:jc w:val="left"/>
              <w:rPr>
                <w:rFonts w:ascii="Palatino Linotype"/>
                <w:b/>
                <w:sz w:val="12"/>
              </w:rPr>
            </w:pPr>
          </w:p>
          <w:p>
            <w:pPr>
              <w:pStyle w:val="TableParagraph"/>
              <w:ind w:left="320"/>
              <w:jc w:val="left"/>
              <w:rPr>
                <w:sz w:val="17"/>
              </w:rPr>
            </w:pPr>
            <w:r>
              <w:rPr>
                <w:color w:val="231F20"/>
                <w:sz w:val="17"/>
              </w:rPr>
              <w:t>12.3</w:t>
            </w:r>
          </w:p>
        </w:tc>
        <w:tc>
          <w:tcPr>
            <w:tcW w:w="953" w:type="dxa"/>
          </w:tcPr>
          <w:p>
            <w:pPr>
              <w:pStyle w:val="TableParagraph"/>
              <w:spacing w:before="2"/>
              <w:jc w:val="left"/>
              <w:rPr>
                <w:rFonts w:ascii="Palatino Linotype"/>
                <w:b/>
                <w:sz w:val="12"/>
              </w:rPr>
            </w:pPr>
          </w:p>
          <w:p>
            <w:pPr>
              <w:pStyle w:val="TableParagraph"/>
              <w:ind w:left="358"/>
              <w:jc w:val="left"/>
              <w:rPr>
                <w:sz w:val="17"/>
              </w:rPr>
            </w:pPr>
            <w:r>
              <w:rPr>
                <w:color w:val="231F20"/>
                <w:sz w:val="17"/>
              </w:rPr>
              <w:t>5.7</w:t>
            </w:r>
          </w:p>
        </w:tc>
        <w:tc>
          <w:tcPr>
            <w:tcW w:w="986" w:type="dxa"/>
          </w:tcPr>
          <w:p>
            <w:pPr>
              <w:pStyle w:val="TableParagraph"/>
              <w:spacing w:before="2"/>
              <w:jc w:val="left"/>
              <w:rPr>
                <w:rFonts w:ascii="Palatino Linotype"/>
                <w:b/>
                <w:sz w:val="12"/>
              </w:rPr>
            </w:pPr>
          </w:p>
          <w:p>
            <w:pPr>
              <w:pStyle w:val="TableParagraph"/>
              <w:ind w:left="392"/>
              <w:jc w:val="left"/>
              <w:rPr>
                <w:sz w:val="17"/>
              </w:rPr>
            </w:pPr>
            <w:r>
              <w:rPr>
                <w:color w:val="231F20"/>
                <w:sz w:val="17"/>
              </w:rPr>
              <w:t>8.0</w:t>
            </w:r>
          </w:p>
        </w:tc>
      </w:tr>
      <w:tr>
        <w:trPr>
          <w:trHeight w:val="567" w:hRule="exact"/>
        </w:trPr>
        <w:tc>
          <w:tcPr>
            <w:tcW w:w="4340" w:type="dxa"/>
          </w:tcPr>
          <w:p>
            <w:pPr>
              <w:pStyle w:val="TableParagraph"/>
              <w:spacing w:line="146" w:lineRule="exact" w:before="71"/>
              <w:ind w:left="56"/>
              <w:jc w:val="left"/>
              <w:rPr>
                <w:sz w:val="17"/>
              </w:rPr>
            </w:pPr>
            <w:r>
              <w:rPr>
                <w:color w:val="231F20"/>
                <w:sz w:val="17"/>
              </w:rPr>
              <w:t>33637 Fabricación de piezas metálicas</w:t>
            </w:r>
          </w:p>
          <w:p>
            <w:pPr>
              <w:pStyle w:val="TableParagraph"/>
              <w:tabs>
                <w:tab w:pos="3978" w:val="right" w:leader="none"/>
              </w:tabs>
              <w:spacing w:line="236" w:lineRule="exact"/>
              <w:ind w:left="56"/>
              <w:jc w:val="left"/>
              <w:rPr>
                <w:sz w:val="17"/>
              </w:rPr>
            </w:pPr>
            <w:r>
              <w:rPr>
                <w:color w:val="231F20"/>
                <w:sz w:val="17"/>
              </w:rPr>
              <w:t>troqueladas para</w:t>
            </w:r>
            <w:r>
              <w:rPr>
                <w:color w:val="231F20"/>
                <w:spacing w:val="-9"/>
                <w:sz w:val="17"/>
              </w:rPr>
              <w:t> </w:t>
            </w:r>
            <w:r>
              <w:rPr>
                <w:color w:val="231F20"/>
                <w:sz w:val="17"/>
              </w:rPr>
              <w:t>vehículos</w:t>
            </w:r>
            <w:r>
              <w:rPr>
                <w:color w:val="231F20"/>
                <w:spacing w:val="-5"/>
                <w:sz w:val="17"/>
              </w:rPr>
              <w:t> </w:t>
            </w:r>
            <w:r>
              <w:rPr>
                <w:color w:val="231F20"/>
                <w:sz w:val="17"/>
              </w:rPr>
              <w:t>automotrices</w:t>
            </w:r>
            <w:r>
              <w:rPr>
                <w:color w:val="231F20"/>
                <w:position w:val="9"/>
                <w:sz w:val="17"/>
              </w:rPr>
              <w:tab/>
              <w:t>6.9</w:t>
            </w:r>
          </w:p>
        </w:tc>
        <w:tc>
          <w:tcPr>
            <w:tcW w:w="921" w:type="dxa"/>
          </w:tcPr>
          <w:p>
            <w:pPr>
              <w:pStyle w:val="TableParagraph"/>
              <w:spacing w:before="2"/>
              <w:jc w:val="left"/>
              <w:rPr>
                <w:rFonts w:ascii="Palatino Linotype"/>
                <w:b/>
                <w:sz w:val="12"/>
              </w:rPr>
            </w:pPr>
          </w:p>
          <w:p>
            <w:pPr>
              <w:pStyle w:val="TableParagraph"/>
              <w:ind w:left="361"/>
              <w:jc w:val="left"/>
              <w:rPr>
                <w:sz w:val="17"/>
              </w:rPr>
            </w:pPr>
            <w:r>
              <w:rPr>
                <w:color w:val="231F20"/>
                <w:sz w:val="17"/>
              </w:rPr>
              <w:t>2.9</w:t>
            </w:r>
          </w:p>
        </w:tc>
        <w:tc>
          <w:tcPr>
            <w:tcW w:w="953" w:type="dxa"/>
          </w:tcPr>
          <w:p>
            <w:pPr>
              <w:pStyle w:val="TableParagraph"/>
              <w:spacing w:before="2"/>
              <w:jc w:val="left"/>
              <w:rPr>
                <w:rFonts w:ascii="Palatino Linotype"/>
                <w:b/>
                <w:sz w:val="12"/>
              </w:rPr>
            </w:pPr>
          </w:p>
          <w:p>
            <w:pPr>
              <w:pStyle w:val="TableParagraph"/>
              <w:ind w:left="358"/>
              <w:jc w:val="left"/>
              <w:rPr>
                <w:sz w:val="17"/>
              </w:rPr>
            </w:pPr>
            <w:r>
              <w:rPr>
                <w:color w:val="231F20"/>
                <w:sz w:val="17"/>
              </w:rPr>
              <w:t>2.0</w:t>
            </w:r>
          </w:p>
        </w:tc>
        <w:tc>
          <w:tcPr>
            <w:tcW w:w="986" w:type="dxa"/>
          </w:tcPr>
          <w:p>
            <w:pPr>
              <w:pStyle w:val="TableParagraph"/>
              <w:spacing w:before="2"/>
              <w:jc w:val="left"/>
              <w:rPr>
                <w:rFonts w:ascii="Palatino Linotype"/>
                <w:b/>
                <w:sz w:val="12"/>
              </w:rPr>
            </w:pPr>
          </w:p>
          <w:p>
            <w:pPr>
              <w:pStyle w:val="TableParagraph"/>
              <w:ind w:left="392"/>
              <w:jc w:val="left"/>
              <w:rPr>
                <w:sz w:val="17"/>
              </w:rPr>
            </w:pPr>
            <w:r>
              <w:rPr>
                <w:color w:val="231F20"/>
                <w:sz w:val="17"/>
              </w:rPr>
              <w:t>1.6</w:t>
            </w:r>
          </w:p>
        </w:tc>
      </w:tr>
      <w:tr>
        <w:trPr>
          <w:trHeight w:val="545" w:hRule="exact"/>
        </w:trPr>
        <w:tc>
          <w:tcPr>
            <w:tcW w:w="4340" w:type="dxa"/>
            <w:tcBorders>
              <w:bottom w:val="single" w:sz="4" w:space="0" w:color="231F20"/>
            </w:tcBorders>
          </w:tcPr>
          <w:p>
            <w:pPr>
              <w:pStyle w:val="TableParagraph"/>
              <w:spacing w:line="146" w:lineRule="exact" w:before="71"/>
              <w:ind w:left="56"/>
              <w:jc w:val="left"/>
              <w:rPr>
                <w:sz w:val="17"/>
              </w:rPr>
            </w:pPr>
            <w:r>
              <w:rPr>
                <w:color w:val="231F20"/>
                <w:sz w:val="17"/>
              </w:rPr>
              <w:t>33639 Fabricación de otras partes para</w:t>
            </w:r>
          </w:p>
          <w:p>
            <w:pPr>
              <w:pStyle w:val="TableParagraph"/>
              <w:tabs>
                <w:tab w:pos="4019" w:val="right" w:leader="none"/>
              </w:tabs>
              <w:spacing w:line="236" w:lineRule="exact"/>
              <w:ind w:left="56"/>
              <w:jc w:val="left"/>
              <w:rPr>
                <w:sz w:val="17"/>
              </w:rPr>
            </w:pPr>
            <w:r>
              <w:rPr>
                <w:color w:val="231F20"/>
                <w:sz w:val="17"/>
              </w:rPr>
              <w:t>vehículos</w:t>
            </w:r>
            <w:r>
              <w:rPr>
                <w:color w:val="231F20"/>
                <w:spacing w:val="-5"/>
                <w:sz w:val="17"/>
              </w:rPr>
              <w:t> </w:t>
            </w:r>
            <w:r>
              <w:rPr>
                <w:color w:val="231F20"/>
                <w:sz w:val="17"/>
              </w:rPr>
              <w:t>automotrices</w:t>
            </w:r>
            <w:r>
              <w:rPr>
                <w:color w:val="231F20"/>
                <w:position w:val="9"/>
                <w:sz w:val="17"/>
              </w:rPr>
              <w:tab/>
              <w:t>16.6</w:t>
            </w:r>
          </w:p>
        </w:tc>
        <w:tc>
          <w:tcPr>
            <w:tcW w:w="921" w:type="dxa"/>
            <w:tcBorders>
              <w:bottom w:val="single" w:sz="4" w:space="0" w:color="231F20"/>
            </w:tcBorders>
          </w:tcPr>
          <w:p>
            <w:pPr>
              <w:pStyle w:val="TableParagraph"/>
              <w:spacing w:before="2"/>
              <w:jc w:val="left"/>
              <w:rPr>
                <w:rFonts w:ascii="Palatino Linotype"/>
                <w:b/>
                <w:sz w:val="12"/>
              </w:rPr>
            </w:pPr>
          </w:p>
          <w:p>
            <w:pPr>
              <w:pStyle w:val="TableParagraph"/>
              <w:ind w:left="320"/>
              <w:jc w:val="left"/>
              <w:rPr>
                <w:sz w:val="17"/>
              </w:rPr>
            </w:pPr>
            <w:r>
              <w:rPr>
                <w:color w:val="231F20"/>
                <w:sz w:val="17"/>
              </w:rPr>
              <w:t>17.8</w:t>
            </w:r>
          </w:p>
        </w:tc>
        <w:tc>
          <w:tcPr>
            <w:tcW w:w="953" w:type="dxa"/>
            <w:tcBorders>
              <w:bottom w:val="single" w:sz="4" w:space="0" w:color="231F20"/>
            </w:tcBorders>
          </w:tcPr>
          <w:p>
            <w:pPr>
              <w:pStyle w:val="TableParagraph"/>
              <w:spacing w:before="2"/>
              <w:jc w:val="left"/>
              <w:rPr>
                <w:rFonts w:ascii="Palatino Linotype"/>
                <w:b/>
                <w:sz w:val="12"/>
              </w:rPr>
            </w:pPr>
          </w:p>
          <w:p>
            <w:pPr>
              <w:pStyle w:val="TableParagraph"/>
              <w:ind w:left="317"/>
              <w:jc w:val="left"/>
              <w:rPr>
                <w:sz w:val="17"/>
              </w:rPr>
            </w:pPr>
            <w:r>
              <w:rPr>
                <w:color w:val="231F20"/>
                <w:sz w:val="17"/>
              </w:rPr>
              <w:t>11.7</w:t>
            </w:r>
          </w:p>
        </w:tc>
        <w:tc>
          <w:tcPr>
            <w:tcW w:w="986" w:type="dxa"/>
            <w:tcBorders>
              <w:bottom w:val="single" w:sz="4" w:space="0" w:color="231F20"/>
            </w:tcBorders>
          </w:tcPr>
          <w:p>
            <w:pPr>
              <w:pStyle w:val="TableParagraph"/>
              <w:spacing w:before="2"/>
              <w:jc w:val="left"/>
              <w:rPr>
                <w:rFonts w:ascii="Palatino Linotype"/>
                <w:b/>
                <w:sz w:val="12"/>
              </w:rPr>
            </w:pPr>
          </w:p>
          <w:p>
            <w:pPr>
              <w:pStyle w:val="TableParagraph"/>
              <w:ind w:left="351"/>
              <w:jc w:val="left"/>
              <w:rPr>
                <w:sz w:val="17"/>
              </w:rPr>
            </w:pPr>
            <w:r>
              <w:rPr>
                <w:color w:val="231F20"/>
                <w:sz w:val="17"/>
              </w:rPr>
              <w:t>15.4</w:t>
            </w:r>
          </w:p>
        </w:tc>
      </w:tr>
    </w:tbl>
    <w:p>
      <w:pPr>
        <w:pStyle w:val="BodyText"/>
        <w:spacing w:before="3"/>
        <w:rPr>
          <w:rFonts w:ascii="Palatino Linotype"/>
          <w:b/>
          <w:sz w:val="9"/>
        </w:rPr>
      </w:pPr>
    </w:p>
    <w:p>
      <w:pPr>
        <w:spacing w:before="41"/>
        <w:ind w:left="653" w:right="0" w:firstLine="0"/>
        <w:jc w:val="both"/>
        <w:rPr>
          <w:sz w:val="19"/>
        </w:rPr>
      </w:pPr>
      <w:r>
        <w:rPr>
          <w:rFonts w:ascii="Palatino Linotype" w:hAnsi="Palatino Linotype"/>
          <w:i/>
          <w:color w:val="231F20"/>
          <w:sz w:val="19"/>
        </w:rPr>
        <w:t>Fuente: </w:t>
      </w:r>
      <w:r>
        <w:rPr>
          <w:color w:val="231F20"/>
          <w:sz w:val="19"/>
        </w:rPr>
        <w:t>Elaboración propia con datos de INEGI (2009).</w:t>
      </w:r>
    </w:p>
    <w:p>
      <w:pPr>
        <w:pStyle w:val="BodyText"/>
        <w:rPr>
          <w:sz w:val="22"/>
        </w:rPr>
      </w:pPr>
    </w:p>
    <w:p>
      <w:pPr>
        <w:pStyle w:val="BodyText"/>
        <w:spacing w:line="278" w:lineRule="auto" w:before="1"/>
        <w:ind w:left="653" w:right="100"/>
        <w:jc w:val="both"/>
      </w:pPr>
      <w:r>
        <w:rPr>
          <w:color w:val="231F20"/>
          <w:spacing w:val="-4"/>
        </w:rPr>
        <w:t>También </w:t>
      </w:r>
      <w:r>
        <w:rPr>
          <w:color w:val="231F20"/>
        </w:rPr>
        <w:t>destacan de manera importante la fabricación de motores de gasolina y sus partes</w:t>
      </w:r>
      <w:r>
        <w:rPr>
          <w:color w:val="231F20"/>
          <w:spacing w:val="-17"/>
        </w:rPr>
        <w:t> </w:t>
      </w:r>
      <w:r>
        <w:rPr>
          <w:color w:val="231F20"/>
        </w:rPr>
        <w:t>y</w:t>
      </w:r>
      <w:r>
        <w:rPr>
          <w:color w:val="231F20"/>
          <w:spacing w:val="-17"/>
        </w:rPr>
        <w:t> </w:t>
      </w:r>
      <w:r>
        <w:rPr>
          <w:color w:val="231F20"/>
        </w:rPr>
        <w:t>la</w:t>
      </w:r>
      <w:r>
        <w:rPr>
          <w:color w:val="231F20"/>
          <w:spacing w:val="-17"/>
        </w:rPr>
        <w:t> </w:t>
      </w:r>
      <w:r>
        <w:rPr>
          <w:color w:val="231F20"/>
        </w:rPr>
        <w:t>fabricación</w:t>
      </w:r>
      <w:r>
        <w:rPr>
          <w:color w:val="231F20"/>
          <w:spacing w:val="-17"/>
        </w:rPr>
        <w:t> </w:t>
      </w:r>
      <w:r>
        <w:rPr>
          <w:color w:val="231F20"/>
        </w:rPr>
        <w:t>de</w:t>
      </w:r>
      <w:r>
        <w:rPr>
          <w:color w:val="231F20"/>
          <w:spacing w:val="-17"/>
        </w:rPr>
        <w:t> </w:t>
      </w:r>
      <w:r>
        <w:rPr>
          <w:color w:val="231F20"/>
        </w:rPr>
        <w:t>asientos</w:t>
      </w:r>
      <w:r>
        <w:rPr>
          <w:color w:val="231F20"/>
          <w:spacing w:val="-17"/>
        </w:rPr>
        <w:t> </w:t>
      </w:r>
      <w:r>
        <w:rPr>
          <w:color w:val="231F20"/>
        </w:rPr>
        <w:t>para</w:t>
      </w:r>
      <w:r>
        <w:rPr>
          <w:color w:val="231F20"/>
          <w:spacing w:val="-17"/>
        </w:rPr>
        <w:t> </w:t>
      </w:r>
      <w:r>
        <w:rPr>
          <w:color w:val="231F20"/>
        </w:rPr>
        <w:t>vehículos;</w:t>
      </w:r>
      <w:r>
        <w:rPr>
          <w:color w:val="231F20"/>
          <w:spacing w:val="-17"/>
        </w:rPr>
        <w:t> </w:t>
      </w:r>
      <w:r>
        <w:rPr>
          <w:color w:val="231F20"/>
        </w:rPr>
        <w:t>estas</w:t>
      </w:r>
      <w:r>
        <w:rPr>
          <w:color w:val="231F20"/>
          <w:spacing w:val="-17"/>
        </w:rPr>
        <w:t> </w:t>
      </w:r>
      <w:r>
        <w:rPr>
          <w:color w:val="231F20"/>
        </w:rPr>
        <w:t>actividades</w:t>
      </w:r>
      <w:r>
        <w:rPr>
          <w:color w:val="231F20"/>
          <w:spacing w:val="-17"/>
        </w:rPr>
        <w:t> </w:t>
      </w:r>
      <w:r>
        <w:rPr>
          <w:color w:val="231F20"/>
        </w:rPr>
        <w:t>generan</w:t>
      </w:r>
      <w:r>
        <w:rPr>
          <w:color w:val="231F20"/>
          <w:spacing w:val="-17"/>
        </w:rPr>
        <w:t> </w:t>
      </w:r>
      <w:r>
        <w:rPr>
          <w:color w:val="231F20"/>
        </w:rPr>
        <w:t>en</w:t>
      </w:r>
      <w:r>
        <w:rPr>
          <w:color w:val="231F20"/>
          <w:spacing w:val="-17"/>
        </w:rPr>
        <w:t> </w:t>
      </w:r>
      <w:r>
        <w:rPr>
          <w:color w:val="231F20"/>
        </w:rPr>
        <w:t>conjunto 12.9%</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unidades</w:t>
      </w:r>
      <w:r>
        <w:rPr>
          <w:color w:val="231F20"/>
          <w:spacing w:val="-10"/>
        </w:rPr>
        <w:t> </w:t>
      </w:r>
      <w:r>
        <w:rPr>
          <w:color w:val="231F20"/>
        </w:rPr>
        <w:t>económicas,</w:t>
      </w:r>
      <w:r>
        <w:rPr>
          <w:color w:val="231F20"/>
          <w:spacing w:val="-10"/>
        </w:rPr>
        <w:t> </w:t>
      </w:r>
      <w:r>
        <w:rPr>
          <w:color w:val="231F20"/>
        </w:rPr>
        <w:t>13.6%</w:t>
      </w:r>
      <w:r>
        <w:rPr>
          <w:color w:val="231F20"/>
          <w:spacing w:val="-10"/>
        </w:rPr>
        <w:t> </w:t>
      </w:r>
      <w:r>
        <w:rPr>
          <w:color w:val="231F20"/>
        </w:rPr>
        <w:t>de</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bruta</w:t>
      </w:r>
      <w:r>
        <w:rPr>
          <w:color w:val="231F20"/>
          <w:spacing w:val="-10"/>
        </w:rPr>
        <w:t> </w:t>
      </w:r>
      <w:r>
        <w:rPr>
          <w:color w:val="231F20"/>
        </w:rPr>
        <w:t>total</w:t>
      </w:r>
      <w:r>
        <w:rPr>
          <w:color w:val="231F20"/>
          <w:spacing w:val="-10"/>
        </w:rPr>
        <w:t> </w:t>
      </w:r>
      <w:r>
        <w:rPr>
          <w:color w:val="231F20"/>
        </w:rPr>
        <w:t>y</w:t>
      </w:r>
      <w:r>
        <w:rPr>
          <w:color w:val="231F20"/>
          <w:spacing w:val="-10"/>
        </w:rPr>
        <w:t> </w:t>
      </w:r>
      <w:r>
        <w:rPr>
          <w:color w:val="231F20"/>
        </w:rPr>
        <w:t>16%</w:t>
      </w:r>
      <w:r>
        <w:rPr>
          <w:color w:val="231F20"/>
          <w:spacing w:val="-10"/>
        </w:rPr>
        <w:t> </w:t>
      </w:r>
      <w:r>
        <w:rPr>
          <w:color w:val="231F20"/>
        </w:rPr>
        <w:t>del</w:t>
      </w:r>
      <w:r>
        <w:rPr>
          <w:color w:val="231F20"/>
          <w:spacing w:val="-10"/>
        </w:rPr>
        <w:t> </w:t>
      </w:r>
      <w:r>
        <w:rPr>
          <w:color w:val="231F20"/>
        </w:rPr>
        <w:t>valor agregado</w:t>
      </w:r>
      <w:r>
        <w:rPr>
          <w:color w:val="231F20"/>
          <w:spacing w:val="-11"/>
        </w:rPr>
        <w:t> </w:t>
      </w:r>
      <w:r>
        <w:rPr>
          <w:color w:val="231F20"/>
        </w:rPr>
        <w:t>del</w:t>
      </w:r>
      <w:r>
        <w:rPr>
          <w:color w:val="231F20"/>
          <w:spacing w:val="-11"/>
        </w:rPr>
        <w:t> </w:t>
      </w:r>
      <w:r>
        <w:rPr>
          <w:color w:val="231F20"/>
          <w:spacing w:val="-3"/>
        </w:rPr>
        <w:t>sector,</w:t>
      </w:r>
      <w:r>
        <w:rPr>
          <w:color w:val="231F20"/>
          <w:spacing w:val="-11"/>
        </w:rPr>
        <w:t> </w:t>
      </w:r>
      <w:r>
        <w:rPr>
          <w:color w:val="231F20"/>
        </w:rPr>
        <w:t>y</w:t>
      </w:r>
      <w:r>
        <w:rPr>
          <w:color w:val="231F20"/>
          <w:spacing w:val="-11"/>
        </w:rPr>
        <w:t> </w:t>
      </w:r>
      <w:r>
        <w:rPr>
          <w:color w:val="231F20"/>
        </w:rPr>
        <w:t>emplean</w:t>
      </w:r>
      <w:r>
        <w:rPr>
          <w:color w:val="231F20"/>
          <w:spacing w:val="-11"/>
        </w:rPr>
        <w:t> </w:t>
      </w:r>
      <w:r>
        <w:rPr>
          <w:color w:val="231F20"/>
        </w:rPr>
        <w:t>20%</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población</w:t>
      </w:r>
      <w:r>
        <w:rPr>
          <w:color w:val="231F20"/>
          <w:spacing w:val="-11"/>
        </w:rPr>
        <w:t> </w:t>
      </w:r>
      <w:r>
        <w:rPr>
          <w:color w:val="231F20"/>
        </w:rPr>
        <w:t>ocupada</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automotriz (véase</w:t>
      </w:r>
      <w:r>
        <w:rPr>
          <w:color w:val="231F20"/>
          <w:spacing w:val="-13"/>
        </w:rPr>
        <w:t> </w:t>
      </w:r>
      <w:r>
        <w:rPr>
          <w:color w:val="231F20"/>
        </w:rPr>
        <w:t>cuadro</w:t>
      </w:r>
      <w:r>
        <w:rPr>
          <w:color w:val="231F20"/>
          <w:spacing w:val="-13"/>
        </w:rPr>
        <w:t> </w:t>
      </w:r>
      <w:r>
        <w:rPr>
          <w:color w:val="231F20"/>
        </w:rPr>
        <w:t>III.1)</w:t>
      </w:r>
      <w:r>
        <w:rPr>
          <w:color w:val="231F20"/>
          <w:spacing w:val="-13"/>
        </w:rPr>
        <w:t> </w:t>
      </w:r>
      <w:r>
        <w:rPr>
          <w:color w:val="231F20"/>
        </w:rPr>
        <w:t>(INEGI,</w:t>
      </w:r>
      <w:r>
        <w:rPr>
          <w:color w:val="231F20"/>
          <w:spacing w:val="-13"/>
        </w:rPr>
        <w:t> </w:t>
      </w:r>
      <w:r>
        <w:rPr>
          <w:color w:val="231F20"/>
        </w:rPr>
        <w:t>2009).</w:t>
      </w:r>
    </w:p>
    <w:p>
      <w:pPr>
        <w:pStyle w:val="Heading3"/>
        <w:numPr>
          <w:ilvl w:val="1"/>
          <w:numId w:val="17"/>
        </w:numPr>
        <w:tabs>
          <w:tab w:pos="1068" w:val="left" w:leader="none"/>
        </w:tabs>
        <w:spacing w:line="240" w:lineRule="auto" w:before="172" w:after="0"/>
        <w:ind w:left="1067" w:right="0" w:hanging="414"/>
        <w:jc w:val="both"/>
      </w:pPr>
      <w:r>
        <w:rPr>
          <w:color w:val="231F20"/>
          <w:w w:val="95"/>
        </w:rPr>
        <w:t>Los</w:t>
      </w:r>
      <w:r>
        <w:rPr>
          <w:color w:val="231F20"/>
          <w:spacing w:val="-37"/>
          <w:w w:val="95"/>
        </w:rPr>
        <w:t> </w:t>
      </w:r>
      <w:r>
        <w:rPr>
          <w:color w:val="231F20"/>
          <w:w w:val="95"/>
        </w:rPr>
        <w:t>decretos</w:t>
      </w:r>
      <w:r>
        <w:rPr>
          <w:color w:val="231F20"/>
          <w:spacing w:val="-37"/>
          <w:w w:val="95"/>
        </w:rPr>
        <w:t> </w:t>
      </w:r>
      <w:r>
        <w:rPr>
          <w:color w:val="231F20"/>
          <w:w w:val="95"/>
        </w:rPr>
        <w:t>automotrices</w:t>
      </w:r>
    </w:p>
    <w:p>
      <w:pPr>
        <w:pStyle w:val="BodyText"/>
        <w:spacing w:line="278" w:lineRule="auto" w:before="125"/>
        <w:ind w:left="653" w:right="98"/>
        <w:jc w:val="both"/>
      </w:pPr>
      <w:r>
        <w:rPr>
          <w:color w:val="231F20"/>
        </w:rPr>
        <w:t>El punto de partida del análisis del sector automotriz en México debe remitirse a     las décadas de 1940 a 1970. Si bien el inicio de operaciones del sector automotriz en México se dio con la instalación de las primeras sucursales de venta de Ford </w:t>
      </w:r>
      <w:r>
        <w:rPr>
          <w:color w:val="231F20"/>
          <w:spacing w:val="2"/>
        </w:rPr>
        <w:t>(1925)  </w:t>
      </w:r>
      <w:r>
        <w:rPr>
          <w:color w:val="231F20"/>
        </w:rPr>
        <w:t>y</w:t>
      </w:r>
      <w:r>
        <w:rPr>
          <w:color w:val="231F20"/>
          <w:spacing w:val="17"/>
        </w:rPr>
        <w:t> </w:t>
      </w:r>
      <w:r>
        <w:rPr>
          <w:color w:val="231F20"/>
        </w:rPr>
        <w:t>General</w:t>
      </w:r>
      <w:r>
        <w:rPr>
          <w:color w:val="231F20"/>
          <w:spacing w:val="17"/>
        </w:rPr>
        <w:t> </w:t>
      </w:r>
      <w:r>
        <w:rPr>
          <w:color w:val="231F20"/>
        </w:rPr>
        <w:t>Motors</w:t>
      </w:r>
      <w:r>
        <w:rPr>
          <w:color w:val="231F20"/>
          <w:spacing w:val="17"/>
        </w:rPr>
        <w:t> </w:t>
      </w:r>
      <w:r>
        <w:rPr>
          <w:color w:val="231F20"/>
        </w:rPr>
        <w:t>(1935),</w:t>
      </w:r>
      <w:r>
        <w:rPr>
          <w:color w:val="231F20"/>
          <w:position w:val="7"/>
          <w:sz w:val="12"/>
        </w:rPr>
        <w:t>3 </w:t>
      </w:r>
      <w:r>
        <w:rPr>
          <w:color w:val="231F20"/>
          <w:spacing w:val="9"/>
          <w:position w:val="7"/>
          <w:sz w:val="12"/>
        </w:rPr>
        <w:t> </w:t>
      </w:r>
      <w:r>
        <w:rPr>
          <w:color w:val="231F20"/>
        </w:rPr>
        <w:t>fue</w:t>
      </w:r>
      <w:r>
        <w:rPr>
          <w:color w:val="231F20"/>
          <w:spacing w:val="17"/>
        </w:rPr>
        <w:t> </w:t>
      </w:r>
      <w:r>
        <w:rPr>
          <w:color w:val="231F20"/>
        </w:rPr>
        <w:t>hasta</w:t>
      </w:r>
      <w:r>
        <w:rPr>
          <w:color w:val="231F20"/>
          <w:spacing w:val="17"/>
        </w:rPr>
        <w:t> </w:t>
      </w:r>
      <w:r>
        <w:rPr>
          <w:color w:val="231F20"/>
        </w:rPr>
        <w:t>la</w:t>
      </w:r>
      <w:r>
        <w:rPr>
          <w:color w:val="231F20"/>
          <w:spacing w:val="17"/>
        </w:rPr>
        <w:t> </w:t>
      </w:r>
      <w:r>
        <w:rPr>
          <w:color w:val="231F20"/>
        </w:rPr>
        <w:t>década</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cuarenta</w:t>
      </w:r>
      <w:r>
        <w:rPr>
          <w:color w:val="231F20"/>
          <w:spacing w:val="17"/>
        </w:rPr>
        <w:t> </w:t>
      </w:r>
      <w:r>
        <w:rPr>
          <w:color w:val="231F20"/>
        </w:rPr>
        <w:t>cuando</w:t>
      </w:r>
      <w:r>
        <w:rPr>
          <w:color w:val="231F20"/>
          <w:spacing w:val="17"/>
        </w:rPr>
        <w:t> </w:t>
      </w:r>
      <w:r>
        <w:rPr>
          <w:color w:val="231F20"/>
        </w:rPr>
        <w:t>se</w:t>
      </w:r>
      <w:r>
        <w:rPr>
          <w:color w:val="231F20"/>
          <w:spacing w:val="17"/>
        </w:rPr>
        <w:t> </w:t>
      </w:r>
      <w:r>
        <w:rPr>
          <w:color w:val="231F20"/>
        </w:rPr>
        <w:t>dieron</w:t>
      </w:r>
      <w:r>
        <w:rPr>
          <w:color w:val="231F20"/>
          <w:spacing w:val="17"/>
        </w:rPr>
        <w:t> </w:t>
      </w:r>
      <w:r>
        <w:rPr>
          <w:color w:val="231F20"/>
        </w:rPr>
        <w:t>las</w:t>
      </w:r>
    </w:p>
    <w:p>
      <w:pPr>
        <w:pStyle w:val="BodyText"/>
        <w:spacing w:before="11"/>
        <w:rPr>
          <w:sz w:val="20"/>
        </w:rPr>
      </w:pPr>
      <w:r>
        <w:rPr/>
        <w:pict>
          <v:line style="position:absolute;mso-position-horizontal-relative:page;mso-position-vertical-relative:paragraph;z-index:7840;mso-wrap-distance-left:0;mso-wrap-distance-right:0" from="56.692902pt,14.248288pt" to="198.424902pt,14.248288pt" stroked="true" strokeweight=".5pt" strokecolor="#231f20">
            <w10:wrap type="topAndBottom"/>
          </v:line>
        </w:pict>
      </w:r>
    </w:p>
    <w:p>
      <w:pPr>
        <w:spacing w:line="276" w:lineRule="auto" w:before="43"/>
        <w:ind w:left="823" w:right="101" w:hanging="171"/>
        <w:jc w:val="both"/>
        <w:rPr>
          <w:sz w:val="16"/>
        </w:rPr>
      </w:pPr>
      <w:r>
        <w:rPr>
          <w:color w:val="231F20"/>
          <w:position w:val="5"/>
          <w:sz w:val="9"/>
        </w:rPr>
        <w:t>3 </w:t>
      </w:r>
      <w:r>
        <w:rPr>
          <w:color w:val="231F20"/>
          <w:sz w:val="16"/>
        </w:rPr>
        <w:t>Las que más adelante se transformarían en talleres de ensamble. Más tarde, en 1938, se instala Automex (pos- teriormente Chrysler). En esta primera etapa la actividad más importante de las plantas era el ensamble de lotes</w:t>
      </w:r>
      <w:r>
        <w:rPr>
          <w:color w:val="231F20"/>
          <w:spacing w:val="-10"/>
          <w:sz w:val="16"/>
        </w:rPr>
        <w:t> </w:t>
      </w:r>
      <w:r>
        <w:rPr>
          <w:color w:val="231F20"/>
          <w:sz w:val="16"/>
        </w:rPr>
        <w:t>CKD</w:t>
      </w:r>
      <w:r>
        <w:rPr>
          <w:color w:val="231F20"/>
          <w:spacing w:val="-10"/>
          <w:sz w:val="16"/>
        </w:rPr>
        <w:t> </w:t>
      </w:r>
      <w:r>
        <w:rPr>
          <w:color w:val="231F20"/>
          <w:sz w:val="16"/>
        </w:rPr>
        <w:t>(</w:t>
      </w:r>
      <w:r>
        <w:rPr>
          <w:rFonts w:ascii="Palatino Linotype" w:hAnsi="Palatino Linotype"/>
          <w:i/>
          <w:color w:val="231F20"/>
          <w:sz w:val="16"/>
        </w:rPr>
        <w:t>completely</w:t>
      </w:r>
      <w:r>
        <w:rPr>
          <w:rFonts w:ascii="Palatino Linotype" w:hAnsi="Palatino Linotype"/>
          <w:i/>
          <w:color w:val="231F20"/>
          <w:spacing w:val="-10"/>
          <w:sz w:val="16"/>
        </w:rPr>
        <w:t> </w:t>
      </w:r>
      <w:r>
        <w:rPr>
          <w:rFonts w:ascii="Palatino Linotype" w:hAnsi="Palatino Linotype"/>
          <w:i/>
          <w:color w:val="231F20"/>
          <w:sz w:val="16"/>
        </w:rPr>
        <w:t>knocked</w:t>
      </w:r>
      <w:r>
        <w:rPr>
          <w:rFonts w:ascii="Palatino Linotype" w:hAnsi="Palatino Linotype"/>
          <w:i/>
          <w:color w:val="231F20"/>
          <w:spacing w:val="-10"/>
          <w:sz w:val="16"/>
        </w:rPr>
        <w:t> </w:t>
      </w:r>
      <w:r>
        <w:rPr>
          <w:rFonts w:ascii="Palatino Linotype" w:hAnsi="Palatino Linotype"/>
          <w:i/>
          <w:color w:val="231F20"/>
          <w:sz w:val="16"/>
        </w:rPr>
        <w:t>down</w:t>
      </w:r>
      <w:r>
        <w:rPr>
          <w:color w:val="231F20"/>
          <w:sz w:val="16"/>
        </w:rPr>
        <w:t>),</w:t>
      </w:r>
      <w:r>
        <w:rPr>
          <w:color w:val="231F20"/>
          <w:spacing w:val="-10"/>
          <w:sz w:val="16"/>
        </w:rPr>
        <w:t> </w:t>
      </w:r>
      <w:r>
        <w:rPr>
          <w:color w:val="231F20"/>
          <w:sz w:val="16"/>
        </w:rPr>
        <w:t>que</w:t>
      </w:r>
      <w:r>
        <w:rPr>
          <w:color w:val="231F20"/>
          <w:spacing w:val="-10"/>
          <w:sz w:val="16"/>
        </w:rPr>
        <w:t> </w:t>
      </w:r>
      <w:r>
        <w:rPr>
          <w:color w:val="231F20"/>
          <w:sz w:val="16"/>
        </w:rPr>
        <w:t>eran</w:t>
      </w:r>
      <w:r>
        <w:rPr>
          <w:color w:val="231F20"/>
          <w:spacing w:val="-10"/>
          <w:sz w:val="16"/>
        </w:rPr>
        <w:t> </w:t>
      </w:r>
      <w:r>
        <w:rPr>
          <w:color w:val="231F20"/>
          <w:sz w:val="16"/>
        </w:rPr>
        <w:t>fabricados</w:t>
      </w:r>
      <w:r>
        <w:rPr>
          <w:color w:val="231F20"/>
          <w:spacing w:val="-10"/>
          <w:sz w:val="16"/>
        </w:rPr>
        <w:t> </w:t>
      </w:r>
      <w:r>
        <w:rPr>
          <w:color w:val="231F20"/>
          <w:sz w:val="16"/>
        </w:rPr>
        <w:t>por</w:t>
      </w:r>
      <w:r>
        <w:rPr>
          <w:color w:val="231F20"/>
          <w:spacing w:val="-10"/>
          <w:sz w:val="16"/>
        </w:rPr>
        <w:t> </w:t>
      </w:r>
      <w:r>
        <w:rPr>
          <w:color w:val="231F20"/>
          <w:sz w:val="16"/>
        </w:rPr>
        <w:t>plantas</w:t>
      </w:r>
      <w:r>
        <w:rPr>
          <w:color w:val="231F20"/>
          <w:spacing w:val="-10"/>
          <w:sz w:val="16"/>
        </w:rPr>
        <w:t> </w:t>
      </w:r>
      <w:r>
        <w:rPr>
          <w:color w:val="231F20"/>
          <w:sz w:val="16"/>
        </w:rPr>
        <w:t>norteamericanas</w:t>
      </w:r>
      <w:r>
        <w:rPr>
          <w:color w:val="231F20"/>
          <w:spacing w:val="-10"/>
          <w:sz w:val="16"/>
        </w:rPr>
        <w:t> </w:t>
      </w:r>
      <w:r>
        <w:rPr>
          <w:color w:val="231F20"/>
          <w:sz w:val="16"/>
        </w:rPr>
        <w:t>y</w:t>
      </w:r>
      <w:r>
        <w:rPr>
          <w:color w:val="231F20"/>
          <w:spacing w:val="-10"/>
          <w:sz w:val="16"/>
        </w:rPr>
        <w:t> </w:t>
      </w:r>
      <w:r>
        <w:rPr>
          <w:color w:val="231F20"/>
          <w:sz w:val="16"/>
        </w:rPr>
        <w:t>europeas.</w:t>
      </w:r>
      <w:r>
        <w:rPr>
          <w:color w:val="231F20"/>
          <w:spacing w:val="-10"/>
          <w:sz w:val="16"/>
        </w:rPr>
        <w:t> </w:t>
      </w:r>
      <w:r>
        <w:rPr>
          <w:color w:val="231F20"/>
          <w:sz w:val="16"/>
        </w:rPr>
        <w:t>El</w:t>
      </w:r>
      <w:r>
        <w:rPr>
          <w:color w:val="231F20"/>
          <w:spacing w:val="-10"/>
          <w:sz w:val="16"/>
        </w:rPr>
        <w:t> </w:t>
      </w:r>
      <w:r>
        <w:rPr>
          <w:color w:val="231F20"/>
          <w:sz w:val="16"/>
        </w:rPr>
        <w:t>objetivo principal</w:t>
      </w:r>
      <w:r>
        <w:rPr>
          <w:color w:val="231F20"/>
          <w:spacing w:val="-3"/>
          <w:sz w:val="16"/>
        </w:rPr>
        <w:t> </w:t>
      </w:r>
      <w:r>
        <w:rPr>
          <w:color w:val="231F20"/>
          <w:sz w:val="16"/>
        </w:rPr>
        <w:t>de</w:t>
      </w:r>
      <w:r>
        <w:rPr>
          <w:color w:val="231F20"/>
          <w:spacing w:val="-3"/>
          <w:sz w:val="16"/>
        </w:rPr>
        <w:t> </w:t>
      </w:r>
      <w:r>
        <w:rPr>
          <w:color w:val="231F20"/>
          <w:sz w:val="16"/>
        </w:rPr>
        <w:t>estas</w:t>
      </w:r>
      <w:r>
        <w:rPr>
          <w:color w:val="231F20"/>
          <w:spacing w:val="-3"/>
          <w:sz w:val="16"/>
        </w:rPr>
        <w:t> </w:t>
      </w:r>
      <w:r>
        <w:rPr>
          <w:color w:val="231F20"/>
          <w:sz w:val="16"/>
        </w:rPr>
        <w:t>plantas</w:t>
      </w:r>
      <w:r>
        <w:rPr>
          <w:color w:val="231F20"/>
          <w:spacing w:val="-3"/>
          <w:sz w:val="16"/>
        </w:rPr>
        <w:t> </w:t>
      </w:r>
      <w:r>
        <w:rPr>
          <w:color w:val="231F20"/>
          <w:sz w:val="16"/>
        </w:rPr>
        <w:t>era</w:t>
      </w:r>
      <w:r>
        <w:rPr>
          <w:color w:val="231F20"/>
          <w:spacing w:val="-3"/>
          <w:sz w:val="16"/>
        </w:rPr>
        <w:t> </w:t>
      </w:r>
      <w:r>
        <w:rPr>
          <w:color w:val="231F20"/>
          <w:sz w:val="16"/>
        </w:rPr>
        <w:t>abastecer</w:t>
      </w:r>
      <w:r>
        <w:rPr>
          <w:color w:val="231F20"/>
          <w:spacing w:val="-3"/>
          <w:sz w:val="16"/>
        </w:rPr>
        <w:t> </w:t>
      </w:r>
      <w:r>
        <w:rPr>
          <w:color w:val="231F20"/>
          <w:sz w:val="16"/>
        </w:rPr>
        <w:t>el</w:t>
      </w:r>
      <w:r>
        <w:rPr>
          <w:color w:val="231F20"/>
          <w:spacing w:val="-3"/>
          <w:sz w:val="16"/>
        </w:rPr>
        <w:t> </w:t>
      </w:r>
      <w:r>
        <w:rPr>
          <w:color w:val="231F20"/>
          <w:sz w:val="16"/>
        </w:rPr>
        <w:t>escaso</w:t>
      </w:r>
      <w:r>
        <w:rPr>
          <w:color w:val="231F20"/>
          <w:spacing w:val="-3"/>
          <w:sz w:val="16"/>
        </w:rPr>
        <w:t> </w:t>
      </w:r>
      <w:r>
        <w:rPr>
          <w:color w:val="231F20"/>
          <w:sz w:val="16"/>
        </w:rPr>
        <w:t>mercado</w:t>
      </w:r>
      <w:r>
        <w:rPr>
          <w:color w:val="231F20"/>
          <w:spacing w:val="-3"/>
          <w:sz w:val="16"/>
        </w:rPr>
        <w:t> </w:t>
      </w:r>
      <w:r>
        <w:rPr>
          <w:color w:val="231F20"/>
          <w:sz w:val="16"/>
        </w:rPr>
        <w:t>nacional.</w:t>
      </w:r>
      <w:r>
        <w:rPr>
          <w:color w:val="231F20"/>
          <w:spacing w:val="-3"/>
          <w:sz w:val="16"/>
        </w:rPr>
        <w:t> </w:t>
      </w:r>
      <w:r>
        <w:rPr>
          <w:color w:val="231F20"/>
          <w:sz w:val="16"/>
        </w:rPr>
        <w:t>La</w:t>
      </w:r>
      <w:r>
        <w:rPr>
          <w:color w:val="231F20"/>
          <w:spacing w:val="-3"/>
          <w:sz w:val="16"/>
        </w:rPr>
        <w:t> </w:t>
      </w:r>
      <w:r>
        <w:rPr>
          <w:color w:val="231F20"/>
          <w:sz w:val="16"/>
        </w:rPr>
        <w:t>característica</w:t>
      </w:r>
      <w:r>
        <w:rPr>
          <w:color w:val="231F20"/>
          <w:spacing w:val="-3"/>
          <w:sz w:val="16"/>
        </w:rPr>
        <w:t> </w:t>
      </w:r>
      <w:r>
        <w:rPr>
          <w:color w:val="231F20"/>
          <w:sz w:val="16"/>
        </w:rPr>
        <w:t>principal</w:t>
      </w:r>
      <w:r>
        <w:rPr>
          <w:color w:val="231F20"/>
          <w:spacing w:val="-3"/>
          <w:sz w:val="16"/>
        </w:rPr>
        <w:t> </w:t>
      </w:r>
      <w:r>
        <w:rPr>
          <w:color w:val="231F20"/>
          <w:sz w:val="16"/>
        </w:rPr>
        <w:t>de</w:t>
      </w:r>
      <w:r>
        <w:rPr>
          <w:color w:val="231F20"/>
          <w:spacing w:val="-3"/>
          <w:sz w:val="16"/>
        </w:rPr>
        <w:t> </w:t>
      </w:r>
      <w:r>
        <w:rPr>
          <w:color w:val="231F20"/>
          <w:sz w:val="16"/>
        </w:rPr>
        <w:t>estas</w:t>
      </w:r>
      <w:r>
        <w:rPr>
          <w:color w:val="231F20"/>
          <w:spacing w:val="-3"/>
          <w:sz w:val="16"/>
        </w:rPr>
        <w:t> </w:t>
      </w:r>
      <w:r>
        <w:rPr>
          <w:color w:val="231F20"/>
          <w:sz w:val="16"/>
        </w:rPr>
        <w:t>plantas era</w:t>
      </w:r>
      <w:r>
        <w:rPr>
          <w:color w:val="231F20"/>
          <w:spacing w:val="-8"/>
          <w:sz w:val="16"/>
        </w:rPr>
        <w:t> </w:t>
      </w:r>
      <w:r>
        <w:rPr>
          <w:color w:val="231F20"/>
          <w:sz w:val="16"/>
        </w:rPr>
        <w:t>la</w:t>
      </w:r>
      <w:r>
        <w:rPr>
          <w:color w:val="231F20"/>
          <w:spacing w:val="-8"/>
          <w:sz w:val="16"/>
        </w:rPr>
        <w:t> </w:t>
      </w:r>
      <w:r>
        <w:rPr>
          <w:color w:val="231F20"/>
          <w:sz w:val="16"/>
        </w:rPr>
        <w:t>baja</w:t>
      </w:r>
      <w:r>
        <w:rPr>
          <w:color w:val="231F20"/>
          <w:spacing w:val="-8"/>
          <w:sz w:val="16"/>
        </w:rPr>
        <w:t> </w:t>
      </w:r>
      <w:r>
        <w:rPr>
          <w:color w:val="231F20"/>
          <w:sz w:val="16"/>
        </w:rPr>
        <w:t>productividad,</w:t>
      </w:r>
      <w:r>
        <w:rPr>
          <w:color w:val="231F20"/>
          <w:spacing w:val="-8"/>
          <w:sz w:val="16"/>
        </w:rPr>
        <w:t> </w:t>
      </w:r>
      <w:r>
        <w:rPr>
          <w:color w:val="231F20"/>
          <w:sz w:val="16"/>
        </w:rPr>
        <w:t>resultado</w:t>
      </w:r>
      <w:r>
        <w:rPr>
          <w:color w:val="231F20"/>
          <w:spacing w:val="-8"/>
          <w:sz w:val="16"/>
        </w:rPr>
        <w:t> </w:t>
      </w:r>
      <w:r>
        <w:rPr>
          <w:color w:val="231F20"/>
          <w:sz w:val="16"/>
        </w:rPr>
        <w:t>de</w:t>
      </w:r>
      <w:r>
        <w:rPr>
          <w:color w:val="231F20"/>
          <w:spacing w:val="-8"/>
          <w:sz w:val="16"/>
        </w:rPr>
        <w:t> </w:t>
      </w:r>
      <w:r>
        <w:rPr>
          <w:color w:val="231F20"/>
          <w:sz w:val="16"/>
        </w:rPr>
        <w:t>la</w:t>
      </w:r>
      <w:r>
        <w:rPr>
          <w:color w:val="231F20"/>
          <w:spacing w:val="-8"/>
          <w:sz w:val="16"/>
        </w:rPr>
        <w:t> </w:t>
      </w:r>
      <w:r>
        <w:rPr>
          <w:color w:val="231F20"/>
          <w:sz w:val="16"/>
        </w:rPr>
        <w:t>inversión</w:t>
      </w:r>
      <w:r>
        <w:rPr>
          <w:color w:val="231F20"/>
          <w:spacing w:val="-8"/>
          <w:sz w:val="16"/>
        </w:rPr>
        <w:t> </w:t>
      </w:r>
      <w:r>
        <w:rPr>
          <w:color w:val="231F20"/>
          <w:sz w:val="16"/>
        </w:rPr>
        <w:t>escasa</w:t>
      </w:r>
      <w:r>
        <w:rPr>
          <w:color w:val="231F20"/>
          <w:spacing w:val="-8"/>
          <w:sz w:val="16"/>
        </w:rPr>
        <w:t> </w:t>
      </w:r>
      <w:r>
        <w:rPr>
          <w:color w:val="231F20"/>
          <w:sz w:val="16"/>
        </w:rPr>
        <w:t>y</w:t>
      </w:r>
      <w:r>
        <w:rPr>
          <w:color w:val="231F20"/>
          <w:spacing w:val="-8"/>
          <w:sz w:val="16"/>
        </w:rPr>
        <w:t> </w:t>
      </w:r>
      <w:r>
        <w:rPr>
          <w:color w:val="231F20"/>
          <w:sz w:val="16"/>
        </w:rPr>
        <w:t>la</w:t>
      </w:r>
      <w:r>
        <w:rPr>
          <w:color w:val="231F20"/>
          <w:spacing w:val="-8"/>
          <w:sz w:val="16"/>
        </w:rPr>
        <w:t> </w:t>
      </w:r>
      <w:r>
        <w:rPr>
          <w:color w:val="231F20"/>
          <w:sz w:val="16"/>
        </w:rPr>
        <w:t>falta</w:t>
      </w:r>
      <w:r>
        <w:rPr>
          <w:color w:val="231F20"/>
          <w:spacing w:val="-8"/>
          <w:sz w:val="16"/>
        </w:rPr>
        <w:t> </w:t>
      </w:r>
      <w:r>
        <w:rPr>
          <w:color w:val="231F20"/>
          <w:sz w:val="16"/>
        </w:rPr>
        <w:t>de</w:t>
      </w:r>
      <w:r>
        <w:rPr>
          <w:color w:val="231F20"/>
          <w:spacing w:val="-8"/>
          <w:sz w:val="16"/>
        </w:rPr>
        <w:t> </w:t>
      </w:r>
      <w:r>
        <w:rPr>
          <w:color w:val="231F20"/>
          <w:sz w:val="16"/>
        </w:rPr>
        <w:t>infraestructura</w:t>
      </w:r>
      <w:r>
        <w:rPr>
          <w:color w:val="231F20"/>
          <w:spacing w:val="-8"/>
          <w:sz w:val="16"/>
        </w:rPr>
        <w:t> </w:t>
      </w:r>
      <w:r>
        <w:rPr>
          <w:color w:val="231F20"/>
          <w:sz w:val="16"/>
        </w:rPr>
        <w:t>(Vicencio,</w:t>
      </w:r>
      <w:r>
        <w:rPr>
          <w:color w:val="231F20"/>
          <w:spacing w:val="-8"/>
          <w:sz w:val="16"/>
        </w:rPr>
        <w:t> </w:t>
      </w:r>
      <w:r>
        <w:rPr>
          <w:color w:val="231F20"/>
          <w:sz w:val="16"/>
        </w:rPr>
        <w:t>2007).</w:t>
      </w:r>
    </w:p>
    <w:p>
      <w:pPr>
        <w:spacing w:after="0" w:line="276" w:lineRule="auto"/>
        <w:jc w:val="both"/>
        <w:rPr>
          <w:sz w:val="16"/>
        </w:rPr>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03" w:right="651"/>
        <w:jc w:val="both"/>
      </w:pPr>
      <w:r>
        <w:rPr>
          <w:color w:val="231F20"/>
        </w:rPr>
        <w:t>primeras condiciones para su desarrollo y su fortalecimiento, a partir de que el go- bierno federal promoviera exenciones fiscales, créditos con bajas tasas de interés y subvenciones en el transporte, como apoyo al sector  industrial.</w:t>
      </w:r>
    </w:p>
    <w:p>
      <w:pPr>
        <w:pStyle w:val="BodyText"/>
        <w:spacing w:line="278" w:lineRule="auto" w:before="1"/>
        <w:ind w:left="103" w:right="650" w:firstLine="396"/>
        <w:jc w:val="right"/>
      </w:pPr>
      <w:r>
        <w:rPr>
          <w:color w:val="231F20"/>
          <w:spacing w:val="-4"/>
        </w:rPr>
        <w:t>Una </w:t>
      </w:r>
      <w:r>
        <w:rPr>
          <w:color w:val="231F20"/>
        </w:rPr>
        <w:t>de las principales medidas de política económica adoptadas por</w:t>
      </w:r>
      <w:r>
        <w:rPr>
          <w:color w:val="231F20"/>
          <w:spacing w:val="5"/>
        </w:rPr>
        <w:t> </w:t>
      </w:r>
      <w:r>
        <w:rPr>
          <w:color w:val="231F20"/>
        </w:rPr>
        <w:t>el</w:t>
      </w:r>
      <w:r>
        <w:rPr>
          <w:color w:val="231F20"/>
          <w:spacing w:val="5"/>
        </w:rPr>
        <w:t> </w:t>
      </w:r>
      <w:r>
        <w:rPr>
          <w:color w:val="231F20"/>
        </w:rPr>
        <w:t>gobierno</w:t>
      </w:r>
      <w:r>
        <w:rPr>
          <w:color w:val="231F20"/>
          <w:w w:val="102"/>
        </w:rPr>
        <w:t> </w:t>
      </w:r>
      <w:r>
        <w:rPr>
          <w:color w:val="231F20"/>
        </w:rPr>
        <w:t>federal</w:t>
      </w:r>
      <w:r>
        <w:rPr>
          <w:color w:val="231F20"/>
          <w:spacing w:val="-9"/>
        </w:rPr>
        <w:t> </w:t>
      </w:r>
      <w:r>
        <w:rPr>
          <w:color w:val="231F20"/>
        </w:rPr>
        <w:t>para</w:t>
      </w:r>
      <w:r>
        <w:rPr>
          <w:color w:val="231F20"/>
          <w:spacing w:val="-9"/>
        </w:rPr>
        <w:t> </w:t>
      </w:r>
      <w:r>
        <w:rPr>
          <w:color w:val="231F20"/>
        </w:rPr>
        <w:t>impulsar</w:t>
      </w:r>
      <w:r>
        <w:rPr>
          <w:color w:val="231F20"/>
          <w:spacing w:val="-9"/>
        </w:rPr>
        <w:t> </w:t>
      </w:r>
      <w:r>
        <w:rPr>
          <w:color w:val="231F20"/>
        </w:rPr>
        <w:t>el</w:t>
      </w:r>
      <w:r>
        <w:rPr>
          <w:color w:val="231F20"/>
          <w:spacing w:val="-9"/>
        </w:rPr>
        <w:t> </w:t>
      </w:r>
      <w:r>
        <w:rPr>
          <w:color w:val="231F20"/>
        </w:rPr>
        <w:t>proceso</w:t>
      </w:r>
      <w:r>
        <w:rPr>
          <w:color w:val="231F20"/>
          <w:spacing w:val="-9"/>
        </w:rPr>
        <w:t> </w:t>
      </w:r>
      <w:r>
        <w:rPr>
          <w:color w:val="231F20"/>
        </w:rPr>
        <w:t>de</w:t>
      </w:r>
      <w:r>
        <w:rPr>
          <w:color w:val="231F20"/>
          <w:spacing w:val="-9"/>
        </w:rPr>
        <w:t> </w:t>
      </w:r>
      <w:r>
        <w:rPr>
          <w:color w:val="231F20"/>
        </w:rPr>
        <w:t>industrialización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iniciaba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dé-</w:t>
      </w:r>
      <w:r>
        <w:rPr>
          <w:color w:val="231F20"/>
          <w:w w:val="106"/>
        </w:rPr>
        <w:t> </w:t>
      </w:r>
      <w:r>
        <w:rPr>
          <w:color w:val="231F20"/>
        </w:rPr>
        <w:t>cada</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cuarenta</w:t>
      </w:r>
      <w:r>
        <w:rPr>
          <w:color w:val="231F20"/>
          <w:spacing w:val="-8"/>
        </w:rPr>
        <w:t> </w:t>
      </w:r>
      <w:r>
        <w:rPr>
          <w:color w:val="231F20"/>
        </w:rPr>
        <w:t>fue</w:t>
      </w:r>
      <w:r>
        <w:rPr>
          <w:color w:val="231F20"/>
          <w:spacing w:val="-8"/>
        </w:rPr>
        <w:t> </w:t>
      </w:r>
      <w:r>
        <w:rPr>
          <w:color w:val="231F20"/>
        </w:rPr>
        <w:t>la</w:t>
      </w:r>
      <w:r>
        <w:rPr>
          <w:color w:val="231F20"/>
          <w:spacing w:val="-8"/>
        </w:rPr>
        <w:t> </w:t>
      </w:r>
      <w:r>
        <w:rPr>
          <w:color w:val="231F20"/>
        </w:rPr>
        <w:t>política</w:t>
      </w:r>
      <w:r>
        <w:rPr>
          <w:color w:val="231F20"/>
          <w:spacing w:val="-8"/>
        </w:rPr>
        <w:t> </w:t>
      </w:r>
      <w:r>
        <w:rPr>
          <w:color w:val="231F20"/>
        </w:rPr>
        <w:t>de</w:t>
      </w:r>
      <w:r>
        <w:rPr>
          <w:color w:val="231F20"/>
          <w:spacing w:val="-8"/>
        </w:rPr>
        <w:t> </w:t>
      </w:r>
      <w:r>
        <w:rPr>
          <w:color w:val="231F20"/>
        </w:rPr>
        <w:t>sustitución</w:t>
      </w:r>
      <w:r>
        <w:rPr>
          <w:color w:val="231F20"/>
          <w:spacing w:val="-8"/>
        </w:rPr>
        <w:t> </w:t>
      </w:r>
      <w:r>
        <w:rPr>
          <w:color w:val="231F20"/>
        </w:rPr>
        <w:t>de</w:t>
      </w:r>
      <w:r>
        <w:rPr>
          <w:color w:val="231F20"/>
          <w:spacing w:val="-8"/>
        </w:rPr>
        <w:t> </w:t>
      </w:r>
      <w:r>
        <w:rPr>
          <w:color w:val="231F20"/>
        </w:rPr>
        <w:t>importaciones.</w:t>
      </w:r>
      <w:r>
        <w:rPr>
          <w:color w:val="231F20"/>
          <w:spacing w:val="-8"/>
        </w:rPr>
        <w:t> </w:t>
      </w:r>
      <w:r>
        <w:rPr>
          <w:color w:val="231F20"/>
        </w:rPr>
        <w:t>En</w:t>
      </w:r>
      <w:r>
        <w:rPr>
          <w:color w:val="231F20"/>
          <w:spacing w:val="-8"/>
        </w:rPr>
        <w:t> </w:t>
      </w:r>
      <w:r>
        <w:rPr>
          <w:color w:val="231F20"/>
        </w:rPr>
        <w:t>este</w:t>
      </w:r>
      <w:r>
        <w:rPr>
          <w:color w:val="231F20"/>
          <w:spacing w:val="-8"/>
        </w:rPr>
        <w:t> </w:t>
      </w:r>
      <w:r>
        <w:rPr>
          <w:color w:val="231F20"/>
        </w:rPr>
        <w:t>sentido,</w:t>
      </w:r>
      <w:r>
        <w:rPr>
          <w:color w:val="231F20"/>
          <w:spacing w:val="-8"/>
        </w:rPr>
        <w:t> </w:t>
      </w:r>
      <w:r>
        <w:rPr>
          <w:color w:val="231F20"/>
        </w:rPr>
        <w:t>en</w:t>
      </w:r>
      <w:r>
        <w:rPr>
          <w:color w:val="231F20"/>
          <w:w w:val="102"/>
        </w:rPr>
        <w:t> </w:t>
      </w:r>
      <w:r>
        <w:rPr>
          <w:color w:val="231F20"/>
        </w:rPr>
        <w:t>el</w:t>
      </w:r>
      <w:r>
        <w:rPr>
          <w:color w:val="231F20"/>
          <w:spacing w:val="-10"/>
        </w:rPr>
        <w:t> </w:t>
      </w:r>
      <w:r>
        <w:rPr>
          <w:color w:val="231F20"/>
        </w:rPr>
        <w:t>periodo</w:t>
      </w:r>
      <w:r>
        <w:rPr>
          <w:color w:val="231F20"/>
          <w:spacing w:val="-10"/>
        </w:rPr>
        <w:t> </w:t>
      </w:r>
      <w:r>
        <w:rPr>
          <w:color w:val="231F20"/>
        </w:rPr>
        <w:t>de</w:t>
      </w:r>
      <w:r>
        <w:rPr>
          <w:color w:val="231F20"/>
          <w:spacing w:val="-10"/>
        </w:rPr>
        <w:t> </w:t>
      </w:r>
      <w:r>
        <w:rPr>
          <w:color w:val="231F20"/>
        </w:rPr>
        <w:t>gobierno</w:t>
      </w:r>
      <w:r>
        <w:rPr>
          <w:color w:val="231F20"/>
          <w:spacing w:val="-10"/>
        </w:rPr>
        <w:t> </w:t>
      </w:r>
      <w:r>
        <w:rPr>
          <w:color w:val="231F20"/>
        </w:rPr>
        <w:t>de</w:t>
      </w:r>
      <w:r>
        <w:rPr>
          <w:color w:val="231F20"/>
          <w:spacing w:val="-10"/>
        </w:rPr>
        <w:t> </w:t>
      </w:r>
      <w:r>
        <w:rPr>
          <w:color w:val="231F20"/>
        </w:rPr>
        <w:t>Lázaro</w:t>
      </w:r>
      <w:r>
        <w:rPr>
          <w:color w:val="231F20"/>
          <w:spacing w:val="-10"/>
        </w:rPr>
        <w:t> </w:t>
      </w:r>
      <w:r>
        <w:rPr>
          <w:color w:val="231F20"/>
        </w:rPr>
        <w:t>Cárdenas</w:t>
      </w:r>
      <w:r>
        <w:rPr>
          <w:color w:val="231F20"/>
          <w:spacing w:val="-10"/>
        </w:rPr>
        <w:t> </w:t>
      </w:r>
      <w:r>
        <w:rPr>
          <w:color w:val="231F20"/>
        </w:rPr>
        <w:t>se</w:t>
      </w:r>
      <w:r>
        <w:rPr>
          <w:color w:val="231F20"/>
          <w:spacing w:val="-10"/>
        </w:rPr>
        <w:t> </w:t>
      </w:r>
      <w:r>
        <w:rPr>
          <w:color w:val="231F20"/>
        </w:rPr>
        <w:t>empezaron</w:t>
      </w:r>
      <w:r>
        <w:rPr>
          <w:color w:val="231F20"/>
          <w:spacing w:val="-10"/>
        </w:rPr>
        <w:t> </w:t>
      </w:r>
      <w:r>
        <w:rPr>
          <w:color w:val="231F20"/>
        </w:rPr>
        <w:t>a</w:t>
      </w:r>
      <w:r>
        <w:rPr>
          <w:color w:val="231F20"/>
          <w:spacing w:val="-10"/>
        </w:rPr>
        <w:t> </w:t>
      </w:r>
      <w:r>
        <w:rPr>
          <w:color w:val="231F20"/>
        </w:rPr>
        <w:t>dar</w:t>
      </w:r>
      <w:r>
        <w:rPr>
          <w:color w:val="231F20"/>
          <w:spacing w:val="-10"/>
        </w:rPr>
        <w:t> </w:t>
      </w:r>
      <w:r>
        <w:rPr>
          <w:color w:val="231F20"/>
        </w:rPr>
        <w:t>las</w:t>
      </w:r>
      <w:r>
        <w:rPr>
          <w:color w:val="231F20"/>
          <w:spacing w:val="-10"/>
        </w:rPr>
        <w:t> </w:t>
      </w:r>
      <w:r>
        <w:rPr>
          <w:color w:val="231F20"/>
        </w:rPr>
        <w:t>condiciones</w:t>
      </w:r>
      <w:r>
        <w:rPr>
          <w:color w:val="231F20"/>
          <w:spacing w:val="-10"/>
        </w:rPr>
        <w:t> </w:t>
      </w:r>
      <w:r>
        <w:rPr>
          <w:color w:val="231F20"/>
        </w:rPr>
        <w:t>necesa-</w:t>
      </w:r>
      <w:r>
        <w:rPr>
          <w:color w:val="231F20"/>
          <w:w w:val="106"/>
        </w:rPr>
        <w:t> </w:t>
      </w:r>
      <w:r>
        <w:rPr>
          <w:color w:val="231F20"/>
        </w:rPr>
        <w:t>rias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industrialización</w:t>
      </w:r>
      <w:r>
        <w:rPr>
          <w:color w:val="231F20"/>
          <w:spacing w:val="-7"/>
        </w:rPr>
        <w:t> </w:t>
      </w:r>
      <w:r>
        <w:rPr>
          <w:color w:val="231F20"/>
        </w:rPr>
        <w:t>se</w:t>
      </w:r>
      <w:r>
        <w:rPr>
          <w:color w:val="231F20"/>
          <w:spacing w:val="-7"/>
        </w:rPr>
        <w:t> </w:t>
      </w:r>
      <w:r>
        <w:rPr>
          <w:color w:val="231F20"/>
        </w:rPr>
        <w:t>fortaleciera</w:t>
      </w:r>
      <w:r>
        <w:rPr>
          <w:color w:val="231F20"/>
          <w:spacing w:val="-7"/>
        </w:rPr>
        <w:t> </w:t>
      </w:r>
      <w:r>
        <w:rPr>
          <w:color w:val="231F20"/>
        </w:rPr>
        <w:t>y</w:t>
      </w:r>
      <w:r>
        <w:rPr>
          <w:color w:val="231F20"/>
          <w:spacing w:val="-7"/>
        </w:rPr>
        <w:t> </w:t>
      </w:r>
      <w:r>
        <w:rPr>
          <w:color w:val="231F20"/>
        </w:rPr>
        <w:t>desarrollara;</w:t>
      </w:r>
      <w:r>
        <w:rPr>
          <w:color w:val="231F20"/>
          <w:spacing w:val="-7"/>
        </w:rPr>
        <w:t> </w:t>
      </w:r>
      <w:r>
        <w:rPr>
          <w:color w:val="231F20"/>
        </w:rPr>
        <w:t>se</w:t>
      </w:r>
      <w:r>
        <w:rPr>
          <w:color w:val="231F20"/>
          <w:spacing w:val="-7"/>
        </w:rPr>
        <w:t> </w:t>
      </w:r>
      <w:r>
        <w:rPr>
          <w:color w:val="231F20"/>
        </w:rPr>
        <w:t>enfatizó</w:t>
      </w:r>
      <w:r>
        <w:rPr>
          <w:color w:val="231F20"/>
          <w:spacing w:val="-7"/>
        </w:rPr>
        <w:t> </w:t>
      </w:r>
      <w:r>
        <w:rPr>
          <w:color w:val="231F20"/>
        </w:rPr>
        <w:t>la</w:t>
      </w:r>
      <w:r>
        <w:rPr>
          <w:color w:val="231F20"/>
          <w:spacing w:val="-7"/>
        </w:rPr>
        <w:t> </w:t>
      </w:r>
      <w:r>
        <w:rPr>
          <w:color w:val="231F20"/>
        </w:rPr>
        <w:t>necesidad</w:t>
      </w:r>
      <w:r>
        <w:rPr>
          <w:color w:val="231F20"/>
          <w:w w:val="102"/>
        </w:rPr>
        <w:t> </w:t>
      </w:r>
      <w:r>
        <w:rPr>
          <w:color w:val="231F20"/>
        </w:rPr>
        <w:t>de disminuir la dependencia del país de los mercados extranjeros, la promoción</w:t>
      </w:r>
      <w:r>
        <w:rPr>
          <w:color w:val="231F20"/>
          <w:spacing w:val="-24"/>
        </w:rPr>
        <w:t> </w:t>
      </w:r>
      <w:r>
        <w:rPr>
          <w:color w:val="231F20"/>
        </w:rPr>
        <w:t>de</w:t>
      </w:r>
      <w:r>
        <w:rPr>
          <w:color w:val="231F20"/>
          <w:spacing w:val="-2"/>
        </w:rPr>
        <w:t> </w:t>
      </w:r>
      <w:r>
        <w:rPr>
          <w:color w:val="231F20"/>
        </w:rPr>
        <w:t>in-</w:t>
      </w:r>
      <w:r>
        <w:rPr>
          <w:color w:val="231F20"/>
          <w:w w:val="106"/>
        </w:rPr>
        <w:t> </w:t>
      </w:r>
      <w:r>
        <w:rPr>
          <w:color w:val="231F20"/>
        </w:rPr>
        <w:t>dustrias</w:t>
      </w:r>
      <w:r>
        <w:rPr>
          <w:color w:val="231F20"/>
          <w:spacing w:val="-15"/>
        </w:rPr>
        <w:t> </w:t>
      </w:r>
      <w:r>
        <w:rPr>
          <w:color w:val="231F20"/>
        </w:rPr>
        <w:t>pequeñas</w:t>
      </w:r>
      <w:r>
        <w:rPr>
          <w:color w:val="231F20"/>
          <w:spacing w:val="-15"/>
        </w:rPr>
        <w:t> </w:t>
      </w:r>
      <w:r>
        <w:rPr>
          <w:color w:val="231F20"/>
        </w:rPr>
        <w:t>y</w:t>
      </w:r>
      <w:r>
        <w:rPr>
          <w:color w:val="231F20"/>
          <w:spacing w:val="-15"/>
        </w:rPr>
        <w:t> </w:t>
      </w:r>
      <w:r>
        <w:rPr>
          <w:color w:val="231F20"/>
        </w:rPr>
        <w:t>medianas</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desarrollo</w:t>
      </w:r>
      <w:r>
        <w:rPr>
          <w:color w:val="231F20"/>
          <w:spacing w:val="-15"/>
        </w:rPr>
        <w:t> </w:t>
      </w:r>
      <w:r>
        <w:rPr>
          <w:color w:val="231F20"/>
        </w:rPr>
        <w:t>de</w:t>
      </w:r>
      <w:r>
        <w:rPr>
          <w:color w:val="231F20"/>
          <w:spacing w:val="-15"/>
        </w:rPr>
        <w:t> </w:t>
      </w:r>
      <w:r>
        <w:rPr>
          <w:color w:val="231F20"/>
        </w:rPr>
        <w:t>empresas</w:t>
      </w:r>
      <w:r>
        <w:rPr>
          <w:color w:val="231F20"/>
          <w:spacing w:val="-15"/>
        </w:rPr>
        <w:t> </w:t>
      </w:r>
      <w:r>
        <w:rPr>
          <w:color w:val="231F20"/>
        </w:rPr>
        <w:t>mexicanas</w:t>
      </w:r>
      <w:r>
        <w:rPr>
          <w:color w:val="231F20"/>
          <w:spacing w:val="-15"/>
        </w:rPr>
        <w:t> </w:t>
      </w:r>
      <w:r>
        <w:rPr>
          <w:color w:val="231F20"/>
        </w:rPr>
        <w:t>(Villarreal,</w:t>
      </w:r>
      <w:r>
        <w:rPr>
          <w:color w:val="231F20"/>
          <w:spacing w:val="-15"/>
        </w:rPr>
        <w:t> </w:t>
      </w:r>
      <w:r>
        <w:rPr>
          <w:color w:val="231F20"/>
        </w:rPr>
        <w:t>2000).</w:t>
      </w:r>
      <w:r>
        <w:rPr>
          <w:color w:val="231F20"/>
          <w:w w:val="96"/>
        </w:rPr>
        <w:t> </w:t>
      </w:r>
      <w:r>
        <w:rPr>
          <w:color w:val="231F20"/>
        </w:rPr>
        <w:t>Así,</w:t>
      </w:r>
      <w:r>
        <w:rPr>
          <w:color w:val="231F20"/>
          <w:spacing w:val="-7"/>
        </w:rPr>
        <w:t> </w:t>
      </w:r>
      <w:r>
        <w:rPr>
          <w:color w:val="231F20"/>
        </w:rPr>
        <w:t>se</w:t>
      </w:r>
      <w:r>
        <w:rPr>
          <w:color w:val="231F20"/>
          <w:spacing w:val="-7"/>
        </w:rPr>
        <w:t> </w:t>
      </w:r>
      <w:r>
        <w:rPr>
          <w:color w:val="231F20"/>
        </w:rPr>
        <w:t>empezaron</w:t>
      </w:r>
      <w:r>
        <w:rPr>
          <w:color w:val="231F20"/>
          <w:spacing w:val="-7"/>
        </w:rPr>
        <w:t> </w:t>
      </w:r>
      <w:r>
        <w:rPr>
          <w:color w:val="231F20"/>
        </w:rPr>
        <w:t>a</w:t>
      </w:r>
      <w:r>
        <w:rPr>
          <w:color w:val="231F20"/>
          <w:spacing w:val="-7"/>
        </w:rPr>
        <w:t> </w:t>
      </w:r>
      <w:r>
        <w:rPr>
          <w:color w:val="231F20"/>
        </w:rPr>
        <w:t>generar</w:t>
      </w:r>
      <w:r>
        <w:rPr>
          <w:color w:val="231F20"/>
          <w:spacing w:val="-7"/>
        </w:rPr>
        <w:t> </w:t>
      </w:r>
      <w:r>
        <w:rPr>
          <w:color w:val="231F20"/>
        </w:rPr>
        <w:t>las</w:t>
      </w:r>
      <w:r>
        <w:rPr>
          <w:color w:val="231F20"/>
          <w:spacing w:val="-7"/>
        </w:rPr>
        <w:t> </w:t>
      </w:r>
      <w:r>
        <w:rPr>
          <w:color w:val="231F20"/>
        </w:rPr>
        <w:t>condiciones</w:t>
      </w:r>
      <w:r>
        <w:rPr>
          <w:color w:val="231F20"/>
          <w:spacing w:val="-7"/>
        </w:rPr>
        <w:t> </w:t>
      </w:r>
      <w:r>
        <w:rPr>
          <w:color w:val="231F20"/>
        </w:rPr>
        <w:t>necesarias</w:t>
      </w:r>
      <w:r>
        <w:rPr>
          <w:color w:val="231F20"/>
          <w:spacing w:val="-7"/>
        </w:rPr>
        <w:t> </w:t>
      </w:r>
      <w:r>
        <w:rPr>
          <w:color w:val="231F20"/>
        </w:rPr>
        <w:t>para</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desarrollara</w:t>
      </w:r>
      <w:r>
        <w:rPr>
          <w:color w:val="231F20"/>
          <w:spacing w:val="-7"/>
        </w:rPr>
        <w:t> </w:t>
      </w:r>
      <w:r>
        <w:rPr>
          <w:color w:val="231F20"/>
        </w:rPr>
        <w:t>la</w:t>
      </w:r>
      <w:r>
        <w:rPr>
          <w:color w:val="231F20"/>
          <w:w w:val="98"/>
        </w:rPr>
        <w:t> </w:t>
      </w:r>
      <w:r>
        <w:rPr>
          <w:color w:val="231F20"/>
        </w:rPr>
        <w:t>industrialización, bajo un marco de sustitución de importaciones, hasta</w:t>
      </w:r>
      <w:r>
        <w:rPr>
          <w:color w:val="231F20"/>
          <w:spacing w:val="16"/>
        </w:rPr>
        <w:t> </w:t>
      </w:r>
      <w:r>
        <w:rPr>
          <w:color w:val="231F20"/>
        </w:rPr>
        <w:t>convertirla</w:t>
      </w:r>
      <w:r>
        <w:rPr>
          <w:color w:val="231F20"/>
          <w:spacing w:val="1"/>
        </w:rPr>
        <w:t> </w:t>
      </w:r>
      <w:r>
        <w:rPr>
          <w:color w:val="231F20"/>
        </w:rPr>
        <w:t>en</w:t>
      </w:r>
      <w:r>
        <w:rPr>
          <w:color w:val="231F20"/>
          <w:w w:val="102"/>
        </w:rPr>
        <w:t> </w:t>
      </w:r>
      <w:r>
        <w:rPr>
          <w:color w:val="231F20"/>
        </w:rPr>
        <w:t>el</w:t>
      </w:r>
      <w:r>
        <w:rPr>
          <w:color w:val="231F20"/>
          <w:spacing w:val="-9"/>
        </w:rPr>
        <w:t> </w:t>
      </w:r>
      <w:r>
        <w:rPr>
          <w:color w:val="231F20"/>
        </w:rPr>
        <w:t>pivote</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y</w:t>
      </w:r>
      <w:r>
        <w:rPr>
          <w:color w:val="231F20"/>
          <w:spacing w:val="-9"/>
        </w:rPr>
        <w:t> </w:t>
      </w:r>
      <w:r>
        <w:rPr>
          <w:color w:val="231F20"/>
        </w:rPr>
        <w:t>creación</w:t>
      </w:r>
      <w:r>
        <w:rPr>
          <w:color w:val="231F20"/>
          <w:spacing w:val="-9"/>
        </w:rPr>
        <w:t> </w:t>
      </w:r>
      <w:r>
        <w:rPr>
          <w:color w:val="231F20"/>
        </w:rPr>
        <w:t>de</w:t>
      </w:r>
      <w:r>
        <w:rPr>
          <w:color w:val="231F20"/>
          <w:spacing w:val="-9"/>
        </w:rPr>
        <w:t> </w:t>
      </w:r>
      <w:r>
        <w:rPr>
          <w:color w:val="231F20"/>
        </w:rPr>
        <w:t>empleos,</w:t>
      </w:r>
      <w:r>
        <w:rPr>
          <w:color w:val="231F20"/>
          <w:spacing w:val="-9"/>
        </w:rPr>
        <w:t> </w:t>
      </w:r>
      <w:r>
        <w:rPr>
          <w:color w:val="231F20"/>
        </w:rPr>
        <w:t>llegando</w:t>
      </w:r>
      <w:r>
        <w:rPr>
          <w:color w:val="231F20"/>
          <w:spacing w:val="-9"/>
        </w:rPr>
        <w:t> </w:t>
      </w:r>
      <w:r>
        <w:rPr>
          <w:color w:val="231F20"/>
        </w:rPr>
        <w:t>a</w:t>
      </w:r>
      <w:r>
        <w:rPr>
          <w:color w:val="231F20"/>
          <w:spacing w:val="-9"/>
        </w:rPr>
        <w:t> </w:t>
      </w:r>
      <w:r>
        <w:rPr>
          <w:color w:val="231F20"/>
        </w:rPr>
        <w:t>ser</w:t>
      </w:r>
      <w:r>
        <w:rPr>
          <w:color w:val="231F20"/>
          <w:spacing w:val="-9"/>
        </w:rPr>
        <w:t> </w:t>
      </w:r>
      <w:r>
        <w:rPr>
          <w:color w:val="231F20"/>
        </w:rPr>
        <w:t>la</w:t>
      </w:r>
      <w:r>
        <w:rPr>
          <w:color w:val="231F20"/>
          <w:spacing w:val="-9"/>
        </w:rPr>
        <w:t> </w:t>
      </w:r>
      <w:r>
        <w:rPr>
          <w:color w:val="231F20"/>
        </w:rPr>
        <w:t>actividad</w:t>
      </w:r>
      <w:r>
        <w:rPr>
          <w:color w:val="231F20"/>
          <w:spacing w:val="-9"/>
        </w:rPr>
        <w:t> </w:t>
      </w:r>
      <w:r>
        <w:rPr>
          <w:color w:val="231F20"/>
        </w:rPr>
        <w:t>relativamente</w:t>
      </w:r>
      <w:r>
        <w:rPr>
          <w:color w:val="231F20"/>
          <w:w w:val="95"/>
        </w:rPr>
        <w:t> </w:t>
      </w:r>
      <w:r>
        <w:rPr>
          <w:color w:val="231F20"/>
        </w:rPr>
        <w:t>más dinámica del conjunto de la economía. Para ella, el Estado, a través de</w:t>
      </w:r>
      <w:r>
        <w:rPr>
          <w:color w:val="231F20"/>
          <w:spacing w:val="33"/>
        </w:rPr>
        <w:t> </w:t>
      </w:r>
      <w:r>
        <w:rPr>
          <w:color w:val="231F20"/>
        </w:rPr>
        <w:t>su</w:t>
      </w:r>
      <w:r>
        <w:rPr>
          <w:color w:val="231F20"/>
          <w:spacing w:val="2"/>
        </w:rPr>
        <w:t> </w:t>
      </w:r>
      <w:r>
        <w:rPr>
          <w:color w:val="231F20"/>
        </w:rPr>
        <w:t>acción</w:t>
      </w:r>
      <w:r>
        <w:rPr>
          <w:color w:val="231F20"/>
          <w:w w:val="109"/>
        </w:rPr>
        <w:t> </w:t>
      </w:r>
      <w:r>
        <w:rPr>
          <w:color w:val="231F20"/>
        </w:rPr>
        <w:t>directa como inversionista e indirecta por medio de su política</w:t>
      </w:r>
      <w:r>
        <w:rPr>
          <w:color w:val="231F20"/>
          <w:spacing w:val="40"/>
        </w:rPr>
        <w:t> </w:t>
      </w:r>
      <w:r>
        <w:rPr>
          <w:color w:val="231F20"/>
        </w:rPr>
        <w:t>económica,</w:t>
      </w:r>
      <w:r>
        <w:rPr>
          <w:color w:val="231F20"/>
          <w:spacing w:val="9"/>
        </w:rPr>
        <w:t> </w:t>
      </w:r>
      <w:r>
        <w:rPr>
          <w:color w:val="231F20"/>
        </w:rPr>
        <w:t>garantizó</w:t>
      </w:r>
      <w:r>
        <w:rPr>
          <w:color w:val="231F20"/>
          <w:w w:val="98"/>
        </w:rPr>
        <w:t> </w:t>
      </w:r>
      <w:r>
        <w:rPr>
          <w:color w:val="231F20"/>
        </w:rPr>
        <w:t>una</w:t>
      </w:r>
      <w:r>
        <w:rPr>
          <w:color w:val="231F20"/>
          <w:spacing w:val="24"/>
        </w:rPr>
        <w:t> </w:t>
      </w:r>
      <w:r>
        <w:rPr>
          <w:color w:val="231F20"/>
        </w:rPr>
        <w:t>estructura</w:t>
      </w:r>
      <w:r>
        <w:rPr>
          <w:color w:val="231F20"/>
          <w:spacing w:val="24"/>
        </w:rPr>
        <w:t> </w:t>
      </w:r>
      <w:r>
        <w:rPr>
          <w:color w:val="231F20"/>
        </w:rPr>
        <w:t>proteccionista</w:t>
      </w:r>
      <w:r>
        <w:rPr>
          <w:color w:val="231F20"/>
          <w:spacing w:val="24"/>
        </w:rPr>
        <w:t> </w:t>
      </w:r>
      <w:r>
        <w:rPr>
          <w:color w:val="231F20"/>
        </w:rPr>
        <w:t>y</w:t>
      </w:r>
      <w:r>
        <w:rPr>
          <w:color w:val="231F20"/>
          <w:spacing w:val="24"/>
        </w:rPr>
        <w:t> </w:t>
      </w:r>
      <w:r>
        <w:rPr>
          <w:color w:val="231F20"/>
        </w:rPr>
        <w:t>de</w:t>
      </w:r>
      <w:r>
        <w:rPr>
          <w:color w:val="231F20"/>
          <w:spacing w:val="24"/>
        </w:rPr>
        <w:t> </w:t>
      </w:r>
      <w:r>
        <w:rPr>
          <w:color w:val="231F20"/>
        </w:rPr>
        <w:t>estímulos</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industrialización</w:t>
      </w:r>
      <w:r>
        <w:rPr>
          <w:color w:val="231F20"/>
          <w:spacing w:val="24"/>
        </w:rPr>
        <w:t> </w:t>
      </w:r>
      <w:r>
        <w:rPr>
          <w:color w:val="231F20"/>
        </w:rPr>
        <w:t>como</w:t>
      </w:r>
      <w:r>
        <w:rPr>
          <w:color w:val="231F20"/>
          <w:spacing w:val="24"/>
        </w:rPr>
        <w:t> </w:t>
      </w:r>
      <w:r>
        <w:rPr>
          <w:color w:val="231F20"/>
        </w:rPr>
        <w:t>una</w:t>
      </w:r>
      <w:r>
        <w:rPr>
          <w:color w:val="231F20"/>
          <w:spacing w:val="24"/>
        </w:rPr>
        <w:t> </w:t>
      </w:r>
      <w:r>
        <w:rPr>
          <w:color w:val="231F20"/>
        </w:rPr>
        <w:t>nueva</w:t>
      </w:r>
    </w:p>
    <w:p>
      <w:pPr>
        <w:pStyle w:val="BodyText"/>
        <w:spacing w:before="1"/>
        <w:ind w:left="103"/>
        <w:jc w:val="both"/>
      </w:pPr>
      <w:r>
        <w:rPr>
          <w:color w:val="231F20"/>
        </w:rPr>
        <w:t>estrategia de crecimiento (Tello, 1979; Villarreal, 2000).</w:t>
      </w:r>
    </w:p>
    <w:p>
      <w:pPr>
        <w:pStyle w:val="BodyText"/>
        <w:spacing w:line="278" w:lineRule="auto" w:before="38"/>
        <w:ind w:left="103" w:right="651" w:firstLine="396"/>
        <w:jc w:val="both"/>
      </w:pPr>
      <w:r>
        <w:rPr>
          <w:color w:val="231F20"/>
        </w:rPr>
        <w:t>Bajo un modelo proteccionista, de economía cerrada, y una industria orientada principalmente a abastecer el mercado interno, se dio la instalación de las primeras plantas</w:t>
      </w:r>
      <w:r>
        <w:rPr>
          <w:color w:val="231F20"/>
          <w:spacing w:val="-10"/>
        </w:rPr>
        <w:t> </w:t>
      </w:r>
      <w:r>
        <w:rPr>
          <w:color w:val="231F20"/>
        </w:rPr>
        <w:t>automotrices</w:t>
      </w:r>
      <w:r>
        <w:rPr>
          <w:color w:val="231F20"/>
          <w:spacing w:val="-10"/>
        </w:rPr>
        <w:t> </w:t>
      </w:r>
      <w:r>
        <w:rPr>
          <w:color w:val="231F20"/>
        </w:rPr>
        <w:t>en</w:t>
      </w:r>
      <w:r>
        <w:rPr>
          <w:color w:val="231F20"/>
          <w:spacing w:val="-10"/>
        </w:rPr>
        <w:t> </w:t>
      </w:r>
      <w:r>
        <w:rPr>
          <w:color w:val="231F20"/>
        </w:rPr>
        <w:t>México,</w:t>
      </w:r>
      <w:r>
        <w:rPr>
          <w:color w:val="231F20"/>
          <w:spacing w:val="-10"/>
        </w:rPr>
        <w:t> </w:t>
      </w:r>
      <w:r>
        <w:rPr>
          <w:color w:val="231F20"/>
        </w:rPr>
        <w:t>las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caracterizaban</w:t>
      </w:r>
      <w:r>
        <w:rPr>
          <w:color w:val="231F20"/>
          <w:spacing w:val="-10"/>
        </w:rPr>
        <w:t> </w:t>
      </w:r>
      <w:r>
        <w:rPr>
          <w:color w:val="231F20"/>
        </w:rPr>
        <w:t>por</w:t>
      </w:r>
      <w:r>
        <w:rPr>
          <w:color w:val="231F20"/>
          <w:spacing w:val="-10"/>
        </w:rPr>
        <w:t> </w:t>
      </w:r>
      <w:r>
        <w:rPr>
          <w:color w:val="231F20"/>
        </w:rPr>
        <w:t>un</w:t>
      </w:r>
      <w:r>
        <w:rPr>
          <w:color w:val="231F20"/>
          <w:spacing w:val="-10"/>
        </w:rPr>
        <w:t> </w:t>
      </w:r>
      <w:r>
        <w:rPr>
          <w:color w:val="231F20"/>
        </w:rPr>
        <w:t>bajo</w:t>
      </w:r>
      <w:r>
        <w:rPr>
          <w:color w:val="231F20"/>
          <w:spacing w:val="-10"/>
        </w:rPr>
        <w:t> </w:t>
      </w:r>
      <w:r>
        <w:rPr>
          <w:color w:val="231F20"/>
        </w:rPr>
        <w:t>nivel</w:t>
      </w:r>
      <w:r>
        <w:rPr>
          <w:color w:val="231F20"/>
          <w:spacing w:val="-10"/>
        </w:rPr>
        <w:t> </w:t>
      </w:r>
      <w:r>
        <w:rPr>
          <w:color w:val="231F20"/>
        </w:rPr>
        <w:t>de</w:t>
      </w:r>
      <w:r>
        <w:rPr>
          <w:color w:val="231F20"/>
          <w:spacing w:val="-10"/>
        </w:rPr>
        <w:t> </w:t>
      </w:r>
      <w:r>
        <w:rPr>
          <w:color w:val="231F20"/>
        </w:rPr>
        <w:t>produc- tividad,</w:t>
      </w:r>
      <w:r>
        <w:rPr>
          <w:color w:val="231F20"/>
          <w:spacing w:val="-14"/>
        </w:rPr>
        <w:t> </w:t>
      </w:r>
      <w:r>
        <w:rPr>
          <w:color w:val="231F20"/>
        </w:rPr>
        <w:t>debido</w:t>
      </w:r>
      <w:r>
        <w:rPr>
          <w:color w:val="231F20"/>
          <w:spacing w:val="-14"/>
        </w:rPr>
        <w:t> </w:t>
      </w:r>
      <w:r>
        <w:rPr>
          <w:color w:val="231F20"/>
        </w:rPr>
        <w:t>en</w:t>
      </w:r>
      <w:r>
        <w:rPr>
          <w:color w:val="231F20"/>
          <w:spacing w:val="-14"/>
        </w:rPr>
        <w:t> </w:t>
      </w:r>
      <w:r>
        <w:rPr>
          <w:color w:val="231F20"/>
        </w:rPr>
        <w:t>parte</w:t>
      </w:r>
      <w:r>
        <w:rPr>
          <w:color w:val="231F20"/>
          <w:spacing w:val="-14"/>
        </w:rPr>
        <w:t> </w:t>
      </w:r>
      <w:r>
        <w:rPr>
          <w:color w:val="231F20"/>
        </w:rPr>
        <w:t>a</w:t>
      </w:r>
      <w:r>
        <w:rPr>
          <w:color w:val="231F20"/>
          <w:spacing w:val="-14"/>
        </w:rPr>
        <w:t> </w:t>
      </w:r>
      <w:r>
        <w:rPr>
          <w:color w:val="231F20"/>
        </w:rPr>
        <w:t>su</w:t>
      </w:r>
      <w:r>
        <w:rPr>
          <w:color w:val="231F20"/>
          <w:spacing w:val="-14"/>
        </w:rPr>
        <w:t> </w:t>
      </w:r>
      <w:r>
        <w:rPr>
          <w:color w:val="231F20"/>
        </w:rPr>
        <w:t>baja</w:t>
      </w:r>
      <w:r>
        <w:rPr>
          <w:color w:val="231F20"/>
          <w:spacing w:val="-14"/>
        </w:rPr>
        <w:t> </w:t>
      </w:r>
      <w:r>
        <w:rPr>
          <w:color w:val="231F20"/>
        </w:rPr>
        <w:t>dotación</w:t>
      </w:r>
      <w:r>
        <w:rPr>
          <w:color w:val="231F20"/>
          <w:spacing w:val="-14"/>
        </w:rPr>
        <w:t> </w:t>
      </w:r>
      <w:r>
        <w:rPr>
          <w:color w:val="231F20"/>
        </w:rPr>
        <w:t>de</w:t>
      </w:r>
      <w:r>
        <w:rPr>
          <w:color w:val="231F20"/>
          <w:spacing w:val="-14"/>
        </w:rPr>
        <w:t> </w:t>
      </w:r>
      <w:r>
        <w:rPr>
          <w:color w:val="231F20"/>
        </w:rPr>
        <w:t>capital</w:t>
      </w:r>
      <w:r>
        <w:rPr>
          <w:color w:val="231F20"/>
          <w:spacing w:val="-14"/>
        </w:rPr>
        <w:t> </w:t>
      </w:r>
      <w:r>
        <w:rPr>
          <w:color w:val="231F20"/>
        </w:rPr>
        <w:t>y</w:t>
      </w:r>
      <w:r>
        <w:rPr>
          <w:color w:val="231F20"/>
          <w:spacing w:val="-14"/>
        </w:rPr>
        <w:t> </w:t>
      </w:r>
      <w:r>
        <w:rPr>
          <w:color w:val="231F20"/>
        </w:rPr>
        <w:t>de</w:t>
      </w:r>
      <w:r>
        <w:rPr>
          <w:color w:val="231F20"/>
          <w:spacing w:val="-14"/>
        </w:rPr>
        <w:t> </w:t>
      </w:r>
      <w:r>
        <w:rPr>
          <w:color w:val="231F20"/>
        </w:rPr>
        <w:t>mecanización</w:t>
      </w:r>
      <w:r>
        <w:rPr>
          <w:color w:val="231F20"/>
          <w:spacing w:val="-14"/>
        </w:rPr>
        <w:t> </w:t>
      </w:r>
      <w:r>
        <w:rPr>
          <w:color w:val="231F20"/>
        </w:rPr>
        <w:t>(Vieyra,</w:t>
      </w:r>
      <w:r>
        <w:rPr>
          <w:color w:val="231F20"/>
          <w:spacing w:val="-14"/>
        </w:rPr>
        <w:t> </w:t>
      </w:r>
      <w:r>
        <w:rPr>
          <w:color w:val="231F20"/>
        </w:rPr>
        <w:t>1999). Su</w:t>
      </w:r>
      <w:r>
        <w:rPr>
          <w:color w:val="231F20"/>
          <w:spacing w:val="-6"/>
        </w:rPr>
        <w:t> </w:t>
      </w:r>
      <w:r>
        <w:rPr>
          <w:color w:val="231F20"/>
        </w:rPr>
        <w:t>localización</w:t>
      </w:r>
      <w:r>
        <w:rPr>
          <w:color w:val="231F20"/>
          <w:spacing w:val="-6"/>
        </w:rPr>
        <w:t> </w:t>
      </w:r>
      <w:r>
        <w:rPr>
          <w:color w:val="231F20"/>
        </w:rPr>
        <w:t>se</w:t>
      </w:r>
      <w:r>
        <w:rPr>
          <w:color w:val="231F20"/>
          <w:spacing w:val="-6"/>
        </w:rPr>
        <w:t> </w:t>
      </w:r>
      <w:r>
        <w:rPr>
          <w:color w:val="231F20"/>
        </w:rPr>
        <w:t>delimitó</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zona</w:t>
      </w:r>
      <w:r>
        <w:rPr>
          <w:color w:val="231F20"/>
          <w:spacing w:val="-6"/>
        </w:rPr>
        <w:t> </w:t>
      </w:r>
      <w:r>
        <w:rPr>
          <w:color w:val="231F20"/>
        </w:rPr>
        <w:t>centro</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concretamente</w:t>
      </w:r>
      <w:r>
        <w:rPr>
          <w:color w:val="231F20"/>
          <w:spacing w:val="-6"/>
        </w:rPr>
        <w:t> </w:t>
      </w:r>
      <w:r>
        <w:rPr>
          <w:color w:val="231F20"/>
        </w:rPr>
        <w:t>el</w:t>
      </w:r>
      <w:r>
        <w:rPr>
          <w:color w:val="231F20"/>
          <w:spacing w:val="-6"/>
        </w:rPr>
        <w:t> </w:t>
      </w:r>
      <w:r>
        <w:rPr>
          <w:color w:val="231F20"/>
        </w:rPr>
        <w:t>Distrito</w:t>
      </w:r>
      <w:r>
        <w:rPr>
          <w:color w:val="231F20"/>
          <w:spacing w:val="-6"/>
        </w:rPr>
        <w:t> </w:t>
      </w:r>
      <w:r>
        <w:rPr>
          <w:color w:val="231F20"/>
        </w:rPr>
        <w:t>Federal y</w:t>
      </w:r>
      <w:r>
        <w:rPr>
          <w:color w:val="231F20"/>
          <w:spacing w:val="-8"/>
        </w:rPr>
        <w:t> </w:t>
      </w:r>
      <w:r>
        <w:rPr>
          <w:color w:val="231F20"/>
        </w:rPr>
        <w:t>algunos</w:t>
      </w:r>
      <w:r>
        <w:rPr>
          <w:color w:val="231F20"/>
          <w:spacing w:val="-8"/>
        </w:rPr>
        <w:t> </w:t>
      </w:r>
      <w:r>
        <w:rPr>
          <w:color w:val="231F20"/>
        </w:rPr>
        <w:t>municipios</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como</w:t>
      </w:r>
      <w:r>
        <w:rPr>
          <w:color w:val="231F20"/>
          <w:spacing w:val="-8"/>
        </w:rPr>
        <w:t> </w:t>
      </w:r>
      <w:r>
        <w:rPr>
          <w:color w:val="231F20"/>
        </w:rPr>
        <w:t>Cuautitlán,</w:t>
      </w:r>
      <w:r>
        <w:rPr>
          <w:color w:val="231F20"/>
          <w:spacing w:val="-8"/>
        </w:rPr>
        <w:t> </w:t>
      </w:r>
      <w:r>
        <w:rPr>
          <w:color w:val="231F20"/>
          <w:spacing w:val="-5"/>
        </w:rPr>
        <w:t>Toluca</w:t>
      </w:r>
      <w:r>
        <w:rPr>
          <w:color w:val="231F20"/>
          <w:spacing w:val="-8"/>
        </w:rPr>
        <w:t> </w:t>
      </w:r>
      <w:r>
        <w:rPr>
          <w:color w:val="231F20"/>
        </w:rPr>
        <w:t>y</w:t>
      </w:r>
      <w:r>
        <w:rPr>
          <w:color w:val="231F20"/>
          <w:spacing w:val="-8"/>
        </w:rPr>
        <w:t> </w:t>
      </w:r>
      <w:r>
        <w:rPr>
          <w:color w:val="231F20"/>
        </w:rPr>
        <w:t>Lerma.</w:t>
      </w:r>
    </w:p>
    <w:p>
      <w:pPr>
        <w:pStyle w:val="BodyText"/>
        <w:spacing w:line="278" w:lineRule="auto" w:before="1"/>
        <w:ind w:left="103" w:right="651" w:firstLine="396"/>
        <w:jc w:val="both"/>
      </w:pPr>
      <w:r>
        <w:rPr>
          <w:color w:val="231F20"/>
        </w:rPr>
        <w:t>En</w:t>
      </w:r>
      <w:r>
        <w:rPr>
          <w:color w:val="231F20"/>
          <w:spacing w:val="-7"/>
        </w:rPr>
        <w:t> </w:t>
      </w:r>
      <w:r>
        <w:rPr>
          <w:color w:val="231F20"/>
        </w:rPr>
        <w:t>los</w:t>
      </w:r>
      <w:r>
        <w:rPr>
          <w:color w:val="231F20"/>
          <w:spacing w:val="-7"/>
        </w:rPr>
        <w:t> </w:t>
      </w:r>
      <w:r>
        <w:rPr>
          <w:color w:val="231F20"/>
        </w:rPr>
        <w:t>años</w:t>
      </w:r>
      <w:r>
        <w:rPr>
          <w:color w:val="231F20"/>
          <w:spacing w:val="-7"/>
        </w:rPr>
        <w:t> </w:t>
      </w:r>
      <w:r>
        <w:rPr>
          <w:color w:val="231F20"/>
        </w:rPr>
        <w:t>sesenta</w:t>
      </w:r>
      <w:r>
        <w:rPr>
          <w:color w:val="231F20"/>
          <w:spacing w:val="-7"/>
        </w:rPr>
        <w:t> </w:t>
      </w:r>
      <w:r>
        <w:rPr>
          <w:color w:val="231F20"/>
        </w:rPr>
        <w:t>el</w:t>
      </w:r>
      <w:r>
        <w:rPr>
          <w:color w:val="231F20"/>
          <w:spacing w:val="-7"/>
        </w:rPr>
        <w:t> </w:t>
      </w:r>
      <w:r>
        <w:rPr>
          <w:color w:val="231F20"/>
        </w:rPr>
        <w:t>crecimiento</w:t>
      </w:r>
      <w:r>
        <w:rPr>
          <w:color w:val="231F20"/>
          <w:spacing w:val="-7"/>
        </w:rPr>
        <w:t> </w:t>
      </w:r>
      <w:r>
        <w:rPr>
          <w:color w:val="231F20"/>
        </w:rPr>
        <w:t>del</w:t>
      </w:r>
      <w:r>
        <w:rPr>
          <w:color w:val="231F20"/>
          <w:spacing w:val="-7"/>
        </w:rPr>
        <w:t> </w:t>
      </w:r>
      <w:r>
        <w:rPr>
          <w:color w:val="231F20"/>
        </w:rPr>
        <w:t>mercado</w:t>
      </w:r>
      <w:r>
        <w:rPr>
          <w:color w:val="231F20"/>
          <w:spacing w:val="-7"/>
        </w:rPr>
        <w:t> </w:t>
      </w:r>
      <w:r>
        <w:rPr>
          <w:color w:val="231F20"/>
        </w:rPr>
        <w:t>interno</w:t>
      </w:r>
      <w:r>
        <w:rPr>
          <w:color w:val="231F20"/>
          <w:spacing w:val="-7"/>
        </w:rPr>
        <w:t> </w:t>
      </w:r>
      <w:r>
        <w:rPr>
          <w:color w:val="231F20"/>
        </w:rPr>
        <w:t>y</w:t>
      </w:r>
      <w:r>
        <w:rPr>
          <w:color w:val="231F20"/>
          <w:spacing w:val="-7"/>
        </w:rPr>
        <w:t> </w:t>
      </w:r>
      <w:r>
        <w:rPr>
          <w:color w:val="231F20"/>
        </w:rPr>
        <w:t>los</w:t>
      </w:r>
      <w:r>
        <w:rPr>
          <w:color w:val="231F20"/>
          <w:spacing w:val="-7"/>
        </w:rPr>
        <w:t> </w:t>
      </w:r>
      <w:r>
        <w:rPr>
          <w:color w:val="231F20"/>
        </w:rPr>
        <w:t>apoyos</w:t>
      </w:r>
      <w:r>
        <w:rPr>
          <w:color w:val="231F20"/>
          <w:spacing w:val="-7"/>
        </w:rPr>
        <w:t> </w:t>
      </w:r>
      <w:r>
        <w:rPr>
          <w:color w:val="231F20"/>
        </w:rPr>
        <w:t>gubernamen- tales</w:t>
      </w:r>
      <w:r>
        <w:rPr>
          <w:color w:val="231F20"/>
          <w:spacing w:val="-8"/>
        </w:rPr>
        <w:t> </w:t>
      </w:r>
      <w:r>
        <w:rPr>
          <w:color w:val="231F20"/>
        </w:rPr>
        <w:t>generados</w:t>
      </w:r>
      <w:r>
        <w:rPr>
          <w:color w:val="231F20"/>
          <w:spacing w:val="-8"/>
        </w:rPr>
        <w:t> </w:t>
      </w:r>
      <w:r>
        <w:rPr>
          <w:color w:val="231F20"/>
        </w:rPr>
        <w:t>bajo</w:t>
      </w:r>
      <w:r>
        <w:rPr>
          <w:color w:val="231F20"/>
          <w:spacing w:val="-8"/>
        </w:rPr>
        <w:t> </w:t>
      </w:r>
      <w:r>
        <w:rPr>
          <w:color w:val="231F20"/>
        </w:rPr>
        <w:t>el</w:t>
      </w:r>
      <w:r>
        <w:rPr>
          <w:color w:val="231F20"/>
          <w:spacing w:val="-8"/>
        </w:rPr>
        <w:t> </w:t>
      </w:r>
      <w:r>
        <w:rPr>
          <w:color w:val="231F20"/>
        </w:rPr>
        <w:t>marco</w:t>
      </w:r>
      <w:r>
        <w:rPr>
          <w:color w:val="231F20"/>
          <w:spacing w:val="-8"/>
        </w:rPr>
        <w:t> </w:t>
      </w:r>
      <w:r>
        <w:rPr>
          <w:color w:val="231F20"/>
        </w:rPr>
        <w:t>del</w:t>
      </w:r>
      <w:r>
        <w:rPr>
          <w:color w:val="231F20"/>
          <w:spacing w:val="-8"/>
        </w:rPr>
        <w:t> </w:t>
      </w:r>
      <w:r>
        <w:rPr>
          <w:color w:val="231F20"/>
        </w:rPr>
        <w:t>Modelo</w:t>
      </w:r>
      <w:r>
        <w:rPr>
          <w:color w:val="231F20"/>
          <w:spacing w:val="-8"/>
        </w:rPr>
        <w:t> </w:t>
      </w:r>
      <w:r>
        <w:rPr>
          <w:color w:val="231F20"/>
        </w:rPr>
        <w:t>de</w:t>
      </w:r>
      <w:r>
        <w:rPr>
          <w:color w:val="231F20"/>
          <w:spacing w:val="-8"/>
        </w:rPr>
        <w:t> </w:t>
      </w:r>
      <w:r>
        <w:rPr>
          <w:color w:val="231F20"/>
        </w:rPr>
        <w:t>Sustitución</w:t>
      </w:r>
      <w:r>
        <w:rPr>
          <w:color w:val="231F20"/>
          <w:spacing w:val="-8"/>
        </w:rPr>
        <w:t> </w:t>
      </w:r>
      <w:r>
        <w:rPr>
          <w:color w:val="231F20"/>
        </w:rPr>
        <w:t>de</w:t>
      </w:r>
      <w:r>
        <w:rPr>
          <w:color w:val="231F20"/>
          <w:spacing w:val="-8"/>
        </w:rPr>
        <w:t> </w:t>
      </w:r>
      <w:r>
        <w:rPr>
          <w:color w:val="231F20"/>
        </w:rPr>
        <w:t>Importaciones</w:t>
      </w:r>
      <w:r>
        <w:rPr>
          <w:color w:val="231F20"/>
          <w:spacing w:val="-8"/>
        </w:rPr>
        <w:t> </w:t>
      </w:r>
      <w:r>
        <w:rPr>
          <w:color w:val="231F20"/>
        </w:rPr>
        <w:t>propiciaron un ambiente favorable para la expansión y el desarrollo de la industria automotriz, motivado</w:t>
      </w:r>
      <w:r>
        <w:rPr>
          <w:color w:val="231F20"/>
          <w:spacing w:val="-5"/>
        </w:rPr>
        <w:t> </w:t>
      </w:r>
      <w:r>
        <w:rPr>
          <w:color w:val="231F20"/>
        </w:rPr>
        <w:t>en</w:t>
      </w:r>
      <w:r>
        <w:rPr>
          <w:color w:val="231F20"/>
          <w:spacing w:val="-5"/>
        </w:rPr>
        <w:t> </w:t>
      </w:r>
      <w:r>
        <w:rPr>
          <w:color w:val="231F20"/>
        </w:rPr>
        <w:t>gran</w:t>
      </w:r>
      <w:r>
        <w:rPr>
          <w:color w:val="231F20"/>
          <w:spacing w:val="-5"/>
        </w:rPr>
        <w:t> </w:t>
      </w:r>
      <w:r>
        <w:rPr>
          <w:color w:val="231F20"/>
        </w:rPr>
        <w:t>parte</w:t>
      </w:r>
      <w:r>
        <w:rPr>
          <w:color w:val="231F20"/>
          <w:spacing w:val="-5"/>
        </w:rPr>
        <w:t> </w:t>
      </w:r>
      <w:r>
        <w:rPr>
          <w:color w:val="231F20"/>
        </w:rPr>
        <w:t>por</w:t>
      </w:r>
      <w:r>
        <w:rPr>
          <w:color w:val="231F20"/>
          <w:spacing w:val="-5"/>
        </w:rPr>
        <w:t> </w:t>
      </w:r>
      <w:r>
        <w:rPr>
          <w:color w:val="231F20"/>
        </w:rPr>
        <w:t>los</w:t>
      </w:r>
      <w:r>
        <w:rPr>
          <w:color w:val="231F20"/>
          <w:spacing w:val="-5"/>
        </w:rPr>
        <w:t> </w:t>
      </w:r>
      <w:r>
        <w:rPr>
          <w:color w:val="231F20"/>
        </w:rPr>
        <w:t>decretos</w:t>
      </w:r>
      <w:r>
        <w:rPr>
          <w:color w:val="231F20"/>
          <w:spacing w:val="-5"/>
        </w:rPr>
        <w:t> </w:t>
      </w:r>
      <w:r>
        <w:rPr>
          <w:color w:val="231F20"/>
        </w:rPr>
        <w:t>de</w:t>
      </w:r>
      <w:r>
        <w:rPr>
          <w:color w:val="231F20"/>
          <w:spacing w:val="-5"/>
        </w:rPr>
        <w:t> </w:t>
      </w:r>
      <w:r>
        <w:rPr>
          <w:color w:val="231F20"/>
        </w:rPr>
        <w:t>apoyo</w:t>
      </w:r>
      <w:r>
        <w:rPr>
          <w:color w:val="231F20"/>
          <w:spacing w:val="-5"/>
        </w:rPr>
        <w:t> </w:t>
      </w:r>
      <w:r>
        <w:rPr>
          <w:color w:val="231F20"/>
        </w:rPr>
        <w:t>al</w:t>
      </w:r>
      <w:r>
        <w:rPr>
          <w:color w:val="231F20"/>
          <w:spacing w:val="-5"/>
        </w:rPr>
        <w:t> </w:t>
      </w:r>
      <w:r>
        <w:rPr>
          <w:color w:val="231F20"/>
        </w:rPr>
        <w:t>sector</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emitieron</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 esa</w:t>
      </w:r>
      <w:r>
        <w:rPr>
          <w:color w:val="231F20"/>
          <w:spacing w:val="-16"/>
        </w:rPr>
        <w:t> </w:t>
      </w:r>
      <w:r>
        <w:rPr>
          <w:color w:val="231F20"/>
        </w:rPr>
        <w:t>década.</w:t>
      </w:r>
    </w:p>
    <w:p>
      <w:pPr>
        <w:spacing w:line="260" w:lineRule="exact" w:before="0"/>
        <w:ind w:left="103" w:right="0" w:firstLine="396"/>
        <w:jc w:val="both"/>
        <w:rPr>
          <w:sz w:val="21"/>
        </w:rPr>
      </w:pPr>
      <w:r>
        <w:rPr>
          <w:color w:val="231F20"/>
          <w:sz w:val="21"/>
        </w:rPr>
        <w:t>En 1962 el gobierno mexicano promulgó el primer </w:t>
      </w:r>
      <w:r>
        <w:rPr>
          <w:rFonts w:ascii="Palatino Linotype" w:hAnsi="Palatino Linotype"/>
          <w:i/>
          <w:color w:val="231F20"/>
          <w:sz w:val="21"/>
        </w:rPr>
        <w:t>Decreto automotriz</w:t>
      </w:r>
      <w:r>
        <w:rPr>
          <w:color w:val="231F20"/>
          <w:sz w:val="21"/>
        </w:rPr>
        <w:t>, con el cual</w:t>
      </w:r>
    </w:p>
    <w:p>
      <w:pPr>
        <w:pStyle w:val="BodyText"/>
        <w:spacing w:line="278" w:lineRule="auto" w:before="21"/>
        <w:ind w:left="103" w:right="650"/>
        <w:jc w:val="both"/>
      </w:pPr>
      <w:r>
        <w:rPr>
          <w:color w:val="231F20"/>
        </w:rPr>
        <w:t>se</w:t>
      </w:r>
      <w:r>
        <w:rPr>
          <w:color w:val="231F20"/>
          <w:spacing w:val="-8"/>
        </w:rPr>
        <w:t> </w:t>
      </w:r>
      <w:r>
        <w:rPr>
          <w:color w:val="231F20"/>
        </w:rPr>
        <w:t>crearon</w:t>
      </w:r>
      <w:r>
        <w:rPr>
          <w:color w:val="231F20"/>
          <w:spacing w:val="-8"/>
        </w:rPr>
        <w:t> </w:t>
      </w:r>
      <w:r>
        <w:rPr>
          <w:color w:val="231F20"/>
        </w:rPr>
        <w:t>las</w:t>
      </w:r>
      <w:r>
        <w:rPr>
          <w:color w:val="231F20"/>
          <w:spacing w:val="-8"/>
        </w:rPr>
        <w:t> </w:t>
      </w:r>
      <w:r>
        <w:rPr>
          <w:color w:val="231F20"/>
        </w:rPr>
        <w:t>primeras</w:t>
      </w:r>
      <w:r>
        <w:rPr>
          <w:color w:val="231F20"/>
          <w:spacing w:val="-8"/>
        </w:rPr>
        <w:t> </w:t>
      </w:r>
      <w:r>
        <w:rPr>
          <w:color w:val="231F20"/>
        </w:rPr>
        <w:t>bases</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del</w:t>
      </w:r>
      <w:r>
        <w:rPr>
          <w:color w:val="231F20"/>
          <w:spacing w:val="-8"/>
        </w:rPr>
        <w:t> </w:t>
      </w:r>
      <w:r>
        <w:rPr>
          <w:color w:val="231F20"/>
          <w:spacing w:val="-3"/>
        </w:rPr>
        <w:t>sector.</w:t>
      </w:r>
      <w:r>
        <w:rPr>
          <w:color w:val="231F20"/>
          <w:spacing w:val="-8"/>
        </w:rPr>
        <w:t> </w:t>
      </w:r>
      <w:r>
        <w:rPr>
          <w:color w:val="231F20"/>
        </w:rPr>
        <w:t>El</w:t>
      </w:r>
      <w:r>
        <w:rPr>
          <w:color w:val="231F20"/>
          <w:spacing w:val="-8"/>
        </w:rPr>
        <w:t> </w:t>
      </w:r>
      <w:r>
        <w:rPr>
          <w:color w:val="231F20"/>
        </w:rPr>
        <w:t>objetivo</w:t>
      </w:r>
      <w:r>
        <w:rPr>
          <w:color w:val="231F20"/>
          <w:spacing w:val="-8"/>
        </w:rPr>
        <w:t> </w:t>
      </w:r>
      <w:r>
        <w:rPr>
          <w:color w:val="231F20"/>
        </w:rPr>
        <w:t>era</w:t>
      </w:r>
      <w:r>
        <w:rPr>
          <w:color w:val="231F20"/>
          <w:spacing w:val="-8"/>
        </w:rPr>
        <w:t> </w:t>
      </w:r>
      <w:r>
        <w:rPr>
          <w:color w:val="231F20"/>
        </w:rPr>
        <w:t>establecer</w:t>
      </w:r>
      <w:r>
        <w:rPr>
          <w:color w:val="231F20"/>
          <w:spacing w:val="-8"/>
        </w:rPr>
        <w:t> </w:t>
      </w:r>
      <w:r>
        <w:rPr>
          <w:color w:val="231F20"/>
        </w:rPr>
        <w:t>un marco que regulara y fomentara la producción doméstica. Este decreto fijó en 60% el mínimo de contenido nacional para los vehículos fabricados en territorio mexicano. Los</w:t>
      </w:r>
      <w:r>
        <w:rPr>
          <w:color w:val="231F20"/>
          <w:spacing w:val="-10"/>
        </w:rPr>
        <w:t> </w:t>
      </w:r>
      <w:r>
        <w:rPr>
          <w:color w:val="231F20"/>
        </w:rPr>
        <w:t>inversionistas</w:t>
      </w:r>
      <w:r>
        <w:rPr>
          <w:color w:val="231F20"/>
          <w:spacing w:val="-10"/>
        </w:rPr>
        <w:t> </w:t>
      </w:r>
      <w:r>
        <w:rPr>
          <w:color w:val="231F20"/>
        </w:rPr>
        <w:t>extranjeros</w:t>
      </w:r>
      <w:r>
        <w:rPr>
          <w:color w:val="231F20"/>
          <w:spacing w:val="-10"/>
        </w:rPr>
        <w:t> </w:t>
      </w:r>
      <w:r>
        <w:rPr>
          <w:color w:val="231F20"/>
        </w:rPr>
        <w:t>no</w:t>
      </w:r>
      <w:r>
        <w:rPr>
          <w:color w:val="231F20"/>
          <w:spacing w:val="-10"/>
        </w:rPr>
        <w:t> </w:t>
      </w:r>
      <w:r>
        <w:rPr>
          <w:color w:val="231F20"/>
        </w:rPr>
        <w:t>tenían</w:t>
      </w:r>
      <w:r>
        <w:rPr>
          <w:color w:val="231F20"/>
          <w:spacing w:val="-10"/>
        </w:rPr>
        <w:t> </w:t>
      </w:r>
      <w:r>
        <w:rPr>
          <w:color w:val="231F20"/>
        </w:rPr>
        <w:t>restricciones</w:t>
      </w:r>
      <w:r>
        <w:rPr>
          <w:color w:val="231F20"/>
          <w:spacing w:val="-10"/>
        </w:rPr>
        <w:t> </w:t>
      </w:r>
      <w:r>
        <w:rPr>
          <w:color w:val="231F20"/>
        </w:rPr>
        <w:t>respecto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producción</w:t>
      </w:r>
      <w:r>
        <w:rPr>
          <w:color w:val="231F20"/>
          <w:spacing w:val="-10"/>
        </w:rPr>
        <w:t> </w:t>
      </w:r>
      <w:r>
        <w:rPr>
          <w:color w:val="231F20"/>
        </w:rPr>
        <w:t>de</w:t>
      </w:r>
      <w:r>
        <w:rPr>
          <w:color w:val="231F20"/>
          <w:spacing w:val="-10"/>
        </w:rPr>
        <w:t> </w:t>
      </w:r>
      <w:r>
        <w:rPr>
          <w:color w:val="231F20"/>
        </w:rPr>
        <w:t>auto- móviles, pero tenían un límite de hasta 40% de la propiedad de las plantas fabricantes de autopartes. </w:t>
      </w:r>
      <w:r>
        <w:rPr>
          <w:color w:val="231F20"/>
          <w:spacing w:val="-4"/>
        </w:rPr>
        <w:t>También </w:t>
      </w:r>
      <w:r>
        <w:rPr>
          <w:color w:val="231F20"/>
        </w:rPr>
        <w:t>limitó la importación de vehículos y de ensambles principales completos,</w:t>
      </w:r>
      <w:r>
        <w:rPr>
          <w:color w:val="231F20"/>
          <w:spacing w:val="-7"/>
        </w:rPr>
        <w:t> </w:t>
      </w:r>
      <w:r>
        <w:rPr>
          <w:color w:val="231F20"/>
        </w:rPr>
        <w:t>como</w:t>
      </w:r>
      <w:r>
        <w:rPr>
          <w:color w:val="231F20"/>
          <w:spacing w:val="-7"/>
        </w:rPr>
        <w:t> </w:t>
      </w:r>
      <w:r>
        <w:rPr>
          <w:color w:val="231F20"/>
        </w:rPr>
        <w:t>motores</w:t>
      </w:r>
      <w:r>
        <w:rPr>
          <w:color w:val="231F20"/>
          <w:spacing w:val="-7"/>
        </w:rPr>
        <w:t> </w:t>
      </w:r>
      <w:r>
        <w:rPr>
          <w:color w:val="231F20"/>
        </w:rPr>
        <w:t>y</w:t>
      </w:r>
      <w:r>
        <w:rPr>
          <w:color w:val="231F20"/>
          <w:spacing w:val="-7"/>
        </w:rPr>
        <w:t> </w:t>
      </w:r>
      <w:r>
        <w:rPr>
          <w:color w:val="231F20"/>
        </w:rPr>
        <w:t>transmisiones,</w:t>
      </w:r>
      <w:r>
        <w:rPr>
          <w:color w:val="231F20"/>
          <w:spacing w:val="-7"/>
        </w:rPr>
        <w:t> </w:t>
      </w:r>
      <w:r>
        <w:rPr>
          <w:color w:val="231F20"/>
        </w:rPr>
        <w:t>y</w:t>
      </w:r>
      <w:r>
        <w:rPr>
          <w:color w:val="231F20"/>
          <w:spacing w:val="-7"/>
        </w:rPr>
        <w:t> </w:t>
      </w:r>
      <w:r>
        <w:rPr>
          <w:color w:val="231F20"/>
        </w:rPr>
        <w:t>estableció</w:t>
      </w:r>
      <w:r>
        <w:rPr>
          <w:color w:val="231F20"/>
          <w:spacing w:val="-7"/>
        </w:rPr>
        <w:t> </w:t>
      </w:r>
      <w:r>
        <w:rPr>
          <w:color w:val="231F20"/>
        </w:rPr>
        <w:t>controles</w:t>
      </w:r>
      <w:r>
        <w:rPr>
          <w:color w:val="231F20"/>
          <w:spacing w:val="-7"/>
        </w:rPr>
        <w:t> </w:t>
      </w:r>
      <w:r>
        <w:rPr>
          <w:color w:val="231F20"/>
        </w:rPr>
        <w:t>de</w:t>
      </w:r>
      <w:r>
        <w:rPr>
          <w:color w:val="231F20"/>
          <w:spacing w:val="-7"/>
        </w:rPr>
        <w:t> </w:t>
      </w:r>
      <w:r>
        <w:rPr>
          <w:color w:val="231F20"/>
        </w:rPr>
        <w:t>precios</w:t>
      </w:r>
      <w:r>
        <w:rPr>
          <w:color w:val="231F20"/>
          <w:spacing w:val="-7"/>
        </w:rPr>
        <w:t> </w:t>
      </w:r>
      <w:r>
        <w:rPr>
          <w:color w:val="231F20"/>
        </w:rPr>
        <w:t>y</w:t>
      </w:r>
      <w:r>
        <w:rPr>
          <w:color w:val="231F20"/>
          <w:spacing w:val="-7"/>
        </w:rPr>
        <w:t> </w:t>
      </w:r>
      <w:r>
        <w:rPr>
          <w:color w:val="231F20"/>
        </w:rPr>
        <w:t>cuotas</w:t>
      </w:r>
      <w:r>
        <w:rPr>
          <w:color w:val="231F20"/>
          <w:spacing w:val="-7"/>
        </w:rPr>
        <w:t> </w:t>
      </w:r>
      <w:r>
        <w:rPr>
          <w:color w:val="231F20"/>
        </w:rPr>
        <w:t>a la</w:t>
      </w:r>
      <w:r>
        <w:rPr>
          <w:color w:val="231F20"/>
          <w:spacing w:val="1"/>
        </w:rPr>
        <w:t> </w:t>
      </w:r>
      <w:r>
        <w:rPr>
          <w:color w:val="231F20"/>
        </w:rPr>
        <w:t>producción.</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firstLine="396"/>
        <w:jc w:val="both"/>
        <w:rPr>
          <w:sz w:val="12"/>
        </w:rPr>
      </w:pPr>
      <w:r>
        <w:rPr>
          <w:color w:val="231F20"/>
          <w:spacing w:val="-4"/>
        </w:rPr>
        <w:t>Por</w:t>
      </w:r>
      <w:r>
        <w:rPr>
          <w:color w:val="231F20"/>
          <w:spacing w:val="-6"/>
        </w:rPr>
        <w:t> </w:t>
      </w:r>
      <w:r>
        <w:rPr>
          <w:color w:val="231F20"/>
        </w:rPr>
        <w:t>el</w:t>
      </w:r>
      <w:r>
        <w:rPr>
          <w:color w:val="231F20"/>
          <w:spacing w:val="-6"/>
        </w:rPr>
        <w:t> </w:t>
      </w:r>
      <w:r>
        <w:rPr>
          <w:color w:val="231F20"/>
        </w:rPr>
        <w:t>lado</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autopartes,</w:t>
      </w:r>
      <w:r>
        <w:rPr>
          <w:color w:val="231F20"/>
          <w:spacing w:val="-6"/>
        </w:rPr>
        <w:t> </w:t>
      </w:r>
      <w:r>
        <w:rPr>
          <w:color w:val="231F20"/>
        </w:rPr>
        <w:t>en</w:t>
      </w:r>
      <w:r>
        <w:rPr>
          <w:color w:val="231F20"/>
          <w:spacing w:val="-6"/>
        </w:rPr>
        <w:t> </w:t>
      </w:r>
      <w:r>
        <w:rPr>
          <w:color w:val="231F20"/>
        </w:rPr>
        <w:t>esta</w:t>
      </w:r>
      <w:r>
        <w:rPr>
          <w:color w:val="231F20"/>
          <w:spacing w:val="-6"/>
        </w:rPr>
        <w:t> </w:t>
      </w:r>
      <w:r>
        <w:rPr>
          <w:color w:val="231F20"/>
        </w:rPr>
        <w:t>etapa</w:t>
      </w:r>
      <w:r>
        <w:rPr>
          <w:color w:val="231F20"/>
          <w:spacing w:val="-6"/>
        </w:rPr>
        <w:t> </w:t>
      </w:r>
      <w:r>
        <w:rPr>
          <w:color w:val="231F20"/>
        </w:rPr>
        <w:t>las</w:t>
      </w:r>
      <w:r>
        <w:rPr>
          <w:color w:val="231F20"/>
          <w:spacing w:val="-6"/>
        </w:rPr>
        <w:t> </w:t>
      </w:r>
      <w:r>
        <w:rPr>
          <w:color w:val="231F20"/>
        </w:rPr>
        <w:t>subsidiarias</w:t>
      </w:r>
      <w:r>
        <w:rPr>
          <w:color w:val="231F20"/>
          <w:spacing w:val="-6"/>
        </w:rPr>
        <w:t> </w:t>
      </w:r>
      <w:r>
        <w:rPr>
          <w:color w:val="231F20"/>
        </w:rPr>
        <w:t>estadounidenses</w:t>
      </w:r>
      <w:r>
        <w:rPr>
          <w:color w:val="231F20"/>
          <w:spacing w:val="-6"/>
        </w:rPr>
        <w:t> </w:t>
      </w:r>
      <w:r>
        <w:rPr>
          <w:color w:val="231F20"/>
        </w:rPr>
        <w:t>—con </w:t>
      </w:r>
      <w:r>
        <w:rPr>
          <w:color w:val="231F20"/>
          <w:spacing w:val="-3"/>
        </w:rPr>
        <w:t>Ford </w:t>
      </w:r>
      <w:r>
        <w:rPr>
          <w:color w:val="231F20"/>
        </w:rPr>
        <w:t>a la cabeza, a fin de cumplir con el requisito del 60% de contenido doméstico— vincularon a los productores de autopartes con capitalistas mexicanos para establecer empresas</w:t>
      </w:r>
      <w:r>
        <w:rPr>
          <w:color w:val="231F20"/>
          <w:spacing w:val="-17"/>
        </w:rPr>
        <w:t> </w:t>
      </w:r>
      <w:r>
        <w:rPr>
          <w:color w:val="231F20"/>
        </w:rPr>
        <w:t>de</w:t>
      </w:r>
      <w:r>
        <w:rPr>
          <w:color w:val="231F20"/>
          <w:spacing w:val="-17"/>
        </w:rPr>
        <w:t> </w:t>
      </w:r>
      <w:r>
        <w:rPr>
          <w:color w:val="231F20"/>
        </w:rPr>
        <w:t>este</w:t>
      </w:r>
      <w:r>
        <w:rPr>
          <w:color w:val="231F20"/>
          <w:spacing w:val="-17"/>
        </w:rPr>
        <w:t> </w:t>
      </w:r>
      <w:r>
        <w:rPr>
          <w:color w:val="231F20"/>
        </w:rPr>
        <w:t>sector.</w:t>
      </w:r>
      <w:r>
        <w:rPr>
          <w:color w:val="231F20"/>
          <w:position w:val="7"/>
          <w:sz w:val="12"/>
        </w:rPr>
        <w:t>4</w:t>
      </w:r>
    </w:p>
    <w:p>
      <w:pPr>
        <w:pStyle w:val="BodyText"/>
        <w:spacing w:line="278" w:lineRule="auto" w:before="1"/>
        <w:ind w:left="653" w:right="100" w:firstLine="396"/>
        <w:jc w:val="both"/>
      </w:pPr>
      <w:r>
        <w:rPr>
          <w:color w:val="231F20"/>
        </w:rPr>
        <w:t>Con</w:t>
      </w:r>
      <w:r>
        <w:rPr>
          <w:color w:val="231F20"/>
          <w:spacing w:val="-5"/>
        </w:rPr>
        <w:t> </w:t>
      </w:r>
      <w:r>
        <w:rPr>
          <w:color w:val="231F20"/>
        </w:rPr>
        <w:t>la</w:t>
      </w:r>
      <w:r>
        <w:rPr>
          <w:color w:val="231F20"/>
          <w:spacing w:val="-5"/>
        </w:rPr>
        <w:t> </w:t>
      </w:r>
      <w:r>
        <w:rPr>
          <w:color w:val="231F20"/>
        </w:rPr>
        <w:t>puesta</w:t>
      </w:r>
      <w:r>
        <w:rPr>
          <w:color w:val="231F20"/>
          <w:spacing w:val="-5"/>
        </w:rPr>
        <w:t> </w:t>
      </w:r>
      <w:r>
        <w:rPr>
          <w:color w:val="231F20"/>
        </w:rPr>
        <w:t>en</w:t>
      </w:r>
      <w:r>
        <w:rPr>
          <w:color w:val="231F20"/>
          <w:spacing w:val="-5"/>
        </w:rPr>
        <w:t> </w:t>
      </w:r>
      <w:r>
        <w:rPr>
          <w:color w:val="231F20"/>
        </w:rPr>
        <w:t>marcha</w:t>
      </w:r>
      <w:r>
        <w:rPr>
          <w:color w:val="231F20"/>
          <w:spacing w:val="-5"/>
        </w:rPr>
        <w:t> </w:t>
      </w:r>
      <w:r>
        <w:rPr>
          <w:color w:val="231F20"/>
        </w:rPr>
        <w:t>de</w:t>
      </w:r>
      <w:r>
        <w:rPr>
          <w:color w:val="231F20"/>
          <w:spacing w:val="-5"/>
        </w:rPr>
        <w:t> </w:t>
      </w:r>
      <w:r>
        <w:rPr>
          <w:color w:val="231F20"/>
        </w:rPr>
        <w:t>este</w:t>
      </w:r>
      <w:r>
        <w:rPr>
          <w:color w:val="231F20"/>
          <w:spacing w:val="-5"/>
        </w:rPr>
        <w:t> </w:t>
      </w:r>
      <w:r>
        <w:rPr>
          <w:color w:val="231F20"/>
        </w:rPr>
        <w:t>decreto,</w:t>
      </w:r>
      <w:r>
        <w:rPr>
          <w:color w:val="231F20"/>
          <w:spacing w:val="-5"/>
        </w:rPr>
        <w:t> </w:t>
      </w:r>
      <w:r>
        <w:rPr>
          <w:color w:val="231F20"/>
        </w:rPr>
        <w:t>se</w:t>
      </w:r>
      <w:r>
        <w:rPr>
          <w:color w:val="231F20"/>
          <w:spacing w:val="-5"/>
        </w:rPr>
        <w:t> </w:t>
      </w:r>
      <w:r>
        <w:rPr>
          <w:color w:val="231F20"/>
        </w:rPr>
        <w:t>esperaba</w:t>
      </w:r>
      <w:r>
        <w:rPr>
          <w:color w:val="231F20"/>
          <w:spacing w:val="-5"/>
        </w:rPr>
        <w:t> </w:t>
      </w:r>
      <w:r>
        <w:rPr>
          <w:color w:val="231F20"/>
        </w:rPr>
        <w:t>reducir</w:t>
      </w:r>
      <w:r>
        <w:rPr>
          <w:color w:val="231F20"/>
          <w:spacing w:val="-5"/>
        </w:rPr>
        <w:t> </w:t>
      </w:r>
      <w:r>
        <w:rPr>
          <w:color w:val="231F20"/>
        </w:rPr>
        <w:t>el</w:t>
      </w:r>
      <w:r>
        <w:rPr>
          <w:color w:val="231F20"/>
          <w:spacing w:val="-5"/>
        </w:rPr>
        <w:t> </w:t>
      </w:r>
      <w:r>
        <w:rPr>
          <w:color w:val="231F20"/>
        </w:rPr>
        <w:t>importante</w:t>
      </w:r>
      <w:r>
        <w:rPr>
          <w:color w:val="231F20"/>
          <w:spacing w:val="-5"/>
        </w:rPr>
        <w:t> </w:t>
      </w:r>
      <w:r>
        <w:rPr>
          <w:color w:val="231F20"/>
        </w:rPr>
        <w:t>déficit comercial</w:t>
      </w:r>
      <w:r>
        <w:rPr>
          <w:color w:val="231F20"/>
          <w:spacing w:val="-11"/>
        </w:rPr>
        <w:t> </w:t>
      </w:r>
      <w:r>
        <w:rPr>
          <w:color w:val="231F20"/>
        </w:rPr>
        <w:t>existente</w:t>
      </w:r>
      <w:r>
        <w:rPr>
          <w:color w:val="231F20"/>
          <w:spacing w:val="-11"/>
        </w:rPr>
        <w:t> </w:t>
      </w:r>
      <w:r>
        <w:rPr>
          <w:color w:val="231F20"/>
        </w:rPr>
        <w:t>para</w:t>
      </w:r>
      <w:r>
        <w:rPr>
          <w:color w:val="231F20"/>
          <w:spacing w:val="-11"/>
        </w:rPr>
        <w:t> </w:t>
      </w:r>
      <w:r>
        <w:rPr>
          <w:color w:val="231F20"/>
        </w:rPr>
        <w:t>el</w:t>
      </w:r>
      <w:r>
        <w:rPr>
          <w:color w:val="231F20"/>
          <w:spacing w:val="-11"/>
        </w:rPr>
        <w:t> </w:t>
      </w:r>
      <w:r>
        <w:rPr>
          <w:color w:val="231F20"/>
          <w:spacing w:val="-3"/>
        </w:rPr>
        <w:t>sector.</w:t>
      </w:r>
      <w:r>
        <w:rPr>
          <w:color w:val="231F20"/>
          <w:spacing w:val="-11"/>
        </w:rPr>
        <w:t> </w:t>
      </w:r>
      <w:r>
        <w:rPr>
          <w:color w:val="231F20"/>
        </w:rPr>
        <w:t>En</w:t>
      </w:r>
      <w:r>
        <w:rPr>
          <w:color w:val="231F20"/>
          <w:spacing w:val="-11"/>
        </w:rPr>
        <w:t> </w:t>
      </w:r>
      <w:r>
        <w:rPr>
          <w:color w:val="231F20"/>
        </w:rPr>
        <w:t>1960,</w:t>
      </w:r>
      <w:r>
        <w:rPr>
          <w:color w:val="231F20"/>
          <w:spacing w:val="-11"/>
        </w:rPr>
        <w:t> </w:t>
      </w:r>
      <w:r>
        <w:rPr>
          <w:color w:val="231F20"/>
        </w:rPr>
        <w:t>53%</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demanda</w:t>
      </w:r>
      <w:r>
        <w:rPr>
          <w:color w:val="231F20"/>
          <w:spacing w:val="-11"/>
        </w:rPr>
        <w:t> </w:t>
      </w:r>
      <w:r>
        <w:rPr>
          <w:color w:val="231F20"/>
        </w:rPr>
        <w:t>interna</w:t>
      </w:r>
      <w:r>
        <w:rPr>
          <w:color w:val="231F20"/>
          <w:spacing w:val="-11"/>
        </w:rPr>
        <w:t> </w:t>
      </w:r>
      <w:r>
        <w:rPr>
          <w:color w:val="231F20"/>
        </w:rPr>
        <w:t>de</w:t>
      </w:r>
      <w:r>
        <w:rPr>
          <w:color w:val="231F20"/>
          <w:spacing w:val="-11"/>
        </w:rPr>
        <w:t> </w:t>
      </w:r>
      <w:r>
        <w:rPr>
          <w:color w:val="231F20"/>
        </w:rPr>
        <w:t>automóviles para</w:t>
      </w:r>
      <w:r>
        <w:rPr>
          <w:color w:val="231F20"/>
          <w:spacing w:val="-7"/>
        </w:rPr>
        <w:t> </w:t>
      </w:r>
      <w:r>
        <w:rPr>
          <w:color w:val="231F20"/>
        </w:rPr>
        <w:t>pasajeros</w:t>
      </w:r>
      <w:r>
        <w:rPr>
          <w:color w:val="231F20"/>
          <w:spacing w:val="-7"/>
        </w:rPr>
        <w:t> </w:t>
      </w:r>
      <w:r>
        <w:rPr>
          <w:color w:val="231F20"/>
        </w:rPr>
        <w:t>y</w:t>
      </w:r>
      <w:r>
        <w:rPr>
          <w:color w:val="231F20"/>
          <w:spacing w:val="-7"/>
        </w:rPr>
        <w:t> </w:t>
      </w:r>
      <w:r>
        <w:rPr>
          <w:color w:val="231F20"/>
        </w:rPr>
        <w:t>80%</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partes</w:t>
      </w:r>
      <w:r>
        <w:rPr>
          <w:color w:val="231F20"/>
          <w:spacing w:val="-7"/>
        </w:rPr>
        <w:t> </w:t>
      </w:r>
      <w:r>
        <w:rPr>
          <w:color w:val="231F20"/>
        </w:rPr>
        <w:t>usadas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nacional</w:t>
      </w:r>
      <w:r>
        <w:rPr>
          <w:color w:val="231F20"/>
          <w:spacing w:val="-7"/>
        </w:rPr>
        <w:t> </w:t>
      </w:r>
      <w:r>
        <w:rPr>
          <w:color w:val="231F20"/>
        </w:rPr>
        <w:t>era</w:t>
      </w:r>
      <w:r>
        <w:rPr>
          <w:color w:val="231F20"/>
          <w:spacing w:val="-7"/>
        </w:rPr>
        <w:t> </w:t>
      </w:r>
      <w:r>
        <w:rPr>
          <w:color w:val="231F20"/>
        </w:rPr>
        <w:t>abastecida</w:t>
      </w:r>
      <w:r>
        <w:rPr>
          <w:color w:val="231F20"/>
          <w:spacing w:val="-7"/>
        </w:rPr>
        <w:t> </w:t>
      </w:r>
      <w:r>
        <w:rPr>
          <w:color w:val="231F20"/>
        </w:rPr>
        <w:t>por importaciones; por su parte, las exportaciones eran sólo de 200 mil dólares, con un déficit</w:t>
      </w:r>
      <w:r>
        <w:rPr>
          <w:color w:val="231F20"/>
          <w:spacing w:val="-12"/>
        </w:rPr>
        <w:t> </w:t>
      </w:r>
      <w:r>
        <w:rPr>
          <w:color w:val="231F20"/>
        </w:rPr>
        <w:t>sectorial</w:t>
      </w:r>
      <w:r>
        <w:rPr>
          <w:color w:val="231F20"/>
          <w:spacing w:val="-12"/>
        </w:rPr>
        <w:t> </w:t>
      </w:r>
      <w:r>
        <w:rPr>
          <w:color w:val="231F20"/>
        </w:rPr>
        <w:t>de</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119</w:t>
      </w:r>
      <w:r>
        <w:rPr>
          <w:color w:val="231F20"/>
          <w:spacing w:val="-12"/>
        </w:rPr>
        <w:t> </w:t>
      </w:r>
      <w:r>
        <w:rPr>
          <w:color w:val="231F20"/>
        </w:rPr>
        <w:t>millones,</w:t>
      </w:r>
      <w:r>
        <w:rPr>
          <w:color w:val="231F20"/>
          <w:spacing w:val="-12"/>
        </w:rPr>
        <w:t> </w:t>
      </w:r>
      <w:r>
        <w:rPr>
          <w:color w:val="231F20"/>
        </w:rPr>
        <w:t>del</w:t>
      </w:r>
      <w:r>
        <w:rPr>
          <w:color w:val="231F20"/>
          <w:spacing w:val="-12"/>
        </w:rPr>
        <w:t> </w:t>
      </w:r>
      <w:r>
        <w:rPr>
          <w:color w:val="231F20"/>
        </w:rPr>
        <w:t>cual</w:t>
      </w:r>
      <w:r>
        <w:rPr>
          <w:color w:val="231F20"/>
          <w:spacing w:val="-12"/>
        </w:rPr>
        <w:t> </w:t>
      </w:r>
      <w:r>
        <w:rPr>
          <w:color w:val="231F20"/>
        </w:rPr>
        <w:t>cerca</w:t>
      </w:r>
      <w:r>
        <w:rPr>
          <w:color w:val="231F20"/>
          <w:spacing w:val="-12"/>
        </w:rPr>
        <w:t> </w:t>
      </w:r>
      <w:r>
        <w:rPr>
          <w:color w:val="231F20"/>
        </w:rPr>
        <w:t>del</w:t>
      </w:r>
      <w:r>
        <w:rPr>
          <w:color w:val="231F20"/>
          <w:spacing w:val="-12"/>
        </w:rPr>
        <w:t> </w:t>
      </w:r>
      <w:r>
        <w:rPr>
          <w:color w:val="231F20"/>
        </w:rPr>
        <w:t>85%</w:t>
      </w:r>
      <w:r>
        <w:rPr>
          <w:color w:val="231F20"/>
          <w:spacing w:val="-12"/>
        </w:rPr>
        <w:t> </w:t>
      </w:r>
      <w:r>
        <w:rPr>
          <w:color w:val="231F20"/>
        </w:rPr>
        <w:t>era</w:t>
      </w:r>
      <w:r>
        <w:rPr>
          <w:color w:val="231F20"/>
          <w:spacing w:val="-12"/>
        </w:rPr>
        <w:t> </w:t>
      </w:r>
      <w:r>
        <w:rPr>
          <w:color w:val="231F20"/>
        </w:rPr>
        <w:t>con</w:t>
      </w:r>
      <w:r>
        <w:rPr>
          <w:color w:val="231F20"/>
          <w:spacing w:val="-12"/>
        </w:rPr>
        <w:t> </w:t>
      </w:r>
      <w:r>
        <w:rPr>
          <w:color w:val="231F20"/>
        </w:rPr>
        <w:t>Estados</w:t>
      </w:r>
      <w:r>
        <w:rPr>
          <w:color w:val="231F20"/>
          <w:spacing w:val="-12"/>
        </w:rPr>
        <w:t> </w:t>
      </w:r>
      <w:r>
        <w:rPr>
          <w:color w:val="231F20"/>
        </w:rPr>
        <w:t>Unidos (Fernández, 2005). Para 1970 este déficit comercial continuaba y era de 170 millones de</w:t>
      </w:r>
      <w:r>
        <w:rPr>
          <w:color w:val="231F20"/>
          <w:spacing w:val="-14"/>
        </w:rPr>
        <w:t> </w:t>
      </w:r>
      <w:r>
        <w:rPr>
          <w:color w:val="231F20"/>
        </w:rPr>
        <w:t>dólares.</w:t>
      </w:r>
    </w:p>
    <w:p>
      <w:pPr>
        <w:pStyle w:val="BodyText"/>
        <w:spacing w:line="278" w:lineRule="auto" w:before="1"/>
        <w:ind w:left="653" w:right="100" w:firstLine="396"/>
        <w:jc w:val="both"/>
      </w:pPr>
      <w:r>
        <w:rPr>
          <w:color w:val="231F20"/>
        </w:rPr>
        <w:t>Sin embargo, señala Vicencio (2007), como derivación del proteccionismo del mercado doméstico la industria creció notablemente: se pasó de producir 96, </w:t>
      </w:r>
      <w:r>
        <w:rPr>
          <w:color w:val="231F20"/>
          <w:spacing w:val="2"/>
        </w:rPr>
        <w:t>781</w:t>
      </w:r>
      <w:r>
        <w:rPr>
          <w:color w:val="231F20"/>
          <w:spacing w:val="56"/>
        </w:rPr>
        <w:t> </w:t>
      </w:r>
      <w:r>
        <w:rPr>
          <w:color w:val="231F20"/>
        </w:rPr>
        <w:t>vehículos en 1965 a 250, 000 en 1970 y además se logró la meta de contenido nacio- nal, con lo que se reactivó el sector de las autopartes y por lo tanto se extendió este fenómeno a otros sectores de la economía  nacional.</w:t>
      </w:r>
    </w:p>
    <w:p>
      <w:pPr>
        <w:pStyle w:val="BodyText"/>
        <w:spacing w:line="273" w:lineRule="auto" w:before="1"/>
        <w:ind w:left="653" w:right="98" w:firstLine="396"/>
        <w:jc w:val="both"/>
      </w:pPr>
      <w:r>
        <w:rPr>
          <w:color w:val="231F20"/>
          <w:spacing w:val="-4"/>
        </w:rPr>
        <w:t>Un  </w:t>
      </w:r>
      <w:r>
        <w:rPr>
          <w:color w:val="231F20"/>
          <w:spacing w:val="2"/>
        </w:rPr>
        <w:t>periodo </w:t>
      </w:r>
      <w:r>
        <w:rPr>
          <w:color w:val="231F20"/>
        </w:rPr>
        <w:t>fundamental en el desarrollo del sector automotriz fue sin duda       la década de los setenta; en estos años se emitieron decretos que dieron la pauta    para importantes transformaciones que marcaron el desarrollo del sector automotriz nacional; uno de ellos fue el </w:t>
      </w:r>
      <w:r>
        <w:rPr>
          <w:rFonts w:ascii="Palatino Linotype" w:hAnsi="Palatino Linotype"/>
          <w:i/>
          <w:color w:val="231F20"/>
        </w:rPr>
        <w:t>Decreto de descentralización industrial</w:t>
      </w:r>
      <w:r>
        <w:rPr>
          <w:color w:val="231F20"/>
        </w:rPr>
        <w:t>, emitido por el gobierno federal en 1972, el que, junto con los estímulos fiscales que prevalecían en ese momento, alentó la instalación de plantas armadoras fuera del Distrito Federal y del Estado de México.</w:t>
      </w:r>
      <w:r>
        <w:rPr>
          <w:color w:val="231F20"/>
          <w:position w:val="7"/>
          <w:sz w:val="12"/>
        </w:rPr>
        <w:t>5 </w:t>
      </w:r>
      <w:r>
        <w:rPr>
          <w:color w:val="231F20"/>
        </w:rPr>
        <w:t>Así empezó a darse el establecimiento de grandes complejos automotrices en estados de la frontera norte y de abastecedoras de partes en Queréta- ro, San Luis Potosí, Guanajuato y Aguascalientes, a finales de los setenta y principios de los</w:t>
      </w:r>
      <w:r>
        <w:rPr>
          <w:color w:val="231F20"/>
          <w:spacing w:val="20"/>
        </w:rPr>
        <w:t> </w:t>
      </w:r>
      <w:r>
        <w:rPr>
          <w:color w:val="231F20"/>
        </w:rPr>
        <w:t>ochenta.</w:t>
      </w:r>
    </w:p>
    <w:p>
      <w:pPr>
        <w:pStyle w:val="BodyText"/>
        <w:spacing w:before="7"/>
        <w:rPr>
          <w:sz w:val="29"/>
        </w:rPr>
      </w:pPr>
      <w:r>
        <w:rPr/>
        <w:pict>
          <v:line style="position:absolute;mso-position-horizontal-relative:page;mso-position-vertical-relative:paragraph;z-index:7864;mso-wrap-distance-left:0;mso-wrap-distance-right:0" from="56.692902pt,19.241753pt" to="198.424902pt,19.241753pt" stroked="true" strokeweight=".5pt" strokecolor="#231f20">
            <w10:wrap type="topAndBottom"/>
          </v:line>
        </w:pict>
      </w:r>
    </w:p>
    <w:p>
      <w:pPr>
        <w:spacing w:line="288" w:lineRule="auto" w:before="43"/>
        <w:ind w:left="823" w:right="102" w:hanging="171"/>
        <w:jc w:val="both"/>
        <w:rPr>
          <w:sz w:val="16"/>
        </w:rPr>
      </w:pPr>
      <w:r>
        <w:rPr>
          <w:color w:val="231F20"/>
          <w:position w:val="5"/>
          <w:sz w:val="9"/>
        </w:rPr>
        <w:t>4   </w:t>
      </w:r>
      <w:r>
        <w:rPr>
          <w:color w:val="231F20"/>
          <w:spacing w:val="10"/>
          <w:position w:val="5"/>
          <w:sz w:val="9"/>
        </w:rPr>
        <w:t> </w:t>
      </w:r>
      <w:r>
        <w:rPr>
          <w:color w:val="231F20"/>
          <w:sz w:val="16"/>
        </w:rPr>
        <w:t>Surgen</w:t>
      </w:r>
      <w:r>
        <w:rPr>
          <w:color w:val="231F20"/>
          <w:spacing w:val="-8"/>
          <w:sz w:val="16"/>
        </w:rPr>
        <w:t> </w:t>
      </w:r>
      <w:r>
        <w:rPr>
          <w:color w:val="231F20"/>
          <w:sz w:val="16"/>
        </w:rPr>
        <w:t>empresas</w:t>
      </w:r>
      <w:r>
        <w:rPr>
          <w:color w:val="231F20"/>
          <w:spacing w:val="-8"/>
          <w:sz w:val="16"/>
        </w:rPr>
        <w:t> </w:t>
      </w:r>
      <w:r>
        <w:rPr>
          <w:color w:val="231F20"/>
          <w:sz w:val="16"/>
        </w:rPr>
        <w:t>como</w:t>
      </w:r>
      <w:r>
        <w:rPr>
          <w:color w:val="231F20"/>
          <w:spacing w:val="-8"/>
          <w:sz w:val="16"/>
        </w:rPr>
        <w:t> </w:t>
      </w:r>
      <w:r>
        <w:rPr>
          <w:color w:val="231F20"/>
          <w:spacing w:val="-3"/>
          <w:sz w:val="16"/>
        </w:rPr>
        <w:t>Tremec</w:t>
      </w:r>
      <w:r>
        <w:rPr>
          <w:color w:val="231F20"/>
          <w:spacing w:val="-8"/>
          <w:sz w:val="16"/>
        </w:rPr>
        <w:t> </w:t>
      </w:r>
      <w:r>
        <w:rPr>
          <w:color w:val="231F20"/>
          <w:sz w:val="16"/>
        </w:rPr>
        <w:t>y</w:t>
      </w:r>
      <w:r>
        <w:rPr>
          <w:color w:val="231F20"/>
          <w:spacing w:val="-8"/>
          <w:sz w:val="16"/>
        </w:rPr>
        <w:t> </w:t>
      </w:r>
      <w:r>
        <w:rPr>
          <w:color w:val="231F20"/>
          <w:spacing w:val="-3"/>
          <w:sz w:val="16"/>
        </w:rPr>
        <w:t>Spicer,</w:t>
      </w:r>
      <w:r>
        <w:rPr>
          <w:color w:val="231F20"/>
          <w:spacing w:val="-8"/>
          <w:sz w:val="16"/>
        </w:rPr>
        <w:t> </w:t>
      </w:r>
      <w:r>
        <w:rPr>
          <w:color w:val="231F20"/>
          <w:sz w:val="16"/>
        </w:rPr>
        <w:t>que</w:t>
      </w:r>
      <w:r>
        <w:rPr>
          <w:color w:val="231F20"/>
          <w:spacing w:val="-8"/>
          <w:sz w:val="16"/>
        </w:rPr>
        <w:t> </w:t>
      </w:r>
      <w:r>
        <w:rPr>
          <w:color w:val="231F20"/>
          <w:sz w:val="16"/>
        </w:rPr>
        <w:t>abastecen</w:t>
      </w:r>
      <w:r>
        <w:rPr>
          <w:color w:val="231F20"/>
          <w:spacing w:val="-8"/>
          <w:sz w:val="16"/>
        </w:rPr>
        <w:t> </w:t>
      </w:r>
      <w:r>
        <w:rPr>
          <w:color w:val="231F20"/>
          <w:sz w:val="16"/>
        </w:rPr>
        <w:t>la</w:t>
      </w:r>
      <w:r>
        <w:rPr>
          <w:color w:val="231F20"/>
          <w:spacing w:val="-8"/>
          <w:sz w:val="16"/>
        </w:rPr>
        <w:t> </w:t>
      </w:r>
      <w:r>
        <w:rPr>
          <w:color w:val="231F20"/>
          <w:sz w:val="16"/>
        </w:rPr>
        <w:t>mayor</w:t>
      </w:r>
      <w:r>
        <w:rPr>
          <w:color w:val="231F20"/>
          <w:spacing w:val="-8"/>
          <w:sz w:val="16"/>
        </w:rPr>
        <w:t> </w:t>
      </w:r>
      <w:r>
        <w:rPr>
          <w:color w:val="231F20"/>
          <w:sz w:val="16"/>
        </w:rPr>
        <w:t>parte</w:t>
      </w:r>
      <w:r>
        <w:rPr>
          <w:color w:val="231F20"/>
          <w:spacing w:val="-8"/>
          <w:sz w:val="16"/>
        </w:rPr>
        <w:t> </w:t>
      </w:r>
      <w:r>
        <w:rPr>
          <w:color w:val="231F20"/>
          <w:sz w:val="16"/>
        </w:rPr>
        <w:t>del</w:t>
      </w:r>
      <w:r>
        <w:rPr>
          <w:color w:val="231F20"/>
          <w:spacing w:val="-8"/>
          <w:sz w:val="16"/>
        </w:rPr>
        <w:t> </w:t>
      </w:r>
      <w:r>
        <w:rPr>
          <w:color w:val="231F20"/>
          <w:sz w:val="16"/>
        </w:rPr>
        <w:t>mercado</w:t>
      </w:r>
      <w:r>
        <w:rPr>
          <w:color w:val="231F20"/>
          <w:spacing w:val="-8"/>
          <w:sz w:val="16"/>
        </w:rPr>
        <w:t> </w:t>
      </w:r>
      <w:r>
        <w:rPr>
          <w:color w:val="231F20"/>
          <w:sz w:val="16"/>
        </w:rPr>
        <w:t>doméstico</w:t>
      </w:r>
      <w:r>
        <w:rPr>
          <w:color w:val="231F20"/>
          <w:spacing w:val="-8"/>
          <w:sz w:val="16"/>
        </w:rPr>
        <w:t> </w:t>
      </w:r>
      <w:r>
        <w:rPr>
          <w:color w:val="231F20"/>
          <w:sz w:val="16"/>
        </w:rPr>
        <w:t>de</w:t>
      </w:r>
      <w:r>
        <w:rPr>
          <w:color w:val="231F20"/>
          <w:spacing w:val="-8"/>
          <w:sz w:val="16"/>
        </w:rPr>
        <w:t> </w:t>
      </w:r>
      <w:r>
        <w:rPr>
          <w:color w:val="231F20"/>
          <w:sz w:val="16"/>
        </w:rPr>
        <w:t>transmisiones y</w:t>
      </w:r>
      <w:r>
        <w:rPr>
          <w:color w:val="231F20"/>
          <w:spacing w:val="-5"/>
          <w:sz w:val="16"/>
        </w:rPr>
        <w:t> </w:t>
      </w:r>
      <w:r>
        <w:rPr>
          <w:color w:val="231F20"/>
          <w:sz w:val="16"/>
        </w:rPr>
        <w:t>otros</w:t>
      </w:r>
      <w:r>
        <w:rPr>
          <w:color w:val="231F20"/>
          <w:spacing w:val="-5"/>
          <w:sz w:val="16"/>
        </w:rPr>
        <w:t> </w:t>
      </w:r>
      <w:r>
        <w:rPr>
          <w:color w:val="231F20"/>
          <w:sz w:val="16"/>
        </w:rPr>
        <w:t>componentes;</w:t>
      </w:r>
      <w:r>
        <w:rPr>
          <w:color w:val="231F20"/>
          <w:spacing w:val="-5"/>
          <w:sz w:val="16"/>
        </w:rPr>
        <w:t> </w:t>
      </w:r>
      <w:r>
        <w:rPr>
          <w:color w:val="231F20"/>
          <w:sz w:val="16"/>
        </w:rPr>
        <w:t>o</w:t>
      </w:r>
      <w:r>
        <w:rPr>
          <w:color w:val="231F20"/>
          <w:spacing w:val="-5"/>
          <w:sz w:val="16"/>
        </w:rPr>
        <w:t> </w:t>
      </w:r>
      <w:r>
        <w:rPr>
          <w:color w:val="231F20"/>
          <w:sz w:val="16"/>
        </w:rPr>
        <w:t>las</w:t>
      </w:r>
      <w:r>
        <w:rPr>
          <w:color w:val="231F20"/>
          <w:spacing w:val="-5"/>
          <w:sz w:val="16"/>
        </w:rPr>
        <w:t> </w:t>
      </w:r>
      <w:r>
        <w:rPr>
          <w:color w:val="231F20"/>
          <w:sz w:val="16"/>
        </w:rPr>
        <w:t>grandes</w:t>
      </w:r>
      <w:r>
        <w:rPr>
          <w:color w:val="231F20"/>
          <w:spacing w:val="-5"/>
          <w:sz w:val="16"/>
        </w:rPr>
        <w:t> </w:t>
      </w:r>
      <w:r>
        <w:rPr>
          <w:color w:val="231F20"/>
          <w:sz w:val="16"/>
        </w:rPr>
        <w:t>inversiones,</w:t>
      </w:r>
      <w:r>
        <w:rPr>
          <w:color w:val="231F20"/>
          <w:spacing w:val="-5"/>
          <w:sz w:val="16"/>
        </w:rPr>
        <w:t> </w:t>
      </w:r>
      <w:r>
        <w:rPr>
          <w:color w:val="231F20"/>
          <w:sz w:val="16"/>
        </w:rPr>
        <w:t>como</w:t>
      </w:r>
      <w:r>
        <w:rPr>
          <w:color w:val="231F20"/>
          <w:spacing w:val="-5"/>
          <w:sz w:val="16"/>
        </w:rPr>
        <w:t> </w:t>
      </w:r>
      <w:r>
        <w:rPr>
          <w:color w:val="231F20"/>
          <w:sz w:val="16"/>
        </w:rPr>
        <w:t>las</w:t>
      </w:r>
      <w:r>
        <w:rPr>
          <w:color w:val="231F20"/>
          <w:spacing w:val="-5"/>
          <w:sz w:val="16"/>
        </w:rPr>
        <w:t> </w:t>
      </w:r>
      <w:r>
        <w:rPr>
          <w:color w:val="231F20"/>
          <w:sz w:val="16"/>
        </w:rPr>
        <w:t>que</w:t>
      </w:r>
      <w:r>
        <w:rPr>
          <w:color w:val="231F20"/>
          <w:spacing w:val="-5"/>
          <w:sz w:val="16"/>
        </w:rPr>
        <w:t> </w:t>
      </w:r>
      <w:r>
        <w:rPr>
          <w:color w:val="231F20"/>
          <w:sz w:val="16"/>
        </w:rPr>
        <w:t>realizó</w:t>
      </w:r>
      <w:r>
        <w:rPr>
          <w:color w:val="231F20"/>
          <w:spacing w:val="-5"/>
          <w:sz w:val="16"/>
        </w:rPr>
        <w:t> </w:t>
      </w:r>
      <w:r>
        <w:rPr>
          <w:color w:val="231F20"/>
          <w:sz w:val="16"/>
        </w:rPr>
        <w:t>Eaton</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industria</w:t>
      </w:r>
      <w:r>
        <w:rPr>
          <w:color w:val="231F20"/>
          <w:spacing w:val="-5"/>
          <w:sz w:val="16"/>
        </w:rPr>
        <w:t> </w:t>
      </w:r>
      <w:r>
        <w:rPr>
          <w:color w:val="231F20"/>
          <w:sz w:val="16"/>
        </w:rPr>
        <w:t>de</w:t>
      </w:r>
      <w:r>
        <w:rPr>
          <w:color w:val="231F20"/>
          <w:spacing w:val="-5"/>
          <w:sz w:val="16"/>
        </w:rPr>
        <w:t> </w:t>
      </w:r>
      <w:r>
        <w:rPr>
          <w:color w:val="231F20"/>
          <w:sz w:val="16"/>
        </w:rPr>
        <w:t>componentes.</w:t>
      </w:r>
    </w:p>
    <w:p>
      <w:pPr>
        <w:spacing w:line="288" w:lineRule="auto" w:before="120"/>
        <w:ind w:left="823" w:right="101" w:hanging="171"/>
        <w:jc w:val="both"/>
        <w:rPr>
          <w:sz w:val="16"/>
        </w:rPr>
      </w:pPr>
      <w:r>
        <w:rPr>
          <w:color w:val="231F20"/>
          <w:position w:val="5"/>
          <w:sz w:val="9"/>
        </w:rPr>
        <w:t>5</w:t>
      </w:r>
      <w:r>
        <w:rPr>
          <w:color w:val="231F20"/>
          <w:spacing w:val="15"/>
          <w:position w:val="5"/>
          <w:sz w:val="9"/>
        </w:rPr>
        <w:t> </w:t>
      </w:r>
      <w:r>
        <w:rPr>
          <w:color w:val="231F20"/>
          <w:sz w:val="16"/>
        </w:rPr>
        <w:t>En</w:t>
      </w:r>
      <w:r>
        <w:rPr>
          <w:color w:val="231F20"/>
          <w:spacing w:val="-6"/>
          <w:sz w:val="16"/>
        </w:rPr>
        <w:t> </w:t>
      </w:r>
      <w:r>
        <w:rPr>
          <w:color w:val="231F20"/>
          <w:sz w:val="16"/>
        </w:rPr>
        <w:t>la</w:t>
      </w:r>
      <w:r>
        <w:rPr>
          <w:color w:val="231F20"/>
          <w:spacing w:val="-6"/>
          <w:sz w:val="16"/>
        </w:rPr>
        <w:t> </w:t>
      </w:r>
      <w:r>
        <w:rPr>
          <w:color w:val="231F20"/>
          <w:sz w:val="16"/>
        </w:rPr>
        <w:t>década</w:t>
      </w:r>
      <w:r>
        <w:rPr>
          <w:color w:val="231F20"/>
          <w:spacing w:val="-6"/>
          <w:sz w:val="16"/>
        </w:rPr>
        <w:t> </w:t>
      </w:r>
      <w:r>
        <w:rPr>
          <w:color w:val="231F20"/>
          <w:sz w:val="16"/>
        </w:rPr>
        <w:t>de</w:t>
      </w:r>
      <w:r>
        <w:rPr>
          <w:color w:val="231F20"/>
          <w:spacing w:val="-6"/>
          <w:sz w:val="16"/>
        </w:rPr>
        <w:t> </w:t>
      </w:r>
      <w:r>
        <w:rPr>
          <w:color w:val="231F20"/>
          <w:sz w:val="16"/>
        </w:rPr>
        <w:t>los</w:t>
      </w:r>
      <w:r>
        <w:rPr>
          <w:color w:val="231F20"/>
          <w:spacing w:val="-6"/>
          <w:sz w:val="16"/>
        </w:rPr>
        <w:t> </w:t>
      </w:r>
      <w:r>
        <w:rPr>
          <w:color w:val="231F20"/>
          <w:sz w:val="16"/>
        </w:rPr>
        <w:t>sesenta</w:t>
      </w:r>
      <w:r>
        <w:rPr>
          <w:color w:val="231F20"/>
          <w:spacing w:val="-6"/>
          <w:sz w:val="16"/>
        </w:rPr>
        <w:t> </w:t>
      </w:r>
      <w:r>
        <w:rPr>
          <w:color w:val="231F20"/>
          <w:sz w:val="16"/>
        </w:rPr>
        <w:t>el</w:t>
      </w:r>
      <w:r>
        <w:rPr>
          <w:color w:val="231F20"/>
          <w:spacing w:val="-6"/>
          <w:sz w:val="16"/>
        </w:rPr>
        <w:t> </w:t>
      </w:r>
      <w:r>
        <w:rPr>
          <w:color w:val="231F20"/>
          <w:sz w:val="16"/>
        </w:rPr>
        <w:t>sector</w:t>
      </w:r>
      <w:r>
        <w:rPr>
          <w:color w:val="231F20"/>
          <w:spacing w:val="-6"/>
          <w:sz w:val="16"/>
        </w:rPr>
        <w:t> </w:t>
      </w:r>
      <w:r>
        <w:rPr>
          <w:color w:val="231F20"/>
          <w:sz w:val="16"/>
        </w:rPr>
        <w:t>automotriz</w:t>
      </w:r>
      <w:r>
        <w:rPr>
          <w:color w:val="231F20"/>
          <w:spacing w:val="-6"/>
          <w:sz w:val="16"/>
        </w:rPr>
        <w:t> </w:t>
      </w:r>
      <w:r>
        <w:rPr>
          <w:color w:val="231F20"/>
          <w:sz w:val="16"/>
        </w:rPr>
        <w:t>en</w:t>
      </w:r>
      <w:r>
        <w:rPr>
          <w:color w:val="231F20"/>
          <w:spacing w:val="-6"/>
          <w:sz w:val="16"/>
        </w:rPr>
        <w:t> </w:t>
      </w:r>
      <w:r>
        <w:rPr>
          <w:color w:val="231F20"/>
          <w:sz w:val="16"/>
        </w:rPr>
        <w:t>México</w:t>
      </w:r>
      <w:r>
        <w:rPr>
          <w:color w:val="231F20"/>
          <w:spacing w:val="-6"/>
          <w:sz w:val="16"/>
        </w:rPr>
        <w:t> </w:t>
      </w:r>
      <w:r>
        <w:rPr>
          <w:color w:val="231F20"/>
          <w:sz w:val="16"/>
        </w:rPr>
        <w:t>tuvo</w:t>
      </w:r>
      <w:r>
        <w:rPr>
          <w:color w:val="231F20"/>
          <w:spacing w:val="-6"/>
          <w:sz w:val="16"/>
        </w:rPr>
        <w:t> </w:t>
      </w:r>
      <w:r>
        <w:rPr>
          <w:color w:val="231F20"/>
          <w:sz w:val="16"/>
        </w:rPr>
        <w:t>un</w:t>
      </w:r>
      <w:r>
        <w:rPr>
          <w:color w:val="231F20"/>
          <w:spacing w:val="-6"/>
          <w:sz w:val="16"/>
        </w:rPr>
        <w:t> </w:t>
      </w:r>
      <w:r>
        <w:rPr>
          <w:color w:val="231F20"/>
          <w:sz w:val="16"/>
        </w:rPr>
        <w:t>crecimiento</w:t>
      </w:r>
      <w:r>
        <w:rPr>
          <w:color w:val="231F20"/>
          <w:spacing w:val="-6"/>
          <w:sz w:val="16"/>
        </w:rPr>
        <w:t> </w:t>
      </w:r>
      <w:r>
        <w:rPr>
          <w:color w:val="231F20"/>
          <w:spacing w:val="-2"/>
          <w:sz w:val="16"/>
        </w:rPr>
        <w:t>muy</w:t>
      </w:r>
      <w:r>
        <w:rPr>
          <w:color w:val="231F20"/>
          <w:spacing w:val="-6"/>
          <w:sz w:val="16"/>
        </w:rPr>
        <w:t> </w:t>
      </w:r>
      <w:r>
        <w:rPr>
          <w:color w:val="231F20"/>
          <w:sz w:val="16"/>
        </w:rPr>
        <w:t>importante</w:t>
      </w:r>
      <w:r>
        <w:rPr>
          <w:color w:val="231F20"/>
          <w:spacing w:val="-6"/>
          <w:sz w:val="16"/>
        </w:rPr>
        <w:t> </w:t>
      </w:r>
      <w:r>
        <w:rPr>
          <w:color w:val="231F20"/>
          <w:sz w:val="16"/>
        </w:rPr>
        <w:t>con</w:t>
      </w:r>
      <w:r>
        <w:rPr>
          <w:color w:val="231F20"/>
          <w:spacing w:val="-6"/>
          <w:sz w:val="16"/>
        </w:rPr>
        <w:t> </w:t>
      </w:r>
      <w:r>
        <w:rPr>
          <w:color w:val="231F20"/>
          <w:sz w:val="16"/>
        </w:rPr>
        <w:t>la</w:t>
      </w:r>
      <w:r>
        <w:rPr>
          <w:color w:val="231F20"/>
          <w:spacing w:val="-6"/>
          <w:sz w:val="16"/>
        </w:rPr>
        <w:t> </w:t>
      </w:r>
      <w:r>
        <w:rPr>
          <w:color w:val="231F20"/>
          <w:sz w:val="16"/>
        </w:rPr>
        <w:t>instala- ción</w:t>
      </w:r>
      <w:r>
        <w:rPr>
          <w:color w:val="231F20"/>
          <w:spacing w:val="-7"/>
          <w:sz w:val="16"/>
        </w:rPr>
        <w:t> </w:t>
      </w:r>
      <w:r>
        <w:rPr>
          <w:color w:val="231F20"/>
          <w:sz w:val="16"/>
        </w:rPr>
        <w:t>de</w:t>
      </w:r>
      <w:r>
        <w:rPr>
          <w:color w:val="231F20"/>
          <w:spacing w:val="-7"/>
          <w:sz w:val="16"/>
        </w:rPr>
        <w:t> </w:t>
      </w:r>
      <w:r>
        <w:rPr>
          <w:color w:val="231F20"/>
          <w:sz w:val="16"/>
        </w:rPr>
        <w:t>varios</w:t>
      </w:r>
      <w:r>
        <w:rPr>
          <w:color w:val="231F20"/>
          <w:spacing w:val="-7"/>
          <w:sz w:val="16"/>
        </w:rPr>
        <w:t> </w:t>
      </w:r>
      <w:r>
        <w:rPr>
          <w:color w:val="231F20"/>
          <w:sz w:val="16"/>
        </w:rPr>
        <w:t>complejos</w:t>
      </w:r>
      <w:r>
        <w:rPr>
          <w:color w:val="231F20"/>
          <w:spacing w:val="-7"/>
          <w:sz w:val="16"/>
        </w:rPr>
        <w:t> </w:t>
      </w:r>
      <w:r>
        <w:rPr>
          <w:color w:val="231F20"/>
          <w:sz w:val="16"/>
        </w:rPr>
        <w:t>automotrices;</w:t>
      </w:r>
      <w:r>
        <w:rPr>
          <w:color w:val="231F20"/>
          <w:spacing w:val="-7"/>
          <w:sz w:val="16"/>
        </w:rPr>
        <w:t> </w:t>
      </w:r>
      <w:r>
        <w:rPr>
          <w:color w:val="231F20"/>
          <w:sz w:val="16"/>
        </w:rPr>
        <w:t>sin</w:t>
      </w:r>
      <w:r>
        <w:rPr>
          <w:color w:val="231F20"/>
          <w:spacing w:val="-7"/>
          <w:sz w:val="16"/>
        </w:rPr>
        <w:t> </w:t>
      </w:r>
      <w:r>
        <w:rPr>
          <w:color w:val="231F20"/>
          <w:sz w:val="16"/>
        </w:rPr>
        <w:t>embargo,</w:t>
      </w:r>
      <w:r>
        <w:rPr>
          <w:color w:val="231F20"/>
          <w:spacing w:val="-7"/>
          <w:sz w:val="16"/>
        </w:rPr>
        <w:t> </w:t>
      </w:r>
      <w:r>
        <w:rPr>
          <w:color w:val="231F20"/>
          <w:sz w:val="16"/>
        </w:rPr>
        <w:t>prácticamente</w:t>
      </w:r>
      <w:r>
        <w:rPr>
          <w:color w:val="231F20"/>
          <w:spacing w:val="-7"/>
          <w:sz w:val="16"/>
        </w:rPr>
        <w:t> </w:t>
      </w:r>
      <w:r>
        <w:rPr>
          <w:color w:val="231F20"/>
          <w:sz w:val="16"/>
        </w:rPr>
        <w:t>todos</w:t>
      </w:r>
      <w:r>
        <w:rPr>
          <w:color w:val="231F20"/>
          <w:spacing w:val="-7"/>
          <w:sz w:val="16"/>
        </w:rPr>
        <w:t> </w:t>
      </w:r>
      <w:r>
        <w:rPr>
          <w:color w:val="231F20"/>
          <w:sz w:val="16"/>
        </w:rPr>
        <w:t>ellos</w:t>
      </w:r>
      <w:r>
        <w:rPr>
          <w:color w:val="231F20"/>
          <w:spacing w:val="-7"/>
          <w:sz w:val="16"/>
        </w:rPr>
        <w:t> </w:t>
      </w:r>
      <w:r>
        <w:rPr>
          <w:color w:val="231F20"/>
          <w:sz w:val="16"/>
        </w:rPr>
        <w:t>se</w:t>
      </w:r>
      <w:r>
        <w:rPr>
          <w:color w:val="231F20"/>
          <w:spacing w:val="-7"/>
          <w:sz w:val="16"/>
        </w:rPr>
        <w:t> </w:t>
      </w:r>
      <w:r>
        <w:rPr>
          <w:color w:val="231F20"/>
          <w:sz w:val="16"/>
        </w:rPr>
        <w:t>concentraron</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zona</w:t>
      </w:r>
      <w:r>
        <w:rPr>
          <w:color w:val="231F20"/>
          <w:spacing w:val="-7"/>
          <w:sz w:val="16"/>
        </w:rPr>
        <w:t> </w:t>
      </w:r>
      <w:r>
        <w:rPr>
          <w:color w:val="231F20"/>
          <w:sz w:val="16"/>
        </w:rPr>
        <w:t>cen- tro</w:t>
      </w:r>
      <w:r>
        <w:rPr>
          <w:color w:val="231F20"/>
          <w:spacing w:val="-4"/>
          <w:sz w:val="16"/>
        </w:rPr>
        <w:t> </w:t>
      </w:r>
      <w:r>
        <w:rPr>
          <w:color w:val="231F20"/>
          <w:sz w:val="16"/>
        </w:rPr>
        <w:t>del</w:t>
      </w:r>
      <w:r>
        <w:rPr>
          <w:color w:val="231F20"/>
          <w:spacing w:val="-4"/>
          <w:sz w:val="16"/>
        </w:rPr>
        <w:t> </w:t>
      </w:r>
      <w:r>
        <w:rPr>
          <w:color w:val="231F20"/>
          <w:sz w:val="16"/>
        </w:rPr>
        <w:t>país,</w:t>
      </w:r>
      <w:r>
        <w:rPr>
          <w:color w:val="231F20"/>
          <w:spacing w:val="-4"/>
          <w:sz w:val="16"/>
        </w:rPr>
        <w:t> </w:t>
      </w:r>
      <w:r>
        <w:rPr>
          <w:color w:val="231F20"/>
          <w:sz w:val="16"/>
        </w:rPr>
        <w:t>concretamente</w:t>
      </w:r>
      <w:r>
        <w:rPr>
          <w:color w:val="231F20"/>
          <w:spacing w:val="-4"/>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Distrito</w:t>
      </w:r>
      <w:r>
        <w:rPr>
          <w:color w:val="231F20"/>
          <w:spacing w:val="-4"/>
          <w:sz w:val="16"/>
        </w:rPr>
        <w:t> </w:t>
      </w:r>
      <w:r>
        <w:rPr>
          <w:color w:val="231F20"/>
          <w:sz w:val="16"/>
        </w:rPr>
        <w:t>Federal,</w:t>
      </w:r>
      <w:r>
        <w:rPr>
          <w:color w:val="231F20"/>
          <w:spacing w:val="-4"/>
          <w:sz w:val="16"/>
        </w:rPr>
        <w:t> </w:t>
      </w:r>
      <w:r>
        <w:rPr>
          <w:color w:val="231F20"/>
          <w:sz w:val="16"/>
        </w:rPr>
        <w:t>el</w:t>
      </w:r>
      <w:r>
        <w:rPr>
          <w:color w:val="231F20"/>
          <w:spacing w:val="-4"/>
          <w:sz w:val="16"/>
        </w:rPr>
        <w:t> </w:t>
      </w:r>
      <w:r>
        <w:rPr>
          <w:color w:val="231F20"/>
          <w:sz w:val="16"/>
        </w:rPr>
        <w:t>Estado</w:t>
      </w:r>
      <w:r>
        <w:rPr>
          <w:color w:val="231F20"/>
          <w:spacing w:val="-4"/>
          <w:sz w:val="16"/>
        </w:rPr>
        <w:t> </w:t>
      </w:r>
      <w:r>
        <w:rPr>
          <w:color w:val="231F20"/>
          <w:sz w:val="16"/>
        </w:rPr>
        <w:t>de</w:t>
      </w:r>
      <w:r>
        <w:rPr>
          <w:color w:val="231F20"/>
          <w:spacing w:val="-4"/>
          <w:sz w:val="16"/>
        </w:rPr>
        <w:t> </w:t>
      </w:r>
      <w:r>
        <w:rPr>
          <w:color w:val="231F20"/>
          <w:sz w:val="16"/>
        </w:rPr>
        <w:t>México,</w:t>
      </w:r>
      <w:r>
        <w:rPr>
          <w:color w:val="231F20"/>
          <w:spacing w:val="-4"/>
          <w:sz w:val="16"/>
        </w:rPr>
        <w:t> </w:t>
      </w:r>
      <w:r>
        <w:rPr>
          <w:color w:val="231F20"/>
          <w:sz w:val="16"/>
        </w:rPr>
        <w:t>Morelos</w:t>
      </w:r>
      <w:r>
        <w:rPr>
          <w:color w:val="231F20"/>
          <w:spacing w:val="-4"/>
          <w:sz w:val="16"/>
        </w:rPr>
        <w:t> </w:t>
      </w:r>
      <w:r>
        <w:rPr>
          <w:color w:val="231F20"/>
          <w:sz w:val="16"/>
        </w:rPr>
        <w:t>y</w:t>
      </w:r>
      <w:r>
        <w:rPr>
          <w:color w:val="231F20"/>
          <w:spacing w:val="-4"/>
          <w:sz w:val="16"/>
        </w:rPr>
        <w:t> </w:t>
      </w:r>
      <w:r>
        <w:rPr>
          <w:color w:val="231F20"/>
          <w:sz w:val="16"/>
        </w:rPr>
        <w:t>Puebla.</w:t>
      </w:r>
      <w:r>
        <w:rPr>
          <w:color w:val="231F20"/>
          <w:spacing w:val="-4"/>
          <w:sz w:val="16"/>
        </w:rPr>
        <w:t> </w:t>
      </w:r>
      <w:r>
        <w:rPr>
          <w:color w:val="231F20"/>
          <w:sz w:val="16"/>
        </w:rPr>
        <w:t>Nissan</w:t>
      </w:r>
      <w:r>
        <w:rPr>
          <w:color w:val="231F20"/>
          <w:spacing w:val="-4"/>
          <w:sz w:val="16"/>
        </w:rPr>
        <w:t> </w:t>
      </w:r>
      <w:r>
        <w:rPr>
          <w:color w:val="231F20"/>
          <w:sz w:val="16"/>
        </w:rPr>
        <w:t>se</w:t>
      </w:r>
      <w:r>
        <w:rPr>
          <w:color w:val="231F20"/>
          <w:spacing w:val="-4"/>
          <w:sz w:val="16"/>
        </w:rPr>
        <w:t> </w:t>
      </w:r>
      <w:r>
        <w:rPr>
          <w:color w:val="231F20"/>
          <w:sz w:val="16"/>
        </w:rPr>
        <w:t>instaló</w:t>
      </w:r>
      <w:r>
        <w:rPr>
          <w:color w:val="231F20"/>
          <w:spacing w:val="-4"/>
          <w:sz w:val="16"/>
        </w:rPr>
        <w:t> </w:t>
      </w:r>
      <w:r>
        <w:rPr>
          <w:color w:val="231F20"/>
          <w:sz w:val="16"/>
        </w:rPr>
        <w:t>en Cuernavaca,</w:t>
      </w:r>
      <w:r>
        <w:rPr>
          <w:color w:val="231F20"/>
          <w:spacing w:val="-8"/>
          <w:sz w:val="16"/>
        </w:rPr>
        <w:t> </w:t>
      </w:r>
      <w:r>
        <w:rPr>
          <w:color w:val="231F20"/>
          <w:sz w:val="16"/>
        </w:rPr>
        <w:t>Morelos,</w:t>
      </w:r>
      <w:r>
        <w:rPr>
          <w:color w:val="231F20"/>
          <w:spacing w:val="-8"/>
          <w:sz w:val="16"/>
        </w:rPr>
        <w:t> </w:t>
      </w:r>
      <w:r>
        <w:rPr>
          <w:color w:val="231F20"/>
          <w:sz w:val="16"/>
        </w:rPr>
        <w:t>y</w:t>
      </w:r>
      <w:r>
        <w:rPr>
          <w:color w:val="231F20"/>
          <w:spacing w:val="-8"/>
          <w:sz w:val="16"/>
        </w:rPr>
        <w:t> </w:t>
      </w:r>
      <w:r>
        <w:rPr>
          <w:color w:val="231F20"/>
          <w:spacing w:val="-3"/>
          <w:sz w:val="16"/>
        </w:rPr>
        <w:t>Volkswagen</w:t>
      </w:r>
      <w:r>
        <w:rPr>
          <w:color w:val="231F20"/>
          <w:spacing w:val="-8"/>
          <w:sz w:val="16"/>
        </w:rPr>
        <w:t> </w:t>
      </w:r>
      <w:r>
        <w:rPr>
          <w:color w:val="231F20"/>
          <w:sz w:val="16"/>
        </w:rPr>
        <w:t>en</w:t>
      </w:r>
      <w:r>
        <w:rPr>
          <w:color w:val="231F20"/>
          <w:spacing w:val="-8"/>
          <w:sz w:val="16"/>
        </w:rPr>
        <w:t> </w:t>
      </w:r>
      <w:r>
        <w:rPr>
          <w:color w:val="231F20"/>
          <w:sz w:val="16"/>
        </w:rPr>
        <w:t>Puebla</w:t>
      </w:r>
      <w:r>
        <w:rPr>
          <w:color w:val="231F20"/>
          <w:spacing w:val="-8"/>
          <w:sz w:val="16"/>
        </w:rPr>
        <w:t> </w:t>
      </w:r>
      <w:r>
        <w:rPr>
          <w:color w:val="231F20"/>
          <w:sz w:val="16"/>
        </w:rPr>
        <w:t>(1967).</w:t>
      </w:r>
      <w:r>
        <w:rPr>
          <w:color w:val="231F20"/>
          <w:spacing w:val="-8"/>
          <w:sz w:val="16"/>
        </w:rPr>
        <w:t> </w:t>
      </w:r>
      <w:r>
        <w:rPr>
          <w:color w:val="231F20"/>
          <w:spacing w:val="-3"/>
          <w:sz w:val="16"/>
        </w:rPr>
        <w:t>Ford</w:t>
      </w:r>
      <w:r>
        <w:rPr>
          <w:color w:val="231F20"/>
          <w:spacing w:val="-8"/>
          <w:sz w:val="16"/>
        </w:rPr>
        <w:t> </w:t>
      </w:r>
      <w:r>
        <w:rPr>
          <w:color w:val="231F20"/>
          <w:sz w:val="16"/>
        </w:rPr>
        <w:t>expandió</w:t>
      </w:r>
      <w:r>
        <w:rPr>
          <w:color w:val="231F20"/>
          <w:spacing w:val="-8"/>
          <w:sz w:val="16"/>
        </w:rPr>
        <w:t> </w:t>
      </w:r>
      <w:r>
        <w:rPr>
          <w:color w:val="231F20"/>
          <w:sz w:val="16"/>
        </w:rPr>
        <w:t>su</w:t>
      </w:r>
      <w:r>
        <w:rPr>
          <w:color w:val="231F20"/>
          <w:spacing w:val="-8"/>
          <w:sz w:val="16"/>
        </w:rPr>
        <w:t> </w:t>
      </w:r>
      <w:r>
        <w:rPr>
          <w:color w:val="231F20"/>
          <w:sz w:val="16"/>
        </w:rPr>
        <w:t>producción</w:t>
      </w:r>
      <w:r>
        <w:rPr>
          <w:color w:val="231F20"/>
          <w:spacing w:val="-8"/>
          <w:sz w:val="16"/>
        </w:rPr>
        <w:t> </w:t>
      </w:r>
      <w:r>
        <w:rPr>
          <w:color w:val="231F20"/>
          <w:sz w:val="16"/>
        </w:rPr>
        <w:t>en</w:t>
      </w:r>
      <w:r>
        <w:rPr>
          <w:color w:val="231F20"/>
          <w:spacing w:val="-8"/>
          <w:sz w:val="16"/>
        </w:rPr>
        <w:t> </w:t>
      </w:r>
      <w:r>
        <w:rPr>
          <w:color w:val="231F20"/>
          <w:sz w:val="16"/>
        </w:rPr>
        <w:t>1964</w:t>
      </w:r>
      <w:r>
        <w:rPr>
          <w:color w:val="231F20"/>
          <w:spacing w:val="-8"/>
          <w:sz w:val="16"/>
        </w:rPr>
        <w:t> </w:t>
      </w:r>
      <w:r>
        <w:rPr>
          <w:color w:val="231F20"/>
          <w:sz w:val="16"/>
        </w:rPr>
        <w:t>con</w:t>
      </w:r>
      <w:r>
        <w:rPr>
          <w:color w:val="231F20"/>
          <w:spacing w:val="-8"/>
          <w:sz w:val="16"/>
        </w:rPr>
        <w:t> </w:t>
      </w:r>
      <w:r>
        <w:rPr>
          <w:color w:val="231F20"/>
          <w:sz w:val="16"/>
        </w:rPr>
        <w:t>la</w:t>
      </w:r>
      <w:r>
        <w:rPr>
          <w:color w:val="231F20"/>
          <w:spacing w:val="-8"/>
          <w:sz w:val="16"/>
        </w:rPr>
        <w:t> </w:t>
      </w:r>
      <w:r>
        <w:rPr>
          <w:color w:val="231F20"/>
          <w:sz w:val="16"/>
        </w:rPr>
        <w:t>instalación de</w:t>
      </w:r>
      <w:r>
        <w:rPr>
          <w:color w:val="231F20"/>
          <w:spacing w:val="-4"/>
          <w:sz w:val="16"/>
        </w:rPr>
        <w:t> </w:t>
      </w:r>
      <w:r>
        <w:rPr>
          <w:color w:val="231F20"/>
          <w:sz w:val="16"/>
        </w:rPr>
        <w:t>dos</w:t>
      </w:r>
      <w:r>
        <w:rPr>
          <w:color w:val="231F20"/>
          <w:spacing w:val="-4"/>
          <w:sz w:val="16"/>
        </w:rPr>
        <w:t> </w:t>
      </w:r>
      <w:r>
        <w:rPr>
          <w:color w:val="231F20"/>
          <w:sz w:val="16"/>
        </w:rPr>
        <w:t>nuevas</w:t>
      </w:r>
      <w:r>
        <w:rPr>
          <w:color w:val="231F20"/>
          <w:spacing w:val="-4"/>
          <w:sz w:val="16"/>
        </w:rPr>
        <w:t> </w:t>
      </w:r>
      <w:r>
        <w:rPr>
          <w:color w:val="231F20"/>
          <w:sz w:val="16"/>
        </w:rPr>
        <w:t>empresas</w:t>
      </w:r>
      <w:r>
        <w:rPr>
          <w:color w:val="231F20"/>
          <w:spacing w:val="-4"/>
          <w:sz w:val="16"/>
        </w:rPr>
        <w:t> </w:t>
      </w:r>
      <w:r>
        <w:rPr>
          <w:color w:val="231F20"/>
          <w:sz w:val="16"/>
        </w:rPr>
        <w:t>en</w:t>
      </w:r>
      <w:r>
        <w:rPr>
          <w:color w:val="231F20"/>
          <w:spacing w:val="-4"/>
          <w:sz w:val="16"/>
        </w:rPr>
        <w:t> </w:t>
      </w:r>
      <w:r>
        <w:rPr>
          <w:color w:val="231F20"/>
          <w:sz w:val="16"/>
        </w:rPr>
        <w:t>Tlalnepantla</w:t>
      </w:r>
      <w:r>
        <w:rPr>
          <w:color w:val="231F20"/>
          <w:spacing w:val="-4"/>
          <w:sz w:val="16"/>
        </w:rPr>
        <w:t> </w:t>
      </w:r>
      <w:r>
        <w:rPr>
          <w:color w:val="231F20"/>
          <w:sz w:val="16"/>
        </w:rPr>
        <w:t>y</w:t>
      </w:r>
      <w:r>
        <w:rPr>
          <w:color w:val="231F20"/>
          <w:spacing w:val="-4"/>
          <w:sz w:val="16"/>
        </w:rPr>
        <w:t> </w:t>
      </w:r>
      <w:r>
        <w:rPr>
          <w:color w:val="231F20"/>
          <w:sz w:val="16"/>
        </w:rPr>
        <w:t>Cuautitlán,</w:t>
      </w:r>
      <w:r>
        <w:rPr>
          <w:color w:val="231F20"/>
          <w:spacing w:val="-4"/>
          <w:sz w:val="16"/>
        </w:rPr>
        <w:t> </w:t>
      </w:r>
      <w:r>
        <w:rPr>
          <w:color w:val="231F20"/>
          <w:sz w:val="16"/>
        </w:rPr>
        <w:t>Estado</w:t>
      </w:r>
      <w:r>
        <w:rPr>
          <w:color w:val="231F20"/>
          <w:spacing w:val="-4"/>
          <w:sz w:val="16"/>
        </w:rPr>
        <w:t> </w:t>
      </w:r>
      <w:r>
        <w:rPr>
          <w:color w:val="231F20"/>
          <w:sz w:val="16"/>
        </w:rPr>
        <w:t>de</w:t>
      </w:r>
      <w:r>
        <w:rPr>
          <w:color w:val="231F20"/>
          <w:spacing w:val="-4"/>
          <w:sz w:val="16"/>
        </w:rPr>
        <w:t> </w:t>
      </w:r>
      <w:r>
        <w:rPr>
          <w:color w:val="231F20"/>
          <w:sz w:val="16"/>
        </w:rPr>
        <w:t>México.</w:t>
      </w:r>
      <w:r>
        <w:rPr>
          <w:color w:val="231F20"/>
          <w:spacing w:val="-4"/>
          <w:sz w:val="16"/>
        </w:rPr>
        <w:t> </w:t>
      </w:r>
      <w:r>
        <w:rPr>
          <w:color w:val="231F20"/>
          <w:sz w:val="16"/>
        </w:rPr>
        <w:t>Chrysler,</w:t>
      </w:r>
      <w:r>
        <w:rPr>
          <w:color w:val="231F20"/>
          <w:spacing w:val="-4"/>
          <w:sz w:val="16"/>
        </w:rPr>
        <w:t> </w:t>
      </w:r>
      <w:r>
        <w:rPr>
          <w:color w:val="231F20"/>
          <w:sz w:val="16"/>
        </w:rPr>
        <w:t>en</w:t>
      </w:r>
      <w:r>
        <w:rPr>
          <w:color w:val="231F20"/>
          <w:spacing w:val="-4"/>
          <w:sz w:val="16"/>
        </w:rPr>
        <w:t> </w:t>
      </w:r>
      <w:r>
        <w:rPr>
          <w:color w:val="231F20"/>
          <w:sz w:val="16"/>
        </w:rPr>
        <w:t>el</w:t>
      </w:r>
      <w:r>
        <w:rPr>
          <w:color w:val="231F20"/>
          <w:spacing w:val="-4"/>
          <w:sz w:val="16"/>
        </w:rPr>
        <w:t> </w:t>
      </w:r>
      <w:r>
        <w:rPr>
          <w:color w:val="231F20"/>
          <w:sz w:val="16"/>
        </w:rPr>
        <w:t>mismo</w:t>
      </w:r>
      <w:r>
        <w:rPr>
          <w:color w:val="231F20"/>
          <w:spacing w:val="-4"/>
          <w:sz w:val="16"/>
        </w:rPr>
        <w:t> </w:t>
      </w:r>
      <w:r>
        <w:rPr>
          <w:color w:val="231F20"/>
          <w:sz w:val="16"/>
        </w:rPr>
        <w:t>año,</w:t>
      </w:r>
      <w:r>
        <w:rPr>
          <w:color w:val="231F20"/>
          <w:spacing w:val="-4"/>
          <w:sz w:val="16"/>
        </w:rPr>
        <w:t> </w:t>
      </w:r>
      <w:r>
        <w:rPr>
          <w:color w:val="231F20"/>
          <w:sz w:val="16"/>
        </w:rPr>
        <w:t>comenzó con</w:t>
      </w:r>
      <w:r>
        <w:rPr>
          <w:color w:val="231F20"/>
          <w:spacing w:val="-8"/>
          <w:sz w:val="16"/>
        </w:rPr>
        <w:t> </w:t>
      </w:r>
      <w:r>
        <w:rPr>
          <w:color w:val="231F20"/>
          <w:sz w:val="16"/>
        </w:rPr>
        <w:t>la</w:t>
      </w:r>
      <w:r>
        <w:rPr>
          <w:color w:val="231F20"/>
          <w:spacing w:val="-8"/>
          <w:sz w:val="16"/>
        </w:rPr>
        <w:t> </w:t>
      </w:r>
      <w:r>
        <w:rPr>
          <w:color w:val="231F20"/>
          <w:sz w:val="16"/>
        </w:rPr>
        <w:t>fabricación</w:t>
      </w:r>
      <w:r>
        <w:rPr>
          <w:color w:val="231F20"/>
          <w:spacing w:val="-8"/>
          <w:sz w:val="16"/>
        </w:rPr>
        <w:t> </w:t>
      </w:r>
      <w:r>
        <w:rPr>
          <w:color w:val="231F20"/>
          <w:sz w:val="16"/>
        </w:rPr>
        <w:t>de</w:t>
      </w:r>
      <w:r>
        <w:rPr>
          <w:color w:val="231F20"/>
          <w:spacing w:val="-8"/>
          <w:sz w:val="16"/>
        </w:rPr>
        <w:t> </w:t>
      </w:r>
      <w:r>
        <w:rPr>
          <w:color w:val="231F20"/>
          <w:sz w:val="16"/>
        </w:rPr>
        <w:t>motores</w:t>
      </w:r>
      <w:r>
        <w:rPr>
          <w:color w:val="231F20"/>
          <w:spacing w:val="-8"/>
          <w:sz w:val="16"/>
        </w:rPr>
        <w:t> </w:t>
      </w:r>
      <w:r>
        <w:rPr>
          <w:color w:val="231F20"/>
          <w:sz w:val="16"/>
        </w:rPr>
        <w:t>en</w:t>
      </w:r>
      <w:r>
        <w:rPr>
          <w:color w:val="231F20"/>
          <w:spacing w:val="-8"/>
          <w:sz w:val="16"/>
        </w:rPr>
        <w:t> </w:t>
      </w:r>
      <w:r>
        <w:rPr>
          <w:color w:val="231F20"/>
          <w:sz w:val="16"/>
        </w:rPr>
        <w:t>su</w:t>
      </w:r>
      <w:r>
        <w:rPr>
          <w:color w:val="231F20"/>
          <w:spacing w:val="-8"/>
          <w:sz w:val="16"/>
        </w:rPr>
        <w:t> </w:t>
      </w:r>
      <w:r>
        <w:rPr>
          <w:color w:val="231F20"/>
          <w:sz w:val="16"/>
        </w:rPr>
        <w:t>nueva</w:t>
      </w:r>
      <w:r>
        <w:rPr>
          <w:color w:val="231F20"/>
          <w:spacing w:val="-8"/>
          <w:sz w:val="16"/>
        </w:rPr>
        <w:t> </w:t>
      </w:r>
      <w:r>
        <w:rPr>
          <w:color w:val="231F20"/>
          <w:sz w:val="16"/>
        </w:rPr>
        <w:t>planta</w:t>
      </w:r>
      <w:r>
        <w:rPr>
          <w:color w:val="231F20"/>
          <w:spacing w:val="-8"/>
          <w:sz w:val="16"/>
        </w:rPr>
        <w:t> </w:t>
      </w:r>
      <w:r>
        <w:rPr>
          <w:color w:val="231F20"/>
          <w:sz w:val="16"/>
        </w:rPr>
        <w:t>de</w:t>
      </w:r>
      <w:r>
        <w:rPr>
          <w:color w:val="231F20"/>
          <w:spacing w:val="-8"/>
          <w:sz w:val="16"/>
        </w:rPr>
        <w:t> </w:t>
      </w:r>
      <w:r>
        <w:rPr>
          <w:color w:val="231F20"/>
          <w:spacing w:val="-3"/>
          <w:sz w:val="16"/>
        </w:rPr>
        <w:t>Toluca,</w:t>
      </w:r>
      <w:r>
        <w:rPr>
          <w:color w:val="231F20"/>
          <w:spacing w:val="-8"/>
          <w:sz w:val="16"/>
        </w:rPr>
        <w:t> </w:t>
      </w:r>
      <w:r>
        <w:rPr>
          <w:color w:val="231F20"/>
          <w:sz w:val="16"/>
        </w:rPr>
        <w:t>misma</w:t>
      </w:r>
      <w:r>
        <w:rPr>
          <w:color w:val="231F20"/>
          <w:spacing w:val="-8"/>
          <w:sz w:val="16"/>
        </w:rPr>
        <w:t> </w:t>
      </w:r>
      <w:r>
        <w:rPr>
          <w:color w:val="231F20"/>
          <w:sz w:val="16"/>
        </w:rPr>
        <w:t>que</w:t>
      </w:r>
      <w:r>
        <w:rPr>
          <w:color w:val="231F20"/>
          <w:spacing w:val="-8"/>
          <w:sz w:val="16"/>
        </w:rPr>
        <w:t> </w:t>
      </w:r>
      <w:r>
        <w:rPr>
          <w:color w:val="231F20"/>
          <w:sz w:val="16"/>
        </w:rPr>
        <w:t>más</w:t>
      </w:r>
      <w:r>
        <w:rPr>
          <w:color w:val="231F20"/>
          <w:spacing w:val="-8"/>
          <w:sz w:val="16"/>
        </w:rPr>
        <w:t> </w:t>
      </w:r>
      <w:r>
        <w:rPr>
          <w:color w:val="231F20"/>
          <w:sz w:val="16"/>
        </w:rPr>
        <w:t>tarde</w:t>
      </w:r>
      <w:r>
        <w:rPr>
          <w:color w:val="231F20"/>
          <w:spacing w:val="-8"/>
          <w:sz w:val="16"/>
        </w:rPr>
        <w:t> </w:t>
      </w:r>
      <w:r>
        <w:rPr>
          <w:color w:val="231F20"/>
          <w:sz w:val="16"/>
        </w:rPr>
        <w:t>(1968)</w:t>
      </w:r>
      <w:r>
        <w:rPr>
          <w:color w:val="231F20"/>
          <w:spacing w:val="-8"/>
          <w:sz w:val="16"/>
        </w:rPr>
        <w:t> </w:t>
      </w:r>
      <w:r>
        <w:rPr>
          <w:color w:val="231F20"/>
          <w:sz w:val="16"/>
        </w:rPr>
        <w:t>complementó</w:t>
      </w:r>
      <w:r>
        <w:rPr>
          <w:color w:val="231F20"/>
          <w:spacing w:val="-8"/>
          <w:sz w:val="16"/>
        </w:rPr>
        <w:t> </w:t>
      </w:r>
      <w:r>
        <w:rPr>
          <w:color w:val="231F20"/>
          <w:sz w:val="16"/>
        </w:rPr>
        <w:t>con</w:t>
      </w:r>
      <w:r>
        <w:rPr>
          <w:color w:val="231F20"/>
          <w:spacing w:val="-8"/>
          <w:sz w:val="16"/>
        </w:rPr>
        <w:t> </w:t>
      </w:r>
      <w:r>
        <w:rPr>
          <w:color w:val="231F20"/>
          <w:sz w:val="16"/>
        </w:rPr>
        <w:t>una división</w:t>
      </w:r>
      <w:r>
        <w:rPr>
          <w:color w:val="231F20"/>
          <w:spacing w:val="-6"/>
          <w:sz w:val="16"/>
        </w:rPr>
        <w:t> </w:t>
      </w:r>
      <w:r>
        <w:rPr>
          <w:color w:val="231F20"/>
          <w:sz w:val="16"/>
        </w:rPr>
        <w:t>de</w:t>
      </w:r>
      <w:r>
        <w:rPr>
          <w:color w:val="231F20"/>
          <w:spacing w:val="-7"/>
          <w:sz w:val="16"/>
        </w:rPr>
        <w:t> </w:t>
      </w:r>
      <w:r>
        <w:rPr>
          <w:color w:val="231F20"/>
          <w:sz w:val="16"/>
        </w:rPr>
        <w:t>montaje</w:t>
      </w:r>
      <w:r>
        <w:rPr>
          <w:color w:val="231F20"/>
          <w:spacing w:val="-6"/>
          <w:sz w:val="16"/>
        </w:rPr>
        <w:t> </w:t>
      </w:r>
      <w:r>
        <w:rPr>
          <w:color w:val="231F20"/>
          <w:sz w:val="16"/>
        </w:rPr>
        <w:t>y</w:t>
      </w:r>
      <w:r>
        <w:rPr>
          <w:color w:val="231F20"/>
          <w:spacing w:val="-6"/>
          <w:sz w:val="16"/>
        </w:rPr>
        <w:t> </w:t>
      </w:r>
      <w:r>
        <w:rPr>
          <w:color w:val="231F20"/>
          <w:sz w:val="16"/>
        </w:rPr>
        <w:t>con</w:t>
      </w:r>
      <w:r>
        <w:rPr>
          <w:color w:val="231F20"/>
          <w:spacing w:val="-6"/>
          <w:sz w:val="16"/>
        </w:rPr>
        <w:t> </w:t>
      </w:r>
      <w:r>
        <w:rPr>
          <w:color w:val="231F20"/>
          <w:sz w:val="16"/>
        </w:rPr>
        <w:t>la</w:t>
      </w:r>
      <w:r>
        <w:rPr>
          <w:color w:val="231F20"/>
          <w:spacing w:val="-6"/>
          <w:sz w:val="16"/>
        </w:rPr>
        <w:t> </w:t>
      </w:r>
      <w:r>
        <w:rPr>
          <w:color w:val="231F20"/>
          <w:sz w:val="16"/>
        </w:rPr>
        <w:t>fabricación</w:t>
      </w:r>
      <w:r>
        <w:rPr>
          <w:color w:val="231F20"/>
          <w:spacing w:val="-6"/>
          <w:sz w:val="16"/>
        </w:rPr>
        <w:t> </w:t>
      </w:r>
      <w:r>
        <w:rPr>
          <w:color w:val="231F20"/>
          <w:sz w:val="16"/>
        </w:rPr>
        <w:t>de</w:t>
      </w:r>
      <w:r>
        <w:rPr>
          <w:color w:val="231F20"/>
          <w:spacing w:val="-6"/>
          <w:sz w:val="16"/>
        </w:rPr>
        <w:t> </w:t>
      </w:r>
      <w:r>
        <w:rPr>
          <w:color w:val="231F20"/>
          <w:sz w:val="16"/>
        </w:rPr>
        <w:t>condensadores.</w:t>
      </w:r>
      <w:r>
        <w:rPr>
          <w:color w:val="231F20"/>
          <w:spacing w:val="-7"/>
          <w:sz w:val="16"/>
        </w:rPr>
        <w:t> </w:t>
      </w:r>
      <w:r>
        <w:rPr>
          <w:color w:val="231F20"/>
          <w:sz w:val="16"/>
        </w:rPr>
        <w:t>Finalmente,</w:t>
      </w:r>
      <w:r>
        <w:rPr>
          <w:color w:val="231F20"/>
          <w:spacing w:val="-6"/>
          <w:sz w:val="16"/>
        </w:rPr>
        <w:t> </w:t>
      </w:r>
      <w:r>
        <w:rPr>
          <w:color w:val="231F20"/>
          <w:sz w:val="16"/>
        </w:rPr>
        <w:t>General</w:t>
      </w:r>
      <w:r>
        <w:rPr>
          <w:color w:val="231F20"/>
          <w:spacing w:val="-6"/>
          <w:sz w:val="16"/>
        </w:rPr>
        <w:t> </w:t>
      </w:r>
      <w:r>
        <w:rPr>
          <w:color w:val="231F20"/>
          <w:sz w:val="16"/>
        </w:rPr>
        <w:t>Motors,</w:t>
      </w:r>
      <w:r>
        <w:rPr>
          <w:color w:val="231F20"/>
          <w:spacing w:val="-6"/>
          <w:sz w:val="16"/>
        </w:rPr>
        <w:t> </w:t>
      </w:r>
      <w:r>
        <w:rPr>
          <w:color w:val="231F20"/>
          <w:sz w:val="16"/>
        </w:rPr>
        <w:t>en</w:t>
      </w:r>
      <w:r>
        <w:rPr>
          <w:color w:val="231F20"/>
          <w:spacing w:val="-7"/>
          <w:sz w:val="16"/>
        </w:rPr>
        <w:t> </w:t>
      </w:r>
      <w:r>
        <w:rPr>
          <w:color w:val="231F20"/>
          <w:sz w:val="16"/>
        </w:rPr>
        <w:t>adición</w:t>
      </w:r>
      <w:r>
        <w:rPr>
          <w:color w:val="231F20"/>
          <w:spacing w:val="-6"/>
          <w:sz w:val="16"/>
        </w:rPr>
        <w:t> </w:t>
      </w:r>
      <w:r>
        <w:rPr>
          <w:color w:val="231F20"/>
          <w:sz w:val="16"/>
        </w:rPr>
        <w:t>a</w:t>
      </w:r>
      <w:r>
        <w:rPr>
          <w:color w:val="231F20"/>
          <w:spacing w:val="-6"/>
          <w:sz w:val="16"/>
        </w:rPr>
        <w:t> </w:t>
      </w:r>
      <w:r>
        <w:rPr>
          <w:color w:val="231F20"/>
          <w:sz w:val="16"/>
        </w:rPr>
        <w:t>su</w:t>
      </w:r>
      <w:r>
        <w:rPr>
          <w:color w:val="231F20"/>
          <w:spacing w:val="-6"/>
          <w:sz w:val="16"/>
        </w:rPr>
        <w:t> </w:t>
      </w:r>
      <w:r>
        <w:rPr>
          <w:color w:val="231F20"/>
          <w:sz w:val="16"/>
        </w:rPr>
        <w:t>planta de montaje en la Ciudad de México, estableció en 1965 una planta en </w:t>
      </w:r>
      <w:r>
        <w:rPr>
          <w:color w:val="231F20"/>
          <w:spacing w:val="-3"/>
          <w:sz w:val="16"/>
        </w:rPr>
        <w:t>Toluca, </w:t>
      </w:r>
      <w:r>
        <w:rPr>
          <w:color w:val="231F20"/>
          <w:sz w:val="16"/>
        </w:rPr>
        <w:t>con actividades de fundición y fábrica</w:t>
      </w:r>
      <w:r>
        <w:rPr>
          <w:color w:val="231F20"/>
          <w:spacing w:val="-13"/>
          <w:sz w:val="16"/>
        </w:rPr>
        <w:t> </w:t>
      </w:r>
      <w:r>
        <w:rPr>
          <w:color w:val="231F20"/>
          <w:sz w:val="16"/>
        </w:rPr>
        <w:t>de</w:t>
      </w:r>
      <w:r>
        <w:rPr>
          <w:color w:val="231F20"/>
          <w:spacing w:val="-13"/>
          <w:sz w:val="16"/>
        </w:rPr>
        <w:t> </w:t>
      </w:r>
      <w:r>
        <w:rPr>
          <w:color w:val="231F20"/>
          <w:sz w:val="16"/>
        </w:rPr>
        <w:t>motores</w:t>
      </w:r>
      <w:r>
        <w:rPr>
          <w:color w:val="231F20"/>
          <w:spacing w:val="-13"/>
          <w:sz w:val="16"/>
        </w:rPr>
        <w:t> </w:t>
      </w:r>
      <w:r>
        <w:rPr>
          <w:color w:val="231F20"/>
          <w:sz w:val="16"/>
        </w:rPr>
        <w:t>(Vieyra,</w:t>
      </w:r>
      <w:r>
        <w:rPr>
          <w:color w:val="231F20"/>
          <w:spacing w:val="-13"/>
          <w:sz w:val="16"/>
        </w:rPr>
        <w:t> </w:t>
      </w:r>
      <w:r>
        <w:rPr>
          <w:color w:val="231F20"/>
          <w:sz w:val="16"/>
        </w:rPr>
        <w:t>1999).</w:t>
      </w:r>
    </w:p>
    <w:p>
      <w:pPr>
        <w:spacing w:after="0" w:line="288" w:lineRule="auto"/>
        <w:jc w:val="both"/>
        <w:rPr>
          <w:sz w:val="16"/>
        </w:rPr>
        <w:sectPr>
          <w:footerReference w:type="even" r:id="rId92"/>
          <w:footerReference w:type="default" r:id="rId93"/>
          <w:pgSz w:w="9640" w:h="13040"/>
          <w:pgMar w:footer="654" w:header="581" w:top="780" w:bottom="840" w:left="480" w:right="1200"/>
        </w:sectPr>
      </w:pPr>
    </w:p>
    <w:p>
      <w:pPr>
        <w:pStyle w:val="BodyText"/>
        <w:rPr>
          <w:sz w:val="20"/>
        </w:rPr>
      </w:pPr>
    </w:p>
    <w:p>
      <w:pPr>
        <w:pStyle w:val="BodyText"/>
        <w:spacing w:before="10"/>
        <w:rPr>
          <w:sz w:val="17"/>
        </w:rPr>
      </w:pPr>
    </w:p>
    <w:p>
      <w:pPr>
        <w:pStyle w:val="BodyText"/>
        <w:spacing w:line="278" w:lineRule="auto"/>
        <w:ind w:left="103" w:right="648" w:firstLine="396"/>
        <w:jc w:val="both"/>
      </w:pPr>
      <w:r>
        <w:rPr>
          <w:color w:val="231F20"/>
        </w:rPr>
        <w:t>Este decreto fue resultado de la política de promoción a la exportación, adoptada por el gobierno federal. </w:t>
      </w:r>
      <w:r>
        <w:rPr>
          <w:color w:val="231F20"/>
          <w:spacing w:val="-3"/>
        </w:rPr>
        <w:t>Tenía </w:t>
      </w:r>
      <w:r>
        <w:rPr>
          <w:color w:val="231F20"/>
        </w:rPr>
        <w:t>como objetivo primordial fomentar las exportaciones, modificando los límites de producción establecidos en 1962. A partir de su emisión  se redujo el porcentaje de contenido nacional mínimo para vehículos de exportación  y se obligó a los fabricantes de la industria terminal a exportar un equivalente al </w:t>
      </w:r>
      <w:r>
        <w:rPr>
          <w:color w:val="231F20"/>
          <w:spacing w:val="2"/>
        </w:rPr>
        <w:t>30% </w:t>
      </w:r>
      <w:r>
        <w:rPr>
          <w:color w:val="231F20"/>
        </w:rPr>
        <w:t>del valor de sus importaciones (Vicencio, 2007). Esta nueva regulación pretendía acoplar el sector a las nuevas necesidades del mercado; sin embargo, factores como  la </w:t>
      </w:r>
      <w:r>
        <w:rPr>
          <w:color w:val="231F20"/>
          <w:spacing w:val="2"/>
        </w:rPr>
        <w:t>infraestructura </w:t>
      </w:r>
      <w:r>
        <w:rPr>
          <w:color w:val="231F20"/>
        </w:rPr>
        <w:t>de producción obsoleta y la escasa productividad permitieron muy </w:t>
      </w:r>
      <w:r>
        <w:rPr>
          <w:color w:val="231F20"/>
          <w:spacing w:val="2"/>
        </w:rPr>
        <w:t>poco </w:t>
      </w:r>
      <w:r>
        <w:rPr>
          <w:color w:val="231F20"/>
        </w:rPr>
        <w:t>avance. Para 1975 el sector automotriz exportaba menos del 16% del total de sus importaciones, por lo que la balanza comercial de ese mismo año entró en crisis (Vicencio,</w:t>
      </w:r>
      <w:r>
        <w:rPr>
          <w:color w:val="231F20"/>
          <w:spacing w:val="-30"/>
        </w:rPr>
        <w:t> </w:t>
      </w:r>
      <w:r>
        <w:rPr>
          <w:color w:val="231F20"/>
          <w:spacing w:val="2"/>
        </w:rPr>
        <w:t>2007).</w:t>
      </w:r>
    </w:p>
    <w:p>
      <w:pPr>
        <w:pStyle w:val="BodyText"/>
        <w:spacing w:line="278" w:lineRule="auto" w:before="1"/>
        <w:ind w:left="103" w:right="648" w:firstLine="396"/>
        <w:jc w:val="both"/>
      </w:pPr>
      <w:r>
        <w:rPr>
          <w:color w:val="231F20"/>
        </w:rPr>
        <w:t>En este periodo se dieron ampliaciones en la estructura productiva de las em- presas y se diversificaron actividades, aun cuando la calidad no era muy satisfactoria y los costos de producción eran superiores a los que se daban en otros países; pero finalmente, dado el cierre de fronteras que prevalecía, la competitividad no era un agente de preocupación para los empresarios de la época (Vicencio, 2007), esto como resultado de una política económica altamente proteccionista que evitaba la com- petencia de la producción externa y orientaba la producción nacional a satisfacer exclusivamente el mercado interno, lo que provocó que la calidad, los precios, los ritmos y la productividad no fueran los ingredientes básicos del sostén de la industria automotriz (Bueno, 2008).</w:t>
      </w:r>
    </w:p>
    <w:p>
      <w:pPr>
        <w:pStyle w:val="BodyText"/>
        <w:spacing w:line="256" w:lineRule="auto" w:before="1"/>
        <w:ind w:left="103" w:right="651" w:firstLine="396"/>
        <w:jc w:val="both"/>
      </w:pPr>
      <w:r>
        <w:rPr>
          <w:color w:val="231F20"/>
        </w:rPr>
        <w:t>En esta misma década se inició y consolidó la fase exportadora del sector auto- motriz, que fue alentada fuertemente con el </w:t>
      </w:r>
      <w:r>
        <w:rPr>
          <w:rFonts w:ascii="Palatino Linotype" w:hAnsi="Palatino Linotype"/>
          <w:i/>
          <w:color w:val="231F20"/>
        </w:rPr>
        <w:t>Decreto para el fomento de la industria </w:t>
      </w:r>
      <w:r>
        <w:rPr>
          <w:rFonts w:ascii="Palatino Linotype" w:hAnsi="Palatino Linotype"/>
          <w:i/>
          <w:color w:val="231F20"/>
        </w:rPr>
        <w:t>automotriz</w:t>
      </w:r>
      <w:r>
        <w:rPr>
          <w:color w:val="231F20"/>
        </w:rPr>
        <w:t>, emitido en 1977, cuyo objetivo principal consistía en transformar a Mé- xico en un país exportador altamente competitivo y abierto a las inversiones foráneas (Vicencio, 2007).</w:t>
      </w:r>
    </w:p>
    <w:p>
      <w:pPr>
        <w:pStyle w:val="BodyText"/>
        <w:spacing w:line="278" w:lineRule="auto" w:before="22"/>
        <w:ind w:left="103" w:right="650" w:firstLine="396"/>
        <w:jc w:val="both"/>
      </w:pPr>
      <w:r>
        <w:rPr>
          <w:color w:val="231F20"/>
        </w:rPr>
        <w:t>Con la emisión de este decreto se abandonó el esquema de estímulos al aumento de</w:t>
      </w:r>
      <w:r>
        <w:rPr>
          <w:color w:val="231F20"/>
          <w:spacing w:val="-4"/>
        </w:rPr>
        <w:t> </w:t>
      </w:r>
      <w:r>
        <w:rPr>
          <w:color w:val="231F20"/>
        </w:rPr>
        <w:t>contenido</w:t>
      </w:r>
      <w:r>
        <w:rPr>
          <w:color w:val="231F20"/>
          <w:spacing w:val="-4"/>
        </w:rPr>
        <w:t> </w:t>
      </w:r>
      <w:r>
        <w:rPr>
          <w:color w:val="231F20"/>
        </w:rPr>
        <w:t>local</w:t>
      </w:r>
      <w:r>
        <w:rPr>
          <w:color w:val="231F20"/>
          <w:spacing w:val="-4"/>
        </w:rPr>
        <w:t> </w:t>
      </w:r>
      <w:r>
        <w:rPr>
          <w:color w:val="231F20"/>
        </w:rPr>
        <w:t>y</w:t>
      </w:r>
      <w:r>
        <w:rPr>
          <w:color w:val="231F20"/>
          <w:spacing w:val="-4"/>
        </w:rPr>
        <w:t> </w:t>
      </w:r>
      <w:r>
        <w:rPr>
          <w:color w:val="231F20"/>
        </w:rPr>
        <w:t>se</w:t>
      </w:r>
      <w:r>
        <w:rPr>
          <w:color w:val="231F20"/>
          <w:spacing w:val="-4"/>
        </w:rPr>
        <w:t> </w:t>
      </w:r>
      <w:r>
        <w:rPr>
          <w:color w:val="231F20"/>
        </w:rPr>
        <w:t>estableció</w:t>
      </w:r>
      <w:r>
        <w:rPr>
          <w:color w:val="231F20"/>
          <w:spacing w:val="-4"/>
        </w:rPr>
        <w:t> </w:t>
      </w:r>
      <w:r>
        <w:rPr>
          <w:color w:val="231F20"/>
        </w:rPr>
        <w:t>que</w:t>
      </w:r>
      <w:r>
        <w:rPr>
          <w:color w:val="231F20"/>
          <w:spacing w:val="-4"/>
        </w:rPr>
        <w:t> </w:t>
      </w:r>
      <w:r>
        <w:rPr>
          <w:color w:val="231F20"/>
        </w:rPr>
        <w:t>cada</w:t>
      </w:r>
      <w:r>
        <w:rPr>
          <w:color w:val="231F20"/>
          <w:spacing w:val="-4"/>
        </w:rPr>
        <w:t> </w:t>
      </w:r>
      <w:r>
        <w:rPr>
          <w:color w:val="231F20"/>
        </w:rPr>
        <w:t>productor</w:t>
      </w:r>
      <w:r>
        <w:rPr>
          <w:color w:val="231F20"/>
          <w:spacing w:val="-4"/>
        </w:rPr>
        <w:t> </w:t>
      </w:r>
      <w:r>
        <w:rPr>
          <w:color w:val="231F20"/>
        </w:rPr>
        <w:t>de</w:t>
      </w:r>
      <w:r>
        <w:rPr>
          <w:color w:val="231F20"/>
          <w:spacing w:val="-4"/>
        </w:rPr>
        <w:t> </w:t>
      </w:r>
      <w:r>
        <w:rPr>
          <w:color w:val="231F20"/>
        </w:rPr>
        <w:t>automóviles</w:t>
      </w:r>
      <w:r>
        <w:rPr>
          <w:color w:val="231F20"/>
          <w:spacing w:val="-4"/>
        </w:rPr>
        <w:t> </w:t>
      </w:r>
      <w:r>
        <w:rPr>
          <w:color w:val="231F20"/>
        </w:rPr>
        <w:t>debía</w:t>
      </w:r>
      <w:r>
        <w:rPr>
          <w:color w:val="231F20"/>
          <w:spacing w:val="-4"/>
        </w:rPr>
        <w:t> </w:t>
      </w:r>
      <w:r>
        <w:rPr>
          <w:color w:val="231F20"/>
        </w:rPr>
        <w:t>incremen- tar</w:t>
      </w:r>
      <w:r>
        <w:rPr>
          <w:color w:val="231F20"/>
          <w:spacing w:val="-9"/>
        </w:rPr>
        <w:t> </w:t>
      </w:r>
      <w:r>
        <w:rPr>
          <w:color w:val="231F20"/>
        </w:rPr>
        <w:t>sus</w:t>
      </w:r>
      <w:r>
        <w:rPr>
          <w:color w:val="231F20"/>
          <w:spacing w:val="-9"/>
        </w:rPr>
        <w:t> </w:t>
      </w:r>
      <w:r>
        <w:rPr>
          <w:color w:val="231F20"/>
        </w:rPr>
        <w:t>exportaciones,</w:t>
      </w:r>
      <w:r>
        <w:rPr>
          <w:color w:val="231F20"/>
          <w:spacing w:val="-9"/>
        </w:rPr>
        <w:t> </w:t>
      </w:r>
      <w:r>
        <w:rPr>
          <w:color w:val="231F20"/>
        </w:rPr>
        <w:t>de</w:t>
      </w:r>
      <w:r>
        <w:rPr>
          <w:color w:val="231F20"/>
          <w:spacing w:val="-9"/>
        </w:rPr>
        <w:t> </w:t>
      </w:r>
      <w:r>
        <w:rPr>
          <w:color w:val="231F20"/>
        </w:rPr>
        <w:t>tal</w:t>
      </w:r>
      <w:r>
        <w:rPr>
          <w:color w:val="231F20"/>
          <w:spacing w:val="-9"/>
        </w:rPr>
        <w:t> </w:t>
      </w:r>
      <w:r>
        <w:rPr>
          <w:color w:val="231F20"/>
        </w:rPr>
        <w:t>manera</w:t>
      </w:r>
      <w:r>
        <w:rPr>
          <w:color w:val="231F20"/>
          <w:spacing w:val="-9"/>
        </w:rPr>
        <w:t> </w:t>
      </w:r>
      <w:r>
        <w:rPr>
          <w:color w:val="231F20"/>
        </w:rPr>
        <w:t>que</w:t>
      </w:r>
      <w:r>
        <w:rPr>
          <w:color w:val="231F20"/>
          <w:spacing w:val="-9"/>
        </w:rPr>
        <w:t> </w:t>
      </w:r>
      <w:r>
        <w:rPr>
          <w:color w:val="231F20"/>
        </w:rPr>
        <w:t>le</w:t>
      </w:r>
      <w:r>
        <w:rPr>
          <w:color w:val="231F20"/>
          <w:spacing w:val="-9"/>
        </w:rPr>
        <w:t> </w:t>
      </w:r>
      <w:r>
        <w:rPr>
          <w:color w:val="231F20"/>
        </w:rPr>
        <w:t>permitiera</w:t>
      </w:r>
      <w:r>
        <w:rPr>
          <w:color w:val="231F20"/>
          <w:spacing w:val="-9"/>
        </w:rPr>
        <w:t> </w:t>
      </w:r>
      <w:r>
        <w:rPr>
          <w:color w:val="231F20"/>
        </w:rPr>
        <w:t>saldar</w:t>
      </w:r>
      <w:r>
        <w:rPr>
          <w:color w:val="231F20"/>
          <w:spacing w:val="-9"/>
        </w:rPr>
        <w:t> </w:t>
      </w:r>
      <w:r>
        <w:rPr>
          <w:color w:val="231F20"/>
        </w:rPr>
        <w:t>sus</w:t>
      </w:r>
      <w:r>
        <w:rPr>
          <w:color w:val="231F20"/>
          <w:spacing w:val="-9"/>
        </w:rPr>
        <w:t> </w:t>
      </w:r>
      <w:r>
        <w:rPr>
          <w:color w:val="231F20"/>
        </w:rPr>
        <w:t>importaciones</w:t>
      </w:r>
      <w:r>
        <w:rPr>
          <w:color w:val="231F20"/>
          <w:spacing w:val="-9"/>
        </w:rPr>
        <w:t> </w:t>
      </w:r>
      <w:r>
        <w:rPr>
          <w:color w:val="231F20"/>
        </w:rPr>
        <w:t>y</w:t>
      </w:r>
      <w:r>
        <w:rPr>
          <w:color w:val="231F20"/>
          <w:spacing w:val="-9"/>
        </w:rPr>
        <w:t> </w:t>
      </w:r>
      <w:r>
        <w:rPr>
          <w:color w:val="231F20"/>
        </w:rPr>
        <w:t>pagos internacionales,</w:t>
      </w:r>
      <w:r>
        <w:rPr>
          <w:color w:val="231F20"/>
          <w:spacing w:val="-8"/>
        </w:rPr>
        <w:t> </w:t>
      </w:r>
      <w:r>
        <w:rPr>
          <w:color w:val="231F20"/>
        </w:rPr>
        <w:t>lo</w:t>
      </w:r>
      <w:r>
        <w:rPr>
          <w:color w:val="231F20"/>
          <w:spacing w:val="-8"/>
        </w:rPr>
        <w:t> </w:t>
      </w:r>
      <w:r>
        <w:rPr>
          <w:color w:val="231F20"/>
        </w:rPr>
        <w:t>que</w:t>
      </w:r>
      <w:r>
        <w:rPr>
          <w:color w:val="231F20"/>
          <w:spacing w:val="-8"/>
        </w:rPr>
        <w:t> </w:t>
      </w:r>
      <w:r>
        <w:rPr>
          <w:color w:val="231F20"/>
        </w:rPr>
        <w:t>incentivó</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multinacionales</w:t>
      </w:r>
      <w:r>
        <w:rPr>
          <w:color w:val="231F20"/>
          <w:spacing w:val="-8"/>
        </w:rPr>
        <w:t> </w:t>
      </w:r>
      <w:r>
        <w:rPr>
          <w:color w:val="231F20"/>
        </w:rPr>
        <w:t>a</w:t>
      </w:r>
      <w:r>
        <w:rPr>
          <w:color w:val="231F20"/>
          <w:spacing w:val="-8"/>
        </w:rPr>
        <w:t> </w:t>
      </w:r>
      <w:r>
        <w:rPr>
          <w:color w:val="231F20"/>
        </w:rPr>
        <w:t>formular</w:t>
      </w:r>
      <w:r>
        <w:rPr>
          <w:color w:val="231F20"/>
          <w:spacing w:val="-8"/>
        </w:rPr>
        <w:t> </w:t>
      </w:r>
      <w:r>
        <w:rPr>
          <w:color w:val="231F20"/>
        </w:rPr>
        <w:t>estrategias</w:t>
      </w:r>
      <w:r>
        <w:rPr>
          <w:color w:val="231F20"/>
          <w:spacing w:val="-8"/>
        </w:rPr>
        <w:t> </w:t>
      </w:r>
      <w:r>
        <w:rPr>
          <w:color w:val="231F20"/>
        </w:rPr>
        <w:t>de</w:t>
      </w:r>
      <w:r>
        <w:rPr>
          <w:color w:val="231F20"/>
          <w:spacing w:val="-8"/>
        </w:rPr>
        <w:t> </w:t>
      </w:r>
      <w:r>
        <w:rPr>
          <w:color w:val="231F20"/>
        </w:rPr>
        <w:t>expor- tación</w:t>
      </w:r>
      <w:r>
        <w:rPr>
          <w:color w:val="231F20"/>
          <w:spacing w:val="-5"/>
        </w:rPr>
        <w:t> </w:t>
      </w:r>
      <w:r>
        <w:rPr>
          <w:color w:val="231F20"/>
        </w:rPr>
        <w:t>en</w:t>
      </w:r>
      <w:r>
        <w:rPr>
          <w:color w:val="231F20"/>
          <w:spacing w:val="-5"/>
        </w:rPr>
        <w:t> </w:t>
      </w:r>
      <w:r>
        <w:rPr>
          <w:color w:val="231F20"/>
        </w:rPr>
        <w:t>vez</w:t>
      </w:r>
      <w:r>
        <w:rPr>
          <w:color w:val="231F20"/>
          <w:spacing w:val="-5"/>
        </w:rPr>
        <w:t> </w:t>
      </w:r>
      <w:r>
        <w:rPr>
          <w:color w:val="231F20"/>
        </w:rPr>
        <w:t>de</w:t>
      </w:r>
      <w:r>
        <w:rPr>
          <w:color w:val="231F20"/>
          <w:spacing w:val="-5"/>
        </w:rPr>
        <w:t> </w:t>
      </w:r>
      <w:r>
        <w:rPr>
          <w:color w:val="231F20"/>
        </w:rPr>
        <w:t>invertir</w:t>
      </w:r>
      <w:r>
        <w:rPr>
          <w:color w:val="231F20"/>
          <w:spacing w:val="-5"/>
        </w:rPr>
        <w:t> </w:t>
      </w:r>
      <w:r>
        <w:rPr>
          <w:color w:val="231F20"/>
        </w:rPr>
        <w:t>en</w:t>
      </w:r>
      <w:r>
        <w:rPr>
          <w:color w:val="231F20"/>
          <w:spacing w:val="-5"/>
        </w:rPr>
        <w:t> </w:t>
      </w:r>
      <w:r>
        <w:rPr>
          <w:color w:val="231F20"/>
        </w:rPr>
        <w:t>otros</w:t>
      </w:r>
      <w:r>
        <w:rPr>
          <w:color w:val="231F20"/>
          <w:spacing w:val="-5"/>
        </w:rPr>
        <w:t> </w:t>
      </w:r>
      <w:r>
        <w:rPr>
          <w:color w:val="231F20"/>
        </w:rPr>
        <w:t>países</w:t>
      </w:r>
      <w:r>
        <w:rPr>
          <w:color w:val="231F20"/>
          <w:spacing w:val="-5"/>
        </w:rPr>
        <w:t> </w:t>
      </w:r>
      <w:r>
        <w:rPr>
          <w:color w:val="231F20"/>
        </w:rPr>
        <w:t>en</w:t>
      </w:r>
      <w:r>
        <w:rPr>
          <w:color w:val="231F20"/>
          <w:spacing w:val="-5"/>
        </w:rPr>
        <w:t> </w:t>
      </w:r>
      <w:r>
        <w:rPr>
          <w:color w:val="231F20"/>
        </w:rPr>
        <w:t>desarrollo</w:t>
      </w:r>
      <w:r>
        <w:rPr>
          <w:color w:val="231F20"/>
          <w:spacing w:val="-5"/>
        </w:rPr>
        <w:t> </w:t>
      </w:r>
      <w:r>
        <w:rPr>
          <w:color w:val="231F20"/>
        </w:rPr>
        <w:t>(Fernández,</w:t>
      </w:r>
      <w:r>
        <w:rPr>
          <w:color w:val="231F20"/>
          <w:spacing w:val="-5"/>
        </w:rPr>
        <w:t> </w:t>
      </w:r>
      <w:r>
        <w:rPr>
          <w:color w:val="231F20"/>
        </w:rPr>
        <w:t>2005).</w:t>
      </w:r>
    </w:p>
    <w:p>
      <w:pPr>
        <w:pStyle w:val="BodyText"/>
        <w:spacing w:line="278" w:lineRule="auto" w:before="1"/>
        <w:ind w:left="103" w:right="648" w:firstLine="396"/>
        <w:jc w:val="both"/>
      </w:pPr>
      <w:r>
        <w:rPr>
          <w:color w:val="231F20"/>
        </w:rPr>
        <w:t>Por </w:t>
      </w:r>
      <w:r>
        <w:rPr>
          <w:color w:val="231F20"/>
          <w:spacing w:val="2"/>
        </w:rPr>
        <w:t>medio </w:t>
      </w:r>
      <w:r>
        <w:rPr>
          <w:color w:val="231F20"/>
        </w:rPr>
        <w:t>de este decreto se </w:t>
      </w:r>
      <w:r>
        <w:rPr>
          <w:color w:val="231F20"/>
          <w:spacing w:val="2"/>
        </w:rPr>
        <w:t>estableció </w:t>
      </w:r>
      <w:r>
        <w:rPr>
          <w:color w:val="231F20"/>
        </w:rPr>
        <w:t>un </w:t>
      </w:r>
      <w:r>
        <w:rPr>
          <w:color w:val="231F20"/>
          <w:spacing w:val="2"/>
        </w:rPr>
        <w:t>estricto </w:t>
      </w:r>
      <w:r>
        <w:rPr>
          <w:color w:val="231F20"/>
        </w:rPr>
        <w:t>control sobre la </w:t>
      </w:r>
      <w:r>
        <w:rPr>
          <w:color w:val="231F20"/>
          <w:spacing w:val="3"/>
        </w:rPr>
        <w:t>balanza </w:t>
      </w:r>
      <w:r>
        <w:rPr>
          <w:color w:val="231F20"/>
        </w:rPr>
        <w:t>comercial de los fabricantes de la </w:t>
      </w:r>
      <w:r>
        <w:rPr>
          <w:color w:val="231F20"/>
          <w:spacing w:val="2"/>
        </w:rPr>
        <w:t>industria terminal, midiéndoles </w:t>
      </w:r>
      <w:r>
        <w:rPr>
          <w:color w:val="231F20"/>
        </w:rPr>
        <w:t>el nivel de sus </w:t>
      </w:r>
      <w:r>
        <w:rPr>
          <w:color w:val="231F20"/>
          <w:spacing w:val="2"/>
        </w:rPr>
        <w:t>importaciones. </w:t>
      </w:r>
      <w:r>
        <w:rPr>
          <w:color w:val="231F20"/>
          <w:spacing w:val="3"/>
        </w:rPr>
        <w:t>Se </w:t>
      </w:r>
      <w:r>
        <w:rPr>
          <w:color w:val="231F20"/>
          <w:spacing w:val="2"/>
        </w:rPr>
        <w:t>establecía, además, </w:t>
      </w:r>
      <w:r>
        <w:rPr>
          <w:color w:val="231F20"/>
        </w:rPr>
        <w:t>que por lo menos 50% del intercambio comer- </w:t>
      </w:r>
      <w:r>
        <w:rPr>
          <w:color w:val="231F20"/>
          <w:spacing w:val="2"/>
        </w:rPr>
        <w:t>cial </w:t>
      </w:r>
      <w:r>
        <w:rPr>
          <w:color w:val="231F20"/>
        </w:rPr>
        <w:t>de las compañías armadoras debía </w:t>
      </w:r>
      <w:r>
        <w:rPr>
          <w:color w:val="231F20"/>
          <w:spacing w:val="2"/>
        </w:rPr>
        <w:t>proceder </w:t>
      </w:r>
      <w:r>
        <w:rPr>
          <w:color w:val="231F20"/>
        </w:rPr>
        <w:t>de las </w:t>
      </w:r>
      <w:r>
        <w:rPr>
          <w:color w:val="231F20"/>
          <w:spacing w:val="2"/>
        </w:rPr>
        <w:t>exportaciones </w:t>
      </w:r>
      <w:r>
        <w:rPr>
          <w:color w:val="231F20"/>
        </w:rPr>
        <w:t>de autopartes de</w:t>
      </w:r>
      <w:r>
        <w:rPr>
          <w:color w:val="231F20"/>
          <w:spacing w:val="33"/>
        </w:rPr>
        <w:t> </w:t>
      </w:r>
      <w:r>
        <w:rPr>
          <w:color w:val="231F20"/>
        </w:rPr>
        <w:t>producción</w:t>
      </w:r>
      <w:r>
        <w:rPr>
          <w:color w:val="231F20"/>
          <w:spacing w:val="33"/>
        </w:rPr>
        <w:t> </w:t>
      </w:r>
      <w:r>
        <w:rPr>
          <w:color w:val="231F20"/>
          <w:spacing w:val="3"/>
        </w:rPr>
        <w:t>local</w:t>
      </w:r>
      <w:r>
        <w:rPr>
          <w:color w:val="231F20"/>
          <w:spacing w:val="33"/>
        </w:rPr>
        <w:t> </w:t>
      </w:r>
      <w:r>
        <w:rPr>
          <w:color w:val="231F20"/>
        </w:rPr>
        <w:t>y</w:t>
      </w:r>
      <w:r>
        <w:rPr>
          <w:color w:val="231F20"/>
          <w:spacing w:val="33"/>
        </w:rPr>
        <w:t> </w:t>
      </w:r>
      <w:r>
        <w:rPr>
          <w:color w:val="231F20"/>
        </w:rPr>
        <w:t>no</w:t>
      </w:r>
      <w:r>
        <w:rPr>
          <w:color w:val="231F20"/>
          <w:spacing w:val="33"/>
        </w:rPr>
        <w:t> </w:t>
      </w:r>
      <w:r>
        <w:rPr>
          <w:color w:val="231F20"/>
        </w:rPr>
        <w:t>se</w:t>
      </w:r>
      <w:r>
        <w:rPr>
          <w:color w:val="231F20"/>
          <w:spacing w:val="33"/>
        </w:rPr>
        <w:t> </w:t>
      </w:r>
      <w:r>
        <w:rPr>
          <w:color w:val="231F20"/>
          <w:spacing w:val="2"/>
        </w:rPr>
        <w:t>permitía</w:t>
      </w:r>
      <w:r>
        <w:rPr>
          <w:color w:val="231F20"/>
          <w:spacing w:val="33"/>
        </w:rPr>
        <w:t> </w:t>
      </w:r>
      <w:r>
        <w:rPr>
          <w:color w:val="231F20"/>
        </w:rPr>
        <w:t>que</w:t>
      </w:r>
      <w:r>
        <w:rPr>
          <w:color w:val="231F20"/>
          <w:spacing w:val="33"/>
        </w:rPr>
        <w:t> </w:t>
      </w:r>
      <w:r>
        <w:rPr>
          <w:color w:val="231F20"/>
        </w:rPr>
        <w:t>capitales</w:t>
      </w:r>
      <w:r>
        <w:rPr>
          <w:color w:val="231F20"/>
          <w:spacing w:val="33"/>
        </w:rPr>
        <w:t> </w:t>
      </w:r>
      <w:r>
        <w:rPr>
          <w:color w:val="231F20"/>
          <w:spacing w:val="2"/>
        </w:rPr>
        <w:t>extranjeros</w:t>
      </w:r>
      <w:r>
        <w:rPr>
          <w:color w:val="231F20"/>
          <w:spacing w:val="33"/>
        </w:rPr>
        <w:t> </w:t>
      </w:r>
      <w:r>
        <w:rPr>
          <w:color w:val="231F20"/>
        </w:rPr>
        <w:t>tuvieran</w:t>
      </w:r>
      <w:r>
        <w:rPr>
          <w:color w:val="231F20"/>
          <w:spacing w:val="33"/>
        </w:rPr>
        <w:t> </w:t>
      </w:r>
      <w:r>
        <w:rPr>
          <w:color w:val="231F20"/>
        </w:rPr>
        <w:t>la</w:t>
      </w:r>
      <w:r>
        <w:rPr>
          <w:color w:val="231F20"/>
          <w:spacing w:val="33"/>
        </w:rPr>
        <w:t> </w:t>
      </w:r>
      <w:r>
        <w:rPr>
          <w:color w:val="231F20"/>
        </w:rPr>
        <w:t>mayor</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99"/>
        <w:jc w:val="both"/>
      </w:pPr>
      <w:r>
        <w:rPr>
          <w:color w:val="231F20"/>
        </w:rPr>
        <w:t>participación en las inversiones dentro de las empresas productoras de autopartes (Vicencio, 2007).</w:t>
      </w:r>
    </w:p>
    <w:p>
      <w:pPr>
        <w:spacing w:line="260" w:lineRule="exact" w:before="0"/>
        <w:ind w:left="653" w:right="0" w:firstLine="396"/>
        <w:jc w:val="both"/>
        <w:rPr>
          <w:sz w:val="21"/>
        </w:rPr>
      </w:pPr>
      <w:r>
        <w:rPr>
          <w:color w:val="231F20"/>
          <w:sz w:val="21"/>
        </w:rPr>
        <w:t>En 1983 se emitió el </w:t>
      </w:r>
      <w:r>
        <w:rPr>
          <w:rFonts w:ascii="Palatino Linotype" w:hAnsi="Palatino Linotype"/>
          <w:i/>
          <w:color w:val="231F20"/>
          <w:sz w:val="21"/>
        </w:rPr>
        <w:t>Decreto para la racionalización de la industria  automotriz</w:t>
      </w:r>
      <w:r>
        <w:rPr>
          <w:color w:val="231F20"/>
          <w:sz w:val="21"/>
        </w:rPr>
        <w:t>,</w:t>
      </w:r>
    </w:p>
    <w:p>
      <w:pPr>
        <w:pStyle w:val="BodyText"/>
        <w:spacing w:line="278" w:lineRule="auto" w:before="21"/>
        <w:ind w:left="653" w:right="99"/>
        <w:jc w:val="both"/>
      </w:pPr>
      <w:r>
        <w:rPr>
          <w:color w:val="231F20"/>
        </w:rPr>
        <w:t>el cual pretendía el fortalecimiento de las exportaciones de la industria terminal más que de las autopartes, para lo cual nuevamente se redujo el contenido mínimo de in- tegración nacional en los vehículos destinados al mercado externo (Vicencio, 2007). Además, establecía medidas aun más fuertes con el propósito de que la industria lograra tener un saldo cero en su balanza comercial. Para 1987 sobresalían tres po- líticas: reglas rigurosas de contenido doméstico para vehículos y partes; balanza de pagos sin déficit; y límites de una línea y hasta cinco modelos por productor (Fer- nández, 2005).</w:t>
      </w:r>
    </w:p>
    <w:p>
      <w:pPr>
        <w:pStyle w:val="BodyText"/>
        <w:spacing w:line="278" w:lineRule="auto" w:before="1"/>
        <w:ind w:left="653" w:right="101" w:firstLine="396"/>
        <w:jc w:val="both"/>
      </w:pPr>
      <w:r>
        <w:rPr>
          <w:color w:val="231F20"/>
        </w:rPr>
        <w:t>En</w:t>
      </w:r>
      <w:r>
        <w:rPr>
          <w:color w:val="231F20"/>
          <w:spacing w:val="-13"/>
        </w:rPr>
        <w:t> </w:t>
      </w:r>
      <w:r>
        <w:rPr>
          <w:color w:val="231F20"/>
        </w:rPr>
        <w:t>este</w:t>
      </w:r>
      <w:r>
        <w:rPr>
          <w:color w:val="231F20"/>
          <w:spacing w:val="-13"/>
        </w:rPr>
        <w:t> </w:t>
      </w:r>
      <w:r>
        <w:rPr>
          <w:color w:val="231F20"/>
        </w:rPr>
        <w:t>periodo,</w:t>
      </w:r>
      <w:r>
        <w:rPr>
          <w:color w:val="231F20"/>
          <w:spacing w:val="-13"/>
        </w:rPr>
        <w:t> </w:t>
      </w:r>
      <w:r>
        <w:rPr>
          <w:color w:val="231F20"/>
        </w:rPr>
        <w:t>y</w:t>
      </w:r>
      <w:r>
        <w:rPr>
          <w:color w:val="231F20"/>
          <w:spacing w:val="-13"/>
        </w:rPr>
        <w:t> </w:t>
      </w:r>
      <w:r>
        <w:rPr>
          <w:color w:val="231F20"/>
        </w:rPr>
        <w:t>a</w:t>
      </w:r>
      <w:r>
        <w:rPr>
          <w:color w:val="231F20"/>
          <w:spacing w:val="-13"/>
        </w:rPr>
        <w:t> </w:t>
      </w:r>
      <w:r>
        <w:rPr>
          <w:color w:val="231F20"/>
        </w:rPr>
        <w:t>raíz</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decretos</w:t>
      </w:r>
      <w:r>
        <w:rPr>
          <w:color w:val="231F20"/>
          <w:spacing w:val="-13"/>
        </w:rPr>
        <w:t> </w:t>
      </w:r>
      <w:r>
        <w:rPr>
          <w:color w:val="231F20"/>
        </w:rPr>
        <w:t>emitidos,</w:t>
      </w:r>
      <w:r>
        <w:rPr>
          <w:color w:val="231F20"/>
          <w:spacing w:val="-13"/>
        </w:rPr>
        <w:t> </w:t>
      </w:r>
      <w:r>
        <w:rPr>
          <w:color w:val="231F20"/>
        </w:rPr>
        <w:t>se</w:t>
      </w:r>
      <w:r>
        <w:rPr>
          <w:color w:val="231F20"/>
          <w:spacing w:val="-13"/>
        </w:rPr>
        <w:t> </w:t>
      </w:r>
      <w:r>
        <w:rPr>
          <w:color w:val="231F20"/>
        </w:rPr>
        <w:t>favoreció</w:t>
      </w:r>
      <w:r>
        <w:rPr>
          <w:color w:val="231F20"/>
          <w:spacing w:val="-13"/>
        </w:rPr>
        <w:t> </w:t>
      </w:r>
      <w:r>
        <w:rPr>
          <w:color w:val="231F20"/>
        </w:rPr>
        <w:t>la</w:t>
      </w:r>
      <w:r>
        <w:rPr>
          <w:color w:val="231F20"/>
          <w:spacing w:val="-13"/>
        </w:rPr>
        <w:t> </w:t>
      </w:r>
      <w:r>
        <w:rPr>
          <w:color w:val="231F20"/>
        </w:rPr>
        <w:t>reubicación</w:t>
      </w:r>
      <w:r>
        <w:rPr>
          <w:color w:val="231F20"/>
          <w:spacing w:val="-13"/>
        </w:rPr>
        <w:t> </w:t>
      </w:r>
      <w:r>
        <w:rPr>
          <w:color w:val="231F20"/>
        </w:rPr>
        <w:t>espa- cial del </w:t>
      </w:r>
      <w:r>
        <w:rPr>
          <w:color w:val="231F20"/>
          <w:spacing w:val="-3"/>
        </w:rPr>
        <w:t>sector, </w:t>
      </w:r>
      <w:r>
        <w:rPr>
          <w:color w:val="231F20"/>
        </w:rPr>
        <w:t>con lo que se generaron las condiciones para la instalación de nuevos</w:t>
      </w:r>
      <w:r>
        <w:rPr>
          <w:color w:val="231F20"/>
          <w:spacing w:val="-33"/>
        </w:rPr>
        <w:t> </w:t>
      </w:r>
      <w:r>
        <w:rPr>
          <w:color w:val="231F20"/>
        </w:rPr>
        <w:t>y modernos complejos automotrices en la zona norte del país; por otra parte, se empe- zaron a desmantelar las restricciones que obligaban a las transnacionales a incluir un mínimo de contenido local en la manufactura de</w:t>
      </w:r>
      <w:r>
        <w:rPr>
          <w:color w:val="231F20"/>
          <w:spacing w:val="-5"/>
        </w:rPr>
        <w:t> </w:t>
      </w:r>
      <w:r>
        <w:rPr>
          <w:color w:val="231F20"/>
        </w:rPr>
        <w:t>vehículos.</w:t>
      </w:r>
    </w:p>
    <w:p>
      <w:pPr>
        <w:pStyle w:val="BodyText"/>
        <w:spacing w:line="278" w:lineRule="auto" w:before="1"/>
        <w:ind w:left="653" w:right="101" w:firstLine="396"/>
        <w:jc w:val="both"/>
        <w:rPr>
          <w:sz w:val="12"/>
        </w:rPr>
      </w:pPr>
      <w:r>
        <w:rPr>
          <w:color w:val="231F20"/>
          <w:spacing w:val="-13"/>
        </w:rPr>
        <w:t>Ya</w:t>
      </w:r>
      <w:r>
        <w:rPr>
          <w:color w:val="231F20"/>
          <w:spacing w:val="-9"/>
        </w:rPr>
        <w:t> </w:t>
      </w:r>
      <w:r>
        <w:rPr>
          <w:color w:val="231F20"/>
        </w:rPr>
        <w:t>al</w:t>
      </w:r>
      <w:r>
        <w:rPr>
          <w:color w:val="231F20"/>
          <w:spacing w:val="-9"/>
        </w:rPr>
        <w:t> </w:t>
      </w:r>
      <w:r>
        <w:rPr>
          <w:color w:val="231F20"/>
        </w:rPr>
        <w:t>terminar</w:t>
      </w:r>
      <w:r>
        <w:rPr>
          <w:color w:val="231F20"/>
          <w:spacing w:val="-9"/>
        </w:rPr>
        <w:t> </w:t>
      </w:r>
      <w:r>
        <w:rPr>
          <w:color w:val="231F20"/>
        </w:rPr>
        <w:t>la</w:t>
      </w:r>
      <w:r>
        <w:rPr>
          <w:color w:val="231F20"/>
          <w:spacing w:val="-9"/>
        </w:rPr>
        <w:t> </w:t>
      </w:r>
      <w:r>
        <w:rPr>
          <w:color w:val="231F20"/>
        </w:rPr>
        <w:t>década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ochenta,</w:t>
      </w:r>
      <w:r>
        <w:rPr>
          <w:color w:val="231F20"/>
          <w:spacing w:val="-9"/>
        </w:rPr>
        <w:t> </w:t>
      </w:r>
      <w:r>
        <w:rPr>
          <w:color w:val="231F20"/>
        </w:rPr>
        <w:t>México</w:t>
      </w:r>
      <w:r>
        <w:rPr>
          <w:color w:val="231F20"/>
          <w:spacing w:val="-9"/>
        </w:rPr>
        <w:t> </w:t>
      </w:r>
      <w:r>
        <w:rPr>
          <w:color w:val="231F20"/>
        </w:rPr>
        <w:t>se</w:t>
      </w:r>
      <w:r>
        <w:rPr>
          <w:color w:val="231F20"/>
          <w:spacing w:val="-9"/>
        </w:rPr>
        <w:t> </w:t>
      </w:r>
      <w:r>
        <w:rPr>
          <w:color w:val="231F20"/>
        </w:rPr>
        <w:t>encontraba</w:t>
      </w:r>
      <w:r>
        <w:rPr>
          <w:color w:val="231F20"/>
          <w:spacing w:val="-9"/>
        </w:rPr>
        <w:t> </w:t>
      </w:r>
      <w:r>
        <w:rPr>
          <w:color w:val="231F20"/>
        </w:rPr>
        <w:t>dentro</w:t>
      </w:r>
      <w:r>
        <w:rPr>
          <w:color w:val="231F20"/>
          <w:spacing w:val="-9"/>
        </w:rPr>
        <w:t> </w:t>
      </w:r>
      <w:r>
        <w:rPr>
          <w:color w:val="231F20"/>
        </w:rPr>
        <w:t>de</w:t>
      </w:r>
      <w:r>
        <w:rPr>
          <w:color w:val="231F20"/>
          <w:spacing w:val="-9"/>
        </w:rPr>
        <w:t> </w:t>
      </w:r>
      <w:r>
        <w:rPr>
          <w:color w:val="231F20"/>
        </w:rPr>
        <w:t>un</w:t>
      </w:r>
      <w:r>
        <w:rPr>
          <w:color w:val="231F20"/>
          <w:spacing w:val="-9"/>
        </w:rPr>
        <w:t> </w:t>
      </w:r>
      <w:r>
        <w:rPr>
          <w:color w:val="231F20"/>
        </w:rPr>
        <w:t>marco económico distinto, con importantes cambios estructurales marcados por la liberali- zación</w:t>
      </w:r>
      <w:r>
        <w:rPr>
          <w:color w:val="231F20"/>
          <w:spacing w:val="-4"/>
        </w:rPr>
        <w:t> </w:t>
      </w:r>
      <w:r>
        <w:rPr>
          <w:color w:val="231F20"/>
        </w:rPr>
        <w:t>comercial,</w:t>
      </w:r>
      <w:r>
        <w:rPr>
          <w:color w:val="231F20"/>
          <w:spacing w:val="-4"/>
        </w:rPr>
        <w:t> </w:t>
      </w:r>
      <w:r>
        <w:rPr>
          <w:color w:val="231F20"/>
        </w:rPr>
        <w:t>pues</w:t>
      </w:r>
      <w:r>
        <w:rPr>
          <w:color w:val="231F20"/>
          <w:spacing w:val="-4"/>
        </w:rPr>
        <w:t> </w:t>
      </w:r>
      <w:r>
        <w:rPr>
          <w:color w:val="231F20"/>
        </w:rPr>
        <w:t>había</w:t>
      </w:r>
      <w:r>
        <w:rPr>
          <w:color w:val="231F20"/>
          <w:spacing w:val="-4"/>
        </w:rPr>
        <w:t> </w:t>
      </w:r>
      <w:r>
        <w:rPr>
          <w:color w:val="231F20"/>
        </w:rPr>
        <w:t>quedado</w:t>
      </w:r>
      <w:r>
        <w:rPr>
          <w:color w:val="231F20"/>
          <w:spacing w:val="-4"/>
        </w:rPr>
        <w:t> </w:t>
      </w:r>
      <w:r>
        <w:rPr>
          <w:color w:val="231F20"/>
        </w:rPr>
        <w:t>atrás</w:t>
      </w:r>
      <w:r>
        <w:rPr>
          <w:color w:val="231F20"/>
          <w:spacing w:val="-4"/>
        </w:rPr>
        <w:t> </w:t>
      </w:r>
      <w:r>
        <w:rPr>
          <w:color w:val="231F20"/>
        </w:rPr>
        <w:t>el</w:t>
      </w:r>
      <w:r>
        <w:rPr>
          <w:color w:val="231F20"/>
          <w:spacing w:val="-4"/>
        </w:rPr>
        <w:t> </w:t>
      </w:r>
      <w:r>
        <w:rPr>
          <w:color w:val="231F20"/>
        </w:rPr>
        <w:t>modelo</w:t>
      </w:r>
      <w:r>
        <w:rPr>
          <w:color w:val="231F20"/>
          <w:spacing w:val="-4"/>
        </w:rPr>
        <w:t> </w:t>
      </w:r>
      <w:r>
        <w:rPr>
          <w:color w:val="231F20"/>
        </w:rPr>
        <w:t>proteccionista</w:t>
      </w:r>
      <w:r>
        <w:rPr>
          <w:color w:val="231F20"/>
          <w:spacing w:val="-4"/>
        </w:rPr>
        <w:t> </w:t>
      </w:r>
      <w:r>
        <w:rPr>
          <w:color w:val="231F20"/>
        </w:rPr>
        <w:t>de</w:t>
      </w:r>
      <w:r>
        <w:rPr>
          <w:color w:val="231F20"/>
          <w:spacing w:val="-4"/>
        </w:rPr>
        <w:t> </w:t>
      </w:r>
      <w:r>
        <w:rPr>
          <w:color w:val="231F20"/>
        </w:rPr>
        <w:t>sustitución</w:t>
      </w:r>
      <w:r>
        <w:rPr>
          <w:color w:val="231F20"/>
          <w:spacing w:val="-4"/>
        </w:rPr>
        <w:t> </w:t>
      </w:r>
      <w:r>
        <w:rPr>
          <w:color w:val="231F20"/>
        </w:rPr>
        <w:t>de importaciones.</w:t>
      </w:r>
      <w:r>
        <w:rPr>
          <w:color w:val="231F20"/>
          <w:spacing w:val="-9"/>
        </w:rPr>
        <w:t> </w:t>
      </w:r>
      <w:r>
        <w:rPr>
          <w:color w:val="231F20"/>
          <w:spacing w:val="-13"/>
        </w:rPr>
        <w:t>Ya</w:t>
      </w:r>
      <w:r>
        <w:rPr>
          <w:color w:val="231F20"/>
          <w:spacing w:val="-9"/>
        </w:rPr>
        <w:t> </w:t>
      </w:r>
      <w:r>
        <w:rPr>
          <w:color w:val="231F20"/>
        </w:rPr>
        <w:t>era</w:t>
      </w:r>
      <w:r>
        <w:rPr>
          <w:color w:val="231F20"/>
          <w:spacing w:val="-9"/>
        </w:rPr>
        <w:t> </w:t>
      </w:r>
      <w:r>
        <w:rPr>
          <w:color w:val="231F20"/>
        </w:rPr>
        <w:t>miembro</w:t>
      </w:r>
      <w:r>
        <w:rPr>
          <w:color w:val="231F20"/>
          <w:spacing w:val="-9"/>
        </w:rPr>
        <w:t> </w:t>
      </w:r>
      <w:r>
        <w:rPr>
          <w:color w:val="231F20"/>
        </w:rPr>
        <w:t>del</w:t>
      </w:r>
      <w:r>
        <w:rPr>
          <w:color w:val="231F20"/>
          <w:spacing w:val="-9"/>
        </w:rPr>
        <w:t> </w:t>
      </w:r>
      <w:r>
        <w:rPr>
          <w:color w:val="231F20"/>
          <w:spacing w:val="-3"/>
        </w:rPr>
        <w:t>GATT</w:t>
      </w:r>
      <w:r>
        <w:rPr>
          <w:color w:val="231F20"/>
          <w:spacing w:val="-9"/>
        </w:rPr>
        <w:t> </w:t>
      </w:r>
      <w:r>
        <w:rPr>
          <w:color w:val="231F20"/>
        </w:rPr>
        <w:t>(ahora</w:t>
      </w:r>
      <w:r>
        <w:rPr>
          <w:color w:val="231F20"/>
          <w:spacing w:val="-9"/>
        </w:rPr>
        <w:t> </w:t>
      </w:r>
      <w:r>
        <w:rPr>
          <w:color w:val="231F20"/>
        </w:rPr>
        <w:t>Organización</w:t>
      </w:r>
      <w:r>
        <w:rPr>
          <w:color w:val="231F20"/>
          <w:spacing w:val="-9"/>
        </w:rPr>
        <w:t> </w:t>
      </w:r>
      <w:r>
        <w:rPr>
          <w:color w:val="231F20"/>
        </w:rPr>
        <w:t>Mundial</w:t>
      </w:r>
      <w:r>
        <w:rPr>
          <w:color w:val="231F20"/>
          <w:spacing w:val="-9"/>
        </w:rPr>
        <w:t> </w:t>
      </w:r>
      <w:r>
        <w:rPr>
          <w:color w:val="231F20"/>
        </w:rPr>
        <w:t>de</w:t>
      </w:r>
      <w:r>
        <w:rPr>
          <w:color w:val="231F20"/>
          <w:spacing w:val="-9"/>
        </w:rPr>
        <w:t> </w:t>
      </w:r>
      <w:r>
        <w:rPr>
          <w:color w:val="231F20"/>
        </w:rPr>
        <w:t>Comercio, OMC) después de un largo debate nacional. Entonces cobraron relevancia los progra- mas</w:t>
      </w:r>
      <w:r>
        <w:rPr>
          <w:color w:val="231F20"/>
          <w:spacing w:val="-11"/>
        </w:rPr>
        <w:t> </w:t>
      </w:r>
      <w:r>
        <w:rPr>
          <w:color w:val="231F20"/>
        </w:rPr>
        <w:t>para</w:t>
      </w:r>
      <w:r>
        <w:rPr>
          <w:color w:val="231F20"/>
          <w:spacing w:val="-11"/>
        </w:rPr>
        <w:t> </w:t>
      </w:r>
      <w:r>
        <w:rPr>
          <w:color w:val="231F20"/>
        </w:rPr>
        <w:t>atraer</w:t>
      </w:r>
      <w:r>
        <w:rPr>
          <w:color w:val="231F20"/>
          <w:spacing w:val="-11"/>
        </w:rPr>
        <w:t> </w:t>
      </w:r>
      <w:r>
        <w:rPr>
          <w:color w:val="231F20"/>
        </w:rPr>
        <w:t>inversionistas</w:t>
      </w:r>
      <w:r>
        <w:rPr>
          <w:color w:val="231F20"/>
          <w:spacing w:val="-11"/>
        </w:rPr>
        <w:t> </w:t>
      </w:r>
      <w:r>
        <w:rPr>
          <w:color w:val="231F20"/>
        </w:rPr>
        <w:t>extranjeros.</w:t>
      </w:r>
      <w:r>
        <w:rPr>
          <w:color w:val="231F20"/>
          <w:spacing w:val="-11"/>
        </w:rPr>
        <w:t> </w:t>
      </w:r>
      <w:r>
        <w:rPr>
          <w:color w:val="231F20"/>
        </w:rPr>
        <w:t>En</w:t>
      </w:r>
      <w:r>
        <w:rPr>
          <w:color w:val="231F20"/>
          <w:spacing w:val="-11"/>
        </w:rPr>
        <w:t> </w:t>
      </w:r>
      <w:r>
        <w:rPr>
          <w:color w:val="231F20"/>
        </w:rPr>
        <w:t>1989,</w:t>
      </w:r>
      <w:r>
        <w:rPr>
          <w:color w:val="231F20"/>
          <w:spacing w:val="-11"/>
        </w:rPr>
        <w:t> </w:t>
      </w:r>
      <w:r>
        <w:rPr>
          <w:color w:val="231F20"/>
        </w:rPr>
        <w:t>se</w:t>
      </w:r>
      <w:r>
        <w:rPr>
          <w:color w:val="231F20"/>
          <w:spacing w:val="-11"/>
        </w:rPr>
        <w:t> </w:t>
      </w:r>
      <w:r>
        <w:rPr>
          <w:color w:val="231F20"/>
        </w:rPr>
        <w:t>derivó</w:t>
      </w:r>
      <w:r>
        <w:rPr>
          <w:color w:val="231F20"/>
          <w:spacing w:val="-11"/>
        </w:rPr>
        <w:t> </w:t>
      </w:r>
      <w:r>
        <w:rPr>
          <w:color w:val="231F20"/>
        </w:rPr>
        <w:t>la</w:t>
      </w:r>
      <w:r>
        <w:rPr>
          <w:color w:val="231F20"/>
          <w:spacing w:val="-11"/>
        </w:rPr>
        <w:t> </w:t>
      </w:r>
      <w:r>
        <w:rPr>
          <w:color w:val="231F20"/>
        </w:rPr>
        <w:t>permisividad</w:t>
      </w:r>
      <w:r>
        <w:rPr>
          <w:color w:val="231F20"/>
          <w:spacing w:val="-11"/>
        </w:rPr>
        <w:t> </w:t>
      </w:r>
      <w:r>
        <w:rPr>
          <w:color w:val="231F20"/>
        </w:rPr>
        <w:t>otorgada al capital extranjero para invertir en el sector productivo del país sin ninguna restric- ción en el porcentaje de participación</w:t>
      </w:r>
      <w:r>
        <w:rPr>
          <w:color w:val="231F20"/>
          <w:spacing w:val="-20"/>
        </w:rPr>
        <w:t> </w:t>
      </w:r>
      <w:r>
        <w:rPr>
          <w:color w:val="231F20"/>
        </w:rPr>
        <w:t>accionaria.</w:t>
      </w:r>
      <w:r>
        <w:rPr>
          <w:color w:val="231F20"/>
          <w:position w:val="7"/>
          <w:sz w:val="12"/>
        </w:rPr>
        <w:t>6</w:t>
      </w:r>
    </w:p>
    <w:p>
      <w:pPr>
        <w:spacing w:line="249" w:lineRule="auto" w:before="3"/>
        <w:ind w:left="653" w:right="101" w:firstLine="396"/>
        <w:jc w:val="both"/>
        <w:rPr>
          <w:sz w:val="21"/>
        </w:rPr>
      </w:pPr>
      <w:r>
        <w:rPr>
          <w:color w:val="231F20"/>
          <w:sz w:val="21"/>
        </w:rPr>
        <w:t>Este nuevo panorama presentó nuevos retos para el sector automotriz. En este sentido se emitió el </w:t>
      </w:r>
      <w:r>
        <w:rPr>
          <w:rFonts w:ascii="Palatino Linotype" w:hAnsi="Palatino Linotype"/>
          <w:i/>
          <w:color w:val="231F20"/>
          <w:sz w:val="21"/>
        </w:rPr>
        <w:t>Decreto para la modernización y promoción de la industria auto- </w:t>
      </w:r>
      <w:r>
        <w:rPr>
          <w:rFonts w:ascii="Palatino Linotype" w:hAnsi="Palatino Linotype"/>
          <w:i/>
          <w:color w:val="231F20"/>
          <w:sz w:val="21"/>
        </w:rPr>
        <w:t>motriz </w:t>
      </w:r>
      <w:r>
        <w:rPr>
          <w:color w:val="231F20"/>
          <w:sz w:val="21"/>
        </w:rPr>
        <w:t>en diciembre de 1989,</w:t>
      </w:r>
      <w:r>
        <w:rPr>
          <w:color w:val="231F20"/>
          <w:position w:val="7"/>
          <w:sz w:val="12"/>
        </w:rPr>
        <w:t>7 </w:t>
      </w:r>
      <w:r>
        <w:rPr>
          <w:color w:val="231F20"/>
          <w:sz w:val="21"/>
        </w:rPr>
        <w:t>lo que marcó una nueva fase en el desarrollo del sector automotriz en México.</w:t>
      </w:r>
    </w:p>
    <w:p>
      <w:pPr>
        <w:pStyle w:val="BodyText"/>
        <w:spacing w:line="278" w:lineRule="auto" w:before="29"/>
        <w:ind w:left="653" w:right="101" w:firstLine="396"/>
        <w:jc w:val="both"/>
      </w:pPr>
      <w:r>
        <w:rPr>
          <w:color w:val="231F20"/>
        </w:rPr>
        <w:t>En este periodo se partió de la necesidad de modernizar el sector a partir de un proceso de desregulación económica y de un incremento en el ritmo de las inversio- nes</w:t>
      </w:r>
      <w:r>
        <w:rPr>
          <w:color w:val="231F20"/>
          <w:spacing w:val="-9"/>
        </w:rPr>
        <w:t> </w:t>
      </w:r>
      <w:r>
        <w:rPr>
          <w:color w:val="231F20"/>
        </w:rPr>
        <w:t>con</w:t>
      </w:r>
      <w:r>
        <w:rPr>
          <w:color w:val="231F20"/>
          <w:spacing w:val="-9"/>
        </w:rPr>
        <w:t> </w:t>
      </w:r>
      <w:r>
        <w:rPr>
          <w:color w:val="231F20"/>
        </w:rPr>
        <w:t>el</w:t>
      </w:r>
      <w:r>
        <w:rPr>
          <w:color w:val="231F20"/>
          <w:spacing w:val="-9"/>
        </w:rPr>
        <w:t> </w:t>
      </w:r>
      <w:r>
        <w:rPr>
          <w:color w:val="231F20"/>
        </w:rPr>
        <w:t>fin</w:t>
      </w:r>
      <w:r>
        <w:rPr>
          <w:color w:val="231F20"/>
          <w:spacing w:val="-9"/>
        </w:rPr>
        <w:t> </w:t>
      </w:r>
      <w:r>
        <w:rPr>
          <w:color w:val="231F20"/>
        </w:rPr>
        <w:t>de</w:t>
      </w:r>
      <w:r>
        <w:rPr>
          <w:color w:val="231F20"/>
          <w:spacing w:val="-9"/>
        </w:rPr>
        <w:t> </w:t>
      </w:r>
      <w:r>
        <w:rPr>
          <w:color w:val="231F20"/>
        </w:rPr>
        <w:t>elevar</w:t>
      </w:r>
      <w:r>
        <w:rPr>
          <w:color w:val="231F20"/>
          <w:spacing w:val="-9"/>
        </w:rPr>
        <w:t> </w:t>
      </w:r>
      <w:r>
        <w:rPr>
          <w:color w:val="231F20"/>
        </w:rPr>
        <w:t>los</w:t>
      </w:r>
      <w:r>
        <w:rPr>
          <w:color w:val="231F20"/>
          <w:spacing w:val="-9"/>
        </w:rPr>
        <w:t> </w:t>
      </w:r>
      <w:r>
        <w:rPr>
          <w:color w:val="231F20"/>
        </w:rPr>
        <w:t>niveles</w:t>
      </w:r>
      <w:r>
        <w:rPr>
          <w:color w:val="231F20"/>
          <w:spacing w:val="-9"/>
        </w:rPr>
        <w:t> </w:t>
      </w:r>
      <w:r>
        <w:rPr>
          <w:color w:val="231F20"/>
        </w:rPr>
        <w:t>de</w:t>
      </w:r>
      <w:r>
        <w:rPr>
          <w:color w:val="231F20"/>
          <w:spacing w:val="-9"/>
        </w:rPr>
        <w:t> </w:t>
      </w:r>
      <w:r>
        <w:rPr>
          <w:color w:val="231F20"/>
        </w:rPr>
        <w:t>eficiencia,</w:t>
      </w:r>
      <w:r>
        <w:rPr>
          <w:color w:val="231F20"/>
          <w:spacing w:val="-9"/>
        </w:rPr>
        <w:t> </w:t>
      </w:r>
      <w:r>
        <w:rPr>
          <w:color w:val="231F20"/>
        </w:rPr>
        <w:t>productividad</w:t>
      </w:r>
      <w:r>
        <w:rPr>
          <w:color w:val="231F20"/>
          <w:spacing w:val="-9"/>
        </w:rPr>
        <w:t> </w:t>
      </w:r>
      <w:r>
        <w:rPr>
          <w:color w:val="231F20"/>
        </w:rPr>
        <w:t>y</w:t>
      </w:r>
      <w:r>
        <w:rPr>
          <w:color w:val="231F20"/>
          <w:spacing w:val="-9"/>
        </w:rPr>
        <w:t> </w:t>
      </w:r>
      <w:r>
        <w:rPr>
          <w:color w:val="231F20"/>
        </w:rPr>
        <w:t>tecnología</w:t>
      </w:r>
      <w:r>
        <w:rPr>
          <w:color w:val="231F20"/>
          <w:spacing w:val="-9"/>
        </w:rPr>
        <w:t> </w:t>
      </w:r>
      <w:r>
        <w:rPr>
          <w:color w:val="231F20"/>
        </w:rPr>
        <w:t>(Vicencio, 2007).</w:t>
      </w:r>
      <w:r>
        <w:rPr>
          <w:color w:val="231F20"/>
          <w:spacing w:val="-12"/>
        </w:rPr>
        <w:t> </w:t>
      </w:r>
      <w:r>
        <w:rPr>
          <w:color w:val="231F20"/>
        </w:rPr>
        <w:t>A</w:t>
      </w:r>
      <w:r>
        <w:rPr>
          <w:color w:val="231F20"/>
          <w:spacing w:val="-12"/>
        </w:rPr>
        <w:t> </w:t>
      </w:r>
      <w:r>
        <w:rPr>
          <w:color w:val="231F20"/>
        </w:rPr>
        <w:t>partir</w:t>
      </w:r>
      <w:r>
        <w:rPr>
          <w:color w:val="231F20"/>
          <w:spacing w:val="-12"/>
        </w:rPr>
        <w:t> </w:t>
      </w:r>
      <w:r>
        <w:rPr>
          <w:color w:val="231F20"/>
        </w:rPr>
        <w:t>de</w:t>
      </w:r>
      <w:r>
        <w:rPr>
          <w:color w:val="231F20"/>
          <w:spacing w:val="-12"/>
        </w:rPr>
        <w:t> </w:t>
      </w:r>
      <w:r>
        <w:rPr>
          <w:color w:val="231F20"/>
        </w:rPr>
        <w:t>este</w:t>
      </w:r>
      <w:r>
        <w:rPr>
          <w:color w:val="231F20"/>
          <w:spacing w:val="-12"/>
        </w:rPr>
        <w:t> </w:t>
      </w:r>
      <w:r>
        <w:rPr>
          <w:color w:val="231F20"/>
        </w:rPr>
        <w:t>decreto</w:t>
      </w:r>
      <w:r>
        <w:rPr>
          <w:color w:val="231F20"/>
          <w:spacing w:val="-12"/>
        </w:rPr>
        <w:t> </w:t>
      </w:r>
      <w:r>
        <w:rPr>
          <w:color w:val="231F20"/>
        </w:rPr>
        <w:t>se</w:t>
      </w:r>
      <w:r>
        <w:rPr>
          <w:color w:val="231F20"/>
          <w:spacing w:val="-12"/>
        </w:rPr>
        <w:t> </w:t>
      </w:r>
      <w:r>
        <w:rPr>
          <w:color w:val="231F20"/>
        </w:rPr>
        <w:t>permitía</w:t>
      </w:r>
      <w:r>
        <w:rPr>
          <w:color w:val="231F20"/>
          <w:spacing w:val="-12"/>
        </w:rPr>
        <w:t> </w:t>
      </w:r>
      <w:r>
        <w:rPr>
          <w:color w:val="231F20"/>
        </w:rPr>
        <w:t>la</w:t>
      </w:r>
      <w:r>
        <w:rPr>
          <w:color w:val="231F20"/>
          <w:spacing w:val="-12"/>
        </w:rPr>
        <w:t> </w:t>
      </w:r>
      <w:r>
        <w:rPr>
          <w:color w:val="231F20"/>
        </w:rPr>
        <w:t>importación</w:t>
      </w:r>
      <w:r>
        <w:rPr>
          <w:color w:val="231F20"/>
          <w:spacing w:val="-12"/>
        </w:rPr>
        <w:t> </w:t>
      </w:r>
      <w:r>
        <w:rPr>
          <w:color w:val="231F20"/>
        </w:rPr>
        <w:t>de</w:t>
      </w:r>
      <w:r>
        <w:rPr>
          <w:color w:val="231F20"/>
          <w:spacing w:val="-12"/>
        </w:rPr>
        <w:t> </w:t>
      </w:r>
      <w:r>
        <w:rPr>
          <w:color w:val="231F20"/>
        </w:rPr>
        <w:t>vehículos</w:t>
      </w:r>
      <w:r>
        <w:rPr>
          <w:color w:val="231F20"/>
          <w:spacing w:val="-12"/>
        </w:rPr>
        <w:t> </w:t>
      </w:r>
      <w:r>
        <w:rPr>
          <w:color w:val="231F20"/>
        </w:rPr>
        <w:t>nuevos,</w:t>
      </w:r>
      <w:r>
        <w:rPr>
          <w:color w:val="231F20"/>
          <w:spacing w:val="-12"/>
        </w:rPr>
        <w:t> </w:t>
      </w:r>
      <w:r>
        <w:rPr>
          <w:color w:val="231F20"/>
        </w:rPr>
        <w:t>siempre</w:t>
      </w:r>
    </w:p>
    <w:p>
      <w:pPr>
        <w:pStyle w:val="BodyText"/>
        <w:rPr>
          <w:sz w:val="20"/>
        </w:rPr>
      </w:pPr>
    </w:p>
    <w:p>
      <w:pPr>
        <w:pStyle w:val="BodyText"/>
        <w:rPr>
          <w:sz w:val="10"/>
        </w:rPr>
      </w:pPr>
      <w:r>
        <w:rPr/>
        <w:pict>
          <v:line style="position:absolute;mso-position-horizontal-relative:page;mso-position-vertical-relative:paragraph;z-index:7888;mso-wrap-distance-left:0;mso-wrap-distance-right:0" from="56.692902pt,7.973874pt" to="198.424902pt,7.973874pt" stroked="true" strokeweight=".5pt" strokecolor="#231f20">
            <w10:wrap type="topAndBottom"/>
          </v:line>
        </w:pict>
      </w:r>
    </w:p>
    <w:p>
      <w:pPr>
        <w:spacing w:line="288" w:lineRule="auto" w:before="43"/>
        <w:ind w:left="823" w:right="101" w:hanging="171"/>
        <w:jc w:val="left"/>
        <w:rPr>
          <w:sz w:val="16"/>
        </w:rPr>
      </w:pPr>
      <w:r>
        <w:rPr>
          <w:color w:val="231F20"/>
          <w:position w:val="5"/>
          <w:sz w:val="9"/>
        </w:rPr>
        <w:t>6 </w:t>
      </w:r>
      <w:r>
        <w:rPr>
          <w:color w:val="231F20"/>
          <w:sz w:val="16"/>
        </w:rPr>
        <w:t>En la etapa de sustitución de importaciones, el capital extranjero no podía ser superior al 49% de las acciones de una empresa; el 51% tenía que ser capital nacional.</w:t>
      </w:r>
    </w:p>
    <w:p>
      <w:pPr>
        <w:spacing w:before="120"/>
        <w:ind w:left="653" w:right="673" w:firstLine="0"/>
        <w:jc w:val="left"/>
        <w:rPr>
          <w:sz w:val="16"/>
        </w:rPr>
      </w:pPr>
      <w:r>
        <w:rPr>
          <w:color w:val="231F20"/>
          <w:position w:val="5"/>
          <w:sz w:val="9"/>
        </w:rPr>
        <w:t>7    </w:t>
      </w:r>
      <w:r>
        <w:rPr>
          <w:color w:val="231F20"/>
          <w:sz w:val="16"/>
        </w:rPr>
        <w:t>Este decreto fue modificado en 1990, 1995 y 1998.</w:t>
      </w:r>
    </w:p>
    <w:p>
      <w:pPr>
        <w:spacing w:after="0"/>
        <w:jc w:val="left"/>
        <w:rPr>
          <w:sz w:val="16"/>
        </w:rPr>
        <w:sectPr>
          <w:footerReference w:type="even" r:id="rId94"/>
          <w:footerReference w:type="default" r:id="rId95"/>
          <w:pgSz w:w="9640" w:h="13040"/>
          <w:pgMar w:footer="654" w:header="581" w:top="780" w:bottom="840" w:left="480" w:right="1200"/>
          <w:pgNumType w:start="72"/>
        </w:sectPr>
      </w:pPr>
    </w:p>
    <w:p>
      <w:pPr>
        <w:pStyle w:val="BodyText"/>
        <w:rPr>
          <w:sz w:val="20"/>
        </w:rPr>
      </w:pPr>
    </w:p>
    <w:p>
      <w:pPr>
        <w:pStyle w:val="BodyText"/>
        <w:spacing w:before="10"/>
        <w:rPr>
          <w:sz w:val="17"/>
        </w:rPr>
      </w:pPr>
    </w:p>
    <w:p>
      <w:pPr>
        <w:pStyle w:val="BodyText"/>
        <w:spacing w:line="278" w:lineRule="auto"/>
        <w:ind w:left="103" w:right="650"/>
        <w:jc w:val="both"/>
      </w:pPr>
      <w:r>
        <w:rPr>
          <w:color w:val="231F20"/>
        </w:rPr>
        <w:t>que la industria terminal tuviera un saldo positivo en su balanza comercial. Se dieron concesiones fiscales a las empresas por el equivalente al 30% de sus inversiones. La industria de autopartes se vio fortalecida al fijarse que, como mínimo, los vehículos producidos</w:t>
      </w:r>
      <w:r>
        <w:rPr>
          <w:color w:val="231F20"/>
          <w:spacing w:val="-9"/>
        </w:rPr>
        <w:t> </w:t>
      </w:r>
      <w:r>
        <w:rPr>
          <w:color w:val="231F20"/>
        </w:rPr>
        <w:t>en</w:t>
      </w:r>
      <w:r>
        <w:rPr>
          <w:color w:val="231F20"/>
          <w:spacing w:val="-9"/>
        </w:rPr>
        <w:t> </w:t>
      </w:r>
      <w:r>
        <w:rPr>
          <w:color w:val="231F20"/>
        </w:rPr>
        <w:t>territorio</w:t>
      </w:r>
      <w:r>
        <w:rPr>
          <w:color w:val="231F20"/>
          <w:spacing w:val="-9"/>
        </w:rPr>
        <w:t> </w:t>
      </w:r>
      <w:r>
        <w:rPr>
          <w:color w:val="231F20"/>
        </w:rPr>
        <w:t>nacional</w:t>
      </w:r>
      <w:r>
        <w:rPr>
          <w:color w:val="231F20"/>
          <w:spacing w:val="-9"/>
        </w:rPr>
        <w:t> </w:t>
      </w:r>
      <w:r>
        <w:rPr>
          <w:color w:val="231F20"/>
        </w:rPr>
        <w:t>debían</w:t>
      </w:r>
      <w:r>
        <w:rPr>
          <w:color w:val="231F20"/>
          <w:spacing w:val="-9"/>
        </w:rPr>
        <w:t> </w:t>
      </w:r>
      <w:r>
        <w:rPr>
          <w:color w:val="231F20"/>
        </w:rPr>
        <w:t>incluir</w:t>
      </w:r>
      <w:r>
        <w:rPr>
          <w:color w:val="231F20"/>
          <w:spacing w:val="-9"/>
        </w:rPr>
        <w:t> </w:t>
      </w:r>
      <w:r>
        <w:rPr>
          <w:color w:val="231F20"/>
        </w:rPr>
        <w:t>36%</w:t>
      </w:r>
      <w:r>
        <w:rPr>
          <w:color w:val="231F20"/>
          <w:spacing w:val="-9"/>
        </w:rPr>
        <w:t> </w:t>
      </w:r>
      <w:r>
        <w:rPr>
          <w:color w:val="231F20"/>
        </w:rPr>
        <w:t>de</w:t>
      </w:r>
      <w:r>
        <w:rPr>
          <w:color w:val="231F20"/>
          <w:spacing w:val="-9"/>
        </w:rPr>
        <w:t> </w:t>
      </w:r>
      <w:r>
        <w:rPr>
          <w:color w:val="231F20"/>
        </w:rPr>
        <w:t>componentes</w:t>
      </w:r>
      <w:r>
        <w:rPr>
          <w:color w:val="231F20"/>
          <w:spacing w:val="-9"/>
        </w:rPr>
        <w:t> </w:t>
      </w:r>
      <w:r>
        <w:rPr>
          <w:color w:val="231F20"/>
        </w:rPr>
        <w:t>fabricados</w:t>
      </w:r>
      <w:r>
        <w:rPr>
          <w:color w:val="231F20"/>
          <w:spacing w:val="-9"/>
        </w:rPr>
        <w:t> </w:t>
      </w:r>
      <w:r>
        <w:rPr>
          <w:color w:val="231F20"/>
        </w:rPr>
        <w:t>local- mente (Moreno Brid,</w:t>
      </w:r>
      <w:r>
        <w:rPr>
          <w:color w:val="231F20"/>
          <w:spacing w:val="-29"/>
        </w:rPr>
        <w:t> </w:t>
      </w:r>
      <w:r>
        <w:rPr>
          <w:color w:val="231F20"/>
        </w:rPr>
        <w:t>1996).</w:t>
      </w:r>
    </w:p>
    <w:p>
      <w:pPr>
        <w:pStyle w:val="BodyText"/>
        <w:spacing w:line="278" w:lineRule="auto" w:before="1"/>
        <w:ind w:left="103" w:right="648" w:firstLine="396"/>
        <w:jc w:val="both"/>
      </w:pPr>
      <w:r>
        <w:rPr>
          <w:color w:val="231F20"/>
        </w:rPr>
        <w:t>Para</w:t>
      </w:r>
      <w:r>
        <w:rPr>
          <w:color w:val="231F20"/>
          <w:spacing w:val="-9"/>
        </w:rPr>
        <w:t> </w:t>
      </w:r>
      <w:r>
        <w:rPr>
          <w:color w:val="231F20"/>
        </w:rPr>
        <w:t>inicios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década</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noventa,</w:t>
      </w:r>
      <w:r>
        <w:rPr>
          <w:color w:val="231F20"/>
          <w:spacing w:val="-9"/>
        </w:rPr>
        <w:t> </w:t>
      </w:r>
      <w:r>
        <w:rPr>
          <w:color w:val="231F20"/>
        </w:rPr>
        <w:t>cobraba</w:t>
      </w:r>
      <w:r>
        <w:rPr>
          <w:color w:val="231F20"/>
          <w:spacing w:val="-9"/>
        </w:rPr>
        <w:t> </w:t>
      </w:r>
      <w:r>
        <w:rPr>
          <w:color w:val="231F20"/>
        </w:rPr>
        <w:t>importancia</w:t>
      </w:r>
      <w:r>
        <w:rPr>
          <w:color w:val="231F20"/>
          <w:spacing w:val="-9"/>
        </w:rPr>
        <w:t> </w:t>
      </w:r>
      <w:r>
        <w:rPr>
          <w:color w:val="231F20"/>
        </w:rPr>
        <w:t>el</w:t>
      </w:r>
      <w:r>
        <w:rPr>
          <w:color w:val="231F20"/>
          <w:spacing w:val="-9"/>
        </w:rPr>
        <w:t> </w:t>
      </w:r>
      <w:r>
        <w:rPr>
          <w:color w:val="231F20"/>
        </w:rPr>
        <w:t>mercado</w:t>
      </w:r>
      <w:r>
        <w:rPr>
          <w:color w:val="231F20"/>
          <w:spacing w:val="-9"/>
        </w:rPr>
        <w:t> </w:t>
      </w:r>
      <w:r>
        <w:rPr>
          <w:color w:val="231F20"/>
        </w:rPr>
        <w:t>externo; ya una parte considerable de la producción interna, tanto de la industria terminal como de autopartes, se destinaba a los mercados internacionales. En 1992 se produ- jeron 778, 413 automóviles, de los </w:t>
      </w:r>
      <w:r>
        <w:rPr>
          <w:color w:val="231F20"/>
          <w:spacing w:val="2"/>
        </w:rPr>
        <w:t>cuales </w:t>
      </w:r>
      <w:r>
        <w:rPr>
          <w:color w:val="231F20"/>
        </w:rPr>
        <w:t>50% fueron exportados; el sector de auto- partes para ese mismo año exportó 1, 288, 496 motores, lo cual arrojó un monto de  2, 104 millones de dólares. El monto total de las exportaciones, valor de las unidades terminadas más autopartes, para ese año, fue de 6, 400 millones de dólares (Vieyra, 1999). Esta situación se consolidó como resultado de la política comercial puesta en marcha en los años siguientes, la que llegó a su punto cúspide con la entrada en vigor del TLCAN en enero de 1994.</w:t>
      </w:r>
    </w:p>
    <w:p>
      <w:pPr>
        <w:pStyle w:val="BodyText"/>
        <w:spacing w:line="278" w:lineRule="auto" w:before="1"/>
        <w:ind w:left="103" w:right="650" w:firstLine="396"/>
        <w:jc w:val="both"/>
      </w:pPr>
      <w:r>
        <w:rPr>
          <w:color w:val="231F20"/>
        </w:rPr>
        <w:t>El</w:t>
      </w:r>
      <w:r>
        <w:rPr>
          <w:color w:val="231F20"/>
          <w:spacing w:val="-14"/>
        </w:rPr>
        <w:t> </w:t>
      </w:r>
      <w:r>
        <w:rPr>
          <w:color w:val="231F20"/>
        </w:rPr>
        <w:t>TLCAN</w:t>
      </w:r>
      <w:r>
        <w:rPr>
          <w:color w:val="231F20"/>
          <w:spacing w:val="-14"/>
        </w:rPr>
        <w:t> </w:t>
      </w:r>
      <w:r>
        <w:rPr>
          <w:color w:val="231F20"/>
        </w:rPr>
        <w:t>llegó</w:t>
      </w:r>
      <w:r>
        <w:rPr>
          <w:color w:val="231F20"/>
          <w:spacing w:val="-14"/>
        </w:rPr>
        <w:t> </w:t>
      </w:r>
      <w:r>
        <w:rPr>
          <w:color w:val="231F20"/>
        </w:rPr>
        <w:t>a</w:t>
      </w:r>
      <w:r>
        <w:rPr>
          <w:color w:val="231F20"/>
          <w:spacing w:val="-14"/>
        </w:rPr>
        <w:t> </w:t>
      </w:r>
      <w:r>
        <w:rPr>
          <w:color w:val="231F20"/>
        </w:rPr>
        <w:t>consolidar</w:t>
      </w:r>
      <w:r>
        <w:rPr>
          <w:color w:val="231F20"/>
          <w:spacing w:val="-14"/>
        </w:rPr>
        <w:t> </w:t>
      </w:r>
      <w:r>
        <w:rPr>
          <w:color w:val="231F20"/>
        </w:rPr>
        <w:t>la</w:t>
      </w:r>
      <w:r>
        <w:rPr>
          <w:color w:val="231F20"/>
          <w:spacing w:val="-14"/>
        </w:rPr>
        <w:t> </w:t>
      </w:r>
      <w:r>
        <w:rPr>
          <w:color w:val="231F20"/>
        </w:rPr>
        <w:t>etapa</w:t>
      </w:r>
      <w:r>
        <w:rPr>
          <w:color w:val="231F20"/>
          <w:spacing w:val="-14"/>
        </w:rPr>
        <w:t> </w:t>
      </w:r>
      <w:r>
        <w:rPr>
          <w:color w:val="231F20"/>
        </w:rPr>
        <w:t>exportadora</w:t>
      </w:r>
      <w:r>
        <w:rPr>
          <w:color w:val="231F20"/>
          <w:spacing w:val="-14"/>
        </w:rPr>
        <w:t> </w:t>
      </w:r>
      <w:r>
        <w:rPr>
          <w:color w:val="231F20"/>
        </w:rPr>
        <w:t>del</w:t>
      </w:r>
      <w:r>
        <w:rPr>
          <w:color w:val="231F20"/>
          <w:spacing w:val="-14"/>
        </w:rPr>
        <w:t> </w:t>
      </w:r>
      <w:r>
        <w:rPr>
          <w:color w:val="231F20"/>
        </w:rPr>
        <w:t>sector</w:t>
      </w:r>
      <w:r>
        <w:rPr>
          <w:color w:val="231F20"/>
          <w:spacing w:val="-14"/>
        </w:rPr>
        <w:t> </w:t>
      </w:r>
      <w:r>
        <w:rPr>
          <w:color w:val="231F20"/>
        </w:rPr>
        <w:t>y</w:t>
      </w:r>
      <w:r>
        <w:rPr>
          <w:color w:val="231F20"/>
          <w:spacing w:val="-14"/>
        </w:rPr>
        <w:t> </w:t>
      </w:r>
      <w:r>
        <w:rPr>
          <w:color w:val="231F20"/>
        </w:rPr>
        <w:t>su</w:t>
      </w:r>
      <w:r>
        <w:rPr>
          <w:color w:val="231F20"/>
          <w:spacing w:val="-14"/>
        </w:rPr>
        <w:t> </w:t>
      </w:r>
      <w:r>
        <w:rPr>
          <w:color w:val="231F20"/>
        </w:rPr>
        <w:t>gradual</w:t>
      </w:r>
      <w:r>
        <w:rPr>
          <w:color w:val="231F20"/>
          <w:spacing w:val="-14"/>
        </w:rPr>
        <w:t> </w:t>
      </w:r>
      <w:r>
        <w:rPr>
          <w:color w:val="231F20"/>
        </w:rPr>
        <w:t>desregu- lación,</w:t>
      </w:r>
      <w:r>
        <w:rPr>
          <w:color w:val="231F20"/>
          <w:spacing w:val="-13"/>
        </w:rPr>
        <w:t> </w:t>
      </w:r>
      <w:r>
        <w:rPr>
          <w:color w:val="231F20"/>
        </w:rPr>
        <w:t>pero</w:t>
      </w:r>
      <w:r>
        <w:rPr>
          <w:color w:val="231F20"/>
          <w:spacing w:val="-13"/>
        </w:rPr>
        <w:t> </w:t>
      </w:r>
      <w:r>
        <w:rPr>
          <w:color w:val="231F20"/>
        </w:rPr>
        <w:t>también</w:t>
      </w:r>
      <w:r>
        <w:rPr>
          <w:color w:val="231F20"/>
          <w:spacing w:val="-13"/>
        </w:rPr>
        <w:t> </w:t>
      </w:r>
      <w:r>
        <w:rPr>
          <w:color w:val="231F20"/>
        </w:rPr>
        <w:t>colocó</w:t>
      </w:r>
      <w:r>
        <w:rPr>
          <w:color w:val="231F20"/>
          <w:spacing w:val="-13"/>
        </w:rPr>
        <w:t> </w:t>
      </w:r>
      <w:r>
        <w:rPr>
          <w:color w:val="231F20"/>
        </w:rPr>
        <w:t>a</w:t>
      </w:r>
      <w:r>
        <w:rPr>
          <w:color w:val="231F20"/>
          <w:spacing w:val="-13"/>
        </w:rPr>
        <w:t> </w:t>
      </w:r>
      <w:r>
        <w:rPr>
          <w:color w:val="231F20"/>
        </w:rPr>
        <w:t>las</w:t>
      </w:r>
      <w:r>
        <w:rPr>
          <w:color w:val="231F20"/>
          <w:spacing w:val="-13"/>
        </w:rPr>
        <w:t> </w:t>
      </w:r>
      <w:r>
        <w:rPr>
          <w:color w:val="231F20"/>
        </w:rPr>
        <w:t>empresas</w:t>
      </w:r>
      <w:r>
        <w:rPr>
          <w:color w:val="231F20"/>
          <w:spacing w:val="-13"/>
        </w:rPr>
        <w:t> </w:t>
      </w:r>
      <w:r>
        <w:rPr>
          <w:color w:val="231F20"/>
        </w:rPr>
        <w:t>establecidas</w:t>
      </w:r>
      <w:r>
        <w:rPr>
          <w:color w:val="231F20"/>
          <w:spacing w:val="-13"/>
        </w:rPr>
        <w:t> </w:t>
      </w:r>
      <w:r>
        <w:rPr>
          <w:color w:val="231F20"/>
        </w:rPr>
        <w:t>en</w:t>
      </w:r>
      <w:r>
        <w:rPr>
          <w:color w:val="231F20"/>
          <w:spacing w:val="-13"/>
        </w:rPr>
        <w:t> </w:t>
      </w:r>
      <w:r>
        <w:rPr>
          <w:color w:val="231F20"/>
        </w:rPr>
        <w:t>México</w:t>
      </w:r>
      <w:r>
        <w:rPr>
          <w:color w:val="231F20"/>
          <w:spacing w:val="-13"/>
        </w:rPr>
        <w:t> </w:t>
      </w:r>
      <w:r>
        <w:rPr>
          <w:color w:val="231F20"/>
        </w:rPr>
        <w:t>ante</w:t>
      </w:r>
      <w:r>
        <w:rPr>
          <w:color w:val="231F20"/>
          <w:spacing w:val="-13"/>
        </w:rPr>
        <w:t> </w:t>
      </w:r>
      <w:r>
        <w:rPr>
          <w:color w:val="231F20"/>
        </w:rPr>
        <w:t>la</w:t>
      </w:r>
      <w:r>
        <w:rPr>
          <w:color w:val="231F20"/>
          <w:spacing w:val="-13"/>
        </w:rPr>
        <w:t> </w:t>
      </w:r>
      <w:r>
        <w:rPr>
          <w:color w:val="231F20"/>
        </w:rPr>
        <w:t>necesidad</w:t>
      </w:r>
      <w:r>
        <w:rPr>
          <w:color w:val="231F20"/>
          <w:spacing w:val="-13"/>
        </w:rPr>
        <w:t> </w:t>
      </w:r>
      <w:r>
        <w:rPr>
          <w:color w:val="231F20"/>
        </w:rPr>
        <w:t>de competir</w:t>
      </w:r>
      <w:r>
        <w:rPr>
          <w:color w:val="231F20"/>
          <w:spacing w:val="-14"/>
        </w:rPr>
        <w:t> </w:t>
      </w:r>
      <w:r>
        <w:rPr>
          <w:color w:val="231F20"/>
        </w:rPr>
        <w:t>no</w:t>
      </w:r>
      <w:r>
        <w:rPr>
          <w:color w:val="231F20"/>
          <w:spacing w:val="-14"/>
        </w:rPr>
        <w:t> </w:t>
      </w:r>
      <w:r>
        <w:rPr>
          <w:color w:val="231F20"/>
        </w:rPr>
        <w:t>sólo</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mercados</w:t>
      </w:r>
      <w:r>
        <w:rPr>
          <w:color w:val="231F20"/>
          <w:spacing w:val="-14"/>
        </w:rPr>
        <w:t> </w:t>
      </w:r>
      <w:r>
        <w:rPr>
          <w:color w:val="231F20"/>
        </w:rPr>
        <w:t>locales,</w:t>
      </w:r>
      <w:r>
        <w:rPr>
          <w:color w:val="231F20"/>
          <w:spacing w:val="-14"/>
        </w:rPr>
        <w:t> </w:t>
      </w:r>
      <w:r>
        <w:rPr>
          <w:color w:val="231F20"/>
        </w:rPr>
        <w:t>sino</w:t>
      </w:r>
      <w:r>
        <w:rPr>
          <w:color w:val="231F20"/>
          <w:spacing w:val="-14"/>
        </w:rPr>
        <w:t> </w:t>
      </w:r>
      <w:r>
        <w:rPr>
          <w:color w:val="231F20"/>
        </w:rPr>
        <w:t>también</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internacionales.</w:t>
      </w:r>
      <w:r>
        <w:rPr>
          <w:color w:val="231F20"/>
          <w:spacing w:val="-14"/>
        </w:rPr>
        <w:t> </w:t>
      </w:r>
      <w:r>
        <w:rPr>
          <w:color w:val="231F20"/>
        </w:rPr>
        <w:t>Además, la puesta en marcha de este tratado comercial representó el punto de referencia que intensificó la pérdida de dinamismo del sector ubicado en la zona centro del país (en el Estado de México), dadas las ventajas de localización de los territorios de la región norte de</w:t>
      </w:r>
      <w:r>
        <w:rPr>
          <w:color w:val="231F20"/>
          <w:spacing w:val="-22"/>
        </w:rPr>
        <w:t> </w:t>
      </w:r>
      <w:r>
        <w:rPr>
          <w:color w:val="231F20"/>
        </w:rPr>
        <w:t>México.</w:t>
      </w:r>
    </w:p>
    <w:p>
      <w:pPr>
        <w:spacing w:line="258" w:lineRule="exact" w:before="0"/>
        <w:ind w:left="103" w:right="0" w:firstLine="396"/>
        <w:jc w:val="both"/>
        <w:rPr>
          <w:rFonts w:ascii="Palatino Linotype"/>
          <w:i/>
          <w:sz w:val="21"/>
        </w:rPr>
      </w:pPr>
      <w:r>
        <w:rPr>
          <w:color w:val="231F20"/>
          <w:sz w:val="21"/>
        </w:rPr>
        <w:t>Otro decreto importante para el sector es el </w:t>
      </w:r>
      <w:r>
        <w:rPr>
          <w:rFonts w:ascii="Palatino Linotype"/>
          <w:i/>
          <w:color w:val="231F20"/>
          <w:sz w:val="21"/>
        </w:rPr>
        <w:t>Decreto para el apoyo de la competiti-</w:t>
      </w:r>
    </w:p>
    <w:p>
      <w:pPr>
        <w:spacing w:line="256" w:lineRule="auto" w:before="0"/>
        <w:ind w:left="103" w:right="650" w:firstLine="0"/>
        <w:jc w:val="both"/>
        <w:rPr>
          <w:sz w:val="21"/>
        </w:rPr>
      </w:pPr>
      <w:r>
        <w:rPr>
          <w:rFonts w:ascii="Palatino Linotype" w:hAnsi="Palatino Linotype"/>
          <w:i/>
          <w:color w:val="231F20"/>
          <w:sz w:val="21"/>
        </w:rPr>
        <w:t>vidad</w:t>
      </w:r>
      <w:r>
        <w:rPr>
          <w:rFonts w:ascii="Palatino Linotype" w:hAnsi="Palatino Linotype"/>
          <w:i/>
          <w:color w:val="231F20"/>
          <w:spacing w:val="-18"/>
          <w:sz w:val="21"/>
        </w:rPr>
        <w:t> </w:t>
      </w:r>
      <w:r>
        <w:rPr>
          <w:rFonts w:ascii="Palatino Linotype" w:hAnsi="Palatino Linotype"/>
          <w:i/>
          <w:color w:val="231F20"/>
          <w:sz w:val="21"/>
        </w:rPr>
        <w:t>de</w:t>
      </w:r>
      <w:r>
        <w:rPr>
          <w:rFonts w:ascii="Palatino Linotype" w:hAnsi="Palatino Linotype"/>
          <w:i/>
          <w:color w:val="231F20"/>
          <w:spacing w:val="-18"/>
          <w:sz w:val="21"/>
        </w:rPr>
        <w:t> </w:t>
      </w:r>
      <w:r>
        <w:rPr>
          <w:rFonts w:ascii="Palatino Linotype" w:hAnsi="Palatino Linotype"/>
          <w:i/>
          <w:color w:val="231F20"/>
          <w:sz w:val="21"/>
        </w:rPr>
        <w:t>la</w:t>
      </w:r>
      <w:r>
        <w:rPr>
          <w:rFonts w:ascii="Palatino Linotype" w:hAnsi="Palatino Linotype"/>
          <w:i/>
          <w:color w:val="231F20"/>
          <w:spacing w:val="-18"/>
          <w:sz w:val="21"/>
        </w:rPr>
        <w:t> </w:t>
      </w:r>
      <w:r>
        <w:rPr>
          <w:rFonts w:ascii="Palatino Linotype" w:hAnsi="Palatino Linotype"/>
          <w:i/>
          <w:color w:val="231F20"/>
          <w:sz w:val="21"/>
        </w:rPr>
        <w:t>industria</w:t>
      </w:r>
      <w:r>
        <w:rPr>
          <w:rFonts w:ascii="Palatino Linotype" w:hAnsi="Palatino Linotype"/>
          <w:i/>
          <w:color w:val="231F20"/>
          <w:spacing w:val="-18"/>
          <w:sz w:val="21"/>
        </w:rPr>
        <w:t> </w:t>
      </w:r>
      <w:r>
        <w:rPr>
          <w:rFonts w:ascii="Palatino Linotype" w:hAnsi="Palatino Linotype"/>
          <w:i/>
          <w:color w:val="231F20"/>
          <w:sz w:val="21"/>
        </w:rPr>
        <w:t>automotriz</w:t>
      </w:r>
      <w:r>
        <w:rPr>
          <w:rFonts w:ascii="Palatino Linotype" w:hAnsi="Palatino Linotype"/>
          <w:i/>
          <w:color w:val="231F20"/>
          <w:spacing w:val="-18"/>
          <w:sz w:val="21"/>
        </w:rPr>
        <w:t> </w:t>
      </w:r>
      <w:r>
        <w:rPr>
          <w:rFonts w:ascii="Palatino Linotype" w:hAnsi="Palatino Linotype"/>
          <w:i/>
          <w:color w:val="231F20"/>
          <w:sz w:val="21"/>
        </w:rPr>
        <w:t>terminal</w:t>
      </w:r>
      <w:r>
        <w:rPr>
          <w:rFonts w:ascii="Palatino Linotype" w:hAnsi="Palatino Linotype"/>
          <w:i/>
          <w:color w:val="231F20"/>
          <w:spacing w:val="-18"/>
          <w:sz w:val="21"/>
        </w:rPr>
        <w:t> </w:t>
      </w:r>
      <w:r>
        <w:rPr>
          <w:rFonts w:ascii="Palatino Linotype" w:hAnsi="Palatino Linotype"/>
          <w:i/>
          <w:color w:val="231F20"/>
          <w:sz w:val="21"/>
        </w:rPr>
        <w:t>y</w:t>
      </w:r>
      <w:r>
        <w:rPr>
          <w:rFonts w:ascii="Palatino Linotype" w:hAnsi="Palatino Linotype"/>
          <w:i/>
          <w:color w:val="231F20"/>
          <w:spacing w:val="-18"/>
          <w:sz w:val="21"/>
        </w:rPr>
        <w:t> </w:t>
      </w:r>
      <w:r>
        <w:rPr>
          <w:rFonts w:ascii="Palatino Linotype" w:hAnsi="Palatino Linotype"/>
          <w:i/>
          <w:color w:val="231F20"/>
          <w:sz w:val="21"/>
        </w:rPr>
        <w:t>el</w:t>
      </w:r>
      <w:r>
        <w:rPr>
          <w:rFonts w:ascii="Palatino Linotype" w:hAnsi="Palatino Linotype"/>
          <w:i/>
          <w:color w:val="231F20"/>
          <w:spacing w:val="-18"/>
          <w:sz w:val="21"/>
        </w:rPr>
        <w:t> </w:t>
      </w:r>
      <w:r>
        <w:rPr>
          <w:rFonts w:ascii="Palatino Linotype" w:hAnsi="Palatino Linotype"/>
          <w:i/>
          <w:color w:val="231F20"/>
          <w:sz w:val="21"/>
        </w:rPr>
        <w:t>impulso</w:t>
      </w:r>
      <w:r>
        <w:rPr>
          <w:rFonts w:ascii="Palatino Linotype" w:hAnsi="Palatino Linotype"/>
          <w:i/>
          <w:color w:val="231F20"/>
          <w:spacing w:val="-18"/>
          <w:sz w:val="21"/>
        </w:rPr>
        <w:t> </w:t>
      </w:r>
      <w:r>
        <w:rPr>
          <w:rFonts w:ascii="Palatino Linotype" w:hAnsi="Palatino Linotype"/>
          <w:i/>
          <w:color w:val="231F20"/>
          <w:sz w:val="21"/>
        </w:rPr>
        <w:t>al</w:t>
      </w:r>
      <w:r>
        <w:rPr>
          <w:rFonts w:ascii="Palatino Linotype" w:hAnsi="Palatino Linotype"/>
          <w:i/>
          <w:color w:val="231F20"/>
          <w:spacing w:val="-18"/>
          <w:sz w:val="21"/>
        </w:rPr>
        <w:t> </w:t>
      </w:r>
      <w:r>
        <w:rPr>
          <w:rFonts w:ascii="Palatino Linotype" w:hAnsi="Palatino Linotype"/>
          <w:i/>
          <w:color w:val="231F20"/>
          <w:sz w:val="21"/>
        </w:rPr>
        <w:t>desarrollo</w:t>
      </w:r>
      <w:r>
        <w:rPr>
          <w:rFonts w:ascii="Palatino Linotype" w:hAnsi="Palatino Linotype"/>
          <w:i/>
          <w:color w:val="231F20"/>
          <w:spacing w:val="-18"/>
          <w:sz w:val="21"/>
        </w:rPr>
        <w:t> </w:t>
      </w:r>
      <w:r>
        <w:rPr>
          <w:rFonts w:ascii="Palatino Linotype" w:hAnsi="Palatino Linotype"/>
          <w:i/>
          <w:color w:val="231F20"/>
          <w:sz w:val="21"/>
        </w:rPr>
        <w:t>del</w:t>
      </w:r>
      <w:r>
        <w:rPr>
          <w:rFonts w:ascii="Palatino Linotype" w:hAnsi="Palatino Linotype"/>
          <w:i/>
          <w:color w:val="231F20"/>
          <w:spacing w:val="-18"/>
          <w:sz w:val="21"/>
        </w:rPr>
        <w:t> </w:t>
      </w:r>
      <w:r>
        <w:rPr>
          <w:rFonts w:ascii="Palatino Linotype" w:hAnsi="Palatino Linotype"/>
          <w:i/>
          <w:color w:val="231F20"/>
          <w:sz w:val="21"/>
        </w:rPr>
        <w:t>mercado</w:t>
      </w:r>
      <w:r>
        <w:rPr>
          <w:rFonts w:ascii="Palatino Linotype" w:hAnsi="Palatino Linotype"/>
          <w:i/>
          <w:color w:val="231F20"/>
          <w:spacing w:val="-18"/>
          <w:sz w:val="21"/>
        </w:rPr>
        <w:t> </w:t>
      </w:r>
      <w:r>
        <w:rPr>
          <w:rFonts w:ascii="Palatino Linotype" w:hAnsi="Palatino Linotype"/>
          <w:i/>
          <w:color w:val="231F20"/>
          <w:sz w:val="21"/>
        </w:rPr>
        <w:t>interno </w:t>
      </w:r>
      <w:r>
        <w:rPr>
          <w:rFonts w:ascii="Palatino Linotype" w:hAnsi="Palatino Linotype"/>
          <w:i/>
          <w:color w:val="231F20"/>
          <w:sz w:val="21"/>
        </w:rPr>
        <w:t>de automóviles</w:t>
      </w:r>
      <w:r>
        <w:rPr>
          <w:color w:val="231F20"/>
          <w:sz w:val="21"/>
        </w:rPr>
        <w:t>, publicado en diciembre de 2003, cuyo objeto es establecer beneficios para el apoyo de la competitividad de la industria terminal productora de vehículos </w:t>
      </w:r>
      <w:r>
        <w:rPr>
          <w:color w:val="231F20"/>
          <w:spacing w:val="-3"/>
          <w:sz w:val="21"/>
        </w:rPr>
        <w:t>automotores</w:t>
      </w:r>
      <w:r>
        <w:rPr>
          <w:color w:val="231F20"/>
          <w:spacing w:val="-8"/>
          <w:sz w:val="21"/>
        </w:rPr>
        <w:t> </w:t>
      </w:r>
      <w:r>
        <w:rPr>
          <w:color w:val="231F20"/>
          <w:sz w:val="21"/>
        </w:rPr>
        <w:t>ligeros</w:t>
      </w:r>
      <w:r>
        <w:rPr>
          <w:color w:val="231F20"/>
          <w:spacing w:val="-8"/>
          <w:sz w:val="21"/>
        </w:rPr>
        <w:t> </w:t>
      </w:r>
      <w:r>
        <w:rPr>
          <w:color w:val="231F20"/>
          <w:sz w:val="21"/>
        </w:rPr>
        <w:t>nuevos</w:t>
      </w:r>
      <w:r>
        <w:rPr>
          <w:color w:val="231F20"/>
          <w:spacing w:val="-8"/>
          <w:sz w:val="21"/>
        </w:rPr>
        <w:t> </w:t>
      </w:r>
      <w:r>
        <w:rPr>
          <w:color w:val="231F20"/>
          <w:sz w:val="21"/>
        </w:rPr>
        <w:t>establecida</w:t>
      </w:r>
      <w:r>
        <w:rPr>
          <w:color w:val="231F20"/>
          <w:spacing w:val="-8"/>
          <w:sz w:val="21"/>
        </w:rPr>
        <w:t> </w:t>
      </w:r>
      <w:r>
        <w:rPr>
          <w:color w:val="231F20"/>
          <w:sz w:val="21"/>
        </w:rPr>
        <w:t>en</w:t>
      </w:r>
      <w:r>
        <w:rPr>
          <w:color w:val="231F20"/>
          <w:spacing w:val="-8"/>
          <w:sz w:val="21"/>
        </w:rPr>
        <w:t> </w:t>
      </w:r>
      <w:r>
        <w:rPr>
          <w:color w:val="231F20"/>
          <w:sz w:val="21"/>
        </w:rPr>
        <w:t>México,</w:t>
      </w:r>
      <w:r>
        <w:rPr>
          <w:color w:val="231F20"/>
          <w:spacing w:val="-8"/>
          <w:sz w:val="21"/>
        </w:rPr>
        <w:t> </w:t>
      </w:r>
      <w:r>
        <w:rPr>
          <w:color w:val="231F20"/>
          <w:sz w:val="21"/>
        </w:rPr>
        <w:t>ya</w:t>
      </w:r>
      <w:r>
        <w:rPr>
          <w:color w:val="231F20"/>
          <w:spacing w:val="-8"/>
          <w:sz w:val="21"/>
        </w:rPr>
        <w:t> </w:t>
      </w:r>
      <w:r>
        <w:rPr>
          <w:color w:val="231F20"/>
          <w:sz w:val="21"/>
        </w:rPr>
        <w:t>sean</w:t>
      </w:r>
      <w:r>
        <w:rPr>
          <w:color w:val="231F20"/>
          <w:spacing w:val="-8"/>
          <w:sz w:val="21"/>
        </w:rPr>
        <w:t> </w:t>
      </w:r>
      <w:r>
        <w:rPr>
          <w:color w:val="231F20"/>
          <w:sz w:val="21"/>
        </w:rPr>
        <w:t>de</w:t>
      </w:r>
      <w:r>
        <w:rPr>
          <w:color w:val="231F20"/>
          <w:spacing w:val="-8"/>
          <w:sz w:val="21"/>
        </w:rPr>
        <w:t> </w:t>
      </w:r>
      <w:r>
        <w:rPr>
          <w:color w:val="231F20"/>
          <w:sz w:val="21"/>
        </w:rPr>
        <w:t>pasajeros</w:t>
      </w:r>
      <w:r>
        <w:rPr>
          <w:color w:val="231F20"/>
          <w:spacing w:val="-8"/>
          <w:sz w:val="21"/>
        </w:rPr>
        <w:t> </w:t>
      </w:r>
      <w:r>
        <w:rPr>
          <w:color w:val="231F20"/>
          <w:sz w:val="21"/>
        </w:rPr>
        <w:t>o</w:t>
      </w:r>
      <w:r>
        <w:rPr>
          <w:color w:val="231F20"/>
          <w:spacing w:val="-8"/>
          <w:sz w:val="21"/>
        </w:rPr>
        <w:t> </w:t>
      </w:r>
      <w:r>
        <w:rPr>
          <w:color w:val="231F20"/>
          <w:sz w:val="21"/>
        </w:rPr>
        <w:t>de</w:t>
      </w:r>
      <w:r>
        <w:rPr>
          <w:color w:val="231F20"/>
          <w:spacing w:val="-8"/>
          <w:sz w:val="21"/>
        </w:rPr>
        <w:t> </w:t>
      </w:r>
      <w:r>
        <w:rPr>
          <w:color w:val="231F20"/>
          <w:sz w:val="21"/>
        </w:rPr>
        <w:t>carga,</w:t>
      </w:r>
      <w:r>
        <w:rPr>
          <w:color w:val="231F20"/>
          <w:spacing w:val="-8"/>
          <w:sz w:val="21"/>
        </w:rPr>
        <w:t> </w:t>
      </w:r>
      <w:r>
        <w:rPr>
          <w:color w:val="231F20"/>
          <w:sz w:val="21"/>
        </w:rPr>
        <w:t>así</w:t>
      </w:r>
    </w:p>
    <w:p>
      <w:pPr>
        <w:pStyle w:val="BodyText"/>
        <w:spacing w:line="278" w:lineRule="auto" w:before="22"/>
        <w:ind w:left="103" w:right="652"/>
        <w:jc w:val="both"/>
      </w:pPr>
      <w:r>
        <w:rPr>
          <w:color w:val="231F20"/>
        </w:rPr>
        <w:t>como los requisitos para obtener los beneficios, los que a su vez permitan impulsar el desarrollo del mercado interno de dichos vehículos en México.</w:t>
      </w:r>
    </w:p>
    <w:p>
      <w:pPr>
        <w:pStyle w:val="BodyText"/>
        <w:spacing w:line="278" w:lineRule="auto" w:before="1"/>
        <w:ind w:left="103" w:right="648" w:firstLine="396"/>
        <w:jc w:val="both"/>
      </w:pPr>
      <w:r>
        <w:rPr>
          <w:color w:val="231F20"/>
        </w:rPr>
        <w:t>Este decreto contempla, entre otras cosas: estimular el arribo de inversiones para la construcción o ampliación de instalaciones dedicadas a la producción en territorio nacional; disminuir los costos de las importaciones a través de la reducción arance- laria; y beneficiar la importación de ciertos vehículos con tasa cero en aranceles, que alcance volúmenes de hasta el equivalente al 10% de la producción del año inmediato anterior. Un punto importante que considera este decreto se refiere a la automati- zación de empresas para la importación de mayores cantidades de vehículos, con el</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21"/>
        <w:jc w:val="both"/>
        <w:rPr>
          <w:sz w:val="12"/>
        </w:rPr>
      </w:pPr>
      <w:r>
        <w:rPr>
          <w:color w:val="231F20"/>
        </w:rPr>
        <w:t>compromiso de incrementar la inversión para aumentar su infraestructura de pro- ducción en México, las cuales desarrollen programas de capacitación y desarrollo, impulsen proveedores locales y transfieran su tecnología a proveedores de primer y segundo nivel.</w:t>
      </w:r>
      <w:r>
        <w:rPr>
          <w:color w:val="231F20"/>
          <w:position w:val="7"/>
          <w:sz w:val="12"/>
        </w:rPr>
        <w:t>8</w:t>
      </w:r>
    </w:p>
    <w:p>
      <w:pPr>
        <w:pStyle w:val="BodyText"/>
        <w:spacing w:line="278" w:lineRule="auto" w:before="1"/>
        <w:ind w:left="653" w:right="121" w:firstLine="396"/>
        <w:jc w:val="both"/>
      </w:pPr>
      <w:r>
        <w:rPr>
          <w:color w:val="010202"/>
          <w:spacing w:val="-5"/>
        </w:rPr>
        <w:t>Un  </w:t>
      </w:r>
      <w:r>
        <w:rPr>
          <w:color w:val="010202"/>
        </w:rPr>
        <w:t>punto </w:t>
      </w:r>
      <w:r>
        <w:rPr>
          <w:color w:val="010202"/>
          <w:spacing w:val="-2"/>
        </w:rPr>
        <w:t>muy </w:t>
      </w:r>
      <w:r>
        <w:rPr>
          <w:color w:val="010202"/>
        </w:rPr>
        <w:t>importante a destacar es que, en el marco del TLCAN, a partir   de 2004 se permite la libre importación de los automóviles nuevos procedentes de los Estados</w:t>
      </w:r>
      <w:r>
        <w:rPr>
          <w:color w:val="010202"/>
          <w:spacing w:val="-4"/>
        </w:rPr>
        <w:t> </w:t>
      </w:r>
      <w:r>
        <w:rPr>
          <w:color w:val="010202"/>
        </w:rPr>
        <w:t>Unidos</w:t>
      </w:r>
      <w:r>
        <w:rPr>
          <w:color w:val="010202"/>
          <w:spacing w:val="-4"/>
        </w:rPr>
        <w:t> </w:t>
      </w:r>
      <w:r>
        <w:rPr>
          <w:color w:val="010202"/>
        </w:rPr>
        <w:t>de</w:t>
      </w:r>
      <w:r>
        <w:rPr>
          <w:color w:val="010202"/>
          <w:spacing w:val="-4"/>
        </w:rPr>
        <w:t> </w:t>
      </w:r>
      <w:r>
        <w:rPr>
          <w:color w:val="010202"/>
        </w:rPr>
        <w:t>América</w:t>
      </w:r>
      <w:r>
        <w:rPr>
          <w:color w:val="010202"/>
          <w:spacing w:val="-4"/>
        </w:rPr>
        <w:t> </w:t>
      </w:r>
      <w:r>
        <w:rPr>
          <w:color w:val="010202"/>
        </w:rPr>
        <w:t>y</w:t>
      </w:r>
      <w:r>
        <w:rPr>
          <w:color w:val="010202"/>
          <w:spacing w:val="-4"/>
        </w:rPr>
        <w:t> </w:t>
      </w:r>
      <w:r>
        <w:rPr>
          <w:color w:val="010202"/>
        </w:rPr>
        <w:t>de</w:t>
      </w:r>
      <w:r>
        <w:rPr>
          <w:color w:val="010202"/>
          <w:spacing w:val="-4"/>
        </w:rPr>
        <w:t> </w:t>
      </w:r>
      <w:r>
        <w:rPr>
          <w:color w:val="010202"/>
        </w:rPr>
        <w:t>Canadá</w:t>
      </w:r>
      <w:r>
        <w:rPr>
          <w:color w:val="010202"/>
          <w:spacing w:val="-4"/>
        </w:rPr>
        <w:t> </w:t>
      </w:r>
      <w:r>
        <w:rPr>
          <w:color w:val="010202"/>
          <w:spacing w:val="-8"/>
        </w:rPr>
        <w:t>y,</w:t>
      </w:r>
      <w:r>
        <w:rPr>
          <w:color w:val="010202"/>
          <w:spacing w:val="-4"/>
        </w:rPr>
        <w:t> </w:t>
      </w:r>
      <w:r>
        <w:rPr>
          <w:color w:val="010202"/>
        </w:rPr>
        <w:t>a</w:t>
      </w:r>
      <w:r>
        <w:rPr>
          <w:color w:val="010202"/>
          <w:spacing w:val="-4"/>
        </w:rPr>
        <w:t> </w:t>
      </w:r>
      <w:r>
        <w:rPr>
          <w:color w:val="010202"/>
        </w:rPr>
        <w:t>partir</w:t>
      </w:r>
      <w:r>
        <w:rPr>
          <w:color w:val="010202"/>
          <w:spacing w:val="-4"/>
        </w:rPr>
        <w:t> </w:t>
      </w:r>
      <w:r>
        <w:rPr>
          <w:color w:val="010202"/>
        </w:rPr>
        <w:t>del</w:t>
      </w:r>
      <w:r>
        <w:rPr>
          <w:color w:val="010202"/>
          <w:spacing w:val="-4"/>
        </w:rPr>
        <w:t> </w:t>
      </w:r>
      <w:r>
        <w:rPr>
          <w:color w:val="010202"/>
        </w:rPr>
        <w:t>1</w:t>
      </w:r>
      <w:r>
        <w:rPr>
          <w:color w:val="010202"/>
          <w:spacing w:val="-4"/>
        </w:rPr>
        <w:t> </w:t>
      </w:r>
      <w:r>
        <w:rPr>
          <w:color w:val="010202"/>
        </w:rPr>
        <w:t>de</w:t>
      </w:r>
      <w:r>
        <w:rPr>
          <w:color w:val="010202"/>
          <w:spacing w:val="-4"/>
        </w:rPr>
        <w:t> </w:t>
      </w:r>
      <w:r>
        <w:rPr>
          <w:color w:val="010202"/>
        </w:rPr>
        <w:t>enero</w:t>
      </w:r>
      <w:r>
        <w:rPr>
          <w:color w:val="010202"/>
          <w:spacing w:val="-4"/>
        </w:rPr>
        <w:t> </w:t>
      </w:r>
      <w:r>
        <w:rPr>
          <w:color w:val="010202"/>
        </w:rPr>
        <w:t>de</w:t>
      </w:r>
      <w:r>
        <w:rPr>
          <w:color w:val="010202"/>
          <w:spacing w:val="-4"/>
        </w:rPr>
        <w:t> </w:t>
      </w:r>
      <w:r>
        <w:rPr>
          <w:color w:val="010202"/>
        </w:rPr>
        <w:t>2009,</w:t>
      </w:r>
      <w:r>
        <w:rPr>
          <w:color w:val="010202"/>
          <w:spacing w:val="-4"/>
        </w:rPr>
        <w:t> </w:t>
      </w:r>
      <w:r>
        <w:rPr>
          <w:color w:val="010202"/>
        </w:rPr>
        <w:t>México</w:t>
      </w:r>
      <w:r>
        <w:rPr>
          <w:color w:val="010202"/>
          <w:spacing w:val="-4"/>
        </w:rPr>
        <w:t> </w:t>
      </w:r>
      <w:r>
        <w:rPr>
          <w:color w:val="010202"/>
        </w:rPr>
        <w:t>no puede adoptar ni mantener prohibiciones o restricciones ante la importación de auto- móviles</w:t>
      </w:r>
      <w:r>
        <w:rPr>
          <w:color w:val="010202"/>
          <w:spacing w:val="-12"/>
        </w:rPr>
        <w:t> </w:t>
      </w:r>
      <w:r>
        <w:rPr>
          <w:color w:val="010202"/>
        </w:rPr>
        <w:t>usados,</w:t>
      </w:r>
      <w:r>
        <w:rPr>
          <w:color w:val="010202"/>
          <w:spacing w:val="-12"/>
        </w:rPr>
        <w:t> </w:t>
      </w:r>
      <w:r>
        <w:rPr>
          <w:color w:val="010202"/>
        </w:rPr>
        <w:t>que</w:t>
      </w:r>
      <w:r>
        <w:rPr>
          <w:color w:val="010202"/>
          <w:spacing w:val="-12"/>
        </w:rPr>
        <w:t> </w:t>
      </w:r>
      <w:r>
        <w:rPr>
          <w:color w:val="010202"/>
        </w:rPr>
        <w:t>sean</w:t>
      </w:r>
      <w:r>
        <w:rPr>
          <w:color w:val="010202"/>
          <w:spacing w:val="-12"/>
        </w:rPr>
        <w:t> </w:t>
      </w:r>
      <w:r>
        <w:rPr>
          <w:color w:val="010202"/>
        </w:rPr>
        <w:t>originarios</w:t>
      </w:r>
      <w:r>
        <w:rPr>
          <w:color w:val="010202"/>
          <w:spacing w:val="-12"/>
        </w:rPr>
        <w:t> </w:t>
      </w:r>
      <w:r>
        <w:rPr>
          <w:color w:val="010202"/>
        </w:rPr>
        <w:t>de</w:t>
      </w:r>
      <w:r>
        <w:rPr>
          <w:color w:val="010202"/>
          <w:spacing w:val="-12"/>
        </w:rPr>
        <w:t> </w:t>
      </w:r>
      <w:r>
        <w:rPr>
          <w:color w:val="010202"/>
        </w:rPr>
        <w:t>Estados</w:t>
      </w:r>
      <w:r>
        <w:rPr>
          <w:color w:val="010202"/>
          <w:spacing w:val="-12"/>
        </w:rPr>
        <w:t> </w:t>
      </w:r>
      <w:r>
        <w:rPr>
          <w:color w:val="010202"/>
        </w:rPr>
        <w:t>Unidos</w:t>
      </w:r>
      <w:r>
        <w:rPr>
          <w:color w:val="010202"/>
          <w:spacing w:val="-12"/>
        </w:rPr>
        <w:t> </w:t>
      </w:r>
      <w:r>
        <w:rPr>
          <w:color w:val="010202"/>
        </w:rPr>
        <w:t>de</w:t>
      </w:r>
      <w:r>
        <w:rPr>
          <w:color w:val="010202"/>
          <w:spacing w:val="-12"/>
        </w:rPr>
        <w:t> </w:t>
      </w:r>
      <w:r>
        <w:rPr>
          <w:color w:val="010202"/>
        </w:rPr>
        <w:t>América</w:t>
      </w:r>
      <w:r>
        <w:rPr>
          <w:color w:val="010202"/>
          <w:spacing w:val="-12"/>
        </w:rPr>
        <w:t> </w:t>
      </w:r>
      <w:r>
        <w:rPr>
          <w:color w:val="010202"/>
        </w:rPr>
        <w:t>o</w:t>
      </w:r>
      <w:r>
        <w:rPr>
          <w:color w:val="010202"/>
          <w:spacing w:val="-12"/>
        </w:rPr>
        <w:t> </w:t>
      </w:r>
      <w:r>
        <w:rPr>
          <w:color w:val="010202"/>
        </w:rPr>
        <w:t>de</w:t>
      </w:r>
      <w:r>
        <w:rPr>
          <w:color w:val="010202"/>
          <w:spacing w:val="-12"/>
        </w:rPr>
        <w:t> </w:t>
      </w:r>
      <w:r>
        <w:rPr>
          <w:color w:val="010202"/>
        </w:rPr>
        <w:t>Canadá,</w:t>
      </w:r>
      <w:r>
        <w:rPr>
          <w:color w:val="010202"/>
          <w:spacing w:val="-12"/>
        </w:rPr>
        <w:t> </w:t>
      </w:r>
      <w:r>
        <w:rPr>
          <w:color w:val="010202"/>
        </w:rPr>
        <w:t>cuyo año-modelo sea más de diez años anterior al de la</w:t>
      </w:r>
      <w:r>
        <w:rPr>
          <w:color w:val="010202"/>
          <w:spacing w:val="-6"/>
        </w:rPr>
        <w:t> </w:t>
      </w:r>
      <w:r>
        <w:rPr>
          <w:color w:val="010202"/>
        </w:rPr>
        <w:t>importación.</w:t>
      </w:r>
    </w:p>
    <w:p>
      <w:pPr>
        <w:pStyle w:val="BodyText"/>
        <w:spacing w:line="278" w:lineRule="auto" w:before="1"/>
        <w:ind w:left="653" w:right="122" w:firstLine="396"/>
        <w:jc w:val="both"/>
      </w:pPr>
      <w:r>
        <w:rPr>
          <w:color w:val="231F20"/>
        </w:rPr>
        <w:t>En</w:t>
      </w:r>
      <w:r>
        <w:rPr>
          <w:color w:val="231F20"/>
          <w:spacing w:val="-10"/>
        </w:rPr>
        <w:t> </w:t>
      </w:r>
      <w:r>
        <w:rPr>
          <w:color w:val="231F20"/>
          <w:spacing w:val="-3"/>
        </w:rPr>
        <w:t>este</w:t>
      </w:r>
      <w:r>
        <w:rPr>
          <w:color w:val="231F20"/>
          <w:spacing w:val="-10"/>
        </w:rPr>
        <w:t> </w:t>
      </w:r>
      <w:r>
        <w:rPr>
          <w:color w:val="231F20"/>
          <w:spacing w:val="-4"/>
        </w:rPr>
        <w:t>sentido,</w:t>
      </w:r>
      <w:r>
        <w:rPr>
          <w:color w:val="231F20"/>
          <w:spacing w:val="-10"/>
        </w:rPr>
        <w:t> </w:t>
      </w:r>
      <w:r>
        <w:rPr>
          <w:color w:val="231F20"/>
        </w:rPr>
        <w:t>se</w:t>
      </w:r>
      <w:r>
        <w:rPr>
          <w:color w:val="231F20"/>
          <w:spacing w:val="-10"/>
        </w:rPr>
        <w:t> </w:t>
      </w:r>
      <w:r>
        <w:rPr>
          <w:color w:val="231F20"/>
          <w:spacing w:val="-4"/>
        </w:rPr>
        <w:t>emitieron</w:t>
      </w:r>
      <w:r>
        <w:rPr>
          <w:color w:val="231F20"/>
          <w:spacing w:val="-10"/>
        </w:rPr>
        <w:t> </w:t>
      </w:r>
      <w:r>
        <w:rPr>
          <w:color w:val="231F20"/>
        </w:rPr>
        <w:t>dos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spacing w:val="-3"/>
        </w:rPr>
        <w:t>principales</w:t>
      </w:r>
      <w:r>
        <w:rPr>
          <w:color w:val="231F20"/>
          <w:spacing w:val="-10"/>
        </w:rPr>
        <w:t> </w:t>
      </w:r>
      <w:r>
        <w:rPr>
          <w:color w:val="231F20"/>
          <w:spacing w:val="-3"/>
        </w:rPr>
        <w:t>decretos</w:t>
      </w:r>
      <w:r>
        <w:rPr>
          <w:color w:val="231F20"/>
          <w:spacing w:val="-10"/>
        </w:rPr>
        <w:t> </w:t>
      </w:r>
      <w:r>
        <w:rPr>
          <w:color w:val="231F20"/>
          <w:spacing w:val="-3"/>
        </w:rPr>
        <w:t>para</w:t>
      </w:r>
      <w:r>
        <w:rPr>
          <w:color w:val="231F20"/>
          <w:spacing w:val="-10"/>
        </w:rPr>
        <w:t> </w:t>
      </w:r>
      <w:r>
        <w:rPr>
          <w:color w:val="231F20"/>
          <w:spacing w:val="-8"/>
        </w:rPr>
        <w:t>“apoyo”</w:t>
      </w:r>
      <w:r>
        <w:rPr>
          <w:color w:val="231F20"/>
          <w:spacing w:val="-10"/>
        </w:rPr>
        <w:t> </w:t>
      </w:r>
      <w:r>
        <w:rPr>
          <w:color w:val="231F20"/>
        </w:rPr>
        <w:t>del</w:t>
      </w:r>
      <w:r>
        <w:rPr>
          <w:color w:val="231F20"/>
          <w:spacing w:val="-10"/>
        </w:rPr>
        <w:t> </w:t>
      </w:r>
      <w:r>
        <w:rPr>
          <w:color w:val="231F20"/>
          <w:spacing w:val="-5"/>
        </w:rPr>
        <w:t>sector, </w:t>
      </w:r>
      <w:r>
        <w:rPr>
          <w:color w:val="231F20"/>
          <w:spacing w:val="-3"/>
        </w:rPr>
        <w:t>que han resultado </w:t>
      </w:r>
      <w:r>
        <w:rPr>
          <w:color w:val="231F20"/>
        </w:rPr>
        <w:t>en </w:t>
      </w:r>
      <w:r>
        <w:rPr>
          <w:color w:val="231F20"/>
          <w:spacing w:val="-4"/>
        </w:rPr>
        <w:t>importantes </w:t>
      </w:r>
      <w:r>
        <w:rPr>
          <w:color w:val="231F20"/>
          <w:spacing w:val="-3"/>
        </w:rPr>
        <w:t>perjuicios para </w:t>
      </w:r>
      <w:r>
        <w:rPr>
          <w:color w:val="231F20"/>
        </w:rPr>
        <w:t>el </w:t>
      </w:r>
      <w:r>
        <w:rPr>
          <w:color w:val="231F20"/>
          <w:spacing w:val="-3"/>
        </w:rPr>
        <w:t>sector </w:t>
      </w:r>
      <w:r>
        <w:rPr>
          <w:color w:val="231F20"/>
        </w:rPr>
        <w:t>a </w:t>
      </w:r>
      <w:r>
        <w:rPr>
          <w:color w:val="231F20"/>
          <w:spacing w:val="-3"/>
        </w:rPr>
        <w:t>nivel nacional; estos</w:t>
      </w:r>
      <w:r>
        <w:rPr>
          <w:color w:val="231F20"/>
          <w:spacing w:val="-21"/>
        </w:rPr>
        <w:t> </w:t>
      </w:r>
      <w:r>
        <w:rPr>
          <w:color w:val="231F20"/>
          <w:spacing w:val="-3"/>
        </w:rPr>
        <w:t>son:</w:t>
      </w:r>
    </w:p>
    <w:p>
      <w:pPr>
        <w:spacing w:line="258" w:lineRule="exact" w:before="0"/>
        <w:ind w:left="653" w:right="0" w:firstLine="396"/>
        <w:jc w:val="both"/>
        <w:rPr>
          <w:rFonts w:ascii="Palatino Linotype" w:hAnsi="Palatino Linotype"/>
          <w:i/>
          <w:sz w:val="21"/>
        </w:rPr>
      </w:pPr>
      <w:r>
        <w:rPr>
          <w:rFonts w:ascii="Palatino Linotype" w:hAnsi="Palatino Linotype"/>
          <w:i/>
          <w:color w:val="010202"/>
          <w:sz w:val="21"/>
        </w:rPr>
        <w:t>El Decreto por el que se establecen las condiciones para la importación definitiva</w:t>
      </w:r>
    </w:p>
    <w:p>
      <w:pPr>
        <w:pStyle w:val="BodyText"/>
        <w:spacing w:line="256" w:lineRule="auto"/>
        <w:ind w:left="653" w:right="117"/>
        <w:jc w:val="both"/>
      </w:pPr>
      <w:r>
        <w:rPr>
          <w:rFonts w:ascii="Palatino Linotype" w:hAnsi="Palatino Linotype"/>
          <w:i/>
          <w:color w:val="010202"/>
        </w:rPr>
        <w:t>de vehículos automotores usados </w:t>
      </w:r>
      <w:r>
        <w:rPr>
          <w:color w:val="010202"/>
        </w:rPr>
        <w:t>(publicado el 22 de agosto de 2005 en el </w:t>
      </w:r>
      <w:r>
        <w:rPr>
          <w:rFonts w:ascii="Palatino Linotype" w:hAnsi="Palatino Linotype"/>
          <w:i/>
          <w:color w:val="010202"/>
        </w:rPr>
        <w:t>Diario </w:t>
      </w:r>
      <w:r>
        <w:rPr>
          <w:rFonts w:ascii="Palatino Linotype" w:hAnsi="Palatino Linotype"/>
          <w:i/>
          <w:color w:val="010202"/>
        </w:rPr>
        <w:t>Oficial de la Federación</w:t>
      </w:r>
      <w:r>
        <w:rPr>
          <w:color w:val="010202"/>
        </w:rPr>
        <w:t>), que permite la importación definitiva de vehículos auto- motores usados de transporte de hasta quince pasajeros y de camiones de capaci- dad de carga de hasta 4, 536 kg, incluyendo los de tipo panel, así como   remolques</w:t>
      </w:r>
    </w:p>
    <w:p>
      <w:pPr>
        <w:pStyle w:val="BodyText"/>
        <w:spacing w:line="278" w:lineRule="auto" w:before="22"/>
        <w:ind w:left="653" w:right="120"/>
        <w:jc w:val="both"/>
      </w:pPr>
      <w:r>
        <w:rPr>
          <w:color w:val="010202"/>
        </w:rPr>
        <w:t>y semirremolques tipo vivienda, provenientes de Canadá y Estados Unidos, cuyo año-modelo sea de entre diez y quince años anterior al año en que se realice la importación.</w:t>
      </w:r>
    </w:p>
    <w:p>
      <w:pPr>
        <w:pStyle w:val="BodyText"/>
        <w:spacing w:before="10"/>
        <w:rPr>
          <w:sz w:val="29"/>
        </w:rPr>
      </w:pPr>
      <w:r>
        <w:rPr/>
        <w:pict>
          <v:line style="position:absolute;mso-position-horizontal-relative:page;mso-position-vertical-relative:paragraph;z-index:7912;mso-wrap-distance-left:0;mso-wrap-distance-right:0" from="56.692902pt,19.4055pt" to="198.424902pt,19.4055pt" stroked="true" strokeweight=".5pt" strokecolor="#231f20">
            <w10:wrap type="topAndBottom"/>
          </v:line>
        </w:pict>
      </w:r>
    </w:p>
    <w:p>
      <w:pPr>
        <w:spacing w:line="285" w:lineRule="auto" w:before="43"/>
        <w:ind w:left="860" w:right="120" w:hanging="207"/>
        <w:jc w:val="both"/>
        <w:rPr>
          <w:sz w:val="16"/>
        </w:rPr>
      </w:pPr>
      <w:r>
        <w:rPr>
          <w:color w:val="231F20"/>
          <w:position w:val="5"/>
          <w:sz w:val="9"/>
        </w:rPr>
        <w:t>8 </w:t>
      </w:r>
      <w:r>
        <w:rPr>
          <w:color w:val="231F20"/>
          <w:sz w:val="16"/>
        </w:rPr>
        <w:t>Vicencio (2007) señala que como respuesta de la industria terminal a este decreto se ha puesto en marcha la planta</w:t>
      </w:r>
      <w:r>
        <w:rPr>
          <w:color w:val="231F20"/>
          <w:spacing w:val="-5"/>
          <w:sz w:val="16"/>
        </w:rPr>
        <w:t> </w:t>
      </w:r>
      <w:r>
        <w:rPr>
          <w:color w:val="231F20"/>
          <w:sz w:val="16"/>
        </w:rPr>
        <w:t>de</w:t>
      </w:r>
      <w:r>
        <w:rPr>
          <w:color w:val="231F20"/>
          <w:spacing w:val="-5"/>
          <w:sz w:val="16"/>
        </w:rPr>
        <w:t> </w:t>
      </w:r>
      <w:r>
        <w:rPr>
          <w:color w:val="231F20"/>
          <w:spacing w:val="-4"/>
          <w:sz w:val="16"/>
        </w:rPr>
        <w:t>Toyota</w:t>
      </w:r>
      <w:r>
        <w:rPr>
          <w:color w:val="231F20"/>
          <w:spacing w:val="-5"/>
          <w:sz w:val="16"/>
        </w:rPr>
        <w:t> </w:t>
      </w:r>
      <w:r>
        <w:rPr>
          <w:color w:val="231F20"/>
          <w:sz w:val="16"/>
        </w:rPr>
        <w:t>en</w:t>
      </w:r>
      <w:r>
        <w:rPr>
          <w:color w:val="231F20"/>
          <w:spacing w:val="-5"/>
          <w:sz w:val="16"/>
        </w:rPr>
        <w:t> </w:t>
      </w:r>
      <w:r>
        <w:rPr>
          <w:color w:val="231F20"/>
          <w:sz w:val="16"/>
        </w:rPr>
        <w:t>el</w:t>
      </w:r>
      <w:r>
        <w:rPr>
          <w:color w:val="231F20"/>
          <w:spacing w:val="-5"/>
          <w:sz w:val="16"/>
        </w:rPr>
        <w:t> </w:t>
      </w:r>
      <w:r>
        <w:rPr>
          <w:color w:val="231F20"/>
          <w:sz w:val="16"/>
        </w:rPr>
        <w:t>noreste</w:t>
      </w:r>
      <w:r>
        <w:rPr>
          <w:color w:val="231F20"/>
          <w:spacing w:val="-5"/>
          <w:sz w:val="16"/>
        </w:rPr>
        <w:t> </w:t>
      </w:r>
      <w:r>
        <w:rPr>
          <w:color w:val="231F20"/>
          <w:sz w:val="16"/>
        </w:rPr>
        <w:t>de</w:t>
      </w:r>
      <w:r>
        <w:rPr>
          <w:color w:val="231F20"/>
          <w:spacing w:val="-5"/>
          <w:sz w:val="16"/>
        </w:rPr>
        <w:t> </w:t>
      </w:r>
      <w:r>
        <w:rPr>
          <w:color w:val="231F20"/>
          <w:sz w:val="16"/>
        </w:rPr>
        <w:t>México;</w:t>
      </w:r>
      <w:r>
        <w:rPr>
          <w:color w:val="231F20"/>
          <w:spacing w:val="-5"/>
          <w:sz w:val="16"/>
        </w:rPr>
        <w:t> </w:t>
      </w:r>
      <w:r>
        <w:rPr>
          <w:color w:val="231F20"/>
          <w:sz w:val="16"/>
        </w:rPr>
        <w:t>asimismo,</w:t>
      </w:r>
      <w:r>
        <w:rPr>
          <w:color w:val="231F20"/>
          <w:spacing w:val="-5"/>
          <w:sz w:val="16"/>
        </w:rPr>
        <w:t> </w:t>
      </w:r>
      <w:r>
        <w:rPr>
          <w:color w:val="231F20"/>
          <w:sz w:val="16"/>
        </w:rPr>
        <w:t>se</w:t>
      </w:r>
      <w:r>
        <w:rPr>
          <w:color w:val="231F20"/>
          <w:spacing w:val="-5"/>
          <w:sz w:val="16"/>
        </w:rPr>
        <w:t> </w:t>
      </w:r>
      <w:r>
        <w:rPr>
          <w:color w:val="231F20"/>
          <w:sz w:val="16"/>
        </w:rPr>
        <w:t>han</w:t>
      </w:r>
      <w:r>
        <w:rPr>
          <w:color w:val="231F20"/>
          <w:spacing w:val="-5"/>
          <w:sz w:val="16"/>
        </w:rPr>
        <w:t> </w:t>
      </w:r>
      <w:r>
        <w:rPr>
          <w:color w:val="231F20"/>
          <w:sz w:val="16"/>
        </w:rPr>
        <w:t>dado</w:t>
      </w:r>
      <w:r>
        <w:rPr>
          <w:color w:val="231F20"/>
          <w:spacing w:val="-5"/>
          <w:sz w:val="16"/>
        </w:rPr>
        <w:t> </w:t>
      </w:r>
      <w:r>
        <w:rPr>
          <w:color w:val="231F20"/>
          <w:sz w:val="16"/>
        </w:rPr>
        <w:t>las</w:t>
      </w:r>
      <w:r>
        <w:rPr>
          <w:color w:val="231F20"/>
          <w:spacing w:val="-5"/>
          <w:sz w:val="16"/>
        </w:rPr>
        <w:t> </w:t>
      </w:r>
      <w:r>
        <w:rPr>
          <w:color w:val="231F20"/>
          <w:sz w:val="16"/>
        </w:rPr>
        <w:t>inversiones</w:t>
      </w:r>
      <w:r>
        <w:rPr>
          <w:color w:val="231F20"/>
          <w:spacing w:val="-5"/>
          <w:sz w:val="16"/>
        </w:rPr>
        <w:t> </w:t>
      </w:r>
      <w:r>
        <w:rPr>
          <w:color w:val="231F20"/>
          <w:sz w:val="16"/>
        </w:rPr>
        <w:t>de</w:t>
      </w:r>
      <w:r>
        <w:rPr>
          <w:color w:val="231F20"/>
          <w:spacing w:val="-5"/>
          <w:sz w:val="16"/>
        </w:rPr>
        <w:t> </w:t>
      </w:r>
      <w:r>
        <w:rPr>
          <w:color w:val="231F20"/>
          <w:sz w:val="16"/>
        </w:rPr>
        <w:t>Nissan</w:t>
      </w:r>
      <w:r>
        <w:rPr>
          <w:color w:val="231F20"/>
          <w:spacing w:val="-5"/>
          <w:sz w:val="16"/>
        </w:rPr>
        <w:t> </w:t>
      </w:r>
      <w:r>
        <w:rPr>
          <w:color w:val="231F20"/>
          <w:sz w:val="16"/>
        </w:rPr>
        <w:t>en</w:t>
      </w:r>
      <w:r>
        <w:rPr>
          <w:color w:val="231F20"/>
          <w:spacing w:val="-5"/>
          <w:sz w:val="16"/>
        </w:rPr>
        <w:t> </w:t>
      </w:r>
      <w:r>
        <w:rPr>
          <w:color w:val="231F20"/>
          <w:sz w:val="16"/>
        </w:rPr>
        <w:t>Aguascalientes, de </w:t>
      </w:r>
      <w:r>
        <w:rPr>
          <w:color w:val="231F20"/>
          <w:spacing w:val="-3"/>
          <w:sz w:val="16"/>
        </w:rPr>
        <w:t>Volkswagen </w:t>
      </w:r>
      <w:r>
        <w:rPr>
          <w:color w:val="231F20"/>
          <w:sz w:val="16"/>
        </w:rPr>
        <w:t>en la planta de Puebla y los anuncios de expansión e inversión de General Motors, Daimler Chrysler y </w:t>
      </w:r>
      <w:r>
        <w:rPr>
          <w:color w:val="231F20"/>
          <w:spacing w:val="-3"/>
          <w:sz w:val="16"/>
        </w:rPr>
        <w:t>Ford </w:t>
      </w:r>
      <w:r>
        <w:rPr>
          <w:color w:val="231F20"/>
          <w:sz w:val="16"/>
        </w:rPr>
        <w:t>en las plantas ubicadas en los estados fronterizos. En esta misma línea se puede considerar   el anuncio, hecho en 2006, de una inversión de 3, 064 millones de dólares en ese año para modernizar insta- laciones y líneas de producción de Daimler Chrysler, </w:t>
      </w:r>
      <w:r>
        <w:rPr>
          <w:color w:val="231F20"/>
          <w:spacing w:val="-3"/>
          <w:sz w:val="16"/>
        </w:rPr>
        <w:t>Ford </w:t>
      </w:r>
      <w:r>
        <w:rPr>
          <w:color w:val="231F20"/>
          <w:sz w:val="16"/>
        </w:rPr>
        <w:t>y Honda: Chrysler reportó una inversión de mil millones de dólares, particularmente en su planta de </w:t>
      </w:r>
      <w:r>
        <w:rPr>
          <w:color w:val="231F20"/>
          <w:spacing w:val="-3"/>
          <w:sz w:val="16"/>
        </w:rPr>
        <w:t>Toluca, </w:t>
      </w:r>
      <w:r>
        <w:rPr>
          <w:color w:val="231F20"/>
          <w:sz w:val="16"/>
        </w:rPr>
        <w:t>lo que le permitiría actualizar sus instalaciones y las</w:t>
      </w:r>
      <w:r>
        <w:rPr>
          <w:color w:val="231F20"/>
          <w:spacing w:val="-11"/>
          <w:sz w:val="16"/>
        </w:rPr>
        <w:t> </w:t>
      </w:r>
      <w:r>
        <w:rPr>
          <w:color w:val="231F20"/>
          <w:sz w:val="16"/>
        </w:rPr>
        <w:t>líneas</w:t>
      </w:r>
      <w:r>
        <w:rPr>
          <w:color w:val="231F20"/>
          <w:spacing w:val="-11"/>
          <w:sz w:val="16"/>
        </w:rPr>
        <w:t> </w:t>
      </w:r>
      <w:r>
        <w:rPr>
          <w:color w:val="231F20"/>
          <w:sz w:val="16"/>
        </w:rPr>
        <w:t>de</w:t>
      </w:r>
      <w:r>
        <w:rPr>
          <w:color w:val="231F20"/>
          <w:spacing w:val="-11"/>
          <w:sz w:val="16"/>
        </w:rPr>
        <w:t> </w:t>
      </w:r>
      <w:r>
        <w:rPr>
          <w:color w:val="231F20"/>
          <w:sz w:val="16"/>
        </w:rPr>
        <w:t>producción,</w:t>
      </w:r>
      <w:r>
        <w:rPr>
          <w:color w:val="231F20"/>
          <w:spacing w:val="-11"/>
          <w:sz w:val="16"/>
        </w:rPr>
        <w:t> </w:t>
      </w:r>
      <w:r>
        <w:rPr>
          <w:color w:val="231F20"/>
          <w:sz w:val="16"/>
        </w:rPr>
        <w:t>y</w:t>
      </w:r>
      <w:r>
        <w:rPr>
          <w:color w:val="231F20"/>
          <w:spacing w:val="-11"/>
          <w:sz w:val="16"/>
        </w:rPr>
        <w:t> </w:t>
      </w:r>
      <w:r>
        <w:rPr>
          <w:color w:val="231F20"/>
          <w:sz w:val="16"/>
        </w:rPr>
        <w:t>crear</w:t>
      </w:r>
      <w:r>
        <w:rPr>
          <w:color w:val="231F20"/>
          <w:spacing w:val="-11"/>
          <w:sz w:val="16"/>
        </w:rPr>
        <w:t> </w:t>
      </w:r>
      <w:r>
        <w:rPr>
          <w:color w:val="231F20"/>
          <w:sz w:val="16"/>
        </w:rPr>
        <w:t>nuevos</w:t>
      </w:r>
      <w:r>
        <w:rPr>
          <w:color w:val="231F20"/>
          <w:spacing w:val="-11"/>
          <w:sz w:val="16"/>
        </w:rPr>
        <w:t> </w:t>
      </w:r>
      <w:r>
        <w:rPr>
          <w:color w:val="231F20"/>
          <w:sz w:val="16"/>
        </w:rPr>
        <w:t>parques</w:t>
      </w:r>
      <w:r>
        <w:rPr>
          <w:color w:val="231F20"/>
          <w:spacing w:val="-11"/>
          <w:sz w:val="16"/>
        </w:rPr>
        <w:t> </w:t>
      </w:r>
      <w:r>
        <w:rPr>
          <w:color w:val="231F20"/>
          <w:sz w:val="16"/>
        </w:rPr>
        <w:t>para</w:t>
      </w:r>
      <w:r>
        <w:rPr>
          <w:color w:val="231F20"/>
          <w:spacing w:val="-11"/>
          <w:sz w:val="16"/>
        </w:rPr>
        <w:t> </w:t>
      </w:r>
      <w:r>
        <w:rPr>
          <w:color w:val="231F20"/>
          <w:sz w:val="16"/>
        </w:rPr>
        <w:t>sus</w:t>
      </w:r>
      <w:r>
        <w:rPr>
          <w:color w:val="231F20"/>
          <w:spacing w:val="-11"/>
          <w:sz w:val="16"/>
        </w:rPr>
        <w:t> </w:t>
      </w:r>
      <w:r>
        <w:rPr>
          <w:color w:val="231F20"/>
          <w:sz w:val="16"/>
        </w:rPr>
        <w:t>proveedores.</w:t>
      </w:r>
      <w:r>
        <w:rPr>
          <w:color w:val="231F20"/>
          <w:spacing w:val="-11"/>
          <w:sz w:val="16"/>
        </w:rPr>
        <w:t> </w:t>
      </w:r>
      <w:r>
        <w:rPr>
          <w:color w:val="231F20"/>
          <w:spacing w:val="-3"/>
          <w:sz w:val="16"/>
        </w:rPr>
        <w:t>Ford</w:t>
      </w:r>
      <w:r>
        <w:rPr>
          <w:color w:val="231F20"/>
          <w:spacing w:val="-11"/>
          <w:sz w:val="16"/>
        </w:rPr>
        <w:t> </w:t>
      </w:r>
      <w:r>
        <w:rPr>
          <w:color w:val="231F20"/>
          <w:sz w:val="16"/>
        </w:rPr>
        <w:t>Motor</w:t>
      </w:r>
      <w:r>
        <w:rPr>
          <w:color w:val="231F20"/>
          <w:spacing w:val="-11"/>
          <w:sz w:val="16"/>
        </w:rPr>
        <w:t> </w:t>
      </w:r>
      <w:r>
        <w:rPr>
          <w:color w:val="231F20"/>
          <w:sz w:val="16"/>
        </w:rPr>
        <w:t>Company</w:t>
      </w:r>
      <w:r>
        <w:rPr>
          <w:color w:val="231F20"/>
          <w:spacing w:val="-11"/>
          <w:sz w:val="16"/>
        </w:rPr>
        <w:t> </w:t>
      </w:r>
      <w:r>
        <w:rPr>
          <w:color w:val="231F20"/>
          <w:sz w:val="16"/>
        </w:rPr>
        <w:t>y</w:t>
      </w:r>
      <w:r>
        <w:rPr>
          <w:color w:val="231F20"/>
          <w:spacing w:val="-11"/>
          <w:sz w:val="16"/>
        </w:rPr>
        <w:t> </w:t>
      </w:r>
      <w:r>
        <w:rPr>
          <w:color w:val="231F20"/>
          <w:sz w:val="16"/>
        </w:rPr>
        <w:t>sus</w:t>
      </w:r>
      <w:r>
        <w:rPr>
          <w:color w:val="231F20"/>
          <w:spacing w:val="-11"/>
          <w:sz w:val="16"/>
        </w:rPr>
        <w:t> </w:t>
      </w:r>
      <w:r>
        <w:rPr>
          <w:color w:val="231F20"/>
          <w:sz w:val="16"/>
        </w:rPr>
        <w:t>proveedores anunciaron,</w:t>
      </w:r>
      <w:r>
        <w:rPr>
          <w:color w:val="231F20"/>
          <w:spacing w:val="-9"/>
          <w:sz w:val="16"/>
        </w:rPr>
        <w:t> </w:t>
      </w:r>
      <w:r>
        <w:rPr>
          <w:color w:val="231F20"/>
          <w:sz w:val="16"/>
        </w:rPr>
        <w:t>por</w:t>
      </w:r>
      <w:r>
        <w:rPr>
          <w:color w:val="231F20"/>
          <w:spacing w:val="-9"/>
          <w:sz w:val="16"/>
        </w:rPr>
        <w:t> </w:t>
      </w:r>
      <w:r>
        <w:rPr>
          <w:color w:val="231F20"/>
          <w:sz w:val="16"/>
        </w:rPr>
        <w:t>su</w:t>
      </w:r>
      <w:r>
        <w:rPr>
          <w:color w:val="231F20"/>
          <w:spacing w:val="-9"/>
          <w:sz w:val="16"/>
        </w:rPr>
        <w:t> </w:t>
      </w:r>
      <w:r>
        <w:rPr>
          <w:color w:val="231F20"/>
          <w:sz w:val="16"/>
        </w:rPr>
        <w:t>parte,</w:t>
      </w:r>
      <w:r>
        <w:rPr>
          <w:color w:val="231F20"/>
          <w:spacing w:val="-9"/>
          <w:sz w:val="16"/>
        </w:rPr>
        <w:t> </w:t>
      </w:r>
      <w:r>
        <w:rPr>
          <w:color w:val="231F20"/>
          <w:sz w:val="16"/>
        </w:rPr>
        <w:t>la</w:t>
      </w:r>
      <w:r>
        <w:rPr>
          <w:color w:val="231F20"/>
          <w:spacing w:val="-9"/>
          <w:sz w:val="16"/>
        </w:rPr>
        <w:t> </w:t>
      </w:r>
      <w:r>
        <w:rPr>
          <w:color w:val="231F20"/>
          <w:sz w:val="16"/>
        </w:rPr>
        <w:t>inversión</w:t>
      </w:r>
      <w:r>
        <w:rPr>
          <w:color w:val="231F20"/>
          <w:spacing w:val="-9"/>
          <w:sz w:val="16"/>
        </w:rPr>
        <w:t> </w:t>
      </w:r>
      <w:r>
        <w:rPr>
          <w:color w:val="231F20"/>
          <w:sz w:val="16"/>
        </w:rPr>
        <w:t>de</w:t>
      </w:r>
      <w:r>
        <w:rPr>
          <w:color w:val="231F20"/>
          <w:spacing w:val="-9"/>
          <w:sz w:val="16"/>
        </w:rPr>
        <w:t> </w:t>
      </w:r>
      <w:r>
        <w:rPr>
          <w:color w:val="231F20"/>
          <w:sz w:val="16"/>
        </w:rPr>
        <w:t>dos</w:t>
      </w:r>
      <w:r>
        <w:rPr>
          <w:color w:val="231F20"/>
          <w:spacing w:val="-9"/>
          <w:sz w:val="16"/>
        </w:rPr>
        <w:t> </w:t>
      </w:r>
      <w:r>
        <w:rPr>
          <w:color w:val="231F20"/>
          <w:sz w:val="16"/>
        </w:rPr>
        <w:t>millones</w:t>
      </w:r>
      <w:r>
        <w:rPr>
          <w:color w:val="231F20"/>
          <w:spacing w:val="-9"/>
          <w:sz w:val="16"/>
        </w:rPr>
        <w:t> </w:t>
      </w:r>
      <w:r>
        <w:rPr>
          <w:color w:val="231F20"/>
          <w:sz w:val="16"/>
        </w:rPr>
        <w:t>de</w:t>
      </w:r>
      <w:r>
        <w:rPr>
          <w:color w:val="231F20"/>
          <w:spacing w:val="-9"/>
          <w:sz w:val="16"/>
        </w:rPr>
        <w:t> </w:t>
      </w:r>
      <w:r>
        <w:rPr>
          <w:color w:val="231F20"/>
          <w:sz w:val="16"/>
        </w:rPr>
        <w:t>dólares</w:t>
      </w:r>
      <w:r>
        <w:rPr>
          <w:color w:val="231F20"/>
          <w:spacing w:val="-9"/>
          <w:sz w:val="16"/>
        </w:rPr>
        <w:t> </w:t>
      </w:r>
      <w:r>
        <w:rPr>
          <w:color w:val="231F20"/>
          <w:sz w:val="16"/>
        </w:rPr>
        <w:t>para</w:t>
      </w:r>
      <w:r>
        <w:rPr>
          <w:color w:val="231F20"/>
          <w:spacing w:val="-9"/>
          <w:sz w:val="16"/>
        </w:rPr>
        <w:t> </w:t>
      </w:r>
      <w:r>
        <w:rPr>
          <w:color w:val="231F20"/>
          <w:sz w:val="16"/>
        </w:rPr>
        <w:t>la</w:t>
      </w:r>
      <w:r>
        <w:rPr>
          <w:color w:val="231F20"/>
          <w:spacing w:val="-9"/>
          <w:sz w:val="16"/>
        </w:rPr>
        <w:t> </w:t>
      </w:r>
      <w:r>
        <w:rPr>
          <w:color w:val="231F20"/>
          <w:sz w:val="16"/>
        </w:rPr>
        <w:t>instalación</w:t>
      </w:r>
      <w:r>
        <w:rPr>
          <w:color w:val="231F20"/>
          <w:spacing w:val="-9"/>
          <w:sz w:val="16"/>
        </w:rPr>
        <w:t> </w:t>
      </w:r>
      <w:r>
        <w:rPr>
          <w:color w:val="231F20"/>
          <w:sz w:val="16"/>
        </w:rPr>
        <w:t>de</w:t>
      </w:r>
      <w:r>
        <w:rPr>
          <w:color w:val="231F20"/>
          <w:spacing w:val="-9"/>
          <w:sz w:val="16"/>
        </w:rPr>
        <w:t> </w:t>
      </w:r>
      <w:r>
        <w:rPr>
          <w:color w:val="231F20"/>
          <w:sz w:val="16"/>
        </w:rPr>
        <w:t>16</w:t>
      </w:r>
      <w:r>
        <w:rPr>
          <w:color w:val="231F20"/>
          <w:spacing w:val="-9"/>
          <w:sz w:val="16"/>
        </w:rPr>
        <w:t> </w:t>
      </w:r>
      <w:r>
        <w:rPr>
          <w:color w:val="231F20"/>
          <w:sz w:val="16"/>
        </w:rPr>
        <w:t>prensas</w:t>
      </w:r>
      <w:r>
        <w:rPr>
          <w:color w:val="231F20"/>
          <w:spacing w:val="-9"/>
          <w:sz w:val="16"/>
        </w:rPr>
        <w:t> </w:t>
      </w:r>
      <w:r>
        <w:rPr>
          <w:color w:val="231F20"/>
          <w:sz w:val="16"/>
        </w:rPr>
        <w:t>y</w:t>
      </w:r>
      <w:r>
        <w:rPr>
          <w:color w:val="231F20"/>
          <w:spacing w:val="-9"/>
          <w:sz w:val="16"/>
        </w:rPr>
        <w:t> </w:t>
      </w:r>
      <w:r>
        <w:rPr>
          <w:color w:val="231F20"/>
          <w:sz w:val="16"/>
        </w:rPr>
        <w:t>295</w:t>
      </w:r>
      <w:r>
        <w:rPr>
          <w:color w:val="231F20"/>
          <w:spacing w:val="-9"/>
          <w:sz w:val="16"/>
        </w:rPr>
        <w:t> </w:t>
      </w:r>
      <w:r>
        <w:rPr>
          <w:color w:val="231F20"/>
          <w:sz w:val="16"/>
        </w:rPr>
        <w:t>robots, que</w:t>
      </w:r>
      <w:r>
        <w:rPr>
          <w:color w:val="231F20"/>
          <w:spacing w:val="-10"/>
          <w:sz w:val="16"/>
        </w:rPr>
        <w:t> </w:t>
      </w:r>
      <w:r>
        <w:rPr>
          <w:color w:val="231F20"/>
          <w:sz w:val="16"/>
        </w:rPr>
        <w:t>apoyarían</w:t>
      </w:r>
      <w:r>
        <w:rPr>
          <w:color w:val="231F20"/>
          <w:spacing w:val="-10"/>
          <w:sz w:val="16"/>
        </w:rPr>
        <w:t> </w:t>
      </w:r>
      <w:r>
        <w:rPr>
          <w:color w:val="231F20"/>
          <w:sz w:val="16"/>
        </w:rPr>
        <w:t>la</w:t>
      </w:r>
      <w:r>
        <w:rPr>
          <w:color w:val="231F20"/>
          <w:spacing w:val="-10"/>
          <w:sz w:val="16"/>
        </w:rPr>
        <w:t> </w:t>
      </w:r>
      <w:r>
        <w:rPr>
          <w:color w:val="231F20"/>
          <w:sz w:val="16"/>
        </w:rPr>
        <w:t>producción</w:t>
      </w:r>
      <w:r>
        <w:rPr>
          <w:color w:val="231F20"/>
          <w:spacing w:val="-10"/>
          <w:sz w:val="16"/>
        </w:rPr>
        <w:t> </w:t>
      </w:r>
      <w:r>
        <w:rPr>
          <w:color w:val="231F20"/>
          <w:sz w:val="16"/>
        </w:rPr>
        <w:t>de</w:t>
      </w:r>
      <w:r>
        <w:rPr>
          <w:color w:val="231F20"/>
          <w:spacing w:val="-10"/>
          <w:sz w:val="16"/>
        </w:rPr>
        <w:t> </w:t>
      </w:r>
      <w:r>
        <w:rPr>
          <w:color w:val="231F20"/>
          <w:sz w:val="16"/>
        </w:rPr>
        <w:t>partes</w:t>
      </w:r>
      <w:r>
        <w:rPr>
          <w:color w:val="231F20"/>
          <w:spacing w:val="-10"/>
          <w:sz w:val="16"/>
        </w:rPr>
        <w:t> </w:t>
      </w:r>
      <w:r>
        <w:rPr>
          <w:color w:val="231F20"/>
          <w:sz w:val="16"/>
        </w:rPr>
        <w:t>de</w:t>
      </w:r>
      <w:r>
        <w:rPr>
          <w:color w:val="231F20"/>
          <w:spacing w:val="-10"/>
          <w:sz w:val="16"/>
        </w:rPr>
        <w:t> </w:t>
      </w:r>
      <w:r>
        <w:rPr>
          <w:color w:val="231F20"/>
          <w:sz w:val="16"/>
        </w:rPr>
        <w:t>carrocería</w:t>
      </w:r>
      <w:r>
        <w:rPr>
          <w:color w:val="231F20"/>
          <w:spacing w:val="-10"/>
          <w:sz w:val="16"/>
        </w:rPr>
        <w:t> </w:t>
      </w:r>
      <w:r>
        <w:rPr>
          <w:color w:val="231F20"/>
          <w:sz w:val="16"/>
        </w:rPr>
        <w:t>en</w:t>
      </w:r>
      <w:r>
        <w:rPr>
          <w:color w:val="231F20"/>
          <w:spacing w:val="-10"/>
          <w:sz w:val="16"/>
        </w:rPr>
        <w:t> </w:t>
      </w:r>
      <w:r>
        <w:rPr>
          <w:color w:val="231F20"/>
          <w:sz w:val="16"/>
        </w:rPr>
        <w:t>la</w:t>
      </w:r>
      <w:r>
        <w:rPr>
          <w:color w:val="231F20"/>
          <w:spacing w:val="-10"/>
          <w:sz w:val="16"/>
        </w:rPr>
        <w:t> </w:t>
      </w:r>
      <w:r>
        <w:rPr>
          <w:color w:val="231F20"/>
          <w:sz w:val="16"/>
        </w:rPr>
        <w:t>planta</w:t>
      </w:r>
      <w:r>
        <w:rPr>
          <w:color w:val="231F20"/>
          <w:spacing w:val="-10"/>
          <w:sz w:val="16"/>
        </w:rPr>
        <w:t> </w:t>
      </w:r>
      <w:r>
        <w:rPr>
          <w:color w:val="231F20"/>
          <w:sz w:val="16"/>
        </w:rPr>
        <w:t>Sonora</w:t>
      </w:r>
      <w:r>
        <w:rPr>
          <w:color w:val="231F20"/>
          <w:spacing w:val="-10"/>
          <w:sz w:val="16"/>
        </w:rPr>
        <w:t> </w:t>
      </w:r>
      <w:r>
        <w:rPr>
          <w:color w:val="231F20"/>
          <w:sz w:val="16"/>
        </w:rPr>
        <w:t>Forming</w:t>
      </w:r>
      <w:r>
        <w:rPr>
          <w:color w:val="231F20"/>
          <w:spacing w:val="-10"/>
          <w:sz w:val="16"/>
        </w:rPr>
        <w:t> </w:t>
      </w:r>
      <w:r>
        <w:rPr>
          <w:color w:val="231F20"/>
          <w:sz w:val="16"/>
        </w:rPr>
        <w:t>Technologies,</w:t>
      </w:r>
      <w:r>
        <w:rPr>
          <w:color w:val="231F20"/>
          <w:spacing w:val="-10"/>
          <w:sz w:val="16"/>
        </w:rPr>
        <w:t> </w:t>
      </w:r>
      <w:r>
        <w:rPr>
          <w:color w:val="231F20"/>
          <w:sz w:val="16"/>
        </w:rPr>
        <w:t>en</w:t>
      </w:r>
      <w:r>
        <w:rPr>
          <w:color w:val="231F20"/>
          <w:spacing w:val="-10"/>
          <w:sz w:val="16"/>
        </w:rPr>
        <w:t> </w:t>
      </w:r>
      <w:r>
        <w:rPr>
          <w:color w:val="231F20"/>
          <w:sz w:val="16"/>
        </w:rPr>
        <w:t>Hermosillo. Honda</w:t>
      </w:r>
      <w:r>
        <w:rPr>
          <w:color w:val="231F20"/>
          <w:spacing w:val="-3"/>
          <w:sz w:val="16"/>
        </w:rPr>
        <w:t> </w:t>
      </w:r>
      <w:r>
        <w:rPr>
          <w:color w:val="231F20"/>
          <w:sz w:val="16"/>
        </w:rPr>
        <w:t>de</w:t>
      </w:r>
      <w:r>
        <w:rPr>
          <w:color w:val="231F20"/>
          <w:spacing w:val="-3"/>
          <w:sz w:val="16"/>
        </w:rPr>
        <w:t> </w:t>
      </w:r>
      <w:r>
        <w:rPr>
          <w:color w:val="231F20"/>
          <w:sz w:val="16"/>
        </w:rPr>
        <w:t>México</w:t>
      </w:r>
      <w:r>
        <w:rPr>
          <w:color w:val="231F20"/>
          <w:spacing w:val="-3"/>
          <w:sz w:val="16"/>
        </w:rPr>
        <w:t> </w:t>
      </w:r>
      <w:r>
        <w:rPr>
          <w:color w:val="231F20"/>
          <w:sz w:val="16"/>
        </w:rPr>
        <w:t>anunció</w:t>
      </w:r>
      <w:r>
        <w:rPr>
          <w:color w:val="231F20"/>
          <w:spacing w:val="-3"/>
          <w:sz w:val="16"/>
        </w:rPr>
        <w:t> </w:t>
      </w:r>
      <w:r>
        <w:rPr>
          <w:color w:val="231F20"/>
          <w:sz w:val="16"/>
        </w:rPr>
        <w:t>que</w:t>
      </w:r>
      <w:r>
        <w:rPr>
          <w:color w:val="231F20"/>
          <w:spacing w:val="-3"/>
          <w:sz w:val="16"/>
        </w:rPr>
        <w:t> </w:t>
      </w:r>
      <w:r>
        <w:rPr>
          <w:color w:val="231F20"/>
          <w:sz w:val="16"/>
        </w:rPr>
        <w:t>canalizaría</w:t>
      </w:r>
      <w:r>
        <w:rPr>
          <w:color w:val="231F20"/>
          <w:spacing w:val="-3"/>
          <w:sz w:val="16"/>
        </w:rPr>
        <w:t> </w:t>
      </w:r>
      <w:r>
        <w:rPr>
          <w:color w:val="231F20"/>
          <w:sz w:val="16"/>
        </w:rPr>
        <w:t>una</w:t>
      </w:r>
      <w:r>
        <w:rPr>
          <w:color w:val="231F20"/>
          <w:spacing w:val="-3"/>
          <w:sz w:val="16"/>
        </w:rPr>
        <w:t> </w:t>
      </w:r>
      <w:r>
        <w:rPr>
          <w:color w:val="231F20"/>
          <w:sz w:val="16"/>
        </w:rPr>
        <w:t>inversión</w:t>
      </w:r>
      <w:r>
        <w:rPr>
          <w:color w:val="231F20"/>
          <w:spacing w:val="-3"/>
          <w:sz w:val="16"/>
        </w:rPr>
        <w:t> </w:t>
      </w:r>
      <w:r>
        <w:rPr>
          <w:color w:val="231F20"/>
          <w:sz w:val="16"/>
        </w:rPr>
        <w:t>de</w:t>
      </w:r>
      <w:r>
        <w:rPr>
          <w:color w:val="231F20"/>
          <w:spacing w:val="-3"/>
          <w:sz w:val="16"/>
        </w:rPr>
        <w:t> </w:t>
      </w:r>
      <w:r>
        <w:rPr>
          <w:color w:val="231F20"/>
          <w:sz w:val="16"/>
        </w:rPr>
        <w:t>64</w:t>
      </w:r>
      <w:r>
        <w:rPr>
          <w:color w:val="231F20"/>
          <w:spacing w:val="-3"/>
          <w:sz w:val="16"/>
        </w:rPr>
        <w:t> </w:t>
      </w:r>
      <w:r>
        <w:rPr>
          <w:color w:val="231F20"/>
          <w:sz w:val="16"/>
        </w:rPr>
        <w:t>millones</w:t>
      </w:r>
      <w:r>
        <w:rPr>
          <w:color w:val="231F20"/>
          <w:spacing w:val="-3"/>
          <w:sz w:val="16"/>
        </w:rPr>
        <w:t> </w:t>
      </w:r>
      <w:r>
        <w:rPr>
          <w:color w:val="231F20"/>
          <w:sz w:val="16"/>
        </w:rPr>
        <w:t>de</w:t>
      </w:r>
      <w:r>
        <w:rPr>
          <w:color w:val="231F20"/>
          <w:spacing w:val="-3"/>
          <w:sz w:val="16"/>
        </w:rPr>
        <w:t> </w:t>
      </w:r>
      <w:r>
        <w:rPr>
          <w:color w:val="231F20"/>
          <w:sz w:val="16"/>
        </w:rPr>
        <w:t>dólares</w:t>
      </w:r>
      <w:r>
        <w:rPr>
          <w:color w:val="231F20"/>
          <w:spacing w:val="-3"/>
          <w:sz w:val="16"/>
        </w:rPr>
        <w:t> </w:t>
      </w:r>
      <w:r>
        <w:rPr>
          <w:color w:val="231F20"/>
          <w:sz w:val="16"/>
        </w:rPr>
        <w:t>para</w:t>
      </w:r>
      <w:r>
        <w:rPr>
          <w:color w:val="231F20"/>
          <w:spacing w:val="-3"/>
          <w:sz w:val="16"/>
        </w:rPr>
        <w:t> </w:t>
      </w:r>
      <w:r>
        <w:rPr>
          <w:color w:val="231F20"/>
          <w:sz w:val="16"/>
        </w:rPr>
        <w:t>ampliar</w:t>
      </w:r>
      <w:r>
        <w:rPr>
          <w:color w:val="231F20"/>
          <w:spacing w:val="-3"/>
          <w:sz w:val="16"/>
        </w:rPr>
        <w:t> </w:t>
      </w:r>
      <w:r>
        <w:rPr>
          <w:color w:val="231F20"/>
          <w:sz w:val="16"/>
        </w:rPr>
        <w:t>sus</w:t>
      </w:r>
      <w:r>
        <w:rPr>
          <w:color w:val="231F20"/>
          <w:spacing w:val="-3"/>
          <w:sz w:val="16"/>
        </w:rPr>
        <w:t> </w:t>
      </w:r>
      <w:r>
        <w:rPr>
          <w:color w:val="231F20"/>
          <w:sz w:val="16"/>
        </w:rPr>
        <w:t>operacio- nes</w:t>
      </w:r>
      <w:r>
        <w:rPr>
          <w:color w:val="231F20"/>
          <w:spacing w:val="-7"/>
          <w:sz w:val="16"/>
        </w:rPr>
        <w:t> </w:t>
      </w:r>
      <w:r>
        <w:rPr>
          <w:color w:val="231F20"/>
          <w:sz w:val="16"/>
        </w:rPr>
        <w:t>en</w:t>
      </w:r>
      <w:r>
        <w:rPr>
          <w:color w:val="231F20"/>
          <w:spacing w:val="-7"/>
          <w:sz w:val="16"/>
        </w:rPr>
        <w:t> </w:t>
      </w:r>
      <w:r>
        <w:rPr>
          <w:color w:val="231F20"/>
          <w:sz w:val="16"/>
        </w:rPr>
        <w:t>la</w:t>
      </w:r>
      <w:r>
        <w:rPr>
          <w:color w:val="231F20"/>
          <w:spacing w:val="-7"/>
          <w:sz w:val="16"/>
        </w:rPr>
        <w:t> </w:t>
      </w:r>
      <w:r>
        <w:rPr>
          <w:color w:val="231F20"/>
          <w:sz w:val="16"/>
        </w:rPr>
        <w:t>planta</w:t>
      </w:r>
      <w:r>
        <w:rPr>
          <w:color w:val="231F20"/>
          <w:spacing w:val="-7"/>
          <w:sz w:val="16"/>
        </w:rPr>
        <w:t> </w:t>
      </w:r>
      <w:r>
        <w:rPr>
          <w:color w:val="231F20"/>
          <w:sz w:val="16"/>
        </w:rPr>
        <w:t>de</w:t>
      </w:r>
      <w:r>
        <w:rPr>
          <w:color w:val="231F20"/>
          <w:spacing w:val="-7"/>
          <w:sz w:val="16"/>
        </w:rPr>
        <w:t> </w:t>
      </w:r>
      <w:r>
        <w:rPr>
          <w:color w:val="231F20"/>
          <w:sz w:val="16"/>
        </w:rPr>
        <w:t>El</w:t>
      </w:r>
      <w:r>
        <w:rPr>
          <w:color w:val="231F20"/>
          <w:spacing w:val="-7"/>
          <w:sz w:val="16"/>
        </w:rPr>
        <w:t> </w:t>
      </w:r>
      <w:r>
        <w:rPr>
          <w:color w:val="231F20"/>
          <w:sz w:val="16"/>
        </w:rPr>
        <w:t>Salto,</w:t>
      </w:r>
      <w:r>
        <w:rPr>
          <w:color w:val="231F20"/>
          <w:spacing w:val="-7"/>
          <w:sz w:val="16"/>
        </w:rPr>
        <w:t> </w:t>
      </w:r>
      <w:r>
        <w:rPr>
          <w:color w:val="231F20"/>
          <w:sz w:val="16"/>
        </w:rPr>
        <w:t>Jalisco</w:t>
      </w:r>
      <w:r>
        <w:rPr>
          <w:color w:val="231F20"/>
          <w:spacing w:val="-7"/>
          <w:sz w:val="16"/>
        </w:rPr>
        <w:t> </w:t>
      </w:r>
      <w:r>
        <w:rPr>
          <w:color w:val="231F20"/>
          <w:sz w:val="16"/>
        </w:rPr>
        <w:t>(Solís</w:t>
      </w:r>
      <w:r>
        <w:rPr>
          <w:color w:val="231F20"/>
          <w:spacing w:val="-7"/>
          <w:sz w:val="16"/>
        </w:rPr>
        <w:t> </w:t>
      </w:r>
      <w:r>
        <w:rPr>
          <w:color w:val="231F20"/>
          <w:sz w:val="16"/>
        </w:rPr>
        <w:t>Peña,</w:t>
      </w:r>
      <w:r>
        <w:rPr>
          <w:color w:val="231F20"/>
          <w:spacing w:val="-7"/>
          <w:sz w:val="16"/>
        </w:rPr>
        <w:t> </w:t>
      </w:r>
      <w:r>
        <w:rPr>
          <w:color w:val="231F20"/>
          <w:sz w:val="16"/>
        </w:rPr>
        <w:t>2006).</w:t>
      </w:r>
      <w:r>
        <w:rPr>
          <w:color w:val="231F20"/>
          <w:spacing w:val="-7"/>
          <w:sz w:val="16"/>
        </w:rPr>
        <w:t> </w:t>
      </w:r>
      <w:r>
        <w:rPr>
          <w:color w:val="231F20"/>
          <w:spacing w:val="-3"/>
          <w:sz w:val="16"/>
        </w:rPr>
        <w:t>También,</w:t>
      </w:r>
      <w:r>
        <w:rPr>
          <w:color w:val="231F20"/>
          <w:spacing w:val="-7"/>
          <w:sz w:val="16"/>
        </w:rPr>
        <w:t> </w:t>
      </w:r>
      <w:r>
        <w:rPr>
          <w:color w:val="231F20"/>
          <w:sz w:val="16"/>
        </w:rPr>
        <w:t>en</w:t>
      </w:r>
      <w:r>
        <w:rPr>
          <w:color w:val="231F20"/>
          <w:spacing w:val="-7"/>
          <w:sz w:val="16"/>
        </w:rPr>
        <w:t> </w:t>
      </w:r>
      <w:r>
        <w:rPr>
          <w:color w:val="231F20"/>
          <w:sz w:val="16"/>
        </w:rPr>
        <w:t>mayo</w:t>
      </w:r>
      <w:r>
        <w:rPr>
          <w:color w:val="231F20"/>
          <w:spacing w:val="-7"/>
          <w:sz w:val="16"/>
        </w:rPr>
        <w:t> </w:t>
      </w:r>
      <w:r>
        <w:rPr>
          <w:color w:val="231F20"/>
          <w:sz w:val="16"/>
        </w:rPr>
        <w:t>de</w:t>
      </w:r>
      <w:r>
        <w:rPr>
          <w:color w:val="231F20"/>
          <w:spacing w:val="-7"/>
          <w:sz w:val="16"/>
        </w:rPr>
        <w:t> </w:t>
      </w:r>
      <w:r>
        <w:rPr>
          <w:color w:val="231F20"/>
          <w:sz w:val="16"/>
        </w:rPr>
        <w:t>2008,</w:t>
      </w:r>
      <w:r>
        <w:rPr>
          <w:color w:val="231F20"/>
          <w:spacing w:val="-7"/>
          <w:sz w:val="16"/>
        </w:rPr>
        <w:t> </w:t>
      </w:r>
      <w:r>
        <w:rPr>
          <w:color w:val="231F20"/>
          <w:spacing w:val="-3"/>
          <w:sz w:val="16"/>
        </w:rPr>
        <w:t>Ford</w:t>
      </w:r>
      <w:r>
        <w:rPr>
          <w:color w:val="231F20"/>
          <w:spacing w:val="-7"/>
          <w:sz w:val="16"/>
        </w:rPr>
        <w:t> </w:t>
      </w:r>
      <w:r>
        <w:rPr>
          <w:color w:val="231F20"/>
          <w:sz w:val="16"/>
        </w:rPr>
        <w:t>anunció</w:t>
      </w:r>
      <w:r>
        <w:rPr>
          <w:color w:val="231F20"/>
          <w:spacing w:val="-7"/>
          <w:sz w:val="16"/>
        </w:rPr>
        <w:t> </w:t>
      </w:r>
      <w:r>
        <w:rPr>
          <w:color w:val="231F20"/>
          <w:sz w:val="16"/>
        </w:rPr>
        <w:t>una</w:t>
      </w:r>
      <w:r>
        <w:rPr>
          <w:color w:val="231F20"/>
          <w:spacing w:val="-7"/>
          <w:sz w:val="16"/>
        </w:rPr>
        <w:t> </w:t>
      </w:r>
      <w:r>
        <w:rPr>
          <w:color w:val="231F20"/>
          <w:sz w:val="16"/>
        </w:rPr>
        <w:t>inversión por tres mil millones de dólares en territorio mexicano, que representa la inversión más grande realizada por esta</w:t>
      </w:r>
      <w:r>
        <w:rPr>
          <w:color w:val="231F20"/>
          <w:spacing w:val="-7"/>
          <w:sz w:val="16"/>
        </w:rPr>
        <w:t> </w:t>
      </w:r>
      <w:r>
        <w:rPr>
          <w:color w:val="231F20"/>
          <w:sz w:val="16"/>
        </w:rPr>
        <w:t>firma</w:t>
      </w:r>
      <w:r>
        <w:rPr>
          <w:color w:val="231F20"/>
          <w:spacing w:val="-7"/>
          <w:sz w:val="16"/>
        </w:rPr>
        <w:t> </w:t>
      </w:r>
      <w:r>
        <w:rPr>
          <w:color w:val="231F20"/>
          <w:sz w:val="16"/>
        </w:rPr>
        <w:t>en</w:t>
      </w:r>
      <w:r>
        <w:rPr>
          <w:color w:val="231F20"/>
          <w:spacing w:val="-7"/>
          <w:sz w:val="16"/>
        </w:rPr>
        <w:t> </w:t>
      </w:r>
      <w:r>
        <w:rPr>
          <w:color w:val="231F20"/>
          <w:sz w:val="16"/>
        </w:rPr>
        <w:t>México,</w:t>
      </w:r>
      <w:r>
        <w:rPr>
          <w:color w:val="231F20"/>
          <w:spacing w:val="-7"/>
          <w:sz w:val="16"/>
        </w:rPr>
        <w:t> </w:t>
      </w:r>
      <w:r>
        <w:rPr>
          <w:color w:val="231F20"/>
          <w:sz w:val="16"/>
        </w:rPr>
        <w:t>canalizada</w:t>
      </w:r>
      <w:r>
        <w:rPr>
          <w:color w:val="231F20"/>
          <w:spacing w:val="-7"/>
          <w:sz w:val="16"/>
        </w:rPr>
        <w:t> </w:t>
      </w:r>
      <w:r>
        <w:rPr>
          <w:color w:val="231F20"/>
          <w:sz w:val="16"/>
        </w:rPr>
        <w:t>a</w:t>
      </w:r>
      <w:r>
        <w:rPr>
          <w:color w:val="231F20"/>
          <w:spacing w:val="-7"/>
          <w:sz w:val="16"/>
        </w:rPr>
        <w:t> </w:t>
      </w:r>
      <w:r>
        <w:rPr>
          <w:color w:val="231F20"/>
          <w:sz w:val="16"/>
        </w:rPr>
        <w:t>los</w:t>
      </w:r>
      <w:r>
        <w:rPr>
          <w:color w:val="231F20"/>
          <w:spacing w:val="-7"/>
          <w:sz w:val="16"/>
        </w:rPr>
        <w:t> </w:t>
      </w:r>
      <w:r>
        <w:rPr>
          <w:color w:val="231F20"/>
          <w:sz w:val="16"/>
        </w:rPr>
        <w:t>estados</w:t>
      </w:r>
      <w:r>
        <w:rPr>
          <w:color w:val="231F20"/>
          <w:spacing w:val="-7"/>
          <w:sz w:val="16"/>
        </w:rPr>
        <w:t> </w:t>
      </w:r>
      <w:r>
        <w:rPr>
          <w:color w:val="231F20"/>
          <w:sz w:val="16"/>
        </w:rPr>
        <w:t>de</w:t>
      </w:r>
      <w:r>
        <w:rPr>
          <w:color w:val="231F20"/>
          <w:spacing w:val="-7"/>
          <w:sz w:val="16"/>
        </w:rPr>
        <w:t> </w:t>
      </w:r>
      <w:r>
        <w:rPr>
          <w:color w:val="231F20"/>
          <w:sz w:val="16"/>
        </w:rPr>
        <w:t>Guanajuato,</w:t>
      </w:r>
      <w:r>
        <w:rPr>
          <w:color w:val="231F20"/>
          <w:spacing w:val="-7"/>
          <w:sz w:val="16"/>
        </w:rPr>
        <w:t> </w:t>
      </w:r>
      <w:r>
        <w:rPr>
          <w:color w:val="231F20"/>
          <w:sz w:val="16"/>
        </w:rPr>
        <w:t>Chihuahua</w:t>
      </w:r>
      <w:r>
        <w:rPr>
          <w:color w:val="231F20"/>
          <w:spacing w:val="-7"/>
          <w:sz w:val="16"/>
        </w:rPr>
        <w:t> </w:t>
      </w:r>
      <w:r>
        <w:rPr>
          <w:color w:val="231F20"/>
          <w:sz w:val="16"/>
        </w:rPr>
        <w:t>y</w:t>
      </w:r>
      <w:r>
        <w:rPr>
          <w:color w:val="231F20"/>
          <w:spacing w:val="-7"/>
          <w:sz w:val="16"/>
        </w:rPr>
        <w:t> </w:t>
      </w:r>
      <w:r>
        <w:rPr>
          <w:color w:val="231F20"/>
          <w:sz w:val="16"/>
        </w:rPr>
        <w:t>el</w:t>
      </w:r>
      <w:r>
        <w:rPr>
          <w:color w:val="231F20"/>
          <w:spacing w:val="-7"/>
          <w:sz w:val="16"/>
        </w:rPr>
        <w:t> </w:t>
      </w:r>
      <w:r>
        <w:rPr>
          <w:color w:val="231F20"/>
          <w:sz w:val="16"/>
        </w:rPr>
        <w:t>Estado</w:t>
      </w:r>
      <w:r>
        <w:rPr>
          <w:color w:val="231F20"/>
          <w:spacing w:val="-7"/>
          <w:sz w:val="16"/>
        </w:rPr>
        <w:t> </w:t>
      </w:r>
      <w:r>
        <w:rPr>
          <w:color w:val="231F20"/>
          <w:sz w:val="16"/>
        </w:rPr>
        <w:t>de</w:t>
      </w:r>
      <w:r>
        <w:rPr>
          <w:color w:val="231F20"/>
          <w:spacing w:val="-7"/>
          <w:sz w:val="16"/>
        </w:rPr>
        <w:t> </w:t>
      </w:r>
      <w:r>
        <w:rPr>
          <w:color w:val="231F20"/>
          <w:sz w:val="16"/>
        </w:rPr>
        <w:t>México.</w:t>
      </w:r>
      <w:r>
        <w:rPr>
          <w:color w:val="231F20"/>
          <w:spacing w:val="-7"/>
          <w:sz w:val="16"/>
        </w:rPr>
        <w:t> </w:t>
      </w:r>
      <w:r>
        <w:rPr>
          <w:color w:val="231F20"/>
          <w:sz w:val="16"/>
        </w:rPr>
        <w:t>Mil</w:t>
      </w:r>
      <w:r>
        <w:rPr>
          <w:color w:val="231F20"/>
          <w:spacing w:val="-6"/>
          <w:sz w:val="16"/>
        </w:rPr>
        <w:t> </w:t>
      </w:r>
      <w:r>
        <w:rPr>
          <w:color w:val="231F20"/>
          <w:sz w:val="16"/>
        </w:rPr>
        <w:t>millones de dólares destinados a rehabilitar la planta de Cuautitlán, Estado de México, que permita la producción de la nueva generación de vehículos para distribuirse internacionalmente (esta planta ya se encuentra en remode- lación). Ochocientos millones de dólares invertidos en la ampliación de la planta de motores de Chihuahua   y 500 millones de dólares en coinversión con Getrag para construir una nueva planta de transmisiones en Guanajuato</w:t>
      </w:r>
      <w:r>
        <w:rPr>
          <w:color w:val="231F20"/>
          <w:spacing w:val="-17"/>
          <w:sz w:val="16"/>
        </w:rPr>
        <w:t> </w:t>
      </w:r>
      <w:r>
        <w:rPr>
          <w:color w:val="231F20"/>
          <w:sz w:val="16"/>
        </w:rPr>
        <w:t>(</w:t>
      </w:r>
      <w:r>
        <w:rPr>
          <w:rFonts w:ascii="Palatino Linotype" w:hAnsi="Palatino Linotype"/>
          <w:i/>
          <w:color w:val="231F20"/>
          <w:sz w:val="16"/>
        </w:rPr>
        <w:t>El</w:t>
      </w:r>
      <w:r>
        <w:rPr>
          <w:rFonts w:ascii="Palatino Linotype" w:hAnsi="Palatino Linotype"/>
          <w:i/>
          <w:color w:val="231F20"/>
          <w:spacing w:val="-16"/>
          <w:sz w:val="16"/>
        </w:rPr>
        <w:t> </w:t>
      </w:r>
      <w:r>
        <w:rPr>
          <w:rFonts w:ascii="Palatino Linotype" w:hAnsi="Palatino Linotype"/>
          <w:i/>
          <w:color w:val="231F20"/>
          <w:sz w:val="16"/>
        </w:rPr>
        <w:t>Financiero</w:t>
      </w:r>
      <w:r>
        <w:rPr>
          <w:color w:val="231F20"/>
          <w:sz w:val="16"/>
        </w:rPr>
        <w:t>,</w:t>
      </w:r>
      <w:r>
        <w:rPr>
          <w:color w:val="231F20"/>
          <w:spacing w:val="-17"/>
          <w:sz w:val="16"/>
        </w:rPr>
        <w:t> </w:t>
      </w:r>
      <w:r>
        <w:rPr>
          <w:color w:val="231F20"/>
          <w:sz w:val="16"/>
        </w:rPr>
        <w:t>2008).</w:t>
      </w:r>
    </w:p>
    <w:p>
      <w:pPr>
        <w:spacing w:after="0" w:line="285" w:lineRule="auto"/>
        <w:jc w:val="both"/>
        <w:rPr>
          <w:sz w:val="16"/>
        </w:rPr>
        <w:sectPr>
          <w:pgSz w:w="9640" w:h="13040"/>
          <w:pgMar w:header="581" w:footer="654" w:top="780" w:bottom="840" w:left="480" w:right="1180"/>
        </w:sectPr>
      </w:pPr>
    </w:p>
    <w:p>
      <w:pPr>
        <w:pStyle w:val="BodyText"/>
        <w:rPr>
          <w:sz w:val="20"/>
        </w:rPr>
      </w:pPr>
    </w:p>
    <w:p>
      <w:pPr>
        <w:pStyle w:val="BodyText"/>
        <w:spacing w:before="9"/>
        <w:rPr>
          <w:sz w:val="15"/>
        </w:rPr>
      </w:pPr>
    </w:p>
    <w:p>
      <w:pPr>
        <w:spacing w:line="256" w:lineRule="auto" w:before="0"/>
        <w:ind w:left="103" w:right="648" w:firstLine="396"/>
        <w:jc w:val="both"/>
        <w:rPr>
          <w:sz w:val="21"/>
        </w:rPr>
      </w:pPr>
      <w:r>
        <w:rPr>
          <w:rFonts w:ascii="Palatino Linotype" w:hAnsi="Palatino Linotype"/>
          <w:i/>
          <w:color w:val="010202"/>
          <w:sz w:val="21"/>
        </w:rPr>
        <w:t>El</w:t>
      </w:r>
      <w:r>
        <w:rPr>
          <w:rFonts w:ascii="Palatino Linotype" w:hAnsi="Palatino Linotype"/>
          <w:i/>
          <w:color w:val="010202"/>
          <w:spacing w:val="-17"/>
          <w:sz w:val="21"/>
        </w:rPr>
        <w:t> </w:t>
      </w:r>
      <w:r>
        <w:rPr>
          <w:rFonts w:ascii="Palatino Linotype" w:hAnsi="Palatino Linotype"/>
          <w:i/>
          <w:color w:val="010202"/>
          <w:sz w:val="21"/>
        </w:rPr>
        <w:t>Decreto</w:t>
      </w:r>
      <w:r>
        <w:rPr>
          <w:rFonts w:ascii="Palatino Linotype" w:hAnsi="Palatino Linotype"/>
          <w:i/>
          <w:color w:val="010202"/>
          <w:spacing w:val="-17"/>
          <w:sz w:val="21"/>
        </w:rPr>
        <w:t> </w:t>
      </w:r>
      <w:r>
        <w:rPr>
          <w:rFonts w:ascii="Palatino Linotype" w:hAnsi="Palatino Linotype"/>
          <w:i/>
          <w:color w:val="010202"/>
          <w:sz w:val="21"/>
        </w:rPr>
        <w:t>por</w:t>
      </w:r>
      <w:r>
        <w:rPr>
          <w:rFonts w:ascii="Palatino Linotype" w:hAnsi="Palatino Linotype"/>
          <w:i/>
          <w:color w:val="010202"/>
          <w:spacing w:val="-17"/>
          <w:sz w:val="21"/>
        </w:rPr>
        <w:t> </w:t>
      </w:r>
      <w:r>
        <w:rPr>
          <w:rFonts w:ascii="Palatino Linotype" w:hAnsi="Palatino Linotype"/>
          <w:i/>
          <w:color w:val="010202"/>
          <w:sz w:val="21"/>
        </w:rPr>
        <w:t>el</w:t>
      </w:r>
      <w:r>
        <w:rPr>
          <w:rFonts w:ascii="Palatino Linotype" w:hAnsi="Palatino Linotype"/>
          <w:i/>
          <w:color w:val="010202"/>
          <w:spacing w:val="-17"/>
          <w:sz w:val="21"/>
        </w:rPr>
        <w:t> </w:t>
      </w:r>
      <w:r>
        <w:rPr>
          <w:rFonts w:ascii="Palatino Linotype" w:hAnsi="Palatino Linotype"/>
          <w:i/>
          <w:color w:val="010202"/>
          <w:sz w:val="21"/>
        </w:rPr>
        <w:t>que</w:t>
      </w:r>
      <w:r>
        <w:rPr>
          <w:rFonts w:ascii="Palatino Linotype" w:hAnsi="Palatino Linotype"/>
          <w:i/>
          <w:color w:val="010202"/>
          <w:spacing w:val="-17"/>
          <w:sz w:val="21"/>
        </w:rPr>
        <w:t> </w:t>
      </w:r>
      <w:r>
        <w:rPr>
          <w:rFonts w:ascii="Palatino Linotype" w:hAnsi="Palatino Linotype"/>
          <w:i/>
          <w:color w:val="010202"/>
          <w:sz w:val="21"/>
        </w:rPr>
        <w:t>se</w:t>
      </w:r>
      <w:r>
        <w:rPr>
          <w:rFonts w:ascii="Palatino Linotype" w:hAnsi="Palatino Linotype"/>
          <w:i/>
          <w:color w:val="010202"/>
          <w:spacing w:val="-17"/>
          <w:sz w:val="21"/>
        </w:rPr>
        <w:t> </w:t>
      </w:r>
      <w:r>
        <w:rPr>
          <w:rFonts w:ascii="Palatino Linotype" w:hAnsi="Palatino Linotype"/>
          <w:i/>
          <w:color w:val="010202"/>
          <w:sz w:val="21"/>
        </w:rPr>
        <w:t>establecen</w:t>
      </w:r>
      <w:r>
        <w:rPr>
          <w:rFonts w:ascii="Palatino Linotype" w:hAnsi="Palatino Linotype"/>
          <w:i/>
          <w:color w:val="010202"/>
          <w:spacing w:val="-17"/>
          <w:sz w:val="21"/>
        </w:rPr>
        <w:t> </w:t>
      </w:r>
      <w:r>
        <w:rPr>
          <w:rFonts w:ascii="Palatino Linotype" w:hAnsi="Palatino Linotype"/>
          <w:i/>
          <w:color w:val="010202"/>
          <w:sz w:val="21"/>
        </w:rPr>
        <w:t>las</w:t>
      </w:r>
      <w:r>
        <w:rPr>
          <w:rFonts w:ascii="Palatino Linotype" w:hAnsi="Palatino Linotype"/>
          <w:i/>
          <w:color w:val="010202"/>
          <w:spacing w:val="-17"/>
          <w:sz w:val="21"/>
        </w:rPr>
        <w:t> </w:t>
      </w:r>
      <w:r>
        <w:rPr>
          <w:rFonts w:ascii="Palatino Linotype" w:hAnsi="Palatino Linotype"/>
          <w:i/>
          <w:color w:val="010202"/>
          <w:sz w:val="21"/>
        </w:rPr>
        <w:t>condiciones</w:t>
      </w:r>
      <w:r>
        <w:rPr>
          <w:rFonts w:ascii="Palatino Linotype" w:hAnsi="Palatino Linotype"/>
          <w:i/>
          <w:color w:val="010202"/>
          <w:spacing w:val="-17"/>
          <w:sz w:val="21"/>
        </w:rPr>
        <w:t> </w:t>
      </w:r>
      <w:r>
        <w:rPr>
          <w:rFonts w:ascii="Palatino Linotype" w:hAnsi="Palatino Linotype"/>
          <w:i/>
          <w:color w:val="010202"/>
          <w:sz w:val="21"/>
        </w:rPr>
        <w:t>para</w:t>
      </w:r>
      <w:r>
        <w:rPr>
          <w:rFonts w:ascii="Palatino Linotype" w:hAnsi="Palatino Linotype"/>
          <w:i/>
          <w:color w:val="010202"/>
          <w:spacing w:val="-17"/>
          <w:sz w:val="21"/>
        </w:rPr>
        <w:t> </w:t>
      </w:r>
      <w:r>
        <w:rPr>
          <w:rFonts w:ascii="Palatino Linotype" w:hAnsi="Palatino Linotype"/>
          <w:i/>
          <w:color w:val="010202"/>
          <w:sz w:val="21"/>
        </w:rPr>
        <w:t>la</w:t>
      </w:r>
      <w:r>
        <w:rPr>
          <w:rFonts w:ascii="Palatino Linotype" w:hAnsi="Palatino Linotype"/>
          <w:i/>
          <w:color w:val="010202"/>
          <w:spacing w:val="-17"/>
          <w:sz w:val="21"/>
        </w:rPr>
        <w:t> </w:t>
      </w:r>
      <w:r>
        <w:rPr>
          <w:rFonts w:ascii="Palatino Linotype" w:hAnsi="Palatino Linotype"/>
          <w:i/>
          <w:color w:val="010202"/>
          <w:sz w:val="21"/>
        </w:rPr>
        <w:t>importación</w:t>
      </w:r>
      <w:r>
        <w:rPr>
          <w:rFonts w:ascii="Palatino Linotype" w:hAnsi="Palatino Linotype"/>
          <w:i/>
          <w:color w:val="010202"/>
          <w:spacing w:val="-17"/>
          <w:sz w:val="21"/>
        </w:rPr>
        <w:t> </w:t>
      </w:r>
      <w:r>
        <w:rPr>
          <w:rFonts w:ascii="Palatino Linotype" w:hAnsi="Palatino Linotype"/>
          <w:i/>
          <w:color w:val="010202"/>
          <w:sz w:val="21"/>
        </w:rPr>
        <w:t>definitiva</w:t>
      </w:r>
      <w:r>
        <w:rPr>
          <w:rFonts w:ascii="Palatino Linotype" w:hAnsi="Palatino Linotype"/>
          <w:i/>
          <w:color w:val="010202"/>
          <w:spacing w:val="-17"/>
          <w:sz w:val="21"/>
        </w:rPr>
        <w:t> </w:t>
      </w:r>
      <w:r>
        <w:rPr>
          <w:rFonts w:ascii="Palatino Linotype" w:hAnsi="Palatino Linotype"/>
          <w:i/>
          <w:color w:val="010202"/>
          <w:sz w:val="21"/>
        </w:rPr>
        <w:t>de </w:t>
      </w:r>
      <w:r>
        <w:rPr>
          <w:rFonts w:ascii="Palatino Linotype" w:hAnsi="Palatino Linotype"/>
          <w:i/>
          <w:color w:val="010202"/>
          <w:sz w:val="21"/>
        </w:rPr>
        <w:t>vehículos</w:t>
      </w:r>
      <w:r>
        <w:rPr>
          <w:rFonts w:ascii="Palatino Linotype" w:hAnsi="Palatino Linotype"/>
          <w:i/>
          <w:color w:val="010202"/>
          <w:spacing w:val="-16"/>
          <w:sz w:val="21"/>
        </w:rPr>
        <w:t> </w:t>
      </w:r>
      <w:r>
        <w:rPr>
          <w:rFonts w:ascii="Palatino Linotype" w:hAnsi="Palatino Linotype"/>
          <w:i/>
          <w:color w:val="010202"/>
          <w:sz w:val="21"/>
        </w:rPr>
        <w:t>automotores</w:t>
      </w:r>
      <w:r>
        <w:rPr>
          <w:rFonts w:ascii="Palatino Linotype" w:hAnsi="Palatino Linotype"/>
          <w:i/>
          <w:color w:val="010202"/>
          <w:spacing w:val="-16"/>
          <w:sz w:val="21"/>
        </w:rPr>
        <w:t> </w:t>
      </w:r>
      <w:r>
        <w:rPr>
          <w:rFonts w:ascii="Palatino Linotype" w:hAnsi="Palatino Linotype"/>
          <w:i/>
          <w:color w:val="010202"/>
          <w:sz w:val="21"/>
        </w:rPr>
        <w:t>usados,</w:t>
      </w:r>
      <w:r>
        <w:rPr>
          <w:rFonts w:ascii="Palatino Linotype" w:hAnsi="Palatino Linotype"/>
          <w:i/>
          <w:color w:val="010202"/>
          <w:spacing w:val="-16"/>
          <w:sz w:val="21"/>
        </w:rPr>
        <w:t> </w:t>
      </w:r>
      <w:r>
        <w:rPr>
          <w:rFonts w:ascii="Palatino Linotype" w:hAnsi="Palatino Linotype"/>
          <w:i/>
          <w:color w:val="010202"/>
          <w:sz w:val="21"/>
        </w:rPr>
        <w:t>destinados</w:t>
      </w:r>
      <w:r>
        <w:rPr>
          <w:rFonts w:ascii="Palatino Linotype" w:hAnsi="Palatino Linotype"/>
          <w:i/>
          <w:color w:val="010202"/>
          <w:spacing w:val="-16"/>
          <w:sz w:val="21"/>
        </w:rPr>
        <w:t> </w:t>
      </w:r>
      <w:r>
        <w:rPr>
          <w:rFonts w:ascii="Palatino Linotype" w:hAnsi="Palatino Linotype"/>
          <w:i/>
          <w:color w:val="010202"/>
          <w:sz w:val="21"/>
        </w:rPr>
        <w:t>a</w:t>
      </w:r>
      <w:r>
        <w:rPr>
          <w:rFonts w:ascii="Palatino Linotype" w:hAnsi="Palatino Linotype"/>
          <w:i/>
          <w:color w:val="010202"/>
          <w:spacing w:val="-16"/>
          <w:sz w:val="21"/>
        </w:rPr>
        <w:t> </w:t>
      </w:r>
      <w:r>
        <w:rPr>
          <w:rFonts w:ascii="Palatino Linotype" w:hAnsi="Palatino Linotype"/>
          <w:i/>
          <w:color w:val="010202"/>
          <w:sz w:val="21"/>
        </w:rPr>
        <w:t>permanecer</w:t>
      </w:r>
      <w:r>
        <w:rPr>
          <w:rFonts w:ascii="Palatino Linotype" w:hAnsi="Palatino Linotype"/>
          <w:i/>
          <w:color w:val="010202"/>
          <w:spacing w:val="-16"/>
          <w:sz w:val="21"/>
        </w:rPr>
        <w:t> </w:t>
      </w:r>
      <w:r>
        <w:rPr>
          <w:rFonts w:ascii="Palatino Linotype" w:hAnsi="Palatino Linotype"/>
          <w:i/>
          <w:color w:val="010202"/>
          <w:sz w:val="21"/>
        </w:rPr>
        <w:t>en</w:t>
      </w:r>
      <w:r>
        <w:rPr>
          <w:rFonts w:ascii="Palatino Linotype" w:hAnsi="Palatino Linotype"/>
          <w:i/>
          <w:color w:val="010202"/>
          <w:spacing w:val="-16"/>
          <w:sz w:val="21"/>
        </w:rPr>
        <w:t> </w:t>
      </w:r>
      <w:r>
        <w:rPr>
          <w:rFonts w:ascii="Palatino Linotype" w:hAnsi="Palatino Linotype"/>
          <w:i/>
          <w:color w:val="010202"/>
          <w:sz w:val="21"/>
        </w:rPr>
        <w:t>la</w:t>
      </w:r>
      <w:r>
        <w:rPr>
          <w:rFonts w:ascii="Palatino Linotype" w:hAnsi="Palatino Linotype"/>
          <w:i/>
          <w:color w:val="010202"/>
          <w:spacing w:val="-16"/>
          <w:sz w:val="21"/>
        </w:rPr>
        <w:t> </w:t>
      </w:r>
      <w:r>
        <w:rPr>
          <w:rFonts w:ascii="Palatino Linotype" w:hAnsi="Palatino Linotype"/>
          <w:i/>
          <w:color w:val="010202"/>
          <w:sz w:val="21"/>
        </w:rPr>
        <w:t>franja</w:t>
      </w:r>
      <w:r>
        <w:rPr>
          <w:rFonts w:ascii="Palatino Linotype" w:hAnsi="Palatino Linotype"/>
          <w:i/>
          <w:color w:val="010202"/>
          <w:spacing w:val="-16"/>
          <w:sz w:val="21"/>
        </w:rPr>
        <w:t> </w:t>
      </w:r>
      <w:r>
        <w:rPr>
          <w:rFonts w:ascii="Palatino Linotype" w:hAnsi="Palatino Linotype"/>
          <w:i/>
          <w:color w:val="010202"/>
          <w:sz w:val="21"/>
        </w:rPr>
        <w:t>fronteriza</w:t>
      </w:r>
      <w:r>
        <w:rPr>
          <w:rFonts w:ascii="Palatino Linotype" w:hAnsi="Palatino Linotype"/>
          <w:i/>
          <w:color w:val="010202"/>
          <w:spacing w:val="-16"/>
          <w:sz w:val="21"/>
        </w:rPr>
        <w:t> </w:t>
      </w:r>
      <w:r>
        <w:rPr>
          <w:rFonts w:ascii="Palatino Linotype" w:hAnsi="Palatino Linotype"/>
          <w:i/>
          <w:color w:val="010202"/>
          <w:sz w:val="21"/>
        </w:rPr>
        <w:t>norte</w:t>
      </w:r>
      <w:r>
        <w:rPr>
          <w:rFonts w:ascii="Palatino Linotype" w:hAnsi="Palatino Linotype"/>
          <w:i/>
          <w:color w:val="010202"/>
          <w:spacing w:val="-16"/>
          <w:sz w:val="21"/>
        </w:rPr>
        <w:t> </w:t>
      </w:r>
      <w:r>
        <w:rPr>
          <w:rFonts w:ascii="Palatino Linotype" w:hAnsi="Palatino Linotype"/>
          <w:i/>
          <w:color w:val="010202"/>
          <w:sz w:val="21"/>
        </w:rPr>
        <w:t>del país,</w:t>
      </w:r>
      <w:r>
        <w:rPr>
          <w:rFonts w:ascii="Palatino Linotype" w:hAnsi="Palatino Linotype"/>
          <w:i/>
          <w:color w:val="010202"/>
          <w:spacing w:val="-9"/>
          <w:sz w:val="21"/>
        </w:rPr>
        <w:t> </w:t>
      </w:r>
      <w:r>
        <w:rPr>
          <w:rFonts w:ascii="Palatino Linotype" w:hAnsi="Palatino Linotype"/>
          <w:i/>
          <w:color w:val="010202"/>
          <w:sz w:val="21"/>
        </w:rPr>
        <w:t>en</w:t>
      </w:r>
      <w:r>
        <w:rPr>
          <w:rFonts w:ascii="Palatino Linotype" w:hAnsi="Palatino Linotype"/>
          <w:i/>
          <w:color w:val="010202"/>
          <w:spacing w:val="-9"/>
          <w:sz w:val="21"/>
        </w:rPr>
        <w:t> </w:t>
      </w:r>
      <w:r>
        <w:rPr>
          <w:rFonts w:ascii="Palatino Linotype" w:hAnsi="Palatino Linotype"/>
          <w:i/>
          <w:color w:val="010202"/>
          <w:sz w:val="21"/>
        </w:rPr>
        <w:t>los</w:t>
      </w:r>
      <w:r>
        <w:rPr>
          <w:rFonts w:ascii="Palatino Linotype" w:hAnsi="Palatino Linotype"/>
          <w:i/>
          <w:color w:val="010202"/>
          <w:spacing w:val="-9"/>
          <w:sz w:val="21"/>
        </w:rPr>
        <w:t> </w:t>
      </w:r>
      <w:r>
        <w:rPr>
          <w:rFonts w:ascii="Palatino Linotype" w:hAnsi="Palatino Linotype"/>
          <w:i/>
          <w:color w:val="010202"/>
          <w:sz w:val="21"/>
        </w:rPr>
        <w:t>estados</w:t>
      </w:r>
      <w:r>
        <w:rPr>
          <w:rFonts w:ascii="Palatino Linotype" w:hAnsi="Palatino Linotype"/>
          <w:i/>
          <w:color w:val="010202"/>
          <w:spacing w:val="-9"/>
          <w:sz w:val="21"/>
        </w:rPr>
        <w:t> </w:t>
      </w:r>
      <w:r>
        <w:rPr>
          <w:rFonts w:ascii="Palatino Linotype" w:hAnsi="Palatino Linotype"/>
          <w:i/>
          <w:color w:val="010202"/>
          <w:sz w:val="21"/>
        </w:rPr>
        <w:t>de</w:t>
      </w:r>
      <w:r>
        <w:rPr>
          <w:rFonts w:ascii="Palatino Linotype" w:hAnsi="Palatino Linotype"/>
          <w:i/>
          <w:color w:val="010202"/>
          <w:spacing w:val="-9"/>
          <w:sz w:val="21"/>
        </w:rPr>
        <w:t> </w:t>
      </w:r>
      <w:r>
        <w:rPr>
          <w:rFonts w:ascii="Palatino Linotype" w:hAnsi="Palatino Linotype"/>
          <w:i/>
          <w:color w:val="010202"/>
          <w:sz w:val="21"/>
        </w:rPr>
        <w:t>Baja</w:t>
      </w:r>
      <w:r>
        <w:rPr>
          <w:rFonts w:ascii="Palatino Linotype" w:hAnsi="Palatino Linotype"/>
          <w:i/>
          <w:color w:val="010202"/>
          <w:spacing w:val="-9"/>
          <w:sz w:val="21"/>
        </w:rPr>
        <w:t> </w:t>
      </w:r>
      <w:r>
        <w:rPr>
          <w:rFonts w:ascii="Palatino Linotype" w:hAnsi="Palatino Linotype"/>
          <w:i/>
          <w:color w:val="010202"/>
          <w:sz w:val="21"/>
        </w:rPr>
        <w:t>California</w:t>
      </w:r>
      <w:r>
        <w:rPr>
          <w:rFonts w:ascii="Palatino Linotype" w:hAnsi="Palatino Linotype"/>
          <w:i/>
          <w:color w:val="010202"/>
          <w:spacing w:val="-9"/>
          <w:sz w:val="21"/>
        </w:rPr>
        <w:t> </w:t>
      </w:r>
      <w:r>
        <w:rPr>
          <w:rFonts w:ascii="Palatino Linotype" w:hAnsi="Palatino Linotype"/>
          <w:i/>
          <w:color w:val="010202"/>
          <w:sz w:val="21"/>
        </w:rPr>
        <w:t>y</w:t>
      </w:r>
      <w:r>
        <w:rPr>
          <w:rFonts w:ascii="Palatino Linotype" w:hAnsi="Palatino Linotype"/>
          <w:i/>
          <w:color w:val="010202"/>
          <w:spacing w:val="-9"/>
          <w:sz w:val="21"/>
        </w:rPr>
        <w:t> </w:t>
      </w:r>
      <w:r>
        <w:rPr>
          <w:rFonts w:ascii="Palatino Linotype" w:hAnsi="Palatino Linotype"/>
          <w:i/>
          <w:color w:val="010202"/>
          <w:sz w:val="21"/>
        </w:rPr>
        <w:t>Baja</w:t>
      </w:r>
      <w:r>
        <w:rPr>
          <w:rFonts w:ascii="Palatino Linotype" w:hAnsi="Palatino Linotype"/>
          <w:i/>
          <w:color w:val="010202"/>
          <w:spacing w:val="-9"/>
          <w:sz w:val="21"/>
        </w:rPr>
        <w:t> </w:t>
      </w:r>
      <w:r>
        <w:rPr>
          <w:rFonts w:ascii="Palatino Linotype" w:hAnsi="Palatino Linotype"/>
          <w:i/>
          <w:color w:val="010202"/>
          <w:sz w:val="21"/>
        </w:rPr>
        <w:t>California</w:t>
      </w:r>
      <w:r>
        <w:rPr>
          <w:rFonts w:ascii="Palatino Linotype" w:hAnsi="Palatino Linotype"/>
          <w:i/>
          <w:color w:val="010202"/>
          <w:spacing w:val="-9"/>
          <w:sz w:val="21"/>
        </w:rPr>
        <w:t> </w:t>
      </w:r>
      <w:r>
        <w:rPr>
          <w:rFonts w:ascii="Palatino Linotype" w:hAnsi="Palatino Linotype"/>
          <w:i/>
          <w:color w:val="010202"/>
          <w:spacing w:val="-5"/>
          <w:sz w:val="21"/>
        </w:rPr>
        <w:t>Sur,</w:t>
      </w:r>
      <w:r>
        <w:rPr>
          <w:rFonts w:ascii="Palatino Linotype" w:hAnsi="Palatino Linotype"/>
          <w:i/>
          <w:color w:val="010202"/>
          <w:spacing w:val="-9"/>
          <w:sz w:val="21"/>
        </w:rPr>
        <w:t> </w:t>
      </w:r>
      <w:r>
        <w:rPr>
          <w:rFonts w:ascii="Palatino Linotype" w:hAnsi="Palatino Linotype"/>
          <w:i/>
          <w:color w:val="010202"/>
          <w:sz w:val="21"/>
        </w:rPr>
        <w:t>en</w:t>
      </w:r>
      <w:r>
        <w:rPr>
          <w:rFonts w:ascii="Palatino Linotype" w:hAnsi="Palatino Linotype"/>
          <w:i/>
          <w:color w:val="010202"/>
          <w:spacing w:val="-9"/>
          <w:sz w:val="21"/>
        </w:rPr>
        <w:t> </w:t>
      </w:r>
      <w:r>
        <w:rPr>
          <w:rFonts w:ascii="Palatino Linotype" w:hAnsi="Palatino Linotype"/>
          <w:i/>
          <w:color w:val="010202"/>
          <w:sz w:val="21"/>
        </w:rPr>
        <w:t>la</w:t>
      </w:r>
      <w:r>
        <w:rPr>
          <w:rFonts w:ascii="Palatino Linotype" w:hAnsi="Palatino Linotype"/>
          <w:i/>
          <w:color w:val="010202"/>
          <w:spacing w:val="-9"/>
          <w:sz w:val="21"/>
        </w:rPr>
        <w:t> </w:t>
      </w:r>
      <w:r>
        <w:rPr>
          <w:rFonts w:ascii="Palatino Linotype" w:hAnsi="Palatino Linotype"/>
          <w:i/>
          <w:color w:val="010202"/>
          <w:sz w:val="21"/>
        </w:rPr>
        <w:t>región</w:t>
      </w:r>
      <w:r>
        <w:rPr>
          <w:rFonts w:ascii="Palatino Linotype" w:hAnsi="Palatino Linotype"/>
          <w:i/>
          <w:color w:val="010202"/>
          <w:spacing w:val="-9"/>
          <w:sz w:val="21"/>
        </w:rPr>
        <w:t> </w:t>
      </w:r>
      <w:r>
        <w:rPr>
          <w:rFonts w:ascii="Palatino Linotype" w:hAnsi="Palatino Linotype"/>
          <w:i/>
          <w:color w:val="010202"/>
          <w:sz w:val="21"/>
        </w:rPr>
        <w:t>parcial</w:t>
      </w:r>
      <w:r>
        <w:rPr>
          <w:rFonts w:ascii="Palatino Linotype" w:hAnsi="Palatino Linotype"/>
          <w:i/>
          <w:color w:val="010202"/>
          <w:spacing w:val="-9"/>
          <w:sz w:val="21"/>
        </w:rPr>
        <w:t> </w:t>
      </w:r>
      <w:r>
        <w:rPr>
          <w:rFonts w:ascii="Palatino Linotype" w:hAnsi="Palatino Linotype"/>
          <w:i/>
          <w:color w:val="010202"/>
          <w:sz w:val="21"/>
        </w:rPr>
        <w:t>del</w:t>
      </w:r>
      <w:r>
        <w:rPr>
          <w:rFonts w:ascii="Palatino Linotype" w:hAnsi="Palatino Linotype"/>
          <w:i/>
          <w:color w:val="010202"/>
          <w:spacing w:val="-9"/>
          <w:sz w:val="21"/>
        </w:rPr>
        <w:t> </w:t>
      </w:r>
      <w:r>
        <w:rPr>
          <w:rFonts w:ascii="Palatino Linotype" w:hAnsi="Palatino Linotype"/>
          <w:i/>
          <w:color w:val="010202"/>
          <w:sz w:val="21"/>
        </w:rPr>
        <w:t>es- tado</w:t>
      </w:r>
      <w:r>
        <w:rPr>
          <w:rFonts w:ascii="Palatino Linotype" w:hAnsi="Palatino Linotype"/>
          <w:i/>
          <w:color w:val="010202"/>
          <w:spacing w:val="-11"/>
          <w:sz w:val="21"/>
        </w:rPr>
        <w:t> </w:t>
      </w:r>
      <w:r>
        <w:rPr>
          <w:rFonts w:ascii="Palatino Linotype" w:hAnsi="Palatino Linotype"/>
          <w:i/>
          <w:color w:val="010202"/>
          <w:sz w:val="21"/>
        </w:rPr>
        <w:t>de</w:t>
      </w:r>
      <w:r>
        <w:rPr>
          <w:rFonts w:ascii="Palatino Linotype" w:hAnsi="Palatino Linotype"/>
          <w:i/>
          <w:color w:val="010202"/>
          <w:spacing w:val="-11"/>
          <w:sz w:val="21"/>
        </w:rPr>
        <w:t> </w:t>
      </w:r>
      <w:r>
        <w:rPr>
          <w:rFonts w:ascii="Palatino Linotype" w:hAnsi="Palatino Linotype"/>
          <w:i/>
          <w:color w:val="010202"/>
          <w:sz w:val="21"/>
        </w:rPr>
        <w:t>Sonora</w:t>
      </w:r>
      <w:r>
        <w:rPr>
          <w:rFonts w:ascii="Palatino Linotype" w:hAnsi="Palatino Linotype"/>
          <w:i/>
          <w:color w:val="010202"/>
          <w:spacing w:val="-11"/>
          <w:sz w:val="21"/>
        </w:rPr>
        <w:t> </w:t>
      </w:r>
      <w:r>
        <w:rPr>
          <w:rFonts w:ascii="Palatino Linotype" w:hAnsi="Palatino Linotype"/>
          <w:i/>
          <w:color w:val="010202"/>
          <w:sz w:val="21"/>
        </w:rPr>
        <w:t>y</w:t>
      </w:r>
      <w:r>
        <w:rPr>
          <w:rFonts w:ascii="Palatino Linotype" w:hAnsi="Palatino Linotype"/>
          <w:i/>
          <w:color w:val="010202"/>
          <w:spacing w:val="-11"/>
          <w:sz w:val="21"/>
        </w:rPr>
        <w:t> </w:t>
      </w:r>
      <w:r>
        <w:rPr>
          <w:rFonts w:ascii="Palatino Linotype" w:hAnsi="Palatino Linotype"/>
          <w:i/>
          <w:color w:val="010202"/>
          <w:sz w:val="21"/>
        </w:rPr>
        <w:t>en</w:t>
      </w:r>
      <w:r>
        <w:rPr>
          <w:rFonts w:ascii="Palatino Linotype" w:hAnsi="Palatino Linotype"/>
          <w:i/>
          <w:color w:val="010202"/>
          <w:spacing w:val="-11"/>
          <w:sz w:val="21"/>
        </w:rPr>
        <w:t> </w:t>
      </w:r>
      <w:r>
        <w:rPr>
          <w:rFonts w:ascii="Palatino Linotype" w:hAnsi="Palatino Linotype"/>
          <w:i/>
          <w:color w:val="010202"/>
          <w:sz w:val="21"/>
        </w:rPr>
        <w:t>los</w:t>
      </w:r>
      <w:r>
        <w:rPr>
          <w:rFonts w:ascii="Palatino Linotype" w:hAnsi="Palatino Linotype"/>
          <w:i/>
          <w:color w:val="010202"/>
          <w:spacing w:val="-11"/>
          <w:sz w:val="21"/>
        </w:rPr>
        <w:t> </w:t>
      </w:r>
      <w:r>
        <w:rPr>
          <w:rFonts w:ascii="Palatino Linotype" w:hAnsi="Palatino Linotype"/>
          <w:i/>
          <w:color w:val="010202"/>
          <w:sz w:val="21"/>
        </w:rPr>
        <w:t>municipios</w:t>
      </w:r>
      <w:r>
        <w:rPr>
          <w:rFonts w:ascii="Palatino Linotype" w:hAnsi="Palatino Linotype"/>
          <w:i/>
          <w:color w:val="010202"/>
          <w:spacing w:val="-11"/>
          <w:sz w:val="21"/>
        </w:rPr>
        <w:t> </w:t>
      </w:r>
      <w:r>
        <w:rPr>
          <w:rFonts w:ascii="Palatino Linotype" w:hAnsi="Palatino Linotype"/>
          <w:i/>
          <w:color w:val="010202"/>
          <w:sz w:val="21"/>
        </w:rPr>
        <w:t>de</w:t>
      </w:r>
      <w:r>
        <w:rPr>
          <w:rFonts w:ascii="Palatino Linotype" w:hAnsi="Palatino Linotype"/>
          <w:i/>
          <w:color w:val="010202"/>
          <w:spacing w:val="-11"/>
          <w:sz w:val="21"/>
        </w:rPr>
        <w:t> </w:t>
      </w:r>
      <w:r>
        <w:rPr>
          <w:rFonts w:ascii="Palatino Linotype" w:hAnsi="Palatino Linotype"/>
          <w:i/>
          <w:color w:val="010202"/>
          <w:sz w:val="21"/>
        </w:rPr>
        <w:t>Cananea</w:t>
      </w:r>
      <w:r>
        <w:rPr>
          <w:rFonts w:ascii="Palatino Linotype" w:hAnsi="Palatino Linotype"/>
          <w:i/>
          <w:color w:val="010202"/>
          <w:spacing w:val="-11"/>
          <w:sz w:val="21"/>
        </w:rPr>
        <w:t> </w:t>
      </w:r>
      <w:r>
        <w:rPr>
          <w:rFonts w:ascii="Palatino Linotype" w:hAnsi="Palatino Linotype"/>
          <w:i/>
          <w:color w:val="010202"/>
          <w:sz w:val="21"/>
        </w:rPr>
        <w:t>y</w:t>
      </w:r>
      <w:r>
        <w:rPr>
          <w:rFonts w:ascii="Palatino Linotype" w:hAnsi="Palatino Linotype"/>
          <w:i/>
          <w:color w:val="010202"/>
          <w:spacing w:val="-11"/>
          <w:sz w:val="21"/>
        </w:rPr>
        <w:t> </w:t>
      </w:r>
      <w:r>
        <w:rPr>
          <w:rFonts w:ascii="Palatino Linotype" w:hAnsi="Palatino Linotype"/>
          <w:i/>
          <w:color w:val="010202"/>
          <w:sz w:val="21"/>
        </w:rPr>
        <w:t>Caborca,</w:t>
      </w:r>
      <w:r>
        <w:rPr>
          <w:rFonts w:ascii="Palatino Linotype" w:hAnsi="Palatino Linotype"/>
          <w:i/>
          <w:color w:val="010202"/>
          <w:spacing w:val="-11"/>
          <w:sz w:val="21"/>
        </w:rPr>
        <w:t> </w:t>
      </w:r>
      <w:r>
        <w:rPr>
          <w:rFonts w:ascii="Palatino Linotype" w:hAnsi="Palatino Linotype"/>
          <w:i/>
          <w:color w:val="010202"/>
          <w:sz w:val="21"/>
        </w:rPr>
        <w:t>estado</w:t>
      </w:r>
      <w:r>
        <w:rPr>
          <w:rFonts w:ascii="Palatino Linotype" w:hAnsi="Palatino Linotype"/>
          <w:i/>
          <w:color w:val="010202"/>
          <w:spacing w:val="-11"/>
          <w:sz w:val="21"/>
        </w:rPr>
        <w:t> </w:t>
      </w:r>
      <w:r>
        <w:rPr>
          <w:rFonts w:ascii="Palatino Linotype" w:hAnsi="Palatino Linotype"/>
          <w:i/>
          <w:color w:val="010202"/>
          <w:sz w:val="21"/>
        </w:rPr>
        <w:t>de</w:t>
      </w:r>
      <w:r>
        <w:rPr>
          <w:rFonts w:ascii="Palatino Linotype" w:hAnsi="Palatino Linotype"/>
          <w:i/>
          <w:color w:val="010202"/>
          <w:spacing w:val="-11"/>
          <w:sz w:val="21"/>
        </w:rPr>
        <w:t> </w:t>
      </w:r>
      <w:r>
        <w:rPr>
          <w:rFonts w:ascii="Palatino Linotype" w:hAnsi="Palatino Linotype"/>
          <w:i/>
          <w:color w:val="010202"/>
          <w:sz w:val="21"/>
        </w:rPr>
        <w:t>Sonora</w:t>
      </w:r>
      <w:r>
        <w:rPr>
          <w:rFonts w:ascii="Palatino Linotype" w:hAnsi="Palatino Linotype"/>
          <w:i/>
          <w:color w:val="010202"/>
          <w:spacing w:val="-12"/>
          <w:sz w:val="21"/>
        </w:rPr>
        <w:t> </w:t>
      </w:r>
      <w:r>
        <w:rPr>
          <w:color w:val="010202"/>
          <w:sz w:val="21"/>
        </w:rPr>
        <w:t>(publicado el 26 de abril de 2006 en el </w:t>
      </w:r>
      <w:r>
        <w:rPr>
          <w:rFonts w:ascii="Palatino Linotype" w:hAnsi="Palatino Linotype"/>
          <w:i/>
          <w:color w:val="010202"/>
          <w:sz w:val="21"/>
        </w:rPr>
        <w:t>Diario Oficial de la Federación</w:t>
      </w:r>
      <w:r>
        <w:rPr>
          <w:color w:val="010202"/>
          <w:sz w:val="21"/>
        </w:rPr>
        <w:t>), con el que se permite </w:t>
      </w:r>
      <w:r>
        <w:rPr>
          <w:color w:val="231F20"/>
          <w:sz w:val="21"/>
        </w:rPr>
        <w:t>a las personas físicas y morales que residan en estos lugares la importación definitiva de vehículos automotores usados provenientes de Estados Unidos y Canadá, cuyo año-modelo sea de entre cinco y quince años anterior al año en que se realice la importación y que no excedan de un valor comercial máximo de quince mil dólares estadounidenses.</w:t>
      </w:r>
    </w:p>
    <w:p>
      <w:pPr>
        <w:pStyle w:val="BodyText"/>
        <w:spacing w:line="278" w:lineRule="auto" w:before="22"/>
        <w:ind w:left="103" w:right="651" w:firstLine="396"/>
        <w:jc w:val="both"/>
      </w:pPr>
      <w:r>
        <w:rPr>
          <w:color w:val="010202"/>
        </w:rPr>
        <w:t>Así como el decreto por el que se reforman los dos anteriores (1 de febrero de 2008); las condiciones para la importación no varían mucho en relación con los otros. En este decreto se limita la importación de vehículos </w:t>
      </w:r>
      <w:r>
        <w:rPr>
          <w:color w:val="010202"/>
          <w:spacing w:val="-3"/>
        </w:rPr>
        <w:t>automotores </w:t>
      </w:r>
      <w:r>
        <w:rPr>
          <w:color w:val="010202"/>
        </w:rPr>
        <w:t>usados, para los cuales,</w:t>
      </w:r>
      <w:r>
        <w:rPr>
          <w:color w:val="010202"/>
          <w:spacing w:val="-6"/>
        </w:rPr>
        <w:t> </w:t>
      </w:r>
      <w:r>
        <w:rPr>
          <w:color w:val="010202"/>
        </w:rPr>
        <w:t>por</w:t>
      </w:r>
      <w:r>
        <w:rPr>
          <w:color w:val="010202"/>
          <w:spacing w:val="-6"/>
        </w:rPr>
        <w:t> </w:t>
      </w:r>
      <w:r>
        <w:rPr>
          <w:color w:val="010202"/>
        </w:rPr>
        <w:t>sus</w:t>
      </w:r>
      <w:r>
        <w:rPr>
          <w:color w:val="010202"/>
          <w:spacing w:val="-6"/>
        </w:rPr>
        <w:t> </w:t>
      </w:r>
      <w:r>
        <w:rPr>
          <w:color w:val="010202"/>
        </w:rPr>
        <w:t>características</w:t>
      </w:r>
      <w:r>
        <w:rPr>
          <w:color w:val="010202"/>
          <w:spacing w:val="-6"/>
        </w:rPr>
        <w:t> </w:t>
      </w:r>
      <w:r>
        <w:rPr>
          <w:color w:val="010202"/>
        </w:rPr>
        <w:t>o</w:t>
      </w:r>
      <w:r>
        <w:rPr>
          <w:color w:val="010202"/>
          <w:spacing w:val="-6"/>
        </w:rPr>
        <w:t> </w:t>
      </w:r>
      <w:r>
        <w:rPr>
          <w:color w:val="010202"/>
        </w:rPr>
        <w:t>por</w:t>
      </w:r>
      <w:r>
        <w:rPr>
          <w:color w:val="010202"/>
          <w:spacing w:val="-6"/>
        </w:rPr>
        <w:t> </w:t>
      </w:r>
      <w:r>
        <w:rPr>
          <w:color w:val="010202"/>
        </w:rPr>
        <w:t>cuestiones</w:t>
      </w:r>
      <w:r>
        <w:rPr>
          <w:color w:val="010202"/>
          <w:spacing w:val="-6"/>
        </w:rPr>
        <w:t> </w:t>
      </w:r>
      <w:r>
        <w:rPr>
          <w:color w:val="010202"/>
        </w:rPr>
        <w:t>técnicas,</w:t>
      </w:r>
      <w:r>
        <w:rPr>
          <w:color w:val="010202"/>
          <w:spacing w:val="-6"/>
        </w:rPr>
        <w:t> </w:t>
      </w:r>
      <w:r>
        <w:rPr>
          <w:color w:val="010202"/>
        </w:rPr>
        <w:t>en</w:t>
      </w:r>
      <w:r>
        <w:rPr>
          <w:color w:val="010202"/>
          <w:spacing w:val="-6"/>
        </w:rPr>
        <w:t> </w:t>
      </w:r>
      <w:r>
        <w:rPr>
          <w:color w:val="010202"/>
        </w:rPr>
        <w:t>su</w:t>
      </w:r>
      <w:r>
        <w:rPr>
          <w:color w:val="010202"/>
          <w:spacing w:val="-6"/>
        </w:rPr>
        <w:t> </w:t>
      </w:r>
      <w:r>
        <w:rPr>
          <w:color w:val="010202"/>
        </w:rPr>
        <w:t>país</w:t>
      </w:r>
      <w:r>
        <w:rPr>
          <w:color w:val="010202"/>
          <w:spacing w:val="-6"/>
        </w:rPr>
        <w:t> </w:t>
      </w:r>
      <w:r>
        <w:rPr>
          <w:color w:val="010202"/>
        </w:rPr>
        <w:t>de</w:t>
      </w:r>
      <w:r>
        <w:rPr>
          <w:color w:val="010202"/>
          <w:spacing w:val="-6"/>
        </w:rPr>
        <w:t> </w:t>
      </w:r>
      <w:r>
        <w:rPr>
          <w:color w:val="010202"/>
        </w:rPr>
        <w:t>procedencia</w:t>
      </w:r>
      <w:r>
        <w:rPr>
          <w:color w:val="010202"/>
          <w:spacing w:val="-6"/>
        </w:rPr>
        <w:t> </w:t>
      </w:r>
      <w:r>
        <w:rPr>
          <w:color w:val="010202"/>
        </w:rPr>
        <w:t>esté restringida</w:t>
      </w:r>
      <w:r>
        <w:rPr>
          <w:color w:val="010202"/>
          <w:spacing w:val="-6"/>
        </w:rPr>
        <w:t> </w:t>
      </w:r>
      <w:r>
        <w:rPr>
          <w:color w:val="010202"/>
        </w:rPr>
        <w:t>o</w:t>
      </w:r>
      <w:r>
        <w:rPr>
          <w:color w:val="010202"/>
          <w:spacing w:val="-6"/>
        </w:rPr>
        <w:t> </w:t>
      </w:r>
      <w:r>
        <w:rPr>
          <w:color w:val="010202"/>
        </w:rPr>
        <w:t>prohibida</w:t>
      </w:r>
      <w:r>
        <w:rPr>
          <w:color w:val="010202"/>
          <w:spacing w:val="-6"/>
        </w:rPr>
        <w:t> </w:t>
      </w:r>
      <w:r>
        <w:rPr>
          <w:color w:val="010202"/>
        </w:rPr>
        <w:t>la</w:t>
      </w:r>
      <w:r>
        <w:rPr>
          <w:color w:val="010202"/>
          <w:spacing w:val="-6"/>
        </w:rPr>
        <w:t> </w:t>
      </w:r>
      <w:r>
        <w:rPr>
          <w:color w:val="010202"/>
        </w:rPr>
        <w:t>circulación;</w:t>
      </w:r>
      <w:r>
        <w:rPr>
          <w:color w:val="010202"/>
          <w:spacing w:val="-6"/>
        </w:rPr>
        <w:t> </w:t>
      </w:r>
      <w:r>
        <w:rPr>
          <w:color w:val="010202"/>
        </w:rPr>
        <w:t>se</w:t>
      </w:r>
      <w:r>
        <w:rPr>
          <w:color w:val="010202"/>
          <w:spacing w:val="-6"/>
        </w:rPr>
        <w:t> </w:t>
      </w:r>
      <w:r>
        <w:rPr>
          <w:color w:val="010202"/>
        </w:rPr>
        <w:t>hace</w:t>
      </w:r>
      <w:r>
        <w:rPr>
          <w:color w:val="010202"/>
          <w:spacing w:val="-6"/>
        </w:rPr>
        <w:t> </w:t>
      </w:r>
      <w:r>
        <w:rPr>
          <w:color w:val="010202"/>
        </w:rPr>
        <w:t>énfasis</w:t>
      </w:r>
      <w:r>
        <w:rPr>
          <w:color w:val="010202"/>
          <w:spacing w:val="-6"/>
        </w:rPr>
        <w:t> </w:t>
      </w:r>
      <w:r>
        <w:rPr>
          <w:color w:val="010202"/>
        </w:rPr>
        <w:t>en</w:t>
      </w:r>
      <w:r>
        <w:rPr>
          <w:color w:val="010202"/>
          <w:spacing w:val="-6"/>
        </w:rPr>
        <w:t> </w:t>
      </w:r>
      <w:r>
        <w:rPr>
          <w:color w:val="010202"/>
        </w:rPr>
        <w:t>el</w:t>
      </w:r>
      <w:r>
        <w:rPr>
          <w:color w:val="010202"/>
          <w:spacing w:val="-6"/>
        </w:rPr>
        <w:t> </w:t>
      </w:r>
      <w:r>
        <w:rPr>
          <w:color w:val="010202"/>
        </w:rPr>
        <w:t>cumplimiento</w:t>
      </w:r>
      <w:r>
        <w:rPr>
          <w:color w:val="010202"/>
          <w:spacing w:val="-6"/>
        </w:rPr>
        <w:t> </w:t>
      </w:r>
      <w:r>
        <w:rPr>
          <w:color w:val="010202"/>
        </w:rPr>
        <w:t>de</w:t>
      </w:r>
      <w:r>
        <w:rPr>
          <w:color w:val="010202"/>
          <w:spacing w:val="-6"/>
        </w:rPr>
        <w:t> </w:t>
      </w:r>
      <w:r>
        <w:rPr>
          <w:color w:val="010202"/>
        </w:rPr>
        <w:t>las</w:t>
      </w:r>
      <w:r>
        <w:rPr>
          <w:color w:val="010202"/>
          <w:spacing w:val="-6"/>
        </w:rPr>
        <w:t> </w:t>
      </w:r>
      <w:r>
        <w:rPr>
          <w:color w:val="010202"/>
        </w:rPr>
        <w:t>dispo- siciones</w:t>
      </w:r>
      <w:r>
        <w:rPr>
          <w:color w:val="010202"/>
          <w:spacing w:val="-10"/>
        </w:rPr>
        <w:t> </w:t>
      </w:r>
      <w:r>
        <w:rPr>
          <w:color w:val="010202"/>
        </w:rPr>
        <w:t>aplicables</w:t>
      </w:r>
      <w:r>
        <w:rPr>
          <w:color w:val="010202"/>
          <w:spacing w:val="-10"/>
        </w:rPr>
        <w:t> </w:t>
      </w:r>
      <w:r>
        <w:rPr>
          <w:color w:val="010202"/>
        </w:rPr>
        <w:t>para</w:t>
      </w:r>
      <w:r>
        <w:rPr>
          <w:color w:val="010202"/>
          <w:spacing w:val="-10"/>
        </w:rPr>
        <w:t> </w:t>
      </w:r>
      <w:r>
        <w:rPr>
          <w:color w:val="010202"/>
        </w:rPr>
        <w:t>la</w:t>
      </w:r>
      <w:r>
        <w:rPr>
          <w:color w:val="010202"/>
          <w:spacing w:val="-10"/>
        </w:rPr>
        <w:t> </w:t>
      </w:r>
      <w:r>
        <w:rPr>
          <w:color w:val="010202"/>
        </w:rPr>
        <w:t>protección</w:t>
      </w:r>
      <w:r>
        <w:rPr>
          <w:color w:val="010202"/>
          <w:spacing w:val="-10"/>
        </w:rPr>
        <w:t> </w:t>
      </w:r>
      <w:r>
        <w:rPr>
          <w:color w:val="010202"/>
        </w:rPr>
        <w:t>del</w:t>
      </w:r>
      <w:r>
        <w:rPr>
          <w:color w:val="010202"/>
          <w:spacing w:val="-10"/>
        </w:rPr>
        <w:t> </w:t>
      </w:r>
      <w:r>
        <w:rPr>
          <w:color w:val="010202"/>
        </w:rPr>
        <w:t>medio</w:t>
      </w:r>
      <w:r>
        <w:rPr>
          <w:color w:val="010202"/>
          <w:spacing w:val="-10"/>
        </w:rPr>
        <w:t> </w:t>
      </w:r>
      <w:r>
        <w:rPr>
          <w:color w:val="010202"/>
        </w:rPr>
        <w:t>ambiente.</w:t>
      </w:r>
    </w:p>
    <w:p>
      <w:pPr>
        <w:pStyle w:val="BodyText"/>
        <w:spacing w:line="278" w:lineRule="auto" w:before="1"/>
        <w:ind w:left="103" w:right="651" w:firstLine="396"/>
        <w:jc w:val="both"/>
      </w:pPr>
      <w:r>
        <w:rPr>
          <w:color w:val="231F20"/>
          <w:w w:val="105"/>
        </w:rPr>
        <w:t>Estos</w:t>
      </w:r>
      <w:r>
        <w:rPr>
          <w:color w:val="231F20"/>
          <w:spacing w:val="-31"/>
          <w:w w:val="105"/>
        </w:rPr>
        <w:t> </w:t>
      </w:r>
      <w:r>
        <w:rPr>
          <w:color w:val="231F20"/>
          <w:w w:val="105"/>
        </w:rPr>
        <w:t>decretos</w:t>
      </w:r>
      <w:r>
        <w:rPr>
          <w:color w:val="231F20"/>
          <w:spacing w:val="-31"/>
          <w:w w:val="105"/>
        </w:rPr>
        <w:t> </w:t>
      </w:r>
      <w:r>
        <w:rPr>
          <w:color w:val="231F20"/>
          <w:w w:val="105"/>
        </w:rPr>
        <w:t>han</w:t>
      </w:r>
      <w:r>
        <w:rPr>
          <w:color w:val="231F20"/>
          <w:spacing w:val="-31"/>
          <w:w w:val="105"/>
        </w:rPr>
        <w:t> </w:t>
      </w:r>
      <w:r>
        <w:rPr>
          <w:color w:val="231F20"/>
          <w:w w:val="105"/>
        </w:rPr>
        <w:t>perjudicado</w:t>
      </w:r>
      <w:r>
        <w:rPr>
          <w:color w:val="231F20"/>
          <w:spacing w:val="-31"/>
          <w:w w:val="105"/>
        </w:rPr>
        <w:t> </w:t>
      </w:r>
      <w:r>
        <w:rPr>
          <w:color w:val="231F20"/>
          <w:w w:val="105"/>
        </w:rPr>
        <w:t>de</w:t>
      </w:r>
      <w:r>
        <w:rPr>
          <w:color w:val="231F20"/>
          <w:spacing w:val="-31"/>
          <w:w w:val="105"/>
        </w:rPr>
        <w:t> </w:t>
      </w:r>
      <w:r>
        <w:rPr>
          <w:color w:val="231F20"/>
          <w:w w:val="105"/>
        </w:rPr>
        <w:t>forma</w:t>
      </w:r>
      <w:r>
        <w:rPr>
          <w:color w:val="231F20"/>
          <w:spacing w:val="-31"/>
          <w:w w:val="105"/>
        </w:rPr>
        <w:t> </w:t>
      </w:r>
      <w:r>
        <w:rPr>
          <w:color w:val="231F20"/>
          <w:spacing w:val="-2"/>
          <w:w w:val="105"/>
        </w:rPr>
        <w:t>muy</w:t>
      </w:r>
      <w:r>
        <w:rPr>
          <w:color w:val="231F20"/>
          <w:spacing w:val="-31"/>
          <w:w w:val="105"/>
        </w:rPr>
        <w:t> </w:t>
      </w:r>
      <w:r>
        <w:rPr>
          <w:color w:val="231F20"/>
          <w:w w:val="105"/>
        </w:rPr>
        <w:t>importante</w:t>
      </w:r>
      <w:r>
        <w:rPr>
          <w:color w:val="231F20"/>
          <w:spacing w:val="-31"/>
          <w:w w:val="105"/>
        </w:rPr>
        <w:t> </w:t>
      </w:r>
      <w:r>
        <w:rPr>
          <w:color w:val="231F20"/>
          <w:w w:val="105"/>
        </w:rPr>
        <w:t>al</w:t>
      </w:r>
      <w:r>
        <w:rPr>
          <w:color w:val="231F20"/>
          <w:spacing w:val="-31"/>
          <w:w w:val="105"/>
        </w:rPr>
        <w:t> </w:t>
      </w:r>
      <w:r>
        <w:rPr>
          <w:color w:val="231F20"/>
          <w:spacing w:val="-3"/>
          <w:w w:val="105"/>
        </w:rPr>
        <w:t>sector,</w:t>
      </w:r>
      <w:r>
        <w:rPr>
          <w:color w:val="231F20"/>
          <w:spacing w:val="-31"/>
          <w:w w:val="105"/>
        </w:rPr>
        <w:t> </w:t>
      </w:r>
      <w:r>
        <w:rPr>
          <w:color w:val="231F20"/>
          <w:w w:val="105"/>
        </w:rPr>
        <w:t>ya</w:t>
      </w:r>
      <w:r>
        <w:rPr>
          <w:color w:val="231F20"/>
          <w:spacing w:val="-31"/>
          <w:w w:val="105"/>
        </w:rPr>
        <w:t> </w:t>
      </w:r>
      <w:r>
        <w:rPr>
          <w:color w:val="231F20"/>
          <w:w w:val="105"/>
        </w:rPr>
        <w:t>que</w:t>
      </w:r>
      <w:r>
        <w:rPr>
          <w:color w:val="231F20"/>
          <w:spacing w:val="-31"/>
          <w:w w:val="105"/>
        </w:rPr>
        <w:t> </w:t>
      </w:r>
      <w:r>
        <w:rPr>
          <w:color w:val="231F20"/>
          <w:w w:val="105"/>
        </w:rPr>
        <w:t>a</w:t>
      </w:r>
      <w:r>
        <w:rPr>
          <w:color w:val="231F20"/>
          <w:spacing w:val="-31"/>
          <w:w w:val="105"/>
        </w:rPr>
        <w:t> </w:t>
      </w:r>
      <w:r>
        <w:rPr>
          <w:color w:val="231F20"/>
          <w:w w:val="105"/>
        </w:rPr>
        <w:t>partir de</w:t>
      </w:r>
      <w:r>
        <w:rPr>
          <w:color w:val="231F20"/>
          <w:spacing w:val="-23"/>
          <w:w w:val="105"/>
        </w:rPr>
        <w:t> </w:t>
      </w:r>
      <w:r>
        <w:rPr>
          <w:color w:val="231F20"/>
          <w:w w:val="105"/>
        </w:rPr>
        <w:t>su</w:t>
      </w:r>
      <w:r>
        <w:rPr>
          <w:color w:val="231F20"/>
          <w:spacing w:val="-23"/>
          <w:w w:val="105"/>
        </w:rPr>
        <w:t> </w:t>
      </w:r>
      <w:r>
        <w:rPr>
          <w:color w:val="231F20"/>
          <w:w w:val="105"/>
        </w:rPr>
        <w:t>emisión</w:t>
      </w:r>
      <w:r>
        <w:rPr>
          <w:color w:val="231F20"/>
          <w:spacing w:val="-23"/>
          <w:w w:val="105"/>
        </w:rPr>
        <w:t> </w:t>
      </w:r>
      <w:r>
        <w:rPr>
          <w:color w:val="231F20"/>
          <w:w w:val="105"/>
        </w:rPr>
        <w:t>se</w:t>
      </w:r>
      <w:r>
        <w:rPr>
          <w:color w:val="231F20"/>
          <w:spacing w:val="-23"/>
          <w:w w:val="105"/>
        </w:rPr>
        <w:t> </w:t>
      </w:r>
      <w:r>
        <w:rPr>
          <w:color w:val="231F20"/>
          <w:w w:val="105"/>
        </w:rPr>
        <w:t>incrementaron</w:t>
      </w:r>
      <w:r>
        <w:rPr>
          <w:color w:val="231F20"/>
          <w:spacing w:val="-23"/>
          <w:w w:val="105"/>
        </w:rPr>
        <w:t> </w:t>
      </w:r>
      <w:r>
        <w:rPr>
          <w:color w:val="231F20"/>
          <w:w w:val="105"/>
        </w:rPr>
        <w:t>de</w:t>
      </w:r>
      <w:r>
        <w:rPr>
          <w:color w:val="231F20"/>
          <w:spacing w:val="-23"/>
          <w:w w:val="105"/>
        </w:rPr>
        <w:t> </w:t>
      </w:r>
      <w:r>
        <w:rPr>
          <w:color w:val="231F20"/>
          <w:w w:val="105"/>
        </w:rPr>
        <w:t>manera</w:t>
      </w:r>
      <w:r>
        <w:rPr>
          <w:color w:val="231F20"/>
          <w:spacing w:val="-23"/>
          <w:w w:val="105"/>
        </w:rPr>
        <w:t> </w:t>
      </w:r>
      <w:r>
        <w:rPr>
          <w:color w:val="231F20"/>
          <w:w w:val="105"/>
        </w:rPr>
        <w:t>alarmante</w:t>
      </w:r>
      <w:r>
        <w:rPr>
          <w:color w:val="231F20"/>
          <w:spacing w:val="-23"/>
          <w:w w:val="105"/>
        </w:rPr>
        <w:t> </w:t>
      </w:r>
      <w:r>
        <w:rPr>
          <w:color w:val="231F20"/>
          <w:w w:val="105"/>
        </w:rPr>
        <w:t>las</w:t>
      </w:r>
      <w:r>
        <w:rPr>
          <w:color w:val="231F20"/>
          <w:spacing w:val="-23"/>
          <w:w w:val="105"/>
        </w:rPr>
        <w:t> </w:t>
      </w:r>
      <w:r>
        <w:rPr>
          <w:color w:val="231F20"/>
          <w:w w:val="105"/>
        </w:rPr>
        <w:t>importaciones</w:t>
      </w:r>
      <w:r>
        <w:rPr>
          <w:color w:val="231F20"/>
          <w:spacing w:val="-23"/>
          <w:w w:val="105"/>
        </w:rPr>
        <w:t> </w:t>
      </w:r>
      <w:r>
        <w:rPr>
          <w:color w:val="231F20"/>
          <w:w w:val="105"/>
        </w:rPr>
        <w:t>de</w:t>
      </w:r>
      <w:r>
        <w:rPr>
          <w:color w:val="231F20"/>
          <w:spacing w:val="-23"/>
          <w:w w:val="105"/>
        </w:rPr>
        <w:t> </w:t>
      </w:r>
      <w:r>
        <w:rPr>
          <w:color w:val="231F20"/>
          <w:w w:val="105"/>
        </w:rPr>
        <w:t>vehículos usados,</w:t>
      </w:r>
      <w:r>
        <w:rPr>
          <w:color w:val="231F20"/>
          <w:spacing w:val="-17"/>
          <w:w w:val="105"/>
        </w:rPr>
        <w:t> </w:t>
      </w:r>
      <w:r>
        <w:rPr>
          <w:color w:val="231F20"/>
          <w:w w:val="105"/>
        </w:rPr>
        <w:t>en</w:t>
      </w:r>
      <w:r>
        <w:rPr>
          <w:color w:val="231F20"/>
          <w:spacing w:val="-17"/>
          <w:w w:val="105"/>
        </w:rPr>
        <w:t> </w:t>
      </w:r>
      <w:r>
        <w:rPr>
          <w:color w:val="231F20"/>
          <w:w w:val="105"/>
        </w:rPr>
        <w:t>detrimento</w:t>
      </w:r>
      <w:r>
        <w:rPr>
          <w:color w:val="231F20"/>
          <w:spacing w:val="-17"/>
          <w:w w:val="105"/>
        </w:rPr>
        <w:t> </w:t>
      </w:r>
      <w:r>
        <w:rPr>
          <w:color w:val="231F20"/>
          <w:w w:val="105"/>
        </w:rPr>
        <w:t>del</w:t>
      </w:r>
      <w:r>
        <w:rPr>
          <w:color w:val="231F20"/>
          <w:spacing w:val="-17"/>
          <w:w w:val="105"/>
        </w:rPr>
        <w:t> </w:t>
      </w:r>
      <w:r>
        <w:rPr>
          <w:color w:val="231F20"/>
          <w:w w:val="105"/>
        </w:rPr>
        <w:t>consumo</w:t>
      </w:r>
      <w:r>
        <w:rPr>
          <w:color w:val="231F20"/>
          <w:spacing w:val="-17"/>
          <w:w w:val="105"/>
        </w:rPr>
        <w:t> </w:t>
      </w:r>
      <w:r>
        <w:rPr>
          <w:color w:val="231F20"/>
          <w:w w:val="105"/>
        </w:rPr>
        <w:t>de</w:t>
      </w:r>
      <w:r>
        <w:rPr>
          <w:color w:val="231F20"/>
          <w:spacing w:val="-17"/>
          <w:w w:val="105"/>
        </w:rPr>
        <w:t> </w:t>
      </w:r>
      <w:r>
        <w:rPr>
          <w:color w:val="231F20"/>
          <w:w w:val="105"/>
        </w:rPr>
        <w:t>vehículos</w:t>
      </w:r>
      <w:r>
        <w:rPr>
          <w:color w:val="231F20"/>
          <w:spacing w:val="-17"/>
          <w:w w:val="105"/>
        </w:rPr>
        <w:t> </w:t>
      </w:r>
      <w:r>
        <w:rPr>
          <w:color w:val="231F20"/>
          <w:w w:val="105"/>
        </w:rPr>
        <w:t>nuevos.</w:t>
      </w:r>
      <w:r>
        <w:rPr>
          <w:color w:val="231F20"/>
          <w:spacing w:val="-17"/>
          <w:w w:val="105"/>
        </w:rPr>
        <w:t> </w:t>
      </w:r>
      <w:r>
        <w:rPr>
          <w:color w:val="231F20"/>
          <w:w w:val="105"/>
        </w:rPr>
        <w:t>De</w:t>
      </w:r>
      <w:r>
        <w:rPr>
          <w:color w:val="231F20"/>
          <w:spacing w:val="-17"/>
          <w:w w:val="105"/>
        </w:rPr>
        <w:t> </w:t>
      </w:r>
      <w:r>
        <w:rPr>
          <w:color w:val="231F20"/>
          <w:w w:val="105"/>
        </w:rPr>
        <w:t>acuerdo</w:t>
      </w:r>
      <w:r>
        <w:rPr>
          <w:color w:val="231F20"/>
          <w:spacing w:val="-17"/>
          <w:w w:val="105"/>
        </w:rPr>
        <w:t> </w:t>
      </w:r>
      <w:r>
        <w:rPr>
          <w:color w:val="231F20"/>
          <w:w w:val="105"/>
        </w:rPr>
        <w:t>con</w:t>
      </w:r>
      <w:r>
        <w:rPr>
          <w:color w:val="231F20"/>
          <w:spacing w:val="-17"/>
          <w:w w:val="105"/>
        </w:rPr>
        <w:t> </w:t>
      </w:r>
      <w:r>
        <w:rPr>
          <w:color w:val="231F20"/>
          <w:w w:val="105"/>
        </w:rPr>
        <w:t>la</w:t>
      </w:r>
      <w:r>
        <w:rPr>
          <w:color w:val="231F20"/>
          <w:spacing w:val="-17"/>
          <w:w w:val="105"/>
        </w:rPr>
        <w:t> </w:t>
      </w:r>
      <w:r>
        <w:rPr>
          <w:color w:val="231F20"/>
          <w:w w:val="105"/>
        </w:rPr>
        <w:t>AMDA (2008),</w:t>
      </w:r>
      <w:r>
        <w:rPr>
          <w:color w:val="231F20"/>
          <w:spacing w:val="-35"/>
          <w:w w:val="105"/>
        </w:rPr>
        <w:t> </w:t>
      </w:r>
      <w:r>
        <w:rPr>
          <w:color w:val="231F20"/>
          <w:w w:val="105"/>
        </w:rPr>
        <w:t>entre</w:t>
      </w:r>
      <w:r>
        <w:rPr>
          <w:color w:val="231F20"/>
          <w:spacing w:val="-35"/>
          <w:w w:val="105"/>
        </w:rPr>
        <w:t> </w:t>
      </w:r>
      <w:r>
        <w:rPr>
          <w:color w:val="231F20"/>
          <w:w w:val="105"/>
        </w:rPr>
        <w:t>enero</w:t>
      </w:r>
      <w:r>
        <w:rPr>
          <w:color w:val="231F20"/>
          <w:spacing w:val="-35"/>
          <w:w w:val="105"/>
        </w:rPr>
        <w:t> </w:t>
      </w:r>
      <w:r>
        <w:rPr>
          <w:color w:val="231F20"/>
          <w:w w:val="105"/>
        </w:rPr>
        <w:t>de</w:t>
      </w:r>
      <w:r>
        <w:rPr>
          <w:color w:val="231F20"/>
          <w:spacing w:val="-35"/>
          <w:w w:val="105"/>
        </w:rPr>
        <w:t> </w:t>
      </w:r>
      <w:r>
        <w:rPr>
          <w:color w:val="231F20"/>
          <w:w w:val="105"/>
        </w:rPr>
        <w:t>2006</w:t>
      </w:r>
      <w:r>
        <w:rPr>
          <w:color w:val="231F20"/>
          <w:spacing w:val="-35"/>
          <w:w w:val="105"/>
        </w:rPr>
        <w:t> </w:t>
      </w:r>
      <w:r>
        <w:rPr>
          <w:color w:val="231F20"/>
          <w:w w:val="105"/>
        </w:rPr>
        <w:t>y</w:t>
      </w:r>
      <w:r>
        <w:rPr>
          <w:color w:val="231F20"/>
          <w:spacing w:val="-35"/>
          <w:w w:val="105"/>
        </w:rPr>
        <w:t> </w:t>
      </w:r>
      <w:r>
        <w:rPr>
          <w:color w:val="231F20"/>
          <w:w w:val="105"/>
        </w:rPr>
        <w:t>diciembre</w:t>
      </w:r>
      <w:r>
        <w:rPr>
          <w:color w:val="231F20"/>
          <w:spacing w:val="-35"/>
          <w:w w:val="105"/>
        </w:rPr>
        <w:t> </w:t>
      </w:r>
      <w:r>
        <w:rPr>
          <w:color w:val="231F20"/>
          <w:w w:val="105"/>
        </w:rPr>
        <w:t>de</w:t>
      </w:r>
      <w:r>
        <w:rPr>
          <w:color w:val="231F20"/>
          <w:spacing w:val="-35"/>
          <w:w w:val="105"/>
        </w:rPr>
        <w:t> </w:t>
      </w:r>
      <w:r>
        <w:rPr>
          <w:color w:val="231F20"/>
          <w:w w:val="105"/>
        </w:rPr>
        <w:t>2008</w:t>
      </w:r>
      <w:r>
        <w:rPr>
          <w:color w:val="231F20"/>
          <w:spacing w:val="-35"/>
          <w:w w:val="105"/>
        </w:rPr>
        <w:t> </w:t>
      </w:r>
      <w:r>
        <w:rPr>
          <w:color w:val="231F20"/>
          <w:w w:val="105"/>
        </w:rPr>
        <w:t>se</w:t>
      </w:r>
      <w:r>
        <w:rPr>
          <w:color w:val="231F20"/>
          <w:spacing w:val="-35"/>
          <w:w w:val="105"/>
        </w:rPr>
        <w:t> </w:t>
      </w:r>
      <w:r>
        <w:rPr>
          <w:color w:val="231F20"/>
          <w:w w:val="105"/>
        </w:rPr>
        <w:t>importaron</w:t>
      </w:r>
      <w:r>
        <w:rPr>
          <w:color w:val="231F20"/>
          <w:spacing w:val="-35"/>
          <w:w w:val="105"/>
        </w:rPr>
        <w:t> </w:t>
      </w:r>
      <w:r>
        <w:rPr>
          <w:color w:val="231F20"/>
          <w:w w:val="105"/>
        </w:rPr>
        <w:t>más</w:t>
      </w:r>
      <w:r>
        <w:rPr>
          <w:color w:val="231F20"/>
          <w:spacing w:val="-35"/>
          <w:w w:val="105"/>
        </w:rPr>
        <w:t> </w:t>
      </w:r>
      <w:r>
        <w:rPr>
          <w:color w:val="231F20"/>
          <w:w w:val="105"/>
        </w:rPr>
        <w:t>de</w:t>
      </w:r>
      <w:r>
        <w:rPr>
          <w:color w:val="231F20"/>
          <w:spacing w:val="-35"/>
          <w:w w:val="105"/>
        </w:rPr>
        <w:t> </w:t>
      </w:r>
      <w:r>
        <w:rPr>
          <w:color w:val="231F20"/>
          <w:w w:val="105"/>
        </w:rPr>
        <w:t>cuatro</w:t>
      </w:r>
      <w:r>
        <w:rPr>
          <w:color w:val="231F20"/>
          <w:spacing w:val="-35"/>
          <w:w w:val="105"/>
        </w:rPr>
        <w:t> </w:t>
      </w:r>
      <w:r>
        <w:rPr>
          <w:color w:val="231F20"/>
          <w:w w:val="105"/>
        </w:rPr>
        <w:t>millones </w:t>
      </w:r>
      <w:r>
        <w:rPr>
          <w:color w:val="231F20"/>
        </w:rPr>
        <w:t>de vehículos</w:t>
      </w:r>
      <w:r>
        <w:rPr>
          <w:color w:val="231F20"/>
          <w:spacing w:val="-22"/>
        </w:rPr>
        <w:t> </w:t>
      </w:r>
      <w:r>
        <w:rPr>
          <w:color w:val="231F20"/>
        </w:rPr>
        <w:t>usados.</w:t>
      </w:r>
    </w:p>
    <w:p>
      <w:pPr>
        <w:pStyle w:val="BodyText"/>
        <w:spacing w:line="278" w:lineRule="auto" w:before="1"/>
        <w:ind w:left="81" w:right="650" w:firstLine="396"/>
        <w:jc w:val="right"/>
      </w:pPr>
      <w:r>
        <w:rPr>
          <w:color w:val="231F20"/>
        </w:rPr>
        <w:t>La información presentada en este apartado es clave en el desarrollo del sector,</w:t>
      </w:r>
      <w:r>
        <w:rPr>
          <w:color w:val="231F20"/>
          <w:w w:val="91"/>
        </w:rPr>
        <w:t> </w:t>
      </w:r>
      <w:r>
        <w:rPr>
          <w:color w:val="231F20"/>
        </w:rPr>
        <w:t>ya que ha generado las condiciones que definen cómo opera el sector en la actualidad.</w:t>
      </w:r>
      <w:r>
        <w:rPr>
          <w:color w:val="231F20"/>
          <w:w w:val="91"/>
        </w:rPr>
        <w:t> </w:t>
      </w:r>
      <w:r>
        <w:rPr>
          <w:color w:val="231F20"/>
        </w:rPr>
        <w:t>Evidentemente, la firma del TLCAN ha jugado un papel determinante en la evo-</w:t>
      </w:r>
      <w:r>
        <w:rPr>
          <w:color w:val="231F20"/>
          <w:w w:val="106"/>
        </w:rPr>
        <w:t> </w:t>
      </w:r>
      <w:r>
        <w:rPr>
          <w:color w:val="231F20"/>
        </w:rPr>
        <w:t>lución y la situación actual del sector automotriz en México. Por un lado, ha sido fun-</w:t>
      </w:r>
      <w:r>
        <w:rPr>
          <w:color w:val="231F20"/>
          <w:w w:val="106"/>
        </w:rPr>
        <w:t> </w:t>
      </w:r>
      <w:r>
        <w:rPr>
          <w:color w:val="231F20"/>
        </w:rPr>
        <w:t>damental para consolidar la etapa exportadora del sector y, por otro, ha propiciado</w:t>
      </w:r>
      <w:r>
        <w:rPr>
          <w:color w:val="231F20"/>
          <w:w w:val="102"/>
        </w:rPr>
        <w:t> </w:t>
      </w:r>
      <w:r>
        <w:rPr>
          <w:color w:val="231F20"/>
        </w:rPr>
        <w:t>que algunas regiones se hayan consolidado como polos de atracción de las grandes</w:t>
      </w:r>
    </w:p>
    <w:p>
      <w:pPr>
        <w:pStyle w:val="BodyText"/>
        <w:spacing w:before="1"/>
        <w:ind w:left="103"/>
        <w:jc w:val="both"/>
      </w:pPr>
      <w:r>
        <w:rPr>
          <w:color w:val="231F20"/>
        </w:rPr>
        <w:t>transnacionales del sector, como la región norte de México.</w:t>
      </w:r>
    </w:p>
    <w:p>
      <w:pPr>
        <w:pStyle w:val="BodyText"/>
        <w:spacing w:before="4"/>
        <w:rPr>
          <w:sz w:val="18"/>
        </w:rPr>
      </w:pPr>
    </w:p>
    <w:p>
      <w:pPr>
        <w:pStyle w:val="Heading3"/>
        <w:numPr>
          <w:ilvl w:val="1"/>
          <w:numId w:val="17"/>
        </w:numPr>
        <w:tabs>
          <w:tab w:pos="518" w:val="left" w:leader="none"/>
        </w:tabs>
        <w:spacing w:line="240" w:lineRule="auto" w:before="0" w:after="0"/>
        <w:ind w:left="517" w:right="0" w:hanging="414"/>
        <w:jc w:val="both"/>
      </w:pPr>
      <w:r>
        <w:rPr>
          <w:color w:val="231F20"/>
          <w:w w:val="95"/>
        </w:rPr>
        <w:t>El</w:t>
      </w:r>
      <w:r>
        <w:rPr>
          <w:color w:val="231F20"/>
          <w:spacing w:val="-32"/>
          <w:w w:val="95"/>
        </w:rPr>
        <w:t> </w:t>
      </w:r>
      <w:r>
        <w:rPr>
          <w:color w:val="231F20"/>
          <w:w w:val="95"/>
        </w:rPr>
        <w:t>desempeño</w:t>
      </w:r>
      <w:r>
        <w:rPr>
          <w:color w:val="231F20"/>
          <w:spacing w:val="-32"/>
          <w:w w:val="95"/>
        </w:rPr>
        <w:t> </w:t>
      </w:r>
      <w:r>
        <w:rPr>
          <w:color w:val="231F20"/>
          <w:w w:val="95"/>
        </w:rPr>
        <w:t>del</w:t>
      </w:r>
      <w:r>
        <w:rPr>
          <w:color w:val="231F20"/>
          <w:spacing w:val="-32"/>
          <w:w w:val="95"/>
        </w:rPr>
        <w:t> </w:t>
      </w:r>
      <w:r>
        <w:rPr>
          <w:color w:val="231F20"/>
          <w:w w:val="95"/>
        </w:rPr>
        <w:t>sector</w:t>
      </w:r>
      <w:r>
        <w:rPr>
          <w:color w:val="231F20"/>
          <w:spacing w:val="-32"/>
          <w:w w:val="95"/>
        </w:rPr>
        <w:t> </w:t>
      </w:r>
      <w:r>
        <w:rPr>
          <w:color w:val="231F20"/>
          <w:w w:val="95"/>
        </w:rPr>
        <w:t>automotriz</w:t>
      </w:r>
      <w:r>
        <w:rPr>
          <w:color w:val="231F20"/>
          <w:spacing w:val="-32"/>
          <w:w w:val="95"/>
        </w:rPr>
        <w:t> </w:t>
      </w:r>
      <w:r>
        <w:rPr>
          <w:color w:val="231F20"/>
          <w:w w:val="95"/>
        </w:rPr>
        <w:t>en</w:t>
      </w:r>
      <w:r>
        <w:rPr>
          <w:color w:val="231F20"/>
          <w:spacing w:val="-32"/>
          <w:w w:val="95"/>
        </w:rPr>
        <w:t> </w:t>
      </w:r>
      <w:r>
        <w:rPr>
          <w:color w:val="231F20"/>
          <w:w w:val="95"/>
        </w:rPr>
        <w:t>México</w:t>
      </w:r>
    </w:p>
    <w:p>
      <w:pPr>
        <w:pStyle w:val="BodyText"/>
        <w:spacing w:line="278" w:lineRule="auto" w:before="125"/>
        <w:ind w:left="103" w:right="651"/>
        <w:jc w:val="both"/>
      </w:pPr>
      <w:r>
        <w:rPr>
          <w:color w:val="231F20"/>
        </w:rPr>
        <w:t>La evolución y el desempeño del sector automotriz en México durante las últimas dé- cadas</w:t>
      </w:r>
      <w:r>
        <w:rPr>
          <w:color w:val="231F20"/>
          <w:spacing w:val="-16"/>
        </w:rPr>
        <w:t> </w:t>
      </w:r>
      <w:r>
        <w:rPr>
          <w:color w:val="231F20"/>
        </w:rPr>
        <w:t>han</w:t>
      </w:r>
      <w:r>
        <w:rPr>
          <w:color w:val="231F20"/>
          <w:spacing w:val="-16"/>
        </w:rPr>
        <w:t> </w:t>
      </w:r>
      <w:r>
        <w:rPr>
          <w:color w:val="231F20"/>
        </w:rPr>
        <w:t>sido</w:t>
      </w:r>
      <w:r>
        <w:rPr>
          <w:color w:val="231F20"/>
          <w:spacing w:val="-16"/>
        </w:rPr>
        <w:t> </w:t>
      </w:r>
      <w:r>
        <w:rPr>
          <w:color w:val="231F20"/>
        </w:rPr>
        <w:t>resultado</w:t>
      </w:r>
      <w:r>
        <w:rPr>
          <w:color w:val="231F20"/>
          <w:spacing w:val="-16"/>
        </w:rPr>
        <w:t> </w:t>
      </w:r>
      <w:r>
        <w:rPr>
          <w:color w:val="231F20"/>
        </w:rPr>
        <w:t>de</w:t>
      </w:r>
      <w:r>
        <w:rPr>
          <w:color w:val="231F20"/>
          <w:spacing w:val="-16"/>
        </w:rPr>
        <w:t> </w:t>
      </w:r>
      <w:r>
        <w:rPr>
          <w:color w:val="231F20"/>
        </w:rPr>
        <w:t>tres</w:t>
      </w:r>
      <w:r>
        <w:rPr>
          <w:color w:val="231F20"/>
          <w:spacing w:val="-16"/>
        </w:rPr>
        <w:t> </w:t>
      </w:r>
      <w:r>
        <w:rPr>
          <w:color w:val="231F20"/>
        </w:rPr>
        <w:t>factores</w:t>
      </w:r>
      <w:r>
        <w:rPr>
          <w:color w:val="231F20"/>
          <w:spacing w:val="-16"/>
        </w:rPr>
        <w:t> </w:t>
      </w:r>
      <w:r>
        <w:rPr>
          <w:color w:val="231F20"/>
        </w:rPr>
        <w:t>en</w:t>
      </w:r>
      <w:r>
        <w:rPr>
          <w:color w:val="231F20"/>
          <w:spacing w:val="-16"/>
        </w:rPr>
        <w:t> </w:t>
      </w:r>
      <w:r>
        <w:rPr>
          <w:color w:val="231F20"/>
        </w:rPr>
        <w:t>particular:</w:t>
      </w:r>
      <w:r>
        <w:rPr>
          <w:color w:val="231F20"/>
          <w:spacing w:val="-16"/>
        </w:rPr>
        <w:t> </w:t>
      </w:r>
      <w:r>
        <w:rPr>
          <w:color w:val="231F20"/>
        </w:rPr>
        <w:t>las</w:t>
      </w:r>
      <w:r>
        <w:rPr>
          <w:color w:val="231F20"/>
          <w:spacing w:val="-16"/>
        </w:rPr>
        <w:t> </w:t>
      </w:r>
      <w:r>
        <w:rPr>
          <w:color w:val="231F20"/>
        </w:rPr>
        <w:t>políticas</w:t>
      </w:r>
      <w:r>
        <w:rPr>
          <w:color w:val="231F20"/>
          <w:spacing w:val="-16"/>
        </w:rPr>
        <w:t> </w:t>
      </w:r>
      <w:r>
        <w:rPr>
          <w:color w:val="231F20"/>
        </w:rPr>
        <w:t>específicas</w:t>
      </w:r>
      <w:r>
        <w:rPr>
          <w:color w:val="231F20"/>
          <w:spacing w:val="-16"/>
        </w:rPr>
        <w:t> </w:t>
      </w:r>
      <w:r>
        <w:rPr>
          <w:color w:val="231F20"/>
        </w:rPr>
        <w:t>de</w:t>
      </w:r>
      <w:r>
        <w:rPr>
          <w:color w:val="231F20"/>
          <w:spacing w:val="-16"/>
        </w:rPr>
        <w:t> </w:t>
      </w:r>
      <w:r>
        <w:rPr>
          <w:color w:val="231F20"/>
        </w:rPr>
        <w:t>apoyo al</w:t>
      </w:r>
      <w:r>
        <w:rPr>
          <w:color w:val="231F20"/>
          <w:spacing w:val="-11"/>
        </w:rPr>
        <w:t> </w:t>
      </w:r>
      <w:r>
        <w:rPr>
          <w:color w:val="231F20"/>
          <w:spacing w:val="-3"/>
        </w:rPr>
        <w:t>sector,</w:t>
      </w:r>
      <w:r>
        <w:rPr>
          <w:color w:val="231F20"/>
          <w:spacing w:val="-11"/>
        </w:rPr>
        <w:t> </w:t>
      </w:r>
      <w:r>
        <w:rPr>
          <w:color w:val="231F20"/>
        </w:rPr>
        <w:t>emitidas</w:t>
      </w:r>
      <w:r>
        <w:rPr>
          <w:color w:val="231F20"/>
          <w:spacing w:val="-11"/>
        </w:rPr>
        <w:t> </w:t>
      </w:r>
      <w:r>
        <w:rPr>
          <w:color w:val="231F20"/>
        </w:rPr>
        <w:t>por</w:t>
      </w:r>
      <w:r>
        <w:rPr>
          <w:color w:val="231F20"/>
          <w:spacing w:val="-11"/>
        </w:rPr>
        <w:t> </w:t>
      </w:r>
      <w:r>
        <w:rPr>
          <w:color w:val="231F20"/>
        </w:rPr>
        <w:t>el</w:t>
      </w:r>
      <w:r>
        <w:rPr>
          <w:color w:val="231F20"/>
          <w:spacing w:val="-11"/>
        </w:rPr>
        <w:t> </w:t>
      </w:r>
      <w:r>
        <w:rPr>
          <w:color w:val="231F20"/>
        </w:rPr>
        <w:t>gobierno</w:t>
      </w:r>
      <w:r>
        <w:rPr>
          <w:color w:val="231F20"/>
          <w:spacing w:val="-11"/>
        </w:rPr>
        <w:t> </w:t>
      </w:r>
      <w:r>
        <w:rPr>
          <w:color w:val="231F20"/>
        </w:rPr>
        <w:t>federal</w:t>
      </w:r>
      <w:r>
        <w:rPr>
          <w:color w:val="231F20"/>
          <w:spacing w:val="-11"/>
        </w:rPr>
        <w:t> </w:t>
      </w:r>
      <w:r>
        <w:rPr>
          <w:color w:val="231F20"/>
        </w:rPr>
        <w:t>en</w:t>
      </w:r>
      <w:r>
        <w:rPr>
          <w:color w:val="231F20"/>
          <w:spacing w:val="-11"/>
        </w:rPr>
        <w:t> </w:t>
      </w:r>
      <w:r>
        <w:rPr>
          <w:color w:val="231F20"/>
        </w:rPr>
        <w:t>la</w:t>
      </w:r>
      <w:r>
        <w:rPr>
          <w:color w:val="231F20"/>
          <w:spacing w:val="-11"/>
        </w:rPr>
        <w:t> </w:t>
      </w:r>
      <w:r>
        <w:rPr>
          <w:color w:val="231F20"/>
        </w:rPr>
        <w:t>década</w:t>
      </w:r>
      <w:r>
        <w:rPr>
          <w:color w:val="231F20"/>
          <w:spacing w:val="-11"/>
        </w:rPr>
        <w:t> </w:t>
      </w:r>
      <w:r>
        <w:rPr>
          <w:color w:val="231F20"/>
        </w:rPr>
        <w:t>de</w:t>
      </w:r>
      <w:r>
        <w:rPr>
          <w:color w:val="231F20"/>
          <w:spacing w:val="-11"/>
        </w:rPr>
        <w:t> </w:t>
      </w:r>
      <w:r>
        <w:rPr>
          <w:color w:val="231F20"/>
        </w:rPr>
        <w:t>los</w:t>
      </w:r>
      <w:r>
        <w:rPr>
          <w:color w:val="231F20"/>
          <w:spacing w:val="-11"/>
        </w:rPr>
        <w:t> </w:t>
      </w:r>
      <w:r>
        <w:rPr>
          <w:color w:val="231F20"/>
        </w:rPr>
        <w:t>setenta</w:t>
      </w:r>
      <w:r>
        <w:rPr>
          <w:color w:val="231F20"/>
          <w:spacing w:val="-11"/>
        </w:rPr>
        <w:t> </w:t>
      </w:r>
      <w:r>
        <w:rPr>
          <w:color w:val="231F20"/>
        </w:rPr>
        <w:t>y</w:t>
      </w:r>
      <w:r>
        <w:rPr>
          <w:color w:val="231F20"/>
          <w:spacing w:val="-11"/>
        </w:rPr>
        <w:t> </w:t>
      </w:r>
      <w:r>
        <w:rPr>
          <w:color w:val="231F20"/>
        </w:rPr>
        <w:t>principios</w:t>
      </w:r>
      <w:r>
        <w:rPr>
          <w:color w:val="231F20"/>
          <w:spacing w:val="-11"/>
        </w:rPr>
        <w:t> </w:t>
      </w:r>
      <w:r>
        <w:rPr>
          <w:color w:val="231F20"/>
        </w:rPr>
        <w:t>de</w:t>
      </w:r>
      <w:r>
        <w:rPr>
          <w:color w:val="231F20"/>
          <w:spacing w:val="-11"/>
        </w:rPr>
        <w:t> </w:t>
      </w:r>
      <w:r>
        <w:rPr>
          <w:color w:val="231F20"/>
        </w:rPr>
        <w:t>los ochenta; la reconfiguración del mercado internacional, que se estaba gestando dentro del sector automotriz mundial, a partir de que las armadoras japonesas empezaron  </w:t>
      </w:r>
      <w:r>
        <w:rPr>
          <w:color w:val="231F20"/>
          <w:spacing w:val="50"/>
        </w:rPr>
        <w:t> </w:t>
      </w:r>
      <w:r>
        <w:rPr>
          <w:color w:val="231F20"/>
        </w:rPr>
        <w:t>a</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01"/>
        <w:jc w:val="both"/>
      </w:pPr>
      <w:r>
        <w:rPr>
          <w:color w:val="231F20"/>
        </w:rPr>
        <w:t>tener una importante presencia en el mercado norteamericano, en detrimento de las tres grandes estadounidenses; y el cambio de modelo económico, caracterizado por la apertura económica y comercial.</w:t>
      </w:r>
    </w:p>
    <w:p>
      <w:pPr>
        <w:pStyle w:val="BodyText"/>
        <w:spacing w:line="278" w:lineRule="auto" w:before="1"/>
        <w:ind w:left="653" w:right="99" w:firstLine="396"/>
        <w:jc w:val="both"/>
      </w:pPr>
      <w:r>
        <w:rPr>
          <w:color w:val="231F20"/>
        </w:rPr>
        <w:t>Estos factores marcaron la pauta para el proceso de reestructuración del sector nacional, caracterizado por el establecimiento de nuevos complejos automotrices en zonas distintas a las tradicionales, lo que propició la consolidación de algunas re- giones (por ejemplo, la norte) como importantes polos de atracción de las grandes transnacionales del sector y la pérdida de dinamismo de esa industria en otras, como la</w:t>
      </w:r>
      <w:r>
        <w:rPr>
          <w:color w:val="231F20"/>
          <w:spacing w:val="-4"/>
        </w:rPr>
        <w:t> </w:t>
      </w:r>
      <w:r>
        <w:rPr>
          <w:color w:val="231F20"/>
        </w:rPr>
        <w:t>región</w:t>
      </w:r>
      <w:r>
        <w:rPr>
          <w:color w:val="231F20"/>
          <w:spacing w:val="-4"/>
        </w:rPr>
        <w:t> </w:t>
      </w:r>
      <w:r>
        <w:rPr>
          <w:color w:val="231F20"/>
        </w:rPr>
        <w:t>centro,</w:t>
      </w:r>
      <w:r>
        <w:rPr>
          <w:color w:val="231F20"/>
          <w:spacing w:val="-4"/>
        </w:rPr>
        <w:t> </w:t>
      </w:r>
      <w:r>
        <w:rPr>
          <w:color w:val="231F20"/>
        </w:rPr>
        <w:t>de</w:t>
      </w:r>
      <w:r>
        <w:rPr>
          <w:color w:val="231F20"/>
          <w:spacing w:val="-4"/>
        </w:rPr>
        <w:t> </w:t>
      </w:r>
      <w:r>
        <w:rPr>
          <w:color w:val="231F20"/>
        </w:rPr>
        <w:t>manera</w:t>
      </w:r>
      <w:r>
        <w:rPr>
          <w:color w:val="231F20"/>
          <w:spacing w:val="-4"/>
        </w:rPr>
        <w:t> </w:t>
      </w:r>
      <w:r>
        <w:rPr>
          <w:color w:val="231F20"/>
        </w:rPr>
        <w:t>concreta</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Además,</w:t>
      </w:r>
      <w:r>
        <w:rPr>
          <w:color w:val="231F20"/>
          <w:spacing w:val="-4"/>
        </w:rPr>
        <w:t> </w:t>
      </w:r>
      <w:r>
        <w:rPr>
          <w:color w:val="231F20"/>
        </w:rPr>
        <w:t>se</w:t>
      </w:r>
      <w:r>
        <w:rPr>
          <w:color w:val="231F20"/>
          <w:spacing w:val="-4"/>
        </w:rPr>
        <w:t> </w:t>
      </w:r>
      <w:r>
        <w:rPr>
          <w:color w:val="231F20"/>
        </w:rPr>
        <w:t>consolidó</w:t>
      </w:r>
      <w:r>
        <w:rPr>
          <w:color w:val="231F20"/>
          <w:spacing w:val="-4"/>
        </w:rPr>
        <w:t> </w:t>
      </w:r>
      <w:r>
        <w:rPr>
          <w:color w:val="231F20"/>
        </w:rPr>
        <w:t>la etapa exportadora del</w:t>
      </w:r>
      <w:r>
        <w:rPr>
          <w:color w:val="231F20"/>
          <w:spacing w:val="9"/>
        </w:rPr>
        <w:t> </w:t>
      </w:r>
      <w:r>
        <w:rPr>
          <w:color w:val="231F20"/>
          <w:spacing w:val="-3"/>
        </w:rPr>
        <w:t>sector.</w:t>
      </w:r>
    </w:p>
    <w:p>
      <w:pPr>
        <w:pStyle w:val="BodyText"/>
        <w:spacing w:line="278" w:lineRule="auto" w:before="1"/>
        <w:ind w:left="653" w:right="101" w:firstLine="396"/>
        <w:jc w:val="both"/>
      </w:pPr>
      <w:r>
        <w:rPr>
          <w:color w:val="231F20"/>
        </w:rPr>
        <w:t>A continuación, se analiza el comportamiento de la producción de vehículos en territorio nacional, con la idea de apreciar las transformaciones ocurridas en el sector a partir de esta variable.</w:t>
      </w:r>
    </w:p>
    <w:p>
      <w:pPr>
        <w:pStyle w:val="BodyText"/>
        <w:spacing w:before="8"/>
        <w:rPr>
          <w:sz w:val="17"/>
        </w:rPr>
      </w:pPr>
    </w:p>
    <w:p>
      <w:pPr>
        <w:pStyle w:val="Heading4"/>
        <w:numPr>
          <w:ilvl w:val="2"/>
          <w:numId w:val="17"/>
        </w:numPr>
        <w:tabs>
          <w:tab w:pos="1175" w:val="left" w:leader="none"/>
        </w:tabs>
        <w:spacing w:line="240" w:lineRule="auto" w:before="0" w:after="0"/>
        <w:ind w:left="1174" w:right="0" w:hanging="521"/>
        <w:jc w:val="both"/>
      </w:pPr>
      <w:r>
        <w:rPr>
          <w:color w:val="231F20"/>
          <w:w w:val="95"/>
        </w:rPr>
        <w:t>Producción</w:t>
      </w:r>
      <w:r>
        <w:rPr>
          <w:color w:val="231F20"/>
          <w:spacing w:val="-17"/>
          <w:w w:val="95"/>
        </w:rPr>
        <w:t> </w:t>
      </w:r>
      <w:r>
        <w:rPr>
          <w:color w:val="231F20"/>
          <w:w w:val="95"/>
        </w:rPr>
        <w:t>total,</w:t>
      </w:r>
      <w:r>
        <w:rPr>
          <w:color w:val="231F20"/>
          <w:spacing w:val="-17"/>
          <w:w w:val="95"/>
        </w:rPr>
        <w:t> </w:t>
      </w:r>
      <w:r>
        <w:rPr>
          <w:color w:val="231F20"/>
          <w:w w:val="95"/>
        </w:rPr>
        <w:t>para</w:t>
      </w:r>
      <w:r>
        <w:rPr>
          <w:color w:val="231F20"/>
          <w:spacing w:val="-17"/>
          <w:w w:val="95"/>
        </w:rPr>
        <w:t> </w:t>
      </w:r>
      <w:r>
        <w:rPr>
          <w:color w:val="231F20"/>
          <w:w w:val="95"/>
        </w:rPr>
        <w:t>mercado</w:t>
      </w:r>
      <w:r>
        <w:rPr>
          <w:color w:val="231F20"/>
          <w:spacing w:val="-17"/>
          <w:w w:val="95"/>
        </w:rPr>
        <w:t> </w:t>
      </w:r>
      <w:r>
        <w:rPr>
          <w:color w:val="231F20"/>
          <w:w w:val="95"/>
        </w:rPr>
        <w:t>nacional</w:t>
      </w:r>
      <w:r>
        <w:rPr>
          <w:color w:val="231F20"/>
          <w:spacing w:val="-17"/>
          <w:w w:val="95"/>
        </w:rPr>
        <w:t> </w:t>
      </w:r>
      <w:r>
        <w:rPr>
          <w:color w:val="231F20"/>
          <w:w w:val="95"/>
        </w:rPr>
        <w:t>y</w:t>
      </w:r>
      <w:r>
        <w:rPr>
          <w:color w:val="231F20"/>
          <w:spacing w:val="-17"/>
          <w:w w:val="95"/>
        </w:rPr>
        <w:t> </w:t>
      </w:r>
      <w:r>
        <w:rPr>
          <w:color w:val="231F20"/>
          <w:w w:val="95"/>
        </w:rPr>
        <w:t>para</w:t>
      </w:r>
      <w:r>
        <w:rPr>
          <w:color w:val="231F20"/>
          <w:spacing w:val="-17"/>
          <w:w w:val="95"/>
        </w:rPr>
        <w:t> </w:t>
      </w:r>
      <w:r>
        <w:rPr>
          <w:color w:val="231F20"/>
          <w:w w:val="95"/>
        </w:rPr>
        <w:t>mercado</w:t>
      </w:r>
      <w:r>
        <w:rPr>
          <w:color w:val="231F20"/>
          <w:spacing w:val="-17"/>
          <w:w w:val="95"/>
        </w:rPr>
        <w:t> </w:t>
      </w:r>
      <w:r>
        <w:rPr>
          <w:color w:val="231F20"/>
          <w:w w:val="95"/>
        </w:rPr>
        <w:t>externo</w:t>
      </w:r>
    </w:p>
    <w:p>
      <w:pPr>
        <w:pStyle w:val="BodyText"/>
        <w:spacing w:line="278" w:lineRule="auto" w:before="134"/>
        <w:ind w:left="653" w:right="101"/>
        <w:jc w:val="both"/>
      </w:pPr>
      <w:r>
        <w:rPr>
          <w:color w:val="231F20"/>
        </w:rPr>
        <w:t>En</w:t>
      </w:r>
      <w:r>
        <w:rPr>
          <w:color w:val="231F20"/>
          <w:spacing w:val="-14"/>
        </w:rPr>
        <w:t> </w:t>
      </w:r>
      <w:r>
        <w:rPr>
          <w:color w:val="231F20"/>
        </w:rPr>
        <w:t>la</w:t>
      </w:r>
      <w:r>
        <w:rPr>
          <w:color w:val="231F20"/>
          <w:spacing w:val="-14"/>
        </w:rPr>
        <w:t> </w:t>
      </w:r>
      <w:r>
        <w:rPr>
          <w:color w:val="231F20"/>
        </w:rPr>
        <w:t>década</w:t>
      </w:r>
      <w:r>
        <w:rPr>
          <w:color w:val="231F20"/>
          <w:spacing w:val="-14"/>
        </w:rPr>
        <w:t> </w:t>
      </w:r>
      <w:r>
        <w:rPr>
          <w:color w:val="231F20"/>
        </w:rPr>
        <w:t>de</w:t>
      </w:r>
      <w:r>
        <w:rPr>
          <w:color w:val="231F20"/>
          <w:spacing w:val="-14"/>
        </w:rPr>
        <w:t> </w:t>
      </w:r>
      <w:r>
        <w:rPr>
          <w:color w:val="231F20"/>
        </w:rPr>
        <w:t>los</w:t>
      </w:r>
      <w:r>
        <w:rPr>
          <w:color w:val="231F20"/>
          <w:spacing w:val="-14"/>
        </w:rPr>
        <w:t> </w:t>
      </w:r>
      <w:r>
        <w:rPr>
          <w:color w:val="231F20"/>
        </w:rPr>
        <w:t>ochenta</w:t>
      </w:r>
      <w:r>
        <w:rPr>
          <w:color w:val="231F20"/>
          <w:spacing w:val="-14"/>
        </w:rPr>
        <w:t> </w:t>
      </w:r>
      <w:r>
        <w:rPr>
          <w:color w:val="231F20"/>
        </w:rPr>
        <w:t>se</w:t>
      </w:r>
      <w:r>
        <w:rPr>
          <w:color w:val="231F20"/>
          <w:spacing w:val="-14"/>
        </w:rPr>
        <w:t> </w:t>
      </w:r>
      <w:r>
        <w:rPr>
          <w:color w:val="231F20"/>
        </w:rPr>
        <w:t>dieron</w:t>
      </w:r>
      <w:r>
        <w:rPr>
          <w:color w:val="231F20"/>
          <w:spacing w:val="-14"/>
        </w:rPr>
        <w:t> </w:t>
      </w:r>
      <w:r>
        <w:rPr>
          <w:color w:val="231F20"/>
        </w:rPr>
        <w:t>cambios</w:t>
      </w:r>
      <w:r>
        <w:rPr>
          <w:color w:val="231F20"/>
          <w:spacing w:val="-14"/>
        </w:rPr>
        <w:t> </w:t>
      </w:r>
      <w:r>
        <w:rPr>
          <w:color w:val="231F20"/>
        </w:rPr>
        <w:t>radicales</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estructura</w:t>
      </w:r>
      <w:r>
        <w:rPr>
          <w:color w:val="231F20"/>
          <w:spacing w:val="-14"/>
        </w:rPr>
        <w:t> </w:t>
      </w:r>
      <w:r>
        <w:rPr>
          <w:color w:val="231F20"/>
        </w:rPr>
        <w:t>del</w:t>
      </w:r>
      <w:r>
        <w:rPr>
          <w:color w:val="231F20"/>
          <w:spacing w:val="-14"/>
        </w:rPr>
        <w:t> </w:t>
      </w:r>
      <w:r>
        <w:rPr>
          <w:color w:val="231F20"/>
        </w:rPr>
        <w:t>sector</w:t>
      </w:r>
      <w:r>
        <w:rPr>
          <w:color w:val="231F20"/>
          <w:spacing w:val="-14"/>
        </w:rPr>
        <w:t> </w:t>
      </w:r>
      <w:r>
        <w:rPr>
          <w:color w:val="231F20"/>
        </w:rPr>
        <w:t>auto- motriz.</w:t>
      </w:r>
      <w:r>
        <w:rPr>
          <w:color w:val="231F20"/>
          <w:spacing w:val="-4"/>
        </w:rPr>
        <w:t> </w:t>
      </w:r>
      <w:r>
        <w:rPr>
          <w:color w:val="231F20"/>
        </w:rPr>
        <w:t>La</w:t>
      </w:r>
      <w:r>
        <w:rPr>
          <w:color w:val="231F20"/>
          <w:spacing w:val="-4"/>
        </w:rPr>
        <w:t> </w:t>
      </w:r>
      <w:r>
        <w:rPr>
          <w:color w:val="231F20"/>
        </w:rPr>
        <w:t>vieja</w:t>
      </w:r>
      <w:r>
        <w:rPr>
          <w:color w:val="231F20"/>
          <w:spacing w:val="-4"/>
        </w:rPr>
        <w:t> </w:t>
      </w:r>
      <w:r>
        <w:rPr>
          <w:color w:val="231F20"/>
        </w:rPr>
        <w:t>industria</w:t>
      </w:r>
      <w:r>
        <w:rPr>
          <w:color w:val="231F20"/>
          <w:spacing w:val="-4"/>
        </w:rPr>
        <w:t> </w:t>
      </w:r>
      <w:r>
        <w:rPr>
          <w:color w:val="231F20"/>
        </w:rPr>
        <w:t>que</w:t>
      </w:r>
      <w:r>
        <w:rPr>
          <w:color w:val="231F20"/>
          <w:spacing w:val="-4"/>
        </w:rPr>
        <w:t> </w:t>
      </w:r>
      <w:r>
        <w:rPr>
          <w:color w:val="231F20"/>
        </w:rPr>
        <w:t>fabricó</w:t>
      </w:r>
      <w:r>
        <w:rPr>
          <w:color w:val="231F20"/>
          <w:spacing w:val="-4"/>
        </w:rPr>
        <w:t> </w:t>
      </w:r>
      <w:r>
        <w:rPr>
          <w:color w:val="231F20"/>
        </w:rPr>
        <w:t>por</w:t>
      </w:r>
      <w:r>
        <w:rPr>
          <w:color w:val="231F20"/>
          <w:spacing w:val="-4"/>
        </w:rPr>
        <w:t> </w:t>
      </w:r>
      <w:r>
        <w:rPr>
          <w:color w:val="231F20"/>
        </w:rPr>
        <w:t>años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mercado</w:t>
      </w:r>
      <w:r>
        <w:rPr>
          <w:color w:val="231F20"/>
          <w:spacing w:val="-4"/>
        </w:rPr>
        <w:t> </w:t>
      </w:r>
      <w:r>
        <w:rPr>
          <w:color w:val="231F20"/>
        </w:rPr>
        <w:t>nacional</w:t>
      </w:r>
      <w:r>
        <w:rPr>
          <w:color w:val="231F20"/>
          <w:spacing w:val="-4"/>
        </w:rPr>
        <w:t> </w:t>
      </w:r>
      <w:r>
        <w:rPr>
          <w:color w:val="231F20"/>
        </w:rPr>
        <w:t>fue</w:t>
      </w:r>
      <w:r>
        <w:rPr>
          <w:color w:val="231F20"/>
          <w:spacing w:val="-4"/>
        </w:rPr>
        <w:t> </w:t>
      </w:r>
      <w:r>
        <w:rPr>
          <w:color w:val="231F20"/>
        </w:rPr>
        <w:t>sustituida por la industria de exportación; se priorizó la entrada de IED y se abrieron nuevas plantas</w:t>
      </w:r>
      <w:r>
        <w:rPr>
          <w:color w:val="231F20"/>
          <w:spacing w:val="-6"/>
        </w:rPr>
        <w:t> </w:t>
      </w:r>
      <w:r>
        <w:rPr>
          <w:color w:val="231F20"/>
        </w:rPr>
        <w:t>para</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de</w:t>
      </w:r>
      <w:r>
        <w:rPr>
          <w:color w:val="231F20"/>
          <w:spacing w:val="-6"/>
        </w:rPr>
        <w:t> </w:t>
      </w:r>
      <w:r>
        <w:rPr>
          <w:color w:val="231F20"/>
        </w:rPr>
        <w:t>motores</w:t>
      </w:r>
      <w:r>
        <w:rPr>
          <w:color w:val="231F20"/>
          <w:spacing w:val="-6"/>
        </w:rPr>
        <w:t> </w:t>
      </w:r>
      <w:r>
        <w:rPr>
          <w:color w:val="231F20"/>
        </w:rPr>
        <w:t>y</w:t>
      </w:r>
      <w:r>
        <w:rPr>
          <w:color w:val="231F20"/>
          <w:spacing w:val="-6"/>
        </w:rPr>
        <w:t> </w:t>
      </w:r>
      <w:r>
        <w:rPr>
          <w:color w:val="231F20"/>
        </w:rPr>
        <w:t>partes</w:t>
      </w:r>
      <w:r>
        <w:rPr>
          <w:color w:val="231F20"/>
          <w:spacing w:val="-6"/>
        </w:rPr>
        <w:t> </w:t>
      </w:r>
      <w:r>
        <w:rPr>
          <w:color w:val="231F20"/>
        </w:rPr>
        <w:t>(Juárez,</w:t>
      </w:r>
      <w:r>
        <w:rPr>
          <w:color w:val="231F20"/>
          <w:spacing w:val="-6"/>
        </w:rPr>
        <w:t> </w:t>
      </w:r>
      <w:r>
        <w:rPr>
          <w:color w:val="231F20"/>
        </w:rPr>
        <w:t>2005).</w:t>
      </w:r>
    </w:p>
    <w:p>
      <w:pPr>
        <w:pStyle w:val="BodyText"/>
        <w:spacing w:line="278" w:lineRule="auto" w:before="1"/>
        <w:ind w:left="653" w:right="100" w:firstLine="396"/>
        <w:jc w:val="both"/>
      </w:pPr>
      <w:r>
        <w:rPr>
          <w:color w:val="231F20"/>
        </w:rPr>
        <w:t>Con la firma del TLCAN en 1994 y la gradual desregulación que esto implicó para el </w:t>
      </w:r>
      <w:r>
        <w:rPr>
          <w:color w:val="231F20"/>
          <w:spacing w:val="-3"/>
        </w:rPr>
        <w:t>sector, </w:t>
      </w:r>
      <w:r>
        <w:rPr>
          <w:color w:val="231F20"/>
        </w:rPr>
        <w:t>en un primer momento la industria terminal y después la de autopartes pasaron</w:t>
      </w:r>
      <w:r>
        <w:rPr>
          <w:color w:val="231F20"/>
          <w:spacing w:val="-6"/>
        </w:rPr>
        <w:t> </w:t>
      </w:r>
      <w:r>
        <w:rPr>
          <w:color w:val="231F20"/>
        </w:rPr>
        <w:t>de</w:t>
      </w:r>
      <w:r>
        <w:rPr>
          <w:color w:val="231F20"/>
          <w:spacing w:val="-6"/>
        </w:rPr>
        <w:t> </w:t>
      </w:r>
      <w:r>
        <w:rPr>
          <w:color w:val="231F20"/>
        </w:rPr>
        <w:t>un</w:t>
      </w:r>
      <w:r>
        <w:rPr>
          <w:color w:val="231F20"/>
          <w:spacing w:val="-6"/>
        </w:rPr>
        <w:t> </w:t>
      </w:r>
      <w:r>
        <w:rPr>
          <w:color w:val="231F20"/>
        </w:rPr>
        <w:t>proceso</w:t>
      </w:r>
      <w:r>
        <w:rPr>
          <w:color w:val="231F20"/>
          <w:spacing w:val="-6"/>
        </w:rPr>
        <w:t> </w:t>
      </w:r>
      <w:r>
        <w:rPr>
          <w:color w:val="231F20"/>
        </w:rPr>
        <w:t>de</w:t>
      </w:r>
      <w:r>
        <w:rPr>
          <w:color w:val="231F20"/>
          <w:spacing w:val="-6"/>
        </w:rPr>
        <w:t> </w:t>
      </w:r>
      <w:r>
        <w:rPr>
          <w:color w:val="231F20"/>
        </w:rPr>
        <w:t>ensamble</w:t>
      </w:r>
      <w:r>
        <w:rPr>
          <w:color w:val="231F20"/>
          <w:spacing w:val="-6"/>
        </w:rPr>
        <w:t> </w:t>
      </w:r>
      <w:r>
        <w:rPr>
          <w:color w:val="231F20"/>
        </w:rPr>
        <w:t>y</w:t>
      </w:r>
      <w:r>
        <w:rPr>
          <w:color w:val="231F20"/>
          <w:spacing w:val="-6"/>
        </w:rPr>
        <w:t> </w:t>
      </w:r>
      <w:r>
        <w:rPr>
          <w:color w:val="231F20"/>
        </w:rPr>
        <w:t>poca</w:t>
      </w:r>
      <w:r>
        <w:rPr>
          <w:color w:val="231F20"/>
          <w:spacing w:val="-6"/>
        </w:rPr>
        <w:t> </w:t>
      </w:r>
      <w:r>
        <w:rPr>
          <w:color w:val="231F20"/>
        </w:rPr>
        <w:t>integración</w:t>
      </w:r>
      <w:r>
        <w:rPr>
          <w:color w:val="231F20"/>
          <w:spacing w:val="-6"/>
        </w:rPr>
        <w:t> </w:t>
      </w:r>
      <w:r>
        <w:rPr>
          <w:color w:val="231F20"/>
        </w:rPr>
        <w:t>productiva</w:t>
      </w:r>
      <w:r>
        <w:rPr>
          <w:color w:val="231F20"/>
          <w:spacing w:val="-6"/>
        </w:rPr>
        <w:t> </w:t>
      </w:r>
      <w:r>
        <w:rPr>
          <w:color w:val="231F20"/>
        </w:rPr>
        <w:t>a</w:t>
      </w:r>
      <w:r>
        <w:rPr>
          <w:color w:val="231F20"/>
          <w:spacing w:val="-6"/>
        </w:rPr>
        <w:t> </w:t>
      </w:r>
      <w:r>
        <w:rPr>
          <w:color w:val="231F20"/>
        </w:rPr>
        <w:t>una</w:t>
      </w:r>
      <w:r>
        <w:rPr>
          <w:color w:val="231F20"/>
          <w:spacing w:val="-6"/>
        </w:rPr>
        <w:t> </w:t>
      </w:r>
      <w:r>
        <w:rPr>
          <w:color w:val="231F20"/>
        </w:rPr>
        <w:t>fase</w:t>
      </w:r>
      <w:r>
        <w:rPr>
          <w:color w:val="231F20"/>
          <w:spacing w:val="-6"/>
        </w:rPr>
        <w:t> </w:t>
      </w:r>
      <w:r>
        <w:rPr>
          <w:color w:val="231F20"/>
        </w:rPr>
        <w:t>de</w:t>
      </w:r>
      <w:r>
        <w:rPr>
          <w:color w:val="231F20"/>
          <w:spacing w:val="-6"/>
        </w:rPr>
        <w:t> </w:t>
      </w:r>
      <w:r>
        <w:rPr>
          <w:color w:val="231F20"/>
        </w:rPr>
        <w:t>mayor integración y evolución tecnológica (Vicencio, 2007), por lo que se incrementó nota- blemente la producción destinada a la exportación, en detrimento de la destinada al mercado</w:t>
      </w:r>
      <w:r>
        <w:rPr>
          <w:color w:val="231F20"/>
          <w:spacing w:val="18"/>
        </w:rPr>
        <w:t> </w:t>
      </w:r>
      <w:r>
        <w:rPr>
          <w:color w:val="231F20"/>
        </w:rPr>
        <w:t>interno.</w:t>
      </w:r>
    </w:p>
    <w:p>
      <w:pPr>
        <w:pStyle w:val="BodyText"/>
        <w:spacing w:line="278" w:lineRule="auto" w:before="1"/>
        <w:ind w:left="653" w:right="100" w:firstLine="396"/>
        <w:jc w:val="both"/>
      </w:pPr>
      <w:r>
        <w:rPr>
          <w:color w:val="231F20"/>
        </w:rPr>
        <w:t>En la gráfica III.1 es evidente el cambio que se ha presentado en el destino de    la producción de vehículos en México. A partir de 1994, se da un cruce entre la producción para mercado de exportación y la producción para mercado interno; y      a partir de ese año, de manera paulatina, el mercado de exportación va cobrando mayor relevancia, mientras que la producción para mercado interno disminuye de forma</w:t>
      </w:r>
      <w:r>
        <w:rPr>
          <w:color w:val="231F20"/>
          <w:spacing w:val="37"/>
        </w:rPr>
        <w:t> </w:t>
      </w:r>
      <w:r>
        <w:rPr>
          <w:color w:val="231F20"/>
        </w:rPr>
        <w:t>notoria.</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9"/>
        <w:rPr>
          <w:sz w:val="15"/>
        </w:rPr>
      </w:pPr>
    </w:p>
    <w:p>
      <w:pPr>
        <w:pStyle w:val="Heading4"/>
        <w:ind w:left="127" w:right="674"/>
      </w:pPr>
      <w:r>
        <w:rPr>
          <w:color w:val="231F20"/>
          <w:w w:val="90"/>
        </w:rPr>
        <w:t>Gráfica III.1</w:t>
      </w:r>
    </w:p>
    <w:p>
      <w:pPr>
        <w:spacing w:line="282" w:lineRule="exact" w:before="0"/>
        <w:ind w:left="0" w:right="547" w:firstLine="0"/>
        <w:jc w:val="center"/>
        <w:rPr>
          <w:rFonts w:ascii="Palatino Linotype" w:hAnsi="Palatino Linotype"/>
          <w:b/>
          <w:sz w:val="21"/>
        </w:rPr>
      </w:pPr>
      <w:r>
        <w:rPr>
          <w:rFonts w:ascii="Palatino Linotype" w:hAnsi="Palatino Linotype"/>
          <w:b/>
          <w:color w:val="231F20"/>
          <w:w w:val="95"/>
          <w:sz w:val="21"/>
        </w:rPr>
        <w:t>Producción para mercado interno y para mercado de exportación, 1988-2013</w:t>
      </w:r>
    </w:p>
    <w:p>
      <w:pPr>
        <w:spacing w:before="17"/>
        <w:ind w:left="127" w:right="674" w:firstLine="0"/>
        <w:jc w:val="center"/>
        <w:rPr>
          <w:rFonts w:ascii="Palatino Linotype" w:hAnsi="Palatino Linotype"/>
          <w:b/>
          <w:sz w:val="19"/>
        </w:rPr>
      </w:pPr>
      <w:r>
        <w:rPr>
          <w:rFonts w:ascii="Palatino Linotype" w:hAnsi="Palatino Linotype"/>
          <w:b/>
          <w:color w:val="231F20"/>
          <w:sz w:val="19"/>
        </w:rPr>
        <w:t>(Vehículos)</w:t>
      </w:r>
    </w:p>
    <w:p>
      <w:pPr>
        <w:pStyle w:val="BodyText"/>
        <w:spacing w:before="7"/>
        <w:rPr>
          <w:rFonts w:ascii="Palatino Linotype"/>
          <w:b/>
          <w:sz w:val="29"/>
        </w:rPr>
      </w:pPr>
    </w:p>
    <w:p>
      <w:pPr>
        <w:spacing w:before="73"/>
        <w:ind w:left="124" w:right="673" w:firstLine="0"/>
        <w:jc w:val="left"/>
        <w:rPr>
          <w:sz w:val="17"/>
        </w:rPr>
      </w:pPr>
      <w:r>
        <w:rPr/>
        <w:pict>
          <v:group style="position:absolute;margin-left:109.385597pt;margin-top:8.463664pt;width:312.75pt;height:153.7pt;mso-position-horizontal-relative:page;mso-position-vertical-relative:paragraph;z-index:7936" coordorigin="2188,169" coordsize="6255,3074">
            <v:shape style="position:absolute;left:0;top:10511;width:6241;height:3060" coordorigin="0,10511" coordsize="6241,3060" path="m2195,176l8435,176m2195,684l8435,684m2195,1191l8435,1191m2195,1699l8435,1699m2195,2207l8435,2207m2195,2728l2753,2728m2195,3236l2195,176m2195,3236l8435,3236m7166,2728l8435,2728m3805,2728l7073,2728m2845,2728l3713,2728e" filled="false" stroked="true" strokeweight=".658pt" strokecolor="#9a9d9f">
              <v:path arrowok="t"/>
            </v:shape>
            <v:shape style="position:absolute;left:2307;top:790;width:6004;height:2270" coordorigin="2307,790" coordsize="6004,2270" path="m2307,3059l2557,3031,2794,2947,3031,2862,3268,2834,3518,2735,3755,2651,3992,2439,4229,2242,4479,2228,4716,2242,4953,2129,5190,1776,5427,1819,5677,1889,5914,2044,6151,2115,6388,2016,6638,1678,6875,1607,7112,1593,7349,1988,7599,1664,7836,1086,8073,790,8310,790e" filled="false" stroked="true" strokeweight="1.317pt" strokecolor="#5d5e60">
              <v:path arrowok="t"/>
            </v:shape>
            <v:shape style="position:absolute;left:2267;top:3004;width:105;height:112" type="#_x0000_t75" stroked="false">
              <v:imagedata r:id="rId96" o:title=""/>
            </v:shape>
            <v:shape style="position:absolute;left:2507;top:2983;width:105;height:112" type="#_x0000_t75" stroked="false">
              <v:imagedata r:id="rId96" o:title=""/>
            </v:shape>
            <v:shape style="position:absolute;left:2747;top:2898;width:105;height:112" type="#_x0000_t75" stroked="false">
              <v:imagedata r:id="rId96" o:title=""/>
            </v:shape>
            <v:shape style="position:absolute;left:2987;top:2810;width:105;height:112" type="#_x0000_t75" stroked="false">
              <v:imagedata r:id="rId97" o:title=""/>
            </v:shape>
            <v:shape style="position:absolute;left:3227;top:2784;width:105;height:112" type="#_x0000_t75" stroked="false">
              <v:imagedata r:id="rId96" o:title=""/>
            </v:shape>
            <v:shape style="position:absolute;left:3467;top:2680;width:105;height:112" type="#_x0000_t75" stroked="false">
              <v:imagedata r:id="rId96" o:title=""/>
            </v:shape>
            <v:shape style="position:absolute;left:3707;top:2597;width:105;height:112" type="#_x0000_t75" stroked="false">
              <v:imagedata r:id="rId97" o:title=""/>
            </v:shape>
            <v:shape style="position:absolute;left:3947;top:2389;width:105;height:112" type="#_x0000_t75" stroked="false">
              <v:imagedata r:id="rId96" o:title=""/>
            </v:shape>
            <v:shape style="position:absolute;left:4187;top:2194;width:105;height:112" type="#_x0000_t75" stroked="false">
              <v:imagedata r:id="rId96" o:title=""/>
            </v:shape>
            <v:shape style="position:absolute;left:4427;top:2180;width:105;height:112" type="#_x0000_t75" stroked="false">
              <v:imagedata r:id="rId96" o:title=""/>
            </v:shape>
            <v:shape style="position:absolute;left:4667;top:2186;width:105;height:112" type="#_x0000_t75" stroked="false">
              <v:imagedata r:id="rId98" o:title=""/>
            </v:shape>
            <v:shape style="position:absolute;left:4907;top:2086;width:105;height:112" type="#_x0000_t75" stroked="false">
              <v:imagedata r:id="rId99" o:title=""/>
            </v:shape>
            <v:shape style="position:absolute;left:5147;top:1724;width:105;height:112" type="#_x0000_t75" stroked="false">
              <v:imagedata r:id="rId99" o:title=""/>
            </v:shape>
            <v:shape style="position:absolute;left:5387;top:1775;width:105;height:112" type="#_x0000_t75" stroked="false">
              <v:imagedata r:id="rId96" o:title=""/>
            </v:shape>
            <v:shape style="position:absolute;left:5627;top:1839;width:105;height:112" type="#_x0000_t75" stroked="false">
              <v:imagedata r:id="rId99" o:title=""/>
            </v:shape>
            <v:shape style="position:absolute;left:5867;top:1991;width:105;height:112" type="#_x0000_t75" stroked="false">
              <v:imagedata r:id="rId99" o:title=""/>
            </v:shape>
            <v:shape style="position:absolute;left:6107;top:2061;width:105;height:112" type="#_x0000_t75" stroked="false">
              <v:imagedata r:id="rId100" o:title=""/>
            </v:shape>
            <v:shape style="position:absolute;left:6347;top:1968;width:105;height:112" type="#_x0000_t75" stroked="false">
              <v:imagedata r:id="rId99" o:title=""/>
            </v:shape>
            <v:shape style="position:absolute;left:6587;top:1632;width:105;height:112" type="#_x0000_t75" stroked="false">
              <v:imagedata r:id="rId99" o:title=""/>
            </v:shape>
            <v:shape style="position:absolute;left:6827;top:1562;width:105;height:112" type="#_x0000_t75" stroked="false">
              <v:imagedata r:id="rId99" o:title=""/>
            </v:shape>
            <v:shape style="position:absolute;left:7067;top:1538;width:105;height:112" type="#_x0000_t75" stroked="false">
              <v:imagedata r:id="rId96" o:title=""/>
            </v:shape>
            <v:shape style="position:absolute;left:7307;top:1934;width:105;height:112" type="#_x0000_t75" stroked="false">
              <v:imagedata r:id="rId99" o:title=""/>
            </v:shape>
            <v:shape style="position:absolute;left:7547;top:1616;width:105;height:112" type="#_x0000_t75" stroked="false">
              <v:imagedata r:id="rId99" o:title=""/>
            </v:shape>
            <v:shape style="position:absolute;left:7787;top:1035;width:105;height:112" type="#_x0000_t75" stroked="false">
              <v:imagedata r:id="rId96" o:title=""/>
            </v:shape>
            <v:shape style="position:absolute;left:8027;top:735;width:105;height:112" type="#_x0000_t75" stroked="false">
              <v:imagedata r:id="rId101" o:title=""/>
            </v:shape>
            <v:shape style="position:absolute;left:8267;top:747;width:105;height:112" type="#_x0000_t75" stroked="false">
              <v:imagedata r:id="rId96" o:title=""/>
            </v:shape>
            <v:shape style="position:absolute;left:2307;top:2552;width:6004;height:522" coordorigin="2307,2552" coordsize="6004,522" path="m2307,2890l2557,2792,2794,2693,3031,2622,3268,2552,3518,2665,3755,2693,3992,3074,4229,2989,4479,2876,4716,2778,4953,2806,5190,2763,5427,2792,5677,2763,5914,2848,6151,2820,6388,2806,6638,2763,6875,2792,7112,2735,7349,2947,7599,2904,7836,2834,8073,2651,8310,2749e" filled="false" stroked="true" strokeweight="1.317pt" strokecolor="#898b8e">
              <v:path arrowok="t"/>
            </v:shape>
            <v:line style="position:absolute" from="2319,2852" to="2319,2950" stroked="true" strokeweight="4.608pt" strokecolor="#898b8e"/>
            <v:line style="position:absolute" from="2559,2747" to="2559,2846" stroked="true" strokeweight="4.608pt" strokecolor="#898b8e"/>
            <v:line style="position:absolute" from="2799,2654" to="2799,2753" stroked="true" strokeweight="4.608pt" strokecolor="#898b8e"/>
            <v:line style="position:absolute" from="3039,2582" to="3039,2681" stroked="true" strokeweight="4.607pt" strokecolor="#898b8e"/>
            <v:line style="position:absolute" from="3279,2517" to="3279,2615" stroked="true" strokeweight="4.608pt" strokecolor="#898b8e"/>
            <v:line style="position:absolute" from="3519,2616" to="3519,2715" stroked="true" strokeweight="4.608pt" strokecolor="#898b8e"/>
            <v:line style="position:absolute" from="3759,2657" to="3759,2756" stroked="true" strokeweight="4.607pt" strokecolor="#898b8e"/>
            <v:line style="position:absolute" from="3999,3033" to="3999,3132" stroked="true" strokeweight="4.608pt" strokecolor="#898b8e"/>
            <v:line style="position:absolute" from="4239,2944" to="4239,3042" stroked="true" strokeweight="4.608pt" strokecolor="#898b8e"/>
            <v:line style="position:absolute" from="4479,2829" to="4479,2927" stroked="true" strokeweight="4.608pt" strokecolor="#898b8e"/>
            <v:line style="position:absolute" from="4719,2732" to="4719,2830" stroked="true" strokeweight="4.608pt" strokecolor="#898b8e"/>
            <v:line style="position:absolute" from="4959,2765" to="4959,2863" stroked="true" strokeweight="4.608pt" strokecolor="#898b8e"/>
            <v:line style="position:absolute" from="5199,2724" to="5199,2822" stroked="true" strokeweight="4.608pt" strokecolor="#898b8e"/>
            <v:line style="position:absolute" from="5439,2745" to="5439,2844" stroked="true" strokeweight="4.608pt" strokecolor="#898b8e"/>
            <v:line style="position:absolute" from="5679,2725" to="5679,2824" stroked="true" strokeweight="4.607pt" strokecolor="#898b8e"/>
            <v:line style="position:absolute" from="5919,2811" to="5919,2910" stroked="true" strokeweight="4.608pt" strokecolor="#898b8e"/>
            <v:line style="position:absolute" from="6159,2776" to="6159,2874" stroked="true" strokeweight="4.608pt" strokecolor="#898b8e"/>
            <v:line style="position:absolute" from="6400,2767" to="6400,2866" stroked="true" strokeweight="4.607pt" strokecolor="#898b8e"/>
            <v:line style="position:absolute" from="6640,2725" to="6640,2824" stroked="true" strokeweight="4.608pt" strokecolor="#898b8e"/>
            <v:line style="position:absolute" from="6880,2750" to="6880,2849" stroked="true" strokeweight="4.608pt" strokecolor="#898b8e"/>
            <v:line style="position:absolute" from="7120,2692" to="7120,2791" stroked="true" strokeweight="4.608pt" strokecolor="#898b8e"/>
            <v:line style="position:absolute" from="7360,2902" to="7360,3001" stroked="true" strokeweight="4.608pt" strokecolor="#898b8e"/>
            <v:line style="position:absolute" from="7600,2864" to="7600,2963" stroked="true" strokeweight="4.608pt" strokecolor="#898b8e"/>
            <v:line style="position:absolute" from="7840,2790" to="7840,2888" stroked="true" strokeweight="4.608pt" strokecolor="#898b8e"/>
            <v:line style="position:absolute" from="8080,2609" to="8080,2707" stroked="true" strokeweight="4.608pt" strokecolor="#898b8e"/>
            <v:line style="position:absolute" from="8320,2713" to="8320,2812" stroked="true" strokeweight="4.608pt" strokecolor="#898b8e"/>
            <w10:wrap type="none"/>
          </v:group>
        </w:pict>
      </w:r>
      <w:r>
        <w:rPr>
          <w:color w:val="231F20"/>
          <w:sz w:val="17"/>
        </w:rPr>
        <w:t>3,000,000</w:t>
      </w:r>
    </w:p>
    <w:p>
      <w:pPr>
        <w:pStyle w:val="BodyText"/>
        <w:spacing w:before="1"/>
        <w:rPr>
          <w:sz w:val="18"/>
        </w:rPr>
      </w:pPr>
    </w:p>
    <w:p>
      <w:pPr>
        <w:spacing w:before="73"/>
        <w:ind w:left="124" w:right="673" w:firstLine="0"/>
        <w:jc w:val="left"/>
        <w:rPr>
          <w:sz w:val="17"/>
        </w:rPr>
      </w:pPr>
      <w:r>
        <w:rPr>
          <w:color w:val="231F20"/>
          <w:sz w:val="17"/>
        </w:rPr>
        <w:t>2,500,000</w:t>
      </w:r>
    </w:p>
    <w:p>
      <w:pPr>
        <w:pStyle w:val="BodyText"/>
        <w:spacing w:before="4"/>
      </w:pPr>
    </w:p>
    <w:p>
      <w:pPr>
        <w:spacing w:before="73"/>
        <w:ind w:left="124" w:right="673" w:firstLine="0"/>
        <w:jc w:val="left"/>
        <w:rPr>
          <w:sz w:val="17"/>
        </w:rPr>
      </w:pPr>
      <w:r>
        <w:rPr>
          <w:color w:val="231F20"/>
          <w:sz w:val="17"/>
        </w:rPr>
        <w:t>2,000,000</w:t>
      </w:r>
    </w:p>
    <w:p>
      <w:pPr>
        <w:pStyle w:val="BodyText"/>
        <w:spacing w:before="9"/>
        <w:rPr>
          <w:sz w:val="20"/>
        </w:rPr>
      </w:pPr>
    </w:p>
    <w:p>
      <w:pPr>
        <w:spacing w:before="73"/>
        <w:ind w:left="124" w:right="673" w:firstLine="0"/>
        <w:jc w:val="left"/>
        <w:rPr>
          <w:sz w:val="17"/>
        </w:rPr>
      </w:pPr>
      <w:r>
        <w:rPr>
          <w:color w:val="231F20"/>
          <w:sz w:val="17"/>
        </w:rPr>
        <w:t>1,500,000</w:t>
      </w:r>
    </w:p>
    <w:p>
      <w:pPr>
        <w:pStyle w:val="BodyText"/>
        <w:spacing w:before="6"/>
        <w:rPr>
          <w:sz w:val="17"/>
        </w:rPr>
      </w:pPr>
    </w:p>
    <w:p>
      <w:pPr>
        <w:spacing w:before="73"/>
        <w:ind w:left="124" w:right="673" w:firstLine="0"/>
        <w:jc w:val="left"/>
        <w:rPr>
          <w:sz w:val="17"/>
        </w:rPr>
      </w:pPr>
      <w:r>
        <w:rPr>
          <w:color w:val="231F20"/>
          <w:sz w:val="17"/>
        </w:rPr>
        <w:t>1,000,000</w:t>
      </w:r>
    </w:p>
    <w:p>
      <w:pPr>
        <w:pStyle w:val="BodyText"/>
        <w:spacing w:before="2"/>
        <w:rPr>
          <w:sz w:val="23"/>
        </w:rPr>
      </w:pPr>
    </w:p>
    <w:p>
      <w:pPr>
        <w:spacing w:before="73"/>
        <w:ind w:left="255" w:right="673" w:firstLine="0"/>
        <w:jc w:val="left"/>
        <w:rPr>
          <w:sz w:val="17"/>
        </w:rPr>
      </w:pPr>
      <w:r>
        <w:rPr>
          <w:color w:val="231F20"/>
          <w:sz w:val="17"/>
        </w:rPr>
        <w:t>500,000</w:t>
      </w:r>
    </w:p>
    <w:p>
      <w:pPr>
        <w:pStyle w:val="BodyText"/>
        <w:spacing w:before="8"/>
        <w:rPr>
          <w:sz w:val="20"/>
        </w:rPr>
      </w:pPr>
    </w:p>
    <w:p>
      <w:pPr>
        <w:spacing w:before="73"/>
        <w:ind w:left="748" w:right="0" w:firstLine="0"/>
        <w:jc w:val="left"/>
        <w:rPr>
          <w:sz w:val="17"/>
        </w:rPr>
      </w:pPr>
      <w:r>
        <w:rPr/>
        <w:pict>
          <v:shape style="position:absolute;margin-left:111.012108pt;margin-top:22.377638pt;width:311.150pt;height:20.5pt;mso-position-horizontal-relative:page;mso-position-vertical-relative:paragraph;z-index:8008" type="#_x0000_t202" filled="false" stroked="false">
            <v:textbox inset="0,0,0,0" style="layout-flow:vertical;mso-layout-flow-alt:bottom-to-top">
              <w:txbxContent>
                <w:p>
                  <w:pPr>
                    <w:spacing w:line="188" w:lineRule="exact" w:before="0"/>
                    <w:ind w:left="20" w:right="0" w:firstLine="0"/>
                    <w:jc w:val="left"/>
                    <w:rPr>
                      <w:sz w:val="17"/>
                    </w:rPr>
                  </w:pPr>
                  <w:r>
                    <w:rPr>
                      <w:color w:val="231F20"/>
                      <w:spacing w:val="6"/>
                      <w:w w:val="101"/>
                      <w:sz w:val="17"/>
                    </w:rPr>
                    <w:t>1988</w:t>
                  </w:r>
                </w:p>
                <w:p>
                  <w:pPr>
                    <w:spacing w:before="45"/>
                    <w:ind w:left="20" w:right="0" w:firstLine="0"/>
                    <w:jc w:val="left"/>
                    <w:rPr>
                      <w:sz w:val="17"/>
                    </w:rPr>
                  </w:pPr>
                  <w:r>
                    <w:rPr>
                      <w:color w:val="231F20"/>
                      <w:spacing w:val="6"/>
                      <w:w w:val="101"/>
                      <w:sz w:val="17"/>
                    </w:rPr>
                    <w:t>1989</w:t>
                  </w:r>
                </w:p>
                <w:p>
                  <w:pPr>
                    <w:spacing w:before="45"/>
                    <w:ind w:left="20" w:right="0" w:firstLine="0"/>
                    <w:jc w:val="left"/>
                    <w:rPr>
                      <w:sz w:val="17"/>
                    </w:rPr>
                  </w:pPr>
                  <w:r>
                    <w:rPr>
                      <w:color w:val="231F20"/>
                      <w:spacing w:val="6"/>
                      <w:w w:val="101"/>
                      <w:sz w:val="17"/>
                    </w:rPr>
                    <w:t>1990</w:t>
                  </w:r>
                </w:p>
                <w:p>
                  <w:pPr>
                    <w:spacing w:before="45"/>
                    <w:ind w:left="20" w:right="0" w:firstLine="0"/>
                    <w:jc w:val="left"/>
                    <w:rPr>
                      <w:sz w:val="17"/>
                    </w:rPr>
                  </w:pPr>
                  <w:r>
                    <w:rPr>
                      <w:color w:val="231F20"/>
                      <w:spacing w:val="6"/>
                      <w:w w:val="101"/>
                      <w:sz w:val="17"/>
                    </w:rPr>
                    <w:t>1991</w:t>
                  </w:r>
                </w:p>
                <w:p>
                  <w:pPr>
                    <w:spacing w:before="45"/>
                    <w:ind w:left="20" w:right="0" w:firstLine="0"/>
                    <w:jc w:val="left"/>
                    <w:rPr>
                      <w:sz w:val="17"/>
                    </w:rPr>
                  </w:pPr>
                  <w:r>
                    <w:rPr>
                      <w:color w:val="231F20"/>
                      <w:spacing w:val="6"/>
                      <w:w w:val="100"/>
                      <w:sz w:val="17"/>
                    </w:rPr>
                    <w:t>1992</w:t>
                  </w:r>
                </w:p>
                <w:p>
                  <w:pPr>
                    <w:spacing w:before="45"/>
                    <w:ind w:left="20" w:right="0" w:firstLine="0"/>
                    <w:jc w:val="left"/>
                    <w:rPr>
                      <w:sz w:val="17"/>
                    </w:rPr>
                  </w:pPr>
                  <w:r>
                    <w:rPr>
                      <w:color w:val="231F20"/>
                      <w:spacing w:val="6"/>
                      <w:w w:val="100"/>
                      <w:sz w:val="17"/>
                    </w:rPr>
                    <w:t>1993</w:t>
                  </w:r>
                </w:p>
                <w:p>
                  <w:pPr>
                    <w:spacing w:before="45"/>
                    <w:ind w:left="20" w:right="0" w:firstLine="0"/>
                    <w:jc w:val="left"/>
                    <w:rPr>
                      <w:sz w:val="17"/>
                    </w:rPr>
                  </w:pPr>
                  <w:r>
                    <w:rPr>
                      <w:color w:val="231F20"/>
                      <w:spacing w:val="6"/>
                      <w:w w:val="100"/>
                      <w:sz w:val="17"/>
                    </w:rPr>
                    <w:t>1994</w:t>
                  </w:r>
                </w:p>
                <w:p>
                  <w:pPr>
                    <w:spacing w:before="45"/>
                    <w:ind w:left="20" w:right="0" w:firstLine="0"/>
                    <w:jc w:val="left"/>
                    <w:rPr>
                      <w:sz w:val="17"/>
                    </w:rPr>
                  </w:pPr>
                  <w:r>
                    <w:rPr>
                      <w:color w:val="231F20"/>
                      <w:spacing w:val="6"/>
                      <w:w w:val="100"/>
                      <w:sz w:val="17"/>
                    </w:rPr>
                    <w:t>1995</w:t>
                  </w:r>
                </w:p>
                <w:p>
                  <w:pPr>
                    <w:spacing w:before="45"/>
                    <w:ind w:left="20" w:right="0" w:firstLine="0"/>
                    <w:jc w:val="left"/>
                    <w:rPr>
                      <w:sz w:val="17"/>
                    </w:rPr>
                  </w:pPr>
                  <w:r>
                    <w:rPr>
                      <w:color w:val="231F20"/>
                      <w:spacing w:val="6"/>
                      <w:w w:val="101"/>
                      <w:sz w:val="17"/>
                    </w:rPr>
                    <w:t>1996</w:t>
                  </w:r>
                </w:p>
                <w:p>
                  <w:pPr>
                    <w:spacing w:before="45"/>
                    <w:ind w:left="20" w:right="0" w:firstLine="0"/>
                    <w:jc w:val="left"/>
                    <w:rPr>
                      <w:sz w:val="17"/>
                    </w:rPr>
                  </w:pPr>
                  <w:r>
                    <w:rPr>
                      <w:color w:val="231F20"/>
                      <w:spacing w:val="6"/>
                      <w:w w:val="100"/>
                      <w:sz w:val="17"/>
                    </w:rPr>
                    <w:t>1997</w:t>
                  </w:r>
                </w:p>
                <w:p>
                  <w:pPr>
                    <w:spacing w:before="45"/>
                    <w:ind w:left="20" w:right="0" w:firstLine="0"/>
                    <w:jc w:val="left"/>
                    <w:rPr>
                      <w:sz w:val="17"/>
                    </w:rPr>
                  </w:pPr>
                  <w:r>
                    <w:rPr>
                      <w:color w:val="231F20"/>
                      <w:spacing w:val="6"/>
                      <w:w w:val="101"/>
                      <w:sz w:val="17"/>
                    </w:rPr>
                    <w:t>1998</w:t>
                  </w:r>
                </w:p>
                <w:p>
                  <w:pPr>
                    <w:spacing w:before="45"/>
                    <w:ind w:left="20" w:right="0" w:firstLine="0"/>
                    <w:jc w:val="left"/>
                    <w:rPr>
                      <w:sz w:val="17"/>
                    </w:rPr>
                  </w:pPr>
                  <w:r>
                    <w:rPr>
                      <w:color w:val="231F20"/>
                      <w:spacing w:val="6"/>
                      <w:w w:val="101"/>
                      <w:sz w:val="17"/>
                    </w:rPr>
                    <w:t>1999</w:t>
                  </w:r>
                </w:p>
                <w:p>
                  <w:pPr>
                    <w:spacing w:before="45"/>
                    <w:ind w:left="20" w:right="0" w:firstLine="0"/>
                    <w:jc w:val="left"/>
                    <w:rPr>
                      <w:sz w:val="17"/>
                    </w:rPr>
                  </w:pPr>
                  <w:r>
                    <w:rPr>
                      <w:color w:val="231F20"/>
                      <w:spacing w:val="6"/>
                      <w:w w:val="100"/>
                      <w:sz w:val="17"/>
                    </w:rPr>
                    <w:t>2000</w:t>
                  </w:r>
                </w:p>
                <w:p>
                  <w:pPr>
                    <w:spacing w:before="45"/>
                    <w:ind w:left="20" w:right="0" w:firstLine="0"/>
                    <w:jc w:val="left"/>
                    <w:rPr>
                      <w:sz w:val="17"/>
                    </w:rPr>
                  </w:pPr>
                  <w:r>
                    <w:rPr>
                      <w:color w:val="231F20"/>
                      <w:spacing w:val="6"/>
                      <w:w w:val="100"/>
                      <w:sz w:val="17"/>
                    </w:rPr>
                    <w:t>2001</w:t>
                  </w:r>
                </w:p>
                <w:p>
                  <w:pPr>
                    <w:spacing w:before="45"/>
                    <w:ind w:left="20" w:right="0" w:firstLine="0"/>
                    <w:jc w:val="left"/>
                    <w:rPr>
                      <w:sz w:val="17"/>
                    </w:rPr>
                  </w:pPr>
                  <w:r>
                    <w:rPr>
                      <w:color w:val="231F20"/>
                      <w:spacing w:val="6"/>
                      <w:w w:val="100"/>
                      <w:sz w:val="17"/>
                    </w:rPr>
                    <w:t>2002</w:t>
                  </w:r>
                </w:p>
                <w:p>
                  <w:pPr>
                    <w:spacing w:before="45"/>
                    <w:ind w:left="20" w:right="0" w:firstLine="0"/>
                    <w:jc w:val="left"/>
                    <w:rPr>
                      <w:sz w:val="17"/>
                    </w:rPr>
                  </w:pPr>
                  <w:r>
                    <w:rPr>
                      <w:color w:val="231F20"/>
                      <w:spacing w:val="6"/>
                      <w:w w:val="101"/>
                      <w:sz w:val="17"/>
                    </w:rPr>
                    <w:t>2003</w:t>
                  </w:r>
                </w:p>
                <w:p>
                  <w:pPr>
                    <w:spacing w:before="45"/>
                    <w:ind w:left="20" w:right="0" w:firstLine="0"/>
                    <w:jc w:val="left"/>
                    <w:rPr>
                      <w:sz w:val="17"/>
                    </w:rPr>
                  </w:pPr>
                  <w:r>
                    <w:rPr>
                      <w:color w:val="231F20"/>
                      <w:spacing w:val="6"/>
                      <w:w w:val="100"/>
                      <w:sz w:val="17"/>
                    </w:rPr>
                    <w:t>2004</w:t>
                  </w:r>
                </w:p>
                <w:p>
                  <w:pPr>
                    <w:spacing w:before="45"/>
                    <w:ind w:left="20" w:right="0" w:firstLine="0"/>
                    <w:jc w:val="left"/>
                    <w:rPr>
                      <w:sz w:val="17"/>
                    </w:rPr>
                  </w:pPr>
                  <w:r>
                    <w:rPr>
                      <w:color w:val="231F20"/>
                      <w:spacing w:val="6"/>
                      <w:w w:val="100"/>
                      <w:sz w:val="17"/>
                    </w:rPr>
                    <w:t>2005</w:t>
                  </w:r>
                </w:p>
                <w:p>
                  <w:pPr>
                    <w:spacing w:before="45"/>
                    <w:ind w:left="20" w:right="0" w:firstLine="0"/>
                    <w:jc w:val="left"/>
                    <w:rPr>
                      <w:sz w:val="17"/>
                    </w:rPr>
                  </w:pPr>
                  <w:r>
                    <w:rPr>
                      <w:color w:val="231F20"/>
                      <w:spacing w:val="6"/>
                      <w:w w:val="100"/>
                      <w:sz w:val="17"/>
                    </w:rPr>
                    <w:t>2006</w:t>
                  </w:r>
                </w:p>
                <w:p>
                  <w:pPr>
                    <w:spacing w:before="45"/>
                    <w:ind w:left="20" w:right="0" w:firstLine="0"/>
                    <w:jc w:val="left"/>
                    <w:rPr>
                      <w:sz w:val="17"/>
                    </w:rPr>
                  </w:pPr>
                  <w:r>
                    <w:rPr>
                      <w:color w:val="231F20"/>
                      <w:spacing w:val="6"/>
                      <w:w w:val="101"/>
                      <w:sz w:val="17"/>
                    </w:rPr>
                    <w:t>2007</w:t>
                  </w:r>
                </w:p>
                <w:p>
                  <w:pPr>
                    <w:spacing w:before="45"/>
                    <w:ind w:left="20" w:right="0" w:firstLine="0"/>
                    <w:jc w:val="left"/>
                    <w:rPr>
                      <w:sz w:val="17"/>
                    </w:rPr>
                  </w:pPr>
                  <w:r>
                    <w:rPr>
                      <w:color w:val="231F20"/>
                      <w:spacing w:val="6"/>
                      <w:w w:val="101"/>
                      <w:sz w:val="17"/>
                    </w:rPr>
                    <w:t>2008</w:t>
                  </w:r>
                </w:p>
                <w:p>
                  <w:pPr>
                    <w:spacing w:before="45"/>
                    <w:ind w:left="20" w:right="0" w:firstLine="0"/>
                    <w:jc w:val="left"/>
                    <w:rPr>
                      <w:sz w:val="17"/>
                    </w:rPr>
                  </w:pPr>
                  <w:r>
                    <w:rPr>
                      <w:color w:val="231F20"/>
                      <w:spacing w:val="6"/>
                      <w:w w:val="100"/>
                      <w:sz w:val="17"/>
                    </w:rPr>
                    <w:t>2009</w:t>
                  </w:r>
                </w:p>
                <w:p>
                  <w:pPr>
                    <w:spacing w:before="45"/>
                    <w:ind w:left="20" w:right="0" w:firstLine="0"/>
                    <w:jc w:val="left"/>
                    <w:rPr>
                      <w:sz w:val="17"/>
                    </w:rPr>
                  </w:pPr>
                  <w:r>
                    <w:rPr>
                      <w:color w:val="231F20"/>
                      <w:spacing w:val="6"/>
                      <w:w w:val="101"/>
                      <w:sz w:val="17"/>
                    </w:rPr>
                    <w:t>2010</w:t>
                  </w:r>
                </w:p>
                <w:p>
                  <w:pPr>
                    <w:spacing w:before="45"/>
                    <w:ind w:left="20" w:right="0" w:firstLine="0"/>
                    <w:jc w:val="left"/>
                    <w:rPr>
                      <w:sz w:val="17"/>
                    </w:rPr>
                  </w:pPr>
                  <w:r>
                    <w:rPr>
                      <w:color w:val="231F20"/>
                      <w:spacing w:val="6"/>
                      <w:w w:val="100"/>
                      <w:sz w:val="17"/>
                    </w:rPr>
                    <w:t>2011</w:t>
                  </w:r>
                </w:p>
                <w:p>
                  <w:pPr>
                    <w:spacing w:before="45"/>
                    <w:ind w:left="20" w:right="0" w:firstLine="0"/>
                    <w:jc w:val="left"/>
                    <w:rPr>
                      <w:sz w:val="17"/>
                    </w:rPr>
                  </w:pPr>
                  <w:r>
                    <w:rPr>
                      <w:color w:val="231F20"/>
                      <w:spacing w:val="6"/>
                      <w:w w:val="101"/>
                      <w:sz w:val="17"/>
                    </w:rPr>
                    <w:t>2012</w:t>
                  </w:r>
                </w:p>
                <w:p>
                  <w:pPr>
                    <w:spacing w:before="45"/>
                    <w:ind w:left="20" w:right="0" w:firstLine="0"/>
                    <w:jc w:val="left"/>
                    <w:rPr>
                      <w:sz w:val="17"/>
                    </w:rPr>
                  </w:pPr>
                  <w:r>
                    <w:rPr>
                      <w:color w:val="231F20"/>
                      <w:spacing w:val="6"/>
                      <w:w w:val="101"/>
                      <w:sz w:val="17"/>
                    </w:rPr>
                    <w:t>2013</w:t>
                  </w:r>
                </w:p>
              </w:txbxContent>
            </v:textbox>
            <w10:wrap type="none"/>
          </v:shape>
        </w:pict>
      </w:r>
      <w:r>
        <w:rPr>
          <w:color w:val="231F20"/>
          <w:w w:val="100"/>
          <w:sz w:val="17"/>
        </w:rPr>
        <w:t>0</w:t>
      </w:r>
    </w:p>
    <w:p>
      <w:pPr>
        <w:pStyle w:val="BodyText"/>
        <w:rPr>
          <w:sz w:val="20"/>
        </w:rPr>
      </w:pPr>
    </w:p>
    <w:p>
      <w:pPr>
        <w:pStyle w:val="BodyText"/>
        <w:rPr>
          <w:sz w:val="20"/>
        </w:rPr>
      </w:pPr>
    </w:p>
    <w:p>
      <w:pPr>
        <w:pStyle w:val="BodyText"/>
        <w:rPr>
          <w:sz w:val="20"/>
        </w:rPr>
      </w:pPr>
    </w:p>
    <w:p>
      <w:pPr>
        <w:pStyle w:val="BodyText"/>
        <w:spacing w:before="9"/>
        <w:rPr>
          <w:sz w:val="19"/>
        </w:rPr>
      </w:pPr>
    </w:p>
    <w:p>
      <w:pPr>
        <w:tabs>
          <w:tab w:pos="4919" w:val="left" w:leader="none"/>
        </w:tabs>
        <w:spacing w:before="0"/>
        <w:ind w:left="1686" w:right="673" w:firstLine="0"/>
        <w:jc w:val="left"/>
        <w:rPr>
          <w:sz w:val="17"/>
        </w:rPr>
      </w:pPr>
      <w:r>
        <w:rPr/>
        <w:drawing>
          <wp:anchor distT="0" distB="0" distL="0" distR="0" allowOverlap="1" layoutInCell="1" locked="0" behindDoc="0" simplePos="0" relativeHeight="7960">
            <wp:simplePos x="0" y="0"/>
            <wp:positionH relativeFrom="page">
              <wp:posOffset>1587502</wp:posOffset>
            </wp:positionH>
            <wp:positionV relativeFrom="paragraph">
              <wp:posOffset>22313</wp:posOffset>
            </wp:positionV>
            <wp:extent cx="225729" cy="66878"/>
            <wp:effectExtent l="0" t="0" r="0" b="0"/>
            <wp:wrapNone/>
            <wp:docPr id="11" name="image47.png" descr=""/>
            <wp:cNvGraphicFramePr>
              <a:graphicFrameLocks noChangeAspect="1"/>
            </wp:cNvGraphicFramePr>
            <a:graphic>
              <a:graphicData uri="http://schemas.openxmlformats.org/drawingml/2006/picture">
                <pic:pic>
                  <pic:nvPicPr>
                    <pic:cNvPr id="12" name="image47.png"/>
                    <pic:cNvPicPr/>
                  </pic:nvPicPr>
                  <pic:blipFill>
                    <a:blip r:embed="rId102" cstate="print"/>
                    <a:stretch>
                      <a:fillRect/>
                    </a:stretch>
                  </pic:blipFill>
                  <pic:spPr>
                    <a:xfrm>
                      <a:off x="0" y="0"/>
                      <a:ext cx="225729" cy="66878"/>
                    </a:xfrm>
                    <a:prstGeom prst="rect">
                      <a:avLst/>
                    </a:prstGeom>
                  </pic:spPr>
                </pic:pic>
              </a:graphicData>
            </a:graphic>
          </wp:anchor>
        </w:drawing>
      </w:r>
      <w:r>
        <w:rPr/>
        <w:pict>
          <v:group style="position:absolute;margin-left:286.154205pt;margin-top:.089446pt;width:18.5pt;height:9.3pt;mso-position-horizontal-relative:page;mso-position-vertical-relative:paragraph;z-index:-611608" coordorigin="5723,2" coordsize="370,186">
            <v:shape style="position:absolute;left:0;top:6314;width:343;height:2" coordorigin="0,6314" coordsize="343,0" path="m5954,94l6079,94m5737,94l5862,94e" filled="false" stroked="true" strokeweight="1.317pt" strokecolor="#898b8e">
              <v:path arrowok="t"/>
            </v:shape>
            <v:line style="position:absolute" from="5908,48" to="5908,140" stroked="true" strokeweight="4.608pt" strokecolor="#898b8e"/>
            <w10:wrap type="none"/>
          </v:group>
        </w:pict>
      </w:r>
      <w:r>
        <w:rPr>
          <w:color w:val="231F20"/>
          <w:sz w:val="17"/>
        </w:rPr>
        <w:t>Merca</w:t>
      </w:r>
      <w:r>
        <w:rPr>
          <w:color w:val="231F20"/>
          <w:spacing w:val="-35"/>
          <w:sz w:val="17"/>
        </w:rPr>
        <w:t> </w:t>
      </w:r>
      <w:r>
        <w:rPr>
          <w:color w:val="231F20"/>
          <w:spacing w:val="3"/>
          <w:sz w:val="17"/>
        </w:rPr>
        <w:t>do de</w:t>
      </w:r>
      <w:r>
        <w:rPr>
          <w:color w:val="231F20"/>
          <w:spacing w:val="-11"/>
          <w:sz w:val="17"/>
        </w:rPr>
        <w:t> </w:t>
      </w:r>
      <w:r>
        <w:rPr>
          <w:color w:val="231F20"/>
          <w:spacing w:val="3"/>
          <w:sz w:val="17"/>
        </w:rPr>
        <w:t>exportación</w:t>
        <w:tab/>
      </w:r>
      <w:r>
        <w:rPr>
          <w:color w:val="231F20"/>
          <w:sz w:val="17"/>
        </w:rPr>
        <w:t>Merca </w:t>
      </w:r>
      <w:r>
        <w:rPr>
          <w:color w:val="231F20"/>
          <w:spacing w:val="3"/>
          <w:sz w:val="17"/>
        </w:rPr>
        <w:t>do</w:t>
      </w:r>
      <w:r>
        <w:rPr>
          <w:color w:val="231F20"/>
          <w:spacing w:val="-20"/>
          <w:sz w:val="17"/>
        </w:rPr>
        <w:t> </w:t>
      </w:r>
      <w:r>
        <w:rPr>
          <w:color w:val="231F20"/>
          <w:sz w:val="17"/>
        </w:rPr>
        <w:t>interno</w:t>
      </w:r>
    </w:p>
    <w:p>
      <w:pPr>
        <w:pStyle w:val="BodyText"/>
        <w:spacing w:before="4"/>
        <w:rPr>
          <w:sz w:val="25"/>
        </w:rPr>
      </w:pPr>
    </w:p>
    <w:p>
      <w:pPr>
        <w:spacing w:before="41"/>
        <w:ind w:left="103" w:right="0" w:firstLine="0"/>
        <w:jc w:val="both"/>
        <w:rPr>
          <w:sz w:val="19"/>
        </w:rPr>
      </w:pPr>
      <w:r>
        <w:rPr>
          <w:rFonts w:ascii="Palatino Linotype" w:hAnsi="Palatino Linotype"/>
          <w:i/>
          <w:color w:val="231F20"/>
          <w:sz w:val="19"/>
        </w:rPr>
        <w:t>Fuente: </w:t>
      </w:r>
      <w:r>
        <w:rPr>
          <w:color w:val="231F20"/>
          <w:sz w:val="19"/>
        </w:rPr>
        <w:t>Elaboración propia con datos de AMIA (2014).</w:t>
      </w:r>
    </w:p>
    <w:p>
      <w:pPr>
        <w:pStyle w:val="BodyText"/>
        <w:rPr>
          <w:sz w:val="22"/>
        </w:rPr>
      </w:pPr>
    </w:p>
    <w:p>
      <w:pPr>
        <w:pStyle w:val="BodyText"/>
        <w:spacing w:line="278" w:lineRule="auto" w:before="1"/>
        <w:ind w:left="103" w:right="651"/>
        <w:jc w:val="both"/>
      </w:pPr>
      <w:r>
        <w:rPr>
          <w:color w:val="231F20"/>
        </w:rPr>
        <w:t>Más aún, en el cuadro III.2 se </w:t>
      </w:r>
      <w:r>
        <w:rPr>
          <w:color w:val="231F20"/>
          <w:spacing w:val="2"/>
        </w:rPr>
        <w:t>observa </w:t>
      </w:r>
      <w:r>
        <w:rPr>
          <w:color w:val="231F20"/>
        </w:rPr>
        <w:t>cómo en 1988 sólo 34.5% del total de la pro- ducción de vehículos se destinaba al mercado externo y 65.5% al mercado nacio-  nal. Estas proporciones han cambiado drásticamente, pues en 2013 83.7% de la pro- ducción total de vehículos se destinó a los mercados internacionales y sólo 16% al mercado nacional. En este último año se alcanza el mayor porcentaje de producción destinado al mercado</w:t>
      </w:r>
      <w:r>
        <w:rPr>
          <w:color w:val="231F20"/>
          <w:spacing w:val="5"/>
        </w:rPr>
        <w:t> </w:t>
      </w:r>
      <w:r>
        <w:rPr>
          <w:color w:val="231F20"/>
        </w:rPr>
        <w:t>externo.</w:t>
      </w:r>
    </w:p>
    <w:p>
      <w:pPr>
        <w:pStyle w:val="BodyText"/>
        <w:spacing w:line="278" w:lineRule="auto" w:before="1"/>
        <w:ind w:left="103" w:right="650" w:firstLine="396"/>
        <w:jc w:val="both"/>
      </w:pPr>
      <w:r>
        <w:rPr>
          <w:color w:val="231F20"/>
        </w:rPr>
        <w:t>Si se considera la producción total por segmento, también ha habido cambios importantes, pues, a finales de los ochenta, del total de automóviles producidos 41% se destinaba al mercado de exportación y 59% al mercado interno, mientras que para 2013</w:t>
      </w:r>
      <w:r>
        <w:rPr>
          <w:color w:val="231F20"/>
          <w:spacing w:val="-5"/>
        </w:rPr>
        <w:t> </w:t>
      </w:r>
      <w:r>
        <w:rPr>
          <w:color w:val="231F20"/>
        </w:rPr>
        <w:t>poco</w:t>
      </w:r>
      <w:r>
        <w:rPr>
          <w:color w:val="231F20"/>
          <w:spacing w:val="-5"/>
        </w:rPr>
        <w:t> </w:t>
      </w:r>
      <w:r>
        <w:rPr>
          <w:color w:val="231F20"/>
        </w:rPr>
        <w:t>más</w:t>
      </w:r>
      <w:r>
        <w:rPr>
          <w:color w:val="231F20"/>
          <w:spacing w:val="-5"/>
        </w:rPr>
        <w:t> </w:t>
      </w:r>
      <w:r>
        <w:rPr>
          <w:color w:val="231F20"/>
        </w:rPr>
        <w:t>del</w:t>
      </w:r>
      <w:r>
        <w:rPr>
          <w:color w:val="231F20"/>
          <w:spacing w:val="-5"/>
        </w:rPr>
        <w:t> </w:t>
      </w:r>
      <w:r>
        <w:rPr>
          <w:color w:val="231F20"/>
        </w:rPr>
        <w:t>80%</w:t>
      </w:r>
      <w:r>
        <w:rPr>
          <w:color w:val="231F20"/>
          <w:spacing w:val="-5"/>
        </w:rPr>
        <w:t> </w:t>
      </w:r>
      <w:r>
        <w:rPr>
          <w:color w:val="231F20"/>
        </w:rPr>
        <w:t>de</w:t>
      </w:r>
      <w:r>
        <w:rPr>
          <w:color w:val="231F20"/>
          <w:spacing w:val="-5"/>
        </w:rPr>
        <w:t> </w:t>
      </w:r>
      <w:r>
        <w:rPr>
          <w:color w:val="231F20"/>
        </w:rPr>
        <w:t>automóviles</w:t>
      </w:r>
      <w:r>
        <w:rPr>
          <w:color w:val="231F20"/>
          <w:spacing w:val="-5"/>
        </w:rPr>
        <w:t> </w:t>
      </w:r>
      <w:r>
        <w:rPr>
          <w:color w:val="231F20"/>
        </w:rPr>
        <w:t>se</w:t>
      </w:r>
      <w:r>
        <w:rPr>
          <w:color w:val="231F20"/>
          <w:spacing w:val="-5"/>
        </w:rPr>
        <w:t> </w:t>
      </w:r>
      <w:r>
        <w:rPr>
          <w:color w:val="231F20"/>
        </w:rPr>
        <w:t>exportó</w:t>
      </w:r>
      <w:r>
        <w:rPr>
          <w:color w:val="231F20"/>
          <w:spacing w:val="-5"/>
        </w:rPr>
        <w:t> </w:t>
      </w:r>
      <w:r>
        <w:rPr>
          <w:color w:val="231F20"/>
        </w:rPr>
        <w:t>y</w:t>
      </w:r>
      <w:r>
        <w:rPr>
          <w:color w:val="231F20"/>
          <w:spacing w:val="-5"/>
        </w:rPr>
        <w:t> </w:t>
      </w:r>
      <w:r>
        <w:rPr>
          <w:color w:val="231F20"/>
        </w:rPr>
        <w:t>sólo</w:t>
      </w:r>
      <w:r>
        <w:rPr>
          <w:color w:val="231F20"/>
          <w:spacing w:val="-5"/>
        </w:rPr>
        <w:t> </w:t>
      </w:r>
      <w:r>
        <w:rPr>
          <w:color w:val="231F20"/>
        </w:rPr>
        <w:t>19.9%</w:t>
      </w:r>
      <w:r>
        <w:rPr>
          <w:color w:val="231F20"/>
          <w:spacing w:val="-5"/>
        </w:rPr>
        <w:t> </w:t>
      </w:r>
      <w:r>
        <w:rPr>
          <w:color w:val="231F20"/>
        </w:rPr>
        <w:t>se</w:t>
      </w:r>
      <w:r>
        <w:rPr>
          <w:color w:val="231F20"/>
          <w:spacing w:val="-5"/>
        </w:rPr>
        <w:t> </w:t>
      </w:r>
      <w:r>
        <w:rPr>
          <w:color w:val="231F20"/>
        </w:rPr>
        <w:t>quedó</w:t>
      </w:r>
      <w:r>
        <w:rPr>
          <w:color w:val="231F20"/>
          <w:spacing w:val="-5"/>
        </w:rPr>
        <w:t> </w:t>
      </w:r>
      <w:r>
        <w:rPr>
          <w:color w:val="231F20"/>
        </w:rPr>
        <w:t>para</w:t>
      </w:r>
      <w:r>
        <w:rPr>
          <w:color w:val="231F20"/>
          <w:spacing w:val="-5"/>
        </w:rPr>
        <w:t> </w:t>
      </w:r>
      <w:r>
        <w:rPr>
          <w:color w:val="231F20"/>
        </w:rPr>
        <w:t>consu- mo</w:t>
      </w:r>
      <w:r>
        <w:rPr>
          <w:color w:val="231F20"/>
          <w:spacing w:val="13"/>
        </w:rPr>
        <w:t> </w:t>
      </w:r>
      <w:r>
        <w:rPr>
          <w:color w:val="231F20"/>
        </w:rPr>
        <w:t>nacional.</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5"/>
      </w:pPr>
    </w:p>
    <w:p>
      <w:pPr>
        <w:pStyle w:val="Heading4"/>
        <w:spacing w:before="35"/>
        <w:ind w:right="12"/>
      </w:pPr>
      <w:r>
        <w:rPr>
          <w:color w:val="231F20"/>
          <w:w w:val="95"/>
        </w:rPr>
        <w:t>Cuadro III.2</w:t>
      </w:r>
    </w:p>
    <w:p>
      <w:pPr>
        <w:spacing w:line="282" w:lineRule="exact" w:before="0"/>
        <w:ind w:left="561" w:right="11" w:firstLine="0"/>
        <w:jc w:val="center"/>
        <w:rPr>
          <w:rFonts w:ascii="Palatino Linotype" w:hAnsi="Palatino Linotype"/>
          <w:b/>
          <w:sz w:val="21"/>
        </w:rPr>
      </w:pPr>
      <w:r>
        <w:rPr>
          <w:rFonts w:ascii="Palatino Linotype" w:hAnsi="Palatino Linotype"/>
          <w:b/>
          <w:color w:val="231F20"/>
          <w:w w:val="95"/>
          <w:sz w:val="21"/>
        </w:rPr>
        <w:t>Mercado de destino de la producción de vehículos, 1988-2013</w:t>
      </w:r>
    </w:p>
    <w:p>
      <w:pPr>
        <w:spacing w:before="17"/>
        <w:ind w:left="561" w:right="12" w:firstLine="0"/>
        <w:jc w:val="center"/>
        <w:rPr>
          <w:rFonts w:ascii="Palatino Linotype"/>
          <w:b/>
          <w:sz w:val="19"/>
        </w:rPr>
      </w:pPr>
      <w:r>
        <w:rPr>
          <w:rFonts w:ascii="Palatino Linotype"/>
          <w:b/>
          <w:color w:val="231F20"/>
          <w:sz w:val="19"/>
        </w:rPr>
        <w:t>(Porcentaje)</w:t>
      </w:r>
    </w:p>
    <w:p>
      <w:pPr>
        <w:pStyle w:val="BodyText"/>
        <w:spacing w:before="11"/>
        <w:rPr>
          <w:rFonts w:ascii="Palatino Linotype"/>
          <w:b/>
          <w:sz w:val="19"/>
        </w:rPr>
      </w:pPr>
      <w:r>
        <w:rPr/>
        <w:pict>
          <v:group style="position:absolute;margin-left:56.442902pt;margin-top:15.329683pt;width:360.1pt;height:.5pt;mso-position-horizontal-relative:page;mso-position-vertical-relative:paragraph;z-index:8032;mso-wrap-distance-left:0;mso-wrap-distance-right:0" coordorigin="1129,307" coordsize="7202,10">
            <v:line style="position:absolute" from="1134,312" to="1974,312" stroked="true" strokeweight=".5pt" strokecolor="#231f20"/>
            <v:line style="position:absolute" from="1974,312" to="2835,312" stroked="true" strokeweight=".5pt" strokecolor="#231f20"/>
            <v:line style="position:absolute" from="2835,312" to="3703,312" stroked="true" strokeweight=".5pt" strokecolor="#231f20"/>
            <v:line style="position:absolute" from="3703,312" to="5126,312" stroked="true" strokeweight=".5pt" strokecolor="#231f20"/>
            <v:line style="position:absolute" from="5126,312" to="5977,312" stroked="true" strokeweight=".5pt" strokecolor="#231f20"/>
            <v:line style="position:absolute" from="5977,312" to="6867,312" stroked="true" strokeweight=".5pt" strokecolor="#231f20"/>
            <v:line style="position:absolute" from="6867,312" to="8326,312" stroked="true" strokeweight=".5pt" strokecolor="#231f20"/>
            <w10:wrap type="topAndBottom"/>
          </v:group>
        </w:pict>
      </w:r>
    </w:p>
    <w:p>
      <w:pPr>
        <w:tabs>
          <w:tab w:pos="5545" w:val="left" w:leader="none"/>
        </w:tabs>
        <w:spacing w:line="259" w:lineRule="exact" w:before="0" w:after="27"/>
        <w:ind w:left="2058" w:right="673" w:firstLine="0"/>
        <w:jc w:val="left"/>
        <w:rPr>
          <w:rFonts w:ascii="Palatino Linotype" w:hAnsi="Palatino Linotype"/>
          <w:b/>
          <w:sz w:val="20"/>
        </w:rPr>
      </w:pPr>
      <w:r>
        <w:rPr>
          <w:rFonts w:ascii="Palatino Linotype" w:hAnsi="Palatino Linotype"/>
          <w:b/>
          <w:color w:val="231F20"/>
          <w:w w:val="95"/>
          <w:sz w:val="20"/>
        </w:rPr>
        <w:t>Mercado</w:t>
      </w:r>
      <w:r>
        <w:rPr>
          <w:rFonts w:ascii="Palatino Linotype" w:hAnsi="Palatino Linotype"/>
          <w:b/>
          <w:color w:val="231F20"/>
          <w:spacing w:val="-15"/>
          <w:w w:val="95"/>
          <w:sz w:val="20"/>
        </w:rPr>
        <w:t> </w:t>
      </w:r>
      <w:r>
        <w:rPr>
          <w:rFonts w:ascii="Palatino Linotype" w:hAnsi="Palatino Linotype"/>
          <w:b/>
          <w:color w:val="231F20"/>
          <w:w w:val="95"/>
          <w:sz w:val="20"/>
        </w:rPr>
        <w:t>de</w:t>
      </w:r>
      <w:r>
        <w:rPr>
          <w:rFonts w:ascii="Palatino Linotype" w:hAnsi="Palatino Linotype"/>
          <w:b/>
          <w:color w:val="231F20"/>
          <w:spacing w:val="-15"/>
          <w:w w:val="95"/>
          <w:sz w:val="20"/>
        </w:rPr>
        <w:t> </w:t>
      </w:r>
      <w:r>
        <w:rPr>
          <w:rFonts w:ascii="Palatino Linotype" w:hAnsi="Palatino Linotype"/>
          <w:b/>
          <w:color w:val="231F20"/>
          <w:w w:val="95"/>
          <w:sz w:val="20"/>
        </w:rPr>
        <w:t>exportación</w:t>
        <w:tab/>
      </w:r>
      <w:r>
        <w:rPr>
          <w:rFonts w:ascii="Palatino Linotype" w:hAnsi="Palatino Linotype"/>
          <w:b/>
          <w:color w:val="231F20"/>
          <w:w w:val="90"/>
          <w:sz w:val="20"/>
        </w:rPr>
        <w:t>Mercado</w:t>
      </w:r>
      <w:r>
        <w:rPr>
          <w:rFonts w:ascii="Palatino Linotype" w:hAnsi="Palatino Linotype"/>
          <w:b/>
          <w:color w:val="231F20"/>
          <w:spacing w:val="32"/>
          <w:w w:val="90"/>
          <w:sz w:val="20"/>
        </w:rPr>
        <w:t> </w:t>
      </w:r>
      <w:r>
        <w:rPr>
          <w:rFonts w:ascii="Palatino Linotype" w:hAnsi="Palatino Linotype"/>
          <w:b/>
          <w:color w:val="231F20"/>
          <w:w w:val="90"/>
          <w:sz w:val="20"/>
        </w:rPr>
        <w:t>interno</w:t>
      </w:r>
    </w:p>
    <w:tbl>
      <w:tblPr>
        <w:tblW w:w="0" w:type="auto"/>
        <w:jc w:val="left"/>
        <w:tblInd w:w="6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0"/>
        <w:gridCol w:w="853"/>
        <w:gridCol w:w="931"/>
        <w:gridCol w:w="1319"/>
        <w:gridCol w:w="900"/>
        <w:gridCol w:w="949"/>
        <w:gridCol w:w="1401"/>
      </w:tblGrid>
      <w:tr>
        <w:trPr>
          <w:trHeight w:val="320" w:hRule="exact"/>
        </w:trPr>
        <w:tc>
          <w:tcPr>
            <w:tcW w:w="840" w:type="dxa"/>
            <w:tcBorders>
              <w:bottom w:val="single" w:sz="4" w:space="0" w:color="231F20"/>
            </w:tcBorders>
          </w:tcPr>
          <w:p>
            <w:pPr/>
          </w:p>
        </w:tc>
        <w:tc>
          <w:tcPr>
            <w:tcW w:w="853" w:type="dxa"/>
            <w:tcBorders>
              <w:top w:val="single" w:sz="4" w:space="0" w:color="231F20"/>
              <w:bottom w:val="single" w:sz="4" w:space="0" w:color="231F20"/>
            </w:tcBorders>
          </w:tcPr>
          <w:p>
            <w:pPr>
              <w:pStyle w:val="TableParagraph"/>
              <w:spacing w:before="17"/>
              <w:ind w:left="216"/>
              <w:jc w:val="left"/>
              <w:rPr>
                <w:rFonts w:ascii="Palatino Linotype"/>
                <w:b/>
                <w:sz w:val="20"/>
              </w:rPr>
            </w:pPr>
            <w:r>
              <w:rPr>
                <w:rFonts w:ascii="Palatino Linotype"/>
                <w:b/>
                <w:color w:val="231F20"/>
                <w:sz w:val="20"/>
              </w:rPr>
              <w:t>Total</w:t>
            </w:r>
          </w:p>
        </w:tc>
        <w:tc>
          <w:tcPr>
            <w:tcW w:w="931" w:type="dxa"/>
            <w:tcBorders>
              <w:top w:val="single" w:sz="4" w:space="0" w:color="231F20"/>
              <w:bottom w:val="single" w:sz="4" w:space="0" w:color="231F20"/>
            </w:tcBorders>
          </w:tcPr>
          <w:p>
            <w:pPr>
              <w:pStyle w:val="TableParagraph"/>
              <w:spacing w:before="41"/>
              <w:ind w:right="252"/>
              <w:jc w:val="right"/>
              <w:rPr>
                <w:sz w:val="20"/>
              </w:rPr>
            </w:pPr>
            <w:r>
              <w:rPr>
                <w:color w:val="231F20"/>
                <w:sz w:val="20"/>
              </w:rPr>
              <w:t>Autos</w:t>
            </w:r>
          </w:p>
        </w:tc>
        <w:tc>
          <w:tcPr>
            <w:tcW w:w="1319" w:type="dxa"/>
            <w:tcBorders>
              <w:top w:val="single" w:sz="4" w:space="0" w:color="231F20"/>
              <w:bottom w:val="single" w:sz="4" w:space="0" w:color="231F20"/>
            </w:tcBorders>
          </w:tcPr>
          <w:p>
            <w:pPr>
              <w:pStyle w:val="TableParagraph"/>
              <w:spacing w:before="41"/>
              <w:ind w:left="238" w:right="241"/>
              <w:rPr>
                <w:sz w:val="20"/>
              </w:rPr>
            </w:pPr>
            <w:r>
              <w:rPr>
                <w:color w:val="231F20"/>
                <w:sz w:val="20"/>
              </w:rPr>
              <w:t>Camiones</w:t>
            </w:r>
          </w:p>
        </w:tc>
        <w:tc>
          <w:tcPr>
            <w:tcW w:w="900" w:type="dxa"/>
            <w:tcBorders>
              <w:top w:val="single" w:sz="4" w:space="0" w:color="231F20"/>
              <w:bottom w:val="single" w:sz="4" w:space="0" w:color="231F20"/>
            </w:tcBorders>
          </w:tcPr>
          <w:p>
            <w:pPr>
              <w:pStyle w:val="TableParagraph"/>
              <w:spacing w:before="17"/>
              <w:ind w:right="208"/>
              <w:jc w:val="right"/>
              <w:rPr>
                <w:rFonts w:ascii="Palatino Linotype"/>
                <w:b/>
                <w:sz w:val="20"/>
              </w:rPr>
            </w:pPr>
            <w:r>
              <w:rPr>
                <w:rFonts w:ascii="Palatino Linotype"/>
                <w:b/>
                <w:color w:val="231F20"/>
                <w:w w:val="90"/>
                <w:sz w:val="20"/>
              </w:rPr>
              <w:t>Total</w:t>
            </w:r>
          </w:p>
        </w:tc>
        <w:tc>
          <w:tcPr>
            <w:tcW w:w="949" w:type="dxa"/>
            <w:tcBorders>
              <w:top w:val="single" w:sz="4" w:space="0" w:color="231F20"/>
              <w:bottom w:val="single" w:sz="4" w:space="0" w:color="231F20"/>
            </w:tcBorders>
          </w:tcPr>
          <w:p>
            <w:pPr>
              <w:pStyle w:val="TableParagraph"/>
              <w:spacing w:before="41"/>
              <w:ind w:left="186" w:right="243"/>
              <w:rPr>
                <w:sz w:val="20"/>
              </w:rPr>
            </w:pPr>
            <w:r>
              <w:rPr>
                <w:color w:val="231F20"/>
                <w:sz w:val="20"/>
              </w:rPr>
              <w:t>Autos</w:t>
            </w:r>
          </w:p>
        </w:tc>
        <w:tc>
          <w:tcPr>
            <w:tcW w:w="1401" w:type="dxa"/>
            <w:tcBorders>
              <w:top w:val="single" w:sz="4" w:space="0" w:color="231F20"/>
              <w:bottom w:val="single" w:sz="4" w:space="0" w:color="231F20"/>
            </w:tcBorders>
          </w:tcPr>
          <w:p>
            <w:pPr>
              <w:pStyle w:val="TableParagraph"/>
              <w:spacing w:before="41"/>
              <w:ind w:left="252" w:right="308"/>
              <w:rPr>
                <w:sz w:val="20"/>
              </w:rPr>
            </w:pPr>
            <w:r>
              <w:rPr>
                <w:color w:val="231F20"/>
                <w:sz w:val="20"/>
              </w:rPr>
              <w:t>Camiones</w:t>
            </w:r>
          </w:p>
        </w:tc>
      </w:tr>
      <w:tr>
        <w:trPr>
          <w:trHeight w:val="331" w:hRule="exact"/>
        </w:trPr>
        <w:tc>
          <w:tcPr>
            <w:tcW w:w="840" w:type="dxa"/>
            <w:tcBorders>
              <w:top w:val="single" w:sz="4" w:space="0" w:color="231F20"/>
            </w:tcBorders>
          </w:tcPr>
          <w:p>
            <w:pPr>
              <w:pStyle w:val="TableParagraph"/>
              <w:spacing w:before="33"/>
              <w:ind w:left="195" w:right="195"/>
              <w:rPr>
                <w:sz w:val="20"/>
              </w:rPr>
            </w:pPr>
            <w:r>
              <w:rPr>
                <w:color w:val="231F20"/>
                <w:sz w:val="20"/>
              </w:rPr>
              <w:t>1988</w:t>
            </w:r>
          </w:p>
        </w:tc>
        <w:tc>
          <w:tcPr>
            <w:tcW w:w="853" w:type="dxa"/>
            <w:tcBorders>
              <w:top w:val="single" w:sz="4" w:space="0" w:color="231F20"/>
            </w:tcBorders>
          </w:tcPr>
          <w:p>
            <w:pPr>
              <w:pStyle w:val="TableParagraph"/>
              <w:spacing w:before="10"/>
              <w:ind w:left="255"/>
              <w:jc w:val="left"/>
              <w:rPr>
                <w:rFonts w:ascii="Palatino Linotype"/>
                <w:b/>
                <w:sz w:val="20"/>
              </w:rPr>
            </w:pPr>
            <w:r>
              <w:rPr>
                <w:rFonts w:ascii="Palatino Linotype"/>
                <w:b/>
                <w:color w:val="231F20"/>
                <w:sz w:val="20"/>
              </w:rPr>
              <w:t>34.5</w:t>
            </w:r>
          </w:p>
        </w:tc>
        <w:tc>
          <w:tcPr>
            <w:tcW w:w="931" w:type="dxa"/>
            <w:tcBorders>
              <w:top w:val="single" w:sz="4" w:space="0" w:color="231F20"/>
            </w:tcBorders>
          </w:tcPr>
          <w:p>
            <w:pPr>
              <w:pStyle w:val="TableParagraph"/>
              <w:spacing w:before="33"/>
              <w:ind w:right="319"/>
              <w:jc w:val="right"/>
              <w:rPr>
                <w:sz w:val="20"/>
              </w:rPr>
            </w:pPr>
            <w:r>
              <w:rPr>
                <w:color w:val="231F20"/>
                <w:w w:val="95"/>
                <w:sz w:val="20"/>
              </w:rPr>
              <w:t>41.0</w:t>
            </w:r>
          </w:p>
        </w:tc>
        <w:tc>
          <w:tcPr>
            <w:tcW w:w="1319" w:type="dxa"/>
            <w:tcBorders>
              <w:top w:val="single" w:sz="4" w:space="0" w:color="231F20"/>
            </w:tcBorders>
          </w:tcPr>
          <w:p>
            <w:pPr>
              <w:pStyle w:val="TableParagraph"/>
              <w:spacing w:before="33"/>
              <w:ind w:left="238" w:right="241"/>
              <w:rPr>
                <w:sz w:val="20"/>
              </w:rPr>
            </w:pPr>
            <w:r>
              <w:rPr>
                <w:color w:val="231F20"/>
                <w:sz w:val="20"/>
              </w:rPr>
              <w:t>19.3</w:t>
            </w:r>
          </w:p>
        </w:tc>
        <w:tc>
          <w:tcPr>
            <w:tcW w:w="900" w:type="dxa"/>
            <w:tcBorders>
              <w:top w:val="single" w:sz="4" w:space="0" w:color="231F20"/>
            </w:tcBorders>
          </w:tcPr>
          <w:p>
            <w:pPr>
              <w:pStyle w:val="TableParagraph"/>
              <w:spacing w:before="10"/>
              <w:ind w:right="247"/>
              <w:jc w:val="right"/>
              <w:rPr>
                <w:rFonts w:ascii="Palatino Linotype"/>
                <w:b/>
                <w:sz w:val="20"/>
              </w:rPr>
            </w:pPr>
            <w:r>
              <w:rPr>
                <w:rFonts w:ascii="Palatino Linotype"/>
                <w:b/>
                <w:color w:val="231F20"/>
                <w:sz w:val="20"/>
              </w:rPr>
              <w:t>65.5</w:t>
            </w:r>
          </w:p>
        </w:tc>
        <w:tc>
          <w:tcPr>
            <w:tcW w:w="949" w:type="dxa"/>
            <w:tcBorders>
              <w:top w:val="single" w:sz="4" w:space="0" w:color="231F20"/>
            </w:tcBorders>
          </w:tcPr>
          <w:p>
            <w:pPr>
              <w:pStyle w:val="TableParagraph"/>
              <w:spacing w:before="33"/>
              <w:ind w:left="186" w:right="241"/>
              <w:rPr>
                <w:sz w:val="20"/>
              </w:rPr>
            </w:pPr>
            <w:r>
              <w:rPr>
                <w:color w:val="231F20"/>
                <w:sz w:val="20"/>
              </w:rPr>
              <w:t>59.0</w:t>
            </w:r>
          </w:p>
        </w:tc>
        <w:tc>
          <w:tcPr>
            <w:tcW w:w="1401" w:type="dxa"/>
            <w:tcBorders>
              <w:top w:val="single" w:sz="4" w:space="0" w:color="231F20"/>
            </w:tcBorders>
          </w:tcPr>
          <w:p>
            <w:pPr>
              <w:pStyle w:val="TableParagraph"/>
              <w:spacing w:before="33"/>
              <w:ind w:left="251" w:right="308"/>
              <w:rPr>
                <w:sz w:val="20"/>
              </w:rPr>
            </w:pPr>
            <w:r>
              <w:rPr>
                <w:color w:val="231F20"/>
                <w:sz w:val="20"/>
              </w:rPr>
              <w:t>80.7</w:t>
            </w:r>
          </w:p>
        </w:tc>
      </w:tr>
      <w:tr>
        <w:trPr>
          <w:trHeight w:val="305" w:hRule="exact"/>
        </w:trPr>
        <w:tc>
          <w:tcPr>
            <w:tcW w:w="840" w:type="dxa"/>
          </w:tcPr>
          <w:p>
            <w:pPr>
              <w:pStyle w:val="TableParagraph"/>
              <w:spacing w:before="13"/>
              <w:ind w:left="195" w:right="195"/>
              <w:rPr>
                <w:sz w:val="20"/>
              </w:rPr>
            </w:pPr>
            <w:r>
              <w:rPr>
                <w:color w:val="231F20"/>
                <w:sz w:val="20"/>
              </w:rPr>
              <w:t>1989</w:t>
            </w:r>
          </w:p>
        </w:tc>
        <w:tc>
          <w:tcPr>
            <w:tcW w:w="853" w:type="dxa"/>
          </w:tcPr>
          <w:p>
            <w:pPr>
              <w:pStyle w:val="TableParagraph"/>
              <w:spacing w:line="260" w:lineRule="exact"/>
              <w:ind w:left="255"/>
              <w:jc w:val="left"/>
              <w:rPr>
                <w:rFonts w:ascii="Palatino Linotype"/>
                <w:b/>
                <w:sz w:val="20"/>
              </w:rPr>
            </w:pPr>
            <w:r>
              <w:rPr>
                <w:rFonts w:ascii="Palatino Linotype"/>
                <w:b/>
                <w:color w:val="231F20"/>
                <w:sz w:val="20"/>
              </w:rPr>
              <w:t>31.1</w:t>
            </w:r>
          </w:p>
        </w:tc>
        <w:tc>
          <w:tcPr>
            <w:tcW w:w="931" w:type="dxa"/>
          </w:tcPr>
          <w:p>
            <w:pPr>
              <w:pStyle w:val="TableParagraph"/>
              <w:spacing w:before="13"/>
              <w:ind w:right="319"/>
              <w:jc w:val="right"/>
              <w:rPr>
                <w:sz w:val="20"/>
              </w:rPr>
            </w:pPr>
            <w:r>
              <w:rPr>
                <w:color w:val="231F20"/>
                <w:w w:val="95"/>
                <w:sz w:val="20"/>
              </w:rPr>
              <w:t>37.6</w:t>
            </w:r>
          </w:p>
        </w:tc>
        <w:tc>
          <w:tcPr>
            <w:tcW w:w="1319" w:type="dxa"/>
          </w:tcPr>
          <w:p>
            <w:pPr>
              <w:pStyle w:val="TableParagraph"/>
              <w:spacing w:before="13"/>
              <w:ind w:left="238" w:right="241"/>
              <w:rPr>
                <w:sz w:val="20"/>
              </w:rPr>
            </w:pPr>
            <w:r>
              <w:rPr>
                <w:color w:val="231F20"/>
                <w:sz w:val="20"/>
              </w:rPr>
              <w:t>16.0</w:t>
            </w:r>
          </w:p>
        </w:tc>
        <w:tc>
          <w:tcPr>
            <w:tcW w:w="900" w:type="dxa"/>
          </w:tcPr>
          <w:p>
            <w:pPr>
              <w:pStyle w:val="TableParagraph"/>
              <w:spacing w:line="260" w:lineRule="exact"/>
              <w:ind w:right="247"/>
              <w:jc w:val="right"/>
              <w:rPr>
                <w:rFonts w:ascii="Palatino Linotype"/>
                <w:b/>
                <w:sz w:val="20"/>
              </w:rPr>
            </w:pPr>
            <w:r>
              <w:rPr>
                <w:rFonts w:ascii="Palatino Linotype"/>
                <w:b/>
                <w:color w:val="231F20"/>
                <w:sz w:val="20"/>
              </w:rPr>
              <w:t>68.9</w:t>
            </w:r>
          </w:p>
        </w:tc>
        <w:tc>
          <w:tcPr>
            <w:tcW w:w="949" w:type="dxa"/>
          </w:tcPr>
          <w:p>
            <w:pPr>
              <w:pStyle w:val="TableParagraph"/>
              <w:spacing w:before="13"/>
              <w:ind w:left="186" w:right="241"/>
              <w:rPr>
                <w:sz w:val="20"/>
              </w:rPr>
            </w:pPr>
            <w:r>
              <w:rPr>
                <w:color w:val="231F20"/>
                <w:sz w:val="20"/>
              </w:rPr>
              <w:t>62.4</w:t>
            </w:r>
          </w:p>
        </w:tc>
        <w:tc>
          <w:tcPr>
            <w:tcW w:w="1401" w:type="dxa"/>
          </w:tcPr>
          <w:p>
            <w:pPr>
              <w:pStyle w:val="TableParagraph"/>
              <w:spacing w:before="13"/>
              <w:ind w:left="252" w:right="307"/>
              <w:rPr>
                <w:sz w:val="20"/>
              </w:rPr>
            </w:pPr>
            <w:r>
              <w:rPr>
                <w:color w:val="231F20"/>
                <w:sz w:val="20"/>
              </w:rPr>
              <w:t>84.0</w:t>
            </w:r>
          </w:p>
        </w:tc>
      </w:tr>
      <w:tr>
        <w:trPr>
          <w:trHeight w:val="305" w:hRule="exact"/>
        </w:trPr>
        <w:tc>
          <w:tcPr>
            <w:tcW w:w="840" w:type="dxa"/>
          </w:tcPr>
          <w:p>
            <w:pPr>
              <w:pStyle w:val="TableParagraph"/>
              <w:spacing w:before="13"/>
              <w:ind w:left="195" w:right="195"/>
              <w:rPr>
                <w:sz w:val="20"/>
              </w:rPr>
            </w:pPr>
            <w:r>
              <w:rPr>
                <w:color w:val="231F20"/>
                <w:sz w:val="20"/>
              </w:rPr>
              <w:t>1990</w:t>
            </w:r>
          </w:p>
        </w:tc>
        <w:tc>
          <w:tcPr>
            <w:tcW w:w="853" w:type="dxa"/>
          </w:tcPr>
          <w:p>
            <w:pPr>
              <w:pStyle w:val="TableParagraph"/>
              <w:spacing w:line="260" w:lineRule="exact"/>
              <w:ind w:left="255"/>
              <w:jc w:val="left"/>
              <w:rPr>
                <w:rFonts w:ascii="Palatino Linotype"/>
                <w:b/>
                <w:sz w:val="20"/>
              </w:rPr>
            </w:pPr>
            <w:r>
              <w:rPr>
                <w:rFonts w:ascii="Palatino Linotype"/>
                <w:b/>
                <w:color w:val="231F20"/>
                <w:sz w:val="20"/>
              </w:rPr>
              <w:t>34.7</w:t>
            </w:r>
          </w:p>
        </w:tc>
        <w:tc>
          <w:tcPr>
            <w:tcW w:w="931" w:type="dxa"/>
          </w:tcPr>
          <w:p>
            <w:pPr>
              <w:pStyle w:val="TableParagraph"/>
              <w:spacing w:before="13"/>
              <w:ind w:right="319"/>
              <w:jc w:val="right"/>
              <w:rPr>
                <w:sz w:val="20"/>
              </w:rPr>
            </w:pPr>
            <w:r>
              <w:rPr>
                <w:color w:val="231F20"/>
                <w:w w:val="95"/>
                <w:sz w:val="20"/>
              </w:rPr>
              <w:t>42.2</w:t>
            </w:r>
          </w:p>
        </w:tc>
        <w:tc>
          <w:tcPr>
            <w:tcW w:w="1319" w:type="dxa"/>
          </w:tcPr>
          <w:p>
            <w:pPr>
              <w:pStyle w:val="TableParagraph"/>
              <w:spacing w:before="13"/>
              <w:ind w:left="238" w:right="240"/>
              <w:rPr>
                <w:sz w:val="20"/>
              </w:rPr>
            </w:pPr>
            <w:r>
              <w:rPr>
                <w:color w:val="231F20"/>
                <w:sz w:val="20"/>
              </w:rPr>
              <w:t>12.7</w:t>
            </w:r>
          </w:p>
        </w:tc>
        <w:tc>
          <w:tcPr>
            <w:tcW w:w="900" w:type="dxa"/>
          </w:tcPr>
          <w:p>
            <w:pPr>
              <w:pStyle w:val="TableParagraph"/>
              <w:spacing w:line="260" w:lineRule="exact"/>
              <w:ind w:right="247"/>
              <w:jc w:val="right"/>
              <w:rPr>
                <w:rFonts w:ascii="Palatino Linotype"/>
                <w:b/>
                <w:sz w:val="20"/>
              </w:rPr>
            </w:pPr>
            <w:r>
              <w:rPr>
                <w:rFonts w:ascii="Palatino Linotype"/>
                <w:b/>
                <w:color w:val="231F20"/>
                <w:sz w:val="20"/>
              </w:rPr>
              <w:t>65.3</w:t>
            </w:r>
          </w:p>
        </w:tc>
        <w:tc>
          <w:tcPr>
            <w:tcW w:w="949" w:type="dxa"/>
          </w:tcPr>
          <w:p>
            <w:pPr>
              <w:pStyle w:val="TableParagraph"/>
              <w:spacing w:before="13"/>
              <w:ind w:left="186" w:right="240"/>
              <w:rPr>
                <w:sz w:val="20"/>
              </w:rPr>
            </w:pPr>
            <w:r>
              <w:rPr>
                <w:color w:val="231F20"/>
                <w:sz w:val="20"/>
              </w:rPr>
              <w:t>57.8</w:t>
            </w:r>
          </w:p>
        </w:tc>
        <w:tc>
          <w:tcPr>
            <w:tcW w:w="1401" w:type="dxa"/>
          </w:tcPr>
          <w:p>
            <w:pPr>
              <w:pStyle w:val="TableParagraph"/>
              <w:spacing w:before="13"/>
              <w:ind w:left="252" w:right="307"/>
              <w:rPr>
                <w:sz w:val="20"/>
              </w:rPr>
            </w:pPr>
            <w:r>
              <w:rPr>
                <w:color w:val="231F20"/>
                <w:sz w:val="20"/>
              </w:rPr>
              <w:t>87.3</w:t>
            </w:r>
          </w:p>
        </w:tc>
      </w:tr>
      <w:tr>
        <w:trPr>
          <w:trHeight w:val="305" w:hRule="exact"/>
        </w:trPr>
        <w:tc>
          <w:tcPr>
            <w:tcW w:w="840" w:type="dxa"/>
          </w:tcPr>
          <w:p>
            <w:pPr>
              <w:pStyle w:val="TableParagraph"/>
              <w:spacing w:before="13"/>
              <w:ind w:left="196" w:right="195"/>
              <w:rPr>
                <w:sz w:val="20"/>
              </w:rPr>
            </w:pPr>
            <w:r>
              <w:rPr>
                <w:color w:val="231F20"/>
                <w:sz w:val="20"/>
              </w:rPr>
              <w:t>1991</w:t>
            </w:r>
          </w:p>
        </w:tc>
        <w:tc>
          <w:tcPr>
            <w:tcW w:w="853" w:type="dxa"/>
          </w:tcPr>
          <w:p>
            <w:pPr>
              <w:pStyle w:val="TableParagraph"/>
              <w:spacing w:line="260" w:lineRule="exact"/>
              <w:ind w:left="255"/>
              <w:jc w:val="left"/>
              <w:rPr>
                <w:rFonts w:ascii="Palatino Linotype"/>
                <w:b/>
                <w:sz w:val="20"/>
              </w:rPr>
            </w:pPr>
            <w:r>
              <w:rPr>
                <w:rFonts w:ascii="Palatino Linotype"/>
                <w:b/>
                <w:color w:val="231F20"/>
                <w:sz w:val="20"/>
              </w:rPr>
              <w:t>38.0</w:t>
            </w:r>
          </w:p>
        </w:tc>
        <w:tc>
          <w:tcPr>
            <w:tcW w:w="931" w:type="dxa"/>
          </w:tcPr>
          <w:p>
            <w:pPr>
              <w:pStyle w:val="TableParagraph"/>
              <w:spacing w:before="13"/>
              <w:ind w:right="319"/>
              <w:jc w:val="right"/>
              <w:rPr>
                <w:sz w:val="20"/>
              </w:rPr>
            </w:pPr>
            <w:r>
              <w:rPr>
                <w:color w:val="231F20"/>
                <w:w w:val="95"/>
                <w:sz w:val="20"/>
              </w:rPr>
              <w:t>47.5</w:t>
            </w:r>
          </w:p>
        </w:tc>
        <w:tc>
          <w:tcPr>
            <w:tcW w:w="1319" w:type="dxa"/>
          </w:tcPr>
          <w:p>
            <w:pPr>
              <w:pStyle w:val="TableParagraph"/>
              <w:spacing w:before="13"/>
              <w:ind w:left="238" w:right="240"/>
              <w:rPr>
                <w:sz w:val="20"/>
              </w:rPr>
            </w:pPr>
            <w:r>
              <w:rPr>
                <w:color w:val="231F20"/>
                <w:sz w:val="20"/>
              </w:rPr>
              <w:t>9.8</w:t>
            </w:r>
          </w:p>
        </w:tc>
        <w:tc>
          <w:tcPr>
            <w:tcW w:w="900" w:type="dxa"/>
          </w:tcPr>
          <w:p>
            <w:pPr>
              <w:pStyle w:val="TableParagraph"/>
              <w:spacing w:line="260" w:lineRule="exact"/>
              <w:ind w:right="247"/>
              <w:jc w:val="right"/>
              <w:rPr>
                <w:rFonts w:ascii="Palatino Linotype"/>
                <w:b/>
                <w:sz w:val="20"/>
              </w:rPr>
            </w:pPr>
            <w:r>
              <w:rPr>
                <w:rFonts w:ascii="Palatino Linotype"/>
                <w:b/>
                <w:color w:val="231F20"/>
                <w:sz w:val="20"/>
              </w:rPr>
              <w:t>62.0</w:t>
            </w:r>
          </w:p>
        </w:tc>
        <w:tc>
          <w:tcPr>
            <w:tcW w:w="949" w:type="dxa"/>
          </w:tcPr>
          <w:p>
            <w:pPr>
              <w:pStyle w:val="TableParagraph"/>
              <w:spacing w:before="13"/>
              <w:ind w:left="186" w:right="240"/>
              <w:rPr>
                <w:sz w:val="20"/>
              </w:rPr>
            </w:pPr>
            <w:r>
              <w:rPr>
                <w:color w:val="231F20"/>
                <w:sz w:val="20"/>
              </w:rPr>
              <w:t>52.5</w:t>
            </w:r>
          </w:p>
        </w:tc>
        <w:tc>
          <w:tcPr>
            <w:tcW w:w="1401" w:type="dxa"/>
          </w:tcPr>
          <w:p>
            <w:pPr>
              <w:pStyle w:val="TableParagraph"/>
              <w:spacing w:before="13"/>
              <w:ind w:left="252" w:right="307"/>
              <w:rPr>
                <w:sz w:val="20"/>
              </w:rPr>
            </w:pPr>
            <w:r>
              <w:rPr>
                <w:color w:val="231F20"/>
                <w:sz w:val="20"/>
              </w:rPr>
              <w:t>90.3</w:t>
            </w:r>
          </w:p>
        </w:tc>
      </w:tr>
      <w:tr>
        <w:trPr>
          <w:trHeight w:val="305" w:hRule="exact"/>
        </w:trPr>
        <w:tc>
          <w:tcPr>
            <w:tcW w:w="840" w:type="dxa"/>
          </w:tcPr>
          <w:p>
            <w:pPr>
              <w:pStyle w:val="TableParagraph"/>
              <w:spacing w:before="13"/>
              <w:ind w:left="196" w:right="195"/>
              <w:rPr>
                <w:sz w:val="20"/>
              </w:rPr>
            </w:pPr>
            <w:r>
              <w:rPr>
                <w:color w:val="231F20"/>
                <w:sz w:val="20"/>
              </w:rPr>
              <w:t>1992</w:t>
            </w:r>
          </w:p>
        </w:tc>
        <w:tc>
          <w:tcPr>
            <w:tcW w:w="853" w:type="dxa"/>
          </w:tcPr>
          <w:p>
            <w:pPr>
              <w:pStyle w:val="TableParagraph"/>
              <w:spacing w:line="260" w:lineRule="exact"/>
              <w:ind w:left="255"/>
              <w:jc w:val="left"/>
              <w:rPr>
                <w:rFonts w:ascii="Palatino Linotype"/>
                <w:b/>
                <w:sz w:val="20"/>
              </w:rPr>
            </w:pPr>
            <w:r>
              <w:rPr>
                <w:rFonts w:ascii="Palatino Linotype"/>
                <w:b/>
                <w:color w:val="231F20"/>
                <w:sz w:val="20"/>
              </w:rPr>
              <w:t>37.2</w:t>
            </w:r>
          </w:p>
        </w:tc>
        <w:tc>
          <w:tcPr>
            <w:tcW w:w="931" w:type="dxa"/>
          </w:tcPr>
          <w:p>
            <w:pPr>
              <w:pStyle w:val="TableParagraph"/>
              <w:spacing w:before="13"/>
              <w:ind w:right="319"/>
              <w:jc w:val="right"/>
              <w:rPr>
                <w:sz w:val="20"/>
              </w:rPr>
            </w:pPr>
            <w:r>
              <w:rPr>
                <w:color w:val="231F20"/>
                <w:w w:val="95"/>
                <w:sz w:val="20"/>
              </w:rPr>
              <w:t>44.7</w:t>
            </w:r>
          </w:p>
        </w:tc>
        <w:tc>
          <w:tcPr>
            <w:tcW w:w="1319" w:type="dxa"/>
          </w:tcPr>
          <w:p>
            <w:pPr>
              <w:pStyle w:val="TableParagraph"/>
              <w:spacing w:before="13"/>
              <w:ind w:left="238" w:right="240"/>
              <w:rPr>
                <w:sz w:val="20"/>
              </w:rPr>
            </w:pPr>
            <w:r>
              <w:rPr>
                <w:color w:val="231F20"/>
                <w:sz w:val="20"/>
              </w:rPr>
              <w:t>16.0</w:t>
            </w:r>
          </w:p>
        </w:tc>
        <w:tc>
          <w:tcPr>
            <w:tcW w:w="900" w:type="dxa"/>
          </w:tcPr>
          <w:p>
            <w:pPr>
              <w:pStyle w:val="TableParagraph"/>
              <w:spacing w:line="260" w:lineRule="exact"/>
              <w:ind w:right="248"/>
              <w:jc w:val="right"/>
              <w:rPr>
                <w:rFonts w:ascii="Palatino Linotype"/>
                <w:b/>
                <w:sz w:val="20"/>
              </w:rPr>
            </w:pPr>
            <w:r>
              <w:rPr>
                <w:rFonts w:ascii="Palatino Linotype"/>
                <w:b/>
                <w:color w:val="231F20"/>
                <w:sz w:val="20"/>
              </w:rPr>
              <w:t>62.8</w:t>
            </w:r>
          </w:p>
        </w:tc>
        <w:tc>
          <w:tcPr>
            <w:tcW w:w="949" w:type="dxa"/>
          </w:tcPr>
          <w:p>
            <w:pPr>
              <w:pStyle w:val="TableParagraph"/>
              <w:spacing w:before="13"/>
              <w:ind w:left="186" w:right="240"/>
              <w:rPr>
                <w:sz w:val="20"/>
              </w:rPr>
            </w:pPr>
            <w:r>
              <w:rPr>
                <w:color w:val="231F20"/>
                <w:sz w:val="20"/>
              </w:rPr>
              <w:t>55.3</w:t>
            </w:r>
          </w:p>
        </w:tc>
        <w:tc>
          <w:tcPr>
            <w:tcW w:w="1401" w:type="dxa"/>
          </w:tcPr>
          <w:p>
            <w:pPr>
              <w:pStyle w:val="TableParagraph"/>
              <w:spacing w:before="13"/>
              <w:ind w:left="252" w:right="306"/>
              <w:rPr>
                <w:sz w:val="20"/>
              </w:rPr>
            </w:pPr>
            <w:r>
              <w:rPr>
                <w:color w:val="231F20"/>
                <w:sz w:val="20"/>
              </w:rPr>
              <w:t>85.8</w:t>
            </w:r>
          </w:p>
        </w:tc>
      </w:tr>
      <w:tr>
        <w:trPr>
          <w:trHeight w:val="305" w:hRule="exact"/>
        </w:trPr>
        <w:tc>
          <w:tcPr>
            <w:tcW w:w="840" w:type="dxa"/>
          </w:tcPr>
          <w:p>
            <w:pPr>
              <w:pStyle w:val="TableParagraph"/>
              <w:spacing w:before="13"/>
              <w:ind w:left="196" w:right="195"/>
              <w:rPr>
                <w:sz w:val="20"/>
              </w:rPr>
            </w:pPr>
            <w:r>
              <w:rPr>
                <w:color w:val="231F20"/>
                <w:sz w:val="20"/>
              </w:rPr>
              <w:t>1993</w:t>
            </w:r>
          </w:p>
        </w:tc>
        <w:tc>
          <w:tcPr>
            <w:tcW w:w="853" w:type="dxa"/>
          </w:tcPr>
          <w:p>
            <w:pPr>
              <w:pStyle w:val="TableParagraph"/>
              <w:spacing w:line="260" w:lineRule="exact"/>
              <w:ind w:left="255"/>
              <w:jc w:val="left"/>
              <w:rPr>
                <w:rFonts w:ascii="Palatino Linotype"/>
                <w:b/>
                <w:sz w:val="20"/>
              </w:rPr>
            </w:pPr>
            <w:r>
              <w:rPr>
                <w:rFonts w:ascii="Palatino Linotype"/>
                <w:b/>
                <w:color w:val="231F20"/>
                <w:sz w:val="20"/>
              </w:rPr>
              <w:t>46.7</w:t>
            </w:r>
          </w:p>
        </w:tc>
        <w:tc>
          <w:tcPr>
            <w:tcW w:w="931" w:type="dxa"/>
          </w:tcPr>
          <w:p>
            <w:pPr>
              <w:pStyle w:val="TableParagraph"/>
              <w:spacing w:before="13"/>
              <w:ind w:right="319"/>
              <w:jc w:val="right"/>
              <w:rPr>
                <w:sz w:val="20"/>
              </w:rPr>
            </w:pPr>
            <w:r>
              <w:rPr>
                <w:color w:val="231F20"/>
                <w:w w:val="95"/>
                <w:sz w:val="20"/>
              </w:rPr>
              <w:t>53.3</w:t>
            </w:r>
          </w:p>
        </w:tc>
        <w:tc>
          <w:tcPr>
            <w:tcW w:w="1319" w:type="dxa"/>
          </w:tcPr>
          <w:p>
            <w:pPr>
              <w:pStyle w:val="TableParagraph"/>
              <w:spacing w:before="13"/>
              <w:ind w:left="238" w:right="239"/>
              <w:rPr>
                <w:sz w:val="20"/>
              </w:rPr>
            </w:pPr>
            <w:r>
              <w:rPr>
                <w:color w:val="231F20"/>
                <w:sz w:val="20"/>
              </w:rPr>
              <w:t>21.6</w:t>
            </w:r>
          </w:p>
        </w:tc>
        <w:tc>
          <w:tcPr>
            <w:tcW w:w="900" w:type="dxa"/>
          </w:tcPr>
          <w:p>
            <w:pPr>
              <w:pStyle w:val="TableParagraph"/>
              <w:spacing w:line="260" w:lineRule="exact"/>
              <w:ind w:right="246"/>
              <w:jc w:val="right"/>
              <w:rPr>
                <w:rFonts w:ascii="Palatino Linotype"/>
                <w:b/>
                <w:sz w:val="20"/>
              </w:rPr>
            </w:pPr>
            <w:r>
              <w:rPr>
                <w:rFonts w:ascii="Palatino Linotype"/>
                <w:b/>
                <w:color w:val="231F20"/>
                <w:sz w:val="20"/>
              </w:rPr>
              <w:t>53.3</w:t>
            </w:r>
          </w:p>
        </w:tc>
        <w:tc>
          <w:tcPr>
            <w:tcW w:w="949" w:type="dxa"/>
          </w:tcPr>
          <w:p>
            <w:pPr>
              <w:pStyle w:val="TableParagraph"/>
              <w:spacing w:before="13"/>
              <w:ind w:left="186" w:right="239"/>
              <w:rPr>
                <w:sz w:val="20"/>
              </w:rPr>
            </w:pPr>
            <w:r>
              <w:rPr>
                <w:color w:val="231F20"/>
                <w:sz w:val="20"/>
              </w:rPr>
              <w:t>46.7</w:t>
            </w:r>
          </w:p>
        </w:tc>
        <w:tc>
          <w:tcPr>
            <w:tcW w:w="1401" w:type="dxa"/>
          </w:tcPr>
          <w:p>
            <w:pPr>
              <w:pStyle w:val="TableParagraph"/>
              <w:spacing w:before="13"/>
              <w:ind w:left="252" w:right="306"/>
              <w:rPr>
                <w:sz w:val="20"/>
              </w:rPr>
            </w:pPr>
            <w:r>
              <w:rPr>
                <w:color w:val="231F20"/>
                <w:sz w:val="20"/>
              </w:rPr>
              <w:t>80.5</w:t>
            </w:r>
          </w:p>
        </w:tc>
      </w:tr>
      <w:tr>
        <w:trPr>
          <w:trHeight w:val="305" w:hRule="exact"/>
        </w:trPr>
        <w:tc>
          <w:tcPr>
            <w:tcW w:w="840" w:type="dxa"/>
          </w:tcPr>
          <w:p>
            <w:pPr>
              <w:pStyle w:val="TableParagraph"/>
              <w:spacing w:before="13"/>
              <w:ind w:left="197" w:right="195"/>
              <w:rPr>
                <w:sz w:val="20"/>
              </w:rPr>
            </w:pPr>
            <w:r>
              <w:rPr>
                <w:color w:val="231F20"/>
                <w:sz w:val="20"/>
              </w:rPr>
              <w:t>1994</w:t>
            </w:r>
          </w:p>
        </w:tc>
        <w:tc>
          <w:tcPr>
            <w:tcW w:w="853" w:type="dxa"/>
          </w:tcPr>
          <w:p>
            <w:pPr>
              <w:pStyle w:val="TableParagraph"/>
              <w:spacing w:line="260" w:lineRule="exact"/>
              <w:ind w:left="256"/>
              <w:jc w:val="left"/>
              <w:rPr>
                <w:rFonts w:ascii="Palatino Linotype"/>
                <w:b/>
                <w:sz w:val="20"/>
              </w:rPr>
            </w:pPr>
            <w:r>
              <w:rPr>
                <w:rFonts w:ascii="Palatino Linotype"/>
                <w:b/>
                <w:color w:val="231F20"/>
                <w:sz w:val="20"/>
              </w:rPr>
              <w:t>52.4</w:t>
            </w:r>
          </w:p>
        </w:tc>
        <w:tc>
          <w:tcPr>
            <w:tcW w:w="931" w:type="dxa"/>
          </w:tcPr>
          <w:p>
            <w:pPr>
              <w:pStyle w:val="TableParagraph"/>
              <w:spacing w:before="13"/>
              <w:ind w:right="318"/>
              <w:jc w:val="right"/>
              <w:rPr>
                <w:sz w:val="20"/>
              </w:rPr>
            </w:pPr>
            <w:r>
              <w:rPr>
                <w:color w:val="231F20"/>
                <w:w w:val="95"/>
                <w:sz w:val="20"/>
              </w:rPr>
              <w:t>58.8</w:t>
            </w:r>
          </w:p>
        </w:tc>
        <w:tc>
          <w:tcPr>
            <w:tcW w:w="1319" w:type="dxa"/>
          </w:tcPr>
          <w:p>
            <w:pPr>
              <w:pStyle w:val="TableParagraph"/>
              <w:spacing w:before="13"/>
              <w:ind w:left="238" w:right="239"/>
              <w:rPr>
                <w:sz w:val="20"/>
              </w:rPr>
            </w:pPr>
            <w:r>
              <w:rPr>
                <w:color w:val="231F20"/>
                <w:sz w:val="20"/>
              </w:rPr>
              <w:t>29.7</w:t>
            </w:r>
          </w:p>
        </w:tc>
        <w:tc>
          <w:tcPr>
            <w:tcW w:w="900" w:type="dxa"/>
          </w:tcPr>
          <w:p>
            <w:pPr>
              <w:pStyle w:val="TableParagraph"/>
              <w:spacing w:line="260" w:lineRule="exact"/>
              <w:ind w:right="246"/>
              <w:jc w:val="right"/>
              <w:rPr>
                <w:rFonts w:ascii="Palatino Linotype"/>
                <w:b/>
                <w:sz w:val="20"/>
              </w:rPr>
            </w:pPr>
            <w:r>
              <w:rPr>
                <w:rFonts w:ascii="Palatino Linotype"/>
                <w:b/>
                <w:color w:val="231F20"/>
                <w:sz w:val="20"/>
              </w:rPr>
              <w:t>47.6</w:t>
            </w:r>
          </w:p>
        </w:tc>
        <w:tc>
          <w:tcPr>
            <w:tcW w:w="949" w:type="dxa"/>
          </w:tcPr>
          <w:p>
            <w:pPr>
              <w:pStyle w:val="TableParagraph"/>
              <w:spacing w:before="13"/>
              <w:ind w:left="186" w:right="239"/>
              <w:rPr>
                <w:sz w:val="20"/>
              </w:rPr>
            </w:pPr>
            <w:r>
              <w:rPr>
                <w:color w:val="231F20"/>
                <w:sz w:val="20"/>
              </w:rPr>
              <w:t>41.2</w:t>
            </w:r>
          </w:p>
        </w:tc>
        <w:tc>
          <w:tcPr>
            <w:tcW w:w="1401" w:type="dxa"/>
          </w:tcPr>
          <w:p>
            <w:pPr>
              <w:pStyle w:val="TableParagraph"/>
              <w:spacing w:before="13"/>
              <w:ind w:left="252" w:right="307"/>
              <w:rPr>
                <w:sz w:val="20"/>
              </w:rPr>
            </w:pPr>
            <w:r>
              <w:rPr>
                <w:color w:val="231F20"/>
                <w:sz w:val="20"/>
              </w:rPr>
              <w:t>71.8</w:t>
            </w:r>
          </w:p>
        </w:tc>
      </w:tr>
      <w:tr>
        <w:trPr>
          <w:trHeight w:val="305" w:hRule="exact"/>
        </w:trPr>
        <w:tc>
          <w:tcPr>
            <w:tcW w:w="840" w:type="dxa"/>
          </w:tcPr>
          <w:p>
            <w:pPr>
              <w:pStyle w:val="TableParagraph"/>
              <w:spacing w:before="13"/>
              <w:ind w:left="197" w:right="195"/>
              <w:rPr>
                <w:sz w:val="20"/>
              </w:rPr>
            </w:pPr>
            <w:r>
              <w:rPr>
                <w:color w:val="231F20"/>
                <w:sz w:val="20"/>
              </w:rPr>
              <w:t>1995</w:t>
            </w:r>
          </w:p>
        </w:tc>
        <w:tc>
          <w:tcPr>
            <w:tcW w:w="853" w:type="dxa"/>
          </w:tcPr>
          <w:p>
            <w:pPr>
              <w:pStyle w:val="TableParagraph"/>
              <w:spacing w:line="260" w:lineRule="exact"/>
              <w:ind w:left="256"/>
              <w:jc w:val="left"/>
              <w:rPr>
                <w:rFonts w:ascii="Palatino Linotype"/>
                <w:b/>
                <w:sz w:val="20"/>
              </w:rPr>
            </w:pPr>
            <w:r>
              <w:rPr>
                <w:rFonts w:ascii="Palatino Linotype"/>
                <w:b/>
                <w:color w:val="231F20"/>
                <w:sz w:val="20"/>
              </w:rPr>
              <w:t>83.6</w:t>
            </w:r>
          </w:p>
        </w:tc>
        <w:tc>
          <w:tcPr>
            <w:tcW w:w="931" w:type="dxa"/>
          </w:tcPr>
          <w:p>
            <w:pPr>
              <w:pStyle w:val="TableParagraph"/>
              <w:spacing w:before="13"/>
              <w:ind w:right="318"/>
              <w:jc w:val="right"/>
              <w:rPr>
                <w:sz w:val="20"/>
              </w:rPr>
            </w:pPr>
            <w:r>
              <w:rPr>
                <w:color w:val="231F20"/>
                <w:w w:val="95"/>
                <w:sz w:val="20"/>
              </w:rPr>
              <w:t>85.3</w:t>
            </w:r>
          </w:p>
        </w:tc>
        <w:tc>
          <w:tcPr>
            <w:tcW w:w="1319" w:type="dxa"/>
          </w:tcPr>
          <w:p>
            <w:pPr>
              <w:pStyle w:val="TableParagraph"/>
              <w:spacing w:before="13"/>
              <w:ind w:left="238" w:right="239"/>
              <w:rPr>
                <w:sz w:val="20"/>
              </w:rPr>
            </w:pPr>
            <w:r>
              <w:rPr>
                <w:color w:val="231F20"/>
                <w:sz w:val="20"/>
              </w:rPr>
              <w:t>78.5</w:t>
            </w:r>
          </w:p>
        </w:tc>
        <w:tc>
          <w:tcPr>
            <w:tcW w:w="900" w:type="dxa"/>
          </w:tcPr>
          <w:p>
            <w:pPr>
              <w:pStyle w:val="TableParagraph"/>
              <w:spacing w:line="260" w:lineRule="exact"/>
              <w:ind w:right="246"/>
              <w:jc w:val="right"/>
              <w:rPr>
                <w:rFonts w:ascii="Palatino Linotype"/>
                <w:b/>
                <w:sz w:val="20"/>
              </w:rPr>
            </w:pPr>
            <w:r>
              <w:rPr>
                <w:rFonts w:ascii="Palatino Linotype"/>
                <w:b/>
                <w:color w:val="231F20"/>
                <w:sz w:val="20"/>
              </w:rPr>
              <w:t>16.4</w:t>
            </w:r>
          </w:p>
        </w:tc>
        <w:tc>
          <w:tcPr>
            <w:tcW w:w="949" w:type="dxa"/>
          </w:tcPr>
          <w:p>
            <w:pPr>
              <w:pStyle w:val="TableParagraph"/>
              <w:spacing w:before="13"/>
              <w:ind w:left="186" w:right="239"/>
              <w:rPr>
                <w:sz w:val="20"/>
              </w:rPr>
            </w:pPr>
            <w:r>
              <w:rPr>
                <w:color w:val="231F20"/>
                <w:sz w:val="20"/>
              </w:rPr>
              <w:t>14.7</w:t>
            </w:r>
          </w:p>
        </w:tc>
        <w:tc>
          <w:tcPr>
            <w:tcW w:w="1401" w:type="dxa"/>
          </w:tcPr>
          <w:p>
            <w:pPr>
              <w:pStyle w:val="TableParagraph"/>
              <w:spacing w:before="13"/>
              <w:ind w:left="252" w:right="305"/>
              <w:rPr>
                <w:sz w:val="20"/>
              </w:rPr>
            </w:pPr>
            <w:r>
              <w:rPr>
                <w:color w:val="231F20"/>
                <w:sz w:val="20"/>
              </w:rPr>
              <w:t>21.6</w:t>
            </w:r>
          </w:p>
        </w:tc>
      </w:tr>
      <w:tr>
        <w:trPr>
          <w:trHeight w:val="305" w:hRule="exact"/>
        </w:trPr>
        <w:tc>
          <w:tcPr>
            <w:tcW w:w="840" w:type="dxa"/>
          </w:tcPr>
          <w:p>
            <w:pPr>
              <w:pStyle w:val="TableParagraph"/>
              <w:spacing w:before="13"/>
              <w:ind w:left="197" w:right="195"/>
              <w:rPr>
                <w:sz w:val="20"/>
              </w:rPr>
            </w:pPr>
            <w:r>
              <w:rPr>
                <w:color w:val="231F20"/>
                <w:sz w:val="20"/>
              </w:rPr>
              <w:t>1996</w:t>
            </w:r>
          </w:p>
        </w:tc>
        <w:tc>
          <w:tcPr>
            <w:tcW w:w="853" w:type="dxa"/>
          </w:tcPr>
          <w:p>
            <w:pPr>
              <w:pStyle w:val="TableParagraph"/>
              <w:spacing w:line="260" w:lineRule="exact"/>
              <w:ind w:left="256"/>
              <w:jc w:val="left"/>
              <w:rPr>
                <w:rFonts w:ascii="Palatino Linotype"/>
                <w:b/>
                <w:sz w:val="20"/>
              </w:rPr>
            </w:pPr>
            <w:r>
              <w:rPr>
                <w:rFonts w:ascii="Palatino Linotype"/>
                <w:b/>
                <w:color w:val="231F20"/>
                <w:sz w:val="20"/>
              </w:rPr>
              <w:t>80.2</w:t>
            </w:r>
          </w:p>
        </w:tc>
        <w:tc>
          <w:tcPr>
            <w:tcW w:w="931" w:type="dxa"/>
          </w:tcPr>
          <w:p>
            <w:pPr>
              <w:pStyle w:val="TableParagraph"/>
              <w:spacing w:before="13"/>
              <w:ind w:right="318"/>
              <w:jc w:val="right"/>
              <w:rPr>
                <w:sz w:val="20"/>
              </w:rPr>
            </w:pPr>
            <w:r>
              <w:rPr>
                <w:color w:val="231F20"/>
                <w:w w:val="95"/>
                <w:sz w:val="20"/>
              </w:rPr>
              <w:t>79.5</w:t>
            </w:r>
          </w:p>
        </w:tc>
        <w:tc>
          <w:tcPr>
            <w:tcW w:w="1319" w:type="dxa"/>
          </w:tcPr>
          <w:p>
            <w:pPr>
              <w:pStyle w:val="TableParagraph"/>
              <w:spacing w:before="13"/>
              <w:ind w:left="238" w:right="238"/>
              <w:rPr>
                <w:sz w:val="20"/>
              </w:rPr>
            </w:pPr>
            <w:r>
              <w:rPr>
                <w:color w:val="231F20"/>
                <w:sz w:val="20"/>
              </w:rPr>
              <w:t>81.4</w:t>
            </w:r>
          </w:p>
        </w:tc>
        <w:tc>
          <w:tcPr>
            <w:tcW w:w="900" w:type="dxa"/>
          </w:tcPr>
          <w:p>
            <w:pPr>
              <w:pStyle w:val="TableParagraph"/>
              <w:spacing w:line="260" w:lineRule="exact"/>
              <w:ind w:right="246"/>
              <w:jc w:val="right"/>
              <w:rPr>
                <w:rFonts w:ascii="Palatino Linotype"/>
                <w:b/>
                <w:sz w:val="20"/>
              </w:rPr>
            </w:pPr>
            <w:r>
              <w:rPr>
                <w:rFonts w:ascii="Palatino Linotype"/>
                <w:b/>
                <w:color w:val="231F20"/>
                <w:sz w:val="20"/>
              </w:rPr>
              <w:t>19.8</w:t>
            </w:r>
          </w:p>
        </w:tc>
        <w:tc>
          <w:tcPr>
            <w:tcW w:w="949" w:type="dxa"/>
          </w:tcPr>
          <w:p>
            <w:pPr>
              <w:pStyle w:val="TableParagraph"/>
              <w:spacing w:before="13"/>
              <w:ind w:left="186" w:right="238"/>
              <w:rPr>
                <w:sz w:val="20"/>
              </w:rPr>
            </w:pPr>
            <w:r>
              <w:rPr>
                <w:color w:val="231F20"/>
                <w:sz w:val="20"/>
              </w:rPr>
              <w:t>20.5</w:t>
            </w:r>
          </w:p>
        </w:tc>
        <w:tc>
          <w:tcPr>
            <w:tcW w:w="1401" w:type="dxa"/>
          </w:tcPr>
          <w:p>
            <w:pPr>
              <w:pStyle w:val="TableParagraph"/>
              <w:spacing w:before="13"/>
              <w:ind w:left="252" w:right="305"/>
              <w:rPr>
                <w:sz w:val="20"/>
              </w:rPr>
            </w:pPr>
            <w:r>
              <w:rPr>
                <w:color w:val="231F20"/>
                <w:sz w:val="20"/>
              </w:rPr>
              <w:t>18.6</w:t>
            </w:r>
          </w:p>
        </w:tc>
      </w:tr>
      <w:tr>
        <w:trPr>
          <w:trHeight w:val="305" w:hRule="exact"/>
        </w:trPr>
        <w:tc>
          <w:tcPr>
            <w:tcW w:w="840" w:type="dxa"/>
          </w:tcPr>
          <w:p>
            <w:pPr>
              <w:pStyle w:val="TableParagraph"/>
              <w:spacing w:before="13"/>
              <w:ind w:left="198" w:right="195"/>
              <w:rPr>
                <w:sz w:val="20"/>
              </w:rPr>
            </w:pPr>
            <w:r>
              <w:rPr>
                <w:color w:val="231F20"/>
                <w:sz w:val="20"/>
              </w:rPr>
              <w:t>1997</w:t>
            </w:r>
          </w:p>
        </w:tc>
        <w:tc>
          <w:tcPr>
            <w:tcW w:w="853" w:type="dxa"/>
          </w:tcPr>
          <w:p>
            <w:pPr>
              <w:pStyle w:val="TableParagraph"/>
              <w:spacing w:line="260" w:lineRule="exact"/>
              <w:ind w:left="256"/>
              <w:jc w:val="left"/>
              <w:rPr>
                <w:rFonts w:ascii="Palatino Linotype"/>
                <w:b/>
                <w:sz w:val="20"/>
              </w:rPr>
            </w:pPr>
            <w:r>
              <w:rPr>
                <w:rFonts w:ascii="Palatino Linotype"/>
                <w:b/>
                <w:color w:val="231F20"/>
                <w:sz w:val="20"/>
              </w:rPr>
              <w:t>73.6</w:t>
            </w:r>
          </w:p>
        </w:tc>
        <w:tc>
          <w:tcPr>
            <w:tcW w:w="931" w:type="dxa"/>
          </w:tcPr>
          <w:p>
            <w:pPr>
              <w:pStyle w:val="TableParagraph"/>
              <w:spacing w:before="13"/>
              <w:ind w:right="318"/>
              <w:jc w:val="right"/>
              <w:rPr>
                <w:sz w:val="20"/>
              </w:rPr>
            </w:pPr>
            <w:r>
              <w:rPr>
                <w:color w:val="231F20"/>
                <w:w w:val="95"/>
                <w:sz w:val="20"/>
              </w:rPr>
              <w:t>69.4</w:t>
            </w:r>
          </w:p>
        </w:tc>
        <w:tc>
          <w:tcPr>
            <w:tcW w:w="1319" w:type="dxa"/>
          </w:tcPr>
          <w:p>
            <w:pPr>
              <w:pStyle w:val="TableParagraph"/>
              <w:spacing w:before="13"/>
              <w:ind w:left="238" w:right="238"/>
              <w:rPr>
                <w:sz w:val="20"/>
              </w:rPr>
            </w:pPr>
            <w:r>
              <w:rPr>
                <w:color w:val="231F20"/>
                <w:sz w:val="20"/>
              </w:rPr>
              <w:t>81.0</w:t>
            </w:r>
          </w:p>
        </w:tc>
        <w:tc>
          <w:tcPr>
            <w:tcW w:w="900" w:type="dxa"/>
          </w:tcPr>
          <w:p>
            <w:pPr>
              <w:pStyle w:val="TableParagraph"/>
              <w:spacing w:line="260" w:lineRule="exact"/>
              <w:ind w:right="247"/>
              <w:jc w:val="right"/>
              <w:rPr>
                <w:rFonts w:ascii="Palatino Linotype"/>
                <w:b/>
                <w:sz w:val="20"/>
              </w:rPr>
            </w:pPr>
            <w:r>
              <w:rPr>
                <w:rFonts w:ascii="Palatino Linotype"/>
                <w:b/>
                <w:color w:val="231F20"/>
                <w:sz w:val="20"/>
              </w:rPr>
              <w:t>26.4</w:t>
            </w:r>
          </w:p>
        </w:tc>
        <w:tc>
          <w:tcPr>
            <w:tcW w:w="949" w:type="dxa"/>
          </w:tcPr>
          <w:p>
            <w:pPr>
              <w:pStyle w:val="TableParagraph"/>
              <w:spacing w:before="13"/>
              <w:ind w:left="186" w:right="238"/>
              <w:rPr>
                <w:sz w:val="20"/>
              </w:rPr>
            </w:pPr>
            <w:r>
              <w:rPr>
                <w:color w:val="231F20"/>
                <w:sz w:val="20"/>
              </w:rPr>
              <w:t>30.6</w:t>
            </w:r>
          </w:p>
        </w:tc>
        <w:tc>
          <w:tcPr>
            <w:tcW w:w="1401" w:type="dxa"/>
          </w:tcPr>
          <w:p>
            <w:pPr>
              <w:pStyle w:val="TableParagraph"/>
              <w:spacing w:before="13"/>
              <w:ind w:left="252" w:right="304"/>
              <w:rPr>
                <w:sz w:val="20"/>
              </w:rPr>
            </w:pPr>
            <w:r>
              <w:rPr>
                <w:color w:val="231F20"/>
                <w:sz w:val="20"/>
              </w:rPr>
              <w:t>19.1</w:t>
            </w:r>
          </w:p>
        </w:tc>
      </w:tr>
      <w:tr>
        <w:trPr>
          <w:trHeight w:val="305" w:hRule="exact"/>
        </w:trPr>
        <w:tc>
          <w:tcPr>
            <w:tcW w:w="840" w:type="dxa"/>
          </w:tcPr>
          <w:p>
            <w:pPr>
              <w:pStyle w:val="TableParagraph"/>
              <w:spacing w:before="13"/>
              <w:ind w:left="198" w:right="195"/>
              <w:rPr>
                <w:sz w:val="20"/>
              </w:rPr>
            </w:pPr>
            <w:r>
              <w:rPr>
                <w:color w:val="231F20"/>
                <w:sz w:val="20"/>
              </w:rPr>
              <w:t>1998</w:t>
            </w:r>
          </w:p>
        </w:tc>
        <w:tc>
          <w:tcPr>
            <w:tcW w:w="853" w:type="dxa"/>
          </w:tcPr>
          <w:p>
            <w:pPr>
              <w:pStyle w:val="TableParagraph"/>
              <w:spacing w:line="260" w:lineRule="exact"/>
              <w:ind w:left="256"/>
              <w:jc w:val="left"/>
              <w:rPr>
                <w:rFonts w:ascii="Palatino Linotype"/>
                <w:b/>
                <w:sz w:val="20"/>
              </w:rPr>
            </w:pPr>
            <w:r>
              <w:rPr>
                <w:rFonts w:ascii="Palatino Linotype"/>
                <w:b/>
                <w:color w:val="231F20"/>
                <w:sz w:val="20"/>
              </w:rPr>
              <w:t>68.6</w:t>
            </w:r>
          </w:p>
        </w:tc>
        <w:tc>
          <w:tcPr>
            <w:tcW w:w="931" w:type="dxa"/>
          </w:tcPr>
          <w:p>
            <w:pPr>
              <w:pStyle w:val="TableParagraph"/>
              <w:spacing w:before="13"/>
              <w:ind w:right="318"/>
              <w:jc w:val="right"/>
              <w:rPr>
                <w:sz w:val="20"/>
              </w:rPr>
            </w:pPr>
            <w:r>
              <w:rPr>
                <w:color w:val="231F20"/>
                <w:w w:val="95"/>
                <w:sz w:val="20"/>
              </w:rPr>
              <w:t>62.7</w:t>
            </w:r>
          </w:p>
        </w:tc>
        <w:tc>
          <w:tcPr>
            <w:tcW w:w="1319" w:type="dxa"/>
          </w:tcPr>
          <w:p>
            <w:pPr>
              <w:pStyle w:val="TableParagraph"/>
              <w:spacing w:before="13"/>
              <w:ind w:left="238" w:right="239"/>
              <w:rPr>
                <w:sz w:val="20"/>
              </w:rPr>
            </w:pPr>
            <w:r>
              <w:rPr>
                <w:color w:val="231F20"/>
                <w:sz w:val="20"/>
              </w:rPr>
              <w:t>80.3</w:t>
            </w:r>
          </w:p>
        </w:tc>
        <w:tc>
          <w:tcPr>
            <w:tcW w:w="900" w:type="dxa"/>
          </w:tcPr>
          <w:p>
            <w:pPr>
              <w:pStyle w:val="TableParagraph"/>
              <w:spacing w:line="260" w:lineRule="exact"/>
              <w:ind w:right="245"/>
              <w:jc w:val="right"/>
              <w:rPr>
                <w:rFonts w:ascii="Palatino Linotype"/>
                <w:b/>
                <w:sz w:val="20"/>
              </w:rPr>
            </w:pPr>
            <w:r>
              <w:rPr>
                <w:rFonts w:ascii="Palatino Linotype"/>
                <w:b/>
                <w:color w:val="231F20"/>
                <w:sz w:val="20"/>
              </w:rPr>
              <w:t>31.4</w:t>
            </w:r>
          </w:p>
        </w:tc>
        <w:tc>
          <w:tcPr>
            <w:tcW w:w="949" w:type="dxa"/>
          </w:tcPr>
          <w:p>
            <w:pPr>
              <w:pStyle w:val="TableParagraph"/>
              <w:spacing w:before="13"/>
              <w:ind w:left="186" w:right="237"/>
              <w:rPr>
                <w:sz w:val="20"/>
              </w:rPr>
            </w:pPr>
            <w:r>
              <w:rPr>
                <w:color w:val="231F20"/>
                <w:sz w:val="20"/>
              </w:rPr>
              <w:t>37.3</w:t>
            </w:r>
          </w:p>
        </w:tc>
        <w:tc>
          <w:tcPr>
            <w:tcW w:w="1401" w:type="dxa"/>
          </w:tcPr>
          <w:p>
            <w:pPr>
              <w:pStyle w:val="TableParagraph"/>
              <w:spacing w:before="13"/>
              <w:ind w:left="252" w:right="304"/>
              <w:rPr>
                <w:sz w:val="20"/>
              </w:rPr>
            </w:pPr>
            <w:r>
              <w:rPr>
                <w:color w:val="231F20"/>
                <w:sz w:val="20"/>
              </w:rPr>
              <w:t>20.1</w:t>
            </w:r>
          </w:p>
        </w:tc>
      </w:tr>
      <w:tr>
        <w:trPr>
          <w:trHeight w:val="305" w:hRule="exact"/>
        </w:trPr>
        <w:tc>
          <w:tcPr>
            <w:tcW w:w="840" w:type="dxa"/>
          </w:tcPr>
          <w:p>
            <w:pPr>
              <w:pStyle w:val="TableParagraph"/>
              <w:spacing w:before="13"/>
              <w:ind w:left="199" w:right="195"/>
              <w:rPr>
                <w:sz w:val="20"/>
              </w:rPr>
            </w:pPr>
            <w:r>
              <w:rPr>
                <w:color w:val="231F20"/>
                <w:sz w:val="20"/>
              </w:rPr>
              <w:t>1999</w:t>
            </w:r>
          </w:p>
        </w:tc>
        <w:tc>
          <w:tcPr>
            <w:tcW w:w="853" w:type="dxa"/>
          </w:tcPr>
          <w:p>
            <w:pPr>
              <w:pStyle w:val="TableParagraph"/>
              <w:spacing w:line="260" w:lineRule="exact"/>
              <w:ind w:left="257"/>
              <w:jc w:val="left"/>
              <w:rPr>
                <w:rFonts w:ascii="Palatino Linotype"/>
                <w:b/>
                <w:sz w:val="20"/>
              </w:rPr>
            </w:pPr>
            <w:r>
              <w:rPr>
                <w:rFonts w:ascii="Palatino Linotype"/>
                <w:b/>
                <w:color w:val="231F20"/>
                <w:sz w:val="20"/>
              </w:rPr>
              <w:t>72.1</w:t>
            </w:r>
          </w:p>
        </w:tc>
        <w:tc>
          <w:tcPr>
            <w:tcW w:w="931" w:type="dxa"/>
          </w:tcPr>
          <w:p>
            <w:pPr>
              <w:pStyle w:val="TableParagraph"/>
              <w:spacing w:before="13"/>
              <w:ind w:right="317"/>
              <w:jc w:val="right"/>
              <w:rPr>
                <w:sz w:val="20"/>
              </w:rPr>
            </w:pPr>
            <w:r>
              <w:rPr>
                <w:color w:val="231F20"/>
                <w:w w:val="95"/>
                <w:sz w:val="20"/>
              </w:rPr>
              <w:t>68.2</w:t>
            </w:r>
          </w:p>
        </w:tc>
        <w:tc>
          <w:tcPr>
            <w:tcW w:w="1319" w:type="dxa"/>
          </w:tcPr>
          <w:p>
            <w:pPr>
              <w:pStyle w:val="TableParagraph"/>
              <w:spacing w:before="13"/>
              <w:ind w:left="238" w:right="239"/>
              <w:rPr>
                <w:sz w:val="20"/>
              </w:rPr>
            </w:pPr>
            <w:r>
              <w:rPr>
                <w:color w:val="231F20"/>
                <w:sz w:val="20"/>
              </w:rPr>
              <w:t>79.9</w:t>
            </w:r>
          </w:p>
        </w:tc>
        <w:tc>
          <w:tcPr>
            <w:tcW w:w="900" w:type="dxa"/>
          </w:tcPr>
          <w:p>
            <w:pPr>
              <w:pStyle w:val="TableParagraph"/>
              <w:spacing w:line="260" w:lineRule="exact"/>
              <w:ind w:right="245"/>
              <w:jc w:val="right"/>
              <w:rPr>
                <w:rFonts w:ascii="Palatino Linotype"/>
                <w:b/>
                <w:sz w:val="20"/>
              </w:rPr>
            </w:pPr>
            <w:r>
              <w:rPr>
                <w:rFonts w:ascii="Palatino Linotype"/>
                <w:b/>
                <w:color w:val="231F20"/>
                <w:sz w:val="20"/>
              </w:rPr>
              <w:t>27.9</w:t>
            </w:r>
          </w:p>
        </w:tc>
        <w:tc>
          <w:tcPr>
            <w:tcW w:w="949" w:type="dxa"/>
          </w:tcPr>
          <w:p>
            <w:pPr>
              <w:pStyle w:val="TableParagraph"/>
              <w:spacing w:before="13"/>
              <w:ind w:left="186" w:right="237"/>
              <w:rPr>
                <w:sz w:val="20"/>
              </w:rPr>
            </w:pPr>
            <w:r>
              <w:rPr>
                <w:color w:val="231F20"/>
                <w:sz w:val="20"/>
              </w:rPr>
              <w:t>31.8</w:t>
            </w:r>
          </w:p>
        </w:tc>
        <w:tc>
          <w:tcPr>
            <w:tcW w:w="1401" w:type="dxa"/>
          </w:tcPr>
          <w:p>
            <w:pPr>
              <w:pStyle w:val="TableParagraph"/>
              <w:spacing w:before="13"/>
              <w:ind w:left="252" w:right="305"/>
              <w:rPr>
                <w:sz w:val="20"/>
              </w:rPr>
            </w:pPr>
            <w:r>
              <w:rPr>
                <w:color w:val="231F20"/>
                <w:sz w:val="20"/>
              </w:rPr>
              <w:t>20.8</w:t>
            </w:r>
          </w:p>
        </w:tc>
      </w:tr>
      <w:tr>
        <w:trPr>
          <w:trHeight w:val="305" w:hRule="exact"/>
        </w:trPr>
        <w:tc>
          <w:tcPr>
            <w:tcW w:w="840" w:type="dxa"/>
          </w:tcPr>
          <w:p>
            <w:pPr>
              <w:pStyle w:val="TableParagraph"/>
              <w:spacing w:before="13"/>
              <w:ind w:left="199" w:right="195"/>
              <w:rPr>
                <w:sz w:val="20"/>
              </w:rPr>
            </w:pPr>
            <w:r>
              <w:rPr>
                <w:color w:val="231F20"/>
                <w:sz w:val="20"/>
              </w:rPr>
              <w:t>2000</w:t>
            </w:r>
          </w:p>
        </w:tc>
        <w:tc>
          <w:tcPr>
            <w:tcW w:w="853" w:type="dxa"/>
          </w:tcPr>
          <w:p>
            <w:pPr>
              <w:pStyle w:val="TableParagraph"/>
              <w:spacing w:line="260" w:lineRule="exact"/>
              <w:ind w:left="257"/>
              <w:jc w:val="left"/>
              <w:rPr>
                <w:rFonts w:ascii="Palatino Linotype"/>
                <w:b/>
                <w:sz w:val="20"/>
              </w:rPr>
            </w:pPr>
            <w:r>
              <w:rPr>
                <w:rFonts w:ascii="Palatino Linotype"/>
                <w:b/>
                <w:color w:val="231F20"/>
                <w:sz w:val="20"/>
              </w:rPr>
              <w:t>75.8</w:t>
            </w:r>
          </w:p>
        </w:tc>
        <w:tc>
          <w:tcPr>
            <w:tcW w:w="931" w:type="dxa"/>
          </w:tcPr>
          <w:p>
            <w:pPr>
              <w:pStyle w:val="TableParagraph"/>
              <w:spacing w:before="13"/>
              <w:ind w:right="317"/>
              <w:jc w:val="right"/>
              <w:rPr>
                <w:sz w:val="20"/>
              </w:rPr>
            </w:pPr>
            <w:r>
              <w:rPr>
                <w:color w:val="231F20"/>
                <w:w w:val="95"/>
                <w:sz w:val="20"/>
              </w:rPr>
              <w:t>72.8</w:t>
            </w:r>
          </w:p>
        </w:tc>
        <w:tc>
          <w:tcPr>
            <w:tcW w:w="1319" w:type="dxa"/>
          </w:tcPr>
          <w:p>
            <w:pPr>
              <w:pStyle w:val="TableParagraph"/>
              <w:spacing w:before="13"/>
              <w:ind w:left="238" w:right="239"/>
              <w:rPr>
                <w:sz w:val="20"/>
              </w:rPr>
            </w:pPr>
            <w:r>
              <w:rPr>
                <w:color w:val="231F20"/>
                <w:sz w:val="20"/>
              </w:rPr>
              <w:t>82.2</w:t>
            </w:r>
          </w:p>
        </w:tc>
        <w:tc>
          <w:tcPr>
            <w:tcW w:w="900" w:type="dxa"/>
          </w:tcPr>
          <w:p>
            <w:pPr>
              <w:pStyle w:val="TableParagraph"/>
              <w:spacing w:line="260" w:lineRule="exact"/>
              <w:ind w:right="245"/>
              <w:jc w:val="right"/>
              <w:rPr>
                <w:rFonts w:ascii="Palatino Linotype"/>
                <w:b/>
                <w:sz w:val="20"/>
              </w:rPr>
            </w:pPr>
            <w:r>
              <w:rPr>
                <w:rFonts w:ascii="Palatino Linotype"/>
                <w:b/>
                <w:color w:val="231F20"/>
                <w:sz w:val="20"/>
              </w:rPr>
              <w:t>24.2</w:t>
            </w:r>
          </w:p>
        </w:tc>
        <w:tc>
          <w:tcPr>
            <w:tcW w:w="949" w:type="dxa"/>
          </w:tcPr>
          <w:p>
            <w:pPr>
              <w:pStyle w:val="TableParagraph"/>
              <w:spacing w:before="13"/>
              <w:ind w:left="186" w:right="237"/>
              <w:rPr>
                <w:sz w:val="20"/>
              </w:rPr>
            </w:pPr>
            <w:r>
              <w:rPr>
                <w:color w:val="231F20"/>
                <w:sz w:val="20"/>
              </w:rPr>
              <w:t>27.2</w:t>
            </w:r>
          </w:p>
        </w:tc>
        <w:tc>
          <w:tcPr>
            <w:tcW w:w="1401" w:type="dxa"/>
          </w:tcPr>
          <w:p>
            <w:pPr>
              <w:pStyle w:val="TableParagraph"/>
              <w:spacing w:before="13"/>
              <w:ind w:left="252" w:right="303"/>
              <w:rPr>
                <w:sz w:val="20"/>
              </w:rPr>
            </w:pPr>
            <w:r>
              <w:rPr>
                <w:color w:val="231F20"/>
                <w:sz w:val="20"/>
              </w:rPr>
              <w:t>18.1</w:t>
            </w:r>
          </w:p>
        </w:tc>
      </w:tr>
      <w:tr>
        <w:trPr>
          <w:trHeight w:val="305" w:hRule="exact"/>
        </w:trPr>
        <w:tc>
          <w:tcPr>
            <w:tcW w:w="840" w:type="dxa"/>
          </w:tcPr>
          <w:p>
            <w:pPr>
              <w:pStyle w:val="TableParagraph"/>
              <w:spacing w:before="13"/>
              <w:ind w:left="199" w:right="195"/>
              <w:rPr>
                <w:sz w:val="20"/>
              </w:rPr>
            </w:pPr>
            <w:r>
              <w:rPr>
                <w:color w:val="231F20"/>
                <w:sz w:val="20"/>
              </w:rPr>
              <w:t>2001</w:t>
            </w:r>
          </w:p>
        </w:tc>
        <w:tc>
          <w:tcPr>
            <w:tcW w:w="853" w:type="dxa"/>
          </w:tcPr>
          <w:p>
            <w:pPr>
              <w:pStyle w:val="TableParagraph"/>
              <w:spacing w:line="260" w:lineRule="exact"/>
              <w:ind w:left="257"/>
              <w:jc w:val="left"/>
              <w:rPr>
                <w:rFonts w:ascii="Palatino Linotype"/>
                <w:b/>
                <w:sz w:val="20"/>
              </w:rPr>
            </w:pPr>
            <w:r>
              <w:rPr>
                <w:rFonts w:ascii="Palatino Linotype"/>
                <w:b/>
                <w:color w:val="231F20"/>
                <w:sz w:val="20"/>
              </w:rPr>
              <w:t>76.1</w:t>
            </w:r>
          </w:p>
        </w:tc>
        <w:tc>
          <w:tcPr>
            <w:tcW w:w="931" w:type="dxa"/>
          </w:tcPr>
          <w:p>
            <w:pPr>
              <w:pStyle w:val="TableParagraph"/>
              <w:spacing w:before="13"/>
              <w:ind w:right="317"/>
              <w:jc w:val="right"/>
              <w:rPr>
                <w:sz w:val="20"/>
              </w:rPr>
            </w:pPr>
            <w:r>
              <w:rPr>
                <w:color w:val="231F20"/>
                <w:w w:val="95"/>
                <w:sz w:val="20"/>
              </w:rPr>
              <w:t>70.8</w:t>
            </w:r>
          </w:p>
        </w:tc>
        <w:tc>
          <w:tcPr>
            <w:tcW w:w="1319" w:type="dxa"/>
          </w:tcPr>
          <w:p>
            <w:pPr>
              <w:pStyle w:val="TableParagraph"/>
              <w:spacing w:before="13"/>
              <w:ind w:left="238" w:right="238"/>
              <w:rPr>
                <w:sz w:val="20"/>
              </w:rPr>
            </w:pPr>
            <w:r>
              <w:rPr>
                <w:color w:val="231F20"/>
                <w:sz w:val="20"/>
              </w:rPr>
              <w:t>86.4</w:t>
            </w:r>
          </w:p>
        </w:tc>
        <w:tc>
          <w:tcPr>
            <w:tcW w:w="900" w:type="dxa"/>
          </w:tcPr>
          <w:p>
            <w:pPr>
              <w:pStyle w:val="TableParagraph"/>
              <w:spacing w:line="260" w:lineRule="exact"/>
              <w:ind w:right="245"/>
              <w:jc w:val="right"/>
              <w:rPr>
                <w:rFonts w:ascii="Palatino Linotype"/>
                <w:b/>
                <w:sz w:val="20"/>
              </w:rPr>
            </w:pPr>
            <w:r>
              <w:rPr>
                <w:rFonts w:ascii="Palatino Linotype"/>
                <w:b/>
                <w:color w:val="231F20"/>
                <w:sz w:val="20"/>
              </w:rPr>
              <w:t>23.9</w:t>
            </w:r>
          </w:p>
        </w:tc>
        <w:tc>
          <w:tcPr>
            <w:tcW w:w="949" w:type="dxa"/>
          </w:tcPr>
          <w:p>
            <w:pPr>
              <w:pStyle w:val="TableParagraph"/>
              <w:spacing w:before="13"/>
              <w:ind w:left="186" w:right="236"/>
              <w:rPr>
                <w:sz w:val="20"/>
              </w:rPr>
            </w:pPr>
            <w:r>
              <w:rPr>
                <w:color w:val="231F20"/>
                <w:sz w:val="20"/>
              </w:rPr>
              <w:t>29.2</w:t>
            </w:r>
          </w:p>
        </w:tc>
        <w:tc>
          <w:tcPr>
            <w:tcW w:w="1401" w:type="dxa"/>
          </w:tcPr>
          <w:p>
            <w:pPr>
              <w:pStyle w:val="TableParagraph"/>
              <w:spacing w:before="13"/>
              <w:ind w:left="252" w:right="303"/>
              <w:rPr>
                <w:sz w:val="20"/>
              </w:rPr>
            </w:pPr>
            <w:r>
              <w:rPr>
                <w:color w:val="231F20"/>
                <w:sz w:val="20"/>
              </w:rPr>
              <w:t>13.8</w:t>
            </w:r>
          </w:p>
        </w:tc>
      </w:tr>
      <w:tr>
        <w:trPr>
          <w:trHeight w:val="305" w:hRule="exact"/>
        </w:trPr>
        <w:tc>
          <w:tcPr>
            <w:tcW w:w="840" w:type="dxa"/>
          </w:tcPr>
          <w:p>
            <w:pPr>
              <w:pStyle w:val="TableParagraph"/>
              <w:spacing w:before="13"/>
              <w:ind w:left="200" w:right="195"/>
              <w:rPr>
                <w:sz w:val="20"/>
              </w:rPr>
            </w:pPr>
            <w:r>
              <w:rPr>
                <w:color w:val="231F20"/>
                <w:sz w:val="20"/>
              </w:rPr>
              <w:t>2002</w:t>
            </w:r>
          </w:p>
        </w:tc>
        <w:tc>
          <w:tcPr>
            <w:tcW w:w="853" w:type="dxa"/>
          </w:tcPr>
          <w:p>
            <w:pPr>
              <w:pStyle w:val="TableParagraph"/>
              <w:spacing w:line="260" w:lineRule="exact"/>
              <w:ind w:left="257"/>
              <w:jc w:val="left"/>
              <w:rPr>
                <w:rFonts w:ascii="Palatino Linotype"/>
                <w:b/>
                <w:sz w:val="20"/>
              </w:rPr>
            </w:pPr>
            <w:r>
              <w:rPr>
                <w:rFonts w:ascii="Palatino Linotype"/>
                <w:b/>
                <w:color w:val="231F20"/>
                <w:sz w:val="20"/>
              </w:rPr>
              <w:t>74.4</w:t>
            </w:r>
          </w:p>
        </w:tc>
        <w:tc>
          <w:tcPr>
            <w:tcW w:w="931" w:type="dxa"/>
          </w:tcPr>
          <w:p>
            <w:pPr>
              <w:pStyle w:val="TableParagraph"/>
              <w:spacing w:before="13"/>
              <w:ind w:right="317"/>
              <w:jc w:val="right"/>
              <w:rPr>
                <w:sz w:val="20"/>
              </w:rPr>
            </w:pPr>
            <w:r>
              <w:rPr>
                <w:color w:val="231F20"/>
                <w:w w:val="95"/>
                <w:sz w:val="20"/>
              </w:rPr>
              <w:t>67.1</w:t>
            </w:r>
          </w:p>
        </w:tc>
        <w:tc>
          <w:tcPr>
            <w:tcW w:w="1319" w:type="dxa"/>
          </w:tcPr>
          <w:p>
            <w:pPr>
              <w:pStyle w:val="TableParagraph"/>
              <w:spacing w:before="13"/>
              <w:ind w:left="238" w:right="238"/>
              <w:rPr>
                <w:sz w:val="20"/>
              </w:rPr>
            </w:pPr>
            <w:r>
              <w:rPr>
                <w:color w:val="231F20"/>
                <w:sz w:val="20"/>
              </w:rPr>
              <w:t>87.3</w:t>
            </w:r>
          </w:p>
        </w:tc>
        <w:tc>
          <w:tcPr>
            <w:tcW w:w="900" w:type="dxa"/>
          </w:tcPr>
          <w:p>
            <w:pPr>
              <w:pStyle w:val="TableParagraph"/>
              <w:spacing w:line="260" w:lineRule="exact"/>
              <w:ind w:right="246"/>
              <w:jc w:val="right"/>
              <w:rPr>
                <w:rFonts w:ascii="Palatino Linotype"/>
                <w:b/>
                <w:sz w:val="20"/>
              </w:rPr>
            </w:pPr>
            <w:r>
              <w:rPr>
                <w:rFonts w:ascii="Palatino Linotype"/>
                <w:b/>
                <w:color w:val="231F20"/>
                <w:sz w:val="20"/>
              </w:rPr>
              <w:t>25.6</w:t>
            </w:r>
          </w:p>
        </w:tc>
        <w:tc>
          <w:tcPr>
            <w:tcW w:w="949" w:type="dxa"/>
          </w:tcPr>
          <w:p>
            <w:pPr>
              <w:pStyle w:val="TableParagraph"/>
              <w:spacing w:before="13"/>
              <w:ind w:left="186" w:right="236"/>
              <w:rPr>
                <w:sz w:val="20"/>
              </w:rPr>
            </w:pPr>
            <w:r>
              <w:rPr>
                <w:color w:val="231F20"/>
                <w:sz w:val="20"/>
              </w:rPr>
              <w:t>32.9</w:t>
            </w:r>
          </w:p>
        </w:tc>
        <w:tc>
          <w:tcPr>
            <w:tcW w:w="1401" w:type="dxa"/>
          </w:tcPr>
          <w:p>
            <w:pPr>
              <w:pStyle w:val="TableParagraph"/>
              <w:spacing w:before="13"/>
              <w:ind w:left="252" w:right="302"/>
              <w:rPr>
                <w:sz w:val="20"/>
              </w:rPr>
            </w:pPr>
            <w:r>
              <w:rPr>
                <w:color w:val="231F20"/>
                <w:sz w:val="20"/>
              </w:rPr>
              <w:t>12.8</w:t>
            </w:r>
          </w:p>
        </w:tc>
      </w:tr>
      <w:tr>
        <w:trPr>
          <w:trHeight w:val="305" w:hRule="exact"/>
        </w:trPr>
        <w:tc>
          <w:tcPr>
            <w:tcW w:w="840" w:type="dxa"/>
          </w:tcPr>
          <w:p>
            <w:pPr>
              <w:pStyle w:val="TableParagraph"/>
              <w:spacing w:before="13"/>
              <w:ind w:left="200" w:right="195"/>
              <w:rPr>
                <w:sz w:val="20"/>
              </w:rPr>
            </w:pPr>
            <w:r>
              <w:rPr>
                <w:color w:val="231F20"/>
                <w:sz w:val="20"/>
              </w:rPr>
              <w:t>2003</w:t>
            </w:r>
          </w:p>
        </w:tc>
        <w:tc>
          <w:tcPr>
            <w:tcW w:w="853" w:type="dxa"/>
          </w:tcPr>
          <w:p>
            <w:pPr>
              <w:pStyle w:val="TableParagraph"/>
              <w:spacing w:line="260" w:lineRule="exact"/>
              <w:ind w:left="257"/>
              <w:jc w:val="left"/>
              <w:rPr>
                <w:rFonts w:ascii="Palatino Linotype"/>
                <w:b/>
                <w:sz w:val="20"/>
              </w:rPr>
            </w:pPr>
            <w:r>
              <w:rPr>
                <w:rFonts w:ascii="Palatino Linotype"/>
                <w:b/>
                <w:color w:val="231F20"/>
                <w:sz w:val="20"/>
              </w:rPr>
              <w:t>76.0</w:t>
            </w:r>
          </w:p>
        </w:tc>
        <w:tc>
          <w:tcPr>
            <w:tcW w:w="931" w:type="dxa"/>
          </w:tcPr>
          <w:p>
            <w:pPr>
              <w:pStyle w:val="TableParagraph"/>
              <w:spacing w:before="13"/>
              <w:ind w:right="317"/>
              <w:jc w:val="right"/>
              <w:rPr>
                <w:sz w:val="20"/>
              </w:rPr>
            </w:pPr>
            <w:r>
              <w:rPr>
                <w:color w:val="231F20"/>
                <w:w w:val="95"/>
                <w:sz w:val="20"/>
              </w:rPr>
              <w:t>67.5</w:t>
            </w:r>
          </w:p>
        </w:tc>
        <w:tc>
          <w:tcPr>
            <w:tcW w:w="1319" w:type="dxa"/>
          </w:tcPr>
          <w:p>
            <w:pPr>
              <w:pStyle w:val="TableParagraph"/>
              <w:spacing w:before="13"/>
              <w:ind w:left="238" w:right="238"/>
              <w:rPr>
                <w:sz w:val="20"/>
              </w:rPr>
            </w:pPr>
            <w:r>
              <w:rPr>
                <w:color w:val="231F20"/>
                <w:sz w:val="20"/>
              </w:rPr>
              <w:t>88.3</w:t>
            </w:r>
          </w:p>
        </w:tc>
        <w:tc>
          <w:tcPr>
            <w:tcW w:w="900" w:type="dxa"/>
          </w:tcPr>
          <w:p>
            <w:pPr>
              <w:pStyle w:val="TableParagraph"/>
              <w:spacing w:line="260" w:lineRule="exact"/>
              <w:ind w:right="244"/>
              <w:jc w:val="right"/>
              <w:rPr>
                <w:rFonts w:ascii="Palatino Linotype"/>
                <w:b/>
                <w:sz w:val="20"/>
              </w:rPr>
            </w:pPr>
            <w:r>
              <w:rPr>
                <w:rFonts w:ascii="Palatino Linotype"/>
                <w:b/>
                <w:color w:val="231F20"/>
                <w:sz w:val="20"/>
              </w:rPr>
              <w:t>24.0</w:t>
            </w:r>
          </w:p>
        </w:tc>
        <w:tc>
          <w:tcPr>
            <w:tcW w:w="949" w:type="dxa"/>
          </w:tcPr>
          <w:p>
            <w:pPr>
              <w:pStyle w:val="TableParagraph"/>
              <w:spacing w:before="13"/>
              <w:ind w:left="186" w:right="235"/>
              <w:rPr>
                <w:sz w:val="20"/>
              </w:rPr>
            </w:pPr>
            <w:r>
              <w:rPr>
                <w:color w:val="231F20"/>
                <w:sz w:val="20"/>
              </w:rPr>
              <w:t>32.5</w:t>
            </w:r>
          </w:p>
        </w:tc>
        <w:tc>
          <w:tcPr>
            <w:tcW w:w="1401" w:type="dxa"/>
          </w:tcPr>
          <w:p>
            <w:pPr>
              <w:pStyle w:val="TableParagraph"/>
              <w:spacing w:before="13"/>
              <w:ind w:left="252" w:right="302"/>
              <w:rPr>
                <w:sz w:val="20"/>
              </w:rPr>
            </w:pPr>
            <w:r>
              <w:rPr>
                <w:color w:val="231F20"/>
                <w:sz w:val="20"/>
              </w:rPr>
              <w:t>11.7</w:t>
            </w:r>
          </w:p>
        </w:tc>
      </w:tr>
      <w:tr>
        <w:trPr>
          <w:trHeight w:val="305" w:hRule="exact"/>
        </w:trPr>
        <w:tc>
          <w:tcPr>
            <w:tcW w:w="840" w:type="dxa"/>
          </w:tcPr>
          <w:p>
            <w:pPr>
              <w:pStyle w:val="TableParagraph"/>
              <w:spacing w:before="13"/>
              <w:ind w:left="200" w:right="194"/>
              <w:rPr>
                <w:sz w:val="20"/>
              </w:rPr>
            </w:pPr>
            <w:r>
              <w:rPr>
                <w:color w:val="231F20"/>
                <w:sz w:val="20"/>
              </w:rPr>
              <w:t>2004</w:t>
            </w:r>
          </w:p>
        </w:tc>
        <w:tc>
          <w:tcPr>
            <w:tcW w:w="853" w:type="dxa"/>
          </w:tcPr>
          <w:p>
            <w:pPr>
              <w:pStyle w:val="TableParagraph"/>
              <w:spacing w:line="260" w:lineRule="exact"/>
              <w:ind w:left="258"/>
              <w:jc w:val="left"/>
              <w:rPr>
                <w:rFonts w:ascii="Palatino Linotype"/>
                <w:b/>
                <w:sz w:val="20"/>
              </w:rPr>
            </w:pPr>
            <w:r>
              <w:rPr>
                <w:rFonts w:ascii="Palatino Linotype"/>
                <w:b/>
                <w:color w:val="231F20"/>
                <w:sz w:val="20"/>
              </w:rPr>
              <w:t>73.1</w:t>
            </w:r>
          </w:p>
        </w:tc>
        <w:tc>
          <w:tcPr>
            <w:tcW w:w="931" w:type="dxa"/>
          </w:tcPr>
          <w:p>
            <w:pPr>
              <w:pStyle w:val="TableParagraph"/>
              <w:spacing w:before="13"/>
              <w:ind w:right="316"/>
              <w:jc w:val="right"/>
              <w:rPr>
                <w:sz w:val="20"/>
              </w:rPr>
            </w:pPr>
            <w:r>
              <w:rPr>
                <w:color w:val="231F20"/>
                <w:w w:val="95"/>
                <w:sz w:val="20"/>
              </w:rPr>
              <w:t>64.2</w:t>
            </w:r>
          </w:p>
        </w:tc>
        <w:tc>
          <w:tcPr>
            <w:tcW w:w="1319" w:type="dxa"/>
          </w:tcPr>
          <w:p>
            <w:pPr>
              <w:pStyle w:val="TableParagraph"/>
              <w:spacing w:before="13"/>
              <w:ind w:left="238" w:right="238"/>
              <w:rPr>
                <w:sz w:val="20"/>
              </w:rPr>
            </w:pPr>
            <w:r>
              <w:rPr>
                <w:color w:val="231F20"/>
                <w:sz w:val="20"/>
              </w:rPr>
              <w:t>86.4</w:t>
            </w:r>
          </w:p>
        </w:tc>
        <w:tc>
          <w:tcPr>
            <w:tcW w:w="900" w:type="dxa"/>
          </w:tcPr>
          <w:p>
            <w:pPr>
              <w:pStyle w:val="TableParagraph"/>
              <w:spacing w:line="260" w:lineRule="exact"/>
              <w:ind w:right="244"/>
              <w:jc w:val="right"/>
              <w:rPr>
                <w:rFonts w:ascii="Palatino Linotype"/>
                <w:b/>
                <w:sz w:val="20"/>
              </w:rPr>
            </w:pPr>
            <w:r>
              <w:rPr>
                <w:rFonts w:ascii="Palatino Linotype"/>
                <w:b/>
                <w:color w:val="231F20"/>
                <w:sz w:val="20"/>
              </w:rPr>
              <w:t>26.9</w:t>
            </w:r>
          </w:p>
        </w:tc>
        <w:tc>
          <w:tcPr>
            <w:tcW w:w="949" w:type="dxa"/>
          </w:tcPr>
          <w:p>
            <w:pPr>
              <w:pStyle w:val="TableParagraph"/>
              <w:spacing w:before="13"/>
              <w:ind w:left="186" w:right="235"/>
              <w:rPr>
                <w:sz w:val="20"/>
              </w:rPr>
            </w:pPr>
            <w:r>
              <w:rPr>
                <w:color w:val="231F20"/>
                <w:sz w:val="20"/>
              </w:rPr>
              <w:t>35.8</w:t>
            </w:r>
          </w:p>
        </w:tc>
        <w:tc>
          <w:tcPr>
            <w:tcW w:w="1401" w:type="dxa"/>
          </w:tcPr>
          <w:p>
            <w:pPr>
              <w:pStyle w:val="TableParagraph"/>
              <w:spacing w:before="13"/>
              <w:ind w:left="252" w:right="303"/>
              <w:rPr>
                <w:sz w:val="20"/>
              </w:rPr>
            </w:pPr>
            <w:r>
              <w:rPr>
                <w:color w:val="231F20"/>
                <w:sz w:val="20"/>
              </w:rPr>
              <w:t>13.6</w:t>
            </w:r>
          </w:p>
        </w:tc>
      </w:tr>
      <w:tr>
        <w:trPr>
          <w:trHeight w:val="305" w:hRule="exact"/>
        </w:trPr>
        <w:tc>
          <w:tcPr>
            <w:tcW w:w="840" w:type="dxa"/>
          </w:tcPr>
          <w:p>
            <w:pPr>
              <w:pStyle w:val="TableParagraph"/>
              <w:spacing w:before="13"/>
              <w:ind w:left="200" w:right="194"/>
              <w:rPr>
                <w:sz w:val="20"/>
              </w:rPr>
            </w:pPr>
            <w:r>
              <w:rPr>
                <w:color w:val="231F20"/>
                <w:sz w:val="20"/>
              </w:rPr>
              <w:t>2005</w:t>
            </w:r>
          </w:p>
        </w:tc>
        <w:tc>
          <w:tcPr>
            <w:tcW w:w="853" w:type="dxa"/>
          </w:tcPr>
          <w:p>
            <w:pPr>
              <w:pStyle w:val="TableParagraph"/>
              <w:spacing w:line="260" w:lineRule="exact"/>
              <w:ind w:left="258"/>
              <w:jc w:val="left"/>
              <w:rPr>
                <w:rFonts w:ascii="Palatino Linotype"/>
                <w:b/>
                <w:sz w:val="20"/>
              </w:rPr>
            </w:pPr>
            <w:r>
              <w:rPr>
                <w:rFonts w:ascii="Palatino Linotype"/>
                <w:b/>
                <w:color w:val="231F20"/>
                <w:sz w:val="20"/>
              </w:rPr>
              <w:t>74.3</w:t>
            </w:r>
          </w:p>
        </w:tc>
        <w:tc>
          <w:tcPr>
            <w:tcW w:w="931" w:type="dxa"/>
          </w:tcPr>
          <w:p>
            <w:pPr>
              <w:pStyle w:val="TableParagraph"/>
              <w:spacing w:before="13"/>
              <w:ind w:right="316"/>
              <w:jc w:val="right"/>
              <w:rPr>
                <w:sz w:val="20"/>
              </w:rPr>
            </w:pPr>
            <w:r>
              <w:rPr>
                <w:color w:val="231F20"/>
                <w:w w:val="95"/>
                <w:sz w:val="20"/>
              </w:rPr>
              <w:t>69.6</w:t>
            </w:r>
          </w:p>
        </w:tc>
        <w:tc>
          <w:tcPr>
            <w:tcW w:w="1319" w:type="dxa"/>
          </w:tcPr>
          <w:p>
            <w:pPr>
              <w:pStyle w:val="TableParagraph"/>
              <w:spacing w:before="13"/>
              <w:ind w:left="238" w:right="238"/>
              <w:rPr>
                <w:sz w:val="20"/>
              </w:rPr>
            </w:pPr>
            <w:r>
              <w:rPr>
                <w:color w:val="231F20"/>
                <w:sz w:val="20"/>
              </w:rPr>
              <w:t>83.1</w:t>
            </w:r>
          </w:p>
        </w:tc>
        <w:tc>
          <w:tcPr>
            <w:tcW w:w="900" w:type="dxa"/>
          </w:tcPr>
          <w:p>
            <w:pPr>
              <w:pStyle w:val="TableParagraph"/>
              <w:spacing w:line="260" w:lineRule="exact"/>
              <w:ind w:right="244"/>
              <w:jc w:val="right"/>
              <w:rPr>
                <w:rFonts w:ascii="Palatino Linotype"/>
                <w:b/>
                <w:sz w:val="20"/>
              </w:rPr>
            </w:pPr>
            <w:r>
              <w:rPr>
                <w:rFonts w:ascii="Palatino Linotype"/>
                <w:b/>
                <w:color w:val="231F20"/>
                <w:sz w:val="20"/>
              </w:rPr>
              <w:t>25.7</w:t>
            </w:r>
          </w:p>
        </w:tc>
        <w:tc>
          <w:tcPr>
            <w:tcW w:w="949" w:type="dxa"/>
          </w:tcPr>
          <w:p>
            <w:pPr>
              <w:pStyle w:val="TableParagraph"/>
              <w:spacing w:before="13"/>
              <w:ind w:left="186" w:right="235"/>
              <w:rPr>
                <w:sz w:val="20"/>
              </w:rPr>
            </w:pPr>
            <w:r>
              <w:rPr>
                <w:color w:val="231F20"/>
                <w:sz w:val="20"/>
              </w:rPr>
              <w:t>30.4</w:t>
            </w:r>
          </w:p>
        </w:tc>
        <w:tc>
          <w:tcPr>
            <w:tcW w:w="1401" w:type="dxa"/>
          </w:tcPr>
          <w:p>
            <w:pPr>
              <w:pStyle w:val="TableParagraph"/>
              <w:spacing w:before="13"/>
              <w:ind w:left="252" w:right="301"/>
              <w:rPr>
                <w:sz w:val="20"/>
              </w:rPr>
            </w:pPr>
            <w:r>
              <w:rPr>
                <w:color w:val="231F20"/>
                <w:sz w:val="20"/>
              </w:rPr>
              <w:t>17.0</w:t>
            </w:r>
          </w:p>
        </w:tc>
      </w:tr>
      <w:tr>
        <w:trPr>
          <w:trHeight w:val="305" w:hRule="exact"/>
        </w:trPr>
        <w:tc>
          <w:tcPr>
            <w:tcW w:w="840" w:type="dxa"/>
          </w:tcPr>
          <w:p>
            <w:pPr>
              <w:pStyle w:val="TableParagraph"/>
              <w:spacing w:before="13"/>
              <w:ind w:left="200" w:right="194"/>
              <w:rPr>
                <w:sz w:val="20"/>
              </w:rPr>
            </w:pPr>
            <w:r>
              <w:rPr>
                <w:color w:val="231F20"/>
                <w:sz w:val="20"/>
              </w:rPr>
              <w:t>2006</w:t>
            </w:r>
          </w:p>
        </w:tc>
        <w:tc>
          <w:tcPr>
            <w:tcW w:w="853" w:type="dxa"/>
          </w:tcPr>
          <w:p>
            <w:pPr>
              <w:pStyle w:val="TableParagraph"/>
              <w:spacing w:line="260" w:lineRule="exact"/>
              <w:ind w:left="258"/>
              <w:jc w:val="left"/>
              <w:rPr>
                <w:rFonts w:ascii="Palatino Linotype"/>
                <w:b/>
                <w:sz w:val="20"/>
              </w:rPr>
            </w:pPr>
            <w:r>
              <w:rPr>
                <w:rFonts w:ascii="Palatino Linotype"/>
                <w:b/>
                <w:color w:val="231F20"/>
                <w:sz w:val="20"/>
              </w:rPr>
              <w:t>78.3</w:t>
            </w:r>
          </w:p>
        </w:tc>
        <w:tc>
          <w:tcPr>
            <w:tcW w:w="931" w:type="dxa"/>
          </w:tcPr>
          <w:p>
            <w:pPr>
              <w:pStyle w:val="TableParagraph"/>
              <w:spacing w:before="13"/>
              <w:ind w:right="316"/>
              <w:jc w:val="right"/>
              <w:rPr>
                <w:sz w:val="20"/>
              </w:rPr>
            </w:pPr>
            <w:r>
              <w:rPr>
                <w:color w:val="231F20"/>
                <w:w w:val="95"/>
                <w:sz w:val="20"/>
              </w:rPr>
              <w:t>77.3</w:t>
            </w:r>
          </w:p>
        </w:tc>
        <w:tc>
          <w:tcPr>
            <w:tcW w:w="1319" w:type="dxa"/>
          </w:tcPr>
          <w:p>
            <w:pPr>
              <w:pStyle w:val="TableParagraph"/>
              <w:spacing w:before="13"/>
              <w:ind w:left="238" w:right="237"/>
              <w:rPr>
                <w:sz w:val="20"/>
              </w:rPr>
            </w:pPr>
            <w:r>
              <w:rPr>
                <w:color w:val="231F20"/>
                <w:sz w:val="20"/>
              </w:rPr>
              <w:t>80.6</w:t>
            </w:r>
          </w:p>
        </w:tc>
        <w:tc>
          <w:tcPr>
            <w:tcW w:w="900" w:type="dxa"/>
          </w:tcPr>
          <w:p>
            <w:pPr>
              <w:pStyle w:val="TableParagraph"/>
              <w:spacing w:line="260" w:lineRule="exact"/>
              <w:ind w:right="244"/>
              <w:jc w:val="right"/>
              <w:rPr>
                <w:rFonts w:ascii="Palatino Linotype"/>
                <w:b/>
                <w:sz w:val="20"/>
              </w:rPr>
            </w:pPr>
            <w:r>
              <w:rPr>
                <w:rFonts w:ascii="Palatino Linotype"/>
                <w:b/>
                <w:color w:val="231F20"/>
                <w:sz w:val="20"/>
              </w:rPr>
              <w:t>23.4</w:t>
            </w:r>
          </w:p>
        </w:tc>
        <w:tc>
          <w:tcPr>
            <w:tcW w:w="949" w:type="dxa"/>
          </w:tcPr>
          <w:p>
            <w:pPr>
              <w:pStyle w:val="TableParagraph"/>
              <w:spacing w:before="13"/>
              <w:ind w:left="186" w:right="234"/>
              <w:rPr>
                <w:sz w:val="20"/>
              </w:rPr>
            </w:pPr>
            <w:r>
              <w:rPr>
                <w:color w:val="231F20"/>
                <w:sz w:val="20"/>
              </w:rPr>
              <w:t>22.7</w:t>
            </w:r>
          </w:p>
        </w:tc>
        <w:tc>
          <w:tcPr>
            <w:tcW w:w="1401" w:type="dxa"/>
          </w:tcPr>
          <w:p>
            <w:pPr>
              <w:pStyle w:val="TableParagraph"/>
              <w:spacing w:before="13"/>
              <w:ind w:left="252" w:right="301"/>
              <w:rPr>
                <w:sz w:val="20"/>
              </w:rPr>
            </w:pPr>
            <w:r>
              <w:rPr>
                <w:color w:val="231F20"/>
                <w:sz w:val="20"/>
              </w:rPr>
              <w:t>19.4</w:t>
            </w:r>
          </w:p>
        </w:tc>
      </w:tr>
      <w:tr>
        <w:trPr>
          <w:trHeight w:val="305" w:hRule="exact"/>
        </w:trPr>
        <w:tc>
          <w:tcPr>
            <w:tcW w:w="840" w:type="dxa"/>
          </w:tcPr>
          <w:p>
            <w:pPr>
              <w:pStyle w:val="TableParagraph"/>
              <w:spacing w:before="13"/>
              <w:ind w:left="200" w:right="193"/>
              <w:rPr>
                <w:sz w:val="20"/>
              </w:rPr>
            </w:pPr>
            <w:r>
              <w:rPr>
                <w:color w:val="231F20"/>
                <w:sz w:val="20"/>
              </w:rPr>
              <w:t>2007</w:t>
            </w:r>
          </w:p>
        </w:tc>
        <w:tc>
          <w:tcPr>
            <w:tcW w:w="853" w:type="dxa"/>
          </w:tcPr>
          <w:p>
            <w:pPr>
              <w:pStyle w:val="TableParagraph"/>
              <w:spacing w:line="260" w:lineRule="exact"/>
              <w:ind w:left="258"/>
              <w:jc w:val="left"/>
              <w:rPr>
                <w:rFonts w:ascii="Palatino Linotype"/>
                <w:b/>
                <w:sz w:val="20"/>
              </w:rPr>
            </w:pPr>
            <w:r>
              <w:rPr>
                <w:rFonts w:ascii="Palatino Linotype"/>
                <w:b/>
                <w:color w:val="231F20"/>
                <w:sz w:val="20"/>
              </w:rPr>
              <w:t>80.0</w:t>
            </w:r>
          </w:p>
        </w:tc>
        <w:tc>
          <w:tcPr>
            <w:tcW w:w="931" w:type="dxa"/>
          </w:tcPr>
          <w:p>
            <w:pPr>
              <w:pStyle w:val="TableParagraph"/>
              <w:spacing w:before="13"/>
              <w:ind w:right="316"/>
              <w:jc w:val="right"/>
              <w:rPr>
                <w:sz w:val="20"/>
              </w:rPr>
            </w:pPr>
            <w:r>
              <w:rPr>
                <w:color w:val="231F20"/>
                <w:w w:val="95"/>
                <w:sz w:val="20"/>
              </w:rPr>
              <w:t>79.6</w:t>
            </w:r>
          </w:p>
        </w:tc>
        <w:tc>
          <w:tcPr>
            <w:tcW w:w="1319" w:type="dxa"/>
          </w:tcPr>
          <w:p>
            <w:pPr>
              <w:pStyle w:val="TableParagraph"/>
              <w:spacing w:before="13"/>
              <w:ind w:left="238" w:right="237"/>
              <w:rPr>
                <w:sz w:val="20"/>
              </w:rPr>
            </w:pPr>
            <w:r>
              <w:rPr>
                <w:color w:val="231F20"/>
                <w:sz w:val="20"/>
              </w:rPr>
              <w:t>80.9</w:t>
            </w:r>
          </w:p>
        </w:tc>
        <w:tc>
          <w:tcPr>
            <w:tcW w:w="900" w:type="dxa"/>
          </w:tcPr>
          <w:p>
            <w:pPr>
              <w:pStyle w:val="TableParagraph"/>
              <w:spacing w:line="260" w:lineRule="exact"/>
              <w:ind w:right="245"/>
              <w:jc w:val="right"/>
              <w:rPr>
                <w:rFonts w:ascii="Palatino Linotype"/>
                <w:b/>
                <w:sz w:val="20"/>
              </w:rPr>
            </w:pPr>
            <w:r>
              <w:rPr>
                <w:rFonts w:ascii="Palatino Linotype"/>
                <w:b/>
                <w:color w:val="231F20"/>
                <w:sz w:val="20"/>
              </w:rPr>
              <w:t>21.6</w:t>
            </w:r>
          </w:p>
        </w:tc>
        <w:tc>
          <w:tcPr>
            <w:tcW w:w="949" w:type="dxa"/>
          </w:tcPr>
          <w:p>
            <w:pPr>
              <w:pStyle w:val="TableParagraph"/>
              <w:spacing w:before="13"/>
              <w:ind w:left="186" w:right="234"/>
              <w:rPr>
                <w:sz w:val="20"/>
              </w:rPr>
            </w:pPr>
            <w:r>
              <w:rPr>
                <w:color w:val="231F20"/>
                <w:sz w:val="20"/>
              </w:rPr>
              <w:t>20.4</w:t>
            </w:r>
          </w:p>
        </w:tc>
        <w:tc>
          <w:tcPr>
            <w:tcW w:w="1401" w:type="dxa"/>
          </w:tcPr>
          <w:p>
            <w:pPr>
              <w:pStyle w:val="TableParagraph"/>
              <w:spacing w:before="13"/>
              <w:ind w:left="252" w:right="300"/>
              <w:rPr>
                <w:sz w:val="20"/>
              </w:rPr>
            </w:pPr>
            <w:r>
              <w:rPr>
                <w:color w:val="231F20"/>
                <w:sz w:val="20"/>
              </w:rPr>
              <w:t>19.2</w:t>
            </w:r>
          </w:p>
        </w:tc>
      </w:tr>
      <w:tr>
        <w:trPr>
          <w:trHeight w:val="305" w:hRule="exact"/>
        </w:trPr>
        <w:tc>
          <w:tcPr>
            <w:tcW w:w="840" w:type="dxa"/>
          </w:tcPr>
          <w:p>
            <w:pPr>
              <w:pStyle w:val="TableParagraph"/>
              <w:spacing w:before="13"/>
              <w:ind w:left="200" w:right="193"/>
              <w:rPr>
                <w:sz w:val="20"/>
              </w:rPr>
            </w:pPr>
            <w:r>
              <w:rPr>
                <w:color w:val="231F20"/>
                <w:sz w:val="20"/>
              </w:rPr>
              <w:t>2008</w:t>
            </w:r>
          </w:p>
        </w:tc>
        <w:tc>
          <w:tcPr>
            <w:tcW w:w="853" w:type="dxa"/>
          </w:tcPr>
          <w:p>
            <w:pPr>
              <w:pStyle w:val="TableParagraph"/>
              <w:spacing w:line="260" w:lineRule="exact"/>
              <w:ind w:left="258"/>
              <w:jc w:val="left"/>
              <w:rPr>
                <w:rFonts w:ascii="Palatino Linotype"/>
                <w:b/>
                <w:sz w:val="20"/>
              </w:rPr>
            </w:pPr>
            <w:r>
              <w:rPr>
                <w:rFonts w:ascii="Palatino Linotype"/>
                <w:b/>
                <w:color w:val="231F20"/>
                <w:sz w:val="20"/>
              </w:rPr>
              <w:t>78.7</w:t>
            </w:r>
          </w:p>
        </w:tc>
        <w:tc>
          <w:tcPr>
            <w:tcW w:w="931" w:type="dxa"/>
          </w:tcPr>
          <w:p>
            <w:pPr>
              <w:pStyle w:val="TableParagraph"/>
              <w:spacing w:before="13"/>
              <w:ind w:right="316"/>
              <w:jc w:val="right"/>
              <w:rPr>
                <w:sz w:val="20"/>
              </w:rPr>
            </w:pPr>
            <w:r>
              <w:rPr>
                <w:color w:val="231F20"/>
                <w:w w:val="95"/>
                <w:sz w:val="20"/>
              </w:rPr>
              <w:t>79.5</w:t>
            </w:r>
          </w:p>
        </w:tc>
        <w:tc>
          <w:tcPr>
            <w:tcW w:w="1319" w:type="dxa"/>
          </w:tcPr>
          <w:p>
            <w:pPr>
              <w:pStyle w:val="TableParagraph"/>
              <w:spacing w:before="13"/>
              <w:ind w:left="238" w:right="236"/>
              <w:rPr>
                <w:sz w:val="20"/>
              </w:rPr>
            </w:pPr>
            <w:r>
              <w:rPr>
                <w:color w:val="231F20"/>
                <w:sz w:val="20"/>
              </w:rPr>
              <w:t>77.0</w:t>
            </w:r>
          </w:p>
        </w:tc>
        <w:tc>
          <w:tcPr>
            <w:tcW w:w="900" w:type="dxa"/>
          </w:tcPr>
          <w:p>
            <w:pPr>
              <w:pStyle w:val="TableParagraph"/>
              <w:spacing w:line="260" w:lineRule="exact"/>
              <w:ind w:right="243"/>
              <w:jc w:val="right"/>
              <w:rPr>
                <w:rFonts w:ascii="Palatino Linotype"/>
                <w:b/>
                <w:sz w:val="20"/>
              </w:rPr>
            </w:pPr>
            <w:r>
              <w:rPr>
                <w:rFonts w:ascii="Palatino Linotype"/>
                <w:b/>
                <w:color w:val="231F20"/>
                <w:sz w:val="20"/>
              </w:rPr>
              <w:t>23.7</w:t>
            </w:r>
          </w:p>
        </w:tc>
        <w:tc>
          <w:tcPr>
            <w:tcW w:w="949" w:type="dxa"/>
          </w:tcPr>
          <w:p>
            <w:pPr>
              <w:pStyle w:val="TableParagraph"/>
              <w:spacing w:before="13"/>
              <w:ind w:left="186" w:right="233"/>
              <w:rPr>
                <w:sz w:val="20"/>
              </w:rPr>
            </w:pPr>
            <w:r>
              <w:rPr>
                <w:color w:val="231F20"/>
                <w:sz w:val="20"/>
              </w:rPr>
              <w:t>20.5</w:t>
            </w:r>
          </w:p>
        </w:tc>
        <w:tc>
          <w:tcPr>
            <w:tcW w:w="1401" w:type="dxa"/>
          </w:tcPr>
          <w:p>
            <w:pPr>
              <w:pStyle w:val="TableParagraph"/>
              <w:spacing w:before="13"/>
              <w:ind w:left="252" w:right="300"/>
              <w:rPr>
                <w:sz w:val="20"/>
              </w:rPr>
            </w:pPr>
            <w:r>
              <w:rPr>
                <w:color w:val="231F20"/>
                <w:sz w:val="20"/>
              </w:rPr>
              <w:t>23.0</w:t>
            </w:r>
          </w:p>
        </w:tc>
      </w:tr>
      <w:tr>
        <w:trPr>
          <w:trHeight w:val="305" w:hRule="exact"/>
        </w:trPr>
        <w:tc>
          <w:tcPr>
            <w:tcW w:w="840" w:type="dxa"/>
          </w:tcPr>
          <w:p>
            <w:pPr>
              <w:pStyle w:val="TableParagraph"/>
              <w:spacing w:before="13"/>
              <w:ind w:left="200" w:right="192"/>
              <w:rPr>
                <w:sz w:val="20"/>
              </w:rPr>
            </w:pPr>
            <w:r>
              <w:rPr>
                <w:color w:val="231F20"/>
                <w:sz w:val="20"/>
              </w:rPr>
              <w:t>2009</w:t>
            </w:r>
          </w:p>
        </w:tc>
        <w:tc>
          <w:tcPr>
            <w:tcW w:w="853" w:type="dxa"/>
          </w:tcPr>
          <w:p>
            <w:pPr>
              <w:pStyle w:val="TableParagraph"/>
              <w:spacing w:line="260" w:lineRule="exact"/>
              <w:ind w:left="259"/>
              <w:jc w:val="left"/>
              <w:rPr>
                <w:rFonts w:ascii="Palatino Linotype"/>
                <w:b/>
                <w:sz w:val="20"/>
              </w:rPr>
            </w:pPr>
            <w:r>
              <w:rPr>
                <w:rFonts w:ascii="Palatino Linotype"/>
                <w:b/>
                <w:color w:val="231F20"/>
                <w:sz w:val="20"/>
              </w:rPr>
              <w:t>81.4</w:t>
            </w:r>
          </w:p>
        </w:tc>
        <w:tc>
          <w:tcPr>
            <w:tcW w:w="931" w:type="dxa"/>
          </w:tcPr>
          <w:p>
            <w:pPr>
              <w:pStyle w:val="TableParagraph"/>
              <w:spacing w:before="13"/>
              <w:ind w:right="315"/>
              <w:jc w:val="right"/>
              <w:rPr>
                <w:sz w:val="20"/>
              </w:rPr>
            </w:pPr>
            <w:r>
              <w:rPr>
                <w:color w:val="231F20"/>
                <w:w w:val="95"/>
                <w:sz w:val="20"/>
              </w:rPr>
              <w:t>80.3</w:t>
            </w:r>
          </w:p>
        </w:tc>
        <w:tc>
          <w:tcPr>
            <w:tcW w:w="1319" w:type="dxa"/>
          </w:tcPr>
          <w:p>
            <w:pPr>
              <w:pStyle w:val="TableParagraph"/>
              <w:spacing w:before="13"/>
              <w:ind w:left="238" w:right="236"/>
              <w:rPr>
                <w:sz w:val="20"/>
              </w:rPr>
            </w:pPr>
            <w:r>
              <w:rPr>
                <w:color w:val="231F20"/>
                <w:sz w:val="20"/>
              </w:rPr>
              <w:t>83.6</w:t>
            </w:r>
          </w:p>
        </w:tc>
        <w:tc>
          <w:tcPr>
            <w:tcW w:w="900" w:type="dxa"/>
          </w:tcPr>
          <w:p>
            <w:pPr>
              <w:pStyle w:val="TableParagraph"/>
              <w:spacing w:line="260" w:lineRule="exact"/>
              <w:ind w:right="243"/>
              <w:jc w:val="right"/>
              <w:rPr>
                <w:rFonts w:ascii="Palatino Linotype"/>
                <w:b/>
                <w:sz w:val="20"/>
              </w:rPr>
            </w:pPr>
            <w:r>
              <w:rPr>
                <w:rFonts w:ascii="Palatino Linotype"/>
                <w:b/>
                <w:color w:val="231F20"/>
                <w:sz w:val="20"/>
              </w:rPr>
              <w:t>18.6</w:t>
            </w:r>
          </w:p>
        </w:tc>
        <w:tc>
          <w:tcPr>
            <w:tcW w:w="949" w:type="dxa"/>
          </w:tcPr>
          <w:p>
            <w:pPr>
              <w:pStyle w:val="TableParagraph"/>
              <w:spacing w:before="13"/>
              <w:ind w:left="186" w:right="233"/>
              <w:rPr>
                <w:sz w:val="20"/>
              </w:rPr>
            </w:pPr>
            <w:r>
              <w:rPr>
                <w:color w:val="231F20"/>
                <w:sz w:val="20"/>
              </w:rPr>
              <w:t>19.7</w:t>
            </w:r>
          </w:p>
        </w:tc>
        <w:tc>
          <w:tcPr>
            <w:tcW w:w="1401" w:type="dxa"/>
          </w:tcPr>
          <w:p>
            <w:pPr>
              <w:pStyle w:val="TableParagraph"/>
              <w:spacing w:before="13"/>
              <w:ind w:left="252" w:right="301"/>
              <w:rPr>
                <w:sz w:val="20"/>
              </w:rPr>
            </w:pPr>
            <w:r>
              <w:rPr>
                <w:color w:val="231F20"/>
                <w:sz w:val="20"/>
              </w:rPr>
              <w:t>16.4</w:t>
            </w:r>
          </w:p>
        </w:tc>
      </w:tr>
      <w:tr>
        <w:trPr>
          <w:trHeight w:val="305" w:hRule="exact"/>
        </w:trPr>
        <w:tc>
          <w:tcPr>
            <w:tcW w:w="840" w:type="dxa"/>
          </w:tcPr>
          <w:p>
            <w:pPr>
              <w:pStyle w:val="TableParagraph"/>
              <w:spacing w:before="13"/>
              <w:ind w:left="200" w:right="192"/>
              <w:rPr>
                <w:sz w:val="20"/>
              </w:rPr>
            </w:pPr>
            <w:r>
              <w:rPr>
                <w:color w:val="231F20"/>
                <w:sz w:val="20"/>
              </w:rPr>
              <w:t>2010</w:t>
            </w:r>
          </w:p>
        </w:tc>
        <w:tc>
          <w:tcPr>
            <w:tcW w:w="853" w:type="dxa"/>
          </w:tcPr>
          <w:p>
            <w:pPr>
              <w:pStyle w:val="TableParagraph"/>
              <w:spacing w:line="260" w:lineRule="exact"/>
              <w:ind w:left="259"/>
              <w:jc w:val="left"/>
              <w:rPr>
                <w:rFonts w:ascii="Palatino Linotype"/>
                <w:b/>
                <w:sz w:val="20"/>
              </w:rPr>
            </w:pPr>
            <w:r>
              <w:rPr>
                <w:rFonts w:ascii="Palatino Linotype"/>
                <w:b/>
                <w:color w:val="231F20"/>
                <w:sz w:val="20"/>
              </w:rPr>
              <w:t>82.9</w:t>
            </w:r>
          </w:p>
        </w:tc>
        <w:tc>
          <w:tcPr>
            <w:tcW w:w="931" w:type="dxa"/>
          </w:tcPr>
          <w:p>
            <w:pPr>
              <w:pStyle w:val="TableParagraph"/>
              <w:spacing w:before="13"/>
              <w:ind w:right="315"/>
              <w:jc w:val="right"/>
              <w:rPr>
                <w:sz w:val="20"/>
              </w:rPr>
            </w:pPr>
            <w:r>
              <w:rPr>
                <w:color w:val="231F20"/>
                <w:w w:val="95"/>
                <w:sz w:val="20"/>
              </w:rPr>
              <w:t>80.9</w:t>
            </w:r>
          </w:p>
        </w:tc>
        <w:tc>
          <w:tcPr>
            <w:tcW w:w="1319" w:type="dxa"/>
          </w:tcPr>
          <w:p>
            <w:pPr>
              <w:pStyle w:val="TableParagraph"/>
              <w:spacing w:before="13"/>
              <w:ind w:left="238" w:right="236"/>
              <w:rPr>
                <w:sz w:val="20"/>
              </w:rPr>
            </w:pPr>
            <w:r>
              <w:rPr>
                <w:color w:val="231F20"/>
                <w:sz w:val="20"/>
              </w:rPr>
              <w:t>86.5</w:t>
            </w:r>
          </w:p>
        </w:tc>
        <w:tc>
          <w:tcPr>
            <w:tcW w:w="900" w:type="dxa"/>
          </w:tcPr>
          <w:p>
            <w:pPr>
              <w:pStyle w:val="TableParagraph"/>
              <w:spacing w:line="260" w:lineRule="exact"/>
              <w:ind w:right="243"/>
              <w:jc w:val="right"/>
              <w:rPr>
                <w:rFonts w:ascii="Palatino Linotype"/>
                <w:b/>
                <w:sz w:val="20"/>
              </w:rPr>
            </w:pPr>
            <w:r>
              <w:rPr>
                <w:rFonts w:ascii="Palatino Linotype"/>
                <w:b/>
                <w:color w:val="231F20"/>
                <w:sz w:val="20"/>
              </w:rPr>
              <w:t>17.1</w:t>
            </w:r>
          </w:p>
        </w:tc>
        <w:tc>
          <w:tcPr>
            <w:tcW w:w="949" w:type="dxa"/>
          </w:tcPr>
          <w:p>
            <w:pPr>
              <w:pStyle w:val="TableParagraph"/>
              <w:spacing w:before="13"/>
              <w:ind w:left="186" w:right="233"/>
              <w:rPr>
                <w:sz w:val="20"/>
              </w:rPr>
            </w:pPr>
            <w:r>
              <w:rPr>
                <w:color w:val="231F20"/>
                <w:sz w:val="20"/>
              </w:rPr>
              <w:t>19.1</w:t>
            </w:r>
          </w:p>
        </w:tc>
        <w:tc>
          <w:tcPr>
            <w:tcW w:w="1401" w:type="dxa"/>
          </w:tcPr>
          <w:p>
            <w:pPr>
              <w:pStyle w:val="TableParagraph"/>
              <w:spacing w:before="13"/>
              <w:ind w:left="252" w:right="299"/>
              <w:rPr>
                <w:sz w:val="20"/>
              </w:rPr>
            </w:pPr>
            <w:r>
              <w:rPr>
                <w:color w:val="231F20"/>
                <w:sz w:val="20"/>
              </w:rPr>
              <w:t>13.5</w:t>
            </w:r>
          </w:p>
        </w:tc>
      </w:tr>
      <w:tr>
        <w:trPr>
          <w:trHeight w:val="305" w:hRule="exact"/>
        </w:trPr>
        <w:tc>
          <w:tcPr>
            <w:tcW w:w="840" w:type="dxa"/>
          </w:tcPr>
          <w:p>
            <w:pPr>
              <w:pStyle w:val="TableParagraph"/>
              <w:spacing w:before="13"/>
              <w:ind w:left="200" w:right="192"/>
              <w:rPr>
                <w:sz w:val="20"/>
              </w:rPr>
            </w:pPr>
            <w:r>
              <w:rPr>
                <w:color w:val="231F20"/>
                <w:sz w:val="20"/>
              </w:rPr>
              <w:t>2011</w:t>
            </w:r>
          </w:p>
        </w:tc>
        <w:tc>
          <w:tcPr>
            <w:tcW w:w="853" w:type="dxa"/>
          </w:tcPr>
          <w:p>
            <w:pPr>
              <w:pStyle w:val="TableParagraph"/>
              <w:spacing w:line="260" w:lineRule="exact"/>
              <w:ind w:left="259"/>
              <w:jc w:val="left"/>
              <w:rPr>
                <w:rFonts w:ascii="Palatino Linotype"/>
                <w:b/>
                <w:sz w:val="20"/>
              </w:rPr>
            </w:pPr>
            <w:r>
              <w:rPr>
                <w:rFonts w:ascii="Palatino Linotype"/>
                <w:b/>
                <w:color w:val="231F20"/>
                <w:sz w:val="20"/>
              </w:rPr>
              <w:t>84.3</w:t>
            </w:r>
          </w:p>
        </w:tc>
        <w:tc>
          <w:tcPr>
            <w:tcW w:w="931" w:type="dxa"/>
          </w:tcPr>
          <w:p>
            <w:pPr>
              <w:pStyle w:val="TableParagraph"/>
              <w:spacing w:before="13"/>
              <w:ind w:right="315"/>
              <w:jc w:val="right"/>
              <w:rPr>
                <w:sz w:val="20"/>
              </w:rPr>
            </w:pPr>
            <w:r>
              <w:rPr>
                <w:color w:val="231F20"/>
                <w:w w:val="95"/>
                <w:sz w:val="20"/>
              </w:rPr>
              <w:t>82.1</w:t>
            </w:r>
          </w:p>
        </w:tc>
        <w:tc>
          <w:tcPr>
            <w:tcW w:w="1319" w:type="dxa"/>
          </w:tcPr>
          <w:p>
            <w:pPr>
              <w:pStyle w:val="TableParagraph"/>
              <w:spacing w:before="13"/>
              <w:ind w:left="238" w:right="235"/>
              <w:rPr>
                <w:sz w:val="20"/>
              </w:rPr>
            </w:pPr>
            <w:r>
              <w:rPr>
                <w:color w:val="231F20"/>
                <w:sz w:val="20"/>
              </w:rPr>
              <w:t>88.7</w:t>
            </w:r>
          </w:p>
        </w:tc>
        <w:tc>
          <w:tcPr>
            <w:tcW w:w="900" w:type="dxa"/>
          </w:tcPr>
          <w:p>
            <w:pPr>
              <w:pStyle w:val="TableParagraph"/>
              <w:spacing w:line="260" w:lineRule="exact"/>
              <w:ind w:right="243"/>
              <w:jc w:val="right"/>
              <w:rPr>
                <w:rFonts w:ascii="Palatino Linotype"/>
                <w:b/>
                <w:sz w:val="20"/>
              </w:rPr>
            </w:pPr>
            <w:r>
              <w:rPr>
                <w:rFonts w:ascii="Palatino Linotype"/>
                <w:b/>
                <w:color w:val="231F20"/>
                <w:sz w:val="20"/>
              </w:rPr>
              <w:t>15.7</w:t>
            </w:r>
          </w:p>
        </w:tc>
        <w:tc>
          <w:tcPr>
            <w:tcW w:w="949" w:type="dxa"/>
          </w:tcPr>
          <w:p>
            <w:pPr>
              <w:pStyle w:val="TableParagraph"/>
              <w:spacing w:before="13"/>
              <w:ind w:left="186" w:right="232"/>
              <w:rPr>
                <w:sz w:val="20"/>
              </w:rPr>
            </w:pPr>
            <w:r>
              <w:rPr>
                <w:color w:val="231F20"/>
                <w:sz w:val="20"/>
              </w:rPr>
              <w:t>17.9</w:t>
            </w:r>
          </w:p>
        </w:tc>
        <w:tc>
          <w:tcPr>
            <w:tcW w:w="1401" w:type="dxa"/>
          </w:tcPr>
          <w:p>
            <w:pPr>
              <w:pStyle w:val="TableParagraph"/>
              <w:spacing w:before="13"/>
              <w:ind w:left="252" w:right="299"/>
              <w:rPr>
                <w:sz w:val="20"/>
              </w:rPr>
            </w:pPr>
            <w:r>
              <w:rPr>
                <w:color w:val="231F20"/>
                <w:sz w:val="20"/>
              </w:rPr>
              <w:t>11.3</w:t>
            </w:r>
          </w:p>
        </w:tc>
      </w:tr>
      <w:tr>
        <w:trPr>
          <w:trHeight w:val="309" w:hRule="exact"/>
        </w:trPr>
        <w:tc>
          <w:tcPr>
            <w:tcW w:w="840" w:type="dxa"/>
          </w:tcPr>
          <w:p>
            <w:pPr>
              <w:pStyle w:val="TableParagraph"/>
              <w:spacing w:before="13"/>
              <w:ind w:left="200" w:right="191"/>
              <w:rPr>
                <w:sz w:val="20"/>
              </w:rPr>
            </w:pPr>
            <w:r>
              <w:rPr>
                <w:color w:val="231F20"/>
                <w:sz w:val="20"/>
              </w:rPr>
              <w:t>2012</w:t>
            </w:r>
          </w:p>
        </w:tc>
        <w:tc>
          <w:tcPr>
            <w:tcW w:w="853" w:type="dxa"/>
          </w:tcPr>
          <w:p>
            <w:pPr>
              <w:pStyle w:val="TableParagraph"/>
              <w:spacing w:line="260" w:lineRule="exact"/>
              <w:ind w:left="259"/>
              <w:jc w:val="left"/>
              <w:rPr>
                <w:rFonts w:ascii="Palatino Linotype"/>
                <w:b/>
                <w:sz w:val="20"/>
              </w:rPr>
            </w:pPr>
            <w:r>
              <w:rPr>
                <w:rFonts w:ascii="Palatino Linotype"/>
                <w:b/>
                <w:color w:val="231F20"/>
                <w:sz w:val="20"/>
              </w:rPr>
              <w:t>80.9</w:t>
            </w:r>
          </w:p>
        </w:tc>
        <w:tc>
          <w:tcPr>
            <w:tcW w:w="931" w:type="dxa"/>
          </w:tcPr>
          <w:p>
            <w:pPr>
              <w:pStyle w:val="TableParagraph"/>
              <w:spacing w:before="13"/>
              <w:ind w:right="315"/>
              <w:jc w:val="right"/>
              <w:rPr>
                <w:sz w:val="20"/>
              </w:rPr>
            </w:pPr>
            <w:r>
              <w:rPr>
                <w:color w:val="231F20"/>
                <w:w w:val="95"/>
                <w:sz w:val="20"/>
              </w:rPr>
              <w:t>77.2</w:t>
            </w:r>
          </w:p>
        </w:tc>
        <w:tc>
          <w:tcPr>
            <w:tcW w:w="1319" w:type="dxa"/>
          </w:tcPr>
          <w:p>
            <w:pPr>
              <w:pStyle w:val="TableParagraph"/>
              <w:spacing w:before="13"/>
              <w:ind w:left="238" w:right="235"/>
              <w:rPr>
                <w:sz w:val="20"/>
              </w:rPr>
            </w:pPr>
            <w:r>
              <w:rPr>
                <w:color w:val="231F20"/>
                <w:sz w:val="20"/>
              </w:rPr>
              <w:t>87.4</w:t>
            </w:r>
          </w:p>
        </w:tc>
        <w:tc>
          <w:tcPr>
            <w:tcW w:w="900" w:type="dxa"/>
          </w:tcPr>
          <w:p>
            <w:pPr>
              <w:pStyle w:val="TableParagraph"/>
              <w:spacing w:line="260" w:lineRule="exact"/>
              <w:ind w:right="244"/>
              <w:jc w:val="right"/>
              <w:rPr>
                <w:rFonts w:ascii="Palatino Linotype"/>
                <w:b/>
                <w:sz w:val="20"/>
              </w:rPr>
            </w:pPr>
            <w:r>
              <w:rPr>
                <w:rFonts w:ascii="Palatino Linotype"/>
                <w:b/>
                <w:color w:val="231F20"/>
                <w:sz w:val="20"/>
              </w:rPr>
              <w:t>19.1</w:t>
            </w:r>
          </w:p>
        </w:tc>
        <w:tc>
          <w:tcPr>
            <w:tcW w:w="949" w:type="dxa"/>
          </w:tcPr>
          <w:p>
            <w:pPr>
              <w:pStyle w:val="TableParagraph"/>
              <w:spacing w:before="13"/>
              <w:ind w:left="186" w:right="232"/>
              <w:rPr>
                <w:sz w:val="20"/>
              </w:rPr>
            </w:pPr>
            <w:r>
              <w:rPr>
                <w:color w:val="231F20"/>
                <w:sz w:val="20"/>
              </w:rPr>
              <w:t>22.8</w:t>
            </w:r>
          </w:p>
        </w:tc>
        <w:tc>
          <w:tcPr>
            <w:tcW w:w="1401" w:type="dxa"/>
          </w:tcPr>
          <w:p>
            <w:pPr>
              <w:pStyle w:val="TableParagraph"/>
              <w:spacing w:before="13"/>
              <w:ind w:left="252" w:right="298"/>
              <w:rPr>
                <w:sz w:val="20"/>
              </w:rPr>
            </w:pPr>
            <w:r>
              <w:rPr>
                <w:color w:val="231F20"/>
                <w:sz w:val="20"/>
              </w:rPr>
              <w:t>12.6</w:t>
            </w:r>
          </w:p>
        </w:tc>
      </w:tr>
      <w:tr>
        <w:trPr>
          <w:trHeight w:val="291" w:hRule="exact"/>
        </w:trPr>
        <w:tc>
          <w:tcPr>
            <w:tcW w:w="840" w:type="dxa"/>
            <w:tcBorders>
              <w:bottom w:val="single" w:sz="4" w:space="0" w:color="231F20"/>
            </w:tcBorders>
          </w:tcPr>
          <w:p>
            <w:pPr>
              <w:pStyle w:val="TableParagraph"/>
              <w:spacing w:before="17"/>
              <w:ind w:left="200" w:right="191"/>
              <w:rPr>
                <w:sz w:val="20"/>
              </w:rPr>
            </w:pPr>
            <w:r>
              <w:rPr>
                <w:color w:val="231F20"/>
                <w:sz w:val="20"/>
              </w:rPr>
              <w:t>2013</w:t>
            </w:r>
          </w:p>
        </w:tc>
        <w:tc>
          <w:tcPr>
            <w:tcW w:w="853" w:type="dxa"/>
            <w:tcBorders>
              <w:bottom w:val="single" w:sz="4" w:space="0" w:color="231F20"/>
            </w:tcBorders>
          </w:tcPr>
          <w:p>
            <w:pPr>
              <w:pStyle w:val="TableParagraph"/>
              <w:spacing w:line="263" w:lineRule="exact"/>
              <w:ind w:left="259"/>
              <w:jc w:val="left"/>
              <w:rPr>
                <w:rFonts w:ascii="Palatino Linotype"/>
                <w:b/>
                <w:sz w:val="20"/>
              </w:rPr>
            </w:pPr>
            <w:r>
              <w:rPr>
                <w:rFonts w:ascii="Palatino Linotype"/>
                <w:b/>
                <w:color w:val="231F20"/>
                <w:sz w:val="20"/>
              </w:rPr>
              <w:t>83.7</w:t>
            </w:r>
          </w:p>
        </w:tc>
        <w:tc>
          <w:tcPr>
            <w:tcW w:w="931" w:type="dxa"/>
            <w:tcBorders>
              <w:bottom w:val="single" w:sz="4" w:space="0" w:color="231F20"/>
            </w:tcBorders>
          </w:tcPr>
          <w:p>
            <w:pPr>
              <w:pStyle w:val="TableParagraph"/>
              <w:spacing w:before="17"/>
              <w:ind w:right="315"/>
              <w:jc w:val="right"/>
              <w:rPr>
                <w:sz w:val="20"/>
              </w:rPr>
            </w:pPr>
            <w:r>
              <w:rPr>
                <w:color w:val="231F20"/>
                <w:w w:val="95"/>
                <w:sz w:val="20"/>
              </w:rPr>
              <w:t>80.1</w:t>
            </w:r>
          </w:p>
        </w:tc>
        <w:tc>
          <w:tcPr>
            <w:tcW w:w="1319" w:type="dxa"/>
            <w:tcBorders>
              <w:bottom w:val="single" w:sz="4" w:space="0" w:color="231F20"/>
            </w:tcBorders>
          </w:tcPr>
          <w:p>
            <w:pPr>
              <w:pStyle w:val="TableParagraph"/>
              <w:spacing w:before="17"/>
              <w:ind w:left="238" w:right="234"/>
              <w:rPr>
                <w:sz w:val="20"/>
              </w:rPr>
            </w:pPr>
            <w:r>
              <w:rPr>
                <w:color w:val="231F20"/>
                <w:sz w:val="20"/>
              </w:rPr>
              <w:t>89.1</w:t>
            </w:r>
          </w:p>
        </w:tc>
        <w:tc>
          <w:tcPr>
            <w:tcW w:w="900" w:type="dxa"/>
            <w:tcBorders>
              <w:bottom w:val="single" w:sz="4" w:space="0" w:color="231F20"/>
            </w:tcBorders>
          </w:tcPr>
          <w:p>
            <w:pPr>
              <w:pStyle w:val="TableParagraph"/>
              <w:spacing w:line="263" w:lineRule="exact"/>
              <w:ind w:right="242"/>
              <w:jc w:val="right"/>
              <w:rPr>
                <w:rFonts w:ascii="Palatino Linotype"/>
                <w:b/>
                <w:sz w:val="20"/>
              </w:rPr>
            </w:pPr>
            <w:r>
              <w:rPr>
                <w:rFonts w:ascii="Palatino Linotype"/>
                <w:b/>
                <w:color w:val="231F20"/>
                <w:sz w:val="20"/>
              </w:rPr>
              <w:t>16.3</w:t>
            </w:r>
          </w:p>
        </w:tc>
        <w:tc>
          <w:tcPr>
            <w:tcW w:w="949" w:type="dxa"/>
            <w:tcBorders>
              <w:bottom w:val="single" w:sz="4" w:space="0" w:color="231F20"/>
            </w:tcBorders>
          </w:tcPr>
          <w:p>
            <w:pPr>
              <w:pStyle w:val="TableParagraph"/>
              <w:spacing w:before="17"/>
              <w:ind w:left="186" w:right="231"/>
              <w:rPr>
                <w:sz w:val="20"/>
              </w:rPr>
            </w:pPr>
            <w:r>
              <w:rPr>
                <w:color w:val="231F20"/>
                <w:sz w:val="20"/>
              </w:rPr>
              <w:t>19.9</w:t>
            </w:r>
          </w:p>
        </w:tc>
        <w:tc>
          <w:tcPr>
            <w:tcW w:w="1401" w:type="dxa"/>
            <w:tcBorders>
              <w:bottom w:val="single" w:sz="4" w:space="0" w:color="231F20"/>
            </w:tcBorders>
          </w:tcPr>
          <w:p>
            <w:pPr>
              <w:pStyle w:val="TableParagraph"/>
              <w:spacing w:before="17"/>
              <w:ind w:left="252" w:right="298"/>
              <w:rPr>
                <w:sz w:val="20"/>
              </w:rPr>
            </w:pPr>
            <w:r>
              <w:rPr>
                <w:color w:val="231F20"/>
                <w:sz w:val="20"/>
              </w:rPr>
              <w:t>10.9</w:t>
            </w:r>
          </w:p>
        </w:tc>
      </w:tr>
    </w:tbl>
    <w:p>
      <w:pPr>
        <w:pStyle w:val="BodyText"/>
        <w:spacing w:before="4"/>
        <w:rPr>
          <w:rFonts w:ascii="Palatino Linotype"/>
          <w:b/>
          <w:sz w:val="9"/>
        </w:rPr>
      </w:pPr>
    </w:p>
    <w:p>
      <w:pPr>
        <w:spacing w:before="62"/>
        <w:ind w:left="653" w:right="673" w:firstLine="0"/>
        <w:jc w:val="left"/>
        <w:rPr>
          <w:sz w:val="19"/>
        </w:rPr>
      </w:pPr>
      <w:r>
        <w:rPr>
          <w:color w:val="231F20"/>
          <w:sz w:val="19"/>
        </w:rPr>
        <w:t>Nota: Las cifras de 2010 no incluyen los meses de julio y agosto.</w:t>
      </w:r>
    </w:p>
    <w:p>
      <w:pPr>
        <w:spacing w:before="39"/>
        <w:ind w:left="653" w:right="673" w:firstLine="0"/>
        <w:jc w:val="left"/>
        <w:rPr>
          <w:sz w:val="19"/>
        </w:rPr>
      </w:pPr>
      <w:r>
        <w:rPr>
          <w:rFonts w:ascii="Palatino Linotype" w:hAnsi="Palatino Linotype"/>
          <w:i/>
          <w:color w:val="231F20"/>
          <w:sz w:val="19"/>
        </w:rPr>
        <w:t>Fuente: </w:t>
      </w:r>
      <w:r>
        <w:rPr>
          <w:color w:val="231F20"/>
          <w:sz w:val="19"/>
        </w:rPr>
        <w:t>Elaboración propia con datos de AMIA (2014).</w:t>
      </w:r>
    </w:p>
    <w:p>
      <w:pPr>
        <w:spacing w:after="0"/>
        <w:jc w:val="left"/>
        <w:rPr>
          <w:sz w:val="19"/>
        </w:rPr>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03" w:right="652"/>
        <w:jc w:val="both"/>
      </w:pPr>
      <w:r>
        <w:rPr>
          <w:color w:val="231F20"/>
        </w:rPr>
        <w:t>El cambio en la producción de camiones ha sido mucho más drástico: en 1988 sólo 19.3%</w:t>
      </w:r>
      <w:r>
        <w:rPr>
          <w:color w:val="231F20"/>
          <w:spacing w:val="-17"/>
        </w:rPr>
        <w:t> </w:t>
      </w:r>
      <w:r>
        <w:rPr>
          <w:color w:val="231F20"/>
        </w:rPr>
        <w:t>se</w:t>
      </w:r>
      <w:r>
        <w:rPr>
          <w:color w:val="231F20"/>
          <w:spacing w:val="-17"/>
        </w:rPr>
        <w:t> </w:t>
      </w:r>
      <w:r>
        <w:rPr>
          <w:color w:val="231F20"/>
        </w:rPr>
        <w:t>exportaba</w:t>
      </w:r>
      <w:r>
        <w:rPr>
          <w:color w:val="231F20"/>
          <w:spacing w:val="-17"/>
        </w:rPr>
        <w:t> </w:t>
      </w:r>
      <w:r>
        <w:rPr>
          <w:color w:val="231F20"/>
        </w:rPr>
        <w:t>y</w:t>
      </w:r>
      <w:r>
        <w:rPr>
          <w:color w:val="231F20"/>
          <w:spacing w:val="-17"/>
        </w:rPr>
        <w:t> </w:t>
      </w:r>
      <w:r>
        <w:rPr>
          <w:color w:val="231F20"/>
        </w:rPr>
        <w:t>80.7%</w:t>
      </w:r>
      <w:r>
        <w:rPr>
          <w:color w:val="231F20"/>
          <w:spacing w:val="-17"/>
        </w:rPr>
        <w:t> </w:t>
      </w:r>
      <w:r>
        <w:rPr>
          <w:color w:val="231F20"/>
        </w:rPr>
        <w:t>era</w:t>
      </w:r>
      <w:r>
        <w:rPr>
          <w:color w:val="231F20"/>
          <w:spacing w:val="-17"/>
        </w:rPr>
        <w:t> </w:t>
      </w:r>
      <w:r>
        <w:rPr>
          <w:color w:val="231F20"/>
        </w:rPr>
        <w:t>para</w:t>
      </w:r>
      <w:r>
        <w:rPr>
          <w:color w:val="231F20"/>
          <w:spacing w:val="-17"/>
        </w:rPr>
        <w:t> </w:t>
      </w:r>
      <w:r>
        <w:rPr>
          <w:color w:val="231F20"/>
        </w:rPr>
        <w:t>mercado</w:t>
      </w:r>
      <w:r>
        <w:rPr>
          <w:color w:val="231F20"/>
          <w:spacing w:val="-17"/>
        </w:rPr>
        <w:t> </w:t>
      </w:r>
      <w:r>
        <w:rPr>
          <w:color w:val="231F20"/>
        </w:rPr>
        <w:t>nacional;</w:t>
      </w:r>
      <w:r>
        <w:rPr>
          <w:color w:val="231F20"/>
          <w:spacing w:val="-17"/>
        </w:rPr>
        <w:t> </w:t>
      </w:r>
      <w:r>
        <w:rPr>
          <w:color w:val="231F20"/>
        </w:rPr>
        <w:t>mientras</w:t>
      </w:r>
      <w:r>
        <w:rPr>
          <w:color w:val="231F20"/>
          <w:spacing w:val="-17"/>
        </w:rPr>
        <w:t> </w:t>
      </w:r>
      <w:r>
        <w:rPr>
          <w:color w:val="231F20"/>
        </w:rPr>
        <w:t>que</w:t>
      </w:r>
      <w:r>
        <w:rPr>
          <w:color w:val="231F20"/>
          <w:spacing w:val="-17"/>
        </w:rPr>
        <w:t> </w:t>
      </w:r>
      <w:r>
        <w:rPr>
          <w:color w:val="231F20"/>
        </w:rPr>
        <w:t>en</w:t>
      </w:r>
      <w:r>
        <w:rPr>
          <w:color w:val="231F20"/>
          <w:spacing w:val="-17"/>
        </w:rPr>
        <w:t> </w:t>
      </w:r>
      <w:r>
        <w:rPr>
          <w:color w:val="231F20"/>
        </w:rPr>
        <w:t>2013</w:t>
      </w:r>
      <w:r>
        <w:rPr>
          <w:color w:val="231F20"/>
          <w:spacing w:val="-17"/>
        </w:rPr>
        <w:t> </w:t>
      </w:r>
      <w:r>
        <w:rPr>
          <w:color w:val="231F20"/>
        </w:rPr>
        <w:t>el</w:t>
      </w:r>
      <w:r>
        <w:rPr>
          <w:color w:val="231F20"/>
          <w:spacing w:val="-17"/>
        </w:rPr>
        <w:t> </w:t>
      </w:r>
      <w:r>
        <w:rPr>
          <w:color w:val="231F20"/>
        </w:rPr>
        <w:t>merca- do</w:t>
      </w:r>
      <w:r>
        <w:rPr>
          <w:color w:val="231F20"/>
          <w:spacing w:val="-5"/>
        </w:rPr>
        <w:t> </w:t>
      </w:r>
      <w:r>
        <w:rPr>
          <w:color w:val="231F20"/>
        </w:rPr>
        <w:t>nacional</w:t>
      </w:r>
      <w:r>
        <w:rPr>
          <w:color w:val="231F20"/>
          <w:spacing w:val="-5"/>
        </w:rPr>
        <w:t> </w:t>
      </w:r>
      <w:r>
        <w:rPr>
          <w:color w:val="231F20"/>
        </w:rPr>
        <w:t>de</w:t>
      </w:r>
      <w:r>
        <w:rPr>
          <w:color w:val="231F20"/>
          <w:spacing w:val="-5"/>
        </w:rPr>
        <w:t> </w:t>
      </w:r>
      <w:r>
        <w:rPr>
          <w:color w:val="231F20"/>
        </w:rPr>
        <w:t>camiones</w:t>
      </w:r>
      <w:r>
        <w:rPr>
          <w:color w:val="231F20"/>
          <w:spacing w:val="-5"/>
        </w:rPr>
        <w:t> </w:t>
      </w:r>
      <w:r>
        <w:rPr>
          <w:color w:val="231F20"/>
        </w:rPr>
        <w:t>se</w:t>
      </w:r>
      <w:r>
        <w:rPr>
          <w:color w:val="231F20"/>
          <w:spacing w:val="-5"/>
        </w:rPr>
        <w:t> </w:t>
      </w:r>
      <w:r>
        <w:rPr>
          <w:color w:val="231F20"/>
        </w:rPr>
        <w:t>redujo</w:t>
      </w:r>
      <w:r>
        <w:rPr>
          <w:color w:val="231F20"/>
          <w:spacing w:val="-5"/>
        </w:rPr>
        <w:t> </w:t>
      </w:r>
      <w:r>
        <w:rPr>
          <w:color w:val="231F20"/>
        </w:rPr>
        <w:t>a</w:t>
      </w:r>
      <w:r>
        <w:rPr>
          <w:color w:val="231F20"/>
          <w:spacing w:val="-5"/>
        </w:rPr>
        <w:t> </w:t>
      </w:r>
      <w:r>
        <w:rPr>
          <w:color w:val="231F20"/>
        </w:rPr>
        <w:t>sólo</w:t>
      </w:r>
      <w:r>
        <w:rPr>
          <w:color w:val="231F20"/>
          <w:spacing w:val="-5"/>
        </w:rPr>
        <w:t> </w:t>
      </w:r>
      <w:r>
        <w:rPr>
          <w:color w:val="231F20"/>
        </w:rPr>
        <w:t>10.9%</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de</w:t>
      </w:r>
      <w:r>
        <w:rPr>
          <w:color w:val="231F20"/>
          <w:spacing w:val="-5"/>
        </w:rPr>
        <w:t> </w:t>
      </w:r>
      <w:r>
        <w:rPr>
          <w:color w:val="231F20"/>
        </w:rPr>
        <w:t>exportación</w:t>
      </w:r>
      <w:r>
        <w:rPr>
          <w:color w:val="231F20"/>
          <w:spacing w:val="-5"/>
        </w:rPr>
        <w:t> </w:t>
      </w:r>
      <w:r>
        <w:rPr>
          <w:color w:val="231F20"/>
        </w:rPr>
        <w:t>se</w:t>
      </w:r>
      <w:r>
        <w:rPr>
          <w:color w:val="231F20"/>
          <w:spacing w:val="-5"/>
        </w:rPr>
        <w:t> </w:t>
      </w:r>
      <w:r>
        <w:rPr>
          <w:color w:val="231F20"/>
        </w:rPr>
        <w:t>incrementó</w:t>
      </w:r>
      <w:r>
        <w:rPr>
          <w:color w:val="231F20"/>
          <w:spacing w:val="-5"/>
        </w:rPr>
        <w:t> </w:t>
      </w:r>
      <w:r>
        <w:rPr>
          <w:color w:val="231F20"/>
        </w:rPr>
        <w:t>por arriba</w:t>
      </w:r>
      <w:r>
        <w:rPr>
          <w:color w:val="231F20"/>
          <w:spacing w:val="-11"/>
        </w:rPr>
        <w:t> </w:t>
      </w:r>
      <w:r>
        <w:rPr>
          <w:color w:val="231F20"/>
        </w:rPr>
        <w:t>del</w:t>
      </w:r>
      <w:r>
        <w:rPr>
          <w:color w:val="231F20"/>
          <w:spacing w:val="-11"/>
        </w:rPr>
        <w:t> </w:t>
      </w:r>
      <w:r>
        <w:rPr>
          <w:color w:val="231F20"/>
        </w:rPr>
        <w:t>89%</w:t>
      </w:r>
      <w:r>
        <w:rPr>
          <w:color w:val="231F20"/>
          <w:spacing w:val="-11"/>
        </w:rPr>
        <w:t> </w:t>
      </w:r>
      <w:r>
        <w:rPr>
          <w:color w:val="231F20"/>
        </w:rPr>
        <w:t>(véase</w:t>
      </w:r>
      <w:r>
        <w:rPr>
          <w:color w:val="231F20"/>
          <w:spacing w:val="-11"/>
        </w:rPr>
        <w:t> </w:t>
      </w:r>
      <w:r>
        <w:rPr>
          <w:color w:val="231F20"/>
        </w:rPr>
        <w:t>cuadro</w:t>
      </w:r>
      <w:r>
        <w:rPr>
          <w:color w:val="231F20"/>
          <w:spacing w:val="-11"/>
        </w:rPr>
        <w:t> </w:t>
      </w:r>
      <w:r>
        <w:rPr>
          <w:color w:val="231F20"/>
        </w:rPr>
        <w:t>III.2).</w:t>
      </w:r>
    </w:p>
    <w:p>
      <w:pPr>
        <w:pStyle w:val="BodyText"/>
        <w:spacing w:line="278" w:lineRule="auto" w:before="1"/>
        <w:ind w:left="103" w:right="651" w:firstLine="396"/>
        <w:jc w:val="both"/>
      </w:pPr>
      <w:r>
        <w:rPr>
          <w:color w:val="231F20"/>
        </w:rPr>
        <w:t>La gráfica III.2 muestra el comportamiento de la producción de vehículos total   y por segmento. Ambas han estado </w:t>
      </w:r>
      <w:r>
        <w:rPr>
          <w:color w:val="231F20"/>
          <w:spacing w:val="-2"/>
        </w:rPr>
        <w:t>muy </w:t>
      </w:r>
      <w:r>
        <w:rPr>
          <w:color w:val="231F20"/>
        </w:rPr>
        <w:t>sincronizadas; sin embargo, los automóviles presentan una mayor volatilidad en sus niveles de</w:t>
      </w:r>
      <w:r>
        <w:rPr>
          <w:color w:val="231F20"/>
          <w:spacing w:val="-30"/>
        </w:rPr>
        <w:t> </w:t>
      </w:r>
      <w:r>
        <w:rPr>
          <w:color w:val="231F20"/>
        </w:rPr>
        <w:t>producción.</w:t>
      </w:r>
    </w:p>
    <w:p>
      <w:pPr>
        <w:pStyle w:val="BodyText"/>
        <w:spacing w:before="8"/>
        <w:rPr>
          <w:sz w:val="17"/>
        </w:rPr>
      </w:pPr>
    </w:p>
    <w:p>
      <w:pPr>
        <w:pStyle w:val="Heading4"/>
        <w:ind w:left="127" w:right="674"/>
      </w:pPr>
      <w:r>
        <w:rPr>
          <w:color w:val="231F20"/>
          <w:w w:val="90"/>
        </w:rPr>
        <w:t>Gráfica III.2</w:t>
      </w:r>
    </w:p>
    <w:p>
      <w:pPr>
        <w:spacing w:line="282" w:lineRule="exact" w:before="0"/>
        <w:ind w:left="127" w:right="674" w:firstLine="0"/>
        <w:jc w:val="center"/>
        <w:rPr>
          <w:rFonts w:ascii="Palatino Linotype" w:hAnsi="Palatino Linotype"/>
          <w:b/>
          <w:sz w:val="21"/>
        </w:rPr>
      </w:pPr>
      <w:r>
        <w:rPr>
          <w:rFonts w:ascii="Palatino Linotype" w:hAnsi="Palatino Linotype"/>
          <w:b/>
          <w:color w:val="231F20"/>
          <w:w w:val="95"/>
          <w:sz w:val="21"/>
        </w:rPr>
        <w:t>Producción de vehículos por tipo: automóviles y camiones, 1988-2013</w:t>
      </w:r>
    </w:p>
    <w:p>
      <w:pPr>
        <w:spacing w:before="18"/>
        <w:ind w:left="127" w:right="674" w:firstLine="0"/>
        <w:jc w:val="center"/>
        <w:rPr>
          <w:rFonts w:ascii="Palatino Linotype"/>
          <w:b/>
          <w:sz w:val="19"/>
        </w:rPr>
      </w:pPr>
      <w:r>
        <w:rPr>
          <w:rFonts w:ascii="Palatino Linotype"/>
          <w:b/>
          <w:color w:val="231F20"/>
          <w:sz w:val="19"/>
        </w:rPr>
        <w:t>(Unidades)</w:t>
      </w:r>
    </w:p>
    <w:p>
      <w:pPr>
        <w:pStyle w:val="BodyText"/>
        <w:spacing w:before="10"/>
        <w:rPr>
          <w:rFonts w:ascii="Palatino Linotype"/>
          <w:b/>
          <w:sz w:val="12"/>
        </w:rPr>
      </w:pPr>
    </w:p>
    <w:p>
      <w:pPr>
        <w:spacing w:before="47"/>
        <w:ind w:left="163" w:right="673" w:firstLine="0"/>
        <w:jc w:val="left"/>
        <w:rPr>
          <w:rFonts w:ascii="Palatino Linotype"/>
          <w:sz w:val="17"/>
        </w:rPr>
      </w:pPr>
      <w:r>
        <w:rPr/>
        <w:pict>
          <v:group style="position:absolute;margin-left:110.513397pt;margin-top:8.165044pt;width:312.1pt;height:192.35pt;mso-position-horizontal-relative:page;mso-position-vertical-relative:paragraph;z-index:8056" coordorigin="2210,163" coordsize="6242,3847">
            <v:shape style="position:absolute;left:0;top:8550;width:6228;height:3833" coordorigin="0,8550" coordsize="6228,3833" path="m2217,170l8445,170m2217,718l8445,718m2217,1265l8445,1265m2217,1813l8445,1813m2217,2361l8445,2361m2217,2908l8445,2908m2217,3456l8445,3456m2217,4003l2217,170m2217,4003l8445,4003e" filled="false" stroked="true" strokeweight=".658pt" strokecolor="#989b9d">
              <v:path arrowok="t"/>
            </v:shape>
            <v:shape style="position:absolute;left:2329;top:816;width:5991;height:2629" coordorigin="2329,816" coordsize="5991,2629" path="m2329,3445l2579,3313,2816,3116,3053,2941,3290,2853,3527,2853,3777,2788,4014,2985,4251,2678,4488,2525,4725,2437,4975,2371,5212,1933,5449,2021,5686,2065,5923,2306,6174,2350,6411,2240,6648,1824,6885,1802,7122,1692,7358,2350,7609,1977,7846,1233,8083,838,8320,816e" filled="false" stroked="true" strokeweight="1.317pt" strokecolor="#5c5d5f">
              <v:path arrowok="t"/>
            </v:shape>
            <v:shape style="position:absolute;left:2318;top:3281;width:118;height:165" type="#_x0000_t75" stroked="false">
              <v:imagedata r:id="rId103" o:title=""/>
            </v:shape>
            <v:shape style="position:absolute;left:2551;top:3159;width:118;height:165" type="#_x0000_t75" stroked="false">
              <v:imagedata r:id="rId104" o:title=""/>
            </v:shape>
            <v:shape style="position:absolute;left:2783;top:2998;width:118;height:165" type="#_x0000_t75" stroked="false">
              <v:imagedata r:id="rId105" o:title=""/>
            </v:shape>
            <v:shape style="position:absolute;left:3027;top:2851;width:118;height:165" type="#_x0000_t75" stroked="false">
              <v:imagedata r:id="rId106" o:title=""/>
            </v:shape>
            <v:shape style="position:absolute;left:3261;top:2760;width:118;height:165" type="#_x0000_t75" stroked="false">
              <v:imagedata r:id="rId107" o:title=""/>
            </v:shape>
            <v:shape style="position:absolute;left:3498;top:2752;width:118;height:165" type="#_x0000_t75" stroked="false">
              <v:imagedata r:id="rId108" o:title=""/>
            </v:shape>
            <v:shape style="position:absolute;left:3733;top:2731;width:118;height:165" type="#_x0000_t75" stroked="false">
              <v:imagedata r:id="rId109" o:title=""/>
            </v:shape>
            <v:shape style="position:absolute;left:3975;top:2901;width:118;height:165" type="#_x0000_t75" stroked="false">
              <v:imagedata r:id="rId110" o:title=""/>
            </v:shape>
            <v:shape style="position:absolute;left:4203;top:2588;width:118;height:165" type="#_x0000_t75" stroked="false">
              <v:imagedata r:id="rId111" o:title=""/>
            </v:shape>
            <v:shape style="position:absolute;left:4449;top:2427;width:118;height:165" type="#_x0000_t75" stroked="false">
              <v:imagedata r:id="rId112" o:title=""/>
            </v:shape>
            <v:shape style="position:absolute;left:4682;top:2349;width:118;height:165" type="#_x0000_t75" stroked="false">
              <v:imagedata r:id="rId113" o:title=""/>
            </v:shape>
            <v:shape style="position:absolute;left:4917;top:2259;width:118;height:165" type="#_x0000_t75" stroked="false">
              <v:imagedata r:id="rId114" o:title=""/>
            </v:shape>
            <v:shape style="position:absolute;left:5141;top:1858;width:118;height:165" type="#_x0000_t75" stroked="false">
              <v:imagedata r:id="rId115" o:title=""/>
            </v:shape>
            <v:shape style="position:absolute;left:5380;top:1925;width:118;height:165" type="#_x0000_t75" stroked="false">
              <v:imagedata r:id="rId116" o:title=""/>
            </v:shape>
            <v:shape style="position:absolute;left:5632;top:1993;width:118;height:165" type="#_x0000_t75" stroked="false">
              <v:imagedata r:id="rId117" o:title=""/>
            </v:shape>
            <v:shape style="position:absolute;left:5876;top:2225;width:118;height:165" type="#_x0000_t75" stroked="false">
              <v:imagedata r:id="rId118" o:title=""/>
            </v:shape>
            <v:shape style="position:absolute;left:6115;top:2255;width:118;height:165" type="#_x0000_t75" stroked="false">
              <v:imagedata r:id="rId119" o:title=""/>
            </v:shape>
            <v:shape style="position:absolute;left:6348;top:2152;width:118;height:165" type="#_x0000_t75" stroked="false">
              <v:imagedata r:id="rId120" o:title=""/>
            </v:shape>
            <v:shape style="position:absolute;left:6572;top:1757;width:118;height:165" type="#_x0000_t75" stroked="false">
              <v:imagedata r:id="rId121" o:title=""/>
            </v:shape>
            <v:shape style="position:absolute;left:6821;top:1711;width:118;height:165" type="#_x0000_t75" stroked="false">
              <v:imagedata r:id="rId122" o:title=""/>
            </v:shape>
            <v:shape style="position:absolute;left:7055;top:1626;width:118;height:165" type="#_x0000_t75" stroked="false">
              <v:imagedata r:id="rId123" o:title=""/>
            </v:shape>
            <v:shape style="position:absolute;left:7311;top:2258;width:118;height:165" type="#_x0000_t75" stroked="false">
              <v:imagedata r:id="rId124" o:title=""/>
            </v:shape>
            <v:shape style="position:absolute;left:7537;top:1889;width:118;height:165" type="#_x0000_t75" stroked="false">
              <v:imagedata r:id="rId125" o:title=""/>
            </v:shape>
            <v:shape style="position:absolute;left:7764;top:1209;width:118;height:165" type="#_x0000_t75" stroked="false">
              <v:imagedata r:id="rId126" o:title=""/>
            </v:shape>
            <v:shape style="position:absolute;left:7990;top:775;width:118;height:165" type="#_x0000_t75" stroked="false">
              <v:imagedata r:id="rId127" o:title=""/>
            </v:shape>
            <v:shape style="position:absolute;left:8225;top:716;width:118;height:165" type="#_x0000_t75" stroked="false">
              <v:imagedata r:id="rId128" o:title=""/>
            </v:shape>
            <v:shape style="position:absolute;left:2329;top:2021;width:5991;height:1577" coordorigin="2329,2021" coordsize="5991,1577" path="m2329,3598l2579,3510,2816,3335,3053,3204,3290,3138,3527,3072,3777,3050,4014,3226,4251,3116,4488,3072,4725,2963,4975,2919,5212,2590,5449,2678,5686,2744,5923,3007,6174,3007,6411,2853,6648,2503,6885,2459,7122,2481,7358,2897,7609,2678,7846,2174,8083,2021,8320,2087e" filled="false" stroked="true" strokeweight="1.317pt" strokecolor="#c4c6c8">
              <v:path arrowok="t"/>
            </v:shape>
            <v:shape style="position:absolute;left:2321;top:3495;width:111;height:130" type="#_x0000_t75" stroked="false">
              <v:imagedata r:id="rId129" o:title=""/>
            </v:shape>
            <v:shape style="position:absolute;left:2555;top:3406;width:111;height:130" type="#_x0000_t75" stroked="false">
              <v:imagedata r:id="rId130" o:title=""/>
            </v:shape>
            <v:shape style="position:absolute;left:2785;top:3253;width:111;height:130" type="#_x0000_t75" stroked="false">
              <v:imagedata r:id="rId131" o:title=""/>
            </v:shape>
            <v:shape style="position:absolute;left:3029;top:3132;width:111;height:130" type="#_x0000_t75" stroked="false">
              <v:imagedata r:id="rId132" o:title=""/>
            </v:shape>
            <v:shape style="position:absolute;left:3264;top:3058;width:111;height:130" type="#_x0000_t75" stroked="false">
              <v:imagedata r:id="rId133" o:title=""/>
            </v:shape>
            <v:shape style="position:absolute;left:3498;top:3011;width:111;height:130" type="#_x0000_t75" stroked="false">
              <v:imagedata r:id="rId134" o:title=""/>
            </v:shape>
            <v:shape style="position:absolute;left:3734;top:2995;width:111;height:130" type="#_x0000_t75" stroked="false">
              <v:imagedata r:id="rId135" o:title=""/>
            </v:shape>
            <v:shape style="position:absolute;left:3977;top:3149;width:111;height:130" type="#_x0000_t75" stroked="false">
              <v:imagedata r:id="rId136" o:title=""/>
            </v:shape>
            <v:shape style="position:absolute;left:4209;top:3044;width:111;height:130" type="#_x0000_t75" stroked="false">
              <v:imagedata r:id="rId133" o:title=""/>
            </v:shape>
            <v:shape style="position:absolute;left:4457;top:3009;width:111;height:130" type="#_x0000_t75" stroked="false">
              <v:imagedata r:id="rId133" o:title=""/>
            </v:shape>
            <v:shape style="position:absolute;left:4689;top:2904;width:111;height:130" type="#_x0000_t75" stroked="false">
              <v:imagedata r:id="rId133" o:title=""/>
            </v:shape>
            <v:shape style="position:absolute;left:4924;top:2846;width:111;height:130" type="#_x0000_t75" stroked="false">
              <v:imagedata r:id="rId137" o:title=""/>
            </v:shape>
            <v:shape style="position:absolute;left:5149;top:2546;width:111;height:130" type="#_x0000_t75" stroked="false">
              <v:imagedata r:id="rId138" o:title=""/>
            </v:shape>
            <v:shape style="position:absolute;left:5388;top:2607;width:111;height:130" type="#_x0000_t75" stroked="false">
              <v:imagedata r:id="rId133" o:title=""/>
            </v:shape>
            <v:shape style="position:absolute;left:5641;top:2709;width:111;height:130" type="#_x0000_t75" stroked="false">
              <v:imagedata r:id="rId139" o:title=""/>
            </v:shape>
            <v:shape style="position:absolute;left:5887;top:2937;width:111;height:130" type="#_x0000_t75" stroked="false">
              <v:imagedata r:id="rId133" o:title=""/>
            </v:shape>
            <v:shape style="position:absolute;left:6125;top:2928;width:111;height:130" type="#_x0000_t75" stroked="false">
              <v:imagedata r:id="rId140" o:title=""/>
            </v:shape>
            <v:shape style="position:absolute;left:6355;top:2762;width:111;height:130" type="#_x0000_t75" stroked="false">
              <v:imagedata r:id="rId139" o:title=""/>
            </v:shape>
            <v:shape style="position:absolute;left:6578;top:2455;width:111;height:130" type="#_x0000_t75" stroked="false">
              <v:imagedata r:id="rId141" o:title=""/>
            </v:shape>
            <v:shape style="position:absolute;left:6826;top:2397;width:111;height:130" type="#_x0000_t75" stroked="false">
              <v:imagedata r:id="rId133" o:title=""/>
            </v:shape>
            <v:shape style="position:absolute;left:7064;top:2414;width:111;height:130" type="#_x0000_t75" stroked="false">
              <v:imagedata r:id="rId142" o:title=""/>
            </v:shape>
            <v:shape style="position:absolute;left:7316;top:2820;width:111;height:130" type="#_x0000_t75" stroked="false">
              <v:imagedata r:id="rId143" o:title=""/>
            </v:shape>
            <v:shape style="position:absolute;left:7545;top:2597;width:111;height:130" type="#_x0000_t75" stroked="false">
              <v:imagedata r:id="rId144" o:title=""/>
            </v:shape>
            <v:shape style="position:absolute;left:7762;top:2153;width:111;height:130" type="#_x0000_t75" stroked="false">
              <v:imagedata r:id="rId133" o:title=""/>
            </v:shape>
            <v:shape style="position:absolute;left:8006;top:1938;width:111;height:130" type="#_x0000_t75" stroked="false">
              <v:imagedata r:id="rId145" o:title=""/>
            </v:shape>
            <v:shape style="position:absolute;left:8245;top:2012;width:111;height:130" type="#_x0000_t75" stroked="false">
              <v:imagedata r:id="rId135" o:title=""/>
            </v:shape>
            <v:shape style="position:absolute;left:2329;top:2722;width:5991;height:1117" coordorigin="2329,2722" coordsize="5991,1117" path="m2329,3839l2579,3795,2816,3773,3053,3729,3290,3686,3527,3751,3777,3729,4014,3751,4251,3554,4488,3467,4725,3467,4975,3445,5212,3335,5449,3335,5686,3291,5923,3313,6174,3335,6411,3401,6648,3335,6885,3335,7122,3204,7358,3445,7609,3291,7846,3050,8083,2831,8320,2722e" filled="false" stroked="true" strokeweight="1.317pt" strokecolor="#8e9093">
              <v:path arrowok="t"/>
            </v:shape>
            <v:shape style="position:absolute;left:2310;top:3760;width:118;height:123" type="#_x0000_t75" stroked="false">
              <v:imagedata r:id="rId146" o:title=""/>
            </v:shape>
            <v:shape style="position:absolute;left:2545;top:3717;width:118;height:123" type="#_x0000_t75" stroked="false">
              <v:imagedata r:id="rId147" o:title=""/>
            </v:shape>
            <v:shape style="position:absolute;left:2780;top:3687;width:118;height:123" type="#_x0000_t75" stroked="false">
              <v:imagedata r:id="rId148" o:title=""/>
            </v:shape>
            <v:shape style="position:absolute;left:3029;top:3657;width:118;height:123" type="#_x0000_t75" stroked="false">
              <v:imagedata r:id="rId149" o:title=""/>
            </v:shape>
            <v:shape style="position:absolute;left:3263;top:3614;width:118;height:123" type="#_x0000_t75" stroked="false">
              <v:imagedata r:id="rId150" o:title=""/>
            </v:shape>
            <v:shape style="position:absolute;left:3503;top:3662;width:118;height:123" type="#_x0000_t75" stroked="false">
              <v:imagedata r:id="rId151" o:title=""/>
            </v:shape>
            <v:shape style="position:absolute;left:3738;top:3646;width:118;height:123" type="#_x0000_t75" stroked="false">
              <v:imagedata r:id="rId152" o:title=""/>
            </v:shape>
            <v:shape style="position:absolute;left:3962;top:3655;width:118;height:123" type="#_x0000_t75" stroked="false">
              <v:imagedata r:id="rId153" o:title=""/>
            </v:shape>
            <v:shape style="position:absolute;left:4203;top:3481;width:118;height:123" type="#_x0000_t75" stroked="false">
              <v:imagedata r:id="rId150" o:title=""/>
            </v:shape>
            <v:shape style="position:absolute;left:4449;top:3398;width:118;height:123" type="#_x0000_t75" stroked="false">
              <v:imagedata r:id="rId154" o:title=""/>
            </v:shape>
            <v:shape style="position:absolute;left:4686;top:3394;width:118;height:123" type="#_x0000_t75" stroked="false">
              <v:imagedata r:id="rId155" o:title=""/>
            </v:shape>
            <v:shape style="position:absolute;left:4921;top:3352;width:118;height:123" type="#_x0000_t75" stroked="false">
              <v:imagedata r:id="rId156" o:title=""/>
            </v:shape>
            <v:shape style="position:absolute;left:5152;top:3269;width:118;height:123" type="#_x0000_t75" stroked="false">
              <v:imagedata r:id="rId157" o:title=""/>
            </v:shape>
            <v:shape style="position:absolute;left:5389;top:3265;width:118;height:123" type="#_x0000_t75" stroked="false">
              <v:imagedata r:id="rId158" o:title=""/>
            </v:shape>
            <v:shape style="position:absolute;left:5637;top:3222;width:118;height:123" type="#_x0000_t75" stroked="false">
              <v:imagedata r:id="rId159" o:title=""/>
            </v:shape>
            <v:shape style="position:absolute;left:5874;top:3231;width:118;height:123" type="#_x0000_t75" stroked="false">
              <v:imagedata r:id="rId160" o:title=""/>
            </v:shape>
            <v:shape style="position:absolute;left:6112;top:3257;width:118;height:123" type="#_x0000_t75" stroked="false">
              <v:imagedata r:id="rId161" o:title=""/>
            </v:shape>
            <v:shape style="position:absolute;left:6350;top:3327;width:118;height:123" type="#_x0000_t75" stroked="false">
              <v:imagedata r:id="rId162" o:title=""/>
            </v:shape>
            <v:shape style="position:absolute;left:6584;top:3276;width:118;height:123" type="#_x0000_t75" stroked="false">
              <v:imagedata r:id="rId163" o:title=""/>
            </v:shape>
            <v:shape style="position:absolute;left:6833;top:3256;width:118;height:122" type="#_x0000_t75" stroked="false">
              <v:imagedata r:id="rId164" o:title=""/>
            </v:shape>
            <v:shape style="position:absolute;left:7065;top:3145;width:118;height:123" type="#_x0000_t75" stroked="false">
              <v:imagedata r:id="rId165" o:title=""/>
            </v:shape>
            <v:shape style="position:absolute;left:7312;top:3352;width:118;height:123" type="#_x0000_t75" stroked="false">
              <v:imagedata r:id="rId166" o:title=""/>
            </v:shape>
            <v:shape style="position:absolute;left:7541;top:3210;width:118;height:123" type="#_x0000_t75" stroked="false">
              <v:imagedata r:id="rId167" o:title=""/>
            </v:shape>
            <v:shape style="position:absolute;left:7767;top:2978;width:118;height:123" type="#_x0000_t75" stroked="false">
              <v:imagedata r:id="rId168" o:title=""/>
            </v:shape>
            <v:shape style="position:absolute;left:8007;top:2779;width:118;height:123" type="#_x0000_t75" stroked="false">
              <v:imagedata r:id="rId169" o:title=""/>
            </v:shape>
            <v:shape style="position:absolute;left:8240;top:2643;width:118;height:123" type="#_x0000_t75" stroked="false">
              <v:imagedata r:id="rId170" o:title=""/>
            </v:shape>
            <w10:wrap type="none"/>
          </v:group>
        </w:pict>
      </w:r>
      <w:r>
        <w:rPr>
          <w:rFonts w:ascii="Palatino Linotype"/>
          <w:color w:val="231F20"/>
          <w:sz w:val="17"/>
        </w:rPr>
        <w:t>3,500,000</w:t>
      </w:r>
    </w:p>
    <w:p>
      <w:pPr>
        <w:pStyle w:val="BodyText"/>
        <w:spacing w:before="4"/>
        <w:rPr>
          <w:rFonts w:ascii="Palatino Linotype"/>
          <w:sz w:val="16"/>
        </w:rPr>
      </w:pPr>
    </w:p>
    <w:p>
      <w:pPr>
        <w:spacing w:before="48"/>
        <w:ind w:left="163" w:right="673" w:firstLine="0"/>
        <w:jc w:val="left"/>
        <w:rPr>
          <w:rFonts w:ascii="Palatino Linotype"/>
          <w:sz w:val="17"/>
        </w:rPr>
      </w:pPr>
      <w:r>
        <w:rPr>
          <w:rFonts w:ascii="Palatino Linotype"/>
          <w:color w:val="231F20"/>
          <w:sz w:val="17"/>
        </w:rPr>
        <w:t>3,000,000</w:t>
      </w:r>
    </w:p>
    <w:p>
      <w:pPr>
        <w:pStyle w:val="BodyText"/>
        <w:rPr>
          <w:rFonts w:ascii="Palatino Linotype"/>
          <w:sz w:val="16"/>
        </w:rPr>
      </w:pPr>
    </w:p>
    <w:p>
      <w:pPr>
        <w:spacing w:before="48"/>
        <w:ind w:left="163" w:right="673" w:firstLine="0"/>
        <w:jc w:val="left"/>
        <w:rPr>
          <w:rFonts w:ascii="Palatino Linotype"/>
          <w:sz w:val="17"/>
        </w:rPr>
      </w:pPr>
      <w:r>
        <w:rPr>
          <w:rFonts w:ascii="Palatino Linotype"/>
          <w:color w:val="231F20"/>
          <w:sz w:val="17"/>
        </w:rPr>
        <w:t>2,500,000</w:t>
      </w:r>
    </w:p>
    <w:p>
      <w:pPr>
        <w:pStyle w:val="BodyText"/>
        <w:spacing w:before="1"/>
        <w:rPr>
          <w:rFonts w:ascii="Palatino Linotype"/>
          <w:sz w:val="20"/>
        </w:rPr>
      </w:pPr>
    </w:p>
    <w:p>
      <w:pPr>
        <w:spacing w:before="47"/>
        <w:ind w:left="163" w:right="673" w:firstLine="0"/>
        <w:jc w:val="left"/>
        <w:rPr>
          <w:rFonts w:ascii="Palatino Linotype"/>
          <w:sz w:val="17"/>
        </w:rPr>
      </w:pPr>
      <w:r>
        <w:rPr>
          <w:rFonts w:ascii="Palatino Linotype"/>
          <w:color w:val="231F20"/>
          <w:sz w:val="17"/>
        </w:rPr>
        <w:t>2,000,000</w:t>
      </w:r>
    </w:p>
    <w:p>
      <w:pPr>
        <w:pStyle w:val="BodyText"/>
        <w:rPr>
          <w:rFonts w:ascii="Palatino Linotype"/>
          <w:sz w:val="22"/>
        </w:rPr>
      </w:pPr>
    </w:p>
    <w:p>
      <w:pPr>
        <w:spacing w:before="47"/>
        <w:ind w:left="163" w:right="673" w:firstLine="0"/>
        <w:jc w:val="left"/>
        <w:rPr>
          <w:rFonts w:ascii="Palatino Linotype"/>
          <w:sz w:val="17"/>
        </w:rPr>
      </w:pPr>
      <w:r>
        <w:rPr>
          <w:rFonts w:ascii="Palatino Linotype"/>
          <w:color w:val="231F20"/>
          <w:sz w:val="17"/>
        </w:rPr>
        <w:t>1,500,000</w:t>
      </w:r>
    </w:p>
    <w:p>
      <w:pPr>
        <w:pStyle w:val="BodyText"/>
        <w:rPr>
          <w:rFonts w:ascii="Palatino Linotype"/>
          <w:sz w:val="20"/>
        </w:rPr>
      </w:pPr>
    </w:p>
    <w:p>
      <w:pPr>
        <w:spacing w:before="48"/>
        <w:ind w:left="163" w:right="673" w:firstLine="0"/>
        <w:jc w:val="left"/>
        <w:rPr>
          <w:rFonts w:ascii="Palatino Linotype"/>
          <w:sz w:val="17"/>
        </w:rPr>
      </w:pPr>
      <w:r>
        <w:rPr>
          <w:rFonts w:ascii="Palatino Linotype"/>
          <w:color w:val="231F20"/>
          <w:sz w:val="17"/>
        </w:rPr>
        <w:t>1,000,000</w:t>
      </w:r>
    </w:p>
    <w:p>
      <w:pPr>
        <w:pStyle w:val="BodyText"/>
        <w:spacing w:before="12"/>
        <w:rPr>
          <w:rFonts w:ascii="Palatino Linotype"/>
          <w:sz w:val="22"/>
        </w:rPr>
      </w:pPr>
    </w:p>
    <w:p>
      <w:pPr>
        <w:spacing w:before="48"/>
        <w:ind w:left="295" w:right="673" w:firstLine="0"/>
        <w:jc w:val="left"/>
        <w:rPr>
          <w:rFonts w:ascii="Palatino Linotype"/>
          <w:sz w:val="17"/>
        </w:rPr>
      </w:pPr>
      <w:r>
        <w:rPr>
          <w:rFonts w:ascii="Palatino Linotype"/>
          <w:color w:val="231F20"/>
          <w:sz w:val="17"/>
        </w:rPr>
        <w:t>500,000</w:t>
      </w:r>
    </w:p>
    <w:p>
      <w:pPr>
        <w:pStyle w:val="BodyText"/>
        <w:spacing w:before="12"/>
        <w:rPr>
          <w:rFonts w:ascii="Palatino Linotype"/>
          <w:sz w:val="18"/>
        </w:rPr>
      </w:pPr>
    </w:p>
    <w:p>
      <w:pPr>
        <w:spacing w:before="47"/>
        <w:ind w:left="779" w:right="0" w:firstLine="0"/>
        <w:jc w:val="left"/>
        <w:rPr>
          <w:rFonts w:ascii="Palatino Linotype"/>
          <w:sz w:val="17"/>
        </w:rPr>
      </w:pPr>
      <w:r>
        <w:rPr/>
        <w:pict>
          <v:shape style="position:absolute;margin-left:112.606773pt;margin-top:18.973831pt;width:310.5pt;height:19.5pt;mso-position-horizontal-relative:page;mso-position-vertical-relative:paragraph;z-index:8152" type="#_x0000_t202" filled="false" stroked="false">
            <v:textbox inset="0,0,0,0" style="layout-flow:vertical;mso-layout-flow-alt:bottom-to-top">
              <w:txbxContent>
                <w:p>
                  <w:pPr>
                    <w:spacing w:line="197" w:lineRule="exact" w:before="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88</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89</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90</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91</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92</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93</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94</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95</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96</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97</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98</w:t>
                  </w:r>
                </w:p>
                <w:p>
                  <w:pPr>
                    <w:spacing w:before="10"/>
                    <w:ind w:left="20" w:right="0" w:firstLine="0"/>
                    <w:jc w:val="left"/>
                    <w:rPr>
                      <w:rFonts w:ascii="Palatino Linotype"/>
                      <w:sz w:val="17"/>
                    </w:rPr>
                  </w:pPr>
                  <w:r>
                    <w:rPr>
                      <w:rFonts w:ascii="Palatino Linotype"/>
                      <w:color w:val="231F20"/>
                      <w:spacing w:val="8"/>
                      <w:w w:val="97"/>
                      <w:sz w:val="17"/>
                    </w:rPr>
                    <w:t>1</w:t>
                  </w:r>
                  <w:r>
                    <w:rPr>
                      <w:rFonts w:ascii="Palatino Linotype"/>
                      <w:color w:val="231F20"/>
                      <w:spacing w:val="-5"/>
                      <w:w w:val="97"/>
                      <w:sz w:val="17"/>
                    </w:rPr>
                    <w:t>9</w:t>
                  </w:r>
                  <w:r>
                    <w:rPr>
                      <w:rFonts w:ascii="Palatino Linotype"/>
                      <w:color w:val="231F20"/>
                      <w:spacing w:val="8"/>
                      <w:w w:val="97"/>
                      <w:sz w:val="17"/>
                    </w:rPr>
                    <w:t>99</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00</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01</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02</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03</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04</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05</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06</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07</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08</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09</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10</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11</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12</w:t>
                  </w:r>
                </w:p>
                <w:p>
                  <w:pPr>
                    <w:spacing w:before="10"/>
                    <w:ind w:left="20" w:right="0" w:firstLine="0"/>
                    <w:jc w:val="left"/>
                    <w:rPr>
                      <w:rFonts w:ascii="Palatino Linotype"/>
                      <w:sz w:val="17"/>
                    </w:rPr>
                  </w:pPr>
                  <w:r>
                    <w:rPr>
                      <w:rFonts w:ascii="Palatino Linotype"/>
                      <w:color w:val="231F20"/>
                      <w:spacing w:val="8"/>
                      <w:w w:val="97"/>
                      <w:sz w:val="17"/>
                    </w:rPr>
                    <w:t>2</w:t>
                  </w:r>
                  <w:r>
                    <w:rPr>
                      <w:rFonts w:ascii="Palatino Linotype"/>
                      <w:color w:val="231F20"/>
                      <w:spacing w:val="-5"/>
                      <w:w w:val="97"/>
                      <w:sz w:val="17"/>
                    </w:rPr>
                    <w:t>0</w:t>
                  </w:r>
                  <w:r>
                    <w:rPr>
                      <w:rFonts w:ascii="Palatino Linotype"/>
                      <w:color w:val="231F20"/>
                      <w:spacing w:val="8"/>
                      <w:w w:val="97"/>
                      <w:sz w:val="17"/>
                    </w:rPr>
                    <w:t>13</w:t>
                  </w:r>
                </w:p>
              </w:txbxContent>
            </v:textbox>
            <w10:wrap type="none"/>
          </v:shape>
        </w:pict>
      </w:r>
      <w:r>
        <w:rPr>
          <w:rFonts w:ascii="Palatino Linotype"/>
          <w:color w:val="231F20"/>
          <w:w w:val="96"/>
          <w:sz w:val="17"/>
        </w:rPr>
        <w:t>0</w:t>
      </w:r>
    </w:p>
    <w:p>
      <w:pPr>
        <w:pStyle w:val="BodyText"/>
        <w:rPr>
          <w:rFonts w:ascii="Palatino Linotype"/>
          <w:sz w:val="20"/>
        </w:rPr>
      </w:pPr>
    </w:p>
    <w:p>
      <w:pPr>
        <w:pStyle w:val="BodyText"/>
        <w:rPr>
          <w:rFonts w:ascii="Palatino Linotype"/>
          <w:sz w:val="20"/>
        </w:rPr>
      </w:pPr>
    </w:p>
    <w:p>
      <w:pPr>
        <w:pStyle w:val="BodyText"/>
        <w:spacing w:before="6"/>
        <w:rPr>
          <w:rFonts w:ascii="Palatino Linotype"/>
          <w:sz w:val="23"/>
        </w:rPr>
      </w:pPr>
    </w:p>
    <w:p>
      <w:pPr>
        <w:tabs>
          <w:tab w:pos="931" w:val="left" w:leader="none"/>
          <w:tab w:pos="1911" w:val="left" w:leader="none"/>
        </w:tabs>
        <w:spacing w:before="48"/>
        <w:ind w:left="0" w:right="2" w:firstLine="0"/>
        <w:jc w:val="center"/>
        <w:rPr>
          <w:rFonts w:ascii="Palatino Linotype"/>
          <w:sz w:val="17"/>
        </w:rPr>
      </w:pPr>
      <w:r>
        <w:rPr/>
        <w:drawing>
          <wp:anchor distT="0" distB="0" distL="0" distR="0" allowOverlap="1" layoutInCell="1" locked="0" behindDoc="0" simplePos="0" relativeHeight="8080">
            <wp:simplePos x="0" y="0"/>
            <wp:positionH relativeFrom="page">
              <wp:posOffset>2206359</wp:posOffset>
            </wp:positionH>
            <wp:positionV relativeFrom="paragraph">
              <wp:posOffset>68395</wp:posOffset>
            </wp:positionV>
            <wp:extent cx="225742" cy="64096"/>
            <wp:effectExtent l="0" t="0" r="0" b="0"/>
            <wp:wrapNone/>
            <wp:docPr id="13" name="image116.png" descr=""/>
            <wp:cNvGraphicFramePr>
              <a:graphicFrameLocks noChangeAspect="1"/>
            </wp:cNvGraphicFramePr>
            <a:graphic>
              <a:graphicData uri="http://schemas.openxmlformats.org/drawingml/2006/picture">
                <pic:pic>
                  <pic:nvPicPr>
                    <pic:cNvPr id="14" name="image116.png"/>
                    <pic:cNvPicPr/>
                  </pic:nvPicPr>
                  <pic:blipFill>
                    <a:blip r:embed="rId171" cstate="print"/>
                    <a:stretch>
                      <a:fillRect/>
                    </a:stretch>
                  </pic:blipFill>
                  <pic:spPr>
                    <a:xfrm>
                      <a:off x="0" y="0"/>
                      <a:ext cx="225742" cy="64096"/>
                    </a:xfrm>
                    <a:prstGeom prst="rect">
                      <a:avLst/>
                    </a:prstGeom>
                  </pic:spPr>
                </pic:pic>
              </a:graphicData>
            </a:graphic>
          </wp:anchor>
        </w:drawing>
      </w:r>
      <w:r>
        <w:rPr/>
        <w:pict>
          <v:group style="position:absolute;margin-left:219.792587pt;margin-top:3.483742pt;width:18.5pt;height:9.3pt;mso-position-horizontal-relative:page;mso-position-vertical-relative:paragraph;z-index:-611488" coordorigin="4396,70" coordsize="370,186">
            <v:shape style="position:absolute;left:0;top:3640;width:343;height:2" coordorigin="0,3640" coordsize="343,0" path="m4627,162l4752,162m4409,162l4534,162e" filled="false" stroked="true" strokeweight="1.317pt" strokecolor="#c4c6c8">
              <v:path arrowok="t"/>
            </v:shape>
            <v:line style="position:absolute" from="4581,116" to="4581,208" stroked="true" strokeweight="4.608pt" strokecolor="#c4c6c8"/>
            <w10:wrap type="none"/>
          </v:group>
        </w:pict>
      </w:r>
      <w:r>
        <w:rPr/>
        <w:drawing>
          <wp:anchor distT="0" distB="0" distL="0" distR="0" allowOverlap="1" layoutInCell="1" locked="0" behindDoc="1" simplePos="0" relativeHeight="267823991">
            <wp:simplePos x="0" y="0"/>
            <wp:positionH relativeFrom="page">
              <wp:posOffset>3410245</wp:posOffset>
            </wp:positionH>
            <wp:positionV relativeFrom="paragraph">
              <wp:posOffset>68395</wp:posOffset>
            </wp:positionV>
            <wp:extent cx="234086" cy="64096"/>
            <wp:effectExtent l="0" t="0" r="0" b="0"/>
            <wp:wrapNone/>
            <wp:docPr id="15" name="image117.png" descr=""/>
            <wp:cNvGraphicFramePr>
              <a:graphicFrameLocks noChangeAspect="1"/>
            </wp:cNvGraphicFramePr>
            <a:graphic>
              <a:graphicData uri="http://schemas.openxmlformats.org/drawingml/2006/picture">
                <pic:pic>
                  <pic:nvPicPr>
                    <pic:cNvPr id="16" name="image117.png"/>
                    <pic:cNvPicPr/>
                  </pic:nvPicPr>
                  <pic:blipFill>
                    <a:blip r:embed="rId172" cstate="print"/>
                    <a:stretch>
                      <a:fillRect/>
                    </a:stretch>
                  </pic:blipFill>
                  <pic:spPr>
                    <a:xfrm>
                      <a:off x="0" y="0"/>
                      <a:ext cx="234086" cy="64096"/>
                    </a:xfrm>
                    <a:prstGeom prst="rect">
                      <a:avLst/>
                    </a:prstGeom>
                  </pic:spPr>
                </pic:pic>
              </a:graphicData>
            </a:graphic>
          </wp:anchor>
        </w:drawing>
      </w:r>
      <w:r>
        <w:rPr>
          <w:rFonts w:ascii="Palatino Linotype"/>
          <w:color w:val="231F20"/>
          <w:sz w:val="17"/>
        </w:rPr>
        <w:t>Total</w:t>
        <w:tab/>
      </w:r>
      <w:r>
        <w:rPr>
          <w:rFonts w:ascii="Palatino Linotype"/>
          <w:color w:val="231F20"/>
          <w:spacing w:val="3"/>
          <w:sz w:val="17"/>
        </w:rPr>
        <w:t>Autos</w:t>
        <w:tab/>
        <w:t>Camiones</w:t>
      </w:r>
    </w:p>
    <w:p>
      <w:pPr>
        <w:pStyle w:val="BodyText"/>
        <w:spacing w:before="6"/>
        <w:rPr>
          <w:rFonts w:ascii="Palatino Linotype"/>
          <w:sz w:val="20"/>
        </w:rPr>
      </w:pPr>
    </w:p>
    <w:p>
      <w:pPr>
        <w:spacing w:before="37"/>
        <w:ind w:left="103" w:right="673" w:firstLine="0"/>
        <w:jc w:val="left"/>
        <w:rPr>
          <w:sz w:val="20"/>
        </w:rPr>
      </w:pPr>
      <w:r>
        <w:rPr>
          <w:rFonts w:ascii="Palatino Linotype" w:hAnsi="Palatino Linotype"/>
          <w:i/>
          <w:color w:val="231F20"/>
          <w:sz w:val="20"/>
        </w:rPr>
        <w:t>Fuente: </w:t>
      </w:r>
      <w:r>
        <w:rPr>
          <w:color w:val="231F20"/>
          <w:sz w:val="20"/>
        </w:rPr>
        <w:t>Elaboración propia con datos de AMIA (2014).</w:t>
      </w:r>
    </w:p>
    <w:p>
      <w:pPr>
        <w:spacing w:after="0"/>
        <w:jc w:val="left"/>
        <w:rPr>
          <w:sz w:val="20"/>
        </w:rPr>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21"/>
        <w:jc w:val="both"/>
      </w:pPr>
      <w:r>
        <w:rPr>
          <w:color w:val="231F20"/>
        </w:rPr>
        <w:t>Este cambio en el estilo de crecimiento de la industria automotriz, en el que se privi- legia la producción para mercado externo, ha provocado también cambios en el peso relativo que tienen algunas de las grandes armadoras.</w:t>
      </w:r>
    </w:p>
    <w:p>
      <w:pPr>
        <w:pStyle w:val="BodyText"/>
        <w:spacing w:line="278" w:lineRule="auto" w:before="1"/>
        <w:ind w:left="653" w:right="118" w:firstLine="396"/>
        <w:jc w:val="both"/>
      </w:pPr>
      <w:r>
        <w:rPr>
          <w:color w:val="231F20"/>
        </w:rPr>
        <w:t>Al analizar el periodo 1988-2013, se observa que la estructura de la producción por empresa ha cambiado de manera importante. En los años ochenta, los líderes de producción fueron Chrysler y Ford, pues entre ambas fabricaron poco más del 50% del total de los vehículos hechos en México. No obstante, estas empresas han dismi- nuido drásticamente su participación, a diferencia de General Motors y Volkswagen, que se han consolidado como las principales productoras de vehículos en México: en 1988 participaron de manera conjunta con 28% de la producción total de vehículos, mientras que en 2009 lo hicieron con casi 46% y en 2013 con 40%. Nissan, por su parte, ha mantenido constancia en sus niveles de producción: casi siempre ha manu- facturado cerca del 20% de la producción nacional anual, con excepción del periodo posterior a la crisis de 1995.</w:t>
      </w:r>
    </w:p>
    <w:p>
      <w:pPr>
        <w:pStyle w:val="BodyText"/>
        <w:spacing w:line="278" w:lineRule="auto" w:before="1"/>
        <w:ind w:left="653" w:right="121" w:firstLine="396"/>
        <w:jc w:val="both"/>
      </w:pPr>
      <w:r>
        <w:rPr>
          <w:color w:val="231F20"/>
        </w:rPr>
        <w:t>Es de notarse la instalación de nuevas empresas en México, que de manera gra- dual</w:t>
      </w:r>
      <w:r>
        <w:rPr>
          <w:color w:val="231F20"/>
          <w:spacing w:val="-8"/>
        </w:rPr>
        <w:t> </w:t>
      </w:r>
      <w:r>
        <w:rPr>
          <w:color w:val="231F20"/>
        </w:rPr>
        <w:t>están</w:t>
      </w:r>
      <w:r>
        <w:rPr>
          <w:color w:val="231F20"/>
          <w:spacing w:val="-8"/>
        </w:rPr>
        <w:t> </w:t>
      </w:r>
      <w:r>
        <w:rPr>
          <w:color w:val="231F20"/>
        </w:rPr>
        <w:t>ocupando</w:t>
      </w:r>
      <w:r>
        <w:rPr>
          <w:color w:val="231F20"/>
          <w:spacing w:val="-8"/>
        </w:rPr>
        <w:t> </w:t>
      </w:r>
      <w:r>
        <w:rPr>
          <w:color w:val="231F20"/>
        </w:rPr>
        <w:t>segmentos</w:t>
      </w:r>
      <w:r>
        <w:rPr>
          <w:color w:val="231F20"/>
          <w:spacing w:val="-8"/>
        </w:rPr>
        <w:t> </w:t>
      </w:r>
      <w:r>
        <w:rPr>
          <w:color w:val="231F20"/>
        </w:rPr>
        <w:t>importantes</w:t>
      </w:r>
      <w:r>
        <w:rPr>
          <w:color w:val="231F20"/>
          <w:spacing w:val="-8"/>
        </w:rPr>
        <w:t> </w:t>
      </w:r>
      <w:r>
        <w:rPr>
          <w:color w:val="231F20"/>
        </w:rPr>
        <w:t>de</w:t>
      </w:r>
      <w:r>
        <w:rPr>
          <w:color w:val="231F20"/>
          <w:spacing w:val="-8"/>
        </w:rPr>
        <w:t> </w:t>
      </w:r>
      <w:r>
        <w:rPr>
          <w:color w:val="231F20"/>
        </w:rPr>
        <w:t>mercado:</w:t>
      </w:r>
      <w:r>
        <w:rPr>
          <w:color w:val="231F20"/>
          <w:spacing w:val="-8"/>
        </w:rPr>
        <w:t> </w:t>
      </w:r>
      <w:r>
        <w:rPr>
          <w:color w:val="231F20"/>
        </w:rPr>
        <w:t>tal</w:t>
      </w:r>
      <w:r>
        <w:rPr>
          <w:color w:val="231F20"/>
          <w:spacing w:val="-8"/>
        </w:rPr>
        <w:t> </w:t>
      </w:r>
      <w:r>
        <w:rPr>
          <w:color w:val="231F20"/>
        </w:rPr>
        <w:t>es</w:t>
      </w:r>
      <w:r>
        <w:rPr>
          <w:color w:val="231F20"/>
          <w:spacing w:val="-8"/>
        </w:rPr>
        <w:t> </w:t>
      </w:r>
      <w:r>
        <w:rPr>
          <w:color w:val="231F20"/>
        </w:rPr>
        <w:t>el</w:t>
      </w:r>
      <w:r>
        <w:rPr>
          <w:color w:val="231F20"/>
          <w:spacing w:val="-8"/>
        </w:rPr>
        <w:t> </w:t>
      </w:r>
      <w:r>
        <w:rPr>
          <w:color w:val="231F20"/>
        </w:rPr>
        <w:t>caso</w:t>
      </w:r>
      <w:r>
        <w:rPr>
          <w:color w:val="231F20"/>
          <w:spacing w:val="-8"/>
        </w:rPr>
        <w:t> </w:t>
      </w:r>
      <w:r>
        <w:rPr>
          <w:color w:val="231F20"/>
        </w:rPr>
        <w:t>de</w:t>
      </w:r>
      <w:r>
        <w:rPr>
          <w:color w:val="231F20"/>
          <w:spacing w:val="-8"/>
        </w:rPr>
        <w:t> </w:t>
      </w:r>
      <w:r>
        <w:rPr>
          <w:color w:val="231F20"/>
        </w:rPr>
        <w:t>Honda,</w:t>
      </w:r>
      <w:r>
        <w:rPr>
          <w:color w:val="231F20"/>
          <w:spacing w:val="-8"/>
        </w:rPr>
        <w:t> </w:t>
      </w:r>
      <w:r>
        <w:rPr>
          <w:color w:val="231F20"/>
        </w:rPr>
        <w:t>cuya participación</w:t>
      </w:r>
      <w:r>
        <w:rPr>
          <w:color w:val="231F20"/>
          <w:spacing w:val="-13"/>
        </w:rPr>
        <w:t> </w:t>
      </w:r>
      <w:r>
        <w:rPr>
          <w:color w:val="231F20"/>
        </w:rPr>
        <w:t>en</w:t>
      </w:r>
      <w:r>
        <w:rPr>
          <w:color w:val="231F20"/>
          <w:spacing w:val="-13"/>
        </w:rPr>
        <w:t> </w:t>
      </w:r>
      <w:r>
        <w:rPr>
          <w:color w:val="231F20"/>
        </w:rPr>
        <w:t>1996</w:t>
      </w:r>
      <w:r>
        <w:rPr>
          <w:color w:val="231F20"/>
          <w:spacing w:val="-13"/>
        </w:rPr>
        <w:t> </w:t>
      </w:r>
      <w:r>
        <w:rPr>
          <w:color w:val="231F20"/>
        </w:rPr>
        <w:t>apenas</w:t>
      </w:r>
      <w:r>
        <w:rPr>
          <w:color w:val="231F20"/>
          <w:spacing w:val="-13"/>
        </w:rPr>
        <w:t> </w:t>
      </w:r>
      <w:r>
        <w:rPr>
          <w:color w:val="231F20"/>
        </w:rPr>
        <w:t>alcanzaba</w:t>
      </w:r>
      <w:r>
        <w:rPr>
          <w:color w:val="231F20"/>
          <w:spacing w:val="-13"/>
        </w:rPr>
        <w:t> </w:t>
      </w:r>
      <w:r>
        <w:rPr>
          <w:color w:val="231F20"/>
        </w:rPr>
        <w:t>0.1%</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producción</w:t>
      </w:r>
      <w:r>
        <w:rPr>
          <w:color w:val="231F20"/>
          <w:spacing w:val="-13"/>
        </w:rPr>
        <w:t> </w:t>
      </w:r>
      <w:r>
        <w:rPr>
          <w:color w:val="231F20"/>
        </w:rPr>
        <w:t>total</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para</w:t>
      </w:r>
      <w:r>
        <w:rPr>
          <w:color w:val="231F20"/>
          <w:spacing w:val="-13"/>
        </w:rPr>
        <w:t> </w:t>
      </w:r>
      <w:r>
        <w:rPr>
          <w:color w:val="231F20"/>
        </w:rPr>
        <w:t>2013</w:t>
      </w:r>
      <w:r>
        <w:rPr>
          <w:color w:val="231F20"/>
          <w:spacing w:val="-13"/>
        </w:rPr>
        <w:t> </w:t>
      </w:r>
      <w:r>
        <w:rPr>
          <w:color w:val="231F20"/>
        </w:rPr>
        <w:t>ya produjo arriba de 2%; </w:t>
      </w:r>
      <w:r>
        <w:rPr>
          <w:color w:val="231F20"/>
          <w:spacing w:val="-4"/>
        </w:rPr>
        <w:t>Toyota, </w:t>
      </w:r>
      <w:r>
        <w:rPr>
          <w:color w:val="231F20"/>
        </w:rPr>
        <w:t>por su parte, llegó a México entre 2004 y 2005 e inició operaciones</w:t>
      </w:r>
      <w:r>
        <w:rPr>
          <w:color w:val="231F20"/>
          <w:spacing w:val="-13"/>
        </w:rPr>
        <w:t> </w:t>
      </w:r>
      <w:r>
        <w:rPr>
          <w:color w:val="231F20"/>
        </w:rPr>
        <w:t>en</w:t>
      </w:r>
      <w:r>
        <w:rPr>
          <w:color w:val="231F20"/>
          <w:spacing w:val="-13"/>
        </w:rPr>
        <w:t> </w:t>
      </w:r>
      <w:r>
        <w:rPr>
          <w:color w:val="231F20"/>
        </w:rPr>
        <w:t>2006,</w:t>
      </w:r>
      <w:r>
        <w:rPr>
          <w:color w:val="231F20"/>
          <w:spacing w:val="-13"/>
        </w:rPr>
        <w:t> </w:t>
      </w:r>
      <w:r>
        <w:rPr>
          <w:color w:val="231F20"/>
        </w:rPr>
        <w:t>año</w:t>
      </w:r>
      <w:r>
        <w:rPr>
          <w:color w:val="231F20"/>
          <w:spacing w:val="-13"/>
        </w:rPr>
        <w:t> </w:t>
      </w:r>
      <w:r>
        <w:rPr>
          <w:color w:val="231F20"/>
        </w:rPr>
        <w:t>en</w:t>
      </w:r>
      <w:r>
        <w:rPr>
          <w:color w:val="231F20"/>
          <w:spacing w:val="-13"/>
        </w:rPr>
        <w:t> </w:t>
      </w:r>
      <w:r>
        <w:rPr>
          <w:color w:val="231F20"/>
        </w:rPr>
        <w:t>que</w:t>
      </w:r>
      <w:r>
        <w:rPr>
          <w:color w:val="231F20"/>
          <w:spacing w:val="-13"/>
        </w:rPr>
        <w:t> </w:t>
      </w:r>
      <w:r>
        <w:rPr>
          <w:color w:val="231F20"/>
        </w:rPr>
        <w:t>produjo</w:t>
      </w:r>
      <w:r>
        <w:rPr>
          <w:color w:val="231F20"/>
          <w:spacing w:val="-13"/>
        </w:rPr>
        <w:t> </w:t>
      </w:r>
      <w:r>
        <w:rPr>
          <w:color w:val="231F20"/>
        </w:rPr>
        <w:t>el</w:t>
      </w:r>
      <w:r>
        <w:rPr>
          <w:color w:val="231F20"/>
          <w:spacing w:val="-13"/>
        </w:rPr>
        <w:t> </w:t>
      </w:r>
      <w:r>
        <w:rPr>
          <w:color w:val="231F20"/>
        </w:rPr>
        <w:t>1.7%</w:t>
      </w:r>
      <w:r>
        <w:rPr>
          <w:color w:val="231F20"/>
          <w:spacing w:val="-13"/>
        </w:rPr>
        <w:t> </w:t>
      </w:r>
      <w:r>
        <w:rPr>
          <w:color w:val="231F20"/>
        </w:rPr>
        <w:t>del</w:t>
      </w:r>
      <w:r>
        <w:rPr>
          <w:color w:val="231F20"/>
          <w:spacing w:val="-13"/>
        </w:rPr>
        <w:t> </w:t>
      </w:r>
      <w:r>
        <w:rPr>
          <w:color w:val="231F20"/>
        </w:rPr>
        <w:t>total</w:t>
      </w:r>
      <w:r>
        <w:rPr>
          <w:color w:val="231F20"/>
          <w:spacing w:val="-13"/>
        </w:rPr>
        <w:t> </w:t>
      </w:r>
      <w:r>
        <w:rPr>
          <w:color w:val="231F20"/>
        </w:rPr>
        <w:t>de</w:t>
      </w:r>
      <w:r>
        <w:rPr>
          <w:color w:val="231F20"/>
          <w:spacing w:val="-13"/>
        </w:rPr>
        <w:t> </w:t>
      </w:r>
      <w:r>
        <w:rPr>
          <w:color w:val="231F20"/>
        </w:rPr>
        <w:t>vehículos;</w:t>
      </w:r>
      <w:r>
        <w:rPr>
          <w:color w:val="231F20"/>
          <w:spacing w:val="-13"/>
        </w:rPr>
        <w:t> </w:t>
      </w:r>
      <w:r>
        <w:rPr>
          <w:color w:val="231F20"/>
        </w:rPr>
        <w:t>este</w:t>
      </w:r>
      <w:r>
        <w:rPr>
          <w:color w:val="231F20"/>
          <w:spacing w:val="-13"/>
        </w:rPr>
        <w:t> </w:t>
      </w:r>
      <w:r>
        <w:rPr>
          <w:color w:val="231F20"/>
        </w:rPr>
        <w:t>porcentaje se incrementó moderadamente, pues para 2013 su participación fue de 2.2% (véase cuadro</w:t>
      </w:r>
      <w:r>
        <w:rPr>
          <w:color w:val="231F20"/>
          <w:spacing w:val="6"/>
        </w:rPr>
        <w:t> </w:t>
      </w:r>
      <w:r>
        <w:rPr>
          <w:color w:val="231F20"/>
        </w:rPr>
        <w:t>III.3).</w:t>
      </w:r>
    </w:p>
    <w:p>
      <w:pPr>
        <w:pStyle w:val="BodyText"/>
        <w:spacing w:before="8"/>
        <w:rPr>
          <w:sz w:val="17"/>
        </w:rPr>
      </w:pPr>
    </w:p>
    <w:p>
      <w:pPr>
        <w:pStyle w:val="Heading4"/>
        <w:ind w:left="791" w:right="262"/>
      </w:pPr>
      <w:r>
        <w:rPr>
          <w:color w:val="231F20"/>
          <w:w w:val="95"/>
        </w:rPr>
        <w:t>Cuadro III.3</w:t>
      </w:r>
    </w:p>
    <w:p>
      <w:pPr>
        <w:spacing w:line="282" w:lineRule="exact" w:before="0"/>
        <w:ind w:left="791" w:right="261" w:firstLine="0"/>
        <w:jc w:val="center"/>
        <w:rPr>
          <w:rFonts w:ascii="Palatino Linotype" w:hAnsi="Palatino Linotype"/>
          <w:b/>
          <w:sz w:val="21"/>
        </w:rPr>
      </w:pPr>
      <w:r>
        <w:rPr>
          <w:rFonts w:ascii="Palatino Linotype" w:hAnsi="Palatino Linotype"/>
          <w:b/>
          <w:color w:val="231F20"/>
          <w:w w:val="95"/>
          <w:sz w:val="21"/>
        </w:rPr>
        <w:t>Producción total de vehículos por empresa, 1988-2013</w:t>
      </w:r>
    </w:p>
    <w:p>
      <w:pPr>
        <w:spacing w:before="19"/>
        <w:ind w:left="791" w:right="262" w:firstLine="0"/>
        <w:jc w:val="center"/>
        <w:rPr>
          <w:rFonts w:ascii="Palatino Linotype"/>
          <w:b/>
          <w:sz w:val="19"/>
        </w:rPr>
      </w:pPr>
      <w:r>
        <w:rPr>
          <w:rFonts w:ascii="Palatino Linotype"/>
          <w:b/>
          <w:color w:val="231F20"/>
          <w:sz w:val="19"/>
        </w:rPr>
        <w:t>(Porcentaje)</w:t>
      </w:r>
    </w:p>
    <w:p>
      <w:pPr>
        <w:pStyle w:val="BodyText"/>
        <w:spacing w:before="5"/>
        <w:rPr>
          <w:rFonts w:ascii="Palatino Linotype"/>
          <w:b/>
          <w:sz w:val="11"/>
        </w:rPr>
      </w:pPr>
      <w:r>
        <w:rPr/>
        <w:pict>
          <v:group style="position:absolute;margin-left:56.442902pt;margin-top:9.660391pt;width:360.9pt;height:.5pt;mso-position-horizontal-relative:page;mso-position-vertical-relative:paragraph;z-index:8176;mso-wrap-distance-left:0;mso-wrap-distance-right:0" coordorigin="1129,193" coordsize="7218,10">
            <v:line style="position:absolute" from="1134,198" to="1616,198" stroked="true" strokeweight=".5pt" strokecolor="#231f20"/>
            <v:line style="position:absolute" from="1616,198" to="2126,198" stroked="true" strokeweight=".5pt" strokecolor="#231f20"/>
            <v:line style="position:absolute" from="2126,198" to="2778,198" stroked="true" strokeweight=".5pt" strokecolor="#231f20"/>
            <v:line style="position:absolute" from="2778,198" to="3380,198" stroked="true" strokeweight=".5pt" strokecolor="#231f20"/>
            <v:line style="position:absolute" from="3380,198" to="4004,198" stroked="true" strokeweight=".5pt" strokecolor="#231f20"/>
            <v:line style="position:absolute" from="4004,198" to="4550,198" stroked="true" strokeweight=".5pt" strokecolor="#231f20"/>
            <v:line style="position:absolute" from="4550,198" to="5272,198" stroked="true" strokeweight=".5pt" strokecolor="#231f20"/>
            <v:line style="position:absolute" from="5272,198" to="5811,198" stroked="true" strokeweight=".5pt" strokecolor="#231f20"/>
            <v:line style="position:absolute" from="5811,198" to="6442,198" stroked="true" strokeweight=".5pt" strokecolor="#231f20"/>
            <v:line style="position:absolute" from="6442,198" to="7271,198" stroked="true" strokeweight=".5pt" strokecolor="#231f20"/>
            <v:line style="position:absolute" from="7271,198" to="7859,198" stroked="true" strokeweight=".5pt" strokecolor="#231f20"/>
            <v:line style="position:absolute" from="7859,198" to="8341,198" stroked="true" strokeweight=".5pt" strokecolor="#231f20"/>
            <w10:wrap type="topAndBottom"/>
          </v:group>
        </w:pict>
      </w:r>
    </w:p>
    <w:p>
      <w:pPr>
        <w:pStyle w:val="BodyText"/>
        <w:spacing w:before="2"/>
        <w:rPr>
          <w:rFonts w:ascii="Palatino Linotype"/>
          <w:b/>
          <w:sz w:val="5"/>
        </w:rPr>
      </w:pPr>
    </w:p>
    <w:p>
      <w:pPr>
        <w:spacing w:after="0"/>
        <w:rPr>
          <w:rFonts w:ascii="Palatino Linotype"/>
          <w:sz w:val="5"/>
        </w:rPr>
        <w:sectPr>
          <w:footerReference w:type="even" r:id="rId173"/>
          <w:footerReference w:type="default" r:id="rId174"/>
          <w:pgSz w:w="9640" w:h="13040"/>
          <w:pgMar w:footer="654" w:header="581" w:top="780" w:bottom="840" w:left="480" w:right="1180"/>
        </w:sectPr>
      </w:pPr>
    </w:p>
    <w:p>
      <w:pPr>
        <w:spacing w:line="242" w:lineRule="exact" w:before="14"/>
        <w:ind w:left="0" w:right="75" w:firstLine="0"/>
        <w:jc w:val="right"/>
        <w:rPr>
          <w:rFonts w:ascii="Palatino Linotype"/>
          <w:b/>
          <w:sz w:val="16"/>
        </w:rPr>
      </w:pPr>
      <w:r>
        <w:rPr>
          <w:rFonts w:ascii="Palatino Linotype"/>
          <w:b/>
          <w:color w:val="231F20"/>
          <w:sz w:val="16"/>
        </w:rPr>
        <w:t>BMW  Chrysler  </w:t>
      </w:r>
      <w:r>
        <w:rPr>
          <w:rFonts w:ascii="Palatino Linotype"/>
          <w:b/>
          <w:color w:val="231F20"/>
          <w:position w:val="9"/>
          <w:sz w:val="16"/>
        </w:rPr>
        <w:t>Ford</w:t>
      </w:r>
    </w:p>
    <w:p>
      <w:pPr>
        <w:spacing w:line="152" w:lineRule="exact" w:before="0"/>
        <w:ind w:left="0" w:right="0" w:firstLine="0"/>
        <w:jc w:val="right"/>
        <w:rPr>
          <w:rFonts w:ascii="Palatino Linotype"/>
          <w:b/>
          <w:sz w:val="16"/>
        </w:rPr>
      </w:pPr>
      <w:r>
        <w:rPr>
          <w:rFonts w:ascii="Palatino Linotype"/>
          <w:b/>
          <w:color w:val="231F20"/>
          <w:w w:val="90"/>
          <w:sz w:val="16"/>
        </w:rPr>
        <w:t>Motors</w:t>
      </w:r>
    </w:p>
    <w:p>
      <w:pPr>
        <w:spacing w:line="151" w:lineRule="exact" w:before="16"/>
        <w:ind w:left="88" w:right="-5" w:firstLine="0"/>
        <w:jc w:val="left"/>
        <w:rPr>
          <w:rFonts w:ascii="Palatino Linotype"/>
          <w:b/>
          <w:sz w:val="16"/>
        </w:rPr>
      </w:pPr>
      <w:r>
        <w:rPr/>
        <w:br w:type="column"/>
      </w:r>
      <w:r>
        <w:rPr>
          <w:rFonts w:ascii="Palatino Linotype"/>
          <w:b/>
          <w:color w:val="231F20"/>
          <w:sz w:val="16"/>
        </w:rPr>
        <w:t>General</w:t>
      </w:r>
    </w:p>
    <w:p>
      <w:pPr>
        <w:spacing w:line="241" w:lineRule="exact" w:before="0"/>
        <w:ind w:left="112" w:right="-5" w:firstLine="0"/>
        <w:jc w:val="left"/>
        <w:rPr>
          <w:rFonts w:ascii="Palatino Linotype"/>
          <w:b/>
          <w:sz w:val="16"/>
        </w:rPr>
      </w:pPr>
      <w:r>
        <w:rPr>
          <w:rFonts w:ascii="Palatino Linotype"/>
          <w:b/>
          <w:color w:val="231F20"/>
          <w:spacing w:val="-4"/>
          <w:sz w:val="16"/>
        </w:rPr>
        <w:t>Motors </w:t>
      </w:r>
      <w:r>
        <w:rPr>
          <w:rFonts w:ascii="Palatino Linotype"/>
          <w:b/>
          <w:color w:val="231F20"/>
          <w:spacing w:val="-3"/>
          <w:position w:val="9"/>
          <w:sz w:val="16"/>
        </w:rPr>
        <w:t>Honda</w:t>
      </w:r>
    </w:p>
    <w:p>
      <w:pPr>
        <w:spacing w:line="152" w:lineRule="exact" w:before="16"/>
        <w:ind w:left="68" w:right="0" w:firstLine="0"/>
        <w:jc w:val="left"/>
        <w:rPr>
          <w:rFonts w:ascii="Palatino Linotype"/>
          <w:b/>
          <w:sz w:val="16"/>
        </w:rPr>
      </w:pPr>
      <w:r>
        <w:rPr/>
        <w:br w:type="column"/>
      </w:r>
      <w:r>
        <w:rPr>
          <w:rFonts w:ascii="Palatino Linotype"/>
          <w:b/>
          <w:color w:val="231F20"/>
          <w:sz w:val="16"/>
        </w:rPr>
        <w:t>Mercedez</w:t>
      </w:r>
    </w:p>
    <w:p>
      <w:pPr>
        <w:tabs>
          <w:tab w:pos="790" w:val="left" w:leader="none"/>
        </w:tabs>
        <w:spacing w:line="242" w:lineRule="exact" w:before="0"/>
        <w:ind w:left="214" w:right="0" w:firstLine="0"/>
        <w:jc w:val="left"/>
        <w:rPr>
          <w:rFonts w:ascii="Palatino Linotype"/>
          <w:b/>
          <w:sz w:val="16"/>
        </w:rPr>
      </w:pPr>
      <w:r>
        <w:rPr>
          <w:rFonts w:ascii="Palatino Linotype"/>
          <w:b/>
          <w:color w:val="231F20"/>
          <w:position w:val="-8"/>
          <w:sz w:val="16"/>
        </w:rPr>
        <w:t>Benz</w:t>
        <w:tab/>
      </w:r>
      <w:r>
        <w:rPr>
          <w:rFonts w:ascii="Palatino Linotype"/>
          <w:b/>
          <w:color w:val="231F20"/>
          <w:spacing w:val="-3"/>
          <w:sz w:val="16"/>
        </w:rPr>
        <w:t>Nissan Renault </w:t>
      </w:r>
      <w:r>
        <w:rPr>
          <w:rFonts w:ascii="Palatino Linotype"/>
          <w:b/>
          <w:color w:val="231F20"/>
          <w:spacing w:val="-4"/>
          <w:sz w:val="16"/>
        </w:rPr>
        <w:t>Volkswagen </w:t>
      </w:r>
      <w:r>
        <w:rPr>
          <w:rFonts w:ascii="Palatino Linotype"/>
          <w:b/>
          <w:color w:val="231F20"/>
          <w:spacing w:val="-6"/>
          <w:sz w:val="16"/>
        </w:rPr>
        <w:t>Toyota</w:t>
      </w:r>
      <w:r>
        <w:rPr>
          <w:rFonts w:ascii="Palatino Linotype"/>
          <w:b/>
          <w:color w:val="231F20"/>
          <w:spacing w:val="26"/>
          <w:sz w:val="16"/>
        </w:rPr>
        <w:t> </w:t>
      </w:r>
      <w:r>
        <w:rPr>
          <w:rFonts w:ascii="Palatino Linotype"/>
          <w:b/>
          <w:color w:val="231F20"/>
          <w:spacing w:val="-6"/>
          <w:sz w:val="16"/>
        </w:rPr>
        <w:t>Total</w:t>
      </w:r>
    </w:p>
    <w:p>
      <w:pPr>
        <w:spacing w:after="0" w:line="242" w:lineRule="exact"/>
        <w:jc w:val="left"/>
        <w:rPr>
          <w:rFonts w:ascii="Palatino Linotype"/>
          <w:sz w:val="16"/>
        </w:rPr>
        <w:sectPr>
          <w:type w:val="continuous"/>
          <w:pgSz w:w="9640" w:h="13040"/>
          <w:pgMar w:top="1200" w:bottom="280" w:left="480" w:right="1180"/>
          <w:cols w:num="3" w:equalWidth="0">
            <w:col w:w="2830" w:space="40"/>
            <w:col w:w="1147" w:space="40"/>
            <w:col w:w="3923"/>
          </w:cols>
        </w:sectPr>
      </w:pPr>
    </w:p>
    <w:p>
      <w:pPr>
        <w:pStyle w:val="BodyText"/>
        <w:spacing w:before="8" w:after="1"/>
        <w:rPr>
          <w:rFonts w:ascii="Palatino Linotype"/>
          <w:b/>
          <w:sz w:val="8"/>
        </w:rPr>
      </w:pPr>
    </w:p>
    <w:p>
      <w:pPr>
        <w:pStyle w:val="BodyText"/>
        <w:spacing w:line="20" w:lineRule="exact"/>
        <w:ind w:left="648"/>
        <w:rPr>
          <w:rFonts w:ascii="Palatino Linotype"/>
          <w:sz w:val="2"/>
        </w:rPr>
      </w:pPr>
      <w:r>
        <w:rPr>
          <w:rFonts w:ascii="Palatino Linotype"/>
          <w:sz w:val="2"/>
        </w:rPr>
        <w:pict>
          <v:group style="width:360.9pt;height:.5pt;mso-position-horizontal-relative:char;mso-position-vertical-relative:line" coordorigin="0,0" coordsize="7218,10">
            <v:line style="position:absolute" from="5,5" to="487,5" stroked="true" strokeweight=".5pt" strokecolor="#231f20"/>
            <v:line style="position:absolute" from="487,5" to="997,5" stroked="true" strokeweight=".5pt" strokecolor="#231f20"/>
            <v:line style="position:absolute" from="997,5" to="1649,5" stroked="true" strokeweight=".5pt" strokecolor="#231f20"/>
            <v:line style="position:absolute" from="1649,5" to="2251,5" stroked="true" strokeweight=".5pt" strokecolor="#231f20"/>
            <v:line style="position:absolute" from="2251,5" to="2875,5" stroked="true" strokeweight=".5pt" strokecolor="#231f20"/>
            <v:line style="position:absolute" from="2875,5" to="3421,5" stroked="true" strokeweight=".5pt" strokecolor="#231f20"/>
            <v:line style="position:absolute" from="3421,5" to="4144,5" stroked="true" strokeweight=".5pt" strokecolor="#231f20"/>
            <v:line style="position:absolute" from="4144,5" to="4682,5" stroked="true" strokeweight=".5pt" strokecolor="#231f20"/>
            <v:line style="position:absolute" from="4682,5" to="5313,5" stroked="true" strokeweight=".5pt" strokecolor="#231f20"/>
            <v:line style="position:absolute" from="5313,5" to="6142,5" stroked="true" strokeweight=".5pt" strokecolor="#231f20"/>
            <v:line style="position:absolute" from="6142,5" to="6730,5" stroked="true" strokeweight=".5pt" strokecolor="#231f20"/>
            <v:line style="position:absolute" from="6730,5" to="7212,5" stroked="true" strokeweight=".5pt" strokecolor="#231f20"/>
          </v:group>
        </w:pict>
      </w:r>
      <w:r>
        <w:rPr>
          <w:rFonts w:ascii="Palatino Linotype"/>
          <w:sz w:val="2"/>
        </w:rPr>
      </w:r>
    </w:p>
    <w:p>
      <w:pPr>
        <w:tabs>
          <w:tab w:pos="1291" w:val="left" w:leader="none"/>
          <w:tab w:pos="1833" w:val="left" w:leader="none"/>
          <w:tab w:pos="2460" w:val="left" w:leader="none"/>
          <w:tab w:pos="3073" w:val="left" w:leader="none"/>
          <w:tab w:pos="3697" w:val="left" w:leader="none"/>
          <w:tab w:pos="4332" w:val="left" w:leader="none"/>
          <w:tab w:pos="4922" w:val="left" w:leader="none"/>
          <w:tab w:pos="5547" w:val="left" w:leader="none"/>
          <w:tab w:pos="6237" w:val="left" w:leader="none"/>
          <w:tab w:pos="6985" w:val="left" w:leader="none"/>
          <w:tab w:pos="7500" w:val="left" w:leader="none"/>
        </w:tabs>
        <w:spacing w:before="58"/>
        <w:ind w:left="728" w:right="0" w:firstLine="0"/>
        <w:jc w:val="left"/>
        <w:rPr>
          <w:sz w:val="17"/>
        </w:rPr>
      </w:pPr>
      <w:r>
        <w:rPr>
          <w:rFonts w:ascii="Palatino Linotype"/>
          <w:b/>
          <w:color w:val="231F20"/>
          <w:sz w:val="17"/>
        </w:rPr>
        <w:t>1988</w:t>
        <w:tab/>
      </w:r>
      <w:r>
        <w:rPr>
          <w:color w:val="231F20"/>
          <w:sz w:val="17"/>
        </w:rPr>
        <w:t>0.0</w:t>
        <w:tab/>
        <w:t>25.8</w:t>
        <w:tab/>
        <w:t>25.5</w:t>
        <w:tab/>
        <w:t>16.6</w:t>
        <w:tab/>
        <w:t>0.0</w:t>
        <w:tab/>
        <w:t>0.0</w:t>
        <w:tab/>
        <w:t>20.3</w:t>
        <w:tab/>
        <w:t>0.0</w:t>
        <w:tab/>
        <w:t>11.8</w:t>
        <w:tab/>
        <w:t>0.0</w:t>
        <w:tab/>
        <w:t>100</w:t>
      </w:r>
    </w:p>
    <w:p>
      <w:pPr>
        <w:pStyle w:val="BodyText"/>
        <w:rPr>
          <w:sz w:val="13"/>
        </w:rPr>
      </w:pPr>
    </w:p>
    <w:p>
      <w:pPr>
        <w:tabs>
          <w:tab w:pos="1292" w:val="left" w:leader="none"/>
          <w:tab w:pos="1833" w:val="left" w:leader="none"/>
          <w:tab w:pos="2460" w:val="left" w:leader="none"/>
          <w:tab w:pos="3073" w:val="left" w:leader="none"/>
          <w:tab w:pos="3697" w:val="left" w:leader="none"/>
          <w:tab w:pos="4332" w:val="left" w:leader="none"/>
          <w:tab w:pos="4922" w:val="left" w:leader="none"/>
          <w:tab w:pos="5547" w:val="left" w:leader="none"/>
          <w:tab w:pos="6237" w:val="left" w:leader="none"/>
          <w:tab w:pos="6986" w:val="left" w:leader="none"/>
          <w:tab w:pos="7500" w:val="left" w:leader="none"/>
        </w:tabs>
        <w:spacing w:before="1"/>
        <w:ind w:left="728" w:right="0" w:firstLine="0"/>
        <w:jc w:val="left"/>
        <w:rPr>
          <w:sz w:val="17"/>
        </w:rPr>
      </w:pPr>
      <w:r>
        <w:rPr>
          <w:rFonts w:ascii="Palatino Linotype"/>
          <w:b/>
          <w:color w:val="231F20"/>
          <w:sz w:val="17"/>
        </w:rPr>
        <w:t>1989</w:t>
        <w:tab/>
      </w:r>
      <w:r>
        <w:rPr>
          <w:color w:val="231F20"/>
          <w:sz w:val="17"/>
        </w:rPr>
        <w:t>0.0</w:t>
        <w:tab/>
        <w:t>25.7</w:t>
        <w:tab/>
        <w:t>20.1</w:t>
        <w:tab/>
        <w:t>17.9</w:t>
        <w:tab/>
        <w:t>0.0</w:t>
        <w:tab/>
        <w:t>0.0</w:t>
        <w:tab/>
        <w:t>19.2</w:t>
        <w:tab/>
        <w:t>0.0</w:t>
        <w:tab/>
        <w:t>17.2</w:t>
        <w:tab/>
        <w:t>0.0</w:t>
        <w:tab/>
        <w:t>100</w:t>
      </w:r>
    </w:p>
    <w:p>
      <w:pPr>
        <w:pStyle w:val="BodyText"/>
        <w:rPr>
          <w:sz w:val="13"/>
        </w:rPr>
      </w:pPr>
    </w:p>
    <w:p>
      <w:pPr>
        <w:tabs>
          <w:tab w:pos="1292" w:val="left" w:leader="none"/>
          <w:tab w:pos="1833" w:val="left" w:leader="none"/>
          <w:tab w:pos="2460" w:val="left" w:leader="none"/>
          <w:tab w:pos="3073" w:val="left" w:leader="none"/>
          <w:tab w:pos="3698" w:val="left" w:leader="none"/>
          <w:tab w:pos="4332" w:val="left" w:leader="none"/>
          <w:tab w:pos="4923" w:val="left" w:leader="none"/>
          <w:tab w:pos="5547" w:val="left" w:leader="none"/>
          <w:tab w:pos="6237" w:val="left" w:leader="none"/>
          <w:tab w:pos="6986" w:val="left" w:leader="none"/>
          <w:tab w:pos="7500" w:val="left" w:leader="none"/>
        </w:tabs>
        <w:spacing w:before="1"/>
        <w:ind w:left="728" w:right="0" w:firstLine="0"/>
        <w:jc w:val="left"/>
        <w:rPr>
          <w:sz w:val="17"/>
        </w:rPr>
      </w:pPr>
      <w:r>
        <w:rPr>
          <w:rFonts w:ascii="Palatino Linotype"/>
          <w:b/>
          <w:color w:val="231F20"/>
          <w:sz w:val="17"/>
        </w:rPr>
        <w:t>1990</w:t>
        <w:tab/>
      </w:r>
      <w:r>
        <w:rPr>
          <w:color w:val="231F20"/>
          <w:sz w:val="17"/>
        </w:rPr>
        <w:t>0.0</w:t>
        <w:tab/>
        <w:t>20.8</w:t>
        <w:tab/>
        <w:t>21.2</w:t>
        <w:tab/>
        <w:t>16.9</w:t>
        <w:tab/>
        <w:t>0.0</w:t>
        <w:tab/>
        <w:t>0.0</w:t>
        <w:tab/>
        <w:t>17.0</w:t>
        <w:tab/>
        <w:t>0.0</w:t>
        <w:tab/>
        <w:t>24.0</w:t>
        <w:tab/>
        <w:t>0.0</w:t>
        <w:tab/>
        <w:t>100</w:t>
      </w:r>
    </w:p>
    <w:p>
      <w:pPr>
        <w:pStyle w:val="BodyText"/>
        <w:rPr>
          <w:sz w:val="13"/>
        </w:rPr>
      </w:pPr>
    </w:p>
    <w:p>
      <w:pPr>
        <w:tabs>
          <w:tab w:pos="1292" w:val="left" w:leader="none"/>
          <w:tab w:pos="1833" w:val="left" w:leader="none"/>
          <w:tab w:pos="2460" w:val="left" w:leader="none"/>
          <w:tab w:pos="3073" w:val="left" w:leader="none"/>
          <w:tab w:pos="3698" w:val="left" w:leader="none"/>
          <w:tab w:pos="4332" w:val="left" w:leader="none"/>
          <w:tab w:pos="4923" w:val="left" w:leader="none"/>
          <w:tab w:pos="5547" w:val="left" w:leader="none"/>
          <w:tab w:pos="6237" w:val="left" w:leader="none"/>
          <w:tab w:pos="6986" w:val="left" w:leader="none"/>
          <w:tab w:pos="7500" w:val="left" w:leader="none"/>
        </w:tabs>
        <w:spacing w:before="1"/>
        <w:ind w:left="728" w:right="0" w:firstLine="0"/>
        <w:jc w:val="left"/>
        <w:rPr>
          <w:sz w:val="17"/>
        </w:rPr>
      </w:pPr>
      <w:r>
        <w:rPr>
          <w:rFonts w:ascii="Palatino Linotype"/>
          <w:b/>
          <w:color w:val="231F20"/>
          <w:sz w:val="17"/>
        </w:rPr>
        <w:t>1991</w:t>
        <w:tab/>
      </w:r>
      <w:r>
        <w:rPr>
          <w:color w:val="231F20"/>
          <w:sz w:val="17"/>
        </w:rPr>
        <w:t>0.0</w:t>
        <w:tab/>
        <w:t>20.2</w:t>
        <w:tab/>
        <w:t>23.2</w:t>
        <w:tab/>
        <w:t>20.0</w:t>
        <w:tab/>
        <w:t>0.0</w:t>
        <w:tab/>
        <w:t>0.0</w:t>
        <w:tab/>
        <w:t>14.9</w:t>
        <w:tab/>
        <w:t>0.0</w:t>
        <w:tab/>
        <w:t>21.7</w:t>
        <w:tab/>
        <w:t>0.0</w:t>
        <w:tab/>
        <w:t>100</w:t>
      </w:r>
    </w:p>
    <w:p>
      <w:pPr>
        <w:pStyle w:val="BodyText"/>
        <w:rPr>
          <w:sz w:val="13"/>
        </w:rPr>
      </w:pPr>
    </w:p>
    <w:p>
      <w:pPr>
        <w:tabs>
          <w:tab w:pos="1292" w:val="left" w:leader="none"/>
          <w:tab w:pos="1833" w:val="left" w:leader="none"/>
          <w:tab w:pos="2460" w:val="left" w:leader="none"/>
          <w:tab w:pos="3073" w:val="left" w:leader="none"/>
          <w:tab w:pos="3698" w:val="left" w:leader="none"/>
          <w:tab w:pos="4332" w:val="left" w:leader="none"/>
          <w:tab w:pos="4923" w:val="left" w:leader="none"/>
          <w:tab w:pos="5548" w:val="left" w:leader="none"/>
          <w:tab w:pos="6237" w:val="left" w:leader="none"/>
          <w:tab w:pos="6986" w:val="left" w:leader="none"/>
          <w:tab w:pos="7500" w:val="left" w:leader="none"/>
        </w:tabs>
        <w:spacing w:before="1"/>
        <w:ind w:left="728" w:right="0" w:firstLine="0"/>
        <w:jc w:val="left"/>
        <w:rPr>
          <w:sz w:val="17"/>
        </w:rPr>
      </w:pPr>
      <w:r>
        <w:rPr>
          <w:rFonts w:ascii="Palatino Linotype"/>
          <w:b/>
          <w:color w:val="231F20"/>
          <w:sz w:val="17"/>
        </w:rPr>
        <w:t>1992</w:t>
        <w:tab/>
      </w:r>
      <w:r>
        <w:rPr>
          <w:color w:val="231F20"/>
          <w:sz w:val="17"/>
        </w:rPr>
        <w:t>0.0</w:t>
        <w:tab/>
        <w:t>22.3</w:t>
        <w:tab/>
        <w:t>24.5</w:t>
        <w:tab/>
        <w:t>18.8</w:t>
        <w:tab/>
        <w:t>0.0</w:t>
        <w:tab/>
        <w:t>0.0</w:t>
        <w:tab/>
        <w:t>16.4</w:t>
        <w:tab/>
        <w:t>0.0</w:t>
        <w:tab/>
        <w:t>17.9</w:t>
        <w:tab/>
        <w:t>0.0</w:t>
        <w:tab/>
        <w:t>100</w:t>
      </w:r>
    </w:p>
    <w:p>
      <w:pPr>
        <w:pStyle w:val="BodyText"/>
        <w:rPr>
          <w:sz w:val="13"/>
        </w:rPr>
      </w:pPr>
    </w:p>
    <w:p>
      <w:pPr>
        <w:tabs>
          <w:tab w:pos="1292" w:val="left" w:leader="none"/>
          <w:tab w:pos="1833" w:val="left" w:leader="none"/>
          <w:tab w:pos="2461" w:val="left" w:leader="none"/>
          <w:tab w:pos="3074" w:val="left" w:leader="none"/>
          <w:tab w:pos="3698" w:val="left" w:leader="none"/>
          <w:tab w:pos="4332" w:val="left" w:leader="none"/>
          <w:tab w:pos="4923" w:val="left" w:leader="none"/>
          <w:tab w:pos="5548" w:val="left" w:leader="none"/>
          <w:tab w:pos="6238" w:val="left" w:leader="none"/>
          <w:tab w:pos="6986" w:val="left" w:leader="none"/>
          <w:tab w:pos="7500" w:val="left" w:leader="none"/>
        </w:tabs>
        <w:spacing w:before="1"/>
        <w:ind w:left="729" w:right="0" w:firstLine="0"/>
        <w:jc w:val="left"/>
        <w:rPr>
          <w:sz w:val="17"/>
        </w:rPr>
      </w:pPr>
      <w:r>
        <w:rPr>
          <w:rFonts w:ascii="Palatino Linotype"/>
          <w:b/>
          <w:color w:val="231F20"/>
          <w:sz w:val="17"/>
        </w:rPr>
        <w:t>1993</w:t>
        <w:tab/>
      </w:r>
      <w:r>
        <w:rPr>
          <w:color w:val="231F20"/>
          <w:sz w:val="17"/>
        </w:rPr>
        <w:t>0.0</w:t>
        <w:tab/>
        <w:t>21.6</w:t>
        <w:tab/>
        <w:t>19.8</w:t>
        <w:tab/>
        <w:t>18.2</w:t>
        <w:tab/>
        <w:t>0.0</w:t>
        <w:tab/>
        <w:t>0.0</w:t>
        <w:tab/>
        <w:t>17.6</w:t>
        <w:tab/>
        <w:t>0.0</w:t>
        <w:tab/>
        <w:t>22.6</w:t>
        <w:tab/>
        <w:t>0.0</w:t>
        <w:tab/>
        <w:t>100</w:t>
      </w:r>
    </w:p>
    <w:p>
      <w:pPr>
        <w:pStyle w:val="BodyText"/>
        <w:rPr>
          <w:sz w:val="13"/>
        </w:rPr>
      </w:pPr>
    </w:p>
    <w:p>
      <w:pPr>
        <w:tabs>
          <w:tab w:pos="1292" w:val="left" w:leader="none"/>
          <w:tab w:pos="1834" w:val="left" w:leader="none"/>
          <w:tab w:pos="2461" w:val="left" w:leader="none"/>
          <w:tab w:pos="3074" w:val="left" w:leader="none"/>
          <w:tab w:pos="3698" w:val="left" w:leader="none"/>
          <w:tab w:pos="4333" w:val="left" w:leader="none"/>
          <w:tab w:pos="4923" w:val="left" w:leader="none"/>
          <w:tab w:pos="5548" w:val="left" w:leader="none"/>
          <w:tab w:pos="6238" w:val="left" w:leader="none"/>
          <w:tab w:pos="6986" w:val="left" w:leader="none"/>
          <w:tab w:pos="7501" w:val="left" w:leader="none"/>
        </w:tabs>
        <w:spacing w:before="1"/>
        <w:ind w:left="729" w:right="0" w:firstLine="0"/>
        <w:jc w:val="left"/>
        <w:rPr>
          <w:sz w:val="17"/>
        </w:rPr>
      </w:pPr>
      <w:r>
        <w:rPr/>
        <w:pict>
          <v:group style="position:absolute;margin-left:56.442902pt;margin-top:15.148443pt;width:360.9pt;height:.5pt;mso-position-horizontal-relative:page;mso-position-vertical-relative:paragraph;z-index:8224;mso-wrap-distance-left:0;mso-wrap-distance-right:0" coordorigin="1129,303" coordsize="7218,10">
            <v:line style="position:absolute" from="1134,308" to="1616,308" stroked="true" strokeweight=".5pt" strokecolor="#231f20"/>
            <v:line style="position:absolute" from="1616,308" to="2126,308" stroked="true" strokeweight=".5pt" strokecolor="#231f20"/>
            <v:line style="position:absolute" from="2126,308" to="2778,308" stroked="true" strokeweight=".5pt" strokecolor="#231f20"/>
            <v:line style="position:absolute" from="2778,308" to="3380,308" stroked="true" strokeweight=".5pt" strokecolor="#231f20"/>
            <v:line style="position:absolute" from="3380,308" to="4004,308" stroked="true" strokeweight=".5pt" strokecolor="#231f20"/>
            <v:line style="position:absolute" from="4004,308" to="4550,308" stroked="true" strokeweight=".5pt" strokecolor="#231f20"/>
            <v:line style="position:absolute" from="4550,308" to="5272,308" stroked="true" strokeweight=".5pt" strokecolor="#231f20"/>
            <v:line style="position:absolute" from="5272,308" to="5811,308" stroked="true" strokeweight=".5pt" strokecolor="#231f20"/>
            <v:line style="position:absolute" from="5811,308" to="6442,308" stroked="true" strokeweight=".5pt" strokecolor="#231f20"/>
            <v:line style="position:absolute" from="6442,308" to="7271,308" stroked="true" strokeweight=".5pt" strokecolor="#231f20"/>
            <v:line style="position:absolute" from="7271,308" to="7859,308" stroked="true" strokeweight=".5pt" strokecolor="#231f20"/>
            <v:line style="position:absolute" from="7859,308" to="8341,308" stroked="true" strokeweight=".5pt" strokecolor="#231f20"/>
            <w10:wrap type="topAndBottom"/>
          </v:group>
        </w:pict>
      </w:r>
      <w:r>
        <w:rPr>
          <w:rFonts w:ascii="Palatino Linotype"/>
          <w:b/>
          <w:color w:val="231F20"/>
          <w:sz w:val="17"/>
        </w:rPr>
        <w:t>1994</w:t>
        <w:tab/>
      </w:r>
      <w:r>
        <w:rPr>
          <w:color w:val="231F20"/>
          <w:sz w:val="17"/>
        </w:rPr>
        <w:t>0.0</w:t>
        <w:tab/>
        <w:t>22.2</w:t>
        <w:tab/>
        <w:t>22.1</w:t>
        <w:tab/>
        <w:t>14.7</w:t>
        <w:tab/>
        <w:t>0.0</w:t>
        <w:tab/>
        <w:t>0.1</w:t>
        <w:tab/>
        <w:t>17.6</w:t>
        <w:tab/>
        <w:t>0.0</w:t>
        <w:tab/>
        <w:t>23.4</w:t>
        <w:tab/>
        <w:t>0.0</w:t>
        <w:tab/>
        <w:t>100</w:t>
      </w:r>
    </w:p>
    <w:p>
      <w:pPr>
        <w:spacing w:after="0"/>
        <w:jc w:val="left"/>
        <w:rPr>
          <w:sz w:val="17"/>
        </w:rPr>
        <w:sectPr>
          <w:type w:val="continuous"/>
          <w:pgSz w:w="9640" w:h="13040"/>
          <w:pgMar w:top="1200" w:bottom="280" w:left="480" w:right="1180"/>
        </w:sectPr>
      </w:pPr>
    </w:p>
    <w:p>
      <w:pPr>
        <w:pStyle w:val="BodyText"/>
        <w:rPr>
          <w:sz w:val="20"/>
        </w:rPr>
      </w:pPr>
    </w:p>
    <w:p>
      <w:pPr>
        <w:pStyle w:val="BodyText"/>
        <w:spacing w:before="8"/>
        <w:rPr>
          <w:sz w:val="15"/>
        </w:rPr>
      </w:pPr>
    </w:p>
    <w:p>
      <w:pPr>
        <w:pStyle w:val="Heading4"/>
        <w:spacing w:line="240" w:lineRule="auto"/>
        <w:ind w:left="2516" w:right="646"/>
        <w:jc w:val="left"/>
      </w:pPr>
      <w:r>
        <w:rPr/>
        <w:pict>
          <v:group style="position:absolute;margin-left:64.946899pt;margin-top:18.53248pt;width:360.9pt;height:.5pt;mso-position-horizontal-relative:page;mso-position-vertical-relative:paragraph;z-index:8248" coordorigin="1299,371" coordsize="7218,10">
            <v:line style="position:absolute" from="1304,376" to="1786,376" stroked="true" strokeweight=".5pt" strokecolor="#231f20"/>
            <v:line style="position:absolute" from="1786,376" to="2296,376" stroked="true" strokeweight=".5pt" strokecolor="#231f20"/>
            <v:line style="position:absolute" from="2296,376" to="2948,376" stroked="true" strokeweight=".5pt" strokecolor="#231f20"/>
            <v:line style="position:absolute" from="2948,376" to="3550,376" stroked="true" strokeweight=".5pt" strokecolor="#231f20"/>
            <v:line style="position:absolute" from="3550,376" to="4174,376" stroked="true" strokeweight=".5pt" strokecolor="#231f20"/>
            <v:line style="position:absolute" from="4174,376" to="4720,376" stroked="true" strokeweight=".5pt" strokecolor="#231f20"/>
            <v:line style="position:absolute" from="4720,376" to="5443,376" stroked="true" strokeweight=".5pt" strokecolor="#231f20"/>
            <v:line style="position:absolute" from="5443,376" to="5981,376" stroked="true" strokeweight=".5pt" strokecolor="#231f20"/>
            <v:line style="position:absolute" from="5981,376" to="6612,376" stroked="true" strokeweight=".5pt" strokecolor="#231f20"/>
            <v:line style="position:absolute" from="6612,376" to="7441,376" stroked="true" strokeweight=".5pt" strokecolor="#231f20"/>
            <v:line style="position:absolute" from="7441,376" to="8029,376" stroked="true" strokeweight=".5pt" strokecolor="#231f20"/>
            <v:line style="position:absolute" from="8029,376" to="8511,376" stroked="true" strokeweight=".5pt" strokecolor="#231f20"/>
            <w10:wrap type="none"/>
          </v:group>
        </w:pict>
      </w:r>
      <w:r>
        <w:rPr>
          <w:color w:val="231F20"/>
          <w:w w:val="90"/>
        </w:rPr>
        <w:t>Cuadro  III.3 (continuación)</w:t>
      </w:r>
    </w:p>
    <w:p>
      <w:pPr>
        <w:spacing w:after="0" w:line="240" w:lineRule="auto"/>
        <w:jc w:val="left"/>
        <w:sectPr>
          <w:pgSz w:w="9640" w:h="13040"/>
          <w:pgMar w:header="520" w:footer="654" w:top="880" w:bottom="840" w:left="1180" w:right="480"/>
        </w:sectPr>
      </w:pPr>
    </w:p>
    <w:p>
      <w:pPr>
        <w:spacing w:line="251" w:lineRule="exact" w:before="143"/>
        <w:ind w:left="0" w:right="80" w:firstLine="0"/>
        <w:jc w:val="right"/>
        <w:rPr>
          <w:rFonts w:ascii="Palatino Linotype"/>
          <w:b/>
          <w:sz w:val="17"/>
        </w:rPr>
      </w:pPr>
      <w:r>
        <w:rPr>
          <w:rFonts w:ascii="Palatino Linotype"/>
          <w:b/>
          <w:color w:val="231F20"/>
          <w:sz w:val="17"/>
        </w:rPr>
        <w:t>BMW Chrysler </w:t>
      </w:r>
      <w:r>
        <w:rPr>
          <w:rFonts w:ascii="Palatino Linotype"/>
          <w:b/>
          <w:color w:val="231F20"/>
          <w:position w:val="9"/>
          <w:sz w:val="17"/>
        </w:rPr>
        <w:t>Ford</w:t>
      </w:r>
    </w:p>
    <w:p>
      <w:pPr>
        <w:spacing w:line="161" w:lineRule="exact" w:before="0"/>
        <w:ind w:left="0" w:right="0" w:firstLine="0"/>
        <w:jc w:val="right"/>
        <w:rPr>
          <w:rFonts w:ascii="Palatino Linotype"/>
          <w:b/>
          <w:sz w:val="17"/>
        </w:rPr>
      </w:pPr>
      <w:r>
        <w:rPr>
          <w:rFonts w:ascii="Palatino Linotype"/>
          <w:b/>
          <w:color w:val="231F20"/>
          <w:w w:val="90"/>
          <w:sz w:val="17"/>
        </w:rPr>
        <w:t>Motors</w:t>
      </w:r>
    </w:p>
    <w:p>
      <w:pPr>
        <w:spacing w:line="163" w:lineRule="exact" w:before="139"/>
        <w:ind w:left="57" w:right="0" w:firstLine="0"/>
        <w:jc w:val="left"/>
        <w:rPr>
          <w:rFonts w:ascii="Palatino Linotype"/>
          <w:b/>
          <w:sz w:val="17"/>
        </w:rPr>
      </w:pPr>
      <w:r>
        <w:rPr/>
        <w:br w:type="column"/>
      </w:r>
      <w:r>
        <w:rPr>
          <w:rFonts w:ascii="Palatino Linotype"/>
          <w:b/>
          <w:color w:val="231F20"/>
          <w:sz w:val="17"/>
        </w:rPr>
        <w:t>General</w:t>
      </w:r>
    </w:p>
    <w:p>
      <w:pPr>
        <w:spacing w:line="253" w:lineRule="exact" w:before="0"/>
        <w:ind w:left="83" w:right="0" w:firstLine="0"/>
        <w:jc w:val="left"/>
        <w:rPr>
          <w:rFonts w:ascii="Palatino Linotype"/>
          <w:b/>
          <w:sz w:val="17"/>
        </w:rPr>
      </w:pPr>
      <w:r>
        <w:rPr>
          <w:rFonts w:ascii="Palatino Linotype"/>
          <w:b/>
          <w:color w:val="231F20"/>
          <w:spacing w:val="-4"/>
          <w:w w:val="95"/>
          <w:sz w:val="17"/>
        </w:rPr>
        <w:t>Motors </w:t>
      </w:r>
      <w:r>
        <w:rPr>
          <w:rFonts w:ascii="Palatino Linotype"/>
          <w:b/>
          <w:color w:val="231F20"/>
          <w:spacing w:val="-4"/>
          <w:w w:val="95"/>
          <w:position w:val="9"/>
          <w:sz w:val="17"/>
        </w:rPr>
        <w:t>Honda</w:t>
      </w:r>
    </w:p>
    <w:p>
      <w:pPr>
        <w:spacing w:line="161" w:lineRule="exact" w:before="139"/>
        <w:ind w:left="35" w:right="0" w:firstLine="0"/>
        <w:jc w:val="left"/>
        <w:rPr>
          <w:rFonts w:ascii="Palatino Linotype"/>
          <w:b/>
          <w:sz w:val="17"/>
        </w:rPr>
      </w:pPr>
      <w:r>
        <w:rPr/>
        <w:br w:type="column"/>
      </w:r>
      <w:r>
        <w:rPr>
          <w:rFonts w:ascii="Palatino Linotype"/>
          <w:b/>
          <w:color w:val="231F20"/>
          <w:sz w:val="17"/>
        </w:rPr>
        <w:t>Mercedez</w:t>
      </w:r>
    </w:p>
    <w:p>
      <w:pPr>
        <w:tabs>
          <w:tab w:pos="763" w:val="left" w:leader="none"/>
        </w:tabs>
        <w:spacing w:line="251" w:lineRule="exact" w:before="0"/>
        <w:ind w:left="190" w:right="0" w:firstLine="0"/>
        <w:jc w:val="left"/>
        <w:rPr>
          <w:rFonts w:ascii="Palatino Linotype"/>
          <w:b/>
          <w:sz w:val="17"/>
        </w:rPr>
      </w:pPr>
      <w:r>
        <w:rPr>
          <w:rFonts w:ascii="Palatino Linotype"/>
          <w:b/>
          <w:color w:val="231F20"/>
          <w:position w:val="-8"/>
          <w:sz w:val="17"/>
        </w:rPr>
        <w:t>Benz</w:t>
        <w:tab/>
      </w:r>
      <w:r>
        <w:rPr>
          <w:rFonts w:ascii="Palatino Linotype"/>
          <w:b/>
          <w:color w:val="231F20"/>
          <w:spacing w:val="-3"/>
          <w:w w:val="95"/>
          <w:sz w:val="17"/>
        </w:rPr>
        <w:t>Nissan Renault </w:t>
      </w:r>
      <w:r>
        <w:rPr>
          <w:rFonts w:ascii="Palatino Linotype"/>
          <w:b/>
          <w:color w:val="231F20"/>
          <w:spacing w:val="-4"/>
          <w:w w:val="95"/>
          <w:sz w:val="17"/>
        </w:rPr>
        <w:t>Volkswagen </w:t>
      </w:r>
      <w:r>
        <w:rPr>
          <w:rFonts w:ascii="Palatino Linotype"/>
          <w:b/>
          <w:color w:val="231F20"/>
          <w:spacing w:val="-6"/>
          <w:w w:val="95"/>
          <w:sz w:val="17"/>
        </w:rPr>
        <w:t>Toyota</w:t>
      </w:r>
      <w:r>
        <w:rPr>
          <w:rFonts w:ascii="Palatino Linotype"/>
          <w:b/>
          <w:color w:val="231F20"/>
          <w:spacing w:val="25"/>
          <w:w w:val="95"/>
          <w:sz w:val="17"/>
        </w:rPr>
        <w:t> </w:t>
      </w:r>
      <w:r>
        <w:rPr>
          <w:rFonts w:ascii="Palatino Linotype"/>
          <w:b/>
          <w:color w:val="231F20"/>
          <w:spacing w:val="-6"/>
          <w:w w:val="95"/>
          <w:sz w:val="17"/>
        </w:rPr>
        <w:t>Total</w:t>
      </w:r>
    </w:p>
    <w:p>
      <w:pPr>
        <w:spacing w:after="0" w:line="251" w:lineRule="exact"/>
        <w:jc w:val="left"/>
        <w:rPr>
          <w:rFonts w:ascii="Palatino Linotype"/>
          <w:sz w:val="17"/>
        </w:rPr>
        <w:sectPr>
          <w:type w:val="continuous"/>
          <w:pgSz w:w="9640" w:h="13040"/>
          <w:pgMar w:top="1200" w:bottom="280" w:left="1180" w:right="480"/>
          <w:cols w:num="3" w:equalWidth="0">
            <w:col w:w="2315" w:space="40"/>
            <w:col w:w="1146" w:space="40"/>
            <w:col w:w="4439"/>
          </w:cols>
        </w:sectPr>
      </w:pPr>
    </w:p>
    <w:p>
      <w:pPr>
        <w:pStyle w:val="BodyText"/>
        <w:spacing w:before="10"/>
        <w:rPr>
          <w:rFonts w:ascii="Palatino Linotype"/>
          <w:b/>
          <w:sz w:val="3"/>
        </w:rPr>
      </w:pPr>
    </w:p>
    <w:tbl>
      <w:tblPr>
        <w:tblW w:w="0" w:type="auto"/>
        <w:jc w:val="left"/>
        <w:tblInd w:w="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24"/>
        <w:gridCol w:w="485"/>
        <w:gridCol w:w="624"/>
        <w:gridCol w:w="620"/>
        <w:gridCol w:w="619"/>
        <w:gridCol w:w="589"/>
        <w:gridCol w:w="613"/>
        <w:gridCol w:w="648"/>
        <w:gridCol w:w="617"/>
        <w:gridCol w:w="759"/>
        <w:gridCol w:w="591"/>
        <w:gridCol w:w="517"/>
      </w:tblGrid>
      <w:tr>
        <w:trPr>
          <w:trHeight w:val="390" w:hRule="exact"/>
        </w:trPr>
        <w:tc>
          <w:tcPr>
            <w:tcW w:w="524" w:type="dxa"/>
            <w:tcBorders>
              <w:top w:val="single" w:sz="4" w:space="0" w:color="231F20"/>
            </w:tcBorders>
          </w:tcPr>
          <w:p>
            <w:pPr>
              <w:pStyle w:val="TableParagraph"/>
              <w:spacing w:before="62"/>
              <w:ind w:left="74"/>
              <w:jc w:val="left"/>
              <w:rPr>
                <w:rFonts w:ascii="Palatino Linotype"/>
                <w:b/>
                <w:sz w:val="17"/>
              </w:rPr>
            </w:pPr>
            <w:r>
              <w:rPr>
                <w:rFonts w:ascii="Palatino Linotype"/>
                <w:b/>
                <w:color w:val="231F20"/>
                <w:sz w:val="17"/>
              </w:rPr>
              <w:t>1995</w:t>
            </w:r>
          </w:p>
        </w:tc>
        <w:tc>
          <w:tcPr>
            <w:tcW w:w="485" w:type="dxa"/>
            <w:tcBorders>
              <w:top w:val="single" w:sz="4" w:space="0" w:color="231F20"/>
            </w:tcBorders>
          </w:tcPr>
          <w:p>
            <w:pPr>
              <w:pStyle w:val="TableParagraph"/>
              <w:spacing w:before="82"/>
              <w:ind w:left="114"/>
              <w:jc w:val="left"/>
              <w:rPr>
                <w:sz w:val="17"/>
              </w:rPr>
            </w:pPr>
            <w:r>
              <w:rPr>
                <w:color w:val="231F20"/>
                <w:sz w:val="17"/>
              </w:rPr>
              <w:t>0.0</w:t>
            </w:r>
          </w:p>
        </w:tc>
        <w:tc>
          <w:tcPr>
            <w:tcW w:w="624" w:type="dxa"/>
            <w:tcBorders>
              <w:top w:val="single" w:sz="4" w:space="0" w:color="231F20"/>
            </w:tcBorders>
          </w:tcPr>
          <w:p>
            <w:pPr>
              <w:pStyle w:val="TableParagraph"/>
              <w:spacing w:before="82"/>
              <w:ind w:left="170"/>
              <w:jc w:val="left"/>
              <w:rPr>
                <w:sz w:val="17"/>
              </w:rPr>
            </w:pPr>
            <w:r>
              <w:rPr>
                <w:color w:val="231F20"/>
                <w:sz w:val="17"/>
              </w:rPr>
              <w:t>22.1</w:t>
            </w:r>
          </w:p>
        </w:tc>
        <w:tc>
          <w:tcPr>
            <w:tcW w:w="620" w:type="dxa"/>
            <w:tcBorders>
              <w:top w:val="single" w:sz="4" w:space="0" w:color="231F20"/>
            </w:tcBorders>
          </w:tcPr>
          <w:p>
            <w:pPr>
              <w:pStyle w:val="TableParagraph"/>
              <w:spacing w:before="82"/>
              <w:ind w:left="140" w:right="136"/>
              <w:rPr>
                <w:sz w:val="17"/>
              </w:rPr>
            </w:pPr>
            <w:r>
              <w:rPr>
                <w:color w:val="231F20"/>
                <w:sz w:val="17"/>
              </w:rPr>
              <w:t>24.4</w:t>
            </w:r>
          </w:p>
        </w:tc>
        <w:tc>
          <w:tcPr>
            <w:tcW w:w="619" w:type="dxa"/>
            <w:tcBorders>
              <w:top w:val="single" w:sz="4" w:space="0" w:color="231F20"/>
            </w:tcBorders>
          </w:tcPr>
          <w:p>
            <w:pPr>
              <w:pStyle w:val="TableParagraph"/>
              <w:spacing w:before="82"/>
              <w:ind w:right="172"/>
              <w:jc w:val="right"/>
              <w:rPr>
                <w:sz w:val="17"/>
              </w:rPr>
            </w:pPr>
            <w:r>
              <w:rPr>
                <w:color w:val="231F20"/>
                <w:w w:val="90"/>
                <w:sz w:val="17"/>
              </w:rPr>
              <w:t>21.4</w:t>
            </w:r>
          </w:p>
        </w:tc>
        <w:tc>
          <w:tcPr>
            <w:tcW w:w="589" w:type="dxa"/>
            <w:tcBorders>
              <w:top w:val="single" w:sz="4" w:space="0" w:color="231F20"/>
            </w:tcBorders>
          </w:tcPr>
          <w:p>
            <w:pPr>
              <w:pStyle w:val="TableParagraph"/>
              <w:spacing w:before="82"/>
              <w:ind w:left="172"/>
              <w:jc w:val="left"/>
              <w:rPr>
                <w:sz w:val="17"/>
              </w:rPr>
            </w:pPr>
            <w:r>
              <w:rPr>
                <w:color w:val="231F20"/>
                <w:sz w:val="17"/>
              </w:rPr>
              <w:t>0.0</w:t>
            </w:r>
          </w:p>
        </w:tc>
        <w:tc>
          <w:tcPr>
            <w:tcW w:w="613" w:type="dxa"/>
            <w:tcBorders>
              <w:top w:val="single" w:sz="4" w:space="0" w:color="231F20"/>
            </w:tcBorders>
          </w:tcPr>
          <w:p>
            <w:pPr>
              <w:pStyle w:val="TableParagraph"/>
              <w:spacing w:before="82"/>
              <w:ind w:left="187" w:right="168"/>
              <w:rPr>
                <w:sz w:val="17"/>
              </w:rPr>
            </w:pPr>
            <w:r>
              <w:rPr>
                <w:color w:val="231F20"/>
                <w:sz w:val="17"/>
              </w:rPr>
              <w:t>0.5</w:t>
            </w:r>
          </w:p>
        </w:tc>
        <w:tc>
          <w:tcPr>
            <w:tcW w:w="648" w:type="dxa"/>
            <w:tcBorders>
              <w:top w:val="single" w:sz="4" w:space="0" w:color="231F20"/>
            </w:tcBorders>
          </w:tcPr>
          <w:p>
            <w:pPr>
              <w:pStyle w:val="TableParagraph"/>
              <w:spacing w:before="82"/>
              <w:ind w:right="172"/>
              <w:jc w:val="right"/>
              <w:rPr>
                <w:sz w:val="17"/>
              </w:rPr>
            </w:pPr>
            <w:r>
              <w:rPr>
                <w:color w:val="231F20"/>
                <w:w w:val="90"/>
                <w:sz w:val="17"/>
              </w:rPr>
              <w:t>11.5</w:t>
            </w:r>
          </w:p>
        </w:tc>
        <w:tc>
          <w:tcPr>
            <w:tcW w:w="617" w:type="dxa"/>
            <w:tcBorders>
              <w:top w:val="single" w:sz="4" w:space="0" w:color="231F20"/>
            </w:tcBorders>
          </w:tcPr>
          <w:p>
            <w:pPr>
              <w:pStyle w:val="TableParagraph"/>
              <w:spacing w:before="82"/>
              <w:ind w:left="172"/>
              <w:jc w:val="left"/>
              <w:rPr>
                <w:sz w:val="17"/>
              </w:rPr>
            </w:pPr>
            <w:r>
              <w:rPr>
                <w:color w:val="231F20"/>
                <w:sz w:val="17"/>
              </w:rPr>
              <w:t>0.0</w:t>
            </w:r>
          </w:p>
        </w:tc>
        <w:tc>
          <w:tcPr>
            <w:tcW w:w="759" w:type="dxa"/>
            <w:tcBorders>
              <w:top w:val="single" w:sz="4" w:space="0" w:color="231F20"/>
            </w:tcBorders>
          </w:tcPr>
          <w:p>
            <w:pPr>
              <w:pStyle w:val="TableParagraph"/>
              <w:spacing w:before="82"/>
              <w:ind w:left="212" w:right="204"/>
              <w:rPr>
                <w:sz w:val="17"/>
              </w:rPr>
            </w:pPr>
            <w:r>
              <w:rPr>
                <w:color w:val="231F20"/>
                <w:sz w:val="17"/>
              </w:rPr>
              <w:t>20.6</w:t>
            </w:r>
          </w:p>
        </w:tc>
        <w:tc>
          <w:tcPr>
            <w:tcW w:w="591" w:type="dxa"/>
            <w:tcBorders>
              <w:top w:val="single" w:sz="4" w:space="0" w:color="231F20"/>
            </w:tcBorders>
          </w:tcPr>
          <w:p>
            <w:pPr>
              <w:pStyle w:val="TableParagraph"/>
              <w:spacing w:before="82"/>
              <w:ind w:left="203" w:right="129"/>
              <w:rPr>
                <w:sz w:val="17"/>
              </w:rPr>
            </w:pPr>
            <w:r>
              <w:rPr>
                <w:color w:val="231F20"/>
                <w:sz w:val="17"/>
              </w:rPr>
              <w:t>0.0</w:t>
            </w:r>
          </w:p>
        </w:tc>
        <w:tc>
          <w:tcPr>
            <w:tcW w:w="517" w:type="dxa"/>
            <w:tcBorders>
              <w:top w:val="single" w:sz="4" w:space="0" w:color="231F20"/>
            </w:tcBorders>
          </w:tcPr>
          <w:p>
            <w:pPr>
              <w:pStyle w:val="TableParagraph"/>
              <w:spacing w:before="82"/>
              <w:ind w:right="118"/>
              <w:jc w:val="right"/>
              <w:rPr>
                <w:sz w:val="17"/>
              </w:rPr>
            </w:pPr>
            <w:r>
              <w:rPr>
                <w:color w:val="231F20"/>
                <w:w w:val="90"/>
                <w:sz w:val="17"/>
              </w:rPr>
              <w:t>100</w:t>
            </w:r>
          </w:p>
        </w:tc>
      </w:tr>
      <w:tr>
        <w:trPr>
          <w:trHeight w:val="369" w:hRule="exact"/>
        </w:trPr>
        <w:tc>
          <w:tcPr>
            <w:tcW w:w="524" w:type="dxa"/>
          </w:tcPr>
          <w:p>
            <w:pPr>
              <w:pStyle w:val="TableParagraph"/>
              <w:spacing w:before="46"/>
              <w:ind w:left="74"/>
              <w:jc w:val="left"/>
              <w:rPr>
                <w:rFonts w:ascii="Palatino Linotype"/>
                <w:b/>
                <w:sz w:val="17"/>
              </w:rPr>
            </w:pPr>
            <w:r>
              <w:rPr>
                <w:rFonts w:ascii="Palatino Linotype"/>
                <w:b/>
                <w:color w:val="231F20"/>
                <w:sz w:val="17"/>
              </w:rPr>
              <w:t>1996</w:t>
            </w:r>
          </w:p>
        </w:tc>
        <w:tc>
          <w:tcPr>
            <w:tcW w:w="485" w:type="dxa"/>
          </w:tcPr>
          <w:p>
            <w:pPr>
              <w:pStyle w:val="TableParagraph"/>
              <w:spacing w:before="65"/>
              <w:ind w:left="114"/>
              <w:jc w:val="left"/>
              <w:rPr>
                <w:sz w:val="17"/>
              </w:rPr>
            </w:pPr>
            <w:r>
              <w:rPr>
                <w:color w:val="231F20"/>
                <w:sz w:val="17"/>
              </w:rPr>
              <w:t>0.0</w:t>
            </w:r>
          </w:p>
        </w:tc>
        <w:tc>
          <w:tcPr>
            <w:tcW w:w="624" w:type="dxa"/>
          </w:tcPr>
          <w:p>
            <w:pPr>
              <w:pStyle w:val="TableParagraph"/>
              <w:spacing w:before="65"/>
              <w:ind w:left="170"/>
              <w:jc w:val="left"/>
              <w:rPr>
                <w:sz w:val="17"/>
              </w:rPr>
            </w:pPr>
            <w:r>
              <w:rPr>
                <w:color w:val="231F20"/>
                <w:sz w:val="17"/>
              </w:rPr>
              <w:t>29.8</w:t>
            </w:r>
          </w:p>
        </w:tc>
        <w:tc>
          <w:tcPr>
            <w:tcW w:w="620" w:type="dxa"/>
          </w:tcPr>
          <w:p>
            <w:pPr>
              <w:pStyle w:val="TableParagraph"/>
              <w:spacing w:before="65"/>
              <w:ind w:left="140" w:right="136"/>
              <w:rPr>
                <w:sz w:val="17"/>
              </w:rPr>
            </w:pPr>
            <w:r>
              <w:rPr>
                <w:color w:val="231F20"/>
                <w:sz w:val="17"/>
              </w:rPr>
              <w:t>17.6</w:t>
            </w:r>
          </w:p>
        </w:tc>
        <w:tc>
          <w:tcPr>
            <w:tcW w:w="619" w:type="dxa"/>
          </w:tcPr>
          <w:p>
            <w:pPr>
              <w:pStyle w:val="TableParagraph"/>
              <w:spacing w:before="65"/>
              <w:ind w:right="172"/>
              <w:jc w:val="right"/>
              <w:rPr>
                <w:sz w:val="17"/>
              </w:rPr>
            </w:pPr>
            <w:r>
              <w:rPr>
                <w:color w:val="231F20"/>
                <w:w w:val="90"/>
                <w:sz w:val="17"/>
              </w:rPr>
              <w:t>22.1</w:t>
            </w:r>
          </w:p>
        </w:tc>
        <w:tc>
          <w:tcPr>
            <w:tcW w:w="589" w:type="dxa"/>
          </w:tcPr>
          <w:p>
            <w:pPr>
              <w:pStyle w:val="TableParagraph"/>
              <w:spacing w:before="65"/>
              <w:ind w:left="172"/>
              <w:jc w:val="left"/>
              <w:rPr>
                <w:sz w:val="17"/>
              </w:rPr>
            </w:pPr>
            <w:r>
              <w:rPr>
                <w:color w:val="231F20"/>
                <w:sz w:val="17"/>
              </w:rPr>
              <w:t>0.1</w:t>
            </w:r>
          </w:p>
        </w:tc>
        <w:tc>
          <w:tcPr>
            <w:tcW w:w="613" w:type="dxa"/>
          </w:tcPr>
          <w:p>
            <w:pPr>
              <w:pStyle w:val="TableParagraph"/>
              <w:spacing w:before="65"/>
              <w:ind w:left="187" w:right="168"/>
              <w:rPr>
                <w:sz w:val="17"/>
              </w:rPr>
            </w:pPr>
            <w:r>
              <w:rPr>
                <w:color w:val="231F20"/>
                <w:sz w:val="17"/>
              </w:rPr>
              <w:t>0.4</w:t>
            </w:r>
          </w:p>
        </w:tc>
        <w:tc>
          <w:tcPr>
            <w:tcW w:w="648" w:type="dxa"/>
          </w:tcPr>
          <w:p>
            <w:pPr>
              <w:pStyle w:val="TableParagraph"/>
              <w:spacing w:before="65"/>
              <w:ind w:right="172"/>
              <w:jc w:val="right"/>
              <w:rPr>
                <w:sz w:val="17"/>
              </w:rPr>
            </w:pPr>
            <w:r>
              <w:rPr>
                <w:color w:val="231F20"/>
                <w:w w:val="90"/>
                <w:sz w:val="17"/>
              </w:rPr>
              <w:t>11.2</w:t>
            </w:r>
          </w:p>
        </w:tc>
        <w:tc>
          <w:tcPr>
            <w:tcW w:w="617" w:type="dxa"/>
          </w:tcPr>
          <w:p>
            <w:pPr>
              <w:pStyle w:val="TableParagraph"/>
              <w:spacing w:before="65"/>
              <w:ind w:left="172"/>
              <w:jc w:val="left"/>
              <w:rPr>
                <w:sz w:val="17"/>
              </w:rPr>
            </w:pPr>
            <w:r>
              <w:rPr>
                <w:color w:val="231F20"/>
                <w:sz w:val="17"/>
              </w:rPr>
              <w:t>0.0</w:t>
            </w:r>
          </w:p>
        </w:tc>
        <w:tc>
          <w:tcPr>
            <w:tcW w:w="759" w:type="dxa"/>
          </w:tcPr>
          <w:p>
            <w:pPr>
              <w:pStyle w:val="TableParagraph"/>
              <w:spacing w:before="65"/>
              <w:ind w:left="212" w:right="204"/>
              <w:rPr>
                <w:sz w:val="17"/>
              </w:rPr>
            </w:pPr>
            <w:r>
              <w:rPr>
                <w:color w:val="231F20"/>
                <w:sz w:val="17"/>
              </w:rPr>
              <w:t>19.1</w:t>
            </w:r>
          </w:p>
        </w:tc>
        <w:tc>
          <w:tcPr>
            <w:tcW w:w="591" w:type="dxa"/>
          </w:tcPr>
          <w:p>
            <w:pPr>
              <w:pStyle w:val="TableParagraph"/>
              <w:spacing w:before="65"/>
              <w:ind w:left="204" w:right="129"/>
              <w:rPr>
                <w:sz w:val="17"/>
              </w:rPr>
            </w:pPr>
            <w:r>
              <w:rPr>
                <w:color w:val="231F20"/>
                <w:sz w:val="17"/>
              </w:rPr>
              <w:t>0.0</w:t>
            </w:r>
          </w:p>
        </w:tc>
        <w:tc>
          <w:tcPr>
            <w:tcW w:w="517" w:type="dxa"/>
          </w:tcPr>
          <w:p>
            <w:pPr>
              <w:pStyle w:val="TableParagraph"/>
              <w:spacing w:before="65"/>
              <w:ind w:right="118"/>
              <w:jc w:val="right"/>
              <w:rPr>
                <w:sz w:val="17"/>
              </w:rPr>
            </w:pPr>
            <w:r>
              <w:rPr>
                <w:color w:val="231F20"/>
                <w:w w:val="90"/>
                <w:sz w:val="17"/>
              </w:rPr>
              <w:t>100</w:t>
            </w:r>
          </w:p>
        </w:tc>
      </w:tr>
      <w:tr>
        <w:trPr>
          <w:trHeight w:val="369" w:hRule="exact"/>
        </w:trPr>
        <w:tc>
          <w:tcPr>
            <w:tcW w:w="524" w:type="dxa"/>
          </w:tcPr>
          <w:p>
            <w:pPr>
              <w:pStyle w:val="TableParagraph"/>
              <w:spacing w:before="46"/>
              <w:ind w:left="74"/>
              <w:jc w:val="left"/>
              <w:rPr>
                <w:rFonts w:ascii="Palatino Linotype"/>
                <w:b/>
                <w:sz w:val="17"/>
              </w:rPr>
            </w:pPr>
            <w:r>
              <w:rPr>
                <w:rFonts w:ascii="Palatino Linotype"/>
                <w:b/>
                <w:color w:val="231F20"/>
                <w:sz w:val="17"/>
              </w:rPr>
              <w:t>1997</w:t>
            </w:r>
          </w:p>
        </w:tc>
        <w:tc>
          <w:tcPr>
            <w:tcW w:w="485" w:type="dxa"/>
          </w:tcPr>
          <w:p>
            <w:pPr>
              <w:pStyle w:val="TableParagraph"/>
              <w:spacing w:before="65"/>
              <w:ind w:left="114"/>
              <w:jc w:val="left"/>
              <w:rPr>
                <w:sz w:val="17"/>
              </w:rPr>
            </w:pPr>
            <w:r>
              <w:rPr>
                <w:color w:val="231F20"/>
                <w:sz w:val="17"/>
              </w:rPr>
              <w:t>0.1</w:t>
            </w:r>
          </w:p>
        </w:tc>
        <w:tc>
          <w:tcPr>
            <w:tcW w:w="624" w:type="dxa"/>
          </w:tcPr>
          <w:p>
            <w:pPr>
              <w:pStyle w:val="TableParagraph"/>
              <w:spacing w:before="65"/>
              <w:ind w:left="170"/>
              <w:jc w:val="left"/>
              <w:rPr>
                <w:sz w:val="17"/>
              </w:rPr>
            </w:pPr>
            <w:r>
              <w:rPr>
                <w:color w:val="231F20"/>
                <w:sz w:val="17"/>
              </w:rPr>
              <w:t>26.6</w:t>
            </w:r>
          </w:p>
        </w:tc>
        <w:tc>
          <w:tcPr>
            <w:tcW w:w="620" w:type="dxa"/>
          </w:tcPr>
          <w:p>
            <w:pPr>
              <w:pStyle w:val="TableParagraph"/>
              <w:spacing w:before="65"/>
              <w:ind w:left="141" w:right="136"/>
              <w:rPr>
                <w:sz w:val="17"/>
              </w:rPr>
            </w:pPr>
            <w:r>
              <w:rPr>
                <w:color w:val="231F20"/>
                <w:sz w:val="17"/>
              </w:rPr>
              <w:t>18.4</w:t>
            </w:r>
          </w:p>
        </w:tc>
        <w:tc>
          <w:tcPr>
            <w:tcW w:w="619" w:type="dxa"/>
          </w:tcPr>
          <w:p>
            <w:pPr>
              <w:pStyle w:val="TableParagraph"/>
              <w:spacing w:before="65"/>
              <w:ind w:right="172"/>
              <w:jc w:val="right"/>
              <w:rPr>
                <w:sz w:val="17"/>
              </w:rPr>
            </w:pPr>
            <w:r>
              <w:rPr>
                <w:color w:val="231F20"/>
                <w:w w:val="90"/>
                <w:sz w:val="17"/>
              </w:rPr>
              <w:t>22.5</w:t>
            </w:r>
          </w:p>
        </w:tc>
        <w:tc>
          <w:tcPr>
            <w:tcW w:w="589" w:type="dxa"/>
          </w:tcPr>
          <w:p>
            <w:pPr>
              <w:pStyle w:val="TableParagraph"/>
              <w:spacing w:before="65"/>
              <w:ind w:left="172"/>
              <w:jc w:val="left"/>
              <w:rPr>
                <w:sz w:val="17"/>
              </w:rPr>
            </w:pPr>
            <w:r>
              <w:rPr>
                <w:color w:val="231F20"/>
                <w:sz w:val="17"/>
              </w:rPr>
              <w:t>0.2</w:t>
            </w:r>
          </w:p>
        </w:tc>
        <w:tc>
          <w:tcPr>
            <w:tcW w:w="613" w:type="dxa"/>
          </w:tcPr>
          <w:p>
            <w:pPr>
              <w:pStyle w:val="TableParagraph"/>
              <w:spacing w:before="65"/>
              <w:ind w:left="187" w:right="168"/>
              <w:rPr>
                <w:sz w:val="17"/>
              </w:rPr>
            </w:pPr>
            <w:r>
              <w:rPr>
                <w:color w:val="231F20"/>
                <w:sz w:val="17"/>
              </w:rPr>
              <w:t>0.3</w:t>
            </w:r>
          </w:p>
        </w:tc>
        <w:tc>
          <w:tcPr>
            <w:tcW w:w="648" w:type="dxa"/>
          </w:tcPr>
          <w:p>
            <w:pPr>
              <w:pStyle w:val="TableParagraph"/>
              <w:spacing w:before="65"/>
              <w:ind w:right="172"/>
              <w:jc w:val="right"/>
              <w:rPr>
                <w:sz w:val="17"/>
              </w:rPr>
            </w:pPr>
            <w:r>
              <w:rPr>
                <w:color w:val="231F20"/>
                <w:w w:val="90"/>
                <w:sz w:val="17"/>
              </w:rPr>
              <w:t>12.9</w:t>
            </w:r>
          </w:p>
        </w:tc>
        <w:tc>
          <w:tcPr>
            <w:tcW w:w="617" w:type="dxa"/>
          </w:tcPr>
          <w:p>
            <w:pPr>
              <w:pStyle w:val="TableParagraph"/>
              <w:spacing w:before="65"/>
              <w:ind w:left="172"/>
              <w:jc w:val="left"/>
              <w:rPr>
                <w:sz w:val="17"/>
              </w:rPr>
            </w:pPr>
            <w:r>
              <w:rPr>
                <w:color w:val="231F20"/>
                <w:sz w:val="17"/>
              </w:rPr>
              <w:t>0.0</w:t>
            </w:r>
          </w:p>
        </w:tc>
        <w:tc>
          <w:tcPr>
            <w:tcW w:w="759" w:type="dxa"/>
          </w:tcPr>
          <w:p>
            <w:pPr>
              <w:pStyle w:val="TableParagraph"/>
              <w:spacing w:before="65"/>
              <w:ind w:left="212" w:right="204"/>
              <w:rPr>
                <w:sz w:val="17"/>
              </w:rPr>
            </w:pPr>
            <w:r>
              <w:rPr>
                <w:color w:val="231F20"/>
                <w:sz w:val="17"/>
              </w:rPr>
              <w:t>19.2</w:t>
            </w:r>
          </w:p>
        </w:tc>
        <w:tc>
          <w:tcPr>
            <w:tcW w:w="591" w:type="dxa"/>
          </w:tcPr>
          <w:p>
            <w:pPr>
              <w:pStyle w:val="TableParagraph"/>
              <w:spacing w:before="65"/>
              <w:ind w:left="204" w:right="129"/>
              <w:rPr>
                <w:sz w:val="17"/>
              </w:rPr>
            </w:pPr>
            <w:r>
              <w:rPr>
                <w:color w:val="231F20"/>
                <w:sz w:val="17"/>
              </w:rPr>
              <w:t>0.0</w:t>
            </w:r>
          </w:p>
        </w:tc>
        <w:tc>
          <w:tcPr>
            <w:tcW w:w="517" w:type="dxa"/>
          </w:tcPr>
          <w:p>
            <w:pPr>
              <w:pStyle w:val="TableParagraph"/>
              <w:spacing w:before="65"/>
              <w:ind w:right="118"/>
              <w:jc w:val="right"/>
              <w:rPr>
                <w:sz w:val="17"/>
              </w:rPr>
            </w:pPr>
            <w:r>
              <w:rPr>
                <w:color w:val="231F20"/>
                <w:w w:val="90"/>
                <w:sz w:val="17"/>
              </w:rPr>
              <w:t>100</w:t>
            </w:r>
          </w:p>
        </w:tc>
      </w:tr>
      <w:tr>
        <w:trPr>
          <w:trHeight w:val="369" w:hRule="exact"/>
        </w:trPr>
        <w:tc>
          <w:tcPr>
            <w:tcW w:w="524" w:type="dxa"/>
          </w:tcPr>
          <w:p>
            <w:pPr>
              <w:pStyle w:val="TableParagraph"/>
              <w:spacing w:before="46"/>
              <w:ind w:left="74"/>
              <w:jc w:val="left"/>
              <w:rPr>
                <w:rFonts w:ascii="Palatino Linotype"/>
                <w:b/>
                <w:sz w:val="17"/>
              </w:rPr>
            </w:pPr>
            <w:r>
              <w:rPr>
                <w:rFonts w:ascii="Palatino Linotype"/>
                <w:b/>
                <w:color w:val="231F20"/>
                <w:sz w:val="17"/>
              </w:rPr>
              <w:t>1998</w:t>
            </w:r>
          </w:p>
        </w:tc>
        <w:tc>
          <w:tcPr>
            <w:tcW w:w="485" w:type="dxa"/>
          </w:tcPr>
          <w:p>
            <w:pPr>
              <w:pStyle w:val="TableParagraph"/>
              <w:spacing w:before="65"/>
              <w:ind w:left="114"/>
              <w:jc w:val="left"/>
              <w:rPr>
                <w:sz w:val="17"/>
              </w:rPr>
            </w:pPr>
            <w:r>
              <w:rPr>
                <w:color w:val="231F20"/>
                <w:sz w:val="17"/>
              </w:rPr>
              <w:t>0.1</w:t>
            </w:r>
          </w:p>
        </w:tc>
        <w:tc>
          <w:tcPr>
            <w:tcW w:w="624" w:type="dxa"/>
          </w:tcPr>
          <w:p>
            <w:pPr>
              <w:pStyle w:val="TableParagraph"/>
              <w:spacing w:before="65"/>
              <w:ind w:left="170"/>
              <w:jc w:val="left"/>
              <w:rPr>
                <w:sz w:val="17"/>
              </w:rPr>
            </w:pPr>
            <w:r>
              <w:rPr>
                <w:color w:val="231F20"/>
                <w:sz w:val="17"/>
              </w:rPr>
              <w:t>25.2</w:t>
            </w:r>
          </w:p>
        </w:tc>
        <w:tc>
          <w:tcPr>
            <w:tcW w:w="620" w:type="dxa"/>
          </w:tcPr>
          <w:p>
            <w:pPr>
              <w:pStyle w:val="TableParagraph"/>
              <w:spacing w:before="65"/>
              <w:ind w:left="141" w:right="136"/>
              <w:rPr>
                <w:sz w:val="17"/>
              </w:rPr>
            </w:pPr>
            <w:r>
              <w:rPr>
                <w:color w:val="231F20"/>
                <w:sz w:val="17"/>
              </w:rPr>
              <w:t>15.0</w:t>
            </w:r>
          </w:p>
        </w:tc>
        <w:tc>
          <w:tcPr>
            <w:tcW w:w="619" w:type="dxa"/>
          </w:tcPr>
          <w:p>
            <w:pPr>
              <w:pStyle w:val="TableParagraph"/>
              <w:spacing w:before="65"/>
              <w:ind w:right="172"/>
              <w:jc w:val="right"/>
              <w:rPr>
                <w:sz w:val="17"/>
              </w:rPr>
            </w:pPr>
            <w:r>
              <w:rPr>
                <w:color w:val="231F20"/>
                <w:w w:val="90"/>
                <w:sz w:val="17"/>
              </w:rPr>
              <w:t>22.1</w:t>
            </w:r>
          </w:p>
        </w:tc>
        <w:tc>
          <w:tcPr>
            <w:tcW w:w="589" w:type="dxa"/>
          </w:tcPr>
          <w:p>
            <w:pPr>
              <w:pStyle w:val="TableParagraph"/>
              <w:spacing w:before="65"/>
              <w:ind w:left="172"/>
              <w:jc w:val="left"/>
              <w:rPr>
                <w:sz w:val="17"/>
              </w:rPr>
            </w:pPr>
            <w:r>
              <w:rPr>
                <w:color w:val="231F20"/>
                <w:sz w:val="17"/>
              </w:rPr>
              <w:t>0.5</w:t>
            </w:r>
          </w:p>
        </w:tc>
        <w:tc>
          <w:tcPr>
            <w:tcW w:w="613" w:type="dxa"/>
          </w:tcPr>
          <w:p>
            <w:pPr>
              <w:pStyle w:val="TableParagraph"/>
              <w:spacing w:before="65"/>
              <w:ind w:left="188" w:right="168"/>
              <w:rPr>
                <w:sz w:val="17"/>
              </w:rPr>
            </w:pPr>
            <w:r>
              <w:rPr>
                <w:color w:val="231F20"/>
                <w:sz w:val="17"/>
              </w:rPr>
              <w:t>0.2</w:t>
            </w:r>
          </w:p>
        </w:tc>
        <w:tc>
          <w:tcPr>
            <w:tcW w:w="648" w:type="dxa"/>
          </w:tcPr>
          <w:p>
            <w:pPr>
              <w:pStyle w:val="TableParagraph"/>
              <w:spacing w:before="65"/>
              <w:ind w:right="172"/>
              <w:jc w:val="right"/>
              <w:rPr>
                <w:sz w:val="17"/>
              </w:rPr>
            </w:pPr>
            <w:r>
              <w:rPr>
                <w:color w:val="231F20"/>
                <w:w w:val="90"/>
                <w:sz w:val="17"/>
              </w:rPr>
              <w:t>13.3</w:t>
            </w:r>
          </w:p>
        </w:tc>
        <w:tc>
          <w:tcPr>
            <w:tcW w:w="617" w:type="dxa"/>
          </w:tcPr>
          <w:p>
            <w:pPr>
              <w:pStyle w:val="TableParagraph"/>
              <w:spacing w:before="65"/>
              <w:ind w:left="172"/>
              <w:jc w:val="left"/>
              <w:rPr>
                <w:sz w:val="17"/>
              </w:rPr>
            </w:pPr>
            <w:r>
              <w:rPr>
                <w:color w:val="231F20"/>
                <w:sz w:val="17"/>
              </w:rPr>
              <w:t>0.0</w:t>
            </w:r>
          </w:p>
        </w:tc>
        <w:tc>
          <w:tcPr>
            <w:tcW w:w="759" w:type="dxa"/>
          </w:tcPr>
          <w:p>
            <w:pPr>
              <w:pStyle w:val="TableParagraph"/>
              <w:spacing w:before="65"/>
              <w:ind w:left="213" w:right="204"/>
              <w:rPr>
                <w:sz w:val="17"/>
              </w:rPr>
            </w:pPr>
            <w:r>
              <w:rPr>
                <w:color w:val="231F20"/>
                <w:sz w:val="17"/>
              </w:rPr>
              <w:t>23.7</w:t>
            </w:r>
          </w:p>
        </w:tc>
        <w:tc>
          <w:tcPr>
            <w:tcW w:w="591" w:type="dxa"/>
          </w:tcPr>
          <w:p>
            <w:pPr>
              <w:pStyle w:val="TableParagraph"/>
              <w:spacing w:before="65"/>
              <w:ind w:left="204" w:right="129"/>
              <w:rPr>
                <w:sz w:val="17"/>
              </w:rPr>
            </w:pPr>
            <w:r>
              <w:rPr>
                <w:color w:val="231F20"/>
                <w:sz w:val="17"/>
              </w:rPr>
              <w:t>0.0</w:t>
            </w:r>
          </w:p>
        </w:tc>
        <w:tc>
          <w:tcPr>
            <w:tcW w:w="517" w:type="dxa"/>
          </w:tcPr>
          <w:p>
            <w:pPr>
              <w:pStyle w:val="TableParagraph"/>
              <w:spacing w:before="65"/>
              <w:ind w:right="118"/>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1999</w:t>
            </w:r>
          </w:p>
        </w:tc>
        <w:tc>
          <w:tcPr>
            <w:tcW w:w="485" w:type="dxa"/>
          </w:tcPr>
          <w:p>
            <w:pPr>
              <w:pStyle w:val="TableParagraph"/>
              <w:spacing w:before="65"/>
              <w:ind w:left="114"/>
              <w:jc w:val="left"/>
              <w:rPr>
                <w:sz w:val="17"/>
              </w:rPr>
            </w:pPr>
            <w:r>
              <w:rPr>
                <w:color w:val="231F20"/>
                <w:sz w:val="17"/>
              </w:rPr>
              <w:t>0.1</w:t>
            </w:r>
          </w:p>
        </w:tc>
        <w:tc>
          <w:tcPr>
            <w:tcW w:w="624" w:type="dxa"/>
          </w:tcPr>
          <w:p>
            <w:pPr>
              <w:pStyle w:val="TableParagraph"/>
              <w:spacing w:before="65"/>
              <w:ind w:left="171"/>
              <w:jc w:val="left"/>
              <w:rPr>
                <w:sz w:val="17"/>
              </w:rPr>
            </w:pPr>
            <w:r>
              <w:rPr>
                <w:color w:val="231F20"/>
                <w:sz w:val="17"/>
              </w:rPr>
              <w:t>22.1</w:t>
            </w:r>
          </w:p>
        </w:tc>
        <w:tc>
          <w:tcPr>
            <w:tcW w:w="620" w:type="dxa"/>
          </w:tcPr>
          <w:p>
            <w:pPr>
              <w:pStyle w:val="TableParagraph"/>
              <w:spacing w:before="65"/>
              <w:ind w:left="141" w:right="136"/>
              <w:rPr>
                <w:sz w:val="17"/>
              </w:rPr>
            </w:pPr>
            <w:r>
              <w:rPr>
                <w:color w:val="231F20"/>
                <w:sz w:val="17"/>
              </w:rPr>
              <w:t>15.0</w:t>
            </w:r>
          </w:p>
        </w:tc>
        <w:tc>
          <w:tcPr>
            <w:tcW w:w="619" w:type="dxa"/>
          </w:tcPr>
          <w:p>
            <w:pPr>
              <w:pStyle w:val="TableParagraph"/>
              <w:spacing w:before="65"/>
              <w:ind w:right="171"/>
              <w:jc w:val="right"/>
              <w:rPr>
                <w:sz w:val="17"/>
              </w:rPr>
            </w:pPr>
            <w:r>
              <w:rPr>
                <w:color w:val="231F20"/>
                <w:w w:val="90"/>
                <w:sz w:val="17"/>
              </w:rPr>
              <w:t>22.2</w:t>
            </w:r>
          </w:p>
        </w:tc>
        <w:tc>
          <w:tcPr>
            <w:tcW w:w="589" w:type="dxa"/>
          </w:tcPr>
          <w:p>
            <w:pPr>
              <w:pStyle w:val="TableParagraph"/>
              <w:spacing w:before="65"/>
              <w:ind w:left="172"/>
              <w:jc w:val="left"/>
              <w:rPr>
                <w:sz w:val="17"/>
              </w:rPr>
            </w:pPr>
            <w:r>
              <w:rPr>
                <w:color w:val="231F20"/>
                <w:sz w:val="17"/>
              </w:rPr>
              <w:t>0.7</w:t>
            </w:r>
          </w:p>
        </w:tc>
        <w:tc>
          <w:tcPr>
            <w:tcW w:w="613" w:type="dxa"/>
          </w:tcPr>
          <w:p>
            <w:pPr>
              <w:pStyle w:val="TableParagraph"/>
              <w:spacing w:before="65"/>
              <w:ind w:left="188"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12.4</w:t>
            </w:r>
          </w:p>
        </w:tc>
        <w:tc>
          <w:tcPr>
            <w:tcW w:w="617" w:type="dxa"/>
          </w:tcPr>
          <w:p>
            <w:pPr>
              <w:pStyle w:val="TableParagraph"/>
              <w:spacing w:before="65"/>
              <w:ind w:left="172"/>
              <w:jc w:val="left"/>
              <w:rPr>
                <w:sz w:val="17"/>
              </w:rPr>
            </w:pPr>
            <w:r>
              <w:rPr>
                <w:color w:val="231F20"/>
                <w:sz w:val="17"/>
              </w:rPr>
              <w:t>0.0</w:t>
            </w:r>
          </w:p>
        </w:tc>
        <w:tc>
          <w:tcPr>
            <w:tcW w:w="759" w:type="dxa"/>
          </w:tcPr>
          <w:p>
            <w:pPr>
              <w:pStyle w:val="TableParagraph"/>
              <w:spacing w:before="65"/>
              <w:ind w:left="213" w:right="204"/>
              <w:rPr>
                <w:sz w:val="17"/>
              </w:rPr>
            </w:pPr>
            <w:r>
              <w:rPr>
                <w:color w:val="231F20"/>
                <w:sz w:val="17"/>
              </w:rPr>
              <w:t>27.5</w:t>
            </w:r>
          </w:p>
        </w:tc>
        <w:tc>
          <w:tcPr>
            <w:tcW w:w="591" w:type="dxa"/>
          </w:tcPr>
          <w:p>
            <w:pPr>
              <w:pStyle w:val="TableParagraph"/>
              <w:spacing w:before="65"/>
              <w:ind w:left="205" w:right="129"/>
              <w:rPr>
                <w:sz w:val="17"/>
              </w:rPr>
            </w:pPr>
            <w:r>
              <w:rPr>
                <w:color w:val="231F20"/>
                <w:sz w:val="17"/>
              </w:rPr>
              <w:t>0.0</w:t>
            </w:r>
          </w:p>
        </w:tc>
        <w:tc>
          <w:tcPr>
            <w:tcW w:w="517" w:type="dxa"/>
          </w:tcPr>
          <w:p>
            <w:pPr>
              <w:pStyle w:val="TableParagraph"/>
              <w:spacing w:before="65"/>
              <w:ind w:right="118"/>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2000</w:t>
            </w:r>
          </w:p>
        </w:tc>
        <w:tc>
          <w:tcPr>
            <w:tcW w:w="485" w:type="dxa"/>
          </w:tcPr>
          <w:p>
            <w:pPr>
              <w:pStyle w:val="TableParagraph"/>
              <w:spacing w:before="65"/>
              <w:ind w:left="114"/>
              <w:jc w:val="left"/>
              <w:rPr>
                <w:sz w:val="17"/>
              </w:rPr>
            </w:pPr>
            <w:r>
              <w:rPr>
                <w:color w:val="231F20"/>
                <w:sz w:val="17"/>
              </w:rPr>
              <w:t>0.1</w:t>
            </w:r>
          </w:p>
        </w:tc>
        <w:tc>
          <w:tcPr>
            <w:tcW w:w="624" w:type="dxa"/>
          </w:tcPr>
          <w:p>
            <w:pPr>
              <w:pStyle w:val="TableParagraph"/>
              <w:spacing w:before="65"/>
              <w:ind w:left="171"/>
              <w:jc w:val="left"/>
              <w:rPr>
                <w:sz w:val="17"/>
              </w:rPr>
            </w:pPr>
            <w:r>
              <w:rPr>
                <w:color w:val="231F20"/>
                <w:sz w:val="17"/>
              </w:rPr>
              <w:t>21.4</w:t>
            </w:r>
          </w:p>
        </w:tc>
        <w:tc>
          <w:tcPr>
            <w:tcW w:w="620" w:type="dxa"/>
          </w:tcPr>
          <w:p>
            <w:pPr>
              <w:pStyle w:val="TableParagraph"/>
              <w:spacing w:before="65"/>
              <w:ind w:left="142" w:right="136"/>
              <w:rPr>
                <w:sz w:val="17"/>
              </w:rPr>
            </w:pPr>
            <w:r>
              <w:rPr>
                <w:color w:val="231F20"/>
                <w:sz w:val="17"/>
              </w:rPr>
              <w:t>14.8</w:t>
            </w:r>
          </w:p>
        </w:tc>
        <w:tc>
          <w:tcPr>
            <w:tcW w:w="619" w:type="dxa"/>
          </w:tcPr>
          <w:p>
            <w:pPr>
              <w:pStyle w:val="TableParagraph"/>
              <w:spacing w:before="65"/>
              <w:ind w:right="171"/>
              <w:jc w:val="right"/>
              <w:rPr>
                <w:sz w:val="17"/>
              </w:rPr>
            </w:pPr>
            <w:r>
              <w:rPr>
                <w:color w:val="231F20"/>
                <w:w w:val="90"/>
                <w:sz w:val="17"/>
              </w:rPr>
              <w:t>23.5</w:t>
            </w:r>
          </w:p>
        </w:tc>
        <w:tc>
          <w:tcPr>
            <w:tcW w:w="589" w:type="dxa"/>
          </w:tcPr>
          <w:p>
            <w:pPr>
              <w:pStyle w:val="TableParagraph"/>
              <w:spacing w:before="65"/>
              <w:ind w:left="172"/>
              <w:jc w:val="left"/>
              <w:rPr>
                <w:sz w:val="17"/>
              </w:rPr>
            </w:pPr>
            <w:r>
              <w:rPr>
                <w:color w:val="231F20"/>
                <w:sz w:val="17"/>
              </w:rPr>
              <w:t>1.0</w:t>
            </w:r>
          </w:p>
        </w:tc>
        <w:tc>
          <w:tcPr>
            <w:tcW w:w="613" w:type="dxa"/>
          </w:tcPr>
          <w:p>
            <w:pPr>
              <w:pStyle w:val="TableParagraph"/>
              <w:spacing w:before="65"/>
              <w:ind w:left="188"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16.6</w:t>
            </w:r>
          </w:p>
        </w:tc>
        <w:tc>
          <w:tcPr>
            <w:tcW w:w="617" w:type="dxa"/>
          </w:tcPr>
          <w:p>
            <w:pPr>
              <w:pStyle w:val="TableParagraph"/>
              <w:spacing w:before="65"/>
              <w:ind w:left="172"/>
              <w:jc w:val="left"/>
              <w:rPr>
                <w:sz w:val="17"/>
              </w:rPr>
            </w:pPr>
            <w:r>
              <w:rPr>
                <w:color w:val="231F20"/>
                <w:sz w:val="17"/>
              </w:rPr>
              <w:t>0.0</w:t>
            </w:r>
          </w:p>
        </w:tc>
        <w:tc>
          <w:tcPr>
            <w:tcW w:w="759" w:type="dxa"/>
          </w:tcPr>
          <w:p>
            <w:pPr>
              <w:pStyle w:val="TableParagraph"/>
              <w:spacing w:before="65"/>
              <w:ind w:left="213" w:right="204"/>
              <w:rPr>
                <w:sz w:val="17"/>
              </w:rPr>
            </w:pPr>
            <w:r>
              <w:rPr>
                <w:color w:val="231F20"/>
                <w:sz w:val="17"/>
              </w:rPr>
              <w:t>22.5</w:t>
            </w:r>
          </w:p>
        </w:tc>
        <w:tc>
          <w:tcPr>
            <w:tcW w:w="591" w:type="dxa"/>
          </w:tcPr>
          <w:p>
            <w:pPr>
              <w:pStyle w:val="TableParagraph"/>
              <w:spacing w:before="65"/>
              <w:ind w:left="205"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2001</w:t>
            </w:r>
          </w:p>
        </w:tc>
        <w:tc>
          <w:tcPr>
            <w:tcW w:w="485" w:type="dxa"/>
          </w:tcPr>
          <w:p>
            <w:pPr>
              <w:pStyle w:val="TableParagraph"/>
              <w:spacing w:before="65"/>
              <w:ind w:left="115"/>
              <w:jc w:val="left"/>
              <w:rPr>
                <w:sz w:val="17"/>
              </w:rPr>
            </w:pPr>
            <w:r>
              <w:rPr>
                <w:color w:val="231F20"/>
                <w:sz w:val="17"/>
              </w:rPr>
              <w:t>0.1</w:t>
            </w:r>
          </w:p>
        </w:tc>
        <w:tc>
          <w:tcPr>
            <w:tcW w:w="624" w:type="dxa"/>
          </w:tcPr>
          <w:p>
            <w:pPr>
              <w:pStyle w:val="TableParagraph"/>
              <w:spacing w:before="65"/>
              <w:ind w:left="171"/>
              <w:jc w:val="left"/>
              <w:rPr>
                <w:sz w:val="17"/>
              </w:rPr>
            </w:pPr>
            <w:r>
              <w:rPr>
                <w:color w:val="231F20"/>
                <w:sz w:val="17"/>
              </w:rPr>
              <w:t>21.7</w:t>
            </w:r>
          </w:p>
        </w:tc>
        <w:tc>
          <w:tcPr>
            <w:tcW w:w="620" w:type="dxa"/>
          </w:tcPr>
          <w:p>
            <w:pPr>
              <w:pStyle w:val="TableParagraph"/>
              <w:spacing w:before="65"/>
              <w:ind w:left="142" w:right="136"/>
              <w:rPr>
                <w:sz w:val="17"/>
              </w:rPr>
            </w:pPr>
            <w:r>
              <w:rPr>
                <w:color w:val="231F20"/>
                <w:sz w:val="17"/>
              </w:rPr>
              <w:t>13.2</w:t>
            </w:r>
          </w:p>
        </w:tc>
        <w:tc>
          <w:tcPr>
            <w:tcW w:w="619" w:type="dxa"/>
          </w:tcPr>
          <w:p>
            <w:pPr>
              <w:pStyle w:val="TableParagraph"/>
              <w:spacing w:before="65"/>
              <w:ind w:right="171"/>
              <w:jc w:val="right"/>
              <w:rPr>
                <w:sz w:val="17"/>
              </w:rPr>
            </w:pPr>
            <w:r>
              <w:rPr>
                <w:color w:val="231F20"/>
                <w:w w:val="90"/>
                <w:sz w:val="17"/>
              </w:rPr>
              <w:t>24.6</w:t>
            </w:r>
          </w:p>
        </w:tc>
        <w:tc>
          <w:tcPr>
            <w:tcW w:w="589" w:type="dxa"/>
          </w:tcPr>
          <w:p>
            <w:pPr>
              <w:pStyle w:val="TableParagraph"/>
              <w:spacing w:before="65"/>
              <w:ind w:left="173"/>
              <w:jc w:val="left"/>
              <w:rPr>
                <w:sz w:val="17"/>
              </w:rPr>
            </w:pPr>
            <w:r>
              <w:rPr>
                <w:color w:val="231F20"/>
                <w:sz w:val="17"/>
              </w:rPr>
              <w:t>1.3</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18.0</w:t>
            </w:r>
          </w:p>
        </w:tc>
        <w:tc>
          <w:tcPr>
            <w:tcW w:w="617" w:type="dxa"/>
          </w:tcPr>
          <w:p>
            <w:pPr>
              <w:pStyle w:val="TableParagraph"/>
              <w:spacing w:before="65"/>
              <w:ind w:left="173"/>
              <w:jc w:val="left"/>
              <w:rPr>
                <w:sz w:val="17"/>
              </w:rPr>
            </w:pPr>
            <w:r>
              <w:rPr>
                <w:color w:val="231F20"/>
                <w:sz w:val="17"/>
              </w:rPr>
              <w:t>0.1</w:t>
            </w:r>
          </w:p>
        </w:tc>
        <w:tc>
          <w:tcPr>
            <w:tcW w:w="759" w:type="dxa"/>
          </w:tcPr>
          <w:p>
            <w:pPr>
              <w:pStyle w:val="TableParagraph"/>
              <w:spacing w:before="65"/>
              <w:ind w:left="214" w:right="204"/>
              <w:rPr>
                <w:sz w:val="17"/>
              </w:rPr>
            </w:pPr>
            <w:r>
              <w:rPr>
                <w:color w:val="231F20"/>
                <w:sz w:val="17"/>
              </w:rPr>
              <w:t>20.9</w:t>
            </w:r>
          </w:p>
        </w:tc>
        <w:tc>
          <w:tcPr>
            <w:tcW w:w="591" w:type="dxa"/>
          </w:tcPr>
          <w:p>
            <w:pPr>
              <w:pStyle w:val="TableParagraph"/>
              <w:spacing w:before="65"/>
              <w:ind w:left="205"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2002</w:t>
            </w:r>
          </w:p>
        </w:tc>
        <w:tc>
          <w:tcPr>
            <w:tcW w:w="485" w:type="dxa"/>
          </w:tcPr>
          <w:p>
            <w:pPr>
              <w:pStyle w:val="TableParagraph"/>
              <w:spacing w:before="65"/>
              <w:ind w:left="115"/>
              <w:jc w:val="left"/>
              <w:rPr>
                <w:sz w:val="17"/>
              </w:rPr>
            </w:pPr>
            <w:r>
              <w:rPr>
                <w:color w:val="231F20"/>
                <w:sz w:val="17"/>
              </w:rPr>
              <w:t>0.1</w:t>
            </w:r>
          </w:p>
        </w:tc>
        <w:tc>
          <w:tcPr>
            <w:tcW w:w="624" w:type="dxa"/>
          </w:tcPr>
          <w:p>
            <w:pPr>
              <w:pStyle w:val="TableParagraph"/>
              <w:spacing w:before="65"/>
              <w:ind w:left="171"/>
              <w:jc w:val="left"/>
              <w:rPr>
                <w:sz w:val="17"/>
              </w:rPr>
            </w:pPr>
            <w:r>
              <w:rPr>
                <w:color w:val="231F20"/>
                <w:sz w:val="17"/>
              </w:rPr>
              <w:t>21.4</w:t>
            </w:r>
          </w:p>
        </w:tc>
        <w:tc>
          <w:tcPr>
            <w:tcW w:w="620" w:type="dxa"/>
          </w:tcPr>
          <w:p>
            <w:pPr>
              <w:pStyle w:val="TableParagraph"/>
              <w:spacing w:before="65"/>
              <w:ind w:left="142" w:right="136"/>
              <w:rPr>
                <w:sz w:val="17"/>
              </w:rPr>
            </w:pPr>
            <w:r>
              <w:rPr>
                <w:color w:val="231F20"/>
                <w:sz w:val="17"/>
              </w:rPr>
              <w:t>10.5</w:t>
            </w:r>
          </w:p>
        </w:tc>
        <w:tc>
          <w:tcPr>
            <w:tcW w:w="619" w:type="dxa"/>
          </w:tcPr>
          <w:p>
            <w:pPr>
              <w:pStyle w:val="TableParagraph"/>
              <w:spacing w:before="65"/>
              <w:ind w:right="171"/>
              <w:jc w:val="right"/>
              <w:rPr>
                <w:sz w:val="17"/>
              </w:rPr>
            </w:pPr>
            <w:r>
              <w:rPr>
                <w:color w:val="231F20"/>
                <w:w w:val="90"/>
                <w:sz w:val="17"/>
              </w:rPr>
              <w:t>28.6</w:t>
            </w:r>
          </w:p>
        </w:tc>
        <w:tc>
          <w:tcPr>
            <w:tcW w:w="589" w:type="dxa"/>
          </w:tcPr>
          <w:p>
            <w:pPr>
              <w:pStyle w:val="TableParagraph"/>
              <w:spacing w:before="65"/>
              <w:ind w:left="173"/>
              <w:jc w:val="left"/>
              <w:rPr>
                <w:sz w:val="17"/>
              </w:rPr>
            </w:pPr>
            <w:r>
              <w:rPr>
                <w:color w:val="231F20"/>
                <w:sz w:val="17"/>
              </w:rPr>
              <w:t>1.4</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18.5</w:t>
            </w:r>
          </w:p>
        </w:tc>
        <w:tc>
          <w:tcPr>
            <w:tcW w:w="617" w:type="dxa"/>
          </w:tcPr>
          <w:p>
            <w:pPr>
              <w:pStyle w:val="TableParagraph"/>
              <w:spacing w:before="65"/>
              <w:ind w:left="173"/>
              <w:jc w:val="left"/>
              <w:rPr>
                <w:sz w:val="17"/>
              </w:rPr>
            </w:pPr>
            <w:r>
              <w:rPr>
                <w:color w:val="231F20"/>
                <w:sz w:val="17"/>
              </w:rPr>
              <w:t>0.7</w:t>
            </w:r>
          </w:p>
        </w:tc>
        <w:tc>
          <w:tcPr>
            <w:tcW w:w="759" w:type="dxa"/>
          </w:tcPr>
          <w:p>
            <w:pPr>
              <w:pStyle w:val="TableParagraph"/>
              <w:spacing w:before="65"/>
              <w:ind w:left="214" w:right="204"/>
              <w:rPr>
                <w:sz w:val="17"/>
              </w:rPr>
            </w:pPr>
            <w:r>
              <w:rPr>
                <w:color w:val="231F20"/>
                <w:sz w:val="17"/>
              </w:rPr>
              <w:t>18.8</w:t>
            </w:r>
          </w:p>
        </w:tc>
        <w:tc>
          <w:tcPr>
            <w:tcW w:w="591" w:type="dxa"/>
          </w:tcPr>
          <w:p>
            <w:pPr>
              <w:pStyle w:val="TableParagraph"/>
              <w:spacing w:before="65"/>
              <w:ind w:left="206"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2003</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1"/>
              <w:jc w:val="left"/>
              <w:rPr>
                <w:sz w:val="17"/>
              </w:rPr>
            </w:pPr>
            <w:r>
              <w:rPr>
                <w:color w:val="231F20"/>
                <w:sz w:val="17"/>
              </w:rPr>
              <w:t>20.0</w:t>
            </w:r>
          </w:p>
        </w:tc>
        <w:tc>
          <w:tcPr>
            <w:tcW w:w="620" w:type="dxa"/>
          </w:tcPr>
          <w:p>
            <w:pPr>
              <w:pStyle w:val="TableParagraph"/>
              <w:spacing w:before="65"/>
              <w:ind w:left="142" w:right="136"/>
              <w:rPr>
                <w:sz w:val="17"/>
              </w:rPr>
            </w:pPr>
            <w:r>
              <w:rPr>
                <w:color w:val="231F20"/>
                <w:sz w:val="17"/>
              </w:rPr>
              <w:t>9.3</w:t>
            </w:r>
          </w:p>
        </w:tc>
        <w:tc>
          <w:tcPr>
            <w:tcW w:w="619" w:type="dxa"/>
          </w:tcPr>
          <w:p>
            <w:pPr>
              <w:pStyle w:val="TableParagraph"/>
              <w:spacing w:before="65"/>
              <w:ind w:right="171"/>
              <w:jc w:val="right"/>
              <w:rPr>
                <w:sz w:val="17"/>
              </w:rPr>
            </w:pPr>
            <w:r>
              <w:rPr>
                <w:color w:val="231F20"/>
                <w:w w:val="90"/>
                <w:sz w:val="17"/>
              </w:rPr>
              <w:t>30.6</w:t>
            </w:r>
          </w:p>
        </w:tc>
        <w:tc>
          <w:tcPr>
            <w:tcW w:w="589" w:type="dxa"/>
          </w:tcPr>
          <w:p>
            <w:pPr>
              <w:pStyle w:val="TableParagraph"/>
              <w:spacing w:before="65"/>
              <w:ind w:left="173"/>
              <w:jc w:val="left"/>
              <w:rPr>
                <w:sz w:val="17"/>
              </w:rPr>
            </w:pPr>
            <w:r>
              <w:rPr>
                <w:color w:val="231F20"/>
                <w:sz w:val="17"/>
              </w:rPr>
              <w:t>1.4</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18.9</w:t>
            </w:r>
          </w:p>
        </w:tc>
        <w:tc>
          <w:tcPr>
            <w:tcW w:w="617" w:type="dxa"/>
          </w:tcPr>
          <w:p>
            <w:pPr>
              <w:pStyle w:val="TableParagraph"/>
              <w:spacing w:before="65"/>
              <w:ind w:left="173"/>
              <w:jc w:val="left"/>
              <w:rPr>
                <w:sz w:val="17"/>
              </w:rPr>
            </w:pPr>
            <w:r>
              <w:rPr>
                <w:color w:val="231F20"/>
                <w:sz w:val="17"/>
              </w:rPr>
              <w:t>1.0</w:t>
            </w:r>
          </w:p>
        </w:tc>
        <w:tc>
          <w:tcPr>
            <w:tcW w:w="759" w:type="dxa"/>
          </w:tcPr>
          <w:p>
            <w:pPr>
              <w:pStyle w:val="TableParagraph"/>
              <w:spacing w:before="65"/>
              <w:ind w:left="214" w:right="204"/>
              <w:rPr>
                <w:sz w:val="17"/>
              </w:rPr>
            </w:pPr>
            <w:r>
              <w:rPr>
                <w:color w:val="231F20"/>
                <w:sz w:val="17"/>
              </w:rPr>
              <w:t>18.6</w:t>
            </w:r>
          </w:p>
        </w:tc>
        <w:tc>
          <w:tcPr>
            <w:tcW w:w="591" w:type="dxa"/>
          </w:tcPr>
          <w:p>
            <w:pPr>
              <w:pStyle w:val="TableParagraph"/>
              <w:spacing w:before="65"/>
              <w:ind w:left="206"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2004</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1"/>
              <w:jc w:val="left"/>
              <w:rPr>
                <w:sz w:val="17"/>
              </w:rPr>
            </w:pPr>
            <w:r>
              <w:rPr>
                <w:color w:val="231F20"/>
                <w:sz w:val="17"/>
              </w:rPr>
              <w:t>22.7</w:t>
            </w:r>
          </w:p>
        </w:tc>
        <w:tc>
          <w:tcPr>
            <w:tcW w:w="620" w:type="dxa"/>
          </w:tcPr>
          <w:p>
            <w:pPr>
              <w:pStyle w:val="TableParagraph"/>
              <w:spacing w:before="65"/>
              <w:ind w:left="142" w:right="136"/>
              <w:rPr>
                <w:sz w:val="17"/>
              </w:rPr>
            </w:pPr>
            <w:r>
              <w:rPr>
                <w:color w:val="231F20"/>
                <w:sz w:val="17"/>
              </w:rPr>
              <w:t>7.2</w:t>
            </w:r>
          </w:p>
        </w:tc>
        <w:tc>
          <w:tcPr>
            <w:tcW w:w="619" w:type="dxa"/>
          </w:tcPr>
          <w:p>
            <w:pPr>
              <w:pStyle w:val="TableParagraph"/>
              <w:spacing w:before="65"/>
              <w:ind w:right="171"/>
              <w:jc w:val="right"/>
              <w:rPr>
                <w:sz w:val="17"/>
              </w:rPr>
            </w:pPr>
            <w:r>
              <w:rPr>
                <w:color w:val="231F20"/>
                <w:w w:val="90"/>
                <w:sz w:val="17"/>
              </w:rPr>
              <w:t>32.3</w:t>
            </w:r>
          </w:p>
        </w:tc>
        <w:tc>
          <w:tcPr>
            <w:tcW w:w="589" w:type="dxa"/>
          </w:tcPr>
          <w:p>
            <w:pPr>
              <w:pStyle w:val="TableParagraph"/>
              <w:spacing w:before="65"/>
              <w:ind w:left="173"/>
              <w:jc w:val="left"/>
              <w:rPr>
                <w:sz w:val="17"/>
              </w:rPr>
            </w:pPr>
            <w:r>
              <w:rPr>
                <w:color w:val="231F20"/>
                <w:sz w:val="17"/>
              </w:rPr>
              <w:t>1.4</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20.8</w:t>
            </w:r>
          </w:p>
        </w:tc>
        <w:tc>
          <w:tcPr>
            <w:tcW w:w="617" w:type="dxa"/>
          </w:tcPr>
          <w:p>
            <w:pPr>
              <w:pStyle w:val="TableParagraph"/>
              <w:spacing w:before="65"/>
              <w:ind w:left="173"/>
              <w:jc w:val="left"/>
              <w:rPr>
                <w:sz w:val="17"/>
              </w:rPr>
            </w:pPr>
            <w:r>
              <w:rPr>
                <w:color w:val="231F20"/>
                <w:sz w:val="17"/>
              </w:rPr>
              <w:t>0.7</w:t>
            </w:r>
          </w:p>
        </w:tc>
        <w:tc>
          <w:tcPr>
            <w:tcW w:w="759" w:type="dxa"/>
          </w:tcPr>
          <w:p>
            <w:pPr>
              <w:pStyle w:val="TableParagraph"/>
              <w:spacing w:before="65"/>
              <w:ind w:left="214" w:right="204"/>
              <w:rPr>
                <w:sz w:val="17"/>
              </w:rPr>
            </w:pPr>
            <w:r>
              <w:rPr>
                <w:color w:val="231F20"/>
                <w:sz w:val="17"/>
              </w:rPr>
              <w:t>15.0</w:t>
            </w:r>
          </w:p>
        </w:tc>
        <w:tc>
          <w:tcPr>
            <w:tcW w:w="591" w:type="dxa"/>
          </w:tcPr>
          <w:p>
            <w:pPr>
              <w:pStyle w:val="TableParagraph"/>
              <w:spacing w:before="65"/>
              <w:ind w:left="206"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2005</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1"/>
              <w:jc w:val="left"/>
              <w:rPr>
                <w:sz w:val="17"/>
              </w:rPr>
            </w:pPr>
            <w:r>
              <w:rPr>
                <w:color w:val="231F20"/>
                <w:sz w:val="17"/>
              </w:rPr>
              <w:t>21.4</w:t>
            </w:r>
          </w:p>
        </w:tc>
        <w:tc>
          <w:tcPr>
            <w:tcW w:w="620" w:type="dxa"/>
          </w:tcPr>
          <w:p>
            <w:pPr>
              <w:pStyle w:val="TableParagraph"/>
              <w:spacing w:before="65"/>
              <w:ind w:left="142" w:right="136"/>
              <w:rPr>
                <w:sz w:val="17"/>
              </w:rPr>
            </w:pPr>
            <w:r>
              <w:rPr>
                <w:color w:val="231F20"/>
                <w:sz w:val="17"/>
              </w:rPr>
              <w:t>9.2</w:t>
            </w:r>
          </w:p>
        </w:tc>
        <w:tc>
          <w:tcPr>
            <w:tcW w:w="619" w:type="dxa"/>
          </w:tcPr>
          <w:p>
            <w:pPr>
              <w:pStyle w:val="TableParagraph"/>
              <w:spacing w:before="65"/>
              <w:ind w:right="171"/>
              <w:jc w:val="right"/>
              <w:rPr>
                <w:sz w:val="17"/>
              </w:rPr>
            </w:pPr>
            <w:r>
              <w:rPr>
                <w:color w:val="231F20"/>
                <w:w w:val="90"/>
                <w:sz w:val="17"/>
              </w:rPr>
              <w:t>26.7</w:t>
            </w:r>
          </w:p>
        </w:tc>
        <w:tc>
          <w:tcPr>
            <w:tcW w:w="589" w:type="dxa"/>
          </w:tcPr>
          <w:p>
            <w:pPr>
              <w:pStyle w:val="TableParagraph"/>
              <w:spacing w:before="65"/>
              <w:ind w:left="173"/>
              <w:jc w:val="left"/>
              <w:rPr>
                <w:sz w:val="17"/>
              </w:rPr>
            </w:pPr>
            <w:r>
              <w:rPr>
                <w:color w:val="231F20"/>
                <w:sz w:val="17"/>
              </w:rPr>
              <w:t>1.5</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21.7</w:t>
            </w:r>
          </w:p>
        </w:tc>
        <w:tc>
          <w:tcPr>
            <w:tcW w:w="617" w:type="dxa"/>
          </w:tcPr>
          <w:p>
            <w:pPr>
              <w:pStyle w:val="TableParagraph"/>
              <w:spacing w:before="65"/>
              <w:ind w:left="173"/>
              <w:jc w:val="left"/>
              <w:rPr>
                <w:sz w:val="17"/>
              </w:rPr>
            </w:pPr>
            <w:r>
              <w:rPr>
                <w:color w:val="231F20"/>
                <w:sz w:val="17"/>
              </w:rPr>
              <w:t>0.8</w:t>
            </w:r>
          </w:p>
        </w:tc>
        <w:tc>
          <w:tcPr>
            <w:tcW w:w="759" w:type="dxa"/>
          </w:tcPr>
          <w:p>
            <w:pPr>
              <w:pStyle w:val="TableParagraph"/>
              <w:spacing w:before="65"/>
              <w:ind w:left="214" w:right="204"/>
              <w:rPr>
                <w:sz w:val="17"/>
              </w:rPr>
            </w:pPr>
            <w:r>
              <w:rPr>
                <w:color w:val="231F20"/>
                <w:sz w:val="17"/>
              </w:rPr>
              <w:t>18.7</w:t>
            </w:r>
          </w:p>
        </w:tc>
        <w:tc>
          <w:tcPr>
            <w:tcW w:w="591" w:type="dxa"/>
          </w:tcPr>
          <w:p>
            <w:pPr>
              <w:pStyle w:val="TableParagraph"/>
              <w:spacing w:before="65"/>
              <w:ind w:left="206" w:right="129"/>
              <w:rPr>
                <w:sz w:val="17"/>
              </w:rPr>
            </w:pPr>
            <w:r>
              <w:rPr>
                <w:color w:val="231F20"/>
                <w:sz w:val="17"/>
              </w:rPr>
              <w:t>0.0</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2006</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1"/>
              <w:jc w:val="left"/>
              <w:rPr>
                <w:sz w:val="17"/>
              </w:rPr>
            </w:pPr>
            <w:r>
              <w:rPr>
                <w:color w:val="231F20"/>
                <w:sz w:val="17"/>
              </w:rPr>
              <w:t>16.1</w:t>
            </w:r>
          </w:p>
        </w:tc>
        <w:tc>
          <w:tcPr>
            <w:tcW w:w="620" w:type="dxa"/>
          </w:tcPr>
          <w:p>
            <w:pPr>
              <w:pStyle w:val="TableParagraph"/>
              <w:spacing w:before="65"/>
              <w:ind w:left="143" w:right="136"/>
              <w:rPr>
                <w:sz w:val="17"/>
              </w:rPr>
            </w:pPr>
            <w:r>
              <w:rPr>
                <w:color w:val="231F20"/>
                <w:sz w:val="17"/>
              </w:rPr>
              <w:t>18.0</w:t>
            </w:r>
          </w:p>
        </w:tc>
        <w:tc>
          <w:tcPr>
            <w:tcW w:w="619" w:type="dxa"/>
          </w:tcPr>
          <w:p>
            <w:pPr>
              <w:pStyle w:val="TableParagraph"/>
              <w:spacing w:before="65"/>
              <w:ind w:right="171"/>
              <w:jc w:val="right"/>
              <w:rPr>
                <w:sz w:val="17"/>
              </w:rPr>
            </w:pPr>
            <w:r>
              <w:rPr>
                <w:color w:val="231F20"/>
                <w:w w:val="90"/>
                <w:sz w:val="17"/>
              </w:rPr>
              <w:t>25.8</w:t>
            </w:r>
          </w:p>
        </w:tc>
        <w:tc>
          <w:tcPr>
            <w:tcW w:w="589" w:type="dxa"/>
          </w:tcPr>
          <w:p>
            <w:pPr>
              <w:pStyle w:val="TableParagraph"/>
              <w:spacing w:before="65"/>
              <w:ind w:left="173"/>
              <w:jc w:val="left"/>
              <w:rPr>
                <w:sz w:val="17"/>
              </w:rPr>
            </w:pPr>
            <w:r>
              <w:rPr>
                <w:color w:val="231F20"/>
                <w:sz w:val="17"/>
              </w:rPr>
              <w:t>1.2</w:t>
            </w:r>
          </w:p>
        </w:tc>
        <w:tc>
          <w:tcPr>
            <w:tcW w:w="613" w:type="dxa"/>
          </w:tcPr>
          <w:p>
            <w:pPr>
              <w:pStyle w:val="TableParagraph"/>
              <w:spacing w:before="65"/>
              <w:ind w:left="189" w:right="168"/>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20.5</w:t>
            </w:r>
          </w:p>
        </w:tc>
        <w:tc>
          <w:tcPr>
            <w:tcW w:w="617" w:type="dxa"/>
          </w:tcPr>
          <w:p>
            <w:pPr>
              <w:pStyle w:val="TableParagraph"/>
              <w:spacing w:before="65"/>
              <w:ind w:left="173"/>
              <w:jc w:val="left"/>
              <w:rPr>
                <w:sz w:val="17"/>
              </w:rPr>
            </w:pPr>
            <w:r>
              <w:rPr>
                <w:color w:val="231F20"/>
                <w:sz w:val="17"/>
              </w:rPr>
              <w:t>0.5</w:t>
            </w:r>
          </w:p>
        </w:tc>
        <w:tc>
          <w:tcPr>
            <w:tcW w:w="759" w:type="dxa"/>
          </w:tcPr>
          <w:p>
            <w:pPr>
              <w:pStyle w:val="TableParagraph"/>
              <w:spacing w:before="65"/>
              <w:ind w:left="214" w:right="204"/>
              <w:rPr>
                <w:sz w:val="17"/>
              </w:rPr>
            </w:pPr>
            <w:r>
              <w:rPr>
                <w:color w:val="231F20"/>
                <w:sz w:val="17"/>
              </w:rPr>
              <w:t>17.8</w:t>
            </w:r>
          </w:p>
        </w:tc>
        <w:tc>
          <w:tcPr>
            <w:tcW w:w="591" w:type="dxa"/>
          </w:tcPr>
          <w:p>
            <w:pPr>
              <w:pStyle w:val="TableParagraph"/>
              <w:spacing w:before="65"/>
              <w:ind w:left="206" w:right="129"/>
              <w:rPr>
                <w:sz w:val="17"/>
              </w:rPr>
            </w:pPr>
            <w:r>
              <w:rPr>
                <w:color w:val="231F20"/>
                <w:sz w:val="17"/>
              </w:rPr>
              <w:t>1.7</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5"/>
              <w:jc w:val="left"/>
              <w:rPr>
                <w:rFonts w:ascii="Palatino Linotype"/>
                <w:b/>
                <w:sz w:val="17"/>
              </w:rPr>
            </w:pPr>
            <w:r>
              <w:rPr>
                <w:rFonts w:ascii="Palatino Linotype"/>
                <w:b/>
                <w:color w:val="231F20"/>
                <w:sz w:val="17"/>
              </w:rPr>
              <w:t>2007</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1"/>
              <w:jc w:val="left"/>
              <w:rPr>
                <w:sz w:val="17"/>
              </w:rPr>
            </w:pPr>
            <w:r>
              <w:rPr>
                <w:color w:val="231F20"/>
                <w:sz w:val="17"/>
              </w:rPr>
              <w:t>14.3</w:t>
            </w:r>
          </w:p>
        </w:tc>
        <w:tc>
          <w:tcPr>
            <w:tcW w:w="620" w:type="dxa"/>
          </w:tcPr>
          <w:p>
            <w:pPr>
              <w:pStyle w:val="TableParagraph"/>
              <w:spacing w:before="65"/>
              <w:ind w:left="143" w:right="136"/>
              <w:rPr>
                <w:sz w:val="17"/>
              </w:rPr>
            </w:pPr>
            <w:r>
              <w:rPr>
                <w:color w:val="231F20"/>
                <w:sz w:val="17"/>
              </w:rPr>
              <w:t>15.3</w:t>
            </w:r>
          </w:p>
        </w:tc>
        <w:tc>
          <w:tcPr>
            <w:tcW w:w="619" w:type="dxa"/>
          </w:tcPr>
          <w:p>
            <w:pPr>
              <w:pStyle w:val="TableParagraph"/>
              <w:spacing w:before="65"/>
              <w:ind w:right="171"/>
              <w:jc w:val="right"/>
              <w:rPr>
                <w:sz w:val="17"/>
              </w:rPr>
            </w:pPr>
            <w:r>
              <w:rPr>
                <w:color w:val="231F20"/>
                <w:w w:val="90"/>
                <w:sz w:val="17"/>
              </w:rPr>
              <w:t>23.5</w:t>
            </w:r>
          </w:p>
        </w:tc>
        <w:tc>
          <w:tcPr>
            <w:tcW w:w="589" w:type="dxa"/>
          </w:tcPr>
          <w:p>
            <w:pPr>
              <w:pStyle w:val="TableParagraph"/>
              <w:spacing w:before="65"/>
              <w:ind w:left="173"/>
              <w:jc w:val="left"/>
              <w:rPr>
                <w:sz w:val="17"/>
              </w:rPr>
            </w:pPr>
            <w:r>
              <w:rPr>
                <w:color w:val="231F20"/>
                <w:sz w:val="17"/>
              </w:rPr>
              <w:t>1.0</w:t>
            </w:r>
          </w:p>
        </w:tc>
        <w:tc>
          <w:tcPr>
            <w:tcW w:w="613" w:type="dxa"/>
          </w:tcPr>
          <w:p>
            <w:pPr>
              <w:pStyle w:val="TableParagraph"/>
              <w:spacing w:before="65"/>
              <w:ind w:left="189" w:right="167"/>
              <w:rPr>
                <w:sz w:val="17"/>
              </w:rPr>
            </w:pPr>
            <w:r>
              <w:rPr>
                <w:color w:val="231F20"/>
                <w:sz w:val="17"/>
              </w:rPr>
              <w:t>0.0</w:t>
            </w:r>
          </w:p>
        </w:tc>
        <w:tc>
          <w:tcPr>
            <w:tcW w:w="648" w:type="dxa"/>
          </w:tcPr>
          <w:p>
            <w:pPr>
              <w:pStyle w:val="TableParagraph"/>
              <w:spacing w:before="65"/>
              <w:ind w:right="171"/>
              <w:jc w:val="right"/>
              <w:rPr>
                <w:sz w:val="17"/>
              </w:rPr>
            </w:pPr>
            <w:r>
              <w:rPr>
                <w:color w:val="231F20"/>
                <w:w w:val="90"/>
                <w:sz w:val="17"/>
              </w:rPr>
              <w:t>24.6</w:t>
            </w:r>
          </w:p>
        </w:tc>
        <w:tc>
          <w:tcPr>
            <w:tcW w:w="617" w:type="dxa"/>
          </w:tcPr>
          <w:p>
            <w:pPr>
              <w:pStyle w:val="TableParagraph"/>
              <w:spacing w:before="65"/>
              <w:ind w:left="173"/>
              <w:jc w:val="left"/>
              <w:rPr>
                <w:sz w:val="17"/>
              </w:rPr>
            </w:pPr>
            <w:r>
              <w:rPr>
                <w:color w:val="231F20"/>
                <w:sz w:val="17"/>
              </w:rPr>
              <w:t>0.5</w:t>
            </w:r>
          </w:p>
        </w:tc>
        <w:tc>
          <w:tcPr>
            <w:tcW w:w="759" w:type="dxa"/>
          </w:tcPr>
          <w:p>
            <w:pPr>
              <w:pStyle w:val="TableParagraph"/>
              <w:spacing w:before="65"/>
              <w:ind w:left="214" w:right="203"/>
              <w:rPr>
                <w:sz w:val="17"/>
              </w:rPr>
            </w:pPr>
            <w:r>
              <w:rPr>
                <w:color w:val="231F20"/>
                <w:sz w:val="17"/>
              </w:rPr>
              <w:t>20.6</w:t>
            </w:r>
          </w:p>
        </w:tc>
        <w:tc>
          <w:tcPr>
            <w:tcW w:w="591" w:type="dxa"/>
          </w:tcPr>
          <w:p>
            <w:pPr>
              <w:pStyle w:val="TableParagraph"/>
              <w:spacing w:before="65"/>
              <w:ind w:left="206" w:right="129"/>
              <w:rPr>
                <w:sz w:val="17"/>
              </w:rPr>
            </w:pPr>
            <w:r>
              <w:rPr>
                <w:color w:val="231F20"/>
                <w:sz w:val="17"/>
              </w:rPr>
              <w:t>1.6</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6"/>
              <w:jc w:val="left"/>
              <w:rPr>
                <w:rFonts w:ascii="Palatino Linotype"/>
                <w:b/>
                <w:sz w:val="17"/>
              </w:rPr>
            </w:pPr>
            <w:r>
              <w:rPr>
                <w:rFonts w:ascii="Palatino Linotype"/>
                <w:b/>
                <w:color w:val="231F20"/>
                <w:sz w:val="17"/>
              </w:rPr>
              <w:t>2008</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172"/>
              <w:jc w:val="left"/>
              <w:rPr>
                <w:sz w:val="17"/>
              </w:rPr>
            </w:pPr>
            <w:r>
              <w:rPr>
                <w:color w:val="231F20"/>
                <w:sz w:val="17"/>
              </w:rPr>
              <w:t>13.3</w:t>
            </w:r>
          </w:p>
        </w:tc>
        <w:tc>
          <w:tcPr>
            <w:tcW w:w="620" w:type="dxa"/>
          </w:tcPr>
          <w:p>
            <w:pPr>
              <w:pStyle w:val="TableParagraph"/>
              <w:spacing w:before="65"/>
              <w:ind w:left="143" w:right="136"/>
              <w:rPr>
                <w:sz w:val="17"/>
              </w:rPr>
            </w:pPr>
            <w:r>
              <w:rPr>
                <w:color w:val="231F20"/>
                <w:sz w:val="17"/>
              </w:rPr>
              <w:t>14.9</w:t>
            </w:r>
          </w:p>
        </w:tc>
        <w:tc>
          <w:tcPr>
            <w:tcW w:w="619" w:type="dxa"/>
          </w:tcPr>
          <w:p>
            <w:pPr>
              <w:pStyle w:val="TableParagraph"/>
              <w:spacing w:before="65"/>
              <w:ind w:right="170"/>
              <w:jc w:val="right"/>
              <w:rPr>
                <w:sz w:val="17"/>
              </w:rPr>
            </w:pPr>
            <w:r>
              <w:rPr>
                <w:color w:val="231F20"/>
                <w:w w:val="90"/>
                <w:sz w:val="17"/>
              </w:rPr>
              <w:t>24.2</w:t>
            </w:r>
          </w:p>
        </w:tc>
        <w:tc>
          <w:tcPr>
            <w:tcW w:w="589" w:type="dxa"/>
          </w:tcPr>
          <w:p>
            <w:pPr>
              <w:pStyle w:val="TableParagraph"/>
              <w:spacing w:before="65"/>
              <w:ind w:left="173"/>
              <w:jc w:val="left"/>
              <w:rPr>
                <w:sz w:val="17"/>
              </w:rPr>
            </w:pPr>
            <w:r>
              <w:rPr>
                <w:color w:val="231F20"/>
                <w:sz w:val="17"/>
              </w:rPr>
              <w:t>2.4</w:t>
            </w:r>
          </w:p>
        </w:tc>
        <w:tc>
          <w:tcPr>
            <w:tcW w:w="613" w:type="dxa"/>
          </w:tcPr>
          <w:p>
            <w:pPr>
              <w:pStyle w:val="TableParagraph"/>
              <w:spacing w:before="65"/>
              <w:ind w:left="189" w:right="167"/>
              <w:rPr>
                <w:sz w:val="17"/>
              </w:rPr>
            </w:pPr>
            <w:r>
              <w:rPr>
                <w:color w:val="231F20"/>
                <w:sz w:val="17"/>
              </w:rPr>
              <w:t>0.0</w:t>
            </w:r>
          </w:p>
        </w:tc>
        <w:tc>
          <w:tcPr>
            <w:tcW w:w="648" w:type="dxa"/>
          </w:tcPr>
          <w:p>
            <w:pPr>
              <w:pStyle w:val="TableParagraph"/>
              <w:spacing w:before="65"/>
              <w:ind w:right="170"/>
              <w:jc w:val="right"/>
              <w:rPr>
                <w:sz w:val="17"/>
              </w:rPr>
            </w:pPr>
            <w:r>
              <w:rPr>
                <w:color w:val="231F20"/>
                <w:w w:val="90"/>
                <w:sz w:val="17"/>
              </w:rPr>
              <w:t>21.0</w:t>
            </w:r>
          </w:p>
        </w:tc>
        <w:tc>
          <w:tcPr>
            <w:tcW w:w="617" w:type="dxa"/>
          </w:tcPr>
          <w:p>
            <w:pPr>
              <w:pStyle w:val="TableParagraph"/>
              <w:spacing w:before="65"/>
              <w:ind w:left="173"/>
              <w:jc w:val="left"/>
              <w:rPr>
                <w:sz w:val="17"/>
              </w:rPr>
            </w:pPr>
            <w:r>
              <w:rPr>
                <w:color w:val="231F20"/>
                <w:sz w:val="17"/>
              </w:rPr>
              <w:t>0.4</w:t>
            </w:r>
          </w:p>
        </w:tc>
        <w:tc>
          <w:tcPr>
            <w:tcW w:w="759" w:type="dxa"/>
          </w:tcPr>
          <w:p>
            <w:pPr>
              <w:pStyle w:val="TableParagraph"/>
              <w:spacing w:before="65"/>
              <w:ind w:left="214" w:right="203"/>
              <w:rPr>
                <w:sz w:val="17"/>
              </w:rPr>
            </w:pPr>
            <w:r>
              <w:rPr>
                <w:color w:val="231F20"/>
                <w:sz w:val="17"/>
              </w:rPr>
              <w:t>21.4</w:t>
            </w:r>
          </w:p>
        </w:tc>
        <w:tc>
          <w:tcPr>
            <w:tcW w:w="591" w:type="dxa"/>
          </w:tcPr>
          <w:p>
            <w:pPr>
              <w:pStyle w:val="TableParagraph"/>
              <w:spacing w:before="65"/>
              <w:ind w:left="206" w:right="128"/>
              <w:rPr>
                <w:sz w:val="17"/>
              </w:rPr>
            </w:pPr>
            <w:r>
              <w:rPr>
                <w:color w:val="231F20"/>
                <w:sz w:val="17"/>
              </w:rPr>
              <w:t>2.4</w:t>
            </w:r>
          </w:p>
        </w:tc>
        <w:tc>
          <w:tcPr>
            <w:tcW w:w="517" w:type="dxa"/>
          </w:tcPr>
          <w:p>
            <w:pPr>
              <w:pStyle w:val="TableParagraph"/>
              <w:spacing w:before="65"/>
              <w:ind w:right="117"/>
              <w:jc w:val="right"/>
              <w:rPr>
                <w:sz w:val="17"/>
              </w:rPr>
            </w:pPr>
            <w:r>
              <w:rPr>
                <w:color w:val="231F20"/>
                <w:w w:val="90"/>
                <w:sz w:val="17"/>
              </w:rPr>
              <w:t>100</w:t>
            </w:r>
          </w:p>
        </w:tc>
      </w:tr>
      <w:tr>
        <w:trPr>
          <w:trHeight w:val="369" w:hRule="exact"/>
        </w:trPr>
        <w:tc>
          <w:tcPr>
            <w:tcW w:w="524" w:type="dxa"/>
          </w:tcPr>
          <w:p>
            <w:pPr>
              <w:pStyle w:val="TableParagraph"/>
              <w:spacing w:before="46"/>
              <w:ind w:left="76"/>
              <w:jc w:val="left"/>
              <w:rPr>
                <w:rFonts w:ascii="Palatino Linotype"/>
                <w:b/>
                <w:sz w:val="17"/>
              </w:rPr>
            </w:pPr>
            <w:r>
              <w:rPr>
                <w:rFonts w:ascii="Palatino Linotype"/>
                <w:b/>
                <w:color w:val="231F20"/>
                <w:sz w:val="17"/>
              </w:rPr>
              <w:t>2009</w:t>
            </w:r>
          </w:p>
        </w:tc>
        <w:tc>
          <w:tcPr>
            <w:tcW w:w="485" w:type="dxa"/>
          </w:tcPr>
          <w:p>
            <w:pPr>
              <w:pStyle w:val="TableParagraph"/>
              <w:spacing w:before="65"/>
              <w:ind w:left="115"/>
              <w:jc w:val="left"/>
              <w:rPr>
                <w:sz w:val="17"/>
              </w:rPr>
            </w:pPr>
            <w:r>
              <w:rPr>
                <w:color w:val="231F20"/>
                <w:sz w:val="17"/>
              </w:rPr>
              <w:t>0.0</w:t>
            </w:r>
          </w:p>
        </w:tc>
        <w:tc>
          <w:tcPr>
            <w:tcW w:w="624" w:type="dxa"/>
          </w:tcPr>
          <w:p>
            <w:pPr>
              <w:pStyle w:val="TableParagraph"/>
              <w:spacing w:before="65"/>
              <w:ind w:left="212"/>
              <w:jc w:val="left"/>
              <w:rPr>
                <w:sz w:val="17"/>
              </w:rPr>
            </w:pPr>
            <w:r>
              <w:rPr>
                <w:color w:val="231F20"/>
                <w:sz w:val="17"/>
              </w:rPr>
              <w:t>7.3</w:t>
            </w:r>
          </w:p>
        </w:tc>
        <w:tc>
          <w:tcPr>
            <w:tcW w:w="620" w:type="dxa"/>
          </w:tcPr>
          <w:p>
            <w:pPr>
              <w:pStyle w:val="TableParagraph"/>
              <w:spacing w:before="65"/>
              <w:ind w:left="143" w:right="135"/>
              <w:rPr>
                <w:sz w:val="17"/>
              </w:rPr>
            </w:pPr>
            <w:r>
              <w:rPr>
                <w:color w:val="231F20"/>
                <w:sz w:val="17"/>
              </w:rPr>
              <w:t>10.9</w:t>
            </w:r>
          </w:p>
        </w:tc>
        <w:tc>
          <w:tcPr>
            <w:tcW w:w="619" w:type="dxa"/>
          </w:tcPr>
          <w:p>
            <w:pPr>
              <w:pStyle w:val="TableParagraph"/>
              <w:spacing w:before="65"/>
              <w:ind w:right="170"/>
              <w:jc w:val="right"/>
              <w:rPr>
                <w:sz w:val="17"/>
              </w:rPr>
            </w:pPr>
            <w:r>
              <w:rPr>
                <w:color w:val="231F20"/>
                <w:w w:val="90"/>
                <w:sz w:val="17"/>
              </w:rPr>
              <w:t>16.4</w:t>
            </w:r>
          </w:p>
        </w:tc>
        <w:tc>
          <w:tcPr>
            <w:tcW w:w="589" w:type="dxa"/>
          </w:tcPr>
          <w:p>
            <w:pPr>
              <w:pStyle w:val="TableParagraph"/>
              <w:spacing w:before="65"/>
              <w:ind w:left="173"/>
              <w:jc w:val="left"/>
              <w:rPr>
                <w:sz w:val="17"/>
              </w:rPr>
            </w:pPr>
            <w:r>
              <w:rPr>
                <w:color w:val="231F20"/>
                <w:sz w:val="17"/>
              </w:rPr>
              <w:t>2.2</w:t>
            </w:r>
          </w:p>
        </w:tc>
        <w:tc>
          <w:tcPr>
            <w:tcW w:w="613" w:type="dxa"/>
          </w:tcPr>
          <w:p>
            <w:pPr>
              <w:pStyle w:val="TableParagraph"/>
              <w:spacing w:before="65"/>
              <w:ind w:left="189" w:right="167"/>
              <w:rPr>
                <w:sz w:val="17"/>
              </w:rPr>
            </w:pPr>
            <w:r>
              <w:rPr>
                <w:color w:val="231F20"/>
                <w:sz w:val="17"/>
              </w:rPr>
              <w:t>0.0</w:t>
            </w:r>
          </w:p>
        </w:tc>
        <w:tc>
          <w:tcPr>
            <w:tcW w:w="648" w:type="dxa"/>
          </w:tcPr>
          <w:p>
            <w:pPr>
              <w:pStyle w:val="TableParagraph"/>
              <w:spacing w:before="65"/>
              <w:ind w:right="170"/>
              <w:jc w:val="right"/>
              <w:rPr>
                <w:sz w:val="17"/>
              </w:rPr>
            </w:pPr>
            <w:r>
              <w:rPr>
                <w:color w:val="231F20"/>
                <w:w w:val="90"/>
                <w:sz w:val="17"/>
              </w:rPr>
              <w:t>16.6</w:t>
            </w:r>
          </w:p>
        </w:tc>
        <w:tc>
          <w:tcPr>
            <w:tcW w:w="617" w:type="dxa"/>
          </w:tcPr>
          <w:p>
            <w:pPr>
              <w:pStyle w:val="TableParagraph"/>
              <w:spacing w:before="65"/>
              <w:ind w:left="173"/>
              <w:jc w:val="left"/>
              <w:rPr>
                <w:sz w:val="17"/>
              </w:rPr>
            </w:pPr>
            <w:r>
              <w:rPr>
                <w:color w:val="231F20"/>
                <w:sz w:val="17"/>
              </w:rPr>
              <w:t>0.0</w:t>
            </w:r>
          </w:p>
        </w:tc>
        <w:tc>
          <w:tcPr>
            <w:tcW w:w="759" w:type="dxa"/>
          </w:tcPr>
          <w:p>
            <w:pPr>
              <w:pStyle w:val="TableParagraph"/>
              <w:spacing w:before="65"/>
              <w:ind w:left="214" w:right="203"/>
              <w:rPr>
                <w:sz w:val="17"/>
              </w:rPr>
            </w:pPr>
            <w:r>
              <w:rPr>
                <w:color w:val="231F20"/>
                <w:sz w:val="17"/>
              </w:rPr>
              <w:t>14.9</w:t>
            </w:r>
          </w:p>
        </w:tc>
        <w:tc>
          <w:tcPr>
            <w:tcW w:w="591" w:type="dxa"/>
          </w:tcPr>
          <w:p>
            <w:pPr>
              <w:pStyle w:val="TableParagraph"/>
              <w:spacing w:before="65"/>
              <w:ind w:left="206" w:right="128"/>
              <w:rPr>
                <w:sz w:val="17"/>
              </w:rPr>
            </w:pPr>
            <w:r>
              <w:rPr>
                <w:color w:val="231F20"/>
                <w:sz w:val="17"/>
              </w:rPr>
              <w:t>2.0</w:t>
            </w:r>
          </w:p>
        </w:tc>
        <w:tc>
          <w:tcPr>
            <w:tcW w:w="517" w:type="dxa"/>
          </w:tcPr>
          <w:p>
            <w:pPr>
              <w:pStyle w:val="TableParagraph"/>
              <w:spacing w:before="65"/>
              <w:ind w:right="116"/>
              <w:jc w:val="right"/>
              <w:rPr>
                <w:sz w:val="17"/>
              </w:rPr>
            </w:pPr>
            <w:r>
              <w:rPr>
                <w:color w:val="231F20"/>
                <w:w w:val="90"/>
                <w:sz w:val="17"/>
              </w:rPr>
              <w:t>100</w:t>
            </w:r>
          </w:p>
        </w:tc>
      </w:tr>
      <w:tr>
        <w:trPr>
          <w:trHeight w:val="369" w:hRule="exact"/>
        </w:trPr>
        <w:tc>
          <w:tcPr>
            <w:tcW w:w="524" w:type="dxa"/>
          </w:tcPr>
          <w:p>
            <w:pPr>
              <w:pStyle w:val="TableParagraph"/>
              <w:spacing w:before="46"/>
              <w:ind w:left="76"/>
              <w:jc w:val="left"/>
              <w:rPr>
                <w:rFonts w:ascii="Palatino Linotype"/>
                <w:b/>
                <w:sz w:val="17"/>
              </w:rPr>
            </w:pPr>
            <w:r>
              <w:rPr>
                <w:rFonts w:ascii="Palatino Linotype"/>
                <w:b/>
                <w:color w:val="231F20"/>
                <w:sz w:val="17"/>
              </w:rPr>
              <w:t>2010</w:t>
            </w:r>
          </w:p>
        </w:tc>
        <w:tc>
          <w:tcPr>
            <w:tcW w:w="485" w:type="dxa"/>
          </w:tcPr>
          <w:p>
            <w:pPr>
              <w:pStyle w:val="TableParagraph"/>
              <w:spacing w:before="65"/>
              <w:ind w:left="116"/>
              <w:jc w:val="left"/>
              <w:rPr>
                <w:sz w:val="17"/>
              </w:rPr>
            </w:pPr>
            <w:r>
              <w:rPr>
                <w:color w:val="231F20"/>
                <w:sz w:val="17"/>
              </w:rPr>
              <w:t>0.0</w:t>
            </w:r>
          </w:p>
        </w:tc>
        <w:tc>
          <w:tcPr>
            <w:tcW w:w="624" w:type="dxa"/>
          </w:tcPr>
          <w:p>
            <w:pPr>
              <w:pStyle w:val="TableParagraph"/>
              <w:spacing w:before="65"/>
              <w:ind w:left="172"/>
              <w:jc w:val="left"/>
              <w:rPr>
                <w:sz w:val="17"/>
              </w:rPr>
            </w:pPr>
            <w:r>
              <w:rPr>
                <w:color w:val="231F20"/>
                <w:sz w:val="17"/>
              </w:rPr>
              <w:t>11.4</w:t>
            </w:r>
          </w:p>
        </w:tc>
        <w:tc>
          <w:tcPr>
            <w:tcW w:w="620" w:type="dxa"/>
          </w:tcPr>
          <w:p>
            <w:pPr>
              <w:pStyle w:val="TableParagraph"/>
              <w:spacing w:before="65"/>
              <w:ind w:left="143" w:right="135"/>
              <w:rPr>
                <w:sz w:val="17"/>
              </w:rPr>
            </w:pPr>
            <w:r>
              <w:rPr>
                <w:color w:val="231F20"/>
                <w:sz w:val="17"/>
              </w:rPr>
              <w:t>17.4</w:t>
            </w:r>
          </w:p>
        </w:tc>
        <w:tc>
          <w:tcPr>
            <w:tcW w:w="619" w:type="dxa"/>
          </w:tcPr>
          <w:p>
            <w:pPr>
              <w:pStyle w:val="TableParagraph"/>
              <w:spacing w:before="65"/>
              <w:ind w:right="170"/>
              <w:jc w:val="right"/>
              <w:rPr>
                <w:sz w:val="17"/>
              </w:rPr>
            </w:pPr>
            <w:r>
              <w:rPr>
                <w:color w:val="231F20"/>
                <w:w w:val="90"/>
                <w:sz w:val="17"/>
              </w:rPr>
              <w:t>24.7</w:t>
            </w:r>
          </w:p>
        </w:tc>
        <w:tc>
          <w:tcPr>
            <w:tcW w:w="589" w:type="dxa"/>
          </w:tcPr>
          <w:p>
            <w:pPr>
              <w:pStyle w:val="TableParagraph"/>
              <w:spacing w:before="65"/>
              <w:ind w:left="174"/>
              <w:jc w:val="left"/>
              <w:rPr>
                <w:sz w:val="17"/>
              </w:rPr>
            </w:pPr>
            <w:r>
              <w:rPr>
                <w:color w:val="231F20"/>
                <w:sz w:val="17"/>
              </w:rPr>
              <w:t>2.4</w:t>
            </w:r>
          </w:p>
        </w:tc>
        <w:tc>
          <w:tcPr>
            <w:tcW w:w="613" w:type="dxa"/>
          </w:tcPr>
          <w:p>
            <w:pPr>
              <w:pStyle w:val="TableParagraph"/>
              <w:spacing w:before="65"/>
              <w:ind w:left="189" w:right="166"/>
              <w:rPr>
                <w:sz w:val="17"/>
              </w:rPr>
            </w:pPr>
            <w:r>
              <w:rPr>
                <w:color w:val="231F20"/>
                <w:sz w:val="17"/>
              </w:rPr>
              <w:t>0.0</w:t>
            </w:r>
          </w:p>
        </w:tc>
        <w:tc>
          <w:tcPr>
            <w:tcW w:w="648" w:type="dxa"/>
          </w:tcPr>
          <w:p>
            <w:pPr>
              <w:pStyle w:val="TableParagraph"/>
              <w:spacing w:before="65"/>
              <w:ind w:right="170"/>
              <w:jc w:val="right"/>
              <w:rPr>
                <w:sz w:val="17"/>
              </w:rPr>
            </w:pPr>
            <w:r>
              <w:rPr>
                <w:color w:val="231F20"/>
                <w:w w:val="90"/>
                <w:sz w:val="17"/>
              </w:rPr>
              <w:t>22.4</w:t>
            </w:r>
          </w:p>
        </w:tc>
        <w:tc>
          <w:tcPr>
            <w:tcW w:w="617" w:type="dxa"/>
          </w:tcPr>
          <w:p>
            <w:pPr>
              <w:pStyle w:val="TableParagraph"/>
              <w:spacing w:before="65"/>
              <w:ind w:left="174"/>
              <w:jc w:val="left"/>
              <w:rPr>
                <w:sz w:val="17"/>
              </w:rPr>
            </w:pPr>
            <w:r>
              <w:rPr>
                <w:color w:val="231F20"/>
                <w:sz w:val="17"/>
              </w:rPr>
              <w:t>0.0</w:t>
            </w:r>
          </w:p>
        </w:tc>
        <w:tc>
          <w:tcPr>
            <w:tcW w:w="759" w:type="dxa"/>
          </w:tcPr>
          <w:p>
            <w:pPr>
              <w:pStyle w:val="TableParagraph"/>
              <w:spacing w:before="65"/>
              <w:ind w:left="214" w:right="202"/>
              <w:rPr>
                <w:sz w:val="17"/>
              </w:rPr>
            </w:pPr>
            <w:r>
              <w:rPr>
                <w:color w:val="231F20"/>
                <w:sz w:val="17"/>
              </w:rPr>
              <w:t>19.2</w:t>
            </w:r>
          </w:p>
        </w:tc>
        <w:tc>
          <w:tcPr>
            <w:tcW w:w="591" w:type="dxa"/>
          </w:tcPr>
          <w:p>
            <w:pPr>
              <w:pStyle w:val="TableParagraph"/>
              <w:spacing w:before="65"/>
              <w:ind w:left="206" w:right="128"/>
              <w:rPr>
                <w:sz w:val="17"/>
              </w:rPr>
            </w:pPr>
            <w:r>
              <w:rPr>
                <w:color w:val="231F20"/>
                <w:sz w:val="17"/>
              </w:rPr>
              <w:t>2.4</w:t>
            </w:r>
          </w:p>
        </w:tc>
        <w:tc>
          <w:tcPr>
            <w:tcW w:w="517" w:type="dxa"/>
          </w:tcPr>
          <w:p>
            <w:pPr>
              <w:pStyle w:val="TableParagraph"/>
              <w:spacing w:before="65"/>
              <w:ind w:right="116"/>
              <w:jc w:val="right"/>
              <w:rPr>
                <w:sz w:val="17"/>
              </w:rPr>
            </w:pPr>
            <w:r>
              <w:rPr>
                <w:color w:val="231F20"/>
                <w:w w:val="90"/>
                <w:sz w:val="17"/>
              </w:rPr>
              <w:t>100</w:t>
            </w:r>
          </w:p>
        </w:tc>
      </w:tr>
      <w:tr>
        <w:trPr>
          <w:trHeight w:val="369" w:hRule="exact"/>
        </w:trPr>
        <w:tc>
          <w:tcPr>
            <w:tcW w:w="524" w:type="dxa"/>
          </w:tcPr>
          <w:p>
            <w:pPr>
              <w:pStyle w:val="TableParagraph"/>
              <w:spacing w:before="46"/>
              <w:ind w:left="76"/>
              <w:jc w:val="left"/>
              <w:rPr>
                <w:rFonts w:ascii="Palatino Linotype"/>
                <w:b/>
                <w:sz w:val="17"/>
              </w:rPr>
            </w:pPr>
            <w:r>
              <w:rPr>
                <w:rFonts w:ascii="Palatino Linotype"/>
                <w:b/>
                <w:color w:val="231F20"/>
                <w:sz w:val="17"/>
              </w:rPr>
              <w:t>2011</w:t>
            </w:r>
          </w:p>
        </w:tc>
        <w:tc>
          <w:tcPr>
            <w:tcW w:w="485" w:type="dxa"/>
          </w:tcPr>
          <w:p>
            <w:pPr>
              <w:pStyle w:val="TableParagraph"/>
              <w:spacing w:before="65"/>
              <w:ind w:left="116"/>
              <w:jc w:val="left"/>
              <w:rPr>
                <w:sz w:val="17"/>
              </w:rPr>
            </w:pPr>
            <w:r>
              <w:rPr>
                <w:color w:val="231F20"/>
                <w:sz w:val="17"/>
              </w:rPr>
              <w:t>0.0</w:t>
            </w:r>
          </w:p>
        </w:tc>
        <w:tc>
          <w:tcPr>
            <w:tcW w:w="624" w:type="dxa"/>
          </w:tcPr>
          <w:p>
            <w:pPr>
              <w:pStyle w:val="TableParagraph"/>
              <w:spacing w:before="65"/>
              <w:ind w:left="172"/>
              <w:jc w:val="left"/>
              <w:rPr>
                <w:sz w:val="17"/>
              </w:rPr>
            </w:pPr>
            <w:r>
              <w:rPr>
                <w:color w:val="231F20"/>
                <w:sz w:val="17"/>
              </w:rPr>
              <w:t>11.2</w:t>
            </w:r>
          </w:p>
        </w:tc>
        <w:tc>
          <w:tcPr>
            <w:tcW w:w="620" w:type="dxa"/>
          </w:tcPr>
          <w:p>
            <w:pPr>
              <w:pStyle w:val="TableParagraph"/>
              <w:spacing w:before="65"/>
              <w:ind w:left="143" w:right="135"/>
              <w:rPr>
                <w:sz w:val="17"/>
              </w:rPr>
            </w:pPr>
            <w:r>
              <w:rPr>
                <w:color w:val="231F20"/>
                <w:sz w:val="17"/>
              </w:rPr>
              <w:t>18.5</w:t>
            </w:r>
          </w:p>
        </w:tc>
        <w:tc>
          <w:tcPr>
            <w:tcW w:w="619" w:type="dxa"/>
          </w:tcPr>
          <w:p>
            <w:pPr>
              <w:pStyle w:val="TableParagraph"/>
              <w:spacing w:before="65"/>
              <w:ind w:right="170"/>
              <w:jc w:val="right"/>
              <w:rPr>
                <w:sz w:val="17"/>
              </w:rPr>
            </w:pPr>
            <w:r>
              <w:rPr>
                <w:color w:val="231F20"/>
                <w:w w:val="90"/>
                <w:sz w:val="17"/>
              </w:rPr>
              <w:t>21.8</w:t>
            </w:r>
          </w:p>
        </w:tc>
        <w:tc>
          <w:tcPr>
            <w:tcW w:w="589" w:type="dxa"/>
          </w:tcPr>
          <w:p>
            <w:pPr>
              <w:pStyle w:val="TableParagraph"/>
              <w:spacing w:before="65"/>
              <w:ind w:left="174"/>
              <w:jc w:val="left"/>
              <w:rPr>
                <w:sz w:val="17"/>
              </w:rPr>
            </w:pPr>
            <w:r>
              <w:rPr>
                <w:color w:val="231F20"/>
                <w:sz w:val="17"/>
              </w:rPr>
              <w:t>1.8</w:t>
            </w:r>
          </w:p>
        </w:tc>
        <w:tc>
          <w:tcPr>
            <w:tcW w:w="613" w:type="dxa"/>
          </w:tcPr>
          <w:p>
            <w:pPr>
              <w:pStyle w:val="TableParagraph"/>
              <w:spacing w:before="65"/>
              <w:ind w:left="189" w:right="166"/>
              <w:rPr>
                <w:sz w:val="17"/>
              </w:rPr>
            </w:pPr>
            <w:r>
              <w:rPr>
                <w:color w:val="231F20"/>
                <w:sz w:val="17"/>
              </w:rPr>
              <w:t>0.0</w:t>
            </w:r>
          </w:p>
        </w:tc>
        <w:tc>
          <w:tcPr>
            <w:tcW w:w="648" w:type="dxa"/>
          </w:tcPr>
          <w:p>
            <w:pPr>
              <w:pStyle w:val="TableParagraph"/>
              <w:spacing w:before="65"/>
              <w:ind w:right="170"/>
              <w:jc w:val="right"/>
              <w:rPr>
                <w:sz w:val="17"/>
              </w:rPr>
            </w:pPr>
            <w:r>
              <w:rPr>
                <w:color w:val="231F20"/>
                <w:w w:val="90"/>
                <w:sz w:val="17"/>
              </w:rPr>
              <w:t>24.3</w:t>
            </w:r>
          </w:p>
        </w:tc>
        <w:tc>
          <w:tcPr>
            <w:tcW w:w="617" w:type="dxa"/>
          </w:tcPr>
          <w:p>
            <w:pPr>
              <w:pStyle w:val="TableParagraph"/>
              <w:spacing w:before="65"/>
              <w:ind w:left="174"/>
              <w:jc w:val="left"/>
              <w:rPr>
                <w:sz w:val="17"/>
              </w:rPr>
            </w:pPr>
            <w:r>
              <w:rPr>
                <w:color w:val="231F20"/>
                <w:sz w:val="17"/>
              </w:rPr>
              <w:t>0.0</w:t>
            </w:r>
          </w:p>
        </w:tc>
        <w:tc>
          <w:tcPr>
            <w:tcW w:w="759" w:type="dxa"/>
          </w:tcPr>
          <w:p>
            <w:pPr>
              <w:pStyle w:val="TableParagraph"/>
              <w:spacing w:before="65"/>
              <w:ind w:left="214" w:right="202"/>
              <w:rPr>
                <w:sz w:val="17"/>
              </w:rPr>
            </w:pPr>
            <w:r>
              <w:rPr>
                <w:color w:val="231F20"/>
                <w:sz w:val="17"/>
              </w:rPr>
              <w:t>20.4</w:t>
            </w:r>
          </w:p>
        </w:tc>
        <w:tc>
          <w:tcPr>
            <w:tcW w:w="591" w:type="dxa"/>
          </w:tcPr>
          <w:p>
            <w:pPr>
              <w:pStyle w:val="TableParagraph"/>
              <w:spacing w:before="65"/>
              <w:ind w:left="206" w:right="127"/>
              <w:rPr>
                <w:sz w:val="17"/>
              </w:rPr>
            </w:pPr>
            <w:r>
              <w:rPr>
                <w:color w:val="231F20"/>
                <w:sz w:val="17"/>
              </w:rPr>
              <w:t>2.0</w:t>
            </w:r>
          </w:p>
        </w:tc>
        <w:tc>
          <w:tcPr>
            <w:tcW w:w="517" w:type="dxa"/>
          </w:tcPr>
          <w:p>
            <w:pPr>
              <w:pStyle w:val="TableParagraph"/>
              <w:spacing w:before="65"/>
              <w:ind w:right="116"/>
              <w:jc w:val="right"/>
              <w:rPr>
                <w:sz w:val="17"/>
              </w:rPr>
            </w:pPr>
            <w:r>
              <w:rPr>
                <w:color w:val="231F20"/>
                <w:w w:val="90"/>
                <w:sz w:val="17"/>
              </w:rPr>
              <w:t>100</w:t>
            </w:r>
          </w:p>
        </w:tc>
      </w:tr>
      <w:tr>
        <w:trPr>
          <w:trHeight w:val="369" w:hRule="exact"/>
        </w:trPr>
        <w:tc>
          <w:tcPr>
            <w:tcW w:w="524" w:type="dxa"/>
          </w:tcPr>
          <w:p>
            <w:pPr>
              <w:pStyle w:val="TableParagraph"/>
              <w:spacing w:before="46"/>
              <w:ind w:left="76"/>
              <w:jc w:val="left"/>
              <w:rPr>
                <w:rFonts w:ascii="Palatino Linotype"/>
                <w:b/>
                <w:sz w:val="17"/>
              </w:rPr>
            </w:pPr>
            <w:r>
              <w:rPr>
                <w:rFonts w:ascii="Palatino Linotype"/>
                <w:b/>
                <w:color w:val="231F20"/>
                <w:sz w:val="17"/>
              </w:rPr>
              <w:t>2012</w:t>
            </w:r>
          </w:p>
        </w:tc>
        <w:tc>
          <w:tcPr>
            <w:tcW w:w="485" w:type="dxa"/>
          </w:tcPr>
          <w:p>
            <w:pPr>
              <w:pStyle w:val="TableParagraph"/>
              <w:spacing w:before="65"/>
              <w:ind w:left="116"/>
              <w:jc w:val="left"/>
              <w:rPr>
                <w:sz w:val="17"/>
              </w:rPr>
            </w:pPr>
            <w:r>
              <w:rPr>
                <w:color w:val="231F20"/>
                <w:sz w:val="17"/>
              </w:rPr>
              <w:t>0.0</w:t>
            </w:r>
          </w:p>
        </w:tc>
        <w:tc>
          <w:tcPr>
            <w:tcW w:w="624" w:type="dxa"/>
          </w:tcPr>
          <w:p>
            <w:pPr>
              <w:pStyle w:val="TableParagraph"/>
              <w:spacing w:before="65"/>
              <w:ind w:left="172"/>
              <w:jc w:val="left"/>
              <w:rPr>
                <w:sz w:val="17"/>
              </w:rPr>
            </w:pPr>
            <w:r>
              <w:rPr>
                <w:color w:val="231F20"/>
                <w:sz w:val="17"/>
              </w:rPr>
              <w:t>11.5</w:t>
            </w:r>
          </w:p>
        </w:tc>
        <w:tc>
          <w:tcPr>
            <w:tcW w:w="620" w:type="dxa"/>
          </w:tcPr>
          <w:p>
            <w:pPr>
              <w:pStyle w:val="TableParagraph"/>
              <w:spacing w:before="65"/>
              <w:ind w:left="143" w:right="134"/>
              <w:rPr>
                <w:sz w:val="17"/>
              </w:rPr>
            </w:pPr>
            <w:r>
              <w:rPr>
                <w:color w:val="231F20"/>
                <w:sz w:val="17"/>
              </w:rPr>
              <w:t>11.4</w:t>
            </w:r>
          </w:p>
        </w:tc>
        <w:tc>
          <w:tcPr>
            <w:tcW w:w="619" w:type="dxa"/>
          </w:tcPr>
          <w:p>
            <w:pPr>
              <w:pStyle w:val="TableParagraph"/>
              <w:spacing w:before="65"/>
              <w:ind w:right="170"/>
              <w:jc w:val="right"/>
              <w:rPr>
                <w:sz w:val="17"/>
              </w:rPr>
            </w:pPr>
            <w:r>
              <w:rPr>
                <w:color w:val="231F20"/>
                <w:w w:val="90"/>
                <w:sz w:val="17"/>
              </w:rPr>
              <w:t>14.4</w:t>
            </w:r>
          </w:p>
        </w:tc>
        <w:tc>
          <w:tcPr>
            <w:tcW w:w="589" w:type="dxa"/>
          </w:tcPr>
          <w:p>
            <w:pPr>
              <w:pStyle w:val="TableParagraph"/>
              <w:spacing w:before="65"/>
              <w:ind w:left="174"/>
              <w:jc w:val="left"/>
              <w:rPr>
                <w:sz w:val="17"/>
              </w:rPr>
            </w:pPr>
            <w:r>
              <w:rPr>
                <w:color w:val="231F20"/>
                <w:sz w:val="17"/>
              </w:rPr>
              <w:t>1.6</w:t>
            </w:r>
          </w:p>
        </w:tc>
        <w:tc>
          <w:tcPr>
            <w:tcW w:w="613" w:type="dxa"/>
          </w:tcPr>
          <w:p>
            <w:pPr>
              <w:pStyle w:val="TableParagraph"/>
              <w:spacing w:before="65"/>
              <w:ind w:left="189" w:right="166"/>
              <w:rPr>
                <w:sz w:val="17"/>
              </w:rPr>
            </w:pPr>
            <w:r>
              <w:rPr>
                <w:color w:val="231F20"/>
                <w:sz w:val="17"/>
              </w:rPr>
              <w:t>0.0</w:t>
            </w:r>
          </w:p>
        </w:tc>
        <w:tc>
          <w:tcPr>
            <w:tcW w:w="648" w:type="dxa"/>
          </w:tcPr>
          <w:p>
            <w:pPr>
              <w:pStyle w:val="TableParagraph"/>
              <w:spacing w:before="65"/>
              <w:ind w:right="170"/>
              <w:jc w:val="right"/>
              <w:rPr>
                <w:sz w:val="17"/>
              </w:rPr>
            </w:pPr>
            <w:r>
              <w:rPr>
                <w:color w:val="231F20"/>
                <w:w w:val="90"/>
                <w:sz w:val="17"/>
              </w:rPr>
              <w:t>17.2</w:t>
            </w:r>
          </w:p>
        </w:tc>
        <w:tc>
          <w:tcPr>
            <w:tcW w:w="617" w:type="dxa"/>
          </w:tcPr>
          <w:p>
            <w:pPr>
              <w:pStyle w:val="TableParagraph"/>
              <w:spacing w:before="65"/>
              <w:ind w:left="174"/>
              <w:jc w:val="left"/>
              <w:rPr>
                <w:sz w:val="17"/>
              </w:rPr>
            </w:pPr>
            <w:r>
              <w:rPr>
                <w:color w:val="231F20"/>
                <w:sz w:val="17"/>
              </w:rPr>
              <w:t>0.0</w:t>
            </w:r>
          </w:p>
        </w:tc>
        <w:tc>
          <w:tcPr>
            <w:tcW w:w="759" w:type="dxa"/>
          </w:tcPr>
          <w:p>
            <w:pPr>
              <w:pStyle w:val="TableParagraph"/>
              <w:spacing w:before="65"/>
              <w:ind w:left="214" w:right="202"/>
              <w:rPr>
                <w:sz w:val="17"/>
              </w:rPr>
            </w:pPr>
            <w:r>
              <w:rPr>
                <w:color w:val="231F20"/>
                <w:sz w:val="17"/>
              </w:rPr>
              <w:t>15.2</w:t>
            </w:r>
          </w:p>
        </w:tc>
        <w:tc>
          <w:tcPr>
            <w:tcW w:w="591" w:type="dxa"/>
          </w:tcPr>
          <w:p>
            <w:pPr>
              <w:pStyle w:val="TableParagraph"/>
              <w:spacing w:before="65"/>
              <w:ind w:left="206" w:right="127"/>
              <w:rPr>
                <w:sz w:val="17"/>
              </w:rPr>
            </w:pPr>
            <w:r>
              <w:rPr>
                <w:color w:val="231F20"/>
                <w:sz w:val="17"/>
              </w:rPr>
              <w:t>1.4</w:t>
            </w:r>
          </w:p>
        </w:tc>
        <w:tc>
          <w:tcPr>
            <w:tcW w:w="517" w:type="dxa"/>
          </w:tcPr>
          <w:p>
            <w:pPr>
              <w:pStyle w:val="TableParagraph"/>
              <w:spacing w:before="65"/>
              <w:ind w:right="116"/>
              <w:jc w:val="right"/>
              <w:rPr>
                <w:sz w:val="17"/>
              </w:rPr>
            </w:pPr>
            <w:r>
              <w:rPr>
                <w:color w:val="231F20"/>
                <w:w w:val="90"/>
                <w:sz w:val="17"/>
              </w:rPr>
              <w:t>100</w:t>
            </w:r>
          </w:p>
        </w:tc>
      </w:tr>
      <w:tr>
        <w:trPr>
          <w:trHeight w:val="346" w:hRule="exact"/>
        </w:trPr>
        <w:tc>
          <w:tcPr>
            <w:tcW w:w="524" w:type="dxa"/>
            <w:tcBorders>
              <w:bottom w:val="single" w:sz="4" w:space="0" w:color="231F20"/>
            </w:tcBorders>
          </w:tcPr>
          <w:p>
            <w:pPr>
              <w:pStyle w:val="TableParagraph"/>
              <w:spacing w:before="46"/>
              <w:ind w:left="76"/>
              <w:jc w:val="left"/>
              <w:rPr>
                <w:rFonts w:ascii="Palatino Linotype"/>
                <w:b/>
                <w:sz w:val="17"/>
              </w:rPr>
            </w:pPr>
            <w:r>
              <w:rPr>
                <w:rFonts w:ascii="Palatino Linotype"/>
                <w:b/>
                <w:color w:val="231F20"/>
                <w:sz w:val="17"/>
              </w:rPr>
              <w:t>2013</w:t>
            </w:r>
          </w:p>
        </w:tc>
        <w:tc>
          <w:tcPr>
            <w:tcW w:w="485" w:type="dxa"/>
            <w:tcBorders>
              <w:bottom w:val="single" w:sz="4" w:space="0" w:color="231F20"/>
            </w:tcBorders>
          </w:tcPr>
          <w:p>
            <w:pPr>
              <w:pStyle w:val="TableParagraph"/>
              <w:spacing w:before="65"/>
              <w:ind w:left="116"/>
              <w:jc w:val="left"/>
              <w:rPr>
                <w:sz w:val="17"/>
              </w:rPr>
            </w:pPr>
            <w:r>
              <w:rPr>
                <w:color w:val="231F20"/>
                <w:sz w:val="17"/>
              </w:rPr>
              <w:t>0.0</w:t>
            </w:r>
          </w:p>
        </w:tc>
        <w:tc>
          <w:tcPr>
            <w:tcW w:w="624" w:type="dxa"/>
            <w:tcBorders>
              <w:bottom w:val="single" w:sz="4" w:space="0" w:color="231F20"/>
            </w:tcBorders>
          </w:tcPr>
          <w:p>
            <w:pPr>
              <w:pStyle w:val="TableParagraph"/>
              <w:spacing w:before="65"/>
              <w:ind w:left="172"/>
              <w:jc w:val="left"/>
              <w:rPr>
                <w:sz w:val="17"/>
              </w:rPr>
            </w:pPr>
            <w:r>
              <w:rPr>
                <w:color w:val="231F20"/>
                <w:sz w:val="17"/>
              </w:rPr>
              <w:t>15.0</w:t>
            </w:r>
          </w:p>
        </w:tc>
        <w:tc>
          <w:tcPr>
            <w:tcW w:w="620" w:type="dxa"/>
            <w:tcBorders>
              <w:bottom w:val="single" w:sz="4" w:space="0" w:color="231F20"/>
            </w:tcBorders>
          </w:tcPr>
          <w:p>
            <w:pPr>
              <w:pStyle w:val="TableParagraph"/>
              <w:spacing w:before="65"/>
              <w:ind w:left="143" w:right="134"/>
              <w:rPr>
                <w:sz w:val="17"/>
              </w:rPr>
            </w:pPr>
            <w:r>
              <w:rPr>
                <w:color w:val="231F20"/>
                <w:sz w:val="17"/>
              </w:rPr>
              <w:t>17.9</w:t>
            </w:r>
          </w:p>
        </w:tc>
        <w:tc>
          <w:tcPr>
            <w:tcW w:w="619" w:type="dxa"/>
            <w:tcBorders>
              <w:bottom w:val="single" w:sz="4" w:space="0" w:color="231F20"/>
            </w:tcBorders>
          </w:tcPr>
          <w:p>
            <w:pPr>
              <w:pStyle w:val="TableParagraph"/>
              <w:spacing w:before="65"/>
              <w:ind w:right="170"/>
              <w:jc w:val="right"/>
              <w:rPr>
                <w:sz w:val="17"/>
              </w:rPr>
            </w:pPr>
            <w:r>
              <w:rPr>
                <w:color w:val="231F20"/>
                <w:w w:val="90"/>
                <w:sz w:val="17"/>
              </w:rPr>
              <w:t>22.0</w:t>
            </w:r>
          </w:p>
        </w:tc>
        <w:tc>
          <w:tcPr>
            <w:tcW w:w="589" w:type="dxa"/>
            <w:tcBorders>
              <w:bottom w:val="single" w:sz="4" w:space="0" w:color="231F20"/>
            </w:tcBorders>
          </w:tcPr>
          <w:p>
            <w:pPr>
              <w:pStyle w:val="TableParagraph"/>
              <w:spacing w:before="65"/>
              <w:ind w:left="174"/>
              <w:jc w:val="left"/>
              <w:rPr>
                <w:sz w:val="17"/>
              </w:rPr>
            </w:pPr>
            <w:r>
              <w:rPr>
                <w:color w:val="231F20"/>
                <w:sz w:val="17"/>
              </w:rPr>
              <w:t>2.2</w:t>
            </w:r>
          </w:p>
        </w:tc>
        <w:tc>
          <w:tcPr>
            <w:tcW w:w="613" w:type="dxa"/>
            <w:tcBorders>
              <w:bottom w:val="single" w:sz="4" w:space="0" w:color="231F20"/>
            </w:tcBorders>
          </w:tcPr>
          <w:p>
            <w:pPr>
              <w:pStyle w:val="TableParagraph"/>
              <w:spacing w:before="65"/>
              <w:ind w:left="189" w:right="165"/>
              <w:rPr>
                <w:sz w:val="17"/>
              </w:rPr>
            </w:pPr>
            <w:r>
              <w:rPr>
                <w:color w:val="231F20"/>
                <w:sz w:val="17"/>
              </w:rPr>
              <w:t>0.0</w:t>
            </w:r>
          </w:p>
        </w:tc>
        <w:tc>
          <w:tcPr>
            <w:tcW w:w="648" w:type="dxa"/>
            <w:tcBorders>
              <w:bottom w:val="single" w:sz="4" w:space="0" w:color="231F20"/>
            </w:tcBorders>
          </w:tcPr>
          <w:p>
            <w:pPr>
              <w:pStyle w:val="TableParagraph"/>
              <w:spacing w:before="65"/>
              <w:ind w:right="170"/>
              <w:jc w:val="right"/>
              <w:rPr>
                <w:sz w:val="17"/>
              </w:rPr>
            </w:pPr>
            <w:r>
              <w:rPr>
                <w:color w:val="231F20"/>
                <w:w w:val="90"/>
                <w:sz w:val="17"/>
              </w:rPr>
              <w:t>23.2</w:t>
            </w:r>
          </w:p>
        </w:tc>
        <w:tc>
          <w:tcPr>
            <w:tcW w:w="617" w:type="dxa"/>
            <w:tcBorders>
              <w:bottom w:val="single" w:sz="4" w:space="0" w:color="231F20"/>
            </w:tcBorders>
          </w:tcPr>
          <w:p>
            <w:pPr>
              <w:pStyle w:val="TableParagraph"/>
              <w:spacing w:before="65"/>
              <w:ind w:left="174"/>
              <w:jc w:val="left"/>
              <w:rPr>
                <w:sz w:val="17"/>
              </w:rPr>
            </w:pPr>
            <w:r>
              <w:rPr>
                <w:color w:val="231F20"/>
                <w:sz w:val="17"/>
              </w:rPr>
              <w:t>0.0</w:t>
            </w:r>
          </w:p>
        </w:tc>
        <w:tc>
          <w:tcPr>
            <w:tcW w:w="759" w:type="dxa"/>
            <w:tcBorders>
              <w:bottom w:val="single" w:sz="4" w:space="0" w:color="231F20"/>
            </w:tcBorders>
          </w:tcPr>
          <w:p>
            <w:pPr>
              <w:pStyle w:val="TableParagraph"/>
              <w:spacing w:before="65"/>
              <w:ind w:left="214" w:right="201"/>
              <w:rPr>
                <w:sz w:val="17"/>
              </w:rPr>
            </w:pPr>
            <w:r>
              <w:rPr>
                <w:color w:val="231F20"/>
                <w:sz w:val="17"/>
              </w:rPr>
              <w:t>17.6</w:t>
            </w:r>
          </w:p>
        </w:tc>
        <w:tc>
          <w:tcPr>
            <w:tcW w:w="591" w:type="dxa"/>
            <w:tcBorders>
              <w:bottom w:val="single" w:sz="4" w:space="0" w:color="231F20"/>
            </w:tcBorders>
          </w:tcPr>
          <w:p>
            <w:pPr>
              <w:pStyle w:val="TableParagraph"/>
              <w:spacing w:before="65"/>
              <w:ind w:left="206" w:right="127"/>
              <w:rPr>
                <w:sz w:val="17"/>
              </w:rPr>
            </w:pPr>
            <w:r>
              <w:rPr>
                <w:color w:val="231F20"/>
                <w:sz w:val="17"/>
              </w:rPr>
              <w:t>2.2</w:t>
            </w:r>
          </w:p>
        </w:tc>
        <w:tc>
          <w:tcPr>
            <w:tcW w:w="517" w:type="dxa"/>
            <w:tcBorders>
              <w:bottom w:val="single" w:sz="4" w:space="0" w:color="231F20"/>
            </w:tcBorders>
          </w:tcPr>
          <w:p>
            <w:pPr>
              <w:pStyle w:val="TableParagraph"/>
              <w:spacing w:before="65"/>
              <w:ind w:right="116"/>
              <w:jc w:val="right"/>
              <w:rPr>
                <w:sz w:val="17"/>
              </w:rPr>
            </w:pPr>
            <w:r>
              <w:rPr>
                <w:color w:val="231F20"/>
                <w:w w:val="90"/>
                <w:sz w:val="17"/>
              </w:rPr>
              <w:t>100</w:t>
            </w:r>
          </w:p>
        </w:tc>
      </w:tr>
    </w:tbl>
    <w:p>
      <w:pPr>
        <w:pStyle w:val="BodyText"/>
        <w:spacing w:before="10"/>
        <w:rPr>
          <w:rFonts w:ascii="Palatino Linotype"/>
          <w:b/>
          <w:sz w:val="8"/>
        </w:rPr>
      </w:pPr>
    </w:p>
    <w:p>
      <w:pPr>
        <w:spacing w:before="38"/>
        <w:ind w:left="123" w:right="0" w:firstLine="0"/>
        <w:jc w:val="both"/>
        <w:rPr>
          <w:sz w:val="20"/>
        </w:rPr>
      </w:pPr>
      <w:r>
        <w:rPr>
          <w:rFonts w:ascii="Palatino Linotype" w:hAnsi="Palatino Linotype"/>
          <w:i/>
          <w:color w:val="231F20"/>
          <w:sz w:val="20"/>
        </w:rPr>
        <w:t>Fuente: </w:t>
      </w:r>
      <w:r>
        <w:rPr>
          <w:color w:val="231F20"/>
          <w:sz w:val="20"/>
        </w:rPr>
        <w:t>Elaboración propia con datos de AMIA (2014).</w:t>
      </w:r>
    </w:p>
    <w:p>
      <w:pPr>
        <w:pStyle w:val="BodyText"/>
        <w:spacing w:before="9"/>
      </w:pPr>
    </w:p>
    <w:p>
      <w:pPr>
        <w:pStyle w:val="BodyText"/>
        <w:spacing w:line="278" w:lineRule="auto"/>
        <w:ind w:left="123" w:right="650"/>
        <w:jc w:val="both"/>
      </w:pPr>
      <w:r>
        <w:rPr>
          <w:color w:val="231F20"/>
        </w:rPr>
        <w:t>De igual forma, se ven cambios importantes en la participación que las empresas han tenido por mercado de destino, en la producción para consumo nacional. Mientras en 1988</w:t>
      </w:r>
      <w:r>
        <w:rPr>
          <w:color w:val="231F20"/>
          <w:spacing w:val="-6"/>
        </w:rPr>
        <w:t> </w:t>
      </w:r>
      <w:r>
        <w:rPr>
          <w:color w:val="231F20"/>
        </w:rPr>
        <w:t>Chrysler</w:t>
      </w:r>
      <w:r>
        <w:rPr>
          <w:color w:val="231F20"/>
          <w:spacing w:val="-6"/>
        </w:rPr>
        <w:t> </w:t>
      </w:r>
      <w:r>
        <w:rPr>
          <w:color w:val="231F20"/>
        </w:rPr>
        <w:t>alcanzó</w:t>
      </w:r>
      <w:r>
        <w:rPr>
          <w:color w:val="231F20"/>
          <w:spacing w:val="-6"/>
        </w:rPr>
        <w:t> </w:t>
      </w:r>
      <w:r>
        <w:rPr>
          <w:color w:val="231F20"/>
        </w:rPr>
        <w:t>casi</w:t>
      </w:r>
      <w:r>
        <w:rPr>
          <w:color w:val="231F20"/>
          <w:spacing w:val="-6"/>
        </w:rPr>
        <w:t> </w:t>
      </w:r>
      <w:r>
        <w:rPr>
          <w:color w:val="231F20"/>
        </w:rPr>
        <w:t>el</w:t>
      </w:r>
      <w:r>
        <w:rPr>
          <w:color w:val="231F20"/>
          <w:spacing w:val="-6"/>
        </w:rPr>
        <w:t> </w:t>
      </w:r>
      <w:r>
        <w:rPr>
          <w:color w:val="231F20"/>
        </w:rPr>
        <w:t>25%</w:t>
      </w:r>
      <w:r>
        <w:rPr>
          <w:color w:val="231F20"/>
          <w:spacing w:val="-6"/>
        </w:rPr>
        <w:t> </w:t>
      </w:r>
      <w:r>
        <w:rPr>
          <w:color w:val="231F20"/>
        </w:rPr>
        <w:t>del</w:t>
      </w:r>
      <w:r>
        <w:rPr>
          <w:color w:val="231F20"/>
          <w:spacing w:val="-6"/>
        </w:rPr>
        <w:t> </w:t>
      </w:r>
      <w:r>
        <w:rPr>
          <w:color w:val="231F20"/>
        </w:rPr>
        <w:t>total</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nacional</w:t>
      </w:r>
      <w:r>
        <w:rPr>
          <w:color w:val="231F20"/>
          <w:spacing w:val="-6"/>
        </w:rPr>
        <w:t> </w:t>
      </w:r>
      <w:r>
        <w:rPr>
          <w:color w:val="231F20"/>
        </w:rPr>
        <w:t>de</w:t>
      </w:r>
      <w:r>
        <w:rPr>
          <w:color w:val="231F20"/>
          <w:spacing w:val="-6"/>
        </w:rPr>
        <w:t> </w:t>
      </w:r>
      <w:r>
        <w:rPr>
          <w:color w:val="231F20"/>
        </w:rPr>
        <w:t>vehículos,</w:t>
      </w:r>
      <w:r>
        <w:rPr>
          <w:color w:val="231F20"/>
          <w:spacing w:val="-6"/>
        </w:rPr>
        <w:t> </w:t>
      </w:r>
      <w:r>
        <w:rPr>
          <w:color w:val="231F20"/>
        </w:rPr>
        <w:t>en 2013</w:t>
      </w:r>
      <w:r>
        <w:rPr>
          <w:color w:val="231F20"/>
          <w:spacing w:val="-8"/>
        </w:rPr>
        <w:t> </w:t>
      </w:r>
      <w:r>
        <w:rPr>
          <w:color w:val="231F20"/>
        </w:rPr>
        <w:t>participó</w:t>
      </w:r>
      <w:r>
        <w:rPr>
          <w:color w:val="231F20"/>
          <w:spacing w:val="-8"/>
        </w:rPr>
        <w:t> </w:t>
      </w:r>
      <w:r>
        <w:rPr>
          <w:color w:val="231F20"/>
        </w:rPr>
        <w:t>sólo</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6.2%.</w:t>
      </w:r>
      <w:r>
        <w:rPr>
          <w:color w:val="231F20"/>
          <w:spacing w:val="-8"/>
        </w:rPr>
        <w:t> </w:t>
      </w:r>
      <w:r>
        <w:rPr>
          <w:color w:val="231F20"/>
          <w:spacing w:val="-3"/>
        </w:rPr>
        <w:t>Ford</w:t>
      </w:r>
      <w:r>
        <w:rPr>
          <w:color w:val="231F20"/>
          <w:spacing w:val="-8"/>
        </w:rPr>
        <w:t> </w:t>
      </w:r>
      <w:r>
        <w:rPr>
          <w:color w:val="231F20"/>
        </w:rPr>
        <w:t>también</w:t>
      </w:r>
      <w:r>
        <w:rPr>
          <w:color w:val="231F20"/>
          <w:spacing w:val="-8"/>
        </w:rPr>
        <w:t> </w:t>
      </w:r>
      <w:r>
        <w:rPr>
          <w:color w:val="231F20"/>
        </w:rPr>
        <w:t>ha</w:t>
      </w:r>
      <w:r>
        <w:rPr>
          <w:color w:val="231F20"/>
          <w:spacing w:val="-8"/>
        </w:rPr>
        <w:t> </w:t>
      </w:r>
      <w:r>
        <w:rPr>
          <w:color w:val="231F20"/>
        </w:rPr>
        <w:t>disminuido</w:t>
      </w:r>
      <w:r>
        <w:rPr>
          <w:color w:val="231F20"/>
          <w:spacing w:val="-8"/>
        </w:rPr>
        <w:t> </w:t>
      </w:r>
      <w:r>
        <w:rPr>
          <w:color w:val="231F20"/>
        </w:rPr>
        <w:t>drásticamente</w:t>
      </w:r>
      <w:r>
        <w:rPr>
          <w:color w:val="231F20"/>
          <w:spacing w:val="-8"/>
        </w:rPr>
        <w:t> </w:t>
      </w:r>
      <w:r>
        <w:rPr>
          <w:color w:val="231F20"/>
        </w:rPr>
        <w:t>la</w:t>
      </w:r>
      <w:r>
        <w:rPr>
          <w:color w:val="231F20"/>
          <w:spacing w:val="-8"/>
        </w:rPr>
        <w:t> </w:t>
      </w:r>
      <w:r>
        <w:rPr>
          <w:color w:val="231F20"/>
        </w:rPr>
        <w:t>produc- ción</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consumo</w:t>
      </w:r>
      <w:r>
        <w:rPr>
          <w:color w:val="231F20"/>
          <w:spacing w:val="-6"/>
        </w:rPr>
        <w:t> </w:t>
      </w:r>
      <w:r>
        <w:rPr>
          <w:color w:val="231F20"/>
        </w:rPr>
        <w:t>interno,</w:t>
      </w:r>
      <w:r>
        <w:rPr>
          <w:color w:val="231F20"/>
          <w:spacing w:val="-6"/>
        </w:rPr>
        <w:t> </w:t>
      </w:r>
      <w:r>
        <w:rPr>
          <w:color w:val="231F20"/>
        </w:rPr>
        <w:t>al</w:t>
      </w:r>
      <w:r>
        <w:rPr>
          <w:color w:val="231F20"/>
          <w:spacing w:val="-6"/>
        </w:rPr>
        <w:t> </w:t>
      </w:r>
      <w:r>
        <w:rPr>
          <w:color w:val="231F20"/>
        </w:rPr>
        <w:t>pasar</w:t>
      </w:r>
      <w:r>
        <w:rPr>
          <w:color w:val="231F20"/>
          <w:spacing w:val="-6"/>
        </w:rPr>
        <w:t> </w:t>
      </w:r>
      <w:r>
        <w:rPr>
          <w:color w:val="231F20"/>
        </w:rPr>
        <w:t>de</w:t>
      </w:r>
      <w:r>
        <w:rPr>
          <w:color w:val="231F20"/>
          <w:spacing w:val="-6"/>
        </w:rPr>
        <w:t> </w:t>
      </w:r>
      <w:r>
        <w:rPr>
          <w:color w:val="231F20"/>
        </w:rPr>
        <w:t>18.9</w:t>
      </w:r>
      <w:r>
        <w:rPr>
          <w:color w:val="231F20"/>
          <w:spacing w:val="-6"/>
        </w:rPr>
        <w:t> </w:t>
      </w:r>
      <w:r>
        <w:rPr>
          <w:color w:val="231F20"/>
        </w:rPr>
        <w:t>a</w:t>
      </w:r>
      <w:r>
        <w:rPr>
          <w:color w:val="231F20"/>
          <w:spacing w:val="-6"/>
        </w:rPr>
        <w:t> </w:t>
      </w:r>
      <w:r>
        <w:rPr>
          <w:color w:val="231F20"/>
        </w:rPr>
        <w:t>3.6%</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mismos</w:t>
      </w:r>
      <w:r>
        <w:rPr>
          <w:color w:val="231F20"/>
          <w:spacing w:val="-6"/>
        </w:rPr>
        <w:t> </w:t>
      </w:r>
      <w:r>
        <w:rPr>
          <w:color w:val="231F20"/>
        </w:rPr>
        <w:t>años;</w:t>
      </w:r>
      <w:r>
        <w:rPr>
          <w:color w:val="231F20"/>
          <w:spacing w:val="-6"/>
        </w:rPr>
        <w:t> </w:t>
      </w:r>
      <w:r>
        <w:rPr>
          <w:color w:val="231F20"/>
        </w:rPr>
        <w:t>a</w:t>
      </w:r>
      <w:r>
        <w:rPr>
          <w:color w:val="231F20"/>
          <w:spacing w:val="-6"/>
        </w:rPr>
        <w:t> </w:t>
      </w:r>
      <w:r>
        <w:rPr>
          <w:color w:val="231F20"/>
        </w:rPr>
        <w:t>diferencia de General </w:t>
      </w:r>
      <w:r>
        <w:rPr>
          <w:color w:val="231F20"/>
          <w:spacing w:val="-3"/>
        </w:rPr>
        <w:t>Motors </w:t>
      </w:r>
      <w:r>
        <w:rPr>
          <w:color w:val="231F20"/>
        </w:rPr>
        <w:t>y Nissan, que han incrementado considerablemente la producción para este mercado (véase cuadro</w:t>
      </w:r>
      <w:r>
        <w:rPr>
          <w:color w:val="231F20"/>
          <w:spacing w:val="-25"/>
        </w:rPr>
        <w:t> </w:t>
      </w:r>
      <w:r>
        <w:rPr>
          <w:color w:val="231F20"/>
        </w:rPr>
        <w:t>III.4).</w:t>
      </w:r>
    </w:p>
    <w:p>
      <w:pPr>
        <w:spacing w:after="0" w:line="278" w:lineRule="auto"/>
        <w:jc w:val="both"/>
        <w:sectPr>
          <w:type w:val="continuous"/>
          <w:pgSz w:w="9640" w:h="13040"/>
          <w:pgMar w:top="1200" w:bottom="280" w:left="1180" w:right="480"/>
        </w:sectPr>
      </w:pPr>
    </w:p>
    <w:p>
      <w:pPr>
        <w:pStyle w:val="BodyText"/>
        <w:rPr>
          <w:sz w:val="20"/>
        </w:rPr>
      </w:pPr>
    </w:p>
    <w:p>
      <w:pPr>
        <w:pStyle w:val="BodyText"/>
        <w:spacing w:before="5"/>
      </w:pPr>
    </w:p>
    <w:p>
      <w:pPr>
        <w:pStyle w:val="Heading4"/>
        <w:spacing w:before="35"/>
        <w:ind w:right="12"/>
      </w:pPr>
      <w:r>
        <w:rPr>
          <w:color w:val="231F20"/>
          <w:w w:val="95"/>
        </w:rPr>
        <w:t>Cuadro III.4</w:t>
      </w:r>
    </w:p>
    <w:p>
      <w:pPr>
        <w:spacing w:line="282" w:lineRule="exact" w:before="0"/>
        <w:ind w:left="561" w:right="12" w:firstLine="0"/>
        <w:jc w:val="center"/>
        <w:rPr>
          <w:rFonts w:ascii="Palatino Linotype" w:hAnsi="Palatino Linotype"/>
          <w:b/>
          <w:sz w:val="21"/>
        </w:rPr>
      </w:pPr>
      <w:r>
        <w:rPr>
          <w:rFonts w:ascii="Palatino Linotype" w:hAnsi="Palatino Linotype"/>
          <w:b/>
          <w:color w:val="231F20"/>
          <w:w w:val="95"/>
          <w:sz w:val="21"/>
        </w:rPr>
        <w:t>Producción por empresa para mercado interno, 1988-2013</w:t>
      </w:r>
    </w:p>
    <w:p>
      <w:pPr>
        <w:spacing w:before="17"/>
        <w:ind w:left="561" w:right="12" w:firstLine="0"/>
        <w:jc w:val="center"/>
        <w:rPr>
          <w:rFonts w:ascii="Palatino Linotype"/>
          <w:b/>
          <w:sz w:val="19"/>
        </w:rPr>
      </w:pPr>
      <w:r>
        <w:rPr>
          <w:rFonts w:ascii="Palatino Linotype"/>
          <w:b/>
          <w:color w:val="231F20"/>
          <w:sz w:val="19"/>
        </w:rPr>
        <w:t>(Porcentaje)</w:t>
      </w:r>
    </w:p>
    <w:p>
      <w:pPr>
        <w:pStyle w:val="BodyText"/>
        <w:spacing w:before="4"/>
        <w:rPr>
          <w:rFonts w:ascii="Palatino Linotype"/>
          <w:b/>
          <w:sz w:val="14"/>
        </w:rPr>
      </w:pPr>
    </w:p>
    <w:p>
      <w:pPr>
        <w:pStyle w:val="BodyText"/>
        <w:spacing w:line="20" w:lineRule="exact"/>
        <w:ind w:left="648"/>
        <w:rPr>
          <w:rFonts w:ascii="Palatino Linotype"/>
          <w:sz w:val="2"/>
        </w:rPr>
      </w:pPr>
      <w:r>
        <w:rPr>
          <w:rFonts w:ascii="Palatino Linotype"/>
          <w:sz w:val="2"/>
        </w:rPr>
        <w:pict>
          <v:group style="width:359.45pt;height:.5pt;mso-position-horizontal-relative:char;mso-position-vertical-relative:line" coordorigin="0,0" coordsize="7189,10">
            <v:line style="position:absolute" from="5,5" to="444,5" stroked="true" strokeweight=".5pt" strokecolor="#231f20"/>
            <v:line style="position:absolute" from="444,5" to="912,5" stroked="true" strokeweight=".5pt" strokecolor="#231f20"/>
            <v:line style="position:absolute" from="912,5" to="1522,5" stroked="true" strokeweight=".5pt" strokecolor="#231f20"/>
            <v:line style="position:absolute" from="1522,5" to="2131,5" stroked="true" strokeweight=".5pt" strokecolor="#231f20"/>
            <v:line style="position:absolute" from="2131,5" to="2698,5" stroked="true" strokeweight=".5pt" strokecolor="#231f20"/>
            <v:line style="position:absolute" from="2698,5" to="3229,5" stroked="true" strokeweight=".5pt" strokecolor="#231f20"/>
            <v:line style="position:absolute" from="3229,5" to="3917,5" stroked="true" strokeweight=".5pt" strokecolor="#231f20"/>
            <v:line style="position:absolute" from="3917,5" to="4434,5" stroked="true" strokeweight=".5pt" strokecolor="#231f20"/>
            <v:line style="position:absolute" from="4434,5" to="5001,5" stroked="true" strokeweight=".5pt" strokecolor="#231f20"/>
            <v:line style="position:absolute" from="5001,5" to="5844,5" stroked="true" strokeweight=".5pt" strokecolor="#231f20"/>
            <v:line style="position:absolute" from="5844,5" to="6376,5" stroked="true" strokeweight=".5pt" strokecolor="#231f20"/>
            <v:line style="position:absolute" from="6376,5" to="6744,5" stroked="true" strokeweight=".5pt" strokecolor="#231f20"/>
            <v:line style="position:absolute" from="6744,5" to="7184,5" stroked="true" strokeweight=".5pt" strokecolor="#231f20"/>
          </v:group>
        </w:pict>
      </w:r>
      <w:r>
        <w:rPr>
          <w:rFonts w:ascii="Palatino Linotype"/>
          <w:sz w:val="2"/>
        </w:rPr>
      </w:r>
    </w:p>
    <w:p>
      <w:pPr>
        <w:spacing w:after="0" w:line="20" w:lineRule="exact"/>
        <w:rPr>
          <w:rFonts w:ascii="Palatino Linotype"/>
          <w:sz w:val="2"/>
        </w:rPr>
        <w:sectPr>
          <w:footerReference w:type="even" r:id="rId175"/>
          <w:footerReference w:type="default" r:id="rId176"/>
          <w:pgSz w:w="9640" w:h="13040"/>
          <w:pgMar w:footer="654" w:header="581" w:top="780" w:bottom="840" w:left="480" w:right="1200"/>
          <w:pgNumType w:start="82"/>
        </w:sectPr>
      </w:pPr>
    </w:p>
    <w:p>
      <w:pPr>
        <w:spacing w:before="13"/>
        <w:ind w:left="0" w:right="0" w:firstLine="0"/>
        <w:jc w:val="right"/>
        <w:rPr>
          <w:rFonts w:ascii="Palatino Linotype"/>
          <w:b/>
          <w:sz w:val="16"/>
        </w:rPr>
      </w:pPr>
      <w:r>
        <w:rPr/>
        <w:pict>
          <v:shape style="position:absolute;margin-left:56.692902pt;margin-top:11.929388pt;width:358.95pt;height:439.35pt;mso-position-horizontal-relative:page;mso-position-vertical-relative:paragraph;z-index:8296"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1"/>
                    <w:gridCol w:w="444"/>
                    <w:gridCol w:w="553"/>
                    <w:gridCol w:w="675"/>
                    <w:gridCol w:w="551"/>
                    <w:gridCol w:w="560"/>
                    <w:gridCol w:w="587"/>
                    <w:gridCol w:w="611"/>
                    <w:gridCol w:w="585"/>
                    <w:gridCol w:w="717"/>
                    <w:gridCol w:w="586"/>
                    <w:gridCol w:w="398"/>
                    <w:gridCol w:w="429"/>
                  </w:tblGrid>
                  <w:tr>
                    <w:trPr>
                      <w:trHeight w:val="374" w:hRule="exact"/>
                    </w:trPr>
                    <w:tc>
                      <w:tcPr>
                        <w:tcW w:w="481" w:type="dxa"/>
                        <w:tcBorders>
                          <w:bottom w:val="single" w:sz="4" w:space="0" w:color="231F20"/>
                        </w:tcBorders>
                      </w:tcPr>
                      <w:p>
                        <w:pPr/>
                      </w:p>
                    </w:tc>
                    <w:tc>
                      <w:tcPr>
                        <w:tcW w:w="444" w:type="dxa"/>
                        <w:tcBorders>
                          <w:bottom w:val="single" w:sz="4" w:space="0" w:color="231F20"/>
                        </w:tcBorders>
                      </w:tcPr>
                      <w:p>
                        <w:pPr>
                          <w:pStyle w:val="TableParagraph"/>
                          <w:spacing w:line="166" w:lineRule="exact"/>
                          <w:ind w:left="-9" w:right="49"/>
                          <w:rPr>
                            <w:rFonts w:ascii="Palatino Linotype"/>
                            <w:b/>
                            <w:sz w:val="16"/>
                          </w:rPr>
                        </w:pPr>
                        <w:r>
                          <w:rPr>
                            <w:rFonts w:ascii="Palatino Linotype"/>
                            <w:b/>
                            <w:color w:val="231F20"/>
                            <w:w w:val="90"/>
                            <w:sz w:val="16"/>
                          </w:rPr>
                          <w:t>BMW</w:t>
                        </w:r>
                      </w:p>
                    </w:tc>
                    <w:tc>
                      <w:tcPr>
                        <w:tcW w:w="553" w:type="dxa"/>
                        <w:tcBorders>
                          <w:bottom w:val="single" w:sz="4" w:space="0" w:color="231F20"/>
                        </w:tcBorders>
                      </w:tcPr>
                      <w:p>
                        <w:pPr>
                          <w:pStyle w:val="TableParagraph"/>
                          <w:spacing w:line="166" w:lineRule="exact"/>
                          <w:ind w:left="-5" w:right="-24"/>
                          <w:rPr>
                            <w:rFonts w:ascii="Palatino Linotype"/>
                            <w:b/>
                            <w:sz w:val="16"/>
                          </w:rPr>
                        </w:pPr>
                        <w:r>
                          <w:rPr>
                            <w:rFonts w:ascii="Palatino Linotype"/>
                            <w:b/>
                            <w:color w:val="231F20"/>
                            <w:w w:val="90"/>
                            <w:sz w:val="16"/>
                          </w:rPr>
                          <w:t>Chrysler</w:t>
                        </w:r>
                      </w:p>
                    </w:tc>
                    <w:tc>
                      <w:tcPr>
                        <w:tcW w:w="675" w:type="dxa"/>
                        <w:tcBorders>
                          <w:bottom w:val="single" w:sz="4" w:space="0" w:color="231F20"/>
                        </w:tcBorders>
                      </w:tcPr>
                      <w:p>
                        <w:pPr>
                          <w:pStyle w:val="TableParagraph"/>
                          <w:spacing w:line="146" w:lineRule="exact"/>
                          <w:ind w:left="226" w:hanging="95"/>
                          <w:jc w:val="left"/>
                          <w:rPr>
                            <w:rFonts w:ascii="Palatino Linotype"/>
                            <w:b/>
                            <w:sz w:val="16"/>
                          </w:rPr>
                        </w:pPr>
                        <w:r>
                          <w:rPr>
                            <w:rFonts w:ascii="Palatino Linotype"/>
                            <w:b/>
                            <w:color w:val="231F20"/>
                            <w:sz w:val="16"/>
                          </w:rPr>
                          <w:t>Motor</w:t>
                        </w:r>
                      </w:p>
                      <w:p>
                        <w:pPr>
                          <w:pStyle w:val="TableParagraph"/>
                          <w:spacing w:line="196" w:lineRule="exact"/>
                          <w:ind w:left="226"/>
                          <w:jc w:val="left"/>
                          <w:rPr>
                            <w:rFonts w:ascii="Palatino Linotype"/>
                            <w:b/>
                            <w:sz w:val="16"/>
                          </w:rPr>
                        </w:pPr>
                        <w:r>
                          <w:rPr>
                            <w:rFonts w:ascii="Palatino Linotype"/>
                            <w:b/>
                            <w:color w:val="231F20"/>
                            <w:sz w:val="16"/>
                          </w:rPr>
                          <w:t>Co.</w:t>
                        </w:r>
                      </w:p>
                    </w:tc>
                    <w:tc>
                      <w:tcPr>
                        <w:tcW w:w="551" w:type="dxa"/>
                        <w:tcBorders>
                          <w:bottom w:val="single" w:sz="4" w:space="0" w:color="231F20"/>
                        </w:tcBorders>
                      </w:tcPr>
                      <w:p>
                        <w:pPr>
                          <w:pStyle w:val="TableParagraph"/>
                          <w:spacing w:before="38"/>
                          <w:ind w:right="38"/>
                          <w:rPr>
                            <w:rFonts w:ascii="Palatino Linotype"/>
                            <w:b/>
                            <w:sz w:val="16"/>
                          </w:rPr>
                        </w:pPr>
                        <w:r>
                          <w:rPr>
                            <w:rFonts w:ascii="Palatino Linotype"/>
                            <w:b/>
                            <w:color w:val="231F20"/>
                            <w:w w:val="90"/>
                            <w:sz w:val="16"/>
                          </w:rPr>
                          <w:t>Motors</w:t>
                        </w:r>
                      </w:p>
                    </w:tc>
                    <w:tc>
                      <w:tcPr>
                        <w:tcW w:w="560" w:type="dxa"/>
                        <w:tcBorders>
                          <w:bottom w:val="single" w:sz="4" w:space="0" w:color="231F20"/>
                        </w:tcBorders>
                      </w:tcPr>
                      <w:p>
                        <w:pPr>
                          <w:pStyle w:val="TableParagraph"/>
                          <w:spacing w:line="166" w:lineRule="exact"/>
                          <w:ind w:right="51"/>
                          <w:rPr>
                            <w:rFonts w:ascii="Palatino Linotype"/>
                            <w:b/>
                            <w:sz w:val="16"/>
                          </w:rPr>
                        </w:pPr>
                        <w:r>
                          <w:rPr>
                            <w:rFonts w:ascii="Palatino Linotype"/>
                            <w:b/>
                            <w:color w:val="231F20"/>
                            <w:w w:val="95"/>
                            <w:sz w:val="16"/>
                          </w:rPr>
                          <w:t>Honda</w:t>
                        </w:r>
                      </w:p>
                    </w:tc>
                    <w:tc>
                      <w:tcPr>
                        <w:tcW w:w="587" w:type="dxa"/>
                        <w:tcBorders>
                          <w:bottom w:val="single" w:sz="4" w:space="0" w:color="231F20"/>
                        </w:tcBorders>
                      </w:tcPr>
                      <w:p>
                        <w:pPr>
                          <w:pStyle w:val="TableParagraph"/>
                          <w:spacing w:before="38"/>
                          <w:ind w:left="100" w:right="82"/>
                          <w:rPr>
                            <w:rFonts w:ascii="Palatino Linotype"/>
                            <w:b/>
                            <w:sz w:val="16"/>
                          </w:rPr>
                        </w:pPr>
                        <w:r>
                          <w:rPr>
                            <w:rFonts w:ascii="Palatino Linotype"/>
                            <w:b/>
                            <w:color w:val="231F20"/>
                            <w:sz w:val="16"/>
                          </w:rPr>
                          <w:t>Benz</w:t>
                        </w:r>
                      </w:p>
                    </w:tc>
                    <w:tc>
                      <w:tcPr>
                        <w:tcW w:w="611" w:type="dxa"/>
                        <w:tcBorders>
                          <w:bottom w:val="single" w:sz="4" w:space="0" w:color="231F20"/>
                        </w:tcBorders>
                      </w:tcPr>
                      <w:p>
                        <w:pPr>
                          <w:pStyle w:val="TableParagraph"/>
                          <w:spacing w:line="166" w:lineRule="exact"/>
                          <w:ind w:left="57" w:right="31"/>
                          <w:rPr>
                            <w:rFonts w:ascii="Palatino Linotype"/>
                            <w:b/>
                            <w:sz w:val="16"/>
                          </w:rPr>
                        </w:pPr>
                        <w:r>
                          <w:rPr>
                            <w:rFonts w:ascii="Palatino Linotype"/>
                            <w:b/>
                            <w:color w:val="231F20"/>
                            <w:w w:val="95"/>
                            <w:sz w:val="16"/>
                          </w:rPr>
                          <w:t>Nissan</w:t>
                        </w:r>
                      </w:p>
                    </w:tc>
                    <w:tc>
                      <w:tcPr>
                        <w:tcW w:w="585" w:type="dxa"/>
                        <w:tcBorders>
                          <w:bottom w:val="single" w:sz="4" w:space="0" w:color="231F20"/>
                        </w:tcBorders>
                      </w:tcPr>
                      <w:p>
                        <w:pPr>
                          <w:pStyle w:val="TableParagraph"/>
                          <w:spacing w:line="166" w:lineRule="exact"/>
                          <w:ind w:left="-13" w:right="71"/>
                          <w:rPr>
                            <w:rFonts w:ascii="Palatino Linotype"/>
                            <w:b/>
                            <w:sz w:val="16"/>
                          </w:rPr>
                        </w:pPr>
                        <w:r>
                          <w:rPr>
                            <w:rFonts w:ascii="Palatino Linotype"/>
                            <w:b/>
                            <w:color w:val="231F20"/>
                            <w:spacing w:val="-1"/>
                            <w:w w:val="90"/>
                            <w:sz w:val="16"/>
                          </w:rPr>
                          <w:t>Renault</w:t>
                        </w:r>
                      </w:p>
                    </w:tc>
                    <w:tc>
                      <w:tcPr>
                        <w:tcW w:w="717" w:type="dxa"/>
                        <w:tcBorders>
                          <w:bottom w:val="single" w:sz="4" w:space="0" w:color="231F20"/>
                        </w:tcBorders>
                      </w:tcPr>
                      <w:p>
                        <w:pPr>
                          <w:pStyle w:val="TableParagraph"/>
                          <w:spacing w:line="166" w:lineRule="exact"/>
                          <w:ind w:left="-28" w:right="37"/>
                          <w:rPr>
                            <w:rFonts w:ascii="Palatino Linotype"/>
                            <w:b/>
                            <w:sz w:val="16"/>
                          </w:rPr>
                        </w:pPr>
                        <w:r>
                          <w:rPr>
                            <w:rFonts w:ascii="Palatino Linotype"/>
                            <w:b/>
                            <w:color w:val="231F20"/>
                            <w:spacing w:val="-2"/>
                            <w:w w:val="85"/>
                            <w:sz w:val="16"/>
                          </w:rPr>
                          <w:t>Volkswage</w:t>
                        </w:r>
                      </w:p>
                    </w:tc>
                    <w:tc>
                      <w:tcPr>
                        <w:tcW w:w="586" w:type="dxa"/>
                        <w:tcBorders>
                          <w:bottom w:val="single" w:sz="4" w:space="0" w:color="231F20"/>
                        </w:tcBorders>
                      </w:tcPr>
                      <w:p>
                        <w:pPr>
                          <w:pStyle w:val="TableParagraph"/>
                          <w:spacing w:line="166" w:lineRule="exact"/>
                          <w:ind w:left="-41" w:right="16"/>
                          <w:rPr>
                            <w:rFonts w:ascii="Palatino Linotype"/>
                            <w:b/>
                            <w:sz w:val="16"/>
                          </w:rPr>
                        </w:pPr>
                        <w:r>
                          <w:rPr>
                            <w:rFonts w:ascii="Palatino Linotype"/>
                            <w:b/>
                            <w:color w:val="231F20"/>
                            <w:sz w:val="16"/>
                          </w:rPr>
                          <w:t>n</w:t>
                        </w:r>
                        <w:r>
                          <w:rPr>
                            <w:rFonts w:ascii="Palatino Linotype"/>
                            <w:b/>
                            <w:color w:val="231F20"/>
                            <w:spacing w:val="-16"/>
                            <w:sz w:val="16"/>
                          </w:rPr>
                          <w:t> </w:t>
                        </w:r>
                        <w:r>
                          <w:rPr>
                            <w:rFonts w:ascii="Palatino Linotype"/>
                            <w:b/>
                            <w:color w:val="231F20"/>
                            <w:spacing w:val="-4"/>
                            <w:sz w:val="16"/>
                          </w:rPr>
                          <w:t>Toyota</w:t>
                        </w:r>
                      </w:p>
                    </w:tc>
                    <w:tc>
                      <w:tcPr>
                        <w:tcW w:w="398" w:type="dxa"/>
                        <w:tcBorders>
                          <w:bottom w:val="single" w:sz="4" w:space="0" w:color="231F20"/>
                        </w:tcBorders>
                      </w:tcPr>
                      <w:p>
                        <w:pPr>
                          <w:pStyle w:val="TableParagraph"/>
                          <w:spacing w:line="166" w:lineRule="exact"/>
                          <w:ind w:left="73"/>
                          <w:jc w:val="left"/>
                          <w:rPr>
                            <w:rFonts w:ascii="Palatino Linotype"/>
                            <w:b/>
                            <w:sz w:val="16"/>
                          </w:rPr>
                        </w:pPr>
                        <w:r>
                          <w:rPr>
                            <w:rFonts w:ascii="Palatino Linotype"/>
                            <w:b/>
                            <w:color w:val="231F20"/>
                            <w:sz w:val="16"/>
                          </w:rPr>
                          <w:t>Fiat</w:t>
                        </w:r>
                      </w:p>
                    </w:tc>
                    <w:tc>
                      <w:tcPr>
                        <w:tcW w:w="429" w:type="dxa"/>
                        <w:tcBorders>
                          <w:bottom w:val="single" w:sz="4" w:space="0" w:color="231F20"/>
                        </w:tcBorders>
                      </w:tcPr>
                      <w:p>
                        <w:pPr>
                          <w:pStyle w:val="TableParagraph"/>
                          <w:spacing w:line="166" w:lineRule="exact"/>
                          <w:ind w:left="38" w:right="-11"/>
                          <w:jc w:val="left"/>
                          <w:rPr>
                            <w:rFonts w:ascii="Palatino Linotype"/>
                            <w:b/>
                            <w:sz w:val="16"/>
                          </w:rPr>
                        </w:pPr>
                        <w:r>
                          <w:rPr>
                            <w:rFonts w:ascii="Palatino Linotype"/>
                            <w:b/>
                            <w:color w:val="231F20"/>
                            <w:sz w:val="16"/>
                          </w:rPr>
                          <w:t>Total</w:t>
                        </w:r>
                      </w:p>
                    </w:tc>
                  </w:tr>
                  <w:tr>
                    <w:trPr>
                      <w:trHeight w:val="343" w:hRule="exact"/>
                    </w:trPr>
                    <w:tc>
                      <w:tcPr>
                        <w:tcW w:w="481" w:type="dxa"/>
                        <w:tcBorders>
                          <w:top w:val="single" w:sz="4" w:space="0" w:color="231F20"/>
                        </w:tcBorders>
                      </w:tcPr>
                      <w:p>
                        <w:pPr>
                          <w:pStyle w:val="TableParagraph"/>
                          <w:spacing w:before="46"/>
                          <w:ind w:left="37" w:right="76"/>
                          <w:rPr>
                            <w:rFonts w:ascii="Palatino Linotype"/>
                            <w:b/>
                            <w:sz w:val="16"/>
                          </w:rPr>
                        </w:pPr>
                        <w:r>
                          <w:rPr>
                            <w:rFonts w:ascii="Palatino Linotype"/>
                            <w:b/>
                            <w:color w:val="231F20"/>
                            <w:sz w:val="16"/>
                          </w:rPr>
                          <w:t>1988</w:t>
                        </w:r>
                      </w:p>
                    </w:tc>
                    <w:tc>
                      <w:tcPr>
                        <w:tcW w:w="444" w:type="dxa"/>
                        <w:tcBorders>
                          <w:top w:val="single" w:sz="4" w:space="0" w:color="231F20"/>
                        </w:tcBorders>
                      </w:tcPr>
                      <w:p>
                        <w:pPr>
                          <w:pStyle w:val="TableParagraph"/>
                          <w:spacing w:before="65"/>
                          <w:ind w:left="70" w:right="127"/>
                          <w:rPr>
                            <w:sz w:val="16"/>
                          </w:rPr>
                        </w:pPr>
                        <w:r>
                          <w:rPr>
                            <w:color w:val="231F20"/>
                            <w:sz w:val="16"/>
                          </w:rPr>
                          <w:t>0.0</w:t>
                        </w:r>
                      </w:p>
                    </w:tc>
                    <w:tc>
                      <w:tcPr>
                        <w:tcW w:w="553" w:type="dxa"/>
                        <w:tcBorders>
                          <w:top w:val="single" w:sz="4" w:space="0" w:color="231F20"/>
                        </w:tcBorders>
                      </w:tcPr>
                      <w:p>
                        <w:pPr>
                          <w:pStyle w:val="TableParagraph"/>
                          <w:spacing w:before="65"/>
                          <w:ind w:left="124" w:right="105"/>
                          <w:rPr>
                            <w:sz w:val="16"/>
                          </w:rPr>
                        </w:pPr>
                        <w:r>
                          <w:rPr>
                            <w:color w:val="231F20"/>
                            <w:sz w:val="16"/>
                          </w:rPr>
                          <w:t>24.2</w:t>
                        </w:r>
                      </w:p>
                    </w:tc>
                    <w:tc>
                      <w:tcPr>
                        <w:tcW w:w="675" w:type="dxa"/>
                        <w:tcBorders>
                          <w:top w:val="single" w:sz="4" w:space="0" w:color="231F20"/>
                        </w:tcBorders>
                      </w:tcPr>
                      <w:p>
                        <w:pPr>
                          <w:pStyle w:val="TableParagraph"/>
                          <w:spacing w:before="65"/>
                          <w:ind w:left="209"/>
                          <w:jc w:val="left"/>
                          <w:rPr>
                            <w:sz w:val="16"/>
                          </w:rPr>
                        </w:pPr>
                        <w:r>
                          <w:rPr>
                            <w:color w:val="231F20"/>
                            <w:sz w:val="16"/>
                          </w:rPr>
                          <w:t>18.9</w:t>
                        </w:r>
                      </w:p>
                    </w:tc>
                    <w:tc>
                      <w:tcPr>
                        <w:tcW w:w="551" w:type="dxa"/>
                        <w:tcBorders>
                          <w:top w:val="single" w:sz="4" w:space="0" w:color="231F20"/>
                        </w:tcBorders>
                      </w:tcPr>
                      <w:p>
                        <w:pPr>
                          <w:pStyle w:val="TableParagraph"/>
                          <w:spacing w:before="65"/>
                          <w:ind w:right="38"/>
                          <w:rPr>
                            <w:sz w:val="16"/>
                          </w:rPr>
                        </w:pPr>
                        <w:r>
                          <w:rPr>
                            <w:color w:val="231F20"/>
                            <w:sz w:val="16"/>
                          </w:rPr>
                          <w:t>14.4</w:t>
                        </w:r>
                      </w:p>
                    </w:tc>
                    <w:tc>
                      <w:tcPr>
                        <w:tcW w:w="560" w:type="dxa"/>
                        <w:tcBorders>
                          <w:top w:val="single" w:sz="4" w:space="0" w:color="231F20"/>
                        </w:tcBorders>
                      </w:tcPr>
                      <w:p>
                        <w:pPr>
                          <w:pStyle w:val="TableParagraph"/>
                          <w:spacing w:before="65"/>
                          <w:ind w:right="51"/>
                          <w:rPr>
                            <w:sz w:val="16"/>
                          </w:rPr>
                        </w:pPr>
                        <w:r>
                          <w:rPr>
                            <w:color w:val="231F20"/>
                            <w:sz w:val="16"/>
                          </w:rPr>
                          <w:t>0.0</w:t>
                        </w:r>
                      </w:p>
                    </w:tc>
                    <w:tc>
                      <w:tcPr>
                        <w:tcW w:w="587" w:type="dxa"/>
                        <w:tcBorders>
                          <w:top w:val="single" w:sz="4" w:space="0" w:color="231F20"/>
                        </w:tcBorders>
                      </w:tcPr>
                      <w:p>
                        <w:pPr>
                          <w:pStyle w:val="TableParagraph"/>
                          <w:spacing w:before="65"/>
                          <w:ind w:left="100" w:right="82"/>
                          <w:rPr>
                            <w:sz w:val="16"/>
                          </w:rPr>
                        </w:pPr>
                        <w:r>
                          <w:rPr>
                            <w:color w:val="231F20"/>
                            <w:sz w:val="16"/>
                          </w:rPr>
                          <w:t>0.0</w:t>
                        </w:r>
                      </w:p>
                    </w:tc>
                    <w:tc>
                      <w:tcPr>
                        <w:tcW w:w="611" w:type="dxa"/>
                        <w:tcBorders>
                          <w:top w:val="single" w:sz="4" w:space="0" w:color="231F20"/>
                        </w:tcBorders>
                      </w:tcPr>
                      <w:p>
                        <w:pPr>
                          <w:pStyle w:val="TableParagraph"/>
                          <w:spacing w:before="65"/>
                          <w:ind w:left="57" w:right="31"/>
                          <w:rPr>
                            <w:sz w:val="16"/>
                          </w:rPr>
                        </w:pPr>
                        <w:r>
                          <w:rPr>
                            <w:color w:val="231F20"/>
                            <w:sz w:val="16"/>
                          </w:rPr>
                          <w:t>24.9</w:t>
                        </w:r>
                      </w:p>
                    </w:tc>
                    <w:tc>
                      <w:tcPr>
                        <w:tcW w:w="585" w:type="dxa"/>
                        <w:tcBorders>
                          <w:top w:val="single" w:sz="4" w:space="0" w:color="231F20"/>
                        </w:tcBorders>
                      </w:tcPr>
                      <w:p>
                        <w:pPr>
                          <w:pStyle w:val="TableParagraph"/>
                          <w:spacing w:before="65"/>
                          <w:ind w:left="127" w:right="210"/>
                          <w:rPr>
                            <w:sz w:val="16"/>
                          </w:rPr>
                        </w:pPr>
                        <w:r>
                          <w:rPr>
                            <w:color w:val="231F20"/>
                            <w:sz w:val="16"/>
                          </w:rPr>
                          <w:t>0.0</w:t>
                        </w:r>
                      </w:p>
                    </w:tc>
                    <w:tc>
                      <w:tcPr>
                        <w:tcW w:w="717" w:type="dxa"/>
                        <w:tcBorders>
                          <w:top w:val="single" w:sz="4" w:space="0" w:color="231F20"/>
                        </w:tcBorders>
                      </w:tcPr>
                      <w:p>
                        <w:pPr>
                          <w:pStyle w:val="TableParagraph"/>
                          <w:spacing w:before="65"/>
                          <w:ind w:left="59" w:right="37"/>
                          <w:rPr>
                            <w:sz w:val="16"/>
                          </w:rPr>
                        </w:pPr>
                        <w:r>
                          <w:rPr>
                            <w:color w:val="231F20"/>
                            <w:sz w:val="16"/>
                          </w:rPr>
                          <w:t>17.7</w:t>
                        </w:r>
                      </w:p>
                    </w:tc>
                    <w:tc>
                      <w:tcPr>
                        <w:tcW w:w="586" w:type="dxa"/>
                        <w:tcBorders>
                          <w:top w:val="single" w:sz="4" w:space="0" w:color="231F20"/>
                        </w:tcBorders>
                      </w:tcPr>
                      <w:p>
                        <w:pPr>
                          <w:pStyle w:val="TableParagraph"/>
                          <w:spacing w:before="65"/>
                          <w:ind w:left="110" w:right="16"/>
                          <w:rPr>
                            <w:sz w:val="16"/>
                          </w:rPr>
                        </w:pPr>
                        <w:r>
                          <w:rPr>
                            <w:color w:val="231F20"/>
                            <w:sz w:val="16"/>
                          </w:rPr>
                          <w:t>0.0</w:t>
                        </w:r>
                      </w:p>
                    </w:tc>
                    <w:tc>
                      <w:tcPr>
                        <w:tcW w:w="398" w:type="dxa"/>
                        <w:tcBorders>
                          <w:top w:val="single" w:sz="4" w:space="0" w:color="231F20"/>
                        </w:tcBorders>
                      </w:tcPr>
                      <w:p>
                        <w:pPr>
                          <w:pStyle w:val="TableParagraph"/>
                          <w:spacing w:before="65"/>
                          <w:ind w:left="109"/>
                          <w:jc w:val="left"/>
                          <w:rPr>
                            <w:sz w:val="16"/>
                          </w:rPr>
                        </w:pPr>
                        <w:r>
                          <w:rPr>
                            <w:color w:val="231F20"/>
                            <w:sz w:val="16"/>
                          </w:rPr>
                          <w:t>0.0</w:t>
                        </w:r>
                      </w:p>
                    </w:tc>
                    <w:tc>
                      <w:tcPr>
                        <w:tcW w:w="429" w:type="dxa"/>
                        <w:tcBorders>
                          <w:top w:val="single" w:sz="4" w:space="0" w:color="231F20"/>
                        </w:tcBorders>
                      </w:tcPr>
                      <w:p>
                        <w:pPr>
                          <w:pStyle w:val="TableParagraph"/>
                          <w:spacing w:before="65"/>
                          <w:ind w:left="94" w:right="-11"/>
                          <w:jc w:val="left"/>
                          <w:rPr>
                            <w:sz w:val="16"/>
                          </w:rPr>
                        </w:pPr>
                        <w:r>
                          <w:rPr>
                            <w:color w:val="231F20"/>
                            <w:sz w:val="16"/>
                          </w:rPr>
                          <w:t>100</w:t>
                        </w:r>
                      </w:p>
                    </w:tc>
                  </w:tr>
                  <w:tr>
                    <w:trPr>
                      <w:trHeight w:val="323" w:hRule="exact"/>
                    </w:trPr>
                    <w:tc>
                      <w:tcPr>
                        <w:tcW w:w="481" w:type="dxa"/>
                      </w:tcPr>
                      <w:p>
                        <w:pPr>
                          <w:pStyle w:val="TableParagraph"/>
                          <w:spacing w:before="31"/>
                          <w:ind w:left="37" w:right="76"/>
                          <w:rPr>
                            <w:rFonts w:ascii="Palatino Linotype"/>
                            <w:b/>
                            <w:sz w:val="16"/>
                          </w:rPr>
                        </w:pPr>
                        <w:r>
                          <w:rPr>
                            <w:rFonts w:ascii="Palatino Linotype"/>
                            <w:b/>
                            <w:color w:val="231F20"/>
                            <w:sz w:val="16"/>
                          </w:rPr>
                          <w:t>1989</w:t>
                        </w:r>
                      </w:p>
                    </w:tc>
                    <w:tc>
                      <w:tcPr>
                        <w:tcW w:w="444" w:type="dxa"/>
                      </w:tcPr>
                      <w:p>
                        <w:pPr>
                          <w:pStyle w:val="TableParagraph"/>
                          <w:spacing w:before="50"/>
                          <w:ind w:left="70" w:right="127"/>
                          <w:rPr>
                            <w:sz w:val="16"/>
                          </w:rPr>
                        </w:pPr>
                        <w:r>
                          <w:rPr>
                            <w:color w:val="231F20"/>
                            <w:sz w:val="16"/>
                          </w:rPr>
                          <w:t>0.0</w:t>
                        </w:r>
                      </w:p>
                    </w:tc>
                    <w:tc>
                      <w:tcPr>
                        <w:tcW w:w="553" w:type="dxa"/>
                      </w:tcPr>
                      <w:p>
                        <w:pPr>
                          <w:pStyle w:val="TableParagraph"/>
                          <w:spacing w:before="50"/>
                          <w:ind w:left="124" w:right="105"/>
                          <w:rPr>
                            <w:sz w:val="16"/>
                          </w:rPr>
                        </w:pPr>
                        <w:r>
                          <w:rPr>
                            <w:color w:val="231F20"/>
                            <w:sz w:val="16"/>
                          </w:rPr>
                          <w:t>21.6</w:t>
                        </w:r>
                      </w:p>
                    </w:tc>
                    <w:tc>
                      <w:tcPr>
                        <w:tcW w:w="675" w:type="dxa"/>
                      </w:tcPr>
                      <w:p>
                        <w:pPr>
                          <w:pStyle w:val="TableParagraph"/>
                          <w:spacing w:before="50"/>
                          <w:ind w:left="209"/>
                          <w:jc w:val="left"/>
                          <w:rPr>
                            <w:sz w:val="16"/>
                          </w:rPr>
                        </w:pPr>
                        <w:r>
                          <w:rPr>
                            <w:color w:val="231F20"/>
                            <w:sz w:val="16"/>
                          </w:rPr>
                          <w:t>20.0</w:t>
                        </w:r>
                      </w:p>
                    </w:tc>
                    <w:tc>
                      <w:tcPr>
                        <w:tcW w:w="551" w:type="dxa"/>
                      </w:tcPr>
                      <w:p>
                        <w:pPr>
                          <w:pStyle w:val="TableParagraph"/>
                          <w:spacing w:before="50"/>
                          <w:ind w:right="38"/>
                          <w:rPr>
                            <w:sz w:val="16"/>
                          </w:rPr>
                        </w:pPr>
                        <w:r>
                          <w:rPr>
                            <w:color w:val="231F20"/>
                            <w:sz w:val="16"/>
                          </w:rPr>
                          <w:t>16.7</w:t>
                        </w:r>
                      </w:p>
                    </w:tc>
                    <w:tc>
                      <w:tcPr>
                        <w:tcW w:w="560" w:type="dxa"/>
                      </w:tcPr>
                      <w:p>
                        <w:pPr>
                          <w:pStyle w:val="TableParagraph"/>
                          <w:spacing w:before="50"/>
                          <w:ind w:right="50"/>
                          <w:rPr>
                            <w:sz w:val="16"/>
                          </w:rPr>
                        </w:pPr>
                        <w:r>
                          <w:rPr>
                            <w:color w:val="231F20"/>
                            <w:sz w:val="16"/>
                          </w:rPr>
                          <w:t>0.0</w:t>
                        </w:r>
                      </w:p>
                    </w:tc>
                    <w:tc>
                      <w:tcPr>
                        <w:tcW w:w="587" w:type="dxa"/>
                      </w:tcPr>
                      <w:p>
                        <w:pPr>
                          <w:pStyle w:val="TableParagraph"/>
                          <w:spacing w:before="50"/>
                          <w:ind w:left="100" w:right="81"/>
                          <w:rPr>
                            <w:sz w:val="16"/>
                          </w:rPr>
                        </w:pPr>
                        <w:r>
                          <w:rPr>
                            <w:color w:val="231F20"/>
                            <w:sz w:val="16"/>
                          </w:rPr>
                          <w:t>0.0</w:t>
                        </w:r>
                      </w:p>
                    </w:tc>
                    <w:tc>
                      <w:tcPr>
                        <w:tcW w:w="611" w:type="dxa"/>
                      </w:tcPr>
                      <w:p>
                        <w:pPr>
                          <w:pStyle w:val="TableParagraph"/>
                          <w:spacing w:before="50"/>
                          <w:ind w:left="57" w:right="31"/>
                          <w:rPr>
                            <w:sz w:val="16"/>
                          </w:rPr>
                        </w:pPr>
                        <w:r>
                          <w:rPr>
                            <w:color w:val="231F20"/>
                            <w:sz w:val="16"/>
                          </w:rPr>
                          <w:t>22.1</w:t>
                        </w:r>
                      </w:p>
                    </w:tc>
                    <w:tc>
                      <w:tcPr>
                        <w:tcW w:w="585" w:type="dxa"/>
                      </w:tcPr>
                      <w:p>
                        <w:pPr>
                          <w:pStyle w:val="TableParagraph"/>
                          <w:spacing w:before="50"/>
                          <w:ind w:left="127" w:right="210"/>
                          <w:rPr>
                            <w:sz w:val="16"/>
                          </w:rPr>
                        </w:pPr>
                        <w:r>
                          <w:rPr>
                            <w:color w:val="231F20"/>
                            <w:sz w:val="16"/>
                          </w:rPr>
                          <w:t>0.0</w:t>
                        </w:r>
                      </w:p>
                    </w:tc>
                    <w:tc>
                      <w:tcPr>
                        <w:tcW w:w="717" w:type="dxa"/>
                      </w:tcPr>
                      <w:p>
                        <w:pPr>
                          <w:pStyle w:val="TableParagraph"/>
                          <w:spacing w:before="50"/>
                          <w:ind w:left="59" w:right="37"/>
                          <w:rPr>
                            <w:sz w:val="16"/>
                          </w:rPr>
                        </w:pPr>
                        <w:r>
                          <w:rPr>
                            <w:color w:val="231F20"/>
                            <w:sz w:val="16"/>
                          </w:rPr>
                          <w:t>19.7</w:t>
                        </w:r>
                      </w:p>
                    </w:tc>
                    <w:tc>
                      <w:tcPr>
                        <w:tcW w:w="586" w:type="dxa"/>
                      </w:tcPr>
                      <w:p>
                        <w:pPr>
                          <w:pStyle w:val="TableParagraph"/>
                          <w:spacing w:before="50"/>
                          <w:ind w:left="110" w:right="16"/>
                          <w:rPr>
                            <w:sz w:val="16"/>
                          </w:rPr>
                        </w:pPr>
                        <w:r>
                          <w:rPr>
                            <w:color w:val="231F20"/>
                            <w:sz w:val="16"/>
                          </w:rPr>
                          <w:t>0.0</w:t>
                        </w:r>
                      </w:p>
                    </w:tc>
                    <w:tc>
                      <w:tcPr>
                        <w:tcW w:w="398" w:type="dxa"/>
                      </w:tcPr>
                      <w:p>
                        <w:pPr>
                          <w:pStyle w:val="TableParagraph"/>
                          <w:spacing w:before="50"/>
                          <w:ind w:left="109"/>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8" w:right="76"/>
                          <w:rPr>
                            <w:rFonts w:ascii="Palatino Linotype"/>
                            <w:b/>
                            <w:sz w:val="16"/>
                          </w:rPr>
                        </w:pPr>
                        <w:r>
                          <w:rPr>
                            <w:rFonts w:ascii="Palatino Linotype"/>
                            <w:b/>
                            <w:color w:val="231F20"/>
                            <w:sz w:val="16"/>
                          </w:rPr>
                          <w:t>1990</w:t>
                        </w:r>
                      </w:p>
                    </w:tc>
                    <w:tc>
                      <w:tcPr>
                        <w:tcW w:w="444" w:type="dxa"/>
                      </w:tcPr>
                      <w:p>
                        <w:pPr>
                          <w:pStyle w:val="TableParagraph"/>
                          <w:spacing w:before="50"/>
                          <w:ind w:left="70" w:right="127"/>
                          <w:rPr>
                            <w:sz w:val="16"/>
                          </w:rPr>
                        </w:pPr>
                        <w:r>
                          <w:rPr>
                            <w:color w:val="231F20"/>
                            <w:sz w:val="16"/>
                          </w:rPr>
                          <w:t>0.0</w:t>
                        </w:r>
                      </w:p>
                    </w:tc>
                    <w:tc>
                      <w:tcPr>
                        <w:tcW w:w="553" w:type="dxa"/>
                      </w:tcPr>
                      <w:p>
                        <w:pPr>
                          <w:pStyle w:val="TableParagraph"/>
                          <w:spacing w:before="50"/>
                          <w:ind w:left="125" w:right="105"/>
                          <w:rPr>
                            <w:sz w:val="16"/>
                          </w:rPr>
                        </w:pPr>
                        <w:r>
                          <w:rPr>
                            <w:color w:val="231F20"/>
                            <w:sz w:val="16"/>
                          </w:rPr>
                          <w:t>17.4</w:t>
                        </w:r>
                      </w:p>
                    </w:tc>
                    <w:tc>
                      <w:tcPr>
                        <w:tcW w:w="675" w:type="dxa"/>
                      </w:tcPr>
                      <w:p>
                        <w:pPr>
                          <w:pStyle w:val="TableParagraph"/>
                          <w:spacing w:before="50"/>
                          <w:ind w:left="209"/>
                          <w:jc w:val="left"/>
                          <w:rPr>
                            <w:sz w:val="16"/>
                          </w:rPr>
                        </w:pPr>
                        <w:r>
                          <w:rPr>
                            <w:color w:val="231F20"/>
                            <w:sz w:val="16"/>
                          </w:rPr>
                          <w:t>15.6</w:t>
                        </w:r>
                      </w:p>
                    </w:tc>
                    <w:tc>
                      <w:tcPr>
                        <w:tcW w:w="551" w:type="dxa"/>
                      </w:tcPr>
                      <w:p>
                        <w:pPr>
                          <w:pStyle w:val="TableParagraph"/>
                          <w:spacing w:before="50"/>
                          <w:ind w:right="37"/>
                          <w:rPr>
                            <w:sz w:val="16"/>
                          </w:rPr>
                        </w:pPr>
                        <w:r>
                          <w:rPr>
                            <w:color w:val="231F20"/>
                            <w:sz w:val="16"/>
                          </w:rPr>
                          <w:t>18.1</w:t>
                        </w:r>
                      </w:p>
                    </w:tc>
                    <w:tc>
                      <w:tcPr>
                        <w:tcW w:w="560" w:type="dxa"/>
                      </w:tcPr>
                      <w:p>
                        <w:pPr>
                          <w:pStyle w:val="TableParagraph"/>
                          <w:spacing w:before="50"/>
                          <w:ind w:right="50"/>
                          <w:rPr>
                            <w:sz w:val="16"/>
                          </w:rPr>
                        </w:pPr>
                        <w:r>
                          <w:rPr>
                            <w:color w:val="231F20"/>
                            <w:sz w:val="16"/>
                          </w:rPr>
                          <w:t>0.0</w:t>
                        </w:r>
                      </w:p>
                    </w:tc>
                    <w:tc>
                      <w:tcPr>
                        <w:tcW w:w="587" w:type="dxa"/>
                      </w:tcPr>
                      <w:p>
                        <w:pPr>
                          <w:pStyle w:val="TableParagraph"/>
                          <w:spacing w:before="50"/>
                          <w:ind w:left="100" w:right="81"/>
                          <w:rPr>
                            <w:sz w:val="16"/>
                          </w:rPr>
                        </w:pPr>
                        <w:r>
                          <w:rPr>
                            <w:color w:val="231F20"/>
                            <w:sz w:val="16"/>
                          </w:rPr>
                          <w:t>0.0</w:t>
                        </w:r>
                      </w:p>
                    </w:tc>
                    <w:tc>
                      <w:tcPr>
                        <w:tcW w:w="611" w:type="dxa"/>
                      </w:tcPr>
                      <w:p>
                        <w:pPr>
                          <w:pStyle w:val="TableParagraph"/>
                          <w:spacing w:before="50"/>
                          <w:ind w:left="57" w:right="31"/>
                          <w:rPr>
                            <w:sz w:val="16"/>
                          </w:rPr>
                        </w:pPr>
                        <w:r>
                          <w:rPr>
                            <w:color w:val="231F20"/>
                            <w:sz w:val="16"/>
                          </w:rPr>
                          <w:t>21.4</w:t>
                        </w:r>
                      </w:p>
                    </w:tc>
                    <w:tc>
                      <w:tcPr>
                        <w:tcW w:w="585" w:type="dxa"/>
                      </w:tcPr>
                      <w:p>
                        <w:pPr>
                          <w:pStyle w:val="TableParagraph"/>
                          <w:spacing w:before="50"/>
                          <w:ind w:left="128" w:right="210"/>
                          <w:rPr>
                            <w:sz w:val="16"/>
                          </w:rPr>
                        </w:pPr>
                        <w:r>
                          <w:rPr>
                            <w:color w:val="231F20"/>
                            <w:sz w:val="16"/>
                          </w:rPr>
                          <w:t>0.0</w:t>
                        </w:r>
                      </w:p>
                    </w:tc>
                    <w:tc>
                      <w:tcPr>
                        <w:tcW w:w="717" w:type="dxa"/>
                      </w:tcPr>
                      <w:p>
                        <w:pPr>
                          <w:pStyle w:val="TableParagraph"/>
                          <w:spacing w:before="50"/>
                          <w:ind w:left="60" w:right="37"/>
                          <w:rPr>
                            <w:sz w:val="16"/>
                          </w:rPr>
                        </w:pPr>
                        <w:r>
                          <w:rPr>
                            <w:color w:val="231F20"/>
                            <w:sz w:val="16"/>
                          </w:rPr>
                          <w:t>27.5</w:t>
                        </w:r>
                      </w:p>
                    </w:tc>
                    <w:tc>
                      <w:tcPr>
                        <w:tcW w:w="586" w:type="dxa"/>
                      </w:tcPr>
                      <w:p>
                        <w:pPr>
                          <w:pStyle w:val="TableParagraph"/>
                          <w:spacing w:before="50"/>
                          <w:ind w:left="110" w:right="16"/>
                          <w:rPr>
                            <w:sz w:val="16"/>
                          </w:rPr>
                        </w:pPr>
                        <w:r>
                          <w:rPr>
                            <w:color w:val="231F20"/>
                            <w:sz w:val="16"/>
                          </w:rPr>
                          <w:t>0.0</w:t>
                        </w:r>
                      </w:p>
                    </w:tc>
                    <w:tc>
                      <w:tcPr>
                        <w:tcW w:w="398" w:type="dxa"/>
                      </w:tcPr>
                      <w:p>
                        <w:pPr>
                          <w:pStyle w:val="TableParagraph"/>
                          <w:spacing w:before="50"/>
                          <w:ind w:left="109"/>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8" w:right="76"/>
                          <w:rPr>
                            <w:rFonts w:ascii="Palatino Linotype"/>
                            <w:b/>
                            <w:sz w:val="16"/>
                          </w:rPr>
                        </w:pPr>
                        <w:r>
                          <w:rPr>
                            <w:rFonts w:ascii="Palatino Linotype"/>
                            <w:b/>
                            <w:color w:val="231F20"/>
                            <w:sz w:val="16"/>
                          </w:rPr>
                          <w:t>1991</w:t>
                        </w:r>
                      </w:p>
                    </w:tc>
                    <w:tc>
                      <w:tcPr>
                        <w:tcW w:w="444" w:type="dxa"/>
                      </w:tcPr>
                      <w:p>
                        <w:pPr>
                          <w:pStyle w:val="TableParagraph"/>
                          <w:spacing w:before="50"/>
                          <w:ind w:left="71" w:right="127"/>
                          <w:rPr>
                            <w:sz w:val="16"/>
                          </w:rPr>
                        </w:pPr>
                        <w:r>
                          <w:rPr>
                            <w:color w:val="231F20"/>
                            <w:sz w:val="16"/>
                          </w:rPr>
                          <w:t>0.0</w:t>
                        </w:r>
                      </w:p>
                    </w:tc>
                    <w:tc>
                      <w:tcPr>
                        <w:tcW w:w="553" w:type="dxa"/>
                      </w:tcPr>
                      <w:p>
                        <w:pPr>
                          <w:pStyle w:val="TableParagraph"/>
                          <w:spacing w:before="50"/>
                          <w:ind w:left="125" w:right="105"/>
                          <w:rPr>
                            <w:sz w:val="16"/>
                          </w:rPr>
                        </w:pPr>
                        <w:r>
                          <w:rPr>
                            <w:color w:val="231F20"/>
                            <w:sz w:val="16"/>
                          </w:rPr>
                          <w:t>18.8</w:t>
                        </w:r>
                      </w:p>
                    </w:tc>
                    <w:tc>
                      <w:tcPr>
                        <w:tcW w:w="675" w:type="dxa"/>
                      </w:tcPr>
                      <w:p>
                        <w:pPr>
                          <w:pStyle w:val="TableParagraph"/>
                          <w:spacing w:before="50"/>
                          <w:ind w:left="209"/>
                          <w:jc w:val="left"/>
                          <w:rPr>
                            <w:sz w:val="16"/>
                          </w:rPr>
                        </w:pPr>
                        <w:r>
                          <w:rPr>
                            <w:color w:val="231F20"/>
                            <w:sz w:val="16"/>
                          </w:rPr>
                          <w:t>18.6</w:t>
                        </w:r>
                      </w:p>
                    </w:tc>
                    <w:tc>
                      <w:tcPr>
                        <w:tcW w:w="551" w:type="dxa"/>
                      </w:tcPr>
                      <w:p>
                        <w:pPr>
                          <w:pStyle w:val="TableParagraph"/>
                          <w:spacing w:before="50"/>
                          <w:ind w:right="37"/>
                          <w:rPr>
                            <w:sz w:val="16"/>
                          </w:rPr>
                        </w:pPr>
                        <w:r>
                          <w:rPr>
                            <w:color w:val="231F20"/>
                            <w:sz w:val="16"/>
                          </w:rPr>
                          <w:t>17.8</w:t>
                        </w:r>
                      </w:p>
                    </w:tc>
                    <w:tc>
                      <w:tcPr>
                        <w:tcW w:w="560" w:type="dxa"/>
                      </w:tcPr>
                      <w:p>
                        <w:pPr>
                          <w:pStyle w:val="TableParagraph"/>
                          <w:spacing w:before="50"/>
                          <w:ind w:right="50"/>
                          <w:rPr>
                            <w:sz w:val="16"/>
                          </w:rPr>
                        </w:pPr>
                        <w:r>
                          <w:rPr>
                            <w:color w:val="231F20"/>
                            <w:sz w:val="16"/>
                          </w:rPr>
                          <w:t>0.0</w:t>
                        </w:r>
                      </w:p>
                    </w:tc>
                    <w:tc>
                      <w:tcPr>
                        <w:tcW w:w="587" w:type="dxa"/>
                      </w:tcPr>
                      <w:p>
                        <w:pPr>
                          <w:pStyle w:val="TableParagraph"/>
                          <w:spacing w:before="50"/>
                          <w:ind w:left="100" w:right="81"/>
                          <w:rPr>
                            <w:sz w:val="16"/>
                          </w:rPr>
                        </w:pPr>
                        <w:r>
                          <w:rPr>
                            <w:color w:val="231F20"/>
                            <w:sz w:val="16"/>
                          </w:rPr>
                          <w:t>0.0</w:t>
                        </w:r>
                      </w:p>
                    </w:tc>
                    <w:tc>
                      <w:tcPr>
                        <w:tcW w:w="611" w:type="dxa"/>
                      </w:tcPr>
                      <w:p>
                        <w:pPr>
                          <w:pStyle w:val="TableParagraph"/>
                          <w:spacing w:before="50"/>
                          <w:ind w:left="57" w:right="30"/>
                          <w:rPr>
                            <w:sz w:val="16"/>
                          </w:rPr>
                        </w:pPr>
                        <w:r>
                          <w:rPr>
                            <w:color w:val="231F20"/>
                            <w:sz w:val="16"/>
                          </w:rPr>
                          <w:t>18.9</w:t>
                        </w:r>
                      </w:p>
                    </w:tc>
                    <w:tc>
                      <w:tcPr>
                        <w:tcW w:w="585" w:type="dxa"/>
                      </w:tcPr>
                      <w:p>
                        <w:pPr>
                          <w:pStyle w:val="TableParagraph"/>
                          <w:spacing w:before="50"/>
                          <w:ind w:left="128" w:right="210"/>
                          <w:rPr>
                            <w:sz w:val="16"/>
                          </w:rPr>
                        </w:pPr>
                        <w:r>
                          <w:rPr>
                            <w:color w:val="231F20"/>
                            <w:sz w:val="16"/>
                          </w:rPr>
                          <w:t>0.0</w:t>
                        </w:r>
                      </w:p>
                    </w:tc>
                    <w:tc>
                      <w:tcPr>
                        <w:tcW w:w="717" w:type="dxa"/>
                      </w:tcPr>
                      <w:p>
                        <w:pPr>
                          <w:pStyle w:val="TableParagraph"/>
                          <w:spacing w:before="50"/>
                          <w:ind w:left="60" w:right="37"/>
                          <w:rPr>
                            <w:sz w:val="16"/>
                          </w:rPr>
                        </w:pPr>
                        <w:r>
                          <w:rPr>
                            <w:color w:val="231F20"/>
                            <w:sz w:val="16"/>
                          </w:rPr>
                          <w:t>25.9</w:t>
                        </w:r>
                      </w:p>
                    </w:tc>
                    <w:tc>
                      <w:tcPr>
                        <w:tcW w:w="586" w:type="dxa"/>
                      </w:tcPr>
                      <w:p>
                        <w:pPr>
                          <w:pStyle w:val="TableParagraph"/>
                          <w:spacing w:before="50"/>
                          <w:ind w:left="111" w:right="16"/>
                          <w:rPr>
                            <w:sz w:val="16"/>
                          </w:rPr>
                        </w:pPr>
                        <w:r>
                          <w:rPr>
                            <w:color w:val="231F20"/>
                            <w:sz w:val="16"/>
                          </w:rPr>
                          <w:t>0.0</w:t>
                        </w:r>
                      </w:p>
                    </w:tc>
                    <w:tc>
                      <w:tcPr>
                        <w:tcW w:w="398" w:type="dxa"/>
                      </w:tcPr>
                      <w:p>
                        <w:pPr>
                          <w:pStyle w:val="TableParagraph"/>
                          <w:spacing w:before="50"/>
                          <w:ind w:left="109"/>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8" w:right="76"/>
                          <w:rPr>
                            <w:rFonts w:ascii="Palatino Linotype"/>
                            <w:b/>
                            <w:sz w:val="16"/>
                          </w:rPr>
                        </w:pPr>
                        <w:r>
                          <w:rPr>
                            <w:rFonts w:ascii="Palatino Linotype"/>
                            <w:b/>
                            <w:color w:val="231F20"/>
                            <w:sz w:val="16"/>
                          </w:rPr>
                          <w:t>1992</w:t>
                        </w:r>
                      </w:p>
                    </w:tc>
                    <w:tc>
                      <w:tcPr>
                        <w:tcW w:w="444" w:type="dxa"/>
                      </w:tcPr>
                      <w:p>
                        <w:pPr>
                          <w:pStyle w:val="TableParagraph"/>
                          <w:spacing w:before="50"/>
                          <w:ind w:left="71" w:right="127"/>
                          <w:rPr>
                            <w:sz w:val="16"/>
                          </w:rPr>
                        </w:pPr>
                        <w:r>
                          <w:rPr>
                            <w:color w:val="231F20"/>
                            <w:sz w:val="16"/>
                          </w:rPr>
                          <w:t>0.0</w:t>
                        </w:r>
                      </w:p>
                    </w:tc>
                    <w:tc>
                      <w:tcPr>
                        <w:tcW w:w="553" w:type="dxa"/>
                      </w:tcPr>
                      <w:p>
                        <w:pPr>
                          <w:pStyle w:val="TableParagraph"/>
                          <w:spacing w:before="50"/>
                          <w:ind w:left="125" w:right="105"/>
                          <w:rPr>
                            <w:sz w:val="16"/>
                          </w:rPr>
                        </w:pPr>
                        <w:r>
                          <w:rPr>
                            <w:color w:val="231F20"/>
                            <w:sz w:val="16"/>
                          </w:rPr>
                          <w:t>20.1</w:t>
                        </w:r>
                      </w:p>
                    </w:tc>
                    <w:tc>
                      <w:tcPr>
                        <w:tcW w:w="675" w:type="dxa"/>
                      </w:tcPr>
                      <w:p>
                        <w:pPr>
                          <w:pStyle w:val="TableParagraph"/>
                          <w:spacing w:before="50"/>
                          <w:ind w:left="209"/>
                          <w:jc w:val="left"/>
                          <w:rPr>
                            <w:sz w:val="16"/>
                          </w:rPr>
                        </w:pPr>
                        <w:r>
                          <w:rPr>
                            <w:color w:val="231F20"/>
                            <w:sz w:val="16"/>
                          </w:rPr>
                          <w:t>19.3</w:t>
                        </w:r>
                      </w:p>
                    </w:tc>
                    <w:tc>
                      <w:tcPr>
                        <w:tcW w:w="551" w:type="dxa"/>
                      </w:tcPr>
                      <w:p>
                        <w:pPr>
                          <w:pStyle w:val="TableParagraph"/>
                          <w:spacing w:before="50"/>
                          <w:ind w:right="37"/>
                          <w:rPr>
                            <w:sz w:val="16"/>
                          </w:rPr>
                        </w:pPr>
                        <w:r>
                          <w:rPr>
                            <w:color w:val="231F20"/>
                            <w:sz w:val="16"/>
                          </w:rPr>
                          <w:t>18.4</w:t>
                        </w:r>
                      </w:p>
                    </w:tc>
                    <w:tc>
                      <w:tcPr>
                        <w:tcW w:w="560" w:type="dxa"/>
                      </w:tcPr>
                      <w:p>
                        <w:pPr>
                          <w:pStyle w:val="TableParagraph"/>
                          <w:spacing w:before="50"/>
                          <w:ind w:right="50"/>
                          <w:rPr>
                            <w:sz w:val="16"/>
                          </w:rPr>
                        </w:pPr>
                        <w:r>
                          <w:rPr>
                            <w:color w:val="231F20"/>
                            <w:sz w:val="16"/>
                          </w:rPr>
                          <w:t>0.0</w:t>
                        </w:r>
                      </w:p>
                    </w:tc>
                    <w:tc>
                      <w:tcPr>
                        <w:tcW w:w="587" w:type="dxa"/>
                      </w:tcPr>
                      <w:p>
                        <w:pPr>
                          <w:pStyle w:val="TableParagraph"/>
                          <w:spacing w:before="50"/>
                          <w:ind w:left="100" w:right="81"/>
                          <w:rPr>
                            <w:sz w:val="16"/>
                          </w:rPr>
                        </w:pPr>
                        <w:r>
                          <w:rPr>
                            <w:color w:val="231F20"/>
                            <w:sz w:val="16"/>
                          </w:rPr>
                          <w:t>0.0</w:t>
                        </w:r>
                      </w:p>
                    </w:tc>
                    <w:tc>
                      <w:tcPr>
                        <w:tcW w:w="611" w:type="dxa"/>
                      </w:tcPr>
                      <w:p>
                        <w:pPr>
                          <w:pStyle w:val="TableParagraph"/>
                          <w:spacing w:before="50"/>
                          <w:ind w:left="57" w:right="30"/>
                          <w:rPr>
                            <w:sz w:val="16"/>
                          </w:rPr>
                        </w:pPr>
                        <w:r>
                          <w:rPr>
                            <w:color w:val="231F20"/>
                            <w:sz w:val="16"/>
                          </w:rPr>
                          <w:t>20.3</w:t>
                        </w:r>
                      </w:p>
                    </w:tc>
                    <w:tc>
                      <w:tcPr>
                        <w:tcW w:w="585" w:type="dxa"/>
                      </w:tcPr>
                      <w:p>
                        <w:pPr>
                          <w:pStyle w:val="TableParagraph"/>
                          <w:spacing w:before="50"/>
                          <w:ind w:left="128" w:right="210"/>
                          <w:rPr>
                            <w:sz w:val="16"/>
                          </w:rPr>
                        </w:pPr>
                        <w:r>
                          <w:rPr>
                            <w:color w:val="231F20"/>
                            <w:sz w:val="16"/>
                          </w:rPr>
                          <w:t>0.0</w:t>
                        </w:r>
                      </w:p>
                    </w:tc>
                    <w:tc>
                      <w:tcPr>
                        <w:tcW w:w="717" w:type="dxa"/>
                      </w:tcPr>
                      <w:p>
                        <w:pPr>
                          <w:pStyle w:val="TableParagraph"/>
                          <w:spacing w:before="50"/>
                          <w:ind w:left="60" w:right="37"/>
                          <w:rPr>
                            <w:sz w:val="16"/>
                          </w:rPr>
                        </w:pPr>
                        <w:r>
                          <w:rPr>
                            <w:color w:val="231F20"/>
                            <w:sz w:val="16"/>
                          </w:rPr>
                          <w:t>22.0</w:t>
                        </w:r>
                      </w:p>
                    </w:tc>
                    <w:tc>
                      <w:tcPr>
                        <w:tcW w:w="586" w:type="dxa"/>
                      </w:tcPr>
                      <w:p>
                        <w:pPr>
                          <w:pStyle w:val="TableParagraph"/>
                          <w:spacing w:before="50"/>
                          <w:ind w:left="111" w:right="16"/>
                          <w:rPr>
                            <w:sz w:val="16"/>
                          </w:rPr>
                        </w:pPr>
                        <w:r>
                          <w:rPr>
                            <w:color w:val="231F20"/>
                            <w:sz w:val="16"/>
                          </w:rPr>
                          <w:t>0.0</w:t>
                        </w:r>
                      </w:p>
                    </w:tc>
                    <w:tc>
                      <w:tcPr>
                        <w:tcW w:w="398" w:type="dxa"/>
                      </w:tcPr>
                      <w:p>
                        <w:pPr>
                          <w:pStyle w:val="TableParagraph"/>
                          <w:spacing w:before="50"/>
                          <w:ind w:left="109"/>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9" w:right="76"/>
                          <w:rPr>
                            <w:rFonts w:ascii="Palatino Linotype"/>
                            <w:b/>
                            <w:sz w:val="16"/>
                          </w:rPr>
                        </w:pPr>
                        <w:r>
                          <w:rPr>
                            <w:rFonts w:ascii="Palatino Linotype"/>
                            <w:b/>
                            <w:color w:val="231F20"/>
                            <w:sz w:val="16"/>
                          </w:rPr>
                          <w:t>1993</w:t>
                        </w:r>
                      </w:p>
                    </w:tc>
                    <w:tc>
                      <w:tcPr>
                        <w:tcW w:w="444" w:type="dxa"/>
                      </w:tcPr>
                      <w:p>
                        <w:pPr>
                          <w:pStyle w:val="TableParagraph"/>
                          <w:spacing w:before="50"/>
                          <w:ind w:left="71" w:right="127"/>
                          <w:rPr>
                            <w:sz w:val="16"/>
                          </w:rPr>
                        </w:pPr>
                        <w:r>
                          <w:rPr>
                            <w:color w:val="231F20"/>
                            <w:sz w:val="16"/>
                          </w:rPr>
                          <w:t>0.0</w:t>
                        </w:r>
                      </w:p>
                    </w:tc>
                    <w:tc>
                      <w:tcPr>
                        <w:tcW w:w="553" w:type="dxa"/>
                      </w:tcPr>
                      <w:p>
                        <w:pPr>
                          <w:pStyle w:val="TableParagraph"/>
                          <w:spacing w:before="50"/>
                          <w:ind w:left="126" w:right="105"/>
                          <w:rPr>
                            <w:sz w:val="16"/>
                          </w:rPr>
                        </w:pPr>
                        <w:r>
                          <w:rPr>
                            <w:color w:val="231F20"/>
                            <w:sz w:val="16"/>
                          </w:rPr>
                          <w:t>16.1</w:t>
                        </w:r>
                      </w:p>
                    </w:tc>
                    <w:tc>
                      <w:tcPr>
                        <w:tcW w:w="675" w:type="dxa"/>
                      </w:tcPr>
                      <w:p>
                        <w:pPr>
                          <w:pStyle w:val="TableParagraph"/>
                          <w:spacing w:before="50"/>
                          <w:ind w:left="209"/>
                          <w:jc w:val="left"/>
                          <w:rPr>
                            <w:sz w:val="16"/>
                          </w:rPr>
                        </w:pPr>
                        <w:r>
                          <w:rPr>
                            <w:color w:val="231F20"/>
                            <w:sz w:val="16"/>
                          </w:rPr>
                          <w:t>16.4</w:t>
                        </w:r>
                      </w:p>
                    </w:tc>
                    <w:tc>
                      <w:tcPr>
                        <w:tcW w:w="551" w:type="dxa"/>
                      </w:tcPr>
                      <w:p>
                        <w:pPr>
                          <w:pStyle w:val="TableParagraph"/>
                          <w:spacing w:before="50"/>
                          <w:ind w:right="36"/>
                          <w:rPr>
                            <w:sz w:val="16"/>
                          </w:rPr>
                        </w:pPr>
                        <w:r>
                          <w:rPr>
                            <w:color w:val="231F20"/>
                            <w:sz w:val="16"/>
                          </w:rPr>
                          <w:t>18.1</w:t>
                        </w:r>
                      </w:p>
                    </w:tc>
                    <w:tc>
                      <w:tcPr>
                        <w:tcW w:w="560" w:type="dxa"/>
                      </w:tcPr>
                      <w:p>
                        <w:pPr>
                          <w:pStyle w:val="TableParagraph"/>
                          <w:spacing w:before="50"/>
                          <w:ind w:right="49"/>
                          <w:rPr>
                            <w:sz w:val="16"/>
                          </w:rPr>
                        </w:pPr>
                        <w:r>
                          <w:rPr>
                            <w:color w:val="231F20"/>
                            <w:sz w:val="16"/>
                          </w:rPr>
                          <w:t>0.0</w:t>
                        </w:r>
                      </w:p>
                    </w:tc>
                    <w:tc>
                      <w:tcPr>
                        <w:tcW w:w="587" w:type="dxa"/>
                      </w:tcPr>
                      <w:p>
                        <w:pPr>
                          <w:pStyle w:val="TableParagraph"/>
                          <w:spacing w:before="50"/>
                          <w:ind w:left="100" w:right="80"/>
                          <w:rPr>
                            <w:sz w:val="16"/>
                          </w:rPr>
                        </w:pPr>
                        <w:r>
                          <w:rPr>
                            <w:color w:val="231F20"/>
                            <w:sz w:val="16"/>
                          </w:rPr>
                          <w:t>0.0</w:t>
                        </w:r>
                      </w:p>
                    </w:tc>
                    <w:tc>
                      <w:tcPr>
                        <w:tcW w:w="611" w:type="dxa"/>
                      </w:tcPr>
                      <w:p>
                        <w:pPr>
                          <w:pStyle w:val="TableParagraph"/>
                          <w:spacing w:before="50"/>
                          <w:ind w:left="57" w:right="30"/>
                          <w:rPr>
                            <w:sz w:val="16"/>
                          </w:rPr>
                        </w:pPr>
                        <w:r>
                          <w:rPr>
                            <w:color w:val="231F20"/>
                            <w:sz w:val="16"/>
                          </w:rPr>
                          <w:t>24.3</w:t>
                        </w:r>
                      </w:p>
                    </w:tc>
                    <w:tc>
                      <w:tcPr>
                        <w:tcW w:w="585" w:type="dxa"/>
                      </w:tcPr>
                      <w:p>
                        <w:pPr>
                          <w:pStyle w:val="TableParagraph"/>
                          <w:spacing w:before="50"/>
                          <w:ind w:left="129" w:right="210"/>
                          <w:rPr>
                            <w:sz w:val="16"/>
                          </w:rPr>
                        </w:pPr>
                        <w:r>
                          <w:rPr>
                            <w:color w:val="231F20"/>
                            <w:sz w:val="16"/>
                          </w:rPr>
                          <w:t>0.0</w:t>
                        </w:r>
                      </w:p>
                    </w:tc>
                    <w:tc>
                      <w:tcPr>
                        <w:tcW w:w="717" w:type="dxa"/>
                      </w:tcPr>
                      <w:p>
                        <w:pPr>
                          <w:pStyle w:val="TableParagraph"/>
                          <w:spacing w:before="50"/>
                          <w:ind w:left="61" w:right="37"/>
                          <w:rPr>
                            <w:sz w:val="16"/>
                          </w:rPr>
                        </w:pPr>
                        <w:r>
                          <w:rPr>
                            <w:color w:val="231F20"/>
                            <w:sz w:val="16"/>
                          </w:rPr>
                          <w:t>25.2</w:t>
                        </w:r>
                      </w:p>
                    </w:tc>
                    <w:tc>
                      <w:tcPr>
                        <w:tcW w:w="586" w:type="dxa"/>
                      </w:tcPr>
                      <w:p>
                        <w:pPr>
                          <w:pStyle w:val="TableParagraph"/>
                          <w:spacing w:before="50"/>
                          <w:ind w:left="111" w:right="16"/>
                          <w:rPr>
                            <w:sz w:val="16"/>
                          </w:rPr>
                        </w:pPr>
                        <w:r>
                          <w:rPr>
                            <w:color w:val="231F20"/>
                            <w:sz w:val="16"/>
                          </w:rPr>
                          <w:t>0.0</w:t>
                        </w:r>
                      </w:p>
                    </w:tc>
                    <w:tc>
                      <w:tcPr>
                        <w:tcW w:w="398" w:type="dxa"/>
                      </w:tcPr>
                      <w:p>
                        <w:pPr>
                          <w:pStyle w:val="TableParagraph"/>
                          <w:spacing w:before="50"/>
                          <w:ind w:left="109"/>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9" w:right="76"/>
                          <w:rPr>
                            <w:rFonts w:ascii="Palatino Linotype"/>
                            <w:b/>
                            <w:sz w:val="16"/>
                          </w:rPr>
                        </w:pPr>
                        <w:r>
                          <w:rPr>
                            <w:rFonts w:ascii="Palatino Linotype"/>
                            <w:b/>
                            <w:color w:val="231F20"/>
                            <w:sz w:val="16"/>
                          </w:rPr>
                          <w:t>1994</w:t>
                        </w:r>
                      </w:p>
                    </w:tc>
                    <w:tc>
                      <w:tcPr>
                        <w:tcW w:w="444" w:type="dxa"/>
                      </w:tcPr>
                      <w:p>
                        <w:pPr>
                          <w:pStyle w:val="TableParagraph"/>
                          <w:spacing w:before="50"/>
                          <w:ind w:left="72" w:right="127"/>
                          <w:rPr>
                            <w:sz w:val="16"/>
                          </w:rPr>
                        </w:pPr>
                        <w:r>
                          <w:rPr>
                            <w:color w:val="231F20"/>
                            <w:sz w:val="16"/>
                          </w:rPr>
                          <w:t>0.0</w:t>
                        </w:r>
                      </w:p>
                    </w:tc>
                    <w:tc>
                      <w:tcPr>
                        <w:tcW w:w="553" w:type="dxa"/>
                      </w:tcPr>
                      <w:p>
                        <w:pPr>
                          <w:pStyle w:val="TableParagraph"/>
                          <w:spacing w:before="50"/>
                          <w:ind w:left="126" w:right="105"/>
                          <w:rPr>
                            <w:sz w:val="16"/>
                          </w:rPr>
                        </w:pPr>
                        <w:r>
                          <w:rPr>
                            <w:color w:val="231F20"/>
                            <w:sz w:val="16"/>
                          </w:rPr>
                          <w:t>15.7</w:t>
                        </w:r>
                      </w:p>
                    </w:tc>
                    <w:tc>
                      <w:tcPr>
                        <w:tcW w:w="675" w:type="dxa"/>
                      </w:tcPr>
                      <w:p>
                        <w:pPr>
                          <w:pStyle w:val="TableParagraph"/>
                          <w:spacing w:before="50"/>
                          <w:ind w:left="209"/>
                          <w:jc w:val="left"/>
                          <w:rPr>
                            <w:sz w:val="16"/>
                          </w:rPr>
                        </w:pPr>
                        <w:r>
                          <w:rPr>
                            <w:color w:val="231F20"/>
                            <w:sz w:val="16"/>
                          </w:rPr>
                          <w:t>11.9</w:t>
                        </w:r>
                      </w:p>
                    </w:tc>
                    <w:tc>
                      <w:tcPr>
                        <w:tcW w:w="551" w:type="dxa"/>
                      </w:tcPr>
                      <w:p>
                        <w:pPr>
                          <w:pStyle w:val="TableParagraph"/>
                          <w:spacing w:before="50"/>
                          <w:ind w:right="36"/>
                          <w:rPr>
                            <w:sz w:val="16"/>
                          </w:rPr>
                        </w:pPr>
                        <w:r>
                          <w:rPr>
                            <w:color w:val="231F20"/>
                            <w:sz w:val="16"/>
                          </w:rPr>
                          <w:t>17.4</w:t>
                        </w:r>
                      </w:p>
                    </w:tc>
                    <w:tc>
                      <w:tcPr>
                        <w:tcW w:w="560" w:type="dxa"/>
                      </w:tcPr>
                      <w:p>
                        <w:pPr>
                          <w:pStyle w:val="TableParagraph"/>
                          <w:spacing w:before="50"/>
                          <w:ind w:right="49"/>
                          <w:rPr>
                            <w:sz w:val="16"/>
                          </w:rPr>
                        </w:pPr>
                        <w:r>
                          <w:rPr>
                            <w:color w:val="231F20"/>
                            <w:sz w:val="16"/>
                          </w:rPr>
                          <w:t>0.0</w:t>
                        </w:r>
                      </w:p>
                    </w:tc>
                    <w:tc>
                      <w:tcPr>
                        <w:tcW w:w="587" w:type="dxa"/>
                      </w:tcPr>
                      <w:p>
                        <w:pPr>
                          <w:pStyle w:val="TableParagraph"/>
                          <w:spacing w:before="50"/>
                          <w:ind w:left="100" w:right="80"/>
                          <w:rPr>
                            <w:sz w:val="16"/>
                          </w:rPr>
                        </w:pPr>
                        <w:r>
                          <w:rPr>
                            <w:color w:val="231F20"/>
                            <w:sz w:val="16"/>
                          </w:rPr>
                          <w:t>0.1</w:t>
                        </w:r>
                      </w:p>
                    </w:tc>
                    <w:tc>
                      <w:tcPr>
                        <w:tcW w:w="611" w:type="dxa"/>
                      </w:tcPr>
                      <w:p>
                        <w:pPr>
                          <w:pStyle w:val="TableParagraph"/>
                          <w:spacing w:before="50"/>
                          <w:ind w:left="57" w:right="29"/>
                          <w:rPr>
                            <w:sz w:val="16"/>
                          </w:rPr>
                        </w:pPr>
                        <w:r>
                          <w:rPr>
                            <w:color w:val="231F20"/>
                            <w:sz w:val="16"/>
                          </w:rPr>
                          <w:t>24.8</w:t>
                        </w:r>
                      </w:p>
                    </w:tc>
                    <w:tc>
                      <w:tcPr>
                        <w:tcW w:w="585" w:type="dxa"/>
                      </w:tcPr>
                      <w:p>
                        <w:pPr>
                          <w:pStyle w:val="TableParagraph"/>
                          <w:spacing w:before="50"/>
                          <w:ind w:left="129" w:right="210"/>
                          <w:rPr>
                            <w:sz w:val="16"/>
                          </w:rPr>
                        </w:pPr>
                        <w:r>
                          <w:rPr>
                            <w:color w:val="231F20"/>
                            <w:sz w:val="16"/>
                          </w:rPr>
                          <w:t>0.0</w:t>
                        </w:r>
                      </w:p>
                    </w:tc>
                    <w:tc>
                      <w:tcPr>
                        <w:tcW w:w="717" w:type="dxa"/>
                      </w:tcPr>
                      <w:p>
                        <w:pPr>
                          <w:pStyle w:val="TableParagraph"/>
                          <w:spacing w:before="50"/>
                          <w:ind w:left="61" w:right="37"/>
                          <w:rPr>
                            <w:sz w:val="16"/>
                          </w:rPr>
                        </w:pPr>
                        <w:r>
                          <w:rPr>
                            <w:color w:val="231F20"/>
                            <w:sz w:val="16"/>
                          </w:rPr>
                          <w:t>30.1</w:t>
                        </w:r>
                      </w:p>
                    </w:tc>
                    <w:tc>
                      <w:tcPr>
                        <w:tcW w:w="586" w:type="dxa"/>
                      </w:tcPr>
                      <w:p>
                        <w:pPr>
                          <w:pStyle w:val="TableParagraph"/>
                          <w:spacing w:before="50"/>
                          <w:ind w:left="112"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39" w:right="76"/>
                          <w:rPr>
                            <w:rFonts w:ascii="Palatino Linotype"/>
                            <w:b/>
                            <w:sz w:val="16"/>
                          </w:rPr>
                        </w:pPr>
                        <w:r>
                          <w:rPr>
                            <w:rFonts w:ascii="Palatino Linotype"/>
                            <w:b/>
                            <w:color w:val="231F20"/>
                            <w:sz w:val="16"/>
                          </w:rPr>
                          <w:t>1995</w:t>
                        </w:r>
                      </w:p>
                    </w:tc>
                    <w:tc>
                      <w:tcPr>
                        <w:tcW w:w="444" w:type="dxa"/>
                      </w:tcPr>
                      <w:p>
                        <w:pPr>
                          <w:pStyle w:val="TableParagraph"/>
                          <w:spacing w:before="50"/>
                          <w:ind w:left="72" w:right="127"/>
                          <w:rPr>
                            <w:sz w:val="16"/>
                          </w:rPr>
                        </w:pPr>
                        <w:r>
                          <w:rPr>
                            <w:color w:val="231F20"/>
                            <w:sz w:val="16"/>
                          </w:rPr>
                          <w:t>0.2</w:t>
                        </w:r>
                      </w:p>
                    </w:tc>
                    <w:tc>
                      <w:tcPr>
                        <w:tcW w:w="553" w:type="dxa"/>
                      </w:tcPr>
                      <w:p>
                        <w:pPr>
                          <w:pStyle w:val="TableParagraph"/>
                          <w:spacing w:before="50"/>
                          <w:ind w:left="126" w:right="105"/>
                          <w:rPr>
                            <w:sz w:val="16"/>
                          </w:rPr>
                        </w:pPr>
                        <w:r>
                          <w:rPr>
                            <w:color w:val="231F20"/>
                            <w:sz w:val="16"/>
                          </w:rPr>
                          <w:t>16.9</w:t>
                        </w:r>
                      </w:p>
                    </w:tc>
                    <w:tc>
                      <w:tcPr>
                        <w:tcW w:w="675" w:type="dxa"/>
                      </w:tcPr>
                      <w:p>
                        <w:pPr>
                          <w:pStyle w:val="TableParagraph"/>
                          <w:spacing w:before="50"/>
                          <w:ind w:left="210"/>
                          <w:jc w:val="left"/>
                          <w:rPr>
                            <w:sz w:val="16"/>
                          </w:rPr>
                        </w:pPr>
                        <w:r>
                          <w:rPr>
                            <w:color w:val="231F20"/>
                            <w:sz w:val="16"/>
                          </w:rPr>
                          <w:t>10.8</w:t>
                        </w:r>
                      </w:p>
                    </w:tc>
                    <w:tc>
                      <w:tcPr>
                        <w:tcW w:w="551" w:type="dxa"/>
                      </w:tcPr>
                      <w:p>
                        <w:pPr>
                          <w:pStyle w:val="TableParagraph"/>
                          <w:spacing w:before="50"/>
                          <w:ind w:right="36"/>
                          <w:rPr>
                            <w:sz w:val="16"/>
                          </w:rPr>
                        </w:pPr>
                        <w:r>
                          <w:rPr>
                            <w:color w:val="231F20"/>
                            <w:sz w:val="16"/>
                          </w:rPr>
                          <w:t>22.7</w:t>
                        </w:r>
                      </w:p>
                    </w:tc>
                    <w:tc>
                      <w:tcPr>
                        <w:tcW w:w="560" w:type="dxa"/>
                      </w:tcPr>
                      <w:p>
                        <w:pPr>
                          <w:pStyle w:val="TableParagraph"/>
                          <w:spacing w:before="50"/>
                          <w:ind w:right="49"/>
                          <w:rPr>
                            <w:sz w:val="16"/>
                          </w:rPr>
                        </w:pPr>
                        <w:r>
                          <w:rPr>
                            <w:color w:val="231F20"/>
                            <w:sz w:val="16"/>
                          </w:rPr>
                          <w:t>0.1</w:t>
                        </w:r>
                      </w:p>
                    </w:tc>
                    <w:tc>
                      <w:tcPr>
                        <w:tcW w:w="587" w:type="dxa"/>
                      </w:tcPr>
                      <w:p>
                        <w:pPr>
                          <w:pStyle w:val="TableParagraph"/>
                          <w:spacing w:before="50"/>
                          <w:ind w:left="100" w:right="80"/>
                          <w:rPr>
                            <w:sz w:val="16"/>
                          </w:rPr>
                        </w:pPr>
                        <w:r>
                          <w:rPr>
                            <w:color w:val="231F20"/>
                            <w:sz w:val="16"/>
                          </w:rPr>
                          <w:t>0.5</w:t>
                        </w:r>
                      </w:p>
                    </w:tc>
                    <w:tc>
                      <w:tcPr>
                        <w:tcW w:w="611" w:type="dxa"/>
                      </w:tcPr>
                      <w:p>
                        <w:pPr>
                          <w:pStyle w:val="TableParagraph"/>
                          <w:spacing w:before="50"/>
                          <w:ind w:left="57" w:right="29"/>
                          <w:rPr>
                            <w:sz w:val="16"/>
                          </w:rPr>
                        </w:pPr>
                        <w:r>
                          <w:rPr>
                            <w:color w:val="231F20"/>
                            <w:sz w:val="16"/>
                          </w:rPr>
                          <w:t>25.0</w:t>
                        </w:r>
                      </w:p>
                    </w:tc>
                    <w:tc>
                      <w:tcPr>
                        <w:tcW w:w="585" w:type="dxa"/>
                      </w:tcPr>
                      <w:p>
                        <w:pPr>
                          <w:pStyle w:val="TableParagraph"/>
                          <w:spacing w:before="50"/>
                          <w:ind w:left="129" w:right="210"/>
                          <w:rPr>
                            <w:sz w:val="16"/>
                          </w:rPr>
                        </w:pPr>
                        <w:r>
                          <w:rPr>
                            <w:color w:val="231F20"/>
                            <w:sz w:val="16"/>
                          </w:rPr>
                          <w:t>0.0</w:t>
                        </w:r>
                      </w:p>
                    </w:tc>
                    <w:tc>
                      <w:tcPr>
                        <w:tcW w:w="717" w:type="dxa"/>
                      </w:tcPr>
                      <w:p>
                        <w:pPr>
                          <w:pStyle w:val="TableParagraph"/>
                          <w:spacing w:before="50"/>
                          <w:ind w:left="61" w:right="37"/>
                          <w:rPr>
                            <w:sz w:val="16"/>
                          </w:rPr>
                        </w:pPr>
                        <w:r>
                          <w:rPr>
                            <w:color w:val="231F20"/>
                            <w:sz w:val="16"/>
                          </w:rPr>
                          <w:t>23.8</w:t>
                        </w:r>
                      </w:p>
                    </w:tc>
                    <w:tc>
                      <w:tcPr>
                        <w:tcW w:w="586" w:type="dxa"/>
                      </w:tcPr>
                      <w:p>
                        <w:pPr>
                          <w:pStyle w:val="TableParagraph"/>
                          <w:spacing w:before="50"/>
                          <w:ind w:left="112"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5" w:right="-11"/>
                          <w:jc w:val="left"/>
                          <w:rPr>
                            <w:sz w:val="16"/>
                          </w:rPr>
                        </w:pPr>
                        <w:r>
                          <w:rPr>
                            <w:color w:val="231F20"/>
                            <w:sz w:val="16"/>
                          </w:rPr>
                          <w:t>100</w:t>
                        </w:r>
                      </w:p>
                    </w:tc>
                  </w:tr>
                  <w:tr>
                    <w:trPr>
                      <w:trHeight w:val="323" w:hRule="exact"/>
                    </w:trPr>
                    <w:tc>
                      <w:tcPr>
                        <w:tcW w:w="481" w:type="dxa"/>
                      </w:tcPr>
                      <w:p>
                        <w:pPr>
                          <w:pStyle w:val="TableParagraph"/>
                          <w:spacing w:before="31"/>
                          <w:ind w:left="40" w:right="76"/>
                          <w:rPr>
                            <w:rFonts w:ascii="Palatino Linotype"/>
                            <w:b/>
                            <w:sz w:val="16"/>
                          </w:rPr>
                        </w:pPr>
                        <w:r>
                          <w:rPr>
                            <w:rFonts w:ascii="Palatino Linotype"/>
                            <w:b/>
                            <w:color w:val="231F20"/>
                            <w:sz w:val="16"/>
                          </w:rPr>
                          <w:t>1996</w:t>
                        </w:r>
                      </w:p>
                    </w:tc>
                    <w:tc>
                      <w:tcPr>
                        <w:tcW w:w="444" w:type="dxa"/>
                      </w:tcPr>
                      <w:p>
                        <w:pPr>
                          <w:pStyle w:val="TableParagraph"/>
                          <w:spacing w:before="50"/>
                          <w:ind w:left="72" w:right="127"/>
                          <w:rPr>
                            <w:sz w:val="16"/>
                          </w:rPr>
                        </w:pPr>
                        <w:r>
                          <w:rPr>
                            <w:color w:val="231F20"/>
                            <w:sz w:val="16"/>
                          </w:rPr>
                          <w:t>0.2</w:t>
                        </w:r>
                      </w:p>
                    </w:tc>
                    <w:tc>
                      <w:tcPr>
                        <w:tcW w:w="553" w:type="dxa"/>
                      </w:tcPr>
                      <w:p>
                        <w:pPr>
                          <w:pStyle w:val="TableParagraph"/>
                          <w:spacing w:before="50"/>
                          <w:ind w:left="126" w:right="104"/>
                          <w:rPr>
                            <w:sz w:val="16"/>
                          </w:rPr>
                        </w:pPr>
                        <w:r>
                          <w:rPr>
                            <w:color w:val="231F20"/>
                            <w:sz w:val="16"/>
                          </w:rPr>
                          <w:t>14.9</w:t>
                        </w:r>
                      </w:p>
                    </w:tc>
                    <w:tc>
                      <w:tcPr>
                        <w:tcW w:w="675" w:type="dxa"/>
                      </w:tcPr>
                      <w:p>
                        <w:pPr>
                          <w:pStyle w:val="TableParagraph"/>
                          <w:spacing w:before="50"/>
                          <w:ind w:left="210"/>
                          <w:jc w:val="left"/>
                          <w:rPr>
                            <w:sz w:val="16"/>
                          </w:rPr>
                        </w:pPr>
                        <w:r>
                          <w:rPr>
                            <w:color w:val="231F20"/>
                            <w:sz w:val="16"/>
                          </w:rPr>
                          <w:t>14.2</w:t>
                        </w:r>
                      </w:p>
                    </w:tc>
                    <w:tc>
                      <w:tcPr>
                        <w:tcW w:w="551" w:type="dxa"/>
                      </w:tcPr>
                      <w:p>
                        <w:pPr>
                          <w:pStyle w:val="TableParagraph"/>
                          <w:spacing w:before="50"/>
                          <w:ind w:right="35"/>
                          <w:rPr>
                            <w:sz w:val="16"/>
                          </w:rPr>
                        </w:pPr>
                        <w:r>
                          <w:rPr>
                            <w:color w:val="231F20"/>
                            <w:sz w:val="16"/>
                          </w:rPr>
                          <w:t>26.7</w:t>
                        </w:r>
                      </w:p>
                    </w:tc>
                    <w:tc>
                      <w:tcPr>
                        <w:tcW w:w="560" w:type="dxa"/>
                      </w:tcPr>
                      <w:p>
                        <w:pPr>
                          <w:pStyle w:val="TableParagraph"/>
                          <w:spacing w:before="50"/>
                          <w:ind w:right="48"/>
                          <w:rPr>
                            <w:sz w:val="16"/>
                          </w:rPr>
                        </w:pPr>
                        <w:r>
                          <w:rPr>
                            <w:color w:val="231F20"/>
                            <w:sz w:val="16"/>
                          </w:rPr>
                          <w:t>0.5</w:t>
                        </w:r>
                      </w:p>
                    </w:tc>
                    <w:tc>
                      <w:tcPr>
                        <w:tcW w:w="587" w:type="dxa"/>
                      </w:tcPr>
                      <w:p>
                        <w:pPr>
                          <w:pStyle w:val="TableParagraph"/>
                          <w:spacing w:before="50"/>
                          <w:ind w:left="100" w:right="79"/>
                          <w:rPr>
                            <w:sz w:val="16"/>
                          </w:rPr>
                        </w:pPr>
                        <w:r>
                          <w:rPr>
                            <w:color w:val="231F20"/>
                            <w:sz w:val="16"/>
                          </w:rPr>
                          <w:t>0.4</w:t>
                        </w:r>
                      </w:p>
                    </w:tc>
                    <w:tc>
                      <w:tcPr>
                        <w:tcW w:w="611" w:type="dxa"/>
                      </w:tcPr>
                      <w:p>
                        <w:pPr>
                          <w:pStyle w:val="TableParagraph"/>
                          <w:spacing w:before="50"/>
                          <w:ind w:left="57" w:right="29"/>
                          <w:rPr>
                            <w:sz w:val="16"/>
                          </w:rPr>
                        </w:pPr>
                        <w:r>
                          <w:rPr>
                            <w:color w:val="231F20"/>
                            <w:sz w:val="16"/>
                          </w:rPr>
                          <w:t>20.9</w:t>
                        </w:r>
                      </w:p>
                    </w:tc>
                    <w:tc>
                      <w:tcPr>
                        <w:tcW w:w="585" w:type="dxa"/>
                      </w:tcPr>
                      <w:p>
                        <w:pPr>
                          <w:pStyle w:val="TableParagraph"/>
                          <w:spacing w:before="50"/>
                          <w:ind w:left="130" w:right="210"/>
                          <w:rPr>
                            <w:sz w:val="16"/>
                          </w:rPr>
                        </w:pPr>
                        <w:r>
                          <w:rPr>
                            <w:color w:val="231F20"/>
                            <w:sz w:val="16"/>
                          </w:rPr>
                          <w:t>0.0</w:t>
                        </w:r>
                      </w:p>
                    </w:tc>
                    <w:tc>
                      <w:tcPr>
                        <w:tcW w:w="717" w:type="dxa"/>
                      </w:tcPr>
                      <w:p>
                        <w:pPr>
                          <w:pStyle w:val="TableParagraph"/>
                          <w:spacing w:before="50"/>
                          <w:ind w:left="62" w:right="37"/>
                          <w:rPr>
                            <w:sz w:val="16"/>
                          </w:rPr>
                        </w:pPr>
                        <w:r>
                          <w:rPr>
                            <w:color w:val="231F20"/>
                            <w:sz w:val="16"/>
                          </w:rPr>
                          <w:t>22.1</w:t>
                        </w:r>
                      </w:p>
                    </w:tc>
                    <w:tc>
                      <w:tcPr>
                        <w:tcW w:w="586" w:type="dxa"/>
                      </w:tcPr>
                      <w:p>
                        <w:pPr>
                          <w:pStyle w:val="TableParagraph"/>
                          <w:spacing w:before="50"/>
                          <w:ind w:left="112"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0" w:right="76"/>
                          <w:rPr>
                            <w:rFonts w:ascii="Palatino Linotype"/>
                            <w:b/>
                            <w:sz w:val="16"/>
                          </w:rPr>
                        </w:pPr>
                        <w:r>
                          <w:rPr>
                            <w:rFonts w:ascii="Palatino Linotype"/>
                            <w:b/>
                            <w:color w:val="231F20"/>
                            <w:sz w:val="16"/>
                          </w:rPr>
                          <w:t>1997</w:t>
                        </w:r>
                      </w:p>
                    </w:tc>
                    <w:tc>
                      <w:tcPr>
                        <w:tcW w:w="444" w:type="dxa"/>
                      </w:tcPr>
                      <w:p>
                        <w:pPr>
                          <w:pStyle w:val="TableParagraph"/>
                          <w:spacing w:before="50"/>
                          <w:ind w:left="73" w:right="127"/>
                          <w:rPr>
                            <w:sz w:val="16"/>
                          </w:rPr>
                        </w:pPr>
                        <w:r>
                          <w:rPr>
                            <w:color w:val="231F20"/>
                            <w:sz w:val="16"/>
                          </w:rPr>
                          <w:t>0.3</w:t>
                        </w:r>
                      </w:p>
                    </w:tc>
                    <w:tc>
                      <w:tcPr>
                        <w:tcW w:w="553" w:type="dxa"/>
                      </w:tcPr>
                      <w:p>
                        <w:pPr>
                          <w:pStyle w:val="TableParagraph"/>
                          <w:spacing w:before="50"/>
                          <w:ind w:left="126" w:right="104"/>
                          <w:rPr>
                            <w:sz w:val="16"/>
                          </w:rPr>
                        </w:pPr>
                        <w:r>
                          <w:rPr>
                            <w:color w:val="231F20"/>
                            <w:sz w:val="16"/>
                          </w:rPr>
                          <w:t>16.3</w:t>
                        </w:r>
                      </w:p>
                    </w:tc>
                    <w:tc>
                      <w:tcPr>
                        <w:tcW w:w="675" w:type="dxa"/>
                      </w:tcPr>
                      <w:p>
                        <w:pPr>
                          <w:pStyle w:val="TableParagraph"/>
                          <w:spacing w:before="50"/>
                          <w:ind w:left="210"/>
                          <w:jc w:val="left"/>
                          <w:rPr>
                            <w:sz w:val="16"/>
                          </w:rPr>
                        </w:pPr>
                        <w:r>
                          <w:rPr>
                            <w:color w:val="231F20"/>
                            <w:sz w:val="16"/>
                          </w:rPr>
                          <w:t>11.2</w:t>
                        </w:r>
                      </w:p>
                    </w:tc>
                    <w:tc>
                      <w:tcPr>
                        <w:tcW w:w="551" w:type="dxa"/>
                      </w:tcPr>
                      <w:p>
                        <w:pPr>
                          <w:pStyle w:val="TableParagraph"/>
                          <w:spacing w:before="50"/>
                          <w:ind w:right="35"/>
                          <w:rPr>
                            <w:sz w:val="16"/>
                          </w:rPr>
                        </w:pPr>
                        <w:r>
                          <w:rPr>
                            <w:color w:val="231F20"/>
                            <w:sz w:val="16"/>
                          </w:rPr>
                          <w:t>25.9</w:t>
                        </w:r>
                      </w:p>
                    </w:tc>
                    <w:tc>
                      <w:tcPr>
                        <w:tcW w:w="560" w:type="dxa"/>
                      </w:tcPr>
                      <w:p>
                        <w:pPr>
                          <w:pStyle w:val="TableParagraph"/>
                          <w:spacing w:before="50"/>
                          <w:ind w:right="48"/>
                          <w:rPr>
                            <w:sz w:val="16"/>
                          </w:rPr>
                        </w:pPr>
                        <w:r>
                          <w:rPr>
                            <w:color w:val="231F20"/>
                            <w:sz w:val="16"/>
                          </w:rPr>
                          <w:t>0.9</w:t>
                        </w:r>
                      </w:p>
                    </w:tc>
                    <w:tc>
                      <w:tcPr>
                        <w:tcW w:w="587" w:type="dxa"/>
                      </w:tcPr>
                      <w:p>
                        <w:pPr>
                          <w:pStyle w:val="TableParagraph"/>
                          <w:spacing w:before="50"/>
                          <w:ind w:left="100" w:right="79"/>
                          <w:rPr>
                            <w:sz w:val="16"/>
                          </w:rPr>
                        </w:pPr>
                        <w:r>
                          <w:rPr>
                            <w:color w:val="231F20"/>
                            <w:sz w:val="16"/>
                          </w:rPr>
                          <w:t>0.3</w:t>
                        </w:r>
                      </w:p>
                    </w:tc>
                    <w:tc>
                      <w:tcPr>
                        <w:tcW w:w="611" w:type="dxa"/>
                      </w:tcPr>
                      <w:p>
                        <w:pPr>
                          <w:pStyle w:val="TableParagraph"/>
                          <w:spacing w:before="50"/>
                          <w:ind w:left="57" w:right="28"/>
                          <w:rPr>
                            <w:sz w:val="16"/>
                          </w:rPr>
                        </w:pPr>
                        <w:r>
                          <w:rPr>
                            <w:color w:val="231F20"/>
                            <w:sz w:val="16"/>
                          </w:rPr>
                          <w:t>25.6</w:t>
                        </w:r>
                      </w:p>
                    </w:tc>
                    <w:tc>
                      <w:tcPr>
                        <w:tcW w:w="585" w:type="dxa"/>
                      </w:tcPr>
                      <w:p>
                        <w:pPr>
                          <w:pStyle w:val="TableParagraph"/>
                          <w:spacing w:before="50"/>
                          <w:ind w:left="130" w:right="210"/>
                          <w:rPr>
                            <w:sz w:val="16"/>
                          </w:rPr>
                        </w:pPr>
                        <w:r>
                          <w:rPr>
                            <w:color w:val="231F20"/>
                            <w:sz w:val="16"/>
                          </w:rPr>
                          <w:t>0.0</w:t>
                        </w:r>
                      </w:p>
                    </w:tc>
                    <w:tc>
                      <w:tcPr>
                        <w:tcW w:w="717" w:type="dxa"/>
                      </w:tcPr>
                      <w:p>
                        <w:pPr>
                          <w:pStyle w:val="TableParagraph"/>
                          <w:spacing w:before="50"/>
                          <w:ind w:left="62" w:right="37"/>
                          <w:rPr>
                            <w:sz w:val="16"/>
                          </w:rPr>
                        </w:pPr>
                        <w:r>
                          <w:rPr>
                            <w:color w:val="231F20"/>
                            <w:sz w:val="16"/>
                          </w:rPr>
                          <w:t>19.6</w:t>
                        </w:r>
                      </w:p>
                    </w:tc>
                    <w:tc>
                      <w:tcPr>
                        <w:tcW w:w="586" w:type="dxa"/>
                      </w:tcPr>
                      <w:p>
                        <w:pPr>
                          <w:pStyle w:val="TableParagraph"/>
                          <w:spacing w:before="50"/>
                          <w:ind w:left="113"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0" w:right="76"/>
                          <w:rPr>
                            <w:rFonts w:ascii="Palatino Linotype"/>
                            <w:b/>
                            <w:sz w:val="16"/>
                          </w:rPr>
                        </w:pPr>
                        <w:r>
                          <w:rPr>
                            <w:rFonts w:ascii="Palatino Linotype"/>
                            <w:b/>
                            <w:color w:val="231F20"/>
                            <w:sz w:val="16"/>
                          </w:rPr>
                          <w:t>1998</w:t>
                        </w:r>
                      </w:p>
                    </w:tc>
                    <w:tc>
                      <w:tcPr>
                        <w:tcW w:w="444" w:type="dxa"/>
                      </w:tcPr>
                      <w:p>
                        <w:pPr>
                          <w:pStyle w:val="TableParagraph"/>
                          <w:spacing w:before="50"/>
                          <w:ind w:left="73" w:right="127"/>
                          <w:rPr>
                            <w:sz w:val="16"/>
                          </w:rPr>
                        </w:pPr>
                        <w:r>
                          <w:rPr>
                            <w:color w:val="231F20"/>
                            <w:sz w:val="16"/>
                          </w:rPr>
                          <w:t>0.4</w:t>
                        </w:r>
                      </w:p>
                    </w:tc>
                    <w:tc>
                      <w:tcPr>
                        <w:tcW w:w="553" w:type="dxa"/>
                      </w:tcPr>
                      <w:p>
                        <w:pPr>
                          <w:pStyle w:val="TableParagraph"/>
                          <w:spacing w:before="50"/>
                          <w:ind w:left="126" w:right="104"/>
                          <w:rPr>
                            <w:sz w:val="16"/>
                          </w:rPr>
                        </w:pPr>
                        <w:r>
                          <w:rPr>
                            <w:color w:val="231F20"/>
                            <w:sz w:val="16"/>
                          </w:rPr>
                          <w:t>13.3</w:t>
                        </w:r>
                      </w:p>
                    </w:tc>
                    <w:tc>
                      <w:tcPr>
                        <w:tcW w:w="675" w:type="dxa"/>
                      </w:tcPr>
                      <w:p>
                        <w:pPr>
                          <w:pStyle w:val="TableParagraph"/>
                          <w:spacing w:before="50"/>
                          <w:ind w:left="249"/>
                          <w:jc w:val="left"/>
                          <w:rPr>
                            <w:sz w:val="16"/>
                          </w:rPr>
                        </w:pPr>
                        <w:r>
                          <w:rPr>
                            <w:color w:val="231F20"/>
                            <w:sz w:val="16"/>
                          </w:rPr>
                          <w:t>8.7</w:t>
                        </w:r>
                      </w:p>
                    </w:tc>
                    <w:tc>
                      <w:tcPr>
                        <w:tcW w:w="551" w:type="dxa"/>
                      </w:tcPr>
                      <w:p>
                        <w:pPr>
                          <w:pStyle w:val="TableParagraph"/>
                          <w:spacing w:before="50"/>
                          <w:ind w:right="35"/>
                          <w:rPr>
                            <w:sz w:val="16"/>
                          </w:rPr>
                        </w:pPr>
                        <w:r>
                          <w:rPr>
                            <w:color w:val="231F20"/>
                            <w:sz w:val="16"/>
                          </w:rPr>
                          <w:t>25.7</w:t>
                        </w:r>
                      </w:p>
                    </w:tc>
                    <w:tc>
                      <w:tcPr>
                        <w:tcW w:w="560" w:type="dxa"/>
                      </w:tcPr>
                      <w:p>
                        <w:pPr>
                          <w:pStyle w:val="TableParagraph"/>
                          <w:spacing w:before="50"/>
                          <w:ind w:right="48"/>
                          <w:rPr>
                            <w:sz w:val="16"/>
                          </w:rPr>
                        </w:pPr>
                        <w:r>
                          <w:rPr>
                            <w:color w:val="231F20"/>
                            <w:sz w:val="16"/>
                          </w:rPr>
                          <w:t>1.6</w:t>
                        </w:r>
                      </w:p>
                    </w:tc>
                    <w:tc>
                      <w:tcPr>
                        <w:tcW w:w="587" w:type="dxa"/>
                      </w:tcPr>
                      <w:p>
                        <w:pPr>
                          <w:pStyle w:val="TableParagraph"/>
                          <w:spacing w:before="50"/>
                          <w:ind w:left="100" w:right="79"/>
                          <w:rPr>
                            <w:sz w:val="16"/>
                          </w:rPr>
                        </w:pPr>
                        <w:r>
                          <w:rPr>
                            <w:color w:val="231F20"/>
                            <w:sz w:val="16"/>
                          </w:rPr>
                          <w:t>0.2</w:t>
                        </w:r>
                      </w:p>
                    </w:tc>
                    <w:tc>
                      <w:tcPr>
                        <w:tcW w:w="611" w:type="dxa"/>
                      </w:tcPr>
                      <w:p>
                        <w:pPr>
                          <w:pStyle w:val="TableParagraph"/>
                          <w:spacing w:before="50"/>
                          <w:ind w:left="57" w:right="28"/>
                          <w:rPr>
                            <w:sz w:val="16"/>
                          </w:rPr>
                        </w:pPr>
                        <w:r>
                          <w:rPr>
                            <w:color w:val="231F20"/>
                            <w:sz w:val="16"/>
                          </w:rPr>
                          <w:t>29.8</w:t>
                        </w:r>
                      </w:p>
                    </w:tc>
                    <w:tc>
                      <w:tcPr>
                        <w:tcW w:w="585" w:type="dxa"/>
                      </w:tcPr>
                      <w:p>
                        <w:pPr>
                          <w:pStyle w:val="TableParagraph"/>
                          <w:spacing w:before="50"/>
                          <w:ind w:left="130" w:right="210"/>
                          <w:rPr>
                            <w:sz w:val="16"/>
                          </w:rPr>
                        </w:pPr>
                        <w:r>
                          <w:rPr>
                            <w:color w:val="231F20"/>
                            <w:sz w:val="16"/>
                          </w:rPr>
                          <w:t>0.0</w:t>
                        </w:r>
                      </w:p>
                    </w:tc>
                    <w:tc>
                      <w:tcPr>
                        <w:tcW w:w="717" w:type="dxa"/>
                      </w:tcPr>
                      <w:p>
                        <w:pPr>
                          <w:pStyle w:val="TableParagraph"/>
                          <w:spacing w:before="50"/>
                          <w:ind w:left="62" w:right="37"/>
                          <w:rPr>
                            <w:sz w:val="16"/>
                          </w:rPr>
                        </w:pPr>
                        <w:r>
                          <w:rPr>
                            <w:color w:val="231F20"/>
                            <w:sz w:val="16"/>
                          </w:rPr>
                          <w:t>20.4</w:t>
                        </w:r>
                      </w:p>
                    </w:tc>
                    <w:tc>
                      <w:tcPr>
                        <w:tcW w:w="586" w:type="dxa"/>
                      </w:tcPr>
                      <w:p>
                        <w:pPr>
                          <w:pStyle w:val="TableParagraph"/>
                          <w:spacing w:before="50"/>
                          <w:ind w:left="113"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1" w:right="76"/>
                          <w:rPr>
                            <w:rFonts w:ascii="Palatino Linotype"/>
                            <w:b/>
                            <w:sz w:val="16"/>
                          </w:rPr>
                        </w:pPr>
                        <w:r>
                          <w:rPr>
                            <w:rFonts w:ascii="Palatino Linotype"/>
                            <w:b/>
                            <w:color w:val="231F20"/>
                            <w:sz w:val="16"/>
                          </w:rPr>
                          <w:t>1999</w:t>
                        </w:r>
                      </w:p>
                    </w:tc>
                    <w:tc>
                      <w:tcPr>
                        <w:tcW w:w="444" w:type="dxa"/>
                      </w:tcPr>
                      <w:p>
                        <w:pPr>
                          <w:pStyle w:val="TableParagraph"/>
                          <w:spacing w:before="50"/>
                          <w:ind w:left="73" w:right="127"/>
                          <w:rPr>
                            <w:sz w:val="16"/>
                          </w:rPr>
                        </w:pPr>
                        <w:r>
                          <w:rPr>
                            <w:color w:val="231F20"/>
                            <w:sz w:val="16"/>
                          </w:rPr>
                          <w:t>0.4</w:t>
                        </w:r>
                      </w:p>
                    </w:tc>
                    <w:tc>
                      <w:tcPr>
                        <w:tcW w:w="553" w:type="dxa"/>
                      </w:tcPr>
                      <w:p>
                        <w:pPr>
                          <w:pStyle w:val="TableParagraph"/>
                          <w:spacing w:before="50"/>
                          <w:ind w:left="126" w:right="103"/>
                          <w:rPr>
                            <w:sz w:val="16"/>
                          </w:rPr>
                        </w:pPr>
                        <w:r>
                          <w:rPr>
                            <w:color w:val="231F20"/>
                            <w:sz w:val="16"/>
                          </w:rPr>
                          <w:t>8.8</w:t>
                        </w:r>
                      </w:p>
                    </w:tc>
                    <w:tc>
                      <w:tcPr>
                        <w:tcW w:w="675" w:type="dxa"/>
                      </w:tcPr>
                      <w:p>
                        <w:pPr>
                          <w:pStyle w:val="TableParagraph"/>
                          <w:spacing w:before="50"/>
                          <w:ind w:left="210"/>
                          <w:jc w:val="left"/>
                          <w:rPr>
                            <w:sz w:val="16"/>
                          </w:rPr>
                        </w:pPr>
                        <w:r>
                          <w:rPr>
                            <w:color w:val="231F20"/>
                            <w:sz w:val="16"/>
                          </w:rPr>
                          <w:t>10.8</w:t>
                        </w:r>
                      </w:p>
                    </w:tc>
                    <w:tc>
                      <w:tcPr>
                        <w:tcW w:w="551" w:type="dxa"/>
                      </w:tcPr>
                      <w:p>
                        <w:pPr>
                          <w:pStyle w:val="TableParagraph"/>
                          <w:spacing w:before="50"/>
                          <w:ind w:right="34"/>
                          <w:rPr>
                            <w:sz w:val="16"/>
                          </w:rPr>
                        </w:pPr>
                        <w:r>
                          <w:rPr>
                            <w:color w:val="231F20"/>
                            <w:sz w:val="16"/>
                          </w:rPr>
                          <w:t>30.0</w:t>
                        </w:r>
                      </w:p>
                    </w:tc>
                    <w:tc>
                      <w:tcPr>
                        <w:tcW w:w="560" w:type="dxa"/>
                      </w:tcPr>
                      <w:p>
                        <w:pPr>
                          <w:pStyle w:val="TableParagraph"/>
                          <w:spacing w:before="50"/>
                          <w:ind w:right="47"/>
                          <w:rPr>
                            <w:sz w:val="16"/>
                          </w:rPr>
                        </w:pPr>
                        <w:r>
                          <w:rPr>
                            <w:color w:val="231F20"/>
                            <w:sz w:val="16"/>
                          </w:rPr>
                          <w:t>2.0</w:t>
                        </w:r>
                      </w:p>
                    </w:tc>
                    <w:tc>
                      <w:tcPr>
                        <w:tcW w:w="587" w:type="dxa"/>
                      </w:tcPr>
                      <w:p>
                        <w:pPr>
                          <w:pStyle w:val="TableParagraph"/>
                          <w:spacing w:before="50"/>
                          <w:ind w:left="100" w:right="78"/>
                          <w:rPr>
                            <w:sz w:val="16"/>
                          </w:rPr>
                        </w:pPr>
                        <w:r>
                          <w:rPr>
                            <w:color w:val="231F20"/>
                            <w:sz w:val="16"/>
                          </w:rPr>
                          <w:t>0.0</w:t>
                        </w:r>
                      </w:p>
                    </w:tc>
                    <w:tc>
                      <w:tcPr>
                        <w:tcW w:w="611" w:type="dxa"/>
                      </w:tcPr>
                      <w:p>
                        <w:pPr>
                          <w:pStyle w:val="TableParagraph"/>
                          <w:spacing w:before="50"/>
                          <w:ind w:left="57" w:right="28"/>
                          <w:rPr>
                            <w:sz w:val="16"/>
                          </w:rPr>
                        </w:pPr>
                        <w:r>
                          <w:rPr>
                            <w:color w:val="231F20"/>
                            <w:sz w:val="16"/>
                          </w:rPr>
                          <w:t>31.3</w:t>
                        </w:r>
                      </w:p>
                    </w:tc>
                    <w:tc>
                      <w:tcPr>
                        <w:tcW w:w="585" w:type="dxa"/>
                      </w:tcPr>
                      <w:p>
                        <w:pPr>
                          <w:pStyle w:val="TableParagraph"/>
                          <w:spacing w:before="50"/>
                          <w:ind w:left="130" w:right="210"/>
                          <w:rPr>
                            <w:sz w:val="16"/>
                          </w:rPr>
                        </w:pPr>
                        <w:r>
                          <w:rPr>
                            <w:color w:val="231F20"/>
                            <w:sz w:val="16"/>
                          </w:rPr>
                          <w:t>0.0</w:t>
                        </w:r>
                      </w:p>
                    </w:tc>
                    <w:tc>
                      <w:tcPr>
                        <w:tcW w:w="717" w:type="dxa"/>
                      </w:tcPr>
                      <w:p>
                        <w:pPr>
                          <w:pStyle w:val="TableParagraph"/>
                          <w:spacing w:before="50"/>
                          <w:ind w:left="63" w:right="37"/>
                          <w:rPr>
                            <w:sz w:val="16"/>
                          </w:rPr>
                        </w:pPr>
                        <w:r>
                          <w:rPr>
                            <w:color w:val="231F20"/>
                            <w:sz w:val="16"/>
                          </w:rPr>
                          <w:t>16.6</w:t>
                        </w:r>
                      </w:p>
                    </w:tc>
                    <w:tc>
                      <w:tcPr>
                        <w:tcW w:w="586" w:type="dxa"/>
                      </w:tcPr>
                      <w:p>
                        <w:pPr>
                          <w:pStyle w:val="TableParagraph"/>
                          <w:spacing w:before="50"/>
                          <w:ind w:left="113" w:right="16"/>
                          <w:rPr>
                            <w:sz w:val="16"/>
                          </w:rPr>
                        </w:pPr>
                        <w:r>
                          <w:rPr>
                            <w:color w:val="231F20"/>
                            <w:sz w:val="16"/>
                          </w:rPr>
                          <w:t>0.0</w:t>
                        </w:r>
                      </w:p>
                    </w:tc>
                    <w:tc>
                      <w:tcPr>
                        <w:tcW w:w="398" w:type="dxa"/>
                      </w:tcPr>
                      <w:p>
                        <w:pPr>
                          <w:pStyle w:val="TableParagraph"/>
                          <w:spacing w:before="50"/>
                          <w:ind w:left="110"/>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1" w:right="76"/>
                          <w:rPr>
                            <w:rFonts w:ascii="Palatino Linotype"/>
                            <w:b/>
                            <w:sz w:val="16"/>
                          </w:rPr>
                        </w:pPr>
                        <w:r>
                          <w:rPr>
                            <w:rFonts w:ascii="Palatino Linotype"/>
                            <w:b/>
                            <w:color w:val="231F20"/>
                            <w:sz w:val="16"/>
                          </w:rPr>
                          <w:t>2000</w:t>
                        </w:r>
                      </w:p>
                    </w:tc>
                    <w:tc>
                      <w:tcPr>
                        <w:tcW w:w="444" w:type="dxa"/>
                      </w:tcPr>
                      <w:p>
                        <w:pPr>
                          <w:pStyle w:val="TableParagraph"/>
                          <w:spacing w:before="50"/>
                          <w:ind w:left="73" w:right="126"/>
                          <w:rPr>
                            <w:sz w:val="16"/>
                          </w:rPr>
                        </w:pPr>
                        <w:r>
                          <w:rPr>
                            <w:color w:val="231F20"/>
                            <w:sz w:val="16"/>
                          </w:rPr>
                          <w:t>0.3</w:t>
                        </w:r>
                      </w:p>
                    </w:tc>
                    <w:tc>
                      <w:tcPr>
                        <w:tcW w:w="553" w:type="dxa"/>
                      </w:tcPr>
                      <w:p>
                        <w:pPr>
                          <w:pStyle w:val="TableParagraph"/>
                          <w:spacing w:before="50"/>
                          <w:ind w:left="126" w:right="103"/>
                          <w:rPr>
                            <w:sz w:val="16"/>
                          </w:rPr>
                        </w:pPr>
                        <w:r>
                          <w:rPr>
                            <w:color w:val="231F20"/>
                            <w:sz w:val="16"/>
                          </w:rPr>
                          <w:t>7.3</w:t>
                        </w:r>
                      </w:p>
                    </w:tc>
                    <w:tc>
                      <w:tcPr>
                        <w:tcW w:w="675" w:type="dxa"/>
                      </w:tcPr>
                      <w:p>
                        <w:pPr>
                          <w:pStyle w:val="TableParagraph"/>
                          <w:spacing w:before="50"/>
                          <w:ind w:left="210"/>
                          <w:jc w:val="left"/>
                          <w:rPr>
                            <w:sz w:val="16"/>
                          </w:rPr>
                        </w:pPr>
                        <w:r>
                          <w:rPr>
                            <w:color w:val="231F20"/>
                            <w:sz w:val="16"/>
                          </w:rPr>
                          <w:t>10.0</w:t>
                        </w:r>
                      </w:p>
                    </w:tc>
                    <w:tc>
                      <w:tcPr>
                        <w:tcW w:w="551" w:type="dxa"/>
                      </w:tcPr>
                      <w:p>
                        <w:pPr>
                          <w:pStyle w:val="TableParagraph"/>
                          <w:spacing w:before="50"/>
                          <w:ind w:right="34"/>
                          <w:rPr>
                            <w:sz w:val="16"/>
                          </w:rPr>
                        </w:pPr>
                        <w:r>
                          <w:rPr>
                            <w:color w:val="231F20"/>
                            <w:sz w:val="16"/>
                          </w:rPr>
                          <w:t>26.1</w:t>
                        </w:r>
                      </w:p>
                    </w:tc>
                    <w:tc>
                      <w:tcPr>
                        <w:tcW w:w="560" w:type="dxa"/>
                      </w:tcPr>
                      <w:p>
                        <w:pPr>
                          <w:pStyle w:val="TableParagraph"/>
                          <w:spacing w:before="50"/>
                          <w:ind w:right="47"/>
                          <w:rPr>
                            <w:sz w:val="16"/>
                          </w:rPr>
                        </w:pPr>
                        <w:r>
                          <w:rPr>
                            <w:color w:val="231F20"/>
                            <w:sz w:val="16"/>
                          </w:rPr>
                          <w:t>2.5</w:t>
                        </w:r>
                      </w:p>
                    </w:tc>
                    <w:tc>
                      <w:tcPr>
                        <w:tcW w:w="587" w:type="dxa"/>
                      </w:tcPr>
                      <w:p>
                        <w:pPr>
                          <w:pStyle w:val="TableParagraph"/>
                          <w:spacing w:before="50"/>
                          <w:ind w:left="100" w:right="78"/>
                          <w:rPr>
                            <w:sz w:val="16"/>
                          </w:rPr>
                        </w:pPr>
                        <w:r>
                          <w:rPr>
                            <w:color w:val="231F20"/>
                            <w:sz w:val="16"/>
                          </w:rPr>
                          <w:t>0.0</w:t>
                        </w:r>
                      </w:p>
                    </w:tc>
                    <w:tc>
                      <w:tcPr>
                        <w:tcW w:w="611" w:type="dxa"/>
                      </w:tcPr>
                      <w:p>
                        <w:pPr>
                          <w:pStyle w:val="TableParagraph"/>
                          <w:spacing w:before="50"/>
                          <w:ind w:left="57" w:right="27"/>
                          <w:rPr>
                            <w:sz w:val="16"/>
                          </w:rPr>
                        </w:pPr>
                        <w:r>
                          <w:rPr>
                            <w:color w:val="231F20"/>
                            <w:sz w:val="16"/>
                          </w:rPr>
                          <w:t>34.9</w:t>
                        </w:r>
                      </w:p>
                    </w:tc>
                    <w:tc>
                      <w:tcPr>
                        <w:tcW w:w="585" w:type="dxa"/>
                      </w:tcPr>
                      <w:p>
                        <w:pPr>
                          <w:pStyle w:val="TableParagraph"/>
                          <w:spacing w:before="50"/>
                          <w:ind w:left="131" w:right="210"/>
                          <w:rPr>
                            <w:sz w:val="16"/>
                          </w:rPr>
                        </w:pPr>
                        <w:r>
                          <w:rPr>
                            <w:color w:val="231F20"/>
                            <w:sz w:val="16"/>
                          </w:rPr>
                          <w:t>0.0</w:t>
                        </w:r>
                      </w:p>
                    </w:tc>
                    <w:tc>
                      <w:tcPr>
                        <w:tcW w:w="717" w:type="dxa"/>
                      </w:tcPr>
                      <w:p>
                        <w:pPr>
                          <w:pStyle w:val="TableParagraph"/>
                          <w:spacing w:before="50"/>
                          <w:ind w:left="63" w:right="37"/>
                          <w:rPr>
                            <w:sz w:val="16"/>
                          </w:rPr>
                        </w:pPr>
                        <w:r>
                          <w:rPr>
                            <w:color w:val="231F20"/>
                            <w:sz w:val="16"/>
                          </w:rPr>
                          <w:t>18.8</w:t>
                        </w:r>
                      </w:p>
                    </w:tc>
                    <w:tc>
                      <w:tcPr>
                        <w:tcW w:w="586" w:type="dxa"/>
                      </w:tcPr>
                      <w:p>
                        <w:pPr>
                          <w:pStyle w:val="TableParagraph"/>
                          <w:spacing w:before="50"/>
                          <w:ind w:left="114"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1" w:right="76"/>
                          <w:rPr>
                            <w:rFonts w:ascii="Palatino Linotype"/>
                            <w:b/>
                            <w:sz w:val="16"/>
                          </w:rPr>
                        </w:pPr>
                        <w:r>
                          <w:rPr>
                            <w:rFonts w:ascii="Palatino Linotype"/>
                            <w:b/>
                            <w:color w:val="231F20"/>
                            <w:sz w:val="16"/>
                          </w:rPr>
                          <w:t>2001</w:t>
                        </w:r>
                      </w:p>
                    </w:tc>
                    <w:tc>
                      <w:tcPr>
                        <w:tcW w:w="444" w:type="dxa"/>
                      </w:tcPr>
                      <w:p>
                        <w:pPr>
                          <w:pStyle w:val="TableParagraph"/>
                          <w:spacing w:before="50"/>
                          <w:ind w:left="73" w:right="126"/>
                          <w:rPr>
                            <w:sz w:val="16"/>
                          </w:rPr>
                        </w:pPr>
                        <w:r>
                          <w:rPr>
                            <w:color w:val="231F20"/>
                            <w:sz w:val="16"/>
                          </w:rPr>
                          <w:t>0.2</w:t>
                        </w:r>
                      </w:p>
                    </w:tc>
                    <w:tc>
                      <w:tcPr>
                        <w:tcW w:w="553" w:type="dxa"/>
                      </w:tcPr>
                      <w:p>
                        <w:pPr>
                          <w:pStyle w:val="TableParagraph"/>
                          <w:spacing w:before="50"/>
                          <w:ind w:left="126" w:right="103"/>
                          <w:rPr>
                            <w:sz w:val="16"/>
                          </w:rPr>
                        </w:pPr>
                        <w:r>
                          <w:rPr>
                            <w:color w:val="231F20"/>
                            <w:sz w:val="16"/>
                          </w:rPr>
                          <w:t>3.5</w:t>
                        </w:r>
                      </w:p>
                    </w:tc>
                    <w:tc>
                      <w:tcPr>
                        <w:tcW w:w="675" w:type="dxa"/>
                      </w:tcPr>
                      <w:p>
                        <w:pPr>
                          <w:pStyle w:val="TableParagraph"/>
                          <w:spacing w:before="50"/>
                          <w:ind w:left="211"/>
                          <w:jc w:val="left"/>
                          <w:rPr>
                            <w:sz w:val="16"/>
                          </w:rPr>
                        </w:pPr>
                        <w:r>
                          <w:rPr>
                            <w:color w:val="231F20"/>
                            <w:sz w:val="16"/>
                          </w:rPr>
                          <w:t>10.7</w:t>
                        </w:r>
                      </w:p>
                    </w:tc>
                    <w:tc>
                      <w:tcPr>
                        <w:tcW w:w="551" w:type="dxa"/>
                      </w:tcPr>
                      <w:p>
                        <w:pPr>
                          <w:pStyle w:val="TableParagraph"/>
                          <w:spacing w:before="50"/>
                          <w:ind w:right="34"/>
                          <w:rPr>
                            <w:sz w:val="16"/>
                          </w:rPr>
                        </w:pPr>
                        <w:r>
                          <w:rPr>
                            <w:color w:val="231F20"/>
                            <w:sz w:val="16"/>
                          </w:rPr>
                          <w:t>22.7</w:t>
                        </w:r>
                      </w:p>
                    </w:tc>
                    <w:tc>
                      <w:tcPr>
                        <w:tcW w:w="560" w:type="dxa"/>
                      </w:tcPr>
                      <w:p>
                        <w:pPr>
                          <w:pStyle w:val="TableParagraph"/>
                          <w:spacing w:before="50"/>
                          <w:ind w:right="47"/>
                          <w:rPr>
                            <w:sz w:val="16"/>
                          </w:rPr>
                        </w:pPr>
                        <w:r>
                          <w:rPr>
                            <w:color w:val="231F20"/>
                            <w:sz w:val="16"/>
                          </w:rPr>
                          <w:t>2.3</w:t>
                        </w:r>
                      </w:p>
                    </w:tc>
                    <w:tc>
                      <w:tcPr>
                        <w:tcW w:w="587" w:type="dxa"/>
                      </w:tcPr>
                      <w:p>
                        <w:pPr>
                          <w:pStyle w:val="TableParagraph"/>
                          <w:spacing w:before="50"/>
                          <w:ind w:left="100" w:right="78"/>
                          <w:rPr>
                            <w:sz w:val="16"/>
                          </w:rPr>
                        </w:pPr>
                        <w:r>
                          <w:rPr>
                            <w:color w:val="231F20"/>
                            <w:sz w:val="16"/>
                          </w:rPr>
                          <w:t>0.0</w:t>
                        </w:r>
                      </w:p>
                    </w:tc>
                    <w:tc>
                      <w:tcPr>
                        <w:tcW w:w="611" w:type="dxa"/>
                      </w:tcPr>
                      <w:p>
                        <w:pPr>
                          <w:pStyle w:val="TableParagraph"/>
                          <w:spacing w:before="50"/>
                          <w:ind w:left="57" w:right="27"/>
                          <w:rPr>
                            <w:sz w:val="16"/>
                          </w:rPr>
                        </w:pPr>
                        <w:r>
                          <w:rPr>
                            <w:color w:val="231F20"/>
                            <w:sz w:val="16"/>
                          </w:rPr>
                          <w:t>40.5</w:t>
                        </w:r>
                      </w:p>
                    </w:tc>
                    <w:tc>
                      <w:tcPr>
                        <w:tcW w:w="585" w:type="dxa"/>
                      </w:tcPr>
                      <w:p>
                        <w:pPr>
                          <w:pStyle w:val="TableParagraph"/>
                          <w:spacing w:before="50"/>
                          <w:ind w:left="131" w:right="210"/>
                          <w:rPr>
                            <w:sz w:val="16"/>
                          </w:rPr>
                        </w:pPr>
                        <w:r>
                          <w:rPr>
                            <w:color w:val="231F20"/>
                            <w:sz w:val="16"/>
                          </w:rPr>
                          <w:t>0.4</w:t>
                        </w:r>
                      </w:p>
                    </w:tc>
                    <w:tc>
                      <w:tcPr>
                        <w:tcW w:w="717" w:type="dxa"/>
                      </w:tcPr>
                      <w:p>
                        <w:pPr>
                          <w:pStyle w:val="TableParagraph"/>
                          <w:spacing w:before="50"/>
                          <w:ind w:left="63" w:right="37"/>
                          <w:rPr>
                            <w:sz w:val="16"/>
                          </w:rPr>
                        </w:pPr>
                        <w:r>
                          <w:rPr>
                            <w:color w:val="231F20"/>
                            <w:sz w:val="16"/>
                          </w:rPr>
                          <w:t>19.5</w:t>
                        </w:r>
                      </w:p>
                    </w:tc>
                    <w:tc>
                      <w:tcPr>
                        <w:tcW w:w="586" w:type="dxa"/>
                      </w:tcPr>
                      <w:p>
                        <w:pPr>
                          <w:pStyle w:val="TableParagraph"/>
                          <w:spacing w:before="50"/>
                          <w:ind w:left="114"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6" w:right="-11"/>
                          <w:jc w:val="left"/>
                          <w:rPr>
                            <w:sz w:val="16"/>
                          </w:rPr>
                        </w:pPr>
                        <w:r>
                          <w:rPr>
                            <w:color w:val="231F20"/>
                            <w:sz w:val="16"/>
                          </w:rPr>
                          <w:t>100</w:t>
                        </w:r>
                      </w:p>
                    </w:tc>
                  </w:tr>
                  <w:tr>
                    <w:trPr>
                      <w:trHeight w:val="323" w:hRule="exact"/>
                    </w:trPr>
                    <w:tc>
                      <w:tcPr>
                        <w:tcW w:w="481" w:type="dxa"/>
                      </w:tcPr>
                      <w:p>
                        <w:pPr>
                          <w:pStyle w:val="TableParagraph"/>
                          <w:spacing w:before="31"/>
                          <w:ind w:left="41" w:right="75"/>
                          <w:rPr>
                            <w:rFonts w:ascii="Palatino Linotype"/>
                            <w:b/>
                            <w:sz w:val="16"/>
                          </w:rPr>
                        </w:pPr>
                        <w:r>
                          <w:rPr>
                            <w:rFonts w:ascii="Palatino Linotype"/>
                            <w:b/>
                            <w:color w:val="231F20"/>
                            <w:sz w:val="16"/>
                          </w:rPr>
                          <w:t>2002</w:t>
                        </w:r>
                      </w:p>
                    </w:tc>
                    <w:tc>
                      <w:tcPr>
                        <w:tcW w:w="444" w:type="dxa"/>
                      </w:tcPr>
                      <w:p>
                        <w:pPr>
                          <w:pStyle w:val="TableParagraph"/>
                          <w:spacing w:before="50"/>
                          <w:ind w:left="73" w:right="126"/>
                          <w:rPr>
                            <w:sz w:val="16"/>
                          </w:rPr>
                        </w:pPr>
                        <w:r>
                          <w:rPr>
                            <w:color w:val="231F20"/>
                            <w:sz w:val="16"/>
                          </w:rPr>
                          <w:t>0.2</w:t>
                        </w:r>
                      </w:p>
                    </w:tc>
                    <w:tc>
                      <w:tcPr>
                        <w:tcW w:w="553" w:type="dxa"/>
                      </w:tcPr>
                      <w:p>
                        <w:pPr>
                          <w:pStyle w:val="TableParagraph"/>
                          <w:spacing w:before="50"/>
                          <w:ind w:left="126" w:right="103"/>
                          <w:rPr>
                            <w:sz w:val="16"/>
                          </w:rPr>
                        </w:pPr>
                        <w:r>
                          <w:rPr>
                            <w:color w:val="231F20"/>
                            <w:sz w:val="16"/>
                          </w:rPr>
                          <w:t>2.5</w:t>
                        </w:r>
                      </w:p>
                    </w:tc>
                    <w:tc>
                      <w:tcPr>
                        <w:tcW w:w="675" w:type="dxa"/>
                      </w:tcPr>
                      <w:p>
                        <w:pPr>
                          <w:pStyle w:val="TableParagraph"/>
                          <w:spacing w:before="50"/>
                          <w:ind w:left="211"/>
                          <w:jc w:val="left"/>
                          <w:rPr>
                            <w:sz w:val="16"/>
                          </w:rPr>
                        </w:pPr>
                        <w:r>
                          <w:rPr>
                            <w:color w:val="231F20"/>
                            <w:sz w:val="16"/>
                          </w:rPr>
                          <w:t>10.5</w:t>
                        </w:r>
                      </w:p>
                    </w:tc>
                    <w:tc>
                      <w:tcPr>
                        <w:tcW w:w="551" w:type="dxa"/>
                      </w:tcPr>
                      <w:p>
                        <w:pPr>
                          <w:pStyle w:val="TableParagraph"/>
                          <w:spacing w:before="50"/>
                          <w:ind w:right="33"/>
                          <w:rPr>
                            <w:sz w:val="16"/>
                          </w:rPr>
                        </w:pPr>
                        <w:r>
                          <w:rPr>
                            <w:color w:val="231F20"/>
                            <w:sz w:val="16"/>
                          </w:rPr>
                          <w:t>25.8</w:t>
                        </w:r>
                      </w:p>
                    </w:tc>
                    <w:tc>
                      <w:tcPr>
                        <w:tcW w:w="560" w:type="dxa"/>
                      </w:tcPr>
                      <w:p>
                        <w:pPr>
                          <w:pStyle w:val="TableParagraph"/>
                          <w:spacing w:before="50"/>
                          <w:ind w:right="46"/>
                          <w:rPr>
                            <w:sz w:val="16"/>
                          </w:rPr>
                        </w:pPr>
                        <w:r>
                          <w:rPr>
                            <w:color w:val="231F20"/>
                            <w:sz w:val="16"/>
                          </w:rPr>
                          <w:t>2.3</w:t>
                        </w:r>
                      </w:p>
                    </w:tc>
                    <w:tc>
                      <w:tcPr>
                        <w:tcW w:w="587" w:type="dxa"/>
                      </w:tcPr>
                      <w:p>
                        <w:pPr>
                          <w:pStyle w:val="TableParagraph"/>
                          <w:spacing w:before="50"/>
                          <w:ind w:left="100" w:right="77"/>
                          <w:rPr>
                            <w:sz w:val="16"/>
                          </w:rPr>
                        </w:pPr>
                        <w:r>
                          <w:rPr>
                            <w:color w:val="231F20"/>
                            <w:sz w:val="16"/>
                          </w:rPr>
                          <w:t>0.0</w:t>
                        </w:r>
                      </w:p>
                    </w:tc>
                    <w:tc>
                      <w:tcPr>
                        <w:tcW w:w="611" w:type="dxa"/>
                      </w:tcPr>
                      <w:p>
                        <w:pPr>
                          <w:pStyle w:val="TableParagraph"/>
                          <w:spacing w:before="50"/>
                          <w:ind w:left="57" w:right="27"/>
                          <w:rPr>
                            <w:sz w:val="16"/>
                          </w:rPr>
                        </w:pPr>
                        <w:r>
                          <w:rPr>
                            <w:color w:val="231F20"/>
                            <w:sz w:val="16"/>
                          </w:rPr>
                          <w:t>40.4</w:t>
                        </w:r>
                      </w:p>
                    </w:tc>
                    <w:tc>
                      <w:tcPr>
                        <w:tcW w:w="585" w:type="dxa"/>
                      </w:tcPr>
                      <w:p>
                        <w:pPr>
                          <w:pStyle w:val="TableParagraph"/>
                          <w:spacing w:before="50"/>
                          <w:ind w:left="131" w:right="210"/>
                          <w:rPr>
                            <w:sz w:val="16"/>
                          </w:rPr>
                        </w:pPr>
                        <w:r>
                          <w:rPr>
                            <w:color w:val="231F20"/>
                            <w:sz w:val="16"/>
                          </w:rPr>
                          <w:t>2.7</w:t>
                        </w:r>
                      </w:p>
                    </w:tc>
                    <w:tc>
                      <w:tcPr>
                        <w:tcW w:w="717" w:type="dxa"/>
                      </w:tcPr>
                      <w:p>
                        <w:pPr>
                          <w:pStyle w:val="TableParagraph"/>
                          <w:spacing w:before="50"/>
                          <w:ind w:left="63" w:right="37"/>
                          <w:rPr>
                            <w:sz w:val="16"/>
                          </w:rPr>
                        </w:pPr>
                        <w:r>
                          <w:rPr>
                            <w:color w:val="231F20"/>
                            <w:sz w:val="16"/>
                          </w:rPr>
                          <w:t>15.5</w:t>
                        </w:r>
                      </w:p>
                    </w:tc>
                    <w:tc>
                      <w:tcPr>
                        <w:tcW w:w="586" w:type="dxa"/>
                      </w:tcPr>
                      <w:p>
                        <w:pPr>
                          <w:pStyle w:val="TableParagraph"/>
                          <w:spacing w:before="50"/>
                          <w:ind w:left="114"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5"/>
                          <w:rPr>
                            <w:rFonts w:ascii="Palatino Linotype"/>
                            <w:b/>
                            <w:sz w:val="16"/>
                          </w:rPr>
                        </w:pPr>
                        <w:r>
                          <w:rPr>
                            <w:rFonts w:ascii="Palatino Linotype"/>
                            <w:b/>
                            <w:color w:val="231F20"/>
                            <w:sz w:val="16"/>
                          </w:rPr>
                          <w:t>2003</w:t>
                        </w:r>
                      </w:p>
                    </w:tc>
                    <w:tc>
                      <w:tcPr>
                        <w:tcW w:w="444" w:type="dxa"/>
                      </w:tcPr>
                      <w:p>
                        <w:pPr>
                          <w:pStyle w:val="TableParagraph"/>
                          <w:spacing w:before="50"/>
                          <w:ind w:left="73" w:right="125"/>
                          <w:rPr>
                            <w:sz w:val="16"/>
                          </w:rPr>
                        </w:pPr>
                        <w:r>
                          <w:rPr>
                            <w:color w:val="231F20"/>
                            <w:sz w:val="16"/>
                          </w:rPr>
                          <w:t>0.1</w:t>
                        </w:r>
                      </w:p>
                    </w:tc>
                    <w:tc>
                      <w:tcPr>
                        <w:tcW w:w="553" w:type="dxa"/>
                      </w:tcPr>
                      <w:p>
                        <w:pPr>
                          <w:pStyle w:val="TableParagraph"/>
                          <w:spacing w:before="50"/>
                          <w:ind w:left="126" w:right="102"/>
                          <w:rPr>
                            <w:sz w:val="16"/>
                          </w:rPr>
                        </w:pPr>
                        <w:r>
                          <w:rPr>
                            <w:color w:val="231F20"/>
                            <w:sz w:val="16"/>
                          </w:rPr>
                          <w:t>0.6</w:t>
                        </w:r>
                      </w:p>
                    </w:tc>
                    <w:tc>
                      <w:tcPr>
                        <w:tcW w:w="675" w:type="dxa"/>
                      </w:tcPr>
                      <w:p>
                        <w:pPr>
                          <w:pStyle w:val="TableParagraph"/>
                          <w:spacing w:before="50"/>
                          <w:ind w:left="211"/>
                          <w:jc w:val="left"/>
                          <w:rPr>
                            <w:sz w:val="16"/>
                          </w:rPr>
                        </w:pPr>
                        <w:r>
                          <w:rPr>
                            <w:color w:val="231F20"/>
                            <w:sz w:val="16"/>
                          </w:rPr>
                          <w:t>10.5</w:t>
                        </w:r>
                      </w:p>
                    </w:tc>
                    <w:tc>
                      <w:tcPr>
                        <w:tcW w:w="551" w:type="dxa"/>
                      </w:tcPr>
                      <w:p>
                        <w:pPr>
                          <w:pStyle w:val="TableParagraph"/>
                          <w:spacing w:before="50"/>
                          <w:ind w:right="33"/>
                          <w:rPr>
                            <w:sz w:val="16"/>
                          </w:rPr>
                        </w:pPr>
                        <w:r>
                          <w:rPr>
                            <w:color w:val="231F20"/>
                            <w:sz w:val="16"/>
                          </w:rPr>
                          <w:t>21.6</w:t>
                        </w:r>
                      </w:p>
                    </w:tc>
                    <w:tc>
                      <w:tcPr>
                        <w:tcW w:w="560" w:type="dxa"/>
                      </w:tcPr>
                      <w:p>
                        <w:pPr>
                          <w:pStyle w:val="TableParagraph"/>
                          <w:spacing w:before="50"/>
                          <w:ind w:right="46"/>
                          <w:rPr>
                            <w:sz w:val="16"/>
                          </w:rPr>
                        </w:pPr>
                        <w:r>
                          <w:rPr>
                            <w:color w:val="231F20"/>
                            <w:sz w:val="16"/>
                          </w:rPr>
                          <w:t>2.0</w:t>
                        </w:r>
                      </w:p>
                    </w:tc>
                    <w:tc>
                      <w:tcPr>
                        <w:tcW w:w="587" w:type="dxa"/>
                      </w:tcPr>
                      <w:p>
                        <w:pPr>
                          <w:pStyle w:val="TableParagraph"/>
                          <w:spacing w:before="50"/>
                          <w:ind w:left="100" w:right="77"/>
                          <w:rPr>
                            <w:sz w:val="16"/>
                          </w:rPr>
                        </w:pPr>
                        <w:r>
                          <w:rPr>
                            <w:color w:val="231F20"/>
                            <w:sz w:val="16"/>
                          </w:rPr>
                          <w:t>0.0</w:t>
                        </w:r>
                      </w:p>
                    </w:tc>
                    <w:tc>
                      <w:tcPr>
                        <w:tcW w:w="611" w:type="dxa"/>
                      </w:tcPr>
                      <w:p>
                        <w:pPr>
                          <w:pStyle w:val="TableParagraph"/>
                          <w:spacing w:before="50"/>
                          <w:ind w:left="57" w:right="27"/>
                          <w:rPr>
                            <w:sz w:val="16"/>
                          </w:rPr>
                        </w:pPr>
                        <w:r>
                          <w:rPr>
                            <w:color w:val="231F20"/>
                            <w:sz w:val="16"/>
                          </w:rPr>
                          <w:t>46.5</w:t>
                        </w:r>
                      </w:p>
                    </w:tc>
                    <w:tc>
                      <w:tcPr>
                        <w:tcW w:w="585" w:type="dxa"/>
                      </w:tcPr>
                      <w:p>
                        <w:pPr>
                          <w:pStyle w:val="TableParagraph"/>
                          <w:spacing w:before="50"/>
                          <w:ind w:left="131" w:right="209"/>
                          <w:rPr>
                            <w:sz w:val="16"/>
                          </w:rPr>
                        </w:pPr>
                        <w:r>
                          <w:rPr>
                            <w:color w:val="231F20"/>
                            <w:sz w:val="16"/>
                          </w:rPr>
                          <w:t>4.2</w:t>
                        </w:r>
                      </w:p>
                    </w:tc>
                    <w:tc>
                      <w:tcPr>
                        <w:tcW w:w="717" w:type="dxa"/>
                      </w:tcPr>
                      <w:p>
                        <w:pPr>
                          <w:pStyle w:val="TableParagraph"/>
                          <w:spacing w:before="50"/>
                          <w:ind w:left="64" w:right="37"/>
                          <w:rPr>
                            <w:sz w:val="16"/>
                          </w:rPr>
                        </w:pPr>
                        <w:r>
                          <w:rPr>
                            <w:color w:val="231F20"/>
                            <w:sz w:val="16"/>
                          </w:rPr>
                          <w:t>14.5</w:t>
                        </w:r>
                      </w:p>
                    </w:tc>
                    <w:tc>
                      <w:tcPr>
                        <w:tcW w:w="586" w:type="dxa"/>
                      </w:tcPr>
                      <w:p>
                        <w:pPr>
                          <w:pStyle w:val="TableParagraph"/>
                          <w:spacing w:before="50"/>
                          <w:ind w:left="115"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5"/>
                          <w:rPr>
                            <w:rFonts w:ascii="Palatino Linotype"/>
                            <w:b/>
                            <w:sz w:val="16"/>
                          </w:rPr>
                        </w:pPr>
                        <w:r>
                          <w:rPr>
                            <w:rFonts w:ascii="Palatino Linotype"/>
                            <w:b/>
                            <w:color w:val="231F20"/>
                            <w:sz w:val="16"/>
                          </w:rPr>
                          <w:t>2004</w:t>
                        </w:r>
                      </w:p>
                    </w:tc>
                    <w:tc>
                      <w:tcPr>
                        <w:tcW w:w="444" w:type="dxa"/>
                      </w:tcPr>
                      <w:p>
                        <w:pPr>
                          <w:pStyle w:val="TableParagraph"/>
                          <w:spacing w:before="50"/>
                          <w:ind w:left="73" w:right="125"/>
                          <w:rPr>
                            <w:sz w:val="16"/>
                          </w:rPr>
                        </w:pPr>
                        <w:r>
                          <w:rPr>
                            <w:color w:val="231F20"/>
                            <w:sz w:val="16"/>
                          </w:rPr>
                          <w:t>0.0</w:t>
                        </w:r>
                      </w:p>
                    </w:tc>
                    <w:tc>
                      <w:tcPr>
                        <w:tcW w:w="553" w:type="dxa"/>
                      </w:tcPr>
                      <w:p>
                        <w:pPr>
                          <w:pStyle w:val="TableParagraph"/>
                          <w:spacing w:before="50"/>
                          <w:ind w:left="126" w:right="102"/>
                          <w:rPr>
                            <w:sz w:val="16"/>
                          </w:rPr>
                        </w:pPr>
                        <w:r>
                          <w:rPr>
                            <w:color w:val="231F20"/>
                            <w:sz w:val="16"/>
                          </w:rPr>
                          <w:t>0.4</w:t>
                        </w:r>
                      </w:p>
                    </w:tc>
                    <w:tc>
                      <w:tcPr>
                        <w:tcW w:w="675" w:type="dxa"/>
                      </w:tcPr>
                      <w:p>
                        <w:pPr>
                          <w:pStyle w:val="TableParagraph"/>
                          <w:spacing w:before="50"/>
                          <w:ind w:left="249"/>
                          <w:jc w:val="left"/>
                          <w:rPr>
                            <w:sz w:val="16"/>
                          </w:rPr>
                        </w:pPr>
                        <w:r>
                          <w:rPr>
                            <w:color w:val="231F20"/>
                            <w:sz w:val="16"/>
                          </w:rPr>
                          <w:t>8.7</w:t>
                        </w:r>
                      </w:p>
                    </w:tc>
                    <w:tc>
                      <w:tcPr>
                        <w:tcW w:w="551" w:type="dxa"/>
                      </w:tcPr>
                      <w:p>
                        <w:pPr>
                          <w:pStyle w:val="TableParagraph"/>
                          <w:spacing w:before="50"/>
                          <w:ind w:right="33"/>
                          <w:rPr>
                            <w:sz w:val="16"/>
                          </w:rPr>
                        </w:pPr>
                        <w:r>
                          <w:rPr>
                            <w:color w:val="231F20"/>
                            <w:sz w:val="16"/>
                          </w:rPr>
                          <w:t>27.2</w:t>
                        </w:r>
                      </w:p>
                    </w:tc>
                    <w:tc>
                      <w:tcPr>
                        <w:tcW w:w="560" w:type="dxa"/>
                      </w:tcPr>
                      <w:p>
                        <w:pPr>
                          <w:pStyle w:val="TableParagraph"/>
                          <w:spacing w:before="50"/>
                          <w:ind w:right="46"/>
                          <w:rPr>
                            <w:sz w:val="16"/>
                          </w:rPr>
                        </w:pPr>
                        <w:r>
                          <w:rPr>
                            <w:color w:val="231F20"/>
                            <w:sz w:val="16"/>
                          </w:rPr>
                          <w:t>1.8</w:t>
                        </w:r>
                      </w:p>
                    </w:tc>
                    <w:tc>
                      <w:tcPr>
                        <w:tcW w:w="587" w:type="dxa"/>
                      </w:tcPr>
                      <w:p>
                        <w:pPr>
                          <w:pStyle w:val="TableParagraph"/>
                          <w:spacing w:before="50"/>
                          <w:ind w:left="100" w:right="77"/>
                          <w:rPr>
                            <w:sz w:val="16"/>
                          </w:rPr>
                        </w:pPr>
                        <w:r>
                          <w:rPr>
                            <w:color w:val="231F20"/>
                            <w:sz w:val="16"/>
                          </w:rPr>
                          <w:t>0.0</w:t>
                        </w:r>
                      </w:p>
                    </w:tc>
                    <w:tc>
                      <w:tcPr>
                        <w:tcW w:w="611" w:type="dxa"/>
                      </w:tcPr>
                      <w:p>
                        <w:pPr>
                          <w:pStyle w:val="TableParagraph"/>
                          <w:spacing w:before="50"/>
                          <w:ind w:left="57" w:right="26"/>
                          <w:rPr>
                            <w:sz w:val="16"/>
                          </w:rPr>
                        </w:pPr>
                        <w:r>
                          <w:rPr>
                            <w:color w:val="231F20"/>
                            <w:sz w:val="16"/>
                          </w:rPr>
                          <w:t>44.0</w:t>
                        </w:r>
                      </w:p>
                    </w:tc>
                    <w:tc>
                      <w:tcPr>
                        <w:tcW w:w="585" w:type="dxa"/>
                      </w:tcPr>
                      <w:p>
                        <w:pPr>
                          <w:pStyle w:val="TableParagraph"/>
                          <w:spacing w:before="50"/>
                          <w:ind w:left="131" w:right="209"/>
                          <w:rPr>
                            <w:sz w:val="16"/>
                          </w:rPr>
                        </w:pPr>
                        <w:r>
                          <w:rPr>
                            <w:color w:val="231F20"/>
                            <w:sz w:val="16"/>
                          </w:rPr>
                          <w:t>2.7</w:t>
                        </w:r>
                      </w:p>
                    </w:tc>
                    <w:tc>
                      <w:tcPr>
                        <w:tcW w:w="717" w:type="dxa"/>
                      </w:tcPr>
                      <w:p>
                        <w:pPr>
                          <w:pStyle w:val="TableParagraph"/>
                          <w:spacing w:before="50"/>
                          <w:ind w:left="64" w:right="37"/>
                          <w:rPr>
                            <w:sz w:val="16"/>
                          </w:rPr>
                        </w:pPr>
                        <w:r>
                          <w:rPr>
                            <w:color w:val="231F20"/>
                            <w:sz w:val="16"/>
                          </w:rPr>
                          <w:t>15.2</w:t>
                        </w:r>
                      </w:p>
                    </w:tc>
                    <w:tc>
                      <w:tcPr>
                        <w:tcW w:w="586" w:type="dxa"/>
                      </w:tcPr>
                      <w:p>
                        <w:pPr>
                          <w:pStyle w:val="TableParagraph"/>
                          <w:spacing w:before="50"/>
                          <w:ind w:left="115"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6"/>
                          <w:rPr>
                            <w:rFonts w:ascii="Palatino Linotype"/>
                            <w:b/>
                            <w:sz w:val="16"/>
                          </w:rPr>
                        </w:pPr>
                        <w:r>
                          <w:rPr>
                            <w:rFonts w:ascii="Palatino Linotype"/>
                            <w:b/>
                            <w:color w:val="231F20"/>
                            <w:sz w:val="16"/>
                          </w:rPr>
                          <w:t>2005</w:t>
                        </w:r>
                      </w:p>
                    </w:tc>
                    <w:tc>
                      <w:tcPr>
                        <w:tcW w:w="444" w:type="dxa"/>
                      </w:tcPr>
                      <w:p>
                        <w:pPr>
                          <w:pStyle w:val="TableParagraph"/>
                          <w:spacing w:before="50"/>
                          <w:ind w:left="73" w:right="125"/>
                          <w:rPr>
                            <w:sz w:val="16"/>
                          </w:rPr>
                        </w:pPr>
                        <w:r>
                          <w:rPr>
                            <w:color w:val="231F20"/>
                            <w:sz w:val="16"/>
                          </w:rPr>
                          <w:t>0.0</w:t>
                        </w:r>
                      </w:p>
                    </w:tc>
                    <w:tc>
                      <w:tcPr>
                        <w:tcW w:w="553" w:type="dxa"/>
                      </w:tcPr>
                      <w:p>
                        <w:pPr>
                          <w:pStyle w:val="TableParagraph"/>
                          <w:spacing w:before="50"/>
                          <w:ind w:left="126" w:right="102"/>
                          <w:rPr>
                            <w:sz w:val="16"/>
                          </w:rPr>
                        </w:pPr>
                        <w:r>
                          <w:rPr>
                            <w:color w:val="231F20"/>
                            <w:sz w:val="16"/>
                          </w:rPr>
                          <w:t>0.8</w:t>
                        </w:r>
                      </w:p>
                    </w:tc>
                    <w:tc>
                      <w:tcPr>
                        <w:tcW w:w="675" w:type="dxa"/>
                      </w:tcPr>
                      <w:p>
                        <w:pPr>
                          <w:pStyle w:val="TableParagraph"/>
                          <w:spacing w:before="50"/>
                          <w:ind w:left="250"/>
                          <w:jc w:val="left"/>
                          <w:rPr>
                            <w:sz w:val="16"/>
                          </w:rPr>
                        </w:pPr>
                        <w:r>
                          <w:rPr>
                            <w:color w:val="231F20"/>
                            <w:sz w:val="16"/>
                          </w:rPr>
                          <w:t>9.8</w:t>
                        </w:r>
                      </w:p>
                    </w:tc>
                    <w:tc>
                      <w:tcPr>
                        <w:tcW w:w="551" w:type="dxa"/>
                      </w:tcPr>
                      <w:p>
                        <w:pPr>
                          <w:pStyle w:val="TableParagraph"/>
                          <w:spacing w:before="50"/>
                          <w:ind w:right="32"/>
                          <w:rPr>
                            <w:sz w:val="16"/>
                          </w:rPr>
                        </w:pPr>
                        <w:r>
                          <w:rPr>
                            <w:color w:val="231F20"/>
                            <w:sz w:val="16"/>
                          </w:rPr>
                          <w:t>23.0</w:t>
                        </w:r>
                      </w:p>
                    </w:tc>
                    <w:tc>
                      <w:tcPr>
                        <w:tcW w:w="560" w:type="dxa"/>
                      </w:tcPr>
                      <w:p>
                        <w:pPr>
                          <w:pStyle w:val="TableParagraph"/>
                          <w:spacing w:before="50"/>
                          <w:ind w:right="45"/>
                          <w:rPr>
                            <w:sz w:val="16"/>
                          </w:rPr>
                        </w:pPr>
                        <w:r>
                          <w:rPr>
                            <w:color w:val="231F20"/>
                            <w:sz w:val="16"/>
                          </w:rPr>
                          <w:t>2.2</w:t>
                        </w:r>
                      </w:p>
                    </w:tc>
                    <w:tc>
                      <w:tcPr>
                        <w:tcW w:w="587" w:type="dxa"/>
                      </w:tcPr>
                      <w:p>
                        <w:pPr>
                          <w:pStyle w:val="TableParagraph"/>
                          <w:spacing w:before="50"/>
                          <w:ind w:left="100" w:right="76"/>
                          <w:rPr>
                            <w:sz w:val="16"/>
                          </w:rPr>
                        </w:pPr>
                        <w:r>
                          <w:rPr>
                            <w:color w:val="231F20"/>
                            <w:sz w:val="16"/>
                          </w:rPr>
                          <w:t>0.0</w:t>
                        </w:r>
                      </w:p>
                    </w:tc>
                    <w:tc>
                      <w:tcPr>
                        <w:tcW w:w="611" w:type="dxa"/>
                      </w:tcPr>
                      <w:p>
                        <w:pPr>
                          <w:pStyle w:val="TableParagraph"/>
                          <w:spacing w:before="50"/>
                          <w:ind w:left="57" w:right="26"/>
                          <w:rPr>
                            <w:sz w:val="16"/>
                          </w:rPr>
                        </w:pPr>
                        <w:r>
                          <w:rPr>
                            <w:color w:val="231F20"/>
                            <w:sz w:val="16"/>
                          </w:rPr>
                          <w:t>46.9</w:t>
                        </w:r>
                      </w:p>
                    </w:tc>
                    <w:tc>
                      <w:tcPr>
                        <w:tcW w:w="585" w:type="dxa"/>
                      </w:tcPr>
                      <w:p>
                        <w:pPr>
                          <w:pStyle w:val="TableParagraph"/>
                          <w:spacing w:before="50"/>
                          <w:ind w:left="131" w:right="209"/>
                          <w:rPr>
                            <w:sz w:val="16"/>
                          </w:rPr>
                        </w:pPr>
                        <w:r>
                          <w:rPr>
                            <w:color w:val="231F20"/>
                            <w:sz w:val="16"/>
                          </w:rPr>
                          <w:t>3.3</w:t>
                        </w:r>
                      </w:p>
                    </w:tc>
                    <w:tc>
                      <w:tcPr>
                        <w:tcW w:w="717" w:type="dxa"/>
                      </w:tcPr>
                      <w:p>
                        <w:pPr>
                          <w:pStyle w:val="TableParagraph"/>
                          <w:spacing w:before="50"/>
                          <w:ind w:left="64" w:right="37"/>
                          <w:rPr>
                            <w:sz w:val="16"/>
                          </w:rPr>
                        </w:pPr>
                        <w:r>
                          <w:rPr>
                            <w:color w:val="231F20"/>
                            <w:sz w:val="16"/>
                          </w:rPr>
                          <w:t>14.0</w:t>
                        </w:r>
                      </w:p>
                    </w:tc>
                    <w:tc>
                      <w:tcPr>
                        <w:tcW w:w="586" w:type="dxa"/>
                      </w:tcPr>
                      <w:p>
                        <w:pPr>
                          <w:pStyle w:val="TableParagraph"/>
                          <w:spacing w:before="50"/>
                          <w:ind w:left="115" w:right="16"/>
                          <w:rPr>
                            <w:sz w:val="16"/>
                          </w:rPr>
                        </w:pPr>
                        <w:r>
                          <w:rPr>
                            <w:color w:val="231F20"/>
                            <w:sz w:val="16"/>
                          </w:rPr>
                          <w:t>0.0</w:t>
                        </w:r>
                      </w:p>
                    </w:tc>
                    <w:tc>
                      <w:tcPr>
                        <w:tcW w:w="398" w:type="dxa"/>
                      </w:tcPr>
                      <w:p>
                        <w:pPr>
                          <w:pStyle w:val="TableParagraph"/>
                          <w:spacing w:before="50"/>
                          <w:ind w:left="111"/>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4"/>
                          <w:rPr>
                            <w:rFonts w:ascii="Palatino Linotype"/>
                            <w:b/>
                            <w:sz w:val="16"/>
                          </w:rPr>
                        </w:pPr>
                        <w:r>
                          <w:rPr>
                            <w:rFonts w:ascii="Palatino Linotype"/>
                            <w:b/>
                            <w:color w:val="231F20"/>
                            <w:sz w:val="16"/>
                          </w:rPr>
                          <w:t>2006</w:t>
                        </w:r>
                      </w:p>
                    </w:tc>
                    <w:tc>
                      <w:tcPr>
                        <w:tcW w:w="444" w:type="dxa"/>
                      </w:tcPr>
                      <w:p>
                        <w:pPr>
                          <w:pStyle w:val="TableParagraph"/>
                          <w:spacing w:before="50"/>
                          <w:ind w:left="73" w:right="125"/>
                          <w:rPr>
                            <w:sz w:val="16"/>
                          </w:rPr>
                        </w:pPr>
                        <w:r>
                          <w:rPr>
                            <w:color w:val="231F20"/>
                            <w:sz w:val="16"/>
                          </w:rPr>
                          <w:t>0.0</w:t>
                        </w:r>
                      </w:p>
                    </w:tc>
                    <w:tc>
                      <w:tcPr>
                        <w:tcW w:w="553" w:type="dxa"/>
                      </w:tcPr>
                      <w:p>
                        <w:pPr>
                          <w:pStyle w:val="TableParagraph"/>
                          <w:spacing w:before="50"/>
                          <w:ind w:left="126" w:right="101"/>
                          <w:rPr>
                            <w:sz w:val="16"/>
                          </w:rPr>
                        </w:pPr>
                        <w:r>
                          <w:rPr>
                            <w:color w:val="231F20"/>
                            <w:sz w:val="16"/>
                          </w:rPr>
                          <w:t>1.2</w:t>
                        </w:r>
                      </w:p>
                    </w:tc>
                    <w:tc>
                      <w:tcPr>
                        <w:tcW w:w="675" w:type="dxa"/>
                      </w:tcPr>
                      <w:p>
                        <w:pPr>
                          <w:pStyle w:val="TableParagraph"/>
                          <w:spacing w:before="50"/>
                          <w:ind w:left="211"/>
                          <w:jc w:val="left"/>
                          <w:rPr>
                            <w:sz w:val="16"/>
                          </w:rPr>
                        </w:pPr>
                        <w:r>
                          <w:rPr>
                            <w:color w:val="231F20"/>
                            <w:sz w:val="16"/>
                          </w:rPr>
                          <w:t>11.3</w:t>
                        </w:r>
                      </w:p>
                    </w:tc>
                    <w:tc>
                      <w:tcPr>
                        <w:tcW w:w="551" w:type="dxa"/>
                      </w:tcPr>
                      <w:p>
                        <w:pPr>
                          <w:pStyle w:val="TableParagraph"/>
                          <w:spacing w:before="50"/>
                          <w:ind w:right="32"/>
                          <w:rPr>
                            <w:sz w:val="16"/>
                          </w:rPr>
                        </w:pPr>
                        <w:r>
                          <w:rPr>
                            <w:color w:val="231F20"/>
                            <w:sz w:val="16"/>
                          </w:rPr>
                          <w:t>23.0</w:t>
                        </w:r>
                      </w:p>
                    </w:tc>
                    <w:tc>
                      <w:tcPr>
                        <w:tcW w:w="560" w:type="dxa"/>
                      </w:tcPr>
                      <w:p>
                        <w:pPr>
                          <w:pStyle w:val="TableParagraph"/>
                          <w:spacing w:before="50"/>
                          <w:ind w:right="45"/>
                          <w:rPr>
                            <w:sz w:val="16"/>
                          </w:rPr>
                        </w:pPr>
                        <w:r>
                          <w:rPr>
                            <w:color w:val="231F20"/>
                            <w:sz w:val="16"/>
                          </w:rPr>
                          <w:t>2.2</w:t>
                        </w:r>
                      </w:p>
                    </w:tc>
                    <w:tc>
                      <w:tcPr>
                        <w:tcW w:w="587" w:type="dxa"/>
                      </w:tcPr>
                      <w:p>
                        <w:pPr>
                          <w:pStyle w:val="TableParagraph"/>
                          <w:spacing w:before="50"/>
                          <w:ind w:left="100" w:right="76"/>
                          <w:rPr>
                            <w:sz w:val="16"/>
                          </w:rPr>
                        </w:pPr>
                        <w:r>
                          <w:rPr>
                            <w:color w:val="231F20"/>
                            <w:sz w:val="16"/>
                          </w:rPr>
                          <w:t>0.0</w:t>
                        </w:r>
                      </w:p>
                    </w:tc>
                    <w:tc>
                      <w:tcPr>
                        <w:tcW w:w="611" w:type="dxa"/>
                      </w:tcPr>
                      <w:p>
                        <w:pPr>
                          <w:pStyle w:val="TableParagraph"/>
                          <w:spacing w:before="50"/>
                          <w:ind w:left="57" w:right="26"/>
                          <w:rPr>
                            <w:sz w:val="16"/>
                          </w:rPr>
                        </w:pPr>
                        <w:r>
                          <w:rPr>
                            <w:color w:val="231F20"/>
                            <w:sz w:val="16"/>
                          </w:rPr>
                          <w:t>44.6</w:t>
                        </w:r>
                      </w:p>
                    </w:tc>
                    <w:tc>
                      <w:tcPr>
                        <w:tcW w:w="585" w:type="dxa"/>
                      </w:tcPr>
                      <w:p>
                        <w:pPr>
                          <w:pStyle w:val="TableParagraph"/>
                          <w:spacing w:before="50"/>
                          <w:ind w:left="131" w:right="208"/>
                          <w:rPr>
                            <w:sz w:val="16"/>
                          </w:rPr>
                        </w:pPr>
                        <w:r>
                          <w:rPr>
                            <w:color w:val="231F20"/>
                            <w:sz w:val="16"/>
                          </w:rPr>
                          <w:t>2.3</w:t>
                        </w:r>
                      </w:p>
                    </w:tc>
                    <w:tc>
                      <w:tcPr>
                        <w:tcW w:w="717" w:type="dxa"/>
                      </w:tcPr>
                      <w:p>
                        <w:pPr>
                          <w:pStyle w:val="TableParagraph"/>
                          <w:spacing w:before="50"/>
                          <w:ind w:left="65" w:right="37"/>
                          <w:rPr>
                            <w:sz w:val="16"/>
                          </w:rPr>
                        </w:pPr>
                        <w:r>
                          <w:rPr>
                            <w:color w:val="231F20"/>
                            <w:sz w:val="16"/>
                          </w:rPr>
                          <w:t>15.4</w:t>
                        </w:r>
                      </w:p>
                    </w:tc>
                    <w:tc>
                      <w:tcPr>
                        <w:tcW w:w="586" w:type="dxa"/>
                      </w:tcPr>
                      <w:p>
                        <w:pPr>
                          <w:pStyle w:val="TableParagraph"/>
                          <w:spacing w:before="50"/>
                          <w:ind w:left="115" w:right="16"/>
                          <w:rPr>
                            <w:sz w:val="16"/>
                          </w:rPr>
                        </w:pPr>
                        <w:r>
                          <w:rPr>
                            <w:color w:val="231F20"/>
                            <w:sz w:val="16"/>
                          </w:rPr>
                          <w:t>7.9</w:t>
                        </w:r>
                      </w:p>
                    </w:tc>
                    <w:tc>
                      <w:tcPr>
                        <w:tcW w:w="398" w:type="dxa"/>
                      </w:tcPr>
                      <w:p>
                        <w:pPr>
                          <w:pStyle w:val="TableParagraph"/>
                          <w:spacing w:before="50"/>
                          <w:ind w:left="112"/>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4"/>
                          <w:rPr>
                            <w:rFonts w:ascii="Palatino Linotype"/>
                            <w:b/>
                            <w:sz w:val="16"/>
                          </w:rPr>
                        </w:pPr>
                        <w:r>
                          <w:rPr>
                            <w:rFonts w:ascii="Palatino Linotype"/>
                            <w:b/>
                            <w:color w:val="231F20"/>
                            <w:sz w:val="16"/>
                          </w:rPr>
                          <w:t>2007</w:t>
                        </w:r>
                      </w:p>
                    </w:tc>
                    <w:tc>
                      <w:tcPr>
                        <w:tcW w:w="444" w:type="dxa"/>
                      </w:tcPr>
                      <w:p>
                        <w:pPr>
                          <w:pStyle w:val="TableParagraph"/>
                          <w:spacing w:before="50"/>
                          <w:ind w:left="73" w:right="124"/>
                          <w:rPr>
                            <w:sz w:val="16"/>
                          </w:rPr>
                        </w:pPr>
                        <w:r>
                          <w:rPr>
                            <w:color w:val="231F20"/>
                            <w:sz w:val="16"/>
                          </w:rPr>
                          <w:t>0.0</w:t>
                        </w:r>
                      </w:p>
                    </w:tc>
                    <w:tc>
                      <w:tcPr>
                        <w:tcW w:w="553" w:type="dxa"/>
                      </w:tcPr>
                      <w:p>
                        <w:pPr>
                          <w:pStyle w:val="TableParagraph"/>
                          <w:spacing w:before="50"/>
                          <w:ind w:left="126" w:right="101"/>
                          <w:rPr>
                            <w:sz w:val="16"/>
                          </w:rPr>
                        </w:pPr>
                        <w:r>
                          <w:rPr>
                            <w:color w:val="231F20"/>
                            <w:sz w:val="16"/>
                          </w:rPr>
                          <w:t>2.7</w:t>
                        </w:r>
                      </w:p>
                    </w:tc>
                    <w:tc>
                      <w:tcPr>
                        <w:tcW w:w="675" w:type="dxa"/>
                      </w:tcPr>
                      <w:p>
                        <w:pPr>
                          <w:pStyle w:val="TableParagraph"/>
                          <w:spacing w:before="50"/>
                          <w:ind w:left="212"/>
                          <w:jc w:val="left"/>
                          <w:rPr>
                            <w:sz w:val="16"/>
                          </w:rPr>
                        </w:pPr>
                        <w:r>
                          <w:rPr>
                            <w:color w:val="231F20"/>
                            <w:sz w:val="16"/>
                          </w:rPr>
                          <w:t>10.3</w:t>
                        </w:r>
                      </w:p>
                    </w:tc>
                    <w:tc>
                      <w:tcPr>
                        <w:tcW w:w="551" w:type="dxa"/>
                      </w:tcPr>
                      <w:p>
                        <w:pPr>
                          <w:pStyle w:val="TableParagraph"/>
                          <w:spacing w:before="50"/>
                          <w:ind w:right="32"/>
                          <w:rPr>
                            <w:sz w:val="16"/>
                          </w:rPr>
                        </w:pPr>
                        <w:r>
                          <w:rPr>
                            <w:color w:val="231F20"/>
                            <w:sz w:val="16"/>
                          </w:rPr>
                          <w:t>20.9</w:t>
                        </w:r>
                      </w:p>
                    </w:tc>
                    <w:tc>
                      <w:tcPr>
                        <w:tcW w:w="560" w:type="dxa"/>
                      </w:tcPr>
                      <w:p>
                        <w:pPr>
                          <w:pStyle w:val="TableParagraph"/>
                          <w:spacing w:before="50"/>
                          <w:ind w:right="45"/>
                          <w:rPr>
                            <w:sz w:val="16"/>
                          </w:rPr>
                        </w:pPr>
                        <w:r>
                          <w:rPr>
                            <w:color w:val="231F20"/>
                            <w:sz w:val="16"/>
                          </w:rPr>
                          <w:t>1.1</w:t>
                        </w:r>
                      </w:p>
                    </w:tc>
                    <w:tc>
                      <w:tcPr>
                        <w:tcW w:w="587" w:type="dxa"/>
                      </w:tcPr>
                      <w:p>
                        <w:pPr>
                          <w:pStyle w:val="TableParagraph"/>
                          <w:spacing w:before="50"/>
                          <w:ind w:left="100" w:right="76"/>
                          <w:rPr>
                            <w:sz w:val="16"/>
                          </w:rPr>
                        </w:pPr>
                        <w:r>
                          <w:rPr>
                            <w:color w:val="231F20"/>
                            <w:sz w:val="16"/>
                          </w:rPr>
                          <w:t>0.0</w:t>
                        </w:r>
                      </w:p>
                    </w:tc>
                    <w:tc>
                      <w:tcPr>
                        <w:tcW w:w="611" w:type="dxa"/>
                      </w:tcPr>
                      <w:p>
                        <w:pPr>
                          <w:pStyle w:val="TableParagraph"/>
                          <w:spacing w:before="50"/>
                          <w:ind w:left="57" w:right="25"/>
                          <w:rPr>
                            <w:sz w:val="16"/>
                          </w:rPr>
                        </w:pPr>
                        <w:r>
                          <w:rPr>
                            <w:color w:val="231F20"/>
                            <w:sz w:val="16"/>
                          </w:rPr>
                          <w:t>41.6</w:t>
                        </w:r>
                      </w:p>
                    </w:tc>
                    <w:tc>
                      <w:tcPr>
                        <w:tcW w:w="585" w:type="dxa"/>
                      </w:tcPr>
                      <w:p>
                        <w:pPr>
                          <w:pStyle w:val="TableParagraph"/>
                          <w:spacing w:before="50"/>
                          <w:ind w:left="131" w:right="208"/>
                          <w:rPr>
                            <w:sz w:val="16"/>
                          </w:rPr>
                        </w:pPr>
                        <w:r>
                          <w:rPr>
                            <w:color w:val="231F20"/>
                            <w:sz w:val="16"/>
                          </w:rPr>
                          <w:t>2.3</w:t>
                        </w:r>
                      </w:p>
                    </w:tc>
                    <w:tc>
                      <w:tcPr>
                        <w:tcW w:w="717" w:type="dxa"/>
                      </w:tcPr>
                      <w:p>
                        <w:pPr>
                          <w:pStyle w:val="TableParagraph"/>
                          <w:spacing w:before="50"/>
                          <w:ind w:left="65" w:right="37"/>
                          <w:rPr>
                            <w:sz w:val="16"/>
                          </w:rPr>
                        </w:pPr>
                        <w:r>
                          <w:rPr>
                            <w:color w:val="231F20"/>
                            <w:sz w:val="16"/>
                          </w:rPr>
                          <w:t>19.4</w:t>
                        </w:r>
                      </w:p>
                    </w:tc>
                    <w:tc>
                      <w:tcPr>
                        <w:tcW w:w="586" w:type="dxa"/>
                      </w:tcPr>
                      <w:p>
                        <w:pPr>
                          <w:pStyle w:val="TableParagraph"/>
                          <w:spacing w:before="50"/>
                          <w:ind w:left="116" w:right="16"/>
                          <w:rPr>
                            <w:sz w:val="16"/>
                          </w:rPr>
                        </w:pPr>
                        <w:r>
                          <w:rPr>
                            <w:color w:val="231F20"/>
                            <w:sz w:val="16"/>
                          </w:rPr>
                          <w:t>8.1</w:t>
                        </w:r>
                      </w:p>
                    </w:tc>
                    <w:tc>
                      <w:tcPr>
                        <w:tcW w:w="398" w:type="dxa"/>
                      </w:tcPr>
                      <w:p>
                        <w:pPr>
                          <w:pStyle w:val="TableParagraph"/>
                          <w:spacing w:before="50"/>
                          <w:ind w:left="112"/>
                          <w:jc w:val="left"/>
                          <w:rPr>
                            <w:sz w:val="16"/>
                          </w:rPr>
                        </w:pPr>
                        <w:r>
                          <w:rPr>
                            <w:color w:val="231F20"/>
                            <w:sz w:val="16"/>
                          </w:rPr>
                          <w:t>0.0</w:t>
                        </w:r>
                      </w:p>
                    </w:tc>
                    <w:tc>
                      <w:tcPr>
                        <w:tcW w:w="429" w:type="dxa"/>
                      </w:tcPr>
                      <w:p>
                        <w:pPr>
                          <w:pStyle w:val="TableParagraph"/>
                          <w:spacing w:before="50"/>
                          <w:ind w:left="97" w:right="-11"/>
                          <w:jc w:val="left"/>
                          <w:rPr>
                            <w:sz w:val="16"/>
                          </w:rPr>
                        </w:pPr>
                        <w:r>
                          <w:rPr>
                            <w:color w:val="231F20"/>
                            <w:sz w:val="16"/>
                          </w:rPr>
                          <w:t>100</w:t>
                        </w:r>
                      </w:p>
                    </w:tc>
                  </w:tr>
                  <w:tr>
                    <w:trPr>
                      <w:trHeight w:val="323" w:hRule="exact"/>
                    </w:trPr>
                    <w:tc>
                      <w:tcPr>
                        <w:tcW w:w="481" w:type="dxa"/>
                      </w:tcPr>
                      <w:p>
                        <w:pPr>
                          <w:pStyle w:val="TableParagraph"/>
                          <w:spacing w:before="31"/>
                          <w:ind w:left="41" w:right="74"/>
                          <w:rPr>
                            <w:rFonts w:ascii="Palatino Linotype"/>
                            <w:b/>
                            <w:sz w:val="16"/>
                          </w:rPr>
                        </w:pPr>
                        <w:r>
                          <w:rPr>
                            <w:rFonts w:ascii="Palatino Linotype"/>
                            <w:b/>
                            <w:color w:val="231F20"/>
                            <w:sz w:val="16"/>
                          </w:rPr>
                          <w:t>2008</w:t>
                        </w:r>
                      </w:p>
                    </w:tc>
                    <w:tc>
                      <w:tcPr>
                        <w:tcW w:w="444" w:type="dxa"/>
                      </w:tcPr>
                      <w:p>
                        <w:pPr>
                          <w:pStyle w:val="TableParagraph"/>
                          <w:spacing w:before="50"/>
                          <w:ind w:left="73" w:right="124"/>
                          <w:rPr>
                            <w:sz w:val="16"/>
                          </w:rPr>
                        </w:pPr>
                        <w:r>
                          <w:rPr>
                            <w:color w:val="231F20"/>
                            <w:sz w:val="16"/>
                          </w:rPr>
                          <w:t>0.0</w:t>
                        </w:r>
                      </w:p>
                    </w:tc>
                    <w:tc>
                      <w:tcPr>
                        <w:tcW w:w="553" w:type="dxa"/>
                      </w:tcPr>
                      <w:p>
                        <w:pPr>
                          <w:pStyle w:val="TableParagraph"/>
                          <w:spacing w:before="50"/>
                          <w:ind w:left="126" w:right="101"/>
                          <w:rPr>
                            <w:sz w:val="16"/>
                          </w:rPr>
                        </w:pPr>
                        <w:r>
                          <w:rPr>
                            <w:color w:val="231F20"/>
                            <w:sz w:val="16"/>
                          </w:rPr>
                          <w:t>5.6</w:t>
                        </w:r>
                      </w:p>
                    </w:tc>
                    <w:tc>
                      <w:tcPr>
                        <w:tcW w:w="675" w:type="dxa"/>
                      </w:tcPr>
                      <w:p>
                        <w:pPr>
                          <w:pStyle w:val="TableParagraph"/>
                          <w:spacing w:before="50"/>
                          <w:ind w:left="250"/>
                          <w:jc w:val="left"/>
                          <w:rPr>
                            <w:sz w:val="16"/>
                          </w:rPr>
                        </w:pPr>
                        <w:r>
                          <w:rPr>
                            <w:color w:val="231F20"/>
                            <w:sz w:val="16"/>
                          </w:rPr>
                          <w:t>8.8</w:t>
                        </w:r>
                      </w:p>
                    </w:tc>
                    <w:tc>
                      <w:tcPr>
                        <w:tcW w:w="551" w:type="dxa"/>
                      </w:tcPr>
                      <w:p>
                        <w:pPr>
                          <w:pStyle w:val="TableParagraph"/>
                          <w:spacing w:before="50"/>
                          <w:ind w:right="31"/>
                          <w:rPr>
                            <w:sz w:val="16"/>
                          </w:rPr>
                        </w:pPr>
                        <w:r>
                          <w:rPr>
                            <w:color w:val="231F20"/>
                            <w:sz w:val="16"/>
                          </w:rPr>
                          <w:t>27.1</w:t>
                        </w:r>
                      </w:p>
                    </w:tc>
                    <w:tc>
                      <w:tcPr>
                        <w:tcW w:w="560" w:type="dxa"/>
                      </w:tcPr>
                      <w:p>
                        <w:pPr>
                          <w:pStyle w:val="TableParagraph"/>
                          <w:spacing w:before="50"/>
                          <w:ind w:right="44"/>
                          <w:rPr>
                            <w:sz w:val="16"/>
                          </w:rPr>
                        </w:pPr>
                        <w:r>
                          <w:rPr>
                            <w:color w:val="231F20"/>
                            <w:sz w:val="16"/>
                          </w:rPr>
                          <w:t>3.8</w:t>
                        </w:r>
                      </w:p>
                    </w:tc>
                    <w:tc>
                      <w:tcPr>
                        <w:tcW w:w="587" w:type="dxa"/>
                      </w:tcPr>
                      <w:p>
                        <w:pPr>
                          <w:pStyle w:val="TableParagraph"/>
                          <w:spacing w:before="50"/>
                          <w:ind w:left="100" w:right="75"/>
                          <w:rPr>
                            <w:sz w:val="16"/>
                          </w:rPr>
                        </w:pPr>
                        <w:r>
                          <w:rPr>
                            <w:color w:val="231F20"/>
                            <w:sz w:val="16"/>
                          </w:rPr>
                          <w:t>0.0</w:t>
                        </w:r>
                      </w:p>
                    </w:tc>
                    <w:tc>
                      <w:tcPr>
                        <w:tcW w:w="611" w:type="dxa"/>
                      </w:tcPr>
                      <w:p>
                        <w:pPr>
                          <w:pStyle w:val="TableParagraph"/>
                          <w:spacing w:before="50"/>
                          <w:ind w:left="57" w:right="25"/>
                          <w:rPr>
                            <w:sz w:val="16"/>
                          </w:rPr>
                        </w:pPr>
                        <w:r>
                          <w:rPr>
                            <w:color w:val="231F20"/>
                            <w:sz w:val="16"/>
                          </w:rPr>
                          <w:t>36.4</w:t>
                        </w:r>
                      </w:p>
                    </w:tc>
                    <w:tc>
                      <w:tcPr>
                        <w:tcW w:w="585" w:type="dxa"/>
                      </w:tcPr>
                      <w:p>
                        <w:pPr>
                          <w:pStyle w:val="TableParagraph"/>
                          <w:spacing w:before="50"/>
                          <w:ind w:left="131" w:right="208"/>
                          <w:rPr>
                            <w:sz w:val="16"/>
                          </w:rPr>
                        </w:pPr>
                        <w:r>
                          <w:rPr>
                            <w:color w:val="231F20"/>
                            <w:sz w:val="16"/>
                          </w:rPr>
                          <w:t>2.0</w:t>
                        </w:r>
                      </w:p>
                    </w:tc>
                    <w:tc>
                      <w:tcPr>
                        <w:tcW w:w="717" w:type="dxa"/>
                      </w:tcPr>
                      <w:p>
                        <w:pPr>
                          <w:pStyle w:val="TableParagraph"/>
                          <w:spacing w:before="50"/>
                          <w:ind w:left="65" w:right="37"/>
                          <w:rPr>
                            <w:sz w:val="16"/>
                          </w:rPr>
                        </w:pPr>
                        <w:r>
                          <w:rPr>
                            <w:color w:val="231F20"/>
                            <w:sz w:val="16"/>
                          </w:rPr>
                          <w:t>16.2</w:t>
                        </w:r>
                      </w:p>
                    </w:tc>
                    <w:tc>
                      <w:tcPr>
                        <w:tcW w:w="586" w:type="dxa"/>
                      </w:tcPr>
                      <w:p>
                        <w:pPr>
                          <w:pStyle w:val="TableParagraph"/>
                          <w:spacing w:before="50"/>
                          <w:ind w:left="116" w:right="16"/>
                          <w:rPr>
                            <w:sz w:val="16"/>
                          </w:rPr>
                        </w:pPr>
                        <w:r>
                          <w:rPr>
                            <w:color w:val="231F20"/>
                            <w:sz w:val="16"/>
                          </w:rPr>
                          <w:t>11.4</w:t>
                        </w:r>
                      </w:p>
                    </w:tc>
                    <w:tc>
                      <w:tcPr>
                        <w:tcW w:w="398" w:type="dxa"/>
                      </w:tcPr>
                      <w:p>
                        <w:pPr>
                          <w:pStyle w:val="TableParagraph"/>
                          <w:spacing w:before="50"/>
                          <w:ind w:left="112"/>
                          <w:jc w:val="left"/>
                          <w:rPr>
                            <w:sz w:val="16"/>
                          </w:rPr>
                        </w:pPr>
                        <w:r>
                          <w:rPr>
                            <w:color w:val="231F20"/>
                            <w:sz w:val="16"/>
                          </w:rPr>
                          <w:t>0.0</w:t>
                        </w:r>
                      </w:p>
                    </w:tc>
                    <w:tc>
                      <w:tcPr>
                        <w:tcW w:w="429" w:type="dxa"/>
                      </w:tcPr>
                      <w:p>
                        <w:pPr>
                          <w:pStyle w:val="TableParagraph"/>
                          <w:spacing w:before="50"/>
                          <w:ind w:left="98" w:right="-11"/>
                          <w:jc w:val="left"/>
                          <w:rPr>
                            <w:sz w:val="16"/>
                          </w:rPr>
                        </w:pPr>
                        <w:r>
                          <w:rPr>
                            <w:color w:val="231F20"/>
                            <w:sz w:val="16"/>
                          </w:rPr>
                          <w:t>100</w:t>
                        </w:r>
                      </w:p>
                    </w:tc>
                  </w:tr>
                  <w:tr>
                    <w:trPr>
                      <w:trHeight w:val="323" w:hRule="exact"/>
                    </w:trPr>
                    <w:tc>
                      <w:tcPr>
                        <w:tcW w:w="481" w:type="dxa"/>
                      </w:tcPr>
                      <w:p>
                        <w:pPr>
                          <w:pStyle w:val="TableParagraph"/>
                          <w:spacing w:before="31"/>
                          <w:ind w:left="41" w:right="73"/>
                          <w:rPr>
                            <w:rFonts w:ascii="Palatino Linotype"/>
                            <w:b/>
                            <w:sz w:val="16"/>
                          </w:rPr>
                        </w:pPr>
                        <w:r>
                          <w:rPr>
                            <w:rFonts w:ascii="Palatino Linotype"/>
                            <w:b/>
                            <w:color w:val="231F20"/>
                            <w:sz w:val="16"/>
                          </w:rPr>
                          <w:t>2009</w:t>
                        </w:r>
                      </w:p>
                    </w:tc>
                    <w:tc>
                      <w:tcPr>
                        <w:tcW w:w="444" w:type="dxa"/>
                      </w:tcPr>
                      <w:p>
                        <w:pPr>
                          <w:pStyle w:val="TableParagraph"/>
                          <w:spacing w:before="50"/>
                          <w:ind w:left="73" w:right="124"/>
                          <w:rPr>
                            <w:sz w:val="16"/>
                          </w:rPr>
                        </w:pPr>
                        <w:r>
                          <w:rPr>
                            <w:color w:val="231F20"/>
                            <w:sz w:val="16"/>
                          </w:rPr>
                          <w:t>0.0</w:t>
                        </w:r>
                      </w:p>
                    </w:tc>
                    <w:tc>
                      <w:tcPr>
                        <w:tcW w:w="553" w:type="dxa"/>
                      </w:tcPr>
                      <w:p>
                        <w:pPr>
                          <w:pStyle w:val="TableParagraph"/>
                          <w:spacing w:before="50"/>
                          <w:ind w:left="126" w:right="100"/>
                          <w:rPr>
                            <w:sz w:val="16"/>
                          </w:rPr>
                        </w:pPr>
                        <w:r>
                          <w:rPr>
                            <w:color w:val="231F20"/>
                            <w:sz w:val="16"/>
                          </w:rPr>
                          <w:t>8.1</w:t>
                        </w:r>
                      </w:p>
                    </w:tc>
                    <w:tc>
                      <w:tcPr>
                        <w:tcW w:w="675" w:type="dxa"/>
                      </w:tcPr>
                      <w:p>
                        <w:pPr>
                          <w:pStyle w:val="TableParagraph"/>
                          <w:spacing w:before="50"/>
                          <w:ind w:left="250"/>
                          <w:jc w:val="left"/>
                          <w:rPr>
                            <w:sz w:val="16"/>
                          </w:rPr>
                        </w:pPr>
                        <w:r>
                          <w:rPr>
                            <w:color w:val="231F20"/>
                            <w:sz w:val="16"/>
                          </w:rPr>
                          <w:t>1.1</w:t>
                        </w:r>
                      </w:p>
                    </w:tc>
                    <w:tc>
                      <w:tcPr>
                        <w:tcW w:w="551" w:type="dxa"/>
                      </w:tcPr>
                      <w:p>
                        <w:pPr>
                          <w:pStyle w:val="TableParagraph"/>
                          <w:spacing w:before="50"/>
                          <w:ind w:right="31"/>
                          <w:rPr>
                            <w:sz w:val="16"/>
                          </w:rPr>
                        </w:pPr>
                        <w:r>
                          <w:rPr>
                            <w:color w:val="231F20"/>
                            <w:sz w:val="16"/>
                          </w:rPr>
                          <w:t>24.8</w:t>
                        </w:r>
                      </w:p>
                    </w:tc>
                    <w:tc>
                      <w:tcPr>
                        <w:tcW w:w="560" w:type="dxa"/>
                      </w:tcPr>
                      <w:p>
                        <w:pPr>
                          <w:pStyle w:val="TableParagraph"/>
                          <w:spacing w:before="50"/>
                          <w:ind w:right="44"/>
                          <w:rPr>
                            <w:sz w:val="16"/>
                          </w:rPr>
                        </w:pPr>
                        <w:r>
                          <w:rPr>
                            <w:color w:val="231F20"/>
                            <w:sz w:val="16"/>
                          </w:rPr>
                          <w:t>3.6</w:t>
                        </w:r>
                      </w:p>
                    </w:tc>
                    <w:tc>
                      <w:tcPr>
                        <w:tcW w:w="587" w:type="dxa"/>
                      </w:tcPr>
                      <w:p>
                        <w:pPr>
                          <w:pStyle w:val="TableParagraph"/>
                          <w:spacing w:before="50"/>
                          <w:ind w:left="100" w:right="75"/>
                          <w:rPr>
                            <w:sz w:val="16"/>
                          </w:rPr>
                        </w:pPr>
                        <w:r>
                          <w:rPr>
                            <w:color w:val="231F20"/>
                            <w:sz w:val="16"/>
                          </w:rPr>
                          <w:t>0.0</w:t>
                        </w:r>
                      </w:p>
                    </w:tc>
                    <w:tc>
                      <w:tcPr>
                        <w:tcW w:w="611" w:type="dxa"/>
                      </w:tcPr>
                      <w:p>
                        <w:pPr>
                          <w:pStyle w:val="TableParagraph"/>
                          <w:spacing w:before="50"/>
                          <w:ind w:left="57" w:right="25"/>
                          <w:rPr>
                            <w:sz w:val="16"/>
                          </w:rPr>
                        </w:pPr>
                        <w:r>
                          <w:rPr>
                            <w:color w:val="231F20"/>
                            <w:sz w:val="16"/>
                          </w:rPr>
                          <w:t>45.5</w:t>
                        </w:r>
                      </w:p>
                    </w:tc>
                    <w:tc>
                      <w:tcPr>
                        <w:tcW w:w="585" w:type="dxa"/>
                      </w:tcPr>
                      <w:p>
                        <w:pPr>
                          <w:pStyle w:val="TableParagraph"/>
                          <w:spacing w:before="50"/>
                          <w:ind w:left="131" w:right="207"/>
                          <w:rPr>
                            <w:sz w:val="16"/>
                          </w:rPr>
                        </w:pPr>
                        <w:r>
                          <w:rPr>
                            <w:color w:val="231F20"/>
                            <w:sz w:val="16"/>
                          </w:rPr>
                          <w:t>0.0</w:t>
                        </w:r>
                      </w:p>
                    </w:tc>
                    <w:tc>
                      <w:tcPr>
                        <w:tcW w:w="717" w:type="dxa"/>
                      </w:tcPr>
                      <w:p>
                        <w:pPr>
                          <w:pStyle w:val="TableParagraph"/>
                          <w:spacing w:before="50"/>
                          <w:ind w:left="66" w:right="37"/>
                          <w:rPr>
                            <w:sz w:val="16"/>
                          </w:rPr>
                        </w:pPr>
                        <w:r>
                          <w:rPr>
                            <w:color w:val="231F20"/>
                            <w:sz w:val="16"/>
                          </w:rPr>
                          <w:t>17.0</w:t>
                        </w:r>
                      </w:p>
                    </w:tc>
                    <w:tc>
                      <w:tcPr>
                        <w:tcW w:w="586" w:type="dxa"/>
                      </w:tcPr>
                      <w:p>
                        <w:pPr>
                          <w:pStyle w:val="TableParagraph"/>
                          <w:spacing w:before="50"/>
                          <w:ind w:left="116" w:right="16"/>
                          <w:rPr>
                            <w:sz w:val="16"/>
                          </w:rPr>
                        </w:pPr>
                        <w:r>
                          <w:rPr>
                            <w:color w:val="231F20"/>
                            <w:sz w:val="16"/>
                          </w:rPr>
                          <w:t>0.0</w:t>
                        </w:r>
                      </w:p>
                    </w:tc>
                    <w:tc>
                      <w:tcPr>
                        <w:tcW w:w="398" w:type="dxa"/>
                      </w:tcPr>
                      <w:p>
                        <w:pPr>
                          <w:pStyle w:val="TableParagraph"/>
                          <w:spacing w:before="50"/>
                          <w:ind w:left="112"/>
                          <w:jc w:val="left"/>
                          <w:rPr>
                            <w:sz w:val="16"/>
                          </w:rPr>
                        </w:pPr>
                        <w:r>
                          <w:rPr>
                            <w:color w:val="231F20"/>
                            <w:sz w:val="16"/>
                          </w:rPr>
                          <w:t>0.0</w:t>
                        </w:r>
                      </w:p>
                    </w:tc>
                    <w:tc>
                      <w:tcPr>
                        <w:tcW w:w="429" w:type="dxa"/>
                      </w:tcPr>
                      <w:p>
                        <w:pPr>
                          <w:pStyle w:val="TableParagraph"/>
                          <w:spacing w:before="50"/>
                          <w:ind w:left="98" w:right="-11"/>
                          <w:jc w:val="left"/>
                          <w:rPr>
                            <w:sz w:val="16"/>
                          </w:rPr>
                        </w:pPr>
                        <w:r>
                          <w:rPr>
                            <w:color w:val="231F20"/>
                            <w:sz w:val="16"/>
                          </w:rPr>
                          <w:t>100</w:t>
                        </w:r>
                      </w:p>
                    </w:tc>
                  </w:tr>
                  <w:tr>
                    <w:trPr>
                      <w:trHeight w:val="323" w:hRule="exact"/>
                    </w:trPr>
                    <w:tc>
                      <w:tcPr>
                        <w:tcW w:w="481" w:type="dxa"/>
                      </w:tcPr>
                      <w:p>
                        <w:pPr>
                          <w:pStyle w:val="TableParagraph"/>
                          <w:spacing w:before="31"/>
                          <w:ind w:left="41" w:right="73"/>
                          <w:rPr>
                            <w:rFonts w:ascii="Palatino Linotype"/>
                            <w:b/>
                            <w:sz w:val="16"/>
                          </w:rPr>
                        </w:pPr>
                        <w:r>
                          <w:rPr>
                            <w:rFonts w:ascii="Palatino Linotype"/>
                            <w:b/>
                            <w:color w:val="231F20"/>
                            <w:sz w:val="16"/>
                          </w:rPr>
                          <w:t>2010</w:t>
                        </w:r>
                      </w:p>
                    </w:tc>
                    <w:tc>
                      <w:tcPr>
                        <w:tcW w:w="444" w:type="dxa"/>
                      </w:tcPr>
                      <w:p>
                        <w:pPr>
                          <w:pStyle w:val="TableParagraph"/>
                          <w:spacing w:before="50"/>
                          <w:ind w:left="73" w:right="123"/>
                          <w:rPr>
                            <w:sz w:val="16"/>
                          </w:rPr>
                        </w:pPr>
                        <w:r>
                          <w:rPr>
                            <w:color w:val="231F20"/>
                            <w:sz w:val="16"/>
                          </w:rPr>
                          <w:t>0.0</w:t>
                        </w:r>
                      </w:p>
                    </w:tc>
                    <w:tc>
                      <w:tcPr>
                        <w:tcW w:w="553" w:type="dxa"/>
                      </w:tcPr>
                      <w:p>
                        <w:pPr>
                          <w:pStyle w:val="TableParagraph"/>
                          <w:spacing w:before="50"/>
                          <w:ind w:left="126" w:right="100"/>
                          <w:rPr>
                            <w:sz w:val="16"/>
                          </w:rPr>
                        </w:pPr>
                        <w:r>
                          <w:rPr>
                            <w:color w:val="231F20"/>
                            <w:sz w:val="16"/>
                          </w:rPr>
                          <w:t>7.3</w:t>
                        </w:r>
                      </w:p>
                    </w:tc>
                    <w:tc>
                      <w:tcPr>
                        <w:tcW w:w="675" w:type="dxa"/>
                      </w:tcPr>
                      <w:p>
                        <w:pPr>
                          <w:pStyle w:val="TableParagraph"/>
                          <w:spacing w:before="50"/>
                          <w:ind w:left="250"/>
                          <w:jc w:val="left"/>
                          <w:rPr>
                            <w:sz w:val="16"/>
                          </w:rPr>
                        </w:pPr>
                        <w:r>
                          <w:rPr>
                            <w:color w:val="231F20"/>
                            <w:sz w:val="16"/>
                          </w:rPr>
                          <w:t>2.2</w:t>
                        </w:r>
                      </w:p>
                    </w:tc>
                    <w:tc>
                      <w:tcPr>
                        <w:tcW w:w="551" w:type="dxa"/>
                      </w:tcPr>
                      <w:p>
                        <w:pPr>
                          <w:pStyle w:val="TableParagraph"/>
                          <w:spacing w:before="50"/>
                          <w:ind w:right="31"/>
                          <w:rPr>
                            <w:sz w:val="16"/>
                          </w:rPr>
                        </w:pPr>
                        <w:r>
                          <w:rPr>
                            <w:color w:val="231F20"/>
                            <w:sz w:val="16"/>
                          </w:rPr>
                          <w:t>26.1</w:t>
                        </w:r>
                      </w:p>
                    </w:tc>
                    <w:tc>
                      <w:tcPr>
                        <w:tcW w:w="560" w:type="dxa"/>
                      </w:tcPr>
                      <w:p>
                        <w:pPr>
                          <w:pStyle w:val="TableParagraph"/>
                          <w:spacing w:before="50"/>
                          <w:ind w:right="44"/>
                          <w:rPr>
                            <w:sz w:val="16"/>
                          </w:rPr>
                        </w:pPr>
                        <w:r>
                          <w:rPr>
                            <w:color w:val="231F20"/>
                            <w:sz w:val="16"/>
                          </w:rPr>
                          <w:t>4.1</w:t>
                        </w:r>
                      </w:p>
                    </w:tc>
                    <w:tc>
                      <w:tcPr>
                        <w:tcW w:w="587" w:type="dxa"/>
                      </w:tcPr>
                      <w:p>
                        <w:pPr>
                          <w:pStyle w:val="TableParagraph"/>
                          <w:spacing w:before="50"/>
                          <w:ind w:left="100" w:right="75"/>
                          <w:rPr>
                            <w:sz w:val="16"/>
                          </w:rPr>
                        </w:pPr>
                        <w:r>
                          <w:rPr>
                            <w:color w:val="231F20"/>
                            <w:sz w:val="16"/>
                          </w:rPr>
                          <w:t>0.0</w:t>
                        </w:r>
                      </w:p>
                    </w:tc>
                    <w:tc>
                      <w:tcPr>
                        <w:tcW w:w="611" w:type="dxa"/>
                      </w:tcPr>
                      <w:p>
                        <w:pPr>
                          <w:pStyle w:val="TableParagraph"/>
                          <w:spacing w:before="50"/>
                          <w:ind w:left="57" w:right="24"/>
                          <w:rPr>
                            <w:sz w:val="16"/>
                          </w:rPr>
                        </w:pPr>
                        <w:r>
                          <w:rPr>
                            <w:color w:val="231F20"/>
                            <w:sz w:val="16"/>
                          </w:rPr>
                          <w:t>40.8</w:t>
                        </w:r>
                      </w:p>
                    </w:tc>
                    <w:tc>
                      <w:tcPr>
                        <w:tcW w:w="585" w:type="dxa"/>
                      </w:tcPr>
                      <w:p>
                        <w:pPr>
                          <w:pStyle w:val="TableParagraph"/>
                          <w:spacing w:before="50"/>
                          <w:ind w:left="131" w:right="207"/>
                          <w:rPr>
                            <w:sz w:val="16"/>
                          </w:rPr>
                        </w:pPr>
                        <w:r>
                          <w:rPr>
                            <w:color w:val="231F20"/>
                            <w:sz w:val="16"/>
                          </w:rPr>
                          <w:t>0.0</w:t>
                        </w:r>
                      </w:p>
                    </w:tc>
                    <w:tc>
                      <w:tcPr>
                        <w:tcW w:w="717" w:type="dxa"/>
                      </w:tcPr>
                      <w:p>
                        <w:pPr>
                          <w:pStyle w:val="TableParagraph"/>
                          <w:spacing w:before="50"/>
                          <w:ind w:left="66" w:right="37"/>
                          <w:rPr>
                            <w:sz w:val="16"/>
                          </w:rPr>
                        </w:pPr>
                        <w:r>
                          <w:rPr>
                            <w:color w:val="231F20"/>
                            <w:sz w:val="16"/>
                          </w:rPr>
                          <w:t>19.4</w:t>
                        </w:r>
                      </w:p>
                    </w:tc>
                    <w:tc>
                      <w:tcPr>
                        <w:tcW w:w="586" w:type="dxa"/>
                      </w:tcPr>
                      <w:p>
                        <w:pPr>
                          <w:pStyle w:val="TableParagraph"/>
                          <w:spacing w:before="50"/>
                          <w:ind w:left="117" w:right="16"/>
                          <w:rPr>
                            <w:sz w:val="16"/>
                          </w:rPr>
                        </w:pPr>
                        <w:r>
                          <w:rPr>
                            <w:color w:val="231F20"/>
                            <w:sz w:val="16"/>
                          </w:rPr>
                          <w:t>0.0</w:t>
                        </w:r>
                      </w:p>
                    </w:tc>
                    <w:tc>
                      <w:tcPr>
                        <w:tcW w:w="398" w:type="dxa"/>
                      </w:tcPr>
                      <w:p>
                        <w:pPr>
                          <w:pStyle w:val="TableParagraph"/>
                          <w:spacing w:before="50"/>
                          <w:ind w:left="112"/>
                          <w:jc w:val="left"/>
                          <w:rPr>
                            <w:sz w:val="16"/>
                          </w:rPr>
                        </w:pPr>
                        <w:r>
                          <w:rPr>
                            <w:color w:val="231F20"/>
                            <w:sz w:val="16"/>
                          </w:rPr>
                          <w:t>0.0</w:t>
                        </w:r>
                      </w:p>
                    </w:tc>
                    <w:tc>
                      <w:tcPr>
                        <w:tcW w:w="429" w:type="dxa"/>
                      </w:tcPr>
                      <w:p>
                        <w:pPr>
                          <w:pStyle w:val="TableParagraph"/>
                          <w:spacing w:before="50"/>
                          <w:ind w:left="98" w:right="-11"/>
                          <w:jc w:val="left"/>
                          <w:rPr>
                            <w:sz w:val="16"/>
                          </w:rPr>
                        </w:pPr>
                        <w:r>
                          <w:rPr>
                            <w:color w:val="231F20"/>
                            <w:sz w:val="16"/>
                          </w:rPr>
                          <w:t>100</w:t>
                        </w:r>
                      </w:p>
                    </w:tc>
                  </w:tr>
                  <w:tr>
                    <w:trPr>
                      <w:trHeight w:val="323" w:hRule="exact"/>
                    </w:trPr>
                    <w:tc>
                      <w:tcPr>
                        <w:tcW w:w="481" w:type="dxa"/>
                      </w:tcPr>
                      <w:p>
                        <w:pPr>
                          <w:pStyle w:val="TableParagraph"/>
                          <w:spacing w:before="31"/>
                          <w:ind w:left="41" w:right="73"/>
                          <w:rPr>
                            <w:rFonts w:ascii="Palatino Linotype"/>
                            <w:b/>
                            <w:sz w:val="16"/>
                          </w:rPr>
                        </w:pPr>
                        <w:r>
                          <w:rPr>
                            <w:rFonts w:ascii="Palatino Linotype"/>
                            <w:b/>
                            <w:color w:val="231F20"/>
                            <w:sz w:val="16"/>
                          </w:rPr>
                          <w:t>2011</w:t>
                        </w:r>
                      </w:p>
                    </w:tc>
                    <w:tc>
                      <w:tcPr>
                        <w:tcW w:w="444" w:type="dxa"/>
                      </w:tcPr>
                      <w:p>
                        <w:pPr>
                          <w:pStyle w:val="TableParagraph"/>
                          <w:spacing w:before="50"/>
                          <w:ind w:left="73" w:right="123"/>
                          <w:rPr>
                            <w:sz w:val="16"/>
                          </w:rPr>
                        </w:pPr>
                        <w:r>
                          <w:rPr>
                            <w:color w:val="231F20"/>
                            <w:sz w:val="16"/>
                          </w:rPr>
                          <w:t>0.0</w:t>
                        </w:r>
                      </w:p>
                    </w:tc>
                    <w:tc>
                      <w:tcPr>
                        <w:tcW w:w="553" w:type="dxa"/>
                      </w:tcPr>
                      <w:p>
                        <w:pPr>
                          <w:pStyle w:val="TableParagraph"/>
                          <w:spacing w:before="50"/>
                          <w:ind w:left="126" w:right="100"/>
                          <w:rPr>
                            <w:sz w:val="16"/>
                          </w:rPr>
                        </w:pPr>
                        <w:r>
                          <w:rPr>
                            <w:color w:val="231F20"/>
                            <w:sz w:val="16"/>
                          </w:rPr>
                          <w:t>5.4</w:t>
                        </w:r>
                      </w:p>
                    </w:tc>
                    <w:tc>
                      <w:tcPr>
                        <w:tcW w:w="675" w:type="dxa"/>
                      </w:tcPr>
                      <w:p>
                        <w:pPr>
                          <w:pStyle w:val="TableParagraph"/>
                          <w:spacing w:before="50"/>
                          <w:ind w:left="251"/>
                          <w:jc w:val="left"/>
                          <w:rPr>
                            <w:sz w:val="16"/>
                          </w:rPr>
                        </w:pPr>
                        <w:r>
                          <w:rPr>
                            <w:color w:val="231F20"/>
                            <w:sz w:val="16"/>
                          </w:rPr>
                          <w:t>3.1</w:t>
                        </w:r>
                      </w:p>
                    </w:tc>
                    <w:tc>
                      <w:tcPr>
                        <w:tcW w:w="551" w:type="dxa"/>
                      </w:tcPr>
                      <w:p>
                        <w:pPr>
                          <w:pStyle w:val="TableParagraph"/>
                          <w:spacing w:before="50"/>
                          <w:ind w:right="30"/>
                          <w:rPr>
                            <w:sz w:val="16"/>
                          </w:rPr>
                        </w:pPr>
                        <w:r>
                          <w:rPr>
                            <w:color w:val="231F20"/>
                            <w:sz w:val="16"/>
                          </w:rPr>
                          <w:t>23.9</w:t>
                        </w:r>
                      </w:p>
                    </w:tc>
                    <w:tc>
                      <w:tcPr>
                        <w:tcW w:w="560" w:type="dxa"/>
                      </w:tcPr>
                      <w:p>
                        <w:pPr>
                          <w:pStyle w:val="TableParagraph"/>
                          <w:spacing w:before="50"/>
                          <w:ind w:right="43"/>
                          <w:rPr>
                            <w:sz w:val="16"/>
                          </w:rPr>
                        </w:pPr>
                        <w:r>
                          <w:rPr>
                            <w:color w:val="231F20"/>
                            <w:sz w:val="16"/>
                          </w:rPr>
                          <w:t>2.2</w:t>
                        </w:r>
                      </w:p>
                    </w:tc>
                    <w:tc>
                      <w:tcPr>
                        <w:tcW w:w="587" w:type="dxa"/>
                      </w:tcPr>
                      <w:p>
                        <w:pPr>
                          <w:pStyle w:val="TableParagraph"/>
                          <w:spacing w:before="50"/>
                          <w:ind w:left="100" w:right="74"/>
                          <w:rPr>
                            <w:sz w:val="16"/>
                          </w:rPr>
                        </w:pPr>
                        <w:r>
                          <w:rPr>
                            <w:color w:val="231F20"/>
                            <w:sz w:val="16"/>
                          </w:rPr>
                          <w:t>0.0</w:t>
                        </w:r>
                      </w:p>
                    </w:tc>
                    <w:tc>
                      <w:tcPr>
                        <w:tcW w:w="611" w:type="dxa"/>
                      </w:tcPr>
                      <w:p>
                        <w:pPr>
                          <w:pStyle w:val="TableParagraph"/>
                          <w:spacing w:before="50"/>
                          <w:ind w:left="57" w:right="24"/>
                          <w:rPr>
                            <w:sz w:val="16"/>
                          </w:rPr>
                        </w:pPr>
                        <w:r>
                          <w:rPr>
                            <w:color w:val="231F20"/>
                            <w:sz w:val="16"/>
                          </w:rPr>
                          <w:t>46.2</w:t>
                        </w:r>
                      </w:p>
                    </w:tc>
                    <w:tc>
                      <w:tcPr>
                        <w:tcW w:w="585" w:type="dxa"/>
                      </w:tcPr>
                      <w:p>
                        <w:pPr>
                          <w:pStyle w:val="TableParagraph"/>
                          <w:spacing w:before="50"/>
                          <w:ind w:left="131" w:right="207"/>
                          <w:rPr>
                            <w:sz w:val="16"/>
                          </w:rPr>
                        </w:pPr>
                        <w:r>
                          <w:rPr>
                            <w:color w:val="231F20"/>
                            <w:sz w:val="16"/>
                          </w:rPr>
                          <w:t>0.0</w:t>
                        </w:r>
                      </w:p>
                    </w:tc>
                    <w:tc>
                      <w:tcPr>
                        <w:tcW w:w="717" w:type="dxa"/>
                      </w:tcPr>
                      <w:p>
                        <w:pPr>
                          <w:pStyle w:val="TableParagraph"/>
                          <w:spacing w:before="50"/>
                          <w:ind w:left="66" w:right="37"/>
                          <w:rPr>
                            <w:sz w:val="16"/>
                          </w:rPr>
                        </w:pPr>
                        <w:r>
                          <w:rPr>
                            <w:color w:val="231F20"/>
                            <w:sz w:val="16"/>
                          </w:rPr>
                          <w:t>18.9</w:t>
                        </w:r>
                      </w:p>
                    </w:tc>
                    <w:tc>
                      <w:tcPr>
                        <w:tcW w:w="586" w:type="dxa"/>
                      </w:tcPr>
                      <w:p>
                        <w:pPr>
                          <w:pStyle w:val="TableParagraph"/>
                          <w:spacing w:before="50"/>
                          <w:ind w:left="117" w:right="16"/>
                          <w:rPr>
                            <w:sz w:val="16"/>
                          </w:rPr>
                        </w:pPr>
                        <w:r>
                          <w:rPr>
                            <w:color w:val="231F20"/>
                            <w:sz w:val="16"/>
                          </w:rPr>
                          <w:t>0.0</w:t>
                        </w:r>
                      </w:p>
                    </w:tc>
                    <w:tc>
                      <w:tcPr>
                        <w:tcW w:w="398" w:type="dxa"/>
                      </w:tcPr>
                      <w:p>
                        <w:pPr>
                          <w:pStyle w:val="TableParagraph"/>
                          <w:spacing w:before="50"/>
                          <w:ind w:left="112"/>
                          <w:jc w:val="left"/>
                          <w:rPr>
                            <w:sz w:val="16"/>
                          </w:rPr>
                        </w:pPr>
                        <w:r>
                          <w:rPr>
                            <w:color w:val="231F20"/>
                            <w:sz w:val="16"/>
                          </w:rPr>
                          <w:t>0.2</w:t>
                        </w:r>
                      </w:p>
                    </w:tc>
                    <w:tc>
                      <w:tcPr>
                        <w:tcW w:w="429" w:type="dxa"/>
                      </w:tcPr>
                      <w:p>
                        <w:pPr>
                          <w:pStyle w:val="TableParagraph"/>
                          <w:spacing w:before="50"/>
                          <w:ind w:left="98" w:right="-11"/>
                          <w:jc w:val="left"/>
                          <w:rPr>
                            <w:sz w:val="16"/>
                          </w:rPr>
                        </w:pPr>
                        <w:r>
                          <w:rPr>
                            <w:color w:val="231F20"/>
                            <w:sz w:val="16"/>
                          </w:rPr>
                          <w:t>100</w:t>
                        </w:r>
                      </w:p>
                    </w:tc>
                  </w:tr>
                  <w:tr>
                    <w:trPr>
                      <w:trHeight w:val="323" w:hRule="exact"/>
                    </w:trPr>
                    <w:tc>
                      <w:tcPr>
                        <w:tcW w:w="481" w:type="dxa"/>
                      </w:tcPr>
                      <w:p>
                        <w:pPr>
                          <w:pStyle w:val="TableParagraph"/>
                          <w:spacing w:before="31"/>
                          <w:ind w:left="41" w:right="72"/>
                          <w:rPr>
                            <w:rFonts w:ascii="Palatino Linotype"/>
                            <w:b/>
                            <w:sz w:val="16"/>
                          </w:rPr>
                        </w:pPr>
                        <w:r>
                          <w:rPr>
                            <w:rFonts w:ascii="Palatino Linotype"/>
                            <w:b/>
                            <w:color w:val="231F20"/>
                            <w:sz w:val="16"/>
                          </w:rPr>
                          <w:t>2012</w:t>
                        </w:r>
                      </w:p>
                    </w:tc>
                    <w:tc>
                      <w:tcPr>
                        <w:tcW w:w="444" w:type="dxa"/>
                      </w:tcPr>
                      <w:p>
                        <w:pPr>
                          <w:pStyle w:val="TableParagraph"/>
                          <w:spacing w:before="50"/>
                          <w:ind w:left="73" w:right="123"/>
                          <w:rPr>
                            <w:sz w:val="16"/>
                          </w:rPr>
                        </w:pPr>
                        <w:r>
                          <w:rPr>
                            <w:color w:val="231F20"/>
                            <w:sz w:val="16"/>
                          </w:rPr>
                          <w:t>0.0</w:t>
                        </w:r>
                      </w:p>
                    </w:tc>
                    <w:tc>
                      <w:tcPr>
                        <w:tcW w:w="553" w:type="dxa"/>
                      </w:tcPr>
                      <w:p>
                        <w:pPr>
                          <w:pStyle w:val="TableParagraph"/>
                          <w:spacing w:before="50"/>
                          <w:ind w:left="126" w:right="99"/>
                          <w:rPr>
                            <w:sz w:val="16"/>
                          </w:rPr>
                        </w:pPr>
                        <w:r>
                          <w:rPr>
                            <w:color w:val="231F20"/>
                            <w:sz w:val="16"/>
                          </w:rPr>
                          <w:t>5.8</w:t>
                        </w:r>
                      </w:p>
                    </w:tc>
                    <w:tc>
                      <w:tcPr>
                        <w:tcW w:w="675" w:type="dxa"/>
                      </w:tcPr>
                      <w:p>
                        <w:pPr>
                          <w:pStyle w:val="TableParagraph"/>
                          <w:spacing w:before="50"/>
                          <w:ind w:left="251"/>
                          <w:jc w:val="left"/>
                          <w:rPr>
                            <w:sz w:val="16"/>
                          </w:rPr>
                        </w:pPr>
                        <w:r>
                          <w:rPr>
                            <w:color w:val="231F20"/>
                            <w:sz w:val="16"/>
                          </w:rPr>
                          <w:t>2.9</w:t>
                        </w:r>
                      </w:p>
                    </w:tc>
                    <w:tc>
                      <w:tcPr>
                        <w:tcW w:w="551" w:type="dxa"/>
                      </w:tcPr>
                      <w:p>
                        <w:pPr>
                          <w:pStyle w:val="TableParagraph"/>
                          <w:spacing w:before="50"/>
                          <w:ind w:right="30"/>
                          <w:rPr>
                            <w:sz w:val="16"/>
                          </w:rPr>
                        </w:pPr>
                        <w:r>
                          <w:rPr>
                            <w:color w:val="231F20"/>
                            <w:sz w:val="16"/>
                          </w:rPr>
                          <w:t>18.2</w:t>
                        </w:r>
                      </w:p>
                    </w:tc>
                    <w:tc>
                      <w:tcPr>
                        <w:tcW w:w="560" w:type="dxa"/>
                      </w:tcPr>
                      <w:p>
                        <w:pPr>
                          <w:pStyle w:val="TableParagraph"/>
                          <w:spacing w:before="50"/>
                          <w:ind w:right="43"/>
                          <w:rPr>
                            <w:sz w:val="16"/>
                          </w:rPr>
                        </w:pPr>
                        <w:r>
                          <w:rPr>
                            <w:color w:val="231F20"/>
                            <w:sz w:val="16"/>
                          </w:rPr>
                          <w:t>4.3</w:t>
                        </w:r>
                      </w:p>
                    </w:tc>
                    <w:tc>
                      <w:tcPr>
                        <w:tcW w:w="587" w:type="dxa"/>
                      </w:tcPr>
                      <w:p>
                        <w:pPr>
                          <w:pStyle w:val="TableParagraph"/>
                          <w:spacing w:before="50"/>
                          <w:ind w:left="100" w:right="74"/>
                          <w:rPr>
                            <w:sz w:val="16"/>
                          </w:rPr>
                        </w:pPr>
                        <w:r>
                          <w:rPr>
                            <w:color w:val="231F20"/>
                            <w:sz w:val="16"/>
                          </w:rPr>
                          <w:t>0.0</w:t>
                        </w:r>
                      </w:p>
                    </w:tc>
                    <w:tc>
                      <w:tcPr>
                        <w:tcW w:w="611" w:type="dxa"/>
                      </w:tcPr>
                      <w:p>
                        <w:pPr>
                          <w:pStyle w:val="TableParagraph"/>
                          <w:spacing w:before="50"/>
                          <w:ind w:left="57" w:right="24"/>
                          <w:rPr>
                            <w:sz w:val="16"/>
                          </w:rPr>
                        </w:pPr>
                        <w:r>
                          <w:rPr>
                            <w:color w:val="231F20"/>
                            <w:sz w:val="16"/>
                          </w:rPr>
                          <w:t>37.9</w:t>
                        </w:r>
                      </w:p>
                    </w:tc>
                    <w:tc>
                      <w:tcPr>
                        <w:tcW w:w="585" w:type="dxa"/>
                      </w:tcPr>
                      <w:p>
                        <w:pPr>
                          <w:pStyle w:val="TableParagraph"/>
                          <w:spacing w:before="50"/>
                          <w:ind w:left="131" w:right="206"/>
                          <w:rPr>
                            <w:sz w:val="16"/>
                          </w:rPr>
                        </w:pPr>
                        <w:r>
                          <w:rPr>
                            <w:color w:val="231F20"/>
                            <w:sz w:val="16"/>
                          </w:rPr>
                          <w:t>0.0</w:t>
                        </w:r>
                      </w:p>
                    </w:tc>
                    <w:tc>
                      <w:tcPr>
                        <w:tcW w:w="717" w:type="dxa"/>
                      </w:tcPr>
                      <w:p>
                        <w:pPr>
                          <w:pStyle w:val="TableParagraph"/>
                          <w:spacing w:before="50"/>
                          <w:ind w:left="67" w:right="37"/>
                          <w:rPr>
                            <w:sz w:val="16"/>
                          </w:rPr>
                        </w:pPr>
                        <w:r>
                          <w:rPr>
                            <w:color w:val="231F20"/>
                            <w:sz w:val="16"/>
                          </w:rPr>
                          <w:t>30.6</w:t>
                        </w:r>
                      </w:p>
                    </w:tc>
                    <w:tc>
                      <w:tcPr>
                        <w:tcW w:w="586" w:type="dxa"/>
                      </w:tcPr>
                      <w:p>
                        <w:pPr>
                          <w:pStyle w:val="TableParagraph"/>
                          <w:spacing w:before="50"/>
                          <w:ind w:left="117" w:right="16"/>
                          <w:rPr>
                            <w:sz w:val="16"/>
                          </w:rPr>
                        </w:pPr>
                        <w:r>
                          <w:rPr>
                            <w:color w:val="231F20"/>
                            <w:sz w:val="16"/>
                          </w:rPr>
                          <w:t>0.0</w:t>
                        </w:r>
                      </w:p>
                    </w:tc>
                    <w:tc>
                      <w:tcPr>
                        <w:tcW w:w="398" w:type="dxa"/>
                      </w:tcPr>
                      <w:p>
                        <w:pPr>
                          <w:pStyle w:val="TableParagraph"/>
                          <w:spacing w:before="50"/>
                          <w:ind w:left="113"/>
                          <w:jc w:val="left"/>
                          <w:rPr>
                            <w:sz w:val="16"/>
                          </w:rPr>
                        </w:pPr>
                        <w:r>
                          <w:rPr>
                            <w:color w:val="231F20"/>
                            <w:sz w:val="16"/>
                          </w:rPr>
                          <w:t>0.3</w:t>
                        </w:r>
                      </w:p>
                    </w:tc>
                    <w:tc>
                      <w:tcPr>
                        <w:tcW w:w="429" w:type="dxa"/>
                      </w:tcPr>
                      <w:p>
                        <w:pPr>
                          <w:pStyle w:val="TableParagraph"/>
                          <w:spacing w:before="50"/>
                          <w:ind w:left="98" w:right="-11"/>
                          <w:jc w:val="left"/>
                          <w:rPr>
                            <w:sz w:val="16"/>
                          </w:rPr>
                        </w:pPr>
                        <w:r>
                          <w:rPr>
                            <w:color w:val="231F20"/>
                            <w:sz w:val="16"/>
                          </w:rPr>
                          <w:t>100</w:t>
                        </w:r>
                      </w:p>
                    </w:tc>
                  </w:tr>
                  <w:tr>
                    <w:trPr>
                      <w:trHeight w:val="302" w:hRule="exact"/>
                    </w:trPr>
                    <w:tc>
                      <w:tcPr>
                        <w:tcW w:w="481" w:type="dxa"/>
                        <w:tcBorders>
                          <w:bottom w:val="single" w:sz="4" w:space="0" w:color="231F20"/>
                        </w:tcBorders>
                      </w:tcPr>
                      <w:p>
                        <w:pPr>
                          <w:pStyle w:val="TableParagraph"/>
                          <w:spacing w:before="31"/>
                          <w:ind w:left="41" w:right="72"/>
                          <w:rPr>
                            <w:rFonts w:ascii="Palatino Linotype"/>
                            <w:b/>
                            <w:sz w:val="16"/>
                          </w:rPr>
                        </w:pPr>
                        <w:r>
                          <w:rPr>
                            <w:rFonts w:ascii="Palatino Linotype"/>
                            <w:b/>
                            <w:color w:val="231F20"/>
                            <w:sz w:val="16"/>
                          </w:rPr>
                          <w:t>2013</w:t>
                        </w:r>
                      </w:p>
                    </w:tc>
                    <w:tc>
                      <w:tcPr>
                        <w:tcW w:w="444" w:type="dxa"/>
                        <w:tcBorders>
                          <w:bottom w:val="single" w:sz="4" w:space="0" w:color="231F20"/>
                        </w:tcBorders>
                      </w:tcPr>
                      <w:p>
                        <w:pPr>
                          <w:pStyle w:val="TableParagraph"/>
                          <w:spacing w:before="50"/>
                          <w:ind w:right="49"/>
                          <w:rPr>
                            <w:sz w:val="16"/>
                          </w:rPr>
                        </w:pPr>
                        <w:r>
                          <w:rPr>
                            <w:color w:val="231F20"/>
                            <w:sz w:val="16"/>
                          </w:rPr>
                          <w:t>0.0</w:t>
                        </w:r>
                      </w:p>
                    </w:tc>
                    <w:tc>
                      <w:tcPr>
                        <w:tcW w:w="553" w:type="dxa"/>
                        <w:tcBorders>
                          <w:bottom w:val="single" w:sz="4" w:space="0" w:color="231F20"/>
                        </w:tcBorders>
                      </w:tcPr>
                      <w:p>
                        <w:pPr>
                          <w:pStyle w:val="TableParagraph"/>
                          <w:spacing w:before="50"/>
                          <w:ind w:left="126" w:right="99"/>
                          <w:rPr>
                            <w:sz w:val="16"/>
                          </w:rPr>
                        </w:pPr>
                        <w:r>
                          <w:rPr>
                            <w:color w:val="231F20"/>
                            <w:sz w:val="16"/>
                          </w:rPr>
                          <w:t>6.2</w:t>
                        </w:r>
                      </w:p>
                    </w:tc>
                    <w:tc>
                      <w:tcPr>
                        <w:tcW w:w="675" w:type="dxa"/>
                        <w:tcBorders>
                          <w:bottom w:val="single" w:sz="4" w:space="0" w:color="231F20"/>
                        </w:tcBorders>
                      </w:tcPr>
                      <w:p>
                        <w:pPr>
                          <w:pStyle w:val="TableParagraph"/>
                          <w:spacing w:before="50"/>
                          <w:ind w:left="251"/>
                          <w:jc w:val="left"/>
                          <w:rPr>
                            <w:sz w:val="16"/>
                          </w:rPr>
                        </w:pPr>
                        <w:r>
                          <w:rPr>
                            <w:color w:val="231F20"/>
                            <w:sz w:val="16"/>
                          </w:rPr>
                          <w:t>3.6</w:t>
                        </w:r>
                      </w:p>
                    </w:tc>
                    <w:tc>
                      <w:tcPr>
                        <w:tcW w:w="551" w:type="dxa"/>
                        <w:tcBorders>
                          <w:bottom w:val="single" w:sz="4" w:space="0" w:color="231F20"/>
                        </w:tcBorders>
                      </w:tcPr>
                      <w:p>
                        <w:pPr>
                          <w:pStyle w:val="TableParagraph"/>
                          <w:spacing w:before="50"/>
                          <w:ind w:right="30"/>
                          <w:rPr>
                            <w:sz w:val="16"/>
                          </w:rPr>
                        </w:pPr>
                        <w:r>
                          <w:rPr>
                            <w:color w:val="231F20"/>
                            <w:sz w:val="16"/>
                          </w:rPr>
                          <w:t>19.3</w:t>
                        </w:r>
                      </w:p>
                    </w:tc>
                    <w:tc>
                      <w:tcPr>
                        <w:tcW w:w="560" w:type="dxa"/>
                        <w:tcBorders>
                          <w:bottom w:val="single" w:sz="4" w:space="0" w:color="231F20"/>
                        </w:tcBorders>
                      </w:tcPr>
                      <w:p>
                        <w:pPr>
                          <w:pStyle w:val="TableParagraph"/>
                          <w:spacing w:before="50"/>
                          <w:ind w:right="43"/>
                          <w:rPr>
                            <w:sz w:val="16"/>
                          </w:rPr>
                        </w:pPr>
                        <w:r>
                          <w:rPr>
                            <w:color w:val="231F20"/>
                            <w:sz w:val="16"/>
                          </w:rPr>
                          <w:t>5.6</w:t>
                        </w:r>
                      </w:p>
                    </w:tc>
                    <w:tc>
                      <w:tcPr>
                        <w:tcW w:w="587" w:type="dxa"/>
                        <w:tcBorders>
                          <w:bottom w:val="single" w:sz="4" w:space="0" w:color="231F20"/>
                        </w:tcBorders>
                      </w:tcPr>
                      <w:p>
                        <w:pPr>
                          <w:pStyle w:val="TableParagraph"/>
                          <w:spacing w:before="50"/>
                          <w:ind w:left="100" w:right="74"/>
                          <w:rPr>
                            <w:sz w:val="16"/>
                          </w:rPr>
                        </w:pPr>
                        <w:r>
                          <w:rPr>
                            <w:color w:val="231F20"/>
                            <w:sz w:val="16"/>
                          </w:rPr>
                          <w:t>0.0</w:t>
                        </w:r>
                      </w:p>
                    </w:tc>
                    <w:tc>
                      <w:tcPr>
                        <w:tcW w:w="611" w:type="dxa"/>
                        <w:tcBorders>
                          <w:bottom w:val="single" w:sz="4" w:space="0" w:color="231F20"/>
                        </w:tcBorders>
                      </w:tcPr>
                      <w:p>
                        <w:pPr>
                          <w:pStyle w:val="TableParagraph"/>
                          <w:spacing w:before="50"/>
                          <w:ind w:left="57" w:right="23"/>
                          <w:rPr>
                            <w:sz w:val="16"/>
                          </w:rPr>
                        </w:pPr>
                        <w:r>
                          <w:rPr>
                            <w:color w:val="231F20"/>
                            <w:sz w:val="16"/>
                          </w:rPr>
                          <w:t>47.1</w:t>
                        </w:r>
                      </w:p>
                    </w:tc>
                    <w:tc>
                      <w:tcPr>
                        <w:tcW w:w="585" w:type="dxa"/>
                        <w:tcBorders>
                          <w:bottom w:val="single" w:sz="4" w:space="0" w:color="231F20"/>
                        </w:tcBorders>
                      </w:tcPr>
                      <w:p>
                        <w:pPr>
                          <w:pStyle w:val="TableParagraph"/>
                          <w:spacing w:before="50"/>
                          <w:ind w:left="131" w:right="206"/>
                          <w:rPr>
                            <w:sz w:val="16"/>
                          </w:rPr>
                        </w:pPr>
                        <w:r>
                          <w:rPr>
                            <w:color w:val="231F20"/>
                            <w:sz w:val="16"/>
                          </w:rPr>
                          <w:t>0.0</w:t>
                        </w:r>
                      </w:p>
                    </w:tc>
                    <w:tc>
                      <w:tcPr>
                        <w:tcW w:w="717" w:type="dxa"/>
                        <w:tcBorders>
                          <w:bottom w:val="single" w:sz="4" w:space="0" w:color="231F20"/>
                        </w:tcBorders>
                      </w:tcPr>
                      <w:p>
                        <w:pPr>
                          <w:pStyle w:val="TableParagraph"/>
                          <w:spacing w:before="50"/>
                          <w:ind w:left="67" w:right="37"/>
                          <w:rPr>
                            <w:sz w:val="16"/>
                          </w:rPr>
                        </w:pPr>
                        <w:r>
                          <w:rPr>
                            <w:color w:val="231F20"/>
                            <w:sz w:val="16"/>
                          </w:rPr>
                          <w:t>17.9</w:t>
                        </w:r>
                      </w:p>
                    </w:tc>
                    <w:tc>
                      <w:tcPr>
                        <w:tcW w:w="586" w:type="dxa"/>
                        <w:tcBorders>
                          <w:bottom w:val="single" w:sz="4" w:space="0" w:color="231F20"/>
                        </w:tcBorders>
                      </w:tcPr>
                      <w:p>
                        <w:pPr>
                          <w:pStyle w:val="TableParagraph"/>
                          <w:spacing w:before="50"/>
                          <w:ind w:left="118" w:right="16"/>
                          <w:rPr>
                            <w:sz w:val="16"/>
                          </w:rPr>
                        </w:pPr>
                        <w:r>
                          <w:rPr>
                            <w:color w:val="231F20"/>
                            <w:sz w:val="16"/>
                          </w:rPr>
                          <w:t>0.0</w:t>
                        </w:r>
                      </w:p>
                    </w:tc>
                    <w:tc>
                      <w:tcPr>
                        <w:tcW w:w="398" w:type="dxa"/>
                        <w:tcBorders>
                          <w:bottom w:val="single" w:sz="4" w:space="0" w:color="231F20"/>
                        </w:tcBorders>
                      </w:tcPr>
                      <w:p>
                        <w:pPr>
                          <w:pStyle w:val="TableParagraph"/>
                          <w:spacing w:before="50"/>
                          <w:ind w:left="113"/>
                          <w:jc w:val="left"/>
                          <w:rPr>
                            <w:sz w:val="16"/>
                          </w:rPr>
                        </w:pPr>
                        <w:r>
                          <w:rPr>
                            <w:color w:val="231F20"/>
                            <w:sz w:val="16"/>
                          </w:rPr>
                          <w:t>0.3</w:t>
                        </w:r>
                      </w:p>
                    </w:tc>
                    <w:tc>
                      <w:tcPr>
                        <w:tcW w:w="429" w:type="dxa"/>
                        <w:tcBorders>
                          <w:bottom w:val="single" w:sz="4" w:space="0" w:color="231F20"/>
                        </w:tcBorders>
                      </w:tcPr>
                      <w:p>
                        <w:pPr>
                          <w:pStyle w:val="TableParagraph"/>
                          <w:spacing w:before="50"/>
                          <w:ind w:left="98" w:right="-11"/>
                          <w:jc w:val="left"/>
                          <w:rPr>
                            <w:sz w:val="16"/>
                          </w:rPr>
                        </w:pPr>
                        <w:r>
                          <w:rPr>
                            <w:color w:val="231F20"/>
                            <w:sz w:val="16"/>
                          </w:rPr>
                          <w:t>100</w:t>
                        </w:r>
                      </w:p>
                    </w:tc>
                  </w:tr>
                </w:tbl>
                <w:p>
                  <w:pPr>
                    <w:pStyle w:val="BodyText"/>
                  </w:pPr>
                </w:p>
              </w:txbxContent>
            </v:textbox>
            <w10:wrap type="none"/>
          </v:shape>
        </w:pict>
      </w:r>
      <w:r>
        <w:rPr>
          <w:rFonts w:ascii="Palatino Linotype"/>
          <w:b/>
          <w:color w:val="231F20"/>
          <w:w w:val="95"/>
          <w:sz w:val="16"/>
        </w:rPr>
        <w:t>Ford</w:t>
      </w:r>
    </w:p>
    <w:p>
      <w:pPr>
        <w:spacing w:before="101"/>
        <w:ind w:left="122" w:right="-14" w:firstLine="0"/>
        <w:jc w:val="left"/>
        <w:rPr>
          <w:rFonts w:ascii="Palatino Linotype"/>
          <w:b/>
          <w:sz w:val="16"/>
        </w:rPr>
      </w:pPr>
      <w:r>
        <w:rPr/>
        <w:br w:type="column"/>
      </w:r>
      <w:r>
        <w:rPr>
          <w:rFonts w:ascii="Palatino Linotype"/>
          <w:b/>
          <w:color w:val="231F20"/>
          <w:w w:val="90"/>
          <w:sz w:val="16"/>
        </w:rPr>
        <w:t>General</w:t>
      </w:r>
    </w:p>
    <w:p>
      <w:pPr>
        <w:spacing w:before="101"/>
        <w:ind w:left="536" w:right="0" w:firstLine="0"/>
        <w:jc w:val="left"/>
        <w:rPr>
          <w:rFonts w:ascii="Palatino Linotype"/>
          <w:b/>
          <w:sz w:val="16"/>
        </w:rPr>
      </w:pPr>
      <w:r>
        <w:rPr/>
        <w:br w:type="column"/>
      </w:r>
      <w:r>
        <w:rPr>
          <w:rFonts w:ascii="Palatino Linotype"/>
          <w:b/>
          <w:color w:val="231F20"/>
          <w:sz w:val="16"/>
        </w:rPr>
        <w:t>Mercedes</w:t>
      </w:r>
    </w:p>
    <w:p>
      <w:pPr>
        <w:spacing w:after="0"/>
        <w:jc w:val="left"/>
        <w:rPr>
          <w:rFonts w:ascii="Palatino Linotype"/>
          <w:sz w:val="16"/>
        </w:rPr>
        <w:sectPr>
          <w:type w:val="continuous"/>
          <w:pgSz w:w="9640" w:h="13040"/>
          <w:pgMar w:top="1200" w:bottom="280" w:left="480" w:right="1200"/>
          <w:cols w:num="3" w:equalWidth="0">
            <w:col w:w="2635" w:space="40"/>
            <w:col w:w="656" w:space="40"/>
            <w:col w:w="4589"/>
          </w:cols>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2"/>
        <w:rPr>
          <w:rFonts w:ascii="Palatino Linotype"/>
          <w:b/>
          <w:sz w:val="14"/>
        </w:rPr>
      </w:pPr>
    </w:p>
    <w:p>
      <w:pPr>
        <w:spacing w:before="38"/>
        <w:ind w:left="653" w:right="673" w:firstLine="0"/>
        <w:jc w:val="left"/>
        <w:rPr>
          <w:sz w:val="20"/>
        </w:rPr>
      </w:pPr>
      <w:r>
        <w:rPr>
          <w:rFonts w:ascii="Palatino Linotype" w:hAnsi="Palatino Linotype"/>
          <w:i/>
          <w:color w:val="231F20"/>
          <w:sz w:val="20"/>
        </w:rPr>
        <w:t>Fuente: </w:t>
      </w:r>
      <w:r>
        <w:rPr>
          <w:color w:val="231F20"/>
          <w:sz w:val="20"/>
        </w:rPr>
        <w:t>Elaboración propia con datos de AMIA (2014).</w:t>
      </w:r>
    </w:p>
    <w:p>
      <w:pPr>
        <w:spacing w:after="0"/>
        <w:jc w:val="left"/>
        <w:rPr>
          <w:sz w:val="20"/>
        </w:rPr>
        <w:sectPr>
          <w:type w:val="continuous"/>
          <w:pgSz w:w="9640" w:h="13040"/>
          <w:pgMar w:top="1200" w:bottom="280" w:left="480" w:right="1200"/>
        </w:sectPr>
      </w:pPr>
    </w:p>
    <w:p>
      <w:pPr>
        <w:pStyle w:val="BodyText"/>
        <w:rPr>
          <w:sz w:val="20"/>
        </w:rPr>
      </w:pPr>
    </w:p>
    <w:p>
      <w:pPr>
        <w:pStyle w:val="BodyText"/>
        <w:spacing w:before="10"/>
        <w:rPr>
          <w:sz w:val="17"/>
        </w:rPr>
      </w:pPr>
    </w:p>
    <w:p>
      <w:pPr>
        <w:pStyle w:val="BodyText"/>
        <w:spacing w:line="278" w:lineRule="auto"/>
        <w:ind w:left="123" w:right="651"/>
        <w:jc w:val="both"/>
      </w:pPr>
      <w:r>
        <w:rPr>
          <w:color w:val="231F20"/>
          <w:spacing w:val="-3"/>
        </w:rPr>
        <w:t>Por </w:t>
      </w:r>
      <w:r>
        <w:rPr>
          <w:color w:val="231F20"/>
        </w:rPr>
        <w:t>lo que se refiere a la producción para exportación, la situación ha sido muy simi- lar: claramente sobresalen Ford y General Motors, empresas que en 2013 produjeron en conjunto 42% del total de vehículos destinados al mercado internacional (véase cuadro III.5). Si se consideran las dos últimas décadas, también se observan cambios significativos en la estructura de la producción por empresa. Chrysler y Ford han dis- minuido de manera importante su participación, mientras que Nissan </w:t>
      </w:r>
      <w:r>
        <w:rPr>
          <w:color w:val="231F20"/>
          <w:spacing w:val="-8"/>
        </w:rPr>
        <w:t>y, </w:t>
      </w:r>
      <w:r>
        <w:rPr>
          <w:color w:val="231F20"/>
        </w:rPr>
        <w:t>sobre todo, Volkswagen</w:t>
      </w:r>
      <w:r>
        <w:rPr>
          <w:color w:val="231F20"/>
          <w:spacing w:val="-4"/>
        </w:rPr>
        <w:t> </w:t>
      </w:r>
      <w:r>
        <w:rPr>
          <w:color w:val="231F20"/>
        </w:rPr>
        <w:t>se</w:t>
      </w:r>
      <w:r>
        <w:rPr>
          <w:color w:val="231F20"/>
          <w:spacing w:val="-4"/>
        </w:rPr>
        <w:t> </w:t>
      </w:r>
      <w:r>
        <w:rPr>
          <w:color w:val="231F20"/>
        </w:rPr>
        <w:t>han</w:t>
      </w:r>
      <w:r>
        <w:rPr>
          <w:color w:val="231F20"/>
          <w:spacing w:val="-4"/>
        </w:rPr>
        <w:t> </w:t>
      </w:r>
      <w:r>
        <w:rPr>
          <w:color w:val="231F20"/>
        </w:rPr>
        <w:t>consolidado</w:t>
      </w:r>
      <w:r>
        <w:rPr>
          <w:color w:val="231F20"/>
          <w:spacing w:val="-4"/>
        </w:rPr>
        <w:t> </w:t>
      </w:r>
      <w:r>
        <w:rPr>
          <w:color w:val="231F20"/>
        </w:rPr>
        <w:t>como</w:t>
      </w:r>
      <w:r>
        <w:rPr>
          <w:color w:val="231F20"/>
          <w:spacing w:val="-4"/>
        </w:rPr>
        <w:t> </w:t>
      </w:r>
      <w:r>
        <w:rPr>
          <w:color w:val="231F20"/>
        </w:rPr>
        <w:t>importantes</w:t>
      </w:r>
      <w:r>
        <w:rPr>
          <w:color w:val="231F20"/>
          <w:spacing w:val="-4"/>
        </w:rPr>
        <w:t> </w:t>
      </w:r>
      <w:r>
        <w:rPr>
          <w:color w:val="231F20"/>
        </w:rPr>
        <w:t>productores</w:t>
      </w:r>
      <w:r>
        <w:rPr>
          <w:color w:val="231F20"/>
          <w:spacing w:val="-4"/>
        </w:rPr>
        <w:t> </w:t>
      </w:r>
      <w:r>
        <w:rPr>
          <w:color w:val="231F20"/>
        </w:rPr>
        <w:t>para</w:t>
      </w:r>
      <w:r>
        <w:rPr>
          <w:color w:val="231F20"/>
          <w:spacing w:val="-4"/>
        </w:rPr>
        <w:t> </w:t>
      </w:r>
      <w:r>
        <w:rPr>
          <w:color w:val="231F20"/>
        </w:rPr>
        <w:t>el</w:t>
      </w:r>
      <w:r>
        <w:rPr>
          <w:color w:val="231F20"/>
          <w:spacing w:val="-4"/>
        </w:rPr>
        <w:t> </w:t>
      </w:r>
      <w:r>
        <w:rPr>
          <w:color w:val="231F20"/>
        </w:rPr>
        <w:t>mercado</w:t>
      </w:r>
      <w:r>
        <w:rPr>
          <w:color w:val="231F20"/>
          <w:spacing w:val="-4"/>
        </w:rPr>
        <w:t> </w:t>
      </w:r>
      <w:r>
        <w:rPr>
          <w:color w:val="231F20"/>
        </w:rPr>
        <w:t>inter- nacional:</w:t>
      </w:r>
      <w:r>
        <w:rPr>
          <w:color w:val="231F20"/>
          <w:spacing w:val="-9"/>
        </w:rPr>
        <w:t> </w:t>
      </w:r>
      <w:r>
        <w:rPr>
          <w:color w:val="231F20"/>
        </w:rPr>
        <w:t>Volkswagen</w:t>
      </w:r>
      <w:r>
        <w:rPr>
          <w:color w:val="231F20"/>
          <w:spacing w:val="-9"/>
        </w:rPr>
        <w:t> </w:t>
      </w:r>
      <w:r>
        <w:rPr>
          <w:color w:val="231F20"/>
        </w:rPr>
        <w:t>pasó</w:t>
      </w:r>
      <w:r>
        <w:rPr>
          <w:color w:val="231F20"/>
          <w:spacing w:val="-9"/>
        </w:rPr>
        <w:t> </w:t>
      </w:r>
      <w:r>
        <w:rPr>
          <w:color w:val="231F20"/>
        </w:rPr>
        <w:t>de</w:t>
      </w:r>
      <w:r>
        <w:rPr>
          <w:color w:val="231F20"/>
          <w:spacing w:val="-9"/>
        </w:rPr>
        <w:t> </w:t>
      </w:r>
      <w:r>
        <w:rPr>
          <w:color w:val="231F20"/>
        </w:rPr>
        <w:t>producir</w:t>
      </w:r>
      <w:r>
        <w:rPr>
          <w:color w:val="231F20"/>
          <w:spacing w:val="-9"/>
        </w:rPr>
        <w:t> </w:t>
      </w:r>
      <w:r>
        <w:rPr>
          <w:color w:val="231F20"/>
        </w:rPr>
        <w:t>sólo</w:t>
      </w:r>
      <w:r>
        <w:rPr>
          <w:color w:val="231F20"/>
          <w:spacing w:val="-9"/>
        </w:rPr>
        <w:t> </w:t>
      </w:r>
      <w:r>
        <w:rPr>
          <w:color w:val="231F20"/>
        </w:rPr>
        <w:t>el</w:t>
      </w:r>
      <w:r>
        <w:rPr>
          <w:color w:val="231F20"/>
          <w:spacing w:val="-9"/>
        </w:rPr>
        <w:t> </w:t>
      </w:r>
      <w:r>
        <w:rPr>
          <w:color w:val="231F20"/>
        </w:rPr>
        <w:t>0.4%</w:t>
      </w:r>
      <w:r>
        <w:rPr>
          <w:color w:val="231F20"/>
          <w:spacing w:val="-9"/>
        </w:rPr>
        <w:t> </w:t>
      </w:r>
      <w:r>
        <w:rPr>
          <w:color w:val="231F20"/>
        </w:rPr>
        <w:t>de</w:t>
      </w:r>
      <w:r>
        <w:rPr>
          <w:color w:val="231F20"/>
          <w:spacing w:val="-9"/>
        </w:rPr>
        <w:t> </w:t>
      </w:r>
      <w:r>
        <w:rPr>
          <w:color w:val="231F20"/>
        </w:rPr>
        <w:t>los</w:t>
      </w:r>
      <w:r>
        <w:rPr>
          <w:color w:val="231F20"/>
          <w:spacing w:val="-9"/>
        </w:rPr>
        <w:t> </w:t>
      </w:r>
      <w:r>
        <w:rPr>
          <w:color w:val="231F20"/>
        </w:rPr>
        <w:t>vehículos</w:t>
      </w:r>
      <w:r>
        <w:rPr>
          <w:color w:val="231F20"/>
          <w:spacing w:val="-9"/>
        </w:rPr>
        <w:t> </w:t>
      </w:r>
      <w:r>
        <w:rPr>
          <w:color w:val="231F20"/>
        </w:rPr>
        <w:t>para</w:t>
      </w:r>
      <w:r>
        <w:rPr>
          <w:color w:val="231F20"/>
          <w:spacing w:val="-9"/>
        </w:rPr>
        <w:t> </w:t>
      </w:r>
      <w:r>
        <w:rPr>
          <w:color w:val="231F20"/>
        </w:rPr>
        <w:t>exportación en</w:t>
      </w:r>
      <w:r>
        <w:rPr>
          <w:color w:val="231F20"/>
          <w:spacing w:val="-5"/>
        </w:rPr>
        <w:t> </w:t>
      </w:r>
      <w:r>
        <w:rPr>
          <w:color w:val="231F20"/>
        </w:rPr>
        <w:t>1988</w:t>
      </w:r>
      <w:r>
        <w:rPr>
          <w:color w:val="231F20"/>
          <w:spacing w:val="-5"/>
        </w:rPr>
        <w:t> </w:t>
      </w:r>
      <w:r>
        <w:rPr>
          <w:color w:val="231F20"/>
        </w:rPr>
        <w:t>a</w:t>
      </w:r>
      <w:r>
        <w:rPr>
          <w:color w:val="231F20"/>
          <w:spacing w:val="-5"/>
        </w:rPr>
        <w:t> </w:t>
      </w:r>
      <w:r>
        <w:rPr>
          <w:color w:val="231F20"/>
        </w:rPr>
        <w:t>producir</w:t>
      </w:r>
      <w:r>
        <w:rPr>
          <w:color w:val="231F20"/>
          <w:spacing w:val="-5"/>
        </w:rPr>
        <w:t> </w:t>
      </w:r>
      <w:r>
        <w:rPr>
          <w:color w:val="231F20"/>
        </w:rPr>
        <w:t>el</w:t>
      </w:r>
      <w:r>
        <w:rPr>
          <w:color w:val="231F20"/>
          <w:spacing w:val="-5"/>
        </w:rPr>
        <w:t> </w:t>
      </w:r>
      <w:r>
        <w:rPr>
          <w:color w:val="231F20"/>
        </w:rPr>
        <w:t>17.1%</w:t>
      </w:r>
      <w:r>
        <w:rPr>
          <w:color w:val="231F20"/>
          <w:spacing w:val="-5"/>
        </w:rPr>
        <w:t> </w:t>
      </w:r>
      <w:r>
        <w:rPr>
          <w:color w:val="231F20"/>
        </w:rPr>
        <w:t>en</w:t>
      </w:r>
      <w:r>
        <w:rPr>
          <w:color w:val="231F20"/>
          <w:spacing w:val="-5"/>
        </w:rPr>
        <w:t> </w:t>
      </w:r>
      <w:r>
        <w:rPr>
          <w:color w:val="231F20"/>
        </w:rPr>
        <w:t>2013</w:t>
      </w:r>
      <w:r>
        <w:rPr>
          <w:color w:val="231F20"/>
          <w:spacing w:val="-5"/>
        </w:rPr>
        <w:t> </w:t>
      </w:r>
      <w:r>
        <w:rPr>
          <w:color w:val="231F20"/>
        </w:rPr>
        <w:t>(véase</w:t>
      </w:r>
      <w:r>
        <w:rPr>
          <w:color w:val="231F20"/>
          <w:spacing w:val="-5"/>
        </w:rPr>
        <w:t> </w:t>
      </w:r>
      <w:r>
        <w:rPr>
          <w:color w:val="231F20"/>
        </w:rPr>
        <w:t>cuadro</w:t>
      </w:r>
      <w:r>
        <w:rPr>
          <w:color w:val="231F20"/>
          <w:spacing w:val="-5"/>
        </w:rPr>
        <w:t> </w:t>
      </w:r>
      <w:r>
        <w:rPr>
          <w:color w:val="231F20"/>
        </w:rPr>
        <w:t>III.5).</w:t>
      </w:r>
    </w:p>
    <w:p>
      <w:pPr>
        <w:pStyle w:val="BodyText"/>
        <w:spacing w:before="8"/>
        <w:rPr>
          <w:sz w:val="17"/>
        </w:rPr>
      </w:pPr>
    </w:p>
    <w:p>
      <w:pPr>
        <w:pStyle w:val="Heading4"/>
        <w:ind w:left="159" w:right="686"/>
      </w:pPr>
      <w:r>
        <w:rPr>
          <w:color w:val="231F20"/>
          <w:w w:val="95"/>
        </w:rPr>
        <w:t>Cuadro III.5</w:t>
      </w:r>
    </w:p>
    <w:p>
      <w:pPr>
        <w:spacing w:line="282" w:lineRule="exact" w:before="0"/>
        <w:ind w:left="159" w:right="686" w:firstLine="0"/>
        <w:jc w:val="center"/>
        <w:rPr>
          <w:rFonts w:ascii="Palatino Linotype" w:hAnsi="Palatino Linotype"/>
          <w:b/>
          <w:sz w:val="21"/>
        </w:rPr>
      </w:pPr>
      <w:r>
        <w:rPr>
          <w:rFonts w:ascii="Palatino Linotype" w:hAnsi="Palatino Linotype"/>
          <w:b/>
          <w:color w:val="231F20"/>
          <w:w w:val="95"/>
          <w:sz w:val="21"/>
        </w:rPr>
        <w:t>Producción por empresa para mercado de exportación, 1988-2013</w:t>
      </w:r>
    </w:p>
    <w:p>
      <w:pPr>
        <w:spacing w:before="17"/>
        <w:ind w:left="159" w:right="686" w:firstLine="0"/>
        <w:jc w:val="center"/>
        <w:rPr>
          <w:rFonts w:ascii="Palatino Linotype"/>
          <w:b/>
          <w:sz w:val="19"/>
        </w:rPr>
      </w:pPr>
      <w:r>
        <w:rPr>
          <w:rFonts w:ascii="Palatino Linotype"/>
          <w:b/>
          <w:color w:val="231F20"/>
          <w:sz w:val="19"/>
        </w:rPr>
        <w:t>(Porcentaje)</w:t>
      </w:r>
    </w:p>
    <w:p>
      <w:pPr>
        <w:pStyle w:val="BodyText"/>
        <w:spacing w:before="4"/>
        <w:rPr>
          <w:rFonts w:ascii="Palatino Linotype"/>
          <w:b/>
          <w:sz w:val="14"/>
        </w:rPr>
      </w:pPr>
    </w:p>
    <w:p>
      <w:pPr>
        <w:pStyle w:val="BodyText"/>
        <w:spacing w:line="20" w:lineRule="exact"/>
        <w:ind w:left="118"/>
        <w:rPr>
          <w:rFonts w:ascii="Palatino Linotype"/>
          <w:sz w:val="2"/>
        </w:rPr>
      </w:pPr>
      <w:r>
        <w:rPr>
          <w:rFonts w:ascii="Palatino Linotype"/>
          <w:sz w:val="2"/>
        </w:rPr>
        <w:pict>
          <v:group style="width:360.4pt;height:.5pt;mso-position-horizontal-relative:char;mso-position-vertical-relative:line" coordorigin="0,0" coordsize="7208,10">
            <v:line style="position:absolute" from="5,5" to="785,5" stroked="true" strokeweight=".5pt" strokecolor="#231f20"/>
            <v:line style="position:absolute" from="785,5" to="1536,5" stroked="true" strokeweight=".5pt" strokecolor="#231f20"/>
            <v:line style="position:absolute" from="1536,5" to="2287,5" stroked="true" strokeweight=".5pt" strokecolor="#231f20"/>
            <v:line style="position:absolute" from="2287,5" to="2967,5" stroked="true" strokeweight=".5pt" strokecolor="#231f20"/>
            <v:line style="position:absolute" from="2967,5" to="3605,5" stroked="true" strokeweight=".5pt" strokecolor="#231f20"/>
            <v:line style="position:absolute" from="3605,5" to="4271,5" stroked="true" strokeweight=".5pt" strokecolor="#231f20"/>
            <v:line style="position:absolute" from="4271,5" to="5348,5" stroked="true" strokeweight=".5pt" strokecolor="#231f20"/>
            <v:line style="position:absolute" from="5348,5" to="5929,5" stroked="true" strokeweight=".5pt" strokecolor="#231f20"/>
            <v:line style="position:absolute" from="5929,5" to="6502,5" stroked="true" strokeweight=".5pt" strokecolor="#231f20"/>
            <v:line style="position:absolute" from="6502,5" to="7202,5" stroked="true" strokeweight=".5pt" strokecolor="#231f20"/>
          </v:group>
        </w:pict>
      </w:r>
      <w:r>
        <w:rPr>
          <w:rFonts w:ascii="Palatino Linotype"/>
          <w:sz w:val="2"/>
        </w:rPr>
      </w:r>
    </w:p>
    <w:p>
      <w:pPr>
        <w:spacing w:after="0" w:line="20" w:lineRule="exact"/>
        <w:rPr>
          <w:rFonts w:ascii="Palatino Linotype"/>
          <w:sz w:val="2"/>
        </w:rPr>
        <w:sectPr>
          <w:pgSz w:w="9640" w:h="13040"/>
          <w:pgMar w:header="520" w:footer="654" w:top="880" w:bottom="840" w:left="1180" w:right="480"/>
        </w:sectPr>
      </w:pPr>
    </w:p>
    <w:p>
      <w:pPr>
        <w:spacing w:before="106"/>
        <w:ind w:left="156" w:right="-14" w:firstLine="0"/>
        <w:jc w:val="left"/>
        <w:rPr>
          <w:rFonts w:ascii="Palatino Linotype"/>
          <w:b/>
          <w:sz w:val="18"/>
        </w:rPr>
      </w:pPr>
      <w:r>
        <w:rPr/>
        <w:pict>
          <v:shape style="position:absolute;margin-left:65.196899pt;margin-top:13.100022pt;width:359.9pt;height:318.650pt;mso-position-horizontal-relative:page;mso-position-vertical-relative:paragraph;z-index:834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6"/>
                    <w:gridCol w:w="743"/>
                    <w:gridCol w:w="733"/>
                    <w:gridCol w:w="735"/>
                    <w:gridCol w:w="611"/>
                    <w:gridCol w:w="670"/>
                    <w:gridCol w:w="1028"/>
                    <w:gridCol w:w="668"/>
                    <w:gridCol w:w="529"/>
                    <w:gridCol w:w="692"/>
                  </w:tblGrid>
                  <w:tr>
                    <w:trPr>
                      <w:trHeight w:val="180" w:hRule="exact"/>
                    </w:trPr>
                    <w:tc>
                      <w:tcPr>
                        <w:tcW w:w="3610" w:type="dxa"/>
                        <w:gridSpan w:val="5"/>
                      </w:tcPr>
                      <w:p>
                        <w:pPr>
                          <w:pStyle w:val="TableParagraph"/>
                          <w:tabs>
                            <w:tab w:pos="842" w:val="left" w:leader="none"/>
                            <w:tab w:pos="1678" w:val="left" w:leader="none"/>
                            <w:tab w:pos="2361" w:val="left" w:leader="none"/>
                          </w:tabs>
                          <w:spacing w:line="220" w:lineRule="exact"/>
                          <w:ind w:left="228"/>
                          <w:jc w:val="left"/>
                          <w:rPr>
                            <w:sz w:val="18"/>
                          </w:rPr>
                        </w:pPr>
                        <w:r>
                          <w:rPr>
                            <w:rFonts w:ascii="Palatino Linotype" w:hAnsi="Palatino Linotype"/>
                            <w:b/>
                            <w:color w:val="231F20"/>
                            <w:position w:val="-9"/>
                            <w:sz w:val="18"/>
                          </w:rPr>
                          <w:t>Año</w:t>
                          <w:tab/>
                        </w:r>
                        <w:r>
                          <w:rPr>
                            <w:color w:val="231F20"/>
                            <w:sz w:val="18"/>
                          </w:rPr>
                          <w:t>Chrysler</w:t>
                          <w:tab/>
                        </w:r>
                        <w:r>
                          <w:rPr>
                            <w:color w:val="231F20"/>
                            <w:spacing w:val="-3"/>
                            <w:sz w:val="18"/>
                          </w:rPr>
                          <w:t>Motor</w:t>
                          <w:tab/>
                        </w:r>
                        <w:r>
                          <w:rPr>
                            <w:color w:val="231F20"/>
                            <w:spacing w:val="-3"/>
                            <w:position w:val="-9"/>
                            <w:sz w:val="18"/>
                          </w:rPr>
                          <w:t>Motors   </w:t>
                        </w:r>
                        <w:r>
                          <w:rPr>
                            <w:color w:val="231F20"/>
                            <w:spacing w:val="9"/>
                            <w:position w:val="-9"/>
                            <w:sz w:val="18"/>
                          </w:rPr>
                          <w:t> </w:t>
                        </w:r>
                        <w:r>
                          <w:rPr>
                            <w:color w:val="231F20"/>
                            <w:sz w:val="18"/>
                          </w:rPr>
                          <w:t>Honda</w:t>
                        </w:r>
                      </w:p>
                    </w:tc>
                    <w:tc>
                      <w:tcPr>
                        <w:tcW w:w="670" w:type="dxa"/>
                      </w:tcPr>
                      <w:p>
                        <w:pPr>
                          <w:pStyle w:val="TableParagraph"/>
                          <w:spacing w:line="171" w:lineRule="exact"/>
                          <w:ind w:left="59" w:right="79"/>
                          <w:rPr>
                            <w:sz w:val="18"/>
                          </w:rPr>
                        </w:pPr>
                        <w:r>
                          <w:rPr>
                            <w:color w:val="231F20"/>
                            <w:sz w:val="18"/>
                          </w:rPr>
                          <w:t>Nissan</w:t>
                        </w:r>
                      </w:p>
                    </w:tc>
                    <w:tc>
                      <w:tcPr>
                        <w:tcW w:w="1028" w:type="dxa"/>
                      </w:tcPr>
                      <w:p>
                        <w:pPr>
                          <w:pStyle w:val="TableParagraph"/>
                          <w:spacing w:line="171" w:lineRule="exact"/>
                          <w:ind w:left="54" w:right="33"/>
                          <w:rPr>
                            <w:sz w:val="18"/>
                          </w:rPr>
                        </w:pPr>
                        <w:r>
                          <w:rPr>
                            <w:color w:val="231F20"/>
                            <w:sz w:val="18"/>
                          </w:rPr>
                          <w:t>Volkswagen</w:t>
                        </w:r>
                      </w:p>
                    </w:tc>
                    <w:tc>
                      <w:tcPr>
                        <w:tcW w:w="668" w:type="dxa"/>
                      </w:tcPr>
                      <w:p>
                        <w:pPr>
                          <w:pStyle w:val="TableParagraph"/>
                          <w:spacing w:line="171" w:lineRule="exact"/>
                          <w:ind w:left="52" w:right="65"/>
                          <w:rPr>
                            <w:sz w:val="18"/>
                          </w:rPr>
                        </w:pPr>
                        <w:r>
                          <w:rPr>
                            <w:color w:val="231F20"/>
                            <w:sz w:val="18"/>
                          </w:rPr>
                          <w:t>Toyota</w:t>
                        </w:r>
                      </w:p>
                    </w:tc>
                    <w:tc>
                      <w:tcPr>
                        <w:tcW w:w="529" w:type="dxa"/>
                      </w:tcPr>
                      <w:p>
                        <w:pPr>
                          <w:pStyle w:val="TableParagraph"/>
                          <w:spacing w:line="171" w:lineRule="exact"/>
                          <w:ind w:left="97"/>
                          <w:jc w:val="left"/>
                          <w:rPr>
                            <w:sz w:val="18"/>
                          </w:rPr>
                        </w:pPr>
                        <w:r>
                          <w:rPr>
                            <w:color w:val="231F20"/>
                            <w:sz w:val="18"/>
                          </w:rPr>
                          <w:t>Fiat</w:t>
                        </w:r>
                      </w:p>
                    </w:tc>
                    <w:tc>
                      <w:tcPr>
                        <w:tcW w:w="692" w:type="dxa"/>
                      </w:tcPr>
                      <w:p>
                        <w:pPr>
                          <w:pStyle w:val="TableParagraph"/>
                          <w:spacing w:line="171" w:lineRule="exact"/>
                          <w:ind w:left="133" w:right="138"/>
                          <w:rPr>
                            <w:sz w:val="18"/>
                          </w:rPr>
                        </w:pPr>
                        <w:r>
                          <w:rPr>
                            <w:color w:val="231F20"/>
                            <w:sz w:val="18"/>
                          </w:rPr>
                          <w:t>Total</w:t>
                        </w:r>
                      </w:p>
                    </w:tc>
                  </w:tr>
                  <w:tr>
                    <w:trPr>
                      <w:trHeight w:val="230" w:hRule="exact"/>
                    </w:trPr>
                    <w:tc>
                      <w:tcPr>
                        <w:tcW w:w="786" w:type="dxa"/>
                        <w:tcBorders>
                          <w:bottom w:val="single" w:sz="4" w:space="0" w:color="231F20"/>
                        </w:tcBorders>
                      </w:tcPr>
                      <w:p>
                        <w:pPr/>
                      </w:p>
                    </w:tc>
                    <w:tc>
                      <w:tcPr>
                        <w:tcW w:w="743" w:type="dxa"/>
                        <w:tcBorders>
                          <w:bottom w:val="single" w:sz="4" w:space="0" w:color="231F20"/>
                        </w:tcBorders>
                      </w:tcPr>
                      <w:p>
                        <w:pPr/>
                      </w:p>
                    </w:tc>
                    <w:tc>
                      <w:tcPr>
                        <w:tcW w:w="733" w:type="dxa"/>
                        <w:tcBorders>
                          <w:bottom w:val="single" w:sz="4" w:space="0" w:color="231F20"/>
                        </w:tcBorders>
                      </w:tcPr>
                      <w:p>
                        <w:pPr>
                          <w:pStyle w:val="TableParagraph"/>
                          <w:spacing w:line="171" w:lineRule="exact"/>
                          <w:ind w:left="193" w:right="179"/>
                          <w:rPr>
                            <w:sz w:val="18"/>
                          </w:rPr>
                        </w:pPr>
                        <w:r>
                          <w:rPr>
                            <w:color w:val="231F20"/>
                            <w:sz w:val="18"/>
                          </w:rPr>
                          <w:t>Co.</w:t>
                        </w:r>
                      </w:p>
                    </w:tc>
                    <w:tc>
                      <w:tcPr>
                        <w:tcW w:w="735" w:type="dxa"/>
                        <w:tcBorders>
                          <w:bottom w:val="single" w:sz="4" w:space="0" w:color="231F20"/>
                        </w:tcBorders>
                      </w:tcPr>
                      <w:p>
                        <w:pPr/>
                      </w:p>
                    </w:tc>
                    <w:tc>
                      <w:tcPr>
                        <w:tcW w:w="611" w:type="dxa"/>
                        <w:tcBorders>
                          <w:bottom w:val="single" w:sz="4" w:space="0" w:color="231F20"/>
                        </w:tcBorders>
                      </w:tcPr>
                      <w:p>
                        <w:pPr/>
                      </w:p>
                    </w:tc>
                    <w:tc>
                      <w:tcPr>
                        <w:tcW w:w="670" w:type="dxa"/>
                        <w:tcBorders>
                          <w:bottom w:val="single" w:sz="4" w:space="0" w:color="231F20"/>
                        </w:tcBorders>
                      </w:tcPr>
                      <w:p>
                        <w:pPr/>
                      </w:p>
                    </w:tc>
                    <w:tc>
                      <w:tcPr>
                        <w:tcW w:w="1028" w:type="dxa"/>
                        <w:tcBorders>
                          <w:bottom w:val="single" w:sz="4" w:space="0" w:color="231F20"/>
                        </w:tcBorders>
                      </w:tcPr>
                      <w:p>
                        <w:pPr/>
                      </w:p>
                    </w:tc>
                    <w:tc>
                      <w:tcPr>
                        <w:tcW w:w="668" w:type="dxa"/>
                        <w:tcBorders>
                          <w:bottom w:val="single" w:sz="4" w:space="0" w:color="231F20"/>
                        </w:tcBorders>
                      </w:tcPr>
                      <w:p>
                        <w:pPr/>
                      </w:p>
                    </w:tc>
                    <w:tc>
                      <w:tcPr>
                        <w:tcW w:w="529" w:type="dxa"/>
                        <w:tcBorders>
                          <w:bottom w:val="single" w:sz="4" w:space="0" w:color="231F20"/>
                        </w:tcBorders>
                      </w:tcPr>
                      <w:p>
                        <w:pPr/>
                      </w:p>
                    </w:tc>
                    <w:tc>
                      <w:tcPr>
                        <w:tcW w:w="692" w:type="dxa"/>
                        <w:tcBorders>
                          <w:bottom w:val="single" w:sz="4" w:space="0" w:color="231F20"/>
                        </w:tcBorders>
                      </w:tcPr>
                      <w:p>
                        <w:pPr/>
                      </w:p>
                    </w:tc>
                  </w:tr>
                  <w:tr>
                    <w:trPr>
                      <w:trHeight w:val="420" w:hRule="exact"/>
                    </w:trPr>
                    <w:tc>
                      <w:tcPr>
                        <w:tcW w:w="786" w:type="dxa"/>
                        <w:tcBorders>
                          <w:top w:val="single" w:sz="4" w:space="0" w:color="231F20"/>
                        </w:tcBorders>
                      </w:tcPr>
                      <w:p>
                        <w:pPr>
                          <w:pStyle w:val="TableParagraph"/>
                          <w:spacing w:before="70"/>
                          <w:ind w:left="188" w:right="192"/>
                          <w:rPr>
                            <w:rFonts w:ascii="Palatino Linotype"/>
                            <w:b/>
                            <w:sz w:val="18"/>
                          </w:rPr>
                        </w:pPr>
                        <w:r>
                          <w:rPr>
                            <w:rFonts w:ascii="Palatino Linotype"/>
                            <w:b/>
                            <w:color w:val="231F20"/>
                            <w:sz w:val="18"/>
                          </w:rPr>
                          <w:t>1988</w:t>
                        </w:r>
                      </w:p>
                    </w:tc>
                    <w:tc>
                      <w:tcPr>
                        <w:tcW w:w="743" w:type="dxa"/>
                        <w:tcBorders>
                          <w:top w:val="single" w:sz="4" w:space="0" w:color="231F20"/>
                        </w:tcBorders>
                      </w:tcPr>
                      <w:p>
                        <w:pPr>
                          <w:pStyle w:val="TableParagraph"/>
                          <w:spacing w:before="90"/>
                          <w:ind w:right="222"/>
                          <w:jc w:val="right"/>
                          <w:rPr>
                            <w:sz w:val="18"/>
                          </w:rPr>
                        </w:pPr>
                        <w:r>
                          <w:rPr>
                            <w:color w:val="231F20"/>
                            <w:w w:val="95"/>
                            <w:sz w:val="18"/>
                          </w:rPr>
                          <w:t>28.9</w:t>
                        </w:r>
                      </w:p>
                    </w:tc>
                    <w:tc>
                      <w:tcPr>
                        <w:tcW w:w="733" w:type="dxa"/>
                        <w:tcBorders>
                          <w:top w:val="single" w:sz="4" w:space="0" w:color="231F20"/>
                        </w:tcBorders>
                      </w:tcPr>
                      <w:p>
                        <w:pPr>
                          <w:pStyle w:val="TableParagraph"/>
                          <w:spacing w:before="90"/>
                          <w:ind w:left="196" w:right="176"/>
                          <w:rPr>
                            <w:sz w:val="18"/>
                          </w:rPr>
                        </w:pPr>
                        <w:r>
                          <w:rPr>
                            <w:color w:val="231F20"/>
                            <w:sz w:val="18"/>
                          </w:rPr>
                          <w:t>38.1</w:t>
                        </w:r>
                      </w:p>
                    </w:tc>
                    <w:tc>
                      <w:tcPr>
                        <w:tcW w:w="735" w:type="dxa"/>
                        <w:tcBorders>
                          <w:top w:val="single" w:sz="4" w:space="0" w:color="231F20"/>
                        </w:tcBorders>
                      </w:tcPr>
                      <w:p>
                        <w:pPr>
                          <w:pStyle w:val="TableParagraph"/>
                          <w:spacing w:before="90"/>
                          <w:ind w:left="208"/>
                          <w:jc w:val="left"/>
                          <w:rPr>
                            <w:sz w:val="18"/>
                          </w:rPr>
                        </w:pPr>
                        <w:r>
                          <w:rPr>
                            <w:color w:val="231F20"/>
                            <w:sz w:val="18"/>
                          </w:rPr>
                          <w:t>21.0</w:t>
                        </w:r>
                      </w:p>
                    </w:tc>
                    <w:tc>
                      <w:tcPr>
                        <w:tcW w:w="611" w:type="dxa"/>
                        <w:tcBorders>
                          <w:top w:val="single" w:sz="4" w:space="0" w:color="231F20"/>
                        </w:tcBorders>
                      </w:tcPr>
                      <w:p>
                        <w:pPr>
                          <w:pStyle w:val="TableParagraph"/>
                          <w:spacing w:before="90"/>
                          <w:ind w:left="149" w:right="192"/>
                          <w:rPr>
                            <w:sz w:val="18"/>
                          </w:rPr>
                        </w:pPr>
                        <w:r>
                          <w:rPr>
                            <w:color w:val="231F20"/>
                            <w:sz w:val="18"/>
                          </w:rPr>
                          <w:t>0.0</w:t>
                        </w:r>
                      </w:p>
                    </w:tc>
                    <w:tc>
                      <w:tcPr>
                        <w:tcW w:w="670" w:type="dxa"/>
                        <w:tcBorders>
                          <w:top w:val="single" w:sz="4" w:space="0" w:color="231F20"/>
                        </w:tcBorders>
                      </w:tcPr>
                      <w:p>
                        <w:pPr>
                          <w:pStyle w:val="TableParagraph"/>
                          <w:spacing w:before="90"/>
                          <w:ind w:left="59" w:right="79"/>
                          <w:rPr>
                            <w:sz w:val="18"/>
                          </w:rPr>
                        </w:pPr>
                        <w:r>
                          <w:rPr>
                            <w:color w:val="231F20"/>
                            <w:sz w:val="18"/>
                          </w:rPr>
                          <w:t>11.6</w:t>
                        </w:r>
                      </w:p>
                    </w:tc>
                    <w:tc>
                      <w:tcPr>
                        <w:tcW w:w="1028" w:type="dxa"/>
                        <w:tcBorders>
                          <w:top w:val="single" w:sz="4" w:space="0" w:color="231F20"/>
                        </w:tcBorders>
                      </w:tcPr>
                      <w:p>
                        <w:pPr>
                          <w:pStyle w:val="TableParagraph"/>
                          <w:spacing w:before="90"/>
                          <w:ind w:left="54" w:right="32"/>
                          <w:rPr>
                            <w:sz w:val="18"/>
                          </w:rPr>
                        </w:pPr>
                        <w:r>
                          <w:rPr>
                            <w:color w:val="231F20"/>
                            <w:sz w:val="18"/>
                          </w:rPr>
                          <w:t>0.4</w:t>
                        </w:r>
                      </w:p>
                    </w:tc>
                    <w:tc>
                      <w:tcPr>
                        <w:tcW w:w="668" w:type="dxa"/>
                        <w:tcBorders>
                          <w:top w:val="single" w:sz="4" w:space="0" w:color="231F20"/>
                        </w:tcBorders>
                      </w:tcPr>
                      <w:p>
                        <w:pPr>
                          <w:pStyle w:val="TableParagraph"/>
                          <w:spacing w:before="90"/>
                          <w:ind w:left="52" w:right="65"/>
                          <w:rPr>
                            <w:sz w:val="18"/>
                          </w:rPr>
                        </w:pPr>
                        <w:r>
                          <w:rPr>
                            <w:color w:val="231F20"/>
                            <w:sz w:val="18"/>
                          </w:rPr>
                          <w:t>0.0</w:t>
                        </w:r>
                      </w:p>
                    </w:tc>
                    <w:tc>
                      <w:tcPr>
                        <w:tcW w:w="529" w:type="dxa"/>
                        <w:tcBorders>
                          <w:top w:val="single" w:sz="4" w:space="0" w:color="231F20"/>
                        </w:tcBorders>
                      </w:tcPr>
                      <w:p>
                        <w:pPr>
                          <w:pStyle w:val="TableParagraph"/>
                          <w:spacing w:before="90"/>
                          <w:ind w:left="127"/>
                          <w:jc w:val="left"/>
                          <w:rPr>
                            <w:sz w:val="18"/>
                          </w:rPr>
                        </w:pPr>
                        <w:r>
                          <w:rPr>
                            <w:color w:val="231F20"/>
                            <w:sz w:val="18"/>
                          </w:rPr>
                          <w:t>0.0</w:t>
                        </w:r>
                      </w:p>
                    </w:tc>
                    <w:tc>
                      <w:tcPr>
                        <w:tcW w:w="692" w:type="dxa"/>
                        <w:tcBorders>
                          <w:top w:val="single" w:sz="4" w:space="0" w:color="231F20"/>
                        </w:tcBorders>
                      </w:tcPr>
                      <w:p>
                        <w:pPr>
                          <w:pStyle w:val="TableParagraph"/>
                          <w:spacing w:before="90"/>
                          <w:ind w:left="133" w:right="138"/>
                          <w:rPr>
                            <w:sz w:val="18"/>
                          </w:rPr>
                        </w:pPr>
                        <w:r>
                          <w:rPr>
                            <w:color w:val="231F20"/>
                            <w:sz w:val="18"/>
                          </w:rPr>
                          <w:t>100</w:t>
                        </w:r>
                      </w:p>
                    </w:tc>
                  </w:tr>
                  <w:tr>
                    <w:trPr>
                      <w:trHeight w:val="397" w:hRule="exact"/>
                    </w:trPr>
                    <w:tc>
                      <w:tcPr>
                        <w:tcW w:w="786" w:type="dxa"/>
                      </w:tcPr>
                      <w:p>
                        <w:pPr>
                          <w:pStyle w:val="TableParagraph"/>
                          <w:spacing w:before="52"/>
                          <w:ind w:left="188" w:right="192"/>
                          <w:rPr>
                            <w:rFonts w:ascii="Palatino Linotype"/>
                            <w:b/>
                            <w:sz w:val="18"/>
                          </w:rPr>
                        </w:pPr>
                        <w:r>
                          <w:rPr>
                            <w:rFonts w:ascii="Palatino Linotype"/>
                            <w:b/>
                            <w:color w:val="231F20"/>
                            <w:sz w:val="18"/>
                          </w:rPr>
                          <w:t>1989</w:t>
                        </w:r>
                      </w:p>
                    </w:tc>
                    <w:tc>
                      <w:tcPr>
                        <w:tcW w:w="743" w:type="dxa"/>
                      </w:tcPr>
                      <w:p>
                        <w:pPr>
                          <w:pStyle w:val="TableParagraph"/>
                          <w:spacing w:before="73"/>
                          <w:ind w:right="222"/>
                          <w:jc w:val="right"/>
                          <w:rPr>
                            <w:sz w:val="18"/>
                          </w:rPr>
                        </w:pPr>
                        <w:r>
                          <w:rPr>
                            <w:color w:val="231F20"/>
                            <w:w w:val="95"/>
                            <w:sz w:val="18"/>
                          </w:rPr>
                          <w:t>34.8</w:t>
                        </w:r>
                      </w:p>
                    </w:tc>
                    <w:tc>
                      <w:tcPr>
                        <w:tcW w:w="733" w:type="dxa"/>
                      </w:tcPr>
                      <w:p>
                        <w:pPr>
                          <w:pStyle w:val="TableParagraph"/>
                          <w:spacing w:before="73"/>
                          <w:ind w:left="196" w:right="177"/>
                          <w:rPr>
                            <w:sz w:val="18"/>
                          </w:rPr>
                        </w:pPr>
                        <w:r>
                          <w:rPr>
                            <w:color w:val="231F20"/>
                            <w:sz w:val="18"/>
                          </w:rPr>
                          <w:t>20.2</w:t>
                        </w:r>
                      </w:p>
                    </w:tc>
                    <w:tc>
                      <w:tcPr>
                        <w:tcW w:w="735" w:type="dxa"/>
                      </w:tcPr>
                      <w:p>
                        <w:pPr>
                          <w:pStyle w:val="TableParagraph"/>
                          <w:spacing w:before="73"/>
                          <w:ind w:left="208"/>
                          <w:jc w:val="left"/>
                          <w:rPr>
                            <w:sz w:val="18"/>
                          </w:rPr>
                        </w:pPr>
                        <w:r>
                          <w:rPr>
                            <w:color w:val="231F20"/>
                            <w:sz w:val="18"/>
                          </w:rPr>
                          <w:t>20.6</w:t>
                        </w:r>
                      </w:p>
                    </w:tc>
                    <w:tc>
                      <w:tcPr>
                        <w:tcW w:w="611" w:type="dxa"/>
                      </w:tcPr>
                      <w:p>
                        <w:pPr>
                          <w:pStyle w:val="TableParagraph"/>
                          <w:spacing w:before="73"/>
                          <w:ind w:left="149" w:right="193"/>
                          <w:rPr>
                            <w:sz w:val="18"/>
                          </w:rPr>
                        </w:pPr>
                        <w:r>
                          <w:rPr>
                            <w:color w:val="231F20"/>
                            <w:sz w:val="18"/>
                          </w:rPr>
                          <w:t>0.0</w:t>
                        </w:r>
                      </w:p>
                    </w:tc>
                    <w:tc>
                      <w:tcPr>
                        <w:tcW w:w="670" w:type="dxa"/>
                      </w:tcPr>
                      <w:p>
                        <w:pPr>
                          <w:pStyle w:val="TableParagraph"/>
                          <w:spacing w:before="73"/>
                          <w:ind w:left="58" w:right="79"/>
                          <w:rPr>
                            <w:sz w:val="18"/>
                          </w:rPr>
                        </w:pPr>
                        <w:r>
                          <w:rPr>
                            <w:color w:val="231F20"/>
                            <w:sz w:val="18"/>
                          </w:rPr>
                          <w:t>12.8</w:t>
                        </w:r>
                      </w:p>
                    </w:tc>
                    <w:tc>
                      <w:tcPr>
                        <w:tcW w:w="1028" w:type="dxa"/>
                      </w:tcPr>
                      <w:p>
                        <w:pPr>
                          <w:pStyle w:val="TableParagraph"/>
                          <w:spacing w:before="73"/>
                          <w:ind w:left="54" w:right="32"/>
                          <w:rPr>
                            <w:sz w:val="18"/>
                          </w:rPr>
                        </w:pPr>
                        <w:r>
                          <w:rPr>
                            <w:color w:val="231F20"/>
                            <w:sz w:val="18"/>
                          </w:rPr>
                          <w:t>11.6</w:t>
                        </w:r>
                      </w:p>
                    </w:tc>
                    <w:tc>
                      <w:tcPr>
                        <w:tcW w:w="668" w:type="dxa"/>
                      </w:tcPr>
                      <w:p>
                        <w:pPr>
                          <w:pStyle w:val="TableParagraph"/>
                          <w:spacing w:before="73"/>
                          <w:ind w:left="51" w:right="65"/>
                          <w:rPr>
                            <w:sz w:val="18"/>
                          </w:rPr>
                        </w:pPr>
                        <w:r>
                          <w:rPr>
                            <w:color w:val="231F20"/>
                            <w:sz w:val="18"/>
                          </w:rPr>
                          <w:t>0.0</w:t>
                        </w:r>
                      </w:p>
                    </w:tc>
                    <w:tc>
                      <w:tcPr>
                        <w:tcW w:w="529" w:type="dxa"/>
                      </w:tcPr>
                      <w:p>
                        <w:pPr>
                          <w:pStyle w:val="TableParagraph"/>
                          <w:spacing w:before="73"/>
                          <w:ind w:left="127"/>
                          <w:jc w:val="left"/>
                          <w:rPr>
                            <w:sz w:val="18"/>
                          </w:rPr>
                        </w:pPr>
                        <w:r>
                          <w:rPr>
                            <w:color w:val="231F20"/>
                            <w:sz w:val="18"/>
                          </w:rPr>
                          <w:t>0.0</w:t>
                        </w:r>
                      </w:p>
                    </w:tc>
                    <w:tc>
                      <w:tcPr>
                        <w:tcW w:w="692" w:type="dxa"/>
                      </w:tcPr>
                      <w:p>
                        <w:pPr>
                          <w:pStyle w:val="TableParagraph"/>
                          <w:spacing w:before="73"/>
                          <w:ind w:left="132" w:right="138"/>
                          <w:rPr>
                            <w:sz w:val="18"/>
                          </w:rPr>
                        </w:pPr>
                        <w:r>
                          <w:rPr>
                            <w:color w:val="231F20"/>
                            <w:sz w:val="18"/>
                          </w:rPr>
                          <w:t>100</w:t>
                        </w:r>
                      </w:p>
                    </w:tc>
                  </w:tr>
                  <w:tr>
                    <w:trPr>
                      <w:trHeight w:val="397" w:hRule="exact"/>
                    </w:trPr>
                    <w:tc>
                      <w:tcPr>
                        <w:tcW w:w="786" w:type="dxa"/>
                      </w:tcPr>
                      <w:p>
                        <w:pPr>
                          <w:pStyle w:val="TableParagraph"/>
                          <w:spacing w:before="52"/>
                          <w:ind w:left="188" w:right="193"/>
                          <w:rPr>
                            <w:rFonts w:ascii="Palatino Linotype"/>
                            <w:b/>
                            <w:sz w:val="18"/>
                          </w:rPr>
                        </w:pPr>
                        <w:r>
                          <w:rPr>
                            <w:rFonts w:ascii="Palatino Linotype"/>
                            <w:b/>
                            <w:color w:val="231F20"/>
                            <w:sz w:val="18"/>
                          </w:rPr>
                          <w:t>1990</w:t>
                        </w:r>
                      </w:p>
                    </w:tc>
                    <w:tc>
                      <w:tcPr>
                        <w:tcW w:w="743" w:type="dxa"/>
                      </w:tcPr>
                      <w:p>
                        <w:pPr>
                          <w:pStyle w:val="TableParagraph"/>
                          <w:spacing w:before="73"/>
                          <w:ind w:right="222"/>
                          <w:jc w:val="right"/>
                          <w:rPr>
                            <w:sz w:val="18"/>
                          </w:rPr>
                        </w:pPr>
                        <w:r>
                          <w:rPr>
                            <w:color w:val="231F20"/>
                            <w:w w:val="95"/>
                            <w:sz w:val="18"/>
                          </w:rPr>
                          <w:t>27.4</w:t>
                        </w:r>
                      </w:p>
                    </w:tc>
                    <w:tc>
                      <w:tcPr>
                        <w:tcW w:w="733" w:type="dxa"/>
                      </w:tcPr>
                      <w:p>
                        <w:pPr>
                          <w:pStyle w:val="TableParagraph"/>
                          <w:spacing w:before="73"/>
                          <w:ind w:left="196" w:right="177"/>
                          <w:rPr>
                            <w:sz w:val="18"/>
                          </w:rPr>
                        </w:pPr>
                        <w:r>
                          <w:rPr>
                            <w:color w:val="231F20"/>
                            <w:sz w:val="18"/>
                          </w:rPr>
                          <w:t>31.8</w:t>
                        </w:r>
                      </w:p>
                    </w:tc>
                    <w:tc>
                      <w:tcPr>
                        <w:tcW w:w="735" w:type="dxa"/>
                      </w:tcPr>
                      <w:p>
                        <w:pPr>
                          <w:pStyle w:val="TableParagraph"/>
                          <w:spacing w:before="73"/>
                          <w:ind w:left="208"/>
                          <w:jc w:val="left"/>
                          <w:rPr>
                            <w:sz w:val="18"/>
                          </w:rPr>
                        </w:pPr>
                        <w:r>
                          <w:rPr>
                            <w:color w:val="231F20"/>
                            <w:sz w:val="18"/>
                          </w:rPr>
                          <w:t>14.7</w:t>
                        </w:r>
                      </w:p>
                    </w:tc>
                    <w:tc>
                      <w:tcPr>
                        <w:tcW w:w="611" w:type="dxa"/>
                      </w:tcPr>
                      <w:p>
                        <w:pPr>
                          <w:pStyle w:val="TableParagraph"/>
                          <w:spacing w:before="73"/>
                          <w:ind w:left="149" w:right="193"/>
                          <w:rPr>
                            <w:sz w:val="18"/>
                          </w:rPr>
                        </w:pPr>
                        <w:r>
                          <w:rPr>
                            <w:color w:val="231F20"/>
                            <w:sz w:val="18"/>
                          </w:rPr>
                          <w:t>0.0</w:t>
                        </w:r>
                      </w:p>
                    </w:tc>
                    <w:tc>
                      <w:tcPr>
                        <w:tcW w:w="670" w:type="dxa"/>
                      </w:tcPr>
                      <w:p>
                        <w:pPr>
                          <w:pStyle w:val="TableParagraph"/>
                          <w:spacing w:before="73"/>
                          <w:ind w:left="58" w:right="79"/>
                          <w:rPr>
                            <w:sz w:val="18"/>
                          </w:rPr>
                        </w:pPr>
                        <w:r>
                          <w:rPr>
                            <w:color w:val="231F20"/>
                            <w:sz w:val="18"/>
                          </w:rPr>
                          <w:t>8.7</w:t>
                        </w:r>
                      </w:p>
                    </w:tc>
                    <w:tc>
                      <w:tcPr>
                        <w:tcW w:w="1028" w:type="dxa"/>
                      </w:tcPr>
                      <w:p>
                        <w:pPr>
                          <w:pStyle w:val="TableParagraph"/>
                          <w:spacing w:before="73"/>
                          <w:ind w:left="54" w:right="33"/>
                          <w:rPr>
                            <w:sz w:val="18"/>
                          </w:rPr>
                        </w:pPr>
                        <w:r>
                          <w:rPr>
                            <w:color w:val="231F20"/>
                            <w:sz w:val="18"/>
                          </w:rPr>
                          <w:t>17.4</w:t>
                        </w:r>
                      </w:p>
                    </w:tc>
                    <w:tc>
                      <w:tcPr>
                        <w:tcW w:w="668" w:type="dxa"/>
                      </w:tcPr>
                      <w:p>
                        <w:pPr>
                          <w:pStyle w:val="TableParagraph"/>
                          <w:spacing w:before="73"/>
                          <w:ind w:left="51" w:right="65"/>
                          <w:rPr>
                            <w:sz w:val="18"/>
                          </w:rPr>
                        </w:pPr>
                        <w:r>
                          <w:rPr>
                            <w:color w:val="231F20"/>
                            <w:sz w:val="18"/>
                          </w:rPr>
                          <w:t>0.0</w:t>
                        </w:r>
                      </w:p>
                    </w:tc>
                    <w:tc>
                      <w:tcPr>
                        <w:tcW w:w="529" w:type="dxa"/>
                      </w:tcPr>
                      <w:p>
                        <w:pPr>
                          <w:pStyle w:val="TableParagraph"/>
                          <w:spacing w:before="73"/>
                          <w:ind w:left="127"/>
                          <w:jc w:val="left"/>
                          <w:rPr>
                            <w:sz w:val="18"/>
                          </w:rPr>
                        </w:pPr>
                        <w:r>
                          <w:rPr>
                            <w:color w:val="231F20"/>
                            <w:sz w:val="18"/>
                          </w:rPr>
                          <w:t>0.0</w:t>
                        </w:r>
                      </w:p>
                    </w:tc>
                    <w:tc>
                      <w:tcPr>
                        <w:tcW w:w="692" w:type="dxa"/>
                      </w:tcPr>
                      <w:p>
                        <w:pPr>
                          <w:pStyle w:val="TableParagraph"/>
                          <w:spacing w:before="73"/>
                          <w:ind w:left="132" w:right="138"/>
                          <w:rPr>
                            <w:sz w:val="18"/>
                          </w:rPr>
                        </w:pPr>
                        <w:r>
                          <w:rPr>
                            <w:color w:val="231F20"/>
                            <w:sz w:val="18"/>
                          </w:rPr>
                          <w:t>100</w:t>
                        </w:r>
                      </w:p>
                    </w:tc>
                  </w:tr>
                  <w:tr>
                    <w:trPr>
                      <w:trHeight w:val="397" w:hRule="exact"/>
                    </w:trPr>
                    <w:tc>
                      <w:tcPr>
                        <w:tcW w:w="786" w:type="dxa"/>
                      </w:tcPr>
                      <w:p>
                        <w:pPr>
                          <w:pStyle w:val="TableParagraph"/>
                          <w:spacing w:before="52"/>
                          <w:ind w:left="188" w:right="193"/>
                          <w:rPr>
                            <w:rFonts w:ascii="Palatino Linotype"/>
                            <w:b/>
                            <w:sz w:val="18"/>
                          </w:rPr>
                        </w:pPr>
                        <w:r>
                          <w:rPr>
                            <w:rFonts w:ascii="Palatino Linotype"/>
                            <w:b/>
                            <w:color w:val="231F20"/>
                            <w:sz w:val="18"/>
                          </w:rPr>
                          <w:t>1991</w:t>
                        </w:r>
                      </w:p>
                    </w:tc>
                    <w:tc>
                      <w:tcPr>
                        <w:tcW w:w="743" w:type="dxa"/>
                      </w:tcPr>
                      <w:p>
                        <w:pPr>
                          <w:pStyle w:val="TableParagraph"/>
                          <w:spacing w:before="73"/>
                          <w:ind w:right="222"/>
                          <w:jc w:val="right"/>
                          <w:rPr>
                            <w:sz w:val="18"/>
                          </w:rPr>
                        </w:pPr>
                        <w:r>
                          <w:rPr>
                            <w:color w:val="231F20"/>
                            <w:w w:val="95"/>
                            <w:sz w:val="18"/>
                          </w:rPr>
                          <w:t>22.4</w:t>
                        </w:r>
                      </w:p>
                    </w:tc>
                    <w:tc>
                      <w:tcPr>
                        <w:tcW w:w="733" w:type="dxa"/>
                      </w:tcPr>
                      <w:p>
                        <w:pPr>
                          <w:pStyle w:val="TableParagraph"/>
                          <w:spacing w:before="73"/>
                          <w:ind w:left="196" w:right="177"/>
                          <w:rPr>
                            <w:sz w:val="18"/>
                          </w:rPr>
                        </w:pPr>
                        <w:r>
                          <w:rPr>
                            <w:color w:val="231F20"/>
                            <w:sz w:val="18"/>
                          </w:rPr>
                          <w:t>30.7</w:t>
                        </w:r>
                      </w:p>
                    </w:tc>
                    <w:tc>
                      <w:tcPr>
                        <w:tcW w:w="735" w:type="dxa"/>
                      </w:tcPr>
                      <w:p>
                        <w:pPr>
                          <w:pStyle w:val="TableParagraph"/>
                          <w:spacing w:before="73"/>
                          <w:ind w:left="208"/>
                          <w:jc w:val="left"/>
                          <w:rPr>
                            <w:sz w:val="18"/>
                          </w:rPr>
                        </w:pPr>
                        <w:r>
                          <w:rPr>
                            <w:color w:val="231F20"/>
                            <w:sz w:val="18"/>
                          </w:rPr>
                          <w:t>23.8</w:t>
                        </w:r>
                      </w:p>
                    </w:tc>
                    <w:tc>
                      <w:tcPr>
                        <w:tcW w:w="611" w:type="dxa"/>
                      </w:tcPr>
                      <w:p>
                        <w:pPr>
                          <w:pStyle w:val="TableParagraph"/>
                          <w:spacing w:before="73"/>
                          <w:ind w:left="149" w:right="193"/>
                          <w:rPr>
                            <w:sz w:val="18"/>
                          </w:rPr>
                        </w:pPr>
                        <w:r>
                          <w:rPr>
                            <w:color w:val="231F20"/>
                            <w:sz w:val="18"/>
                          </w:rPr>
                          <w:t>0.0</w:t>
                        </w:r>
                      </w:p>
                    </w:tc>
                    <w:tc>
                      <w:tcPr>
                        <w:tcW w:w="670" w:type="dxa"/>
                      </w:tcPr>
                      <w:p>
                        <w:pPr>
                          <w:pStyle w:val="TableParagraph"/>
                          <w:spacing w:before="73"/>
                          <w:ind w:left="58" w:right="79"/>
                          <w:rPr>
                            <w:sz w:val="18"/>
                          </w:rPr>
                        </w:pPr>
                        <w:r>
                          <w:rPr>
                            <w:color w:val="231F20"/>
                            <w:sz w:val="18"/>
                          </w:rPr>
                          <w:t>8.2</w:t>
                        </w:r>
                      </w:p>
                    </w:tc>
                    <w:tc>
                      <w:tcPr>
                        <w:tcW w:w="1028" w:type="dxa"/>
                      </w:tcPr>
                      <w:p>
                        <w:pPr>
                          <w:pStyle w:val="TableParagraph"/>
                          <w:spacing w:before="73"/>
                          <w:ind w:left="54" w:right="33"/>
                          <w:rPr>
                            <w:sz w:val="18"/>
                          </w:rPr>
                        </w:pPr>
                        <w:r>
                          <w:rPr>
                            <w:color w:val="231F20"/>
                            <w:sz w:val="18"/>
                          </w:rPr>
                          <w:t>15.0</w:t>
                        </w:r>
                      </w:p>
                    </w:tc>
                    <w:tc>
                      <w:tcPr>
                        <w:tcW w:w="668" w:type="dxa"/>
                      </w:tcPr>
                      <w:p>
                        <w:pPr>
                          <w:pStyle w:val="TableParagraph"/>
                          <w:spacing w:before="73"/>
                          <w:ind w:left="51" w:right="65"/>
                          <w:rPr>
                            <w:sz w:val="18"/>
                          </w:rPr>
                        </w:pPr>
                        <w:r>
                          <w:rPr>
                            <w:color w:val="231F20"/>
                            <w:sz w:val="18"/>
                          </w:rPr>
                          <w:t>0.0</w:t>
                        </w:r>
                      </w:p>
                    </w:tc>
                    <w:tc>
                      <w:tcPr>
                        <w:tcW w:w="529" w:type="dxa"/>
                      </w:tcPr>
                      <w:p>
                        <w:pPr>
                          <w:pStyle w:val="TableParagraph"/>
                          <w:spacing w:before="73"/>
                          <w:ind w:left="127"/>
                          <w:jc w:val="left"/>
                          <w:rPr>
                            <w:sz w:val="18"/>
                          </w:rPr>
                        </w:pPr>
                        <w:r>
                          <w:rPr>
                            <w:color w:val="231F20"/>
                            <w:sz w:val="18"/>
                          </w:rPr>
                          <w:t>0.0</w:t>
                        </w:r>
                      </w:p>
                    </w:tc>
                    <w:tc>
                      <w:tcPr>
                        <w:tcW w:w="692" w:type="dxa"/>
                      </w:tcPr>
                      <w:p>
                        <w:pPr>
                          <w:pStyle w:val="TableParagraph"/>
                          <w:spacing w:before="73"/>
                          <w:ind w:left="132" w:right="138"/>
                          <w:rPr>
                            <w:sz w:val="18"/>
                          </w:rPr>
                        </w:pPr>
                        <w:r>
                          <w:rPr>
                            <w:color w:val="231F20"/>
                            <w:sz w:val="18"/>
                          </w:rPr>
                          <w:t>100</w:t>
                        </w:r>
                      </w:p>
                    </w:tc>
                  </w:tr>
                  <w:tr>
                    <w:trPr>
                      <w:trHeight w:val="397" w:hRule="exact"/>
                    </w:trPr>
                    <w:tc>
                      <w:tcPr>
                        <w:tcW w:w="786" w:type="dxa"/>
                      </w:tcPr>
                      <w:p>
                        <w:pPr>
                          <w:pStyle w:val="TableParagraph"/>
                          <w:spacing w:before="52"/>
                          <w:ind w:left="188" w:right="193"/>
                          <w:rPr>
                            <w:rFonts w:ascii="Palatino Linotype"/>
                            <w:b/>
                            <w:sz w:val="18"/>
                          </w:rPr>
                        </w:pPr>
                        <w:r>
                          <w:rPr>
                            <w:rFonts w:ascii="Palatino Linotype"/>
                            <w:b/>
                            <w:color w:val="231F20"/>
                            <w:sz w:val="18"/>
                          </w:rPr>
                          <w:t>1992</w:t>
                        </w:r>
                      </w:p>
                    </w:tc>
                    <w:tc>
                      <w:tcPr>
                        <w:tcW w:w="743" w:type="dxa"/>
                      </w:tcPr>
                      <w:p>
                        <w:pPr>
                          <w:pStyle w:val="TableParagraph"/>
                          <w:spacing w:before="73"/>
                          <w:ind w:right="222"/>
                          <w:jc w:val="right"/>
                          <w:rPr>
                            <w:sz w:val="18"/>
                          </w:rPr>
                        </w:pPr>
                        <w:r>
                          <w:rPr>
                            <w:color w:val="231F20"/>
                            <w:w w:val="95"/>
                            <w:sz w:val="18"/>
                          </w:rPr>
                          <w:t>26.1</w:t>
                        </w:r>
                      </w:p>
                    </w:tc>
                    <w:tc>
                      <w:tcPr>
                        <w:tcW w:w="733" w:type="dxa"/>
                      </w:tcPr>
                      <w:p>
                        <w:pPr>
                          <w:pStyle w:val="TableParagraph"/>
                          <w:spacing w:before="73"/>
                          <w:ind w:left="196" w:right="178"/>
                          <w:rPr>
                            <w:sz w:val="18"/>
                          </w:rPr>
                        </w:pPr>
                        <w:r>
                          <w:rPr>
                            <w:color w:val="231F20"/>
                            <w:sz w:val="18"/>
                          </w:rPr>
                          <w:t>33.3</w:t>
                        </w:r>
                      </w:p>
                    </w:tc>
                    <w:tc>
                      <w:tcPr>
                        <w:tcW w:w="735" w:type="dxa"/>
                      </w:tcPr>
                      <w:p>
                        <w:pPr>
                          <w:pStyle w:val="TableParagraph"/>
                          <w:spacing w:before="73"/>
                          <w:ind w:left="208"/>
                          <w:jc w:val="left"/>
                          <w:rPr>
                            <w:sz w:val="18"/>
                          </w:rPr>
                        </w:pPr>
                        <w:r>
                          <w:rPr>
                            <w:color w:val="231F20"/>
                            <w:sz w:val="18"/>
                          </w:rPr>
                          <w:t>19.7</w:t>
                        </w:r>
                      </w:p>
                    </w:tc>
                    <w:tc>
                      <w:tcPr>
                        <w:tcW w:w="611" w:type="dxa"/>
                      </w:tcPr>
                      <w:p>
                        <w:pPr>
                          <w:pStyle w:val="TableParagraph"/>
                          <w:spacing w:before="73"/>
                          <w:ind w:left="149" w:right="194"/>
                          <w:rPr>
                            <w:sz w:val="18"/>
                          </w:rPr>
                        </w:pPr>
                        <w:r>
                          <w:rPr>
                            <w:color w:val="231F20"/>
                            <w:sz w:val="18"/>
                          </w:rPr>
                          <w:t>0.0</w:t>
                        </w:r>
                      </w:p>
                    </w:tc>
                    <w:tc>
                      <w:tcPr>
                        <w:tcW w:w="670" w:type="dxa"/>
                      </w:tcPr>
                      <w:p>
                        <w:pPr>
                          <w:pStyle w:val="TableParagraph"/>
                          <w:spacing w:before="73"/>
                          <w:ind w:left="57" w:right="79"/>
                          <w:rPr>
                            <w:sz w:val="18"/>
                          </w:rPr>
                        </w:pPr>
                        <w:r>
                          <w:rPr>
                            <w:color w:val="231F20"/>
                            <w:sz w:val="18"/>
                          </w:rPr>
                          <w:t>9.9</w:t>
                        </w:r>
                      </w:p>
                    </w:tc>
                    <w:tc>
                      <w:tcPr>
                        <w:tcW w:w="1028" w:type="dxa"/>
                      </w:tcPr>
                      <w:p>
                        <w:pPr>
                          <w:pStyle w:val="TableParagraph"/>
                          <w:spacing w:before="73"/>
                          <w:ind w:left="54" w:right="33"/>
                          <w:rPr>
                            <w:sz w:val="18"/>
                          </w:rPr>
                        </w:pPr>
                        <w:r>
                          <w:rPr>
                            <w:color w:val="231F20"/>
                            <w:sz w:val="18"/>
                          </w:rPr>
                          <w:t>11.1</w:t>
                        </w:r>
                      </w:p>
                    </w:tc>
                    <w:tc>
                      <w:tcPr>
                        <w:tcW w:w="668" w:type="dxa"/>
                      </w:tcPr>
                      <w:p>
                        <w:pPr>
                          <w:pStyle w:val="TableParagraph"/>
                          <w:spacing w:before="73"/>
                          <w:ind w:left="50" w:right="65"/>
                          <w:rPr>
                            <w:sz w:val="18"/>
                          </w:rPr>
                        </w:pPr>
                        <w:r>
                          <w:rPr>
                            <w:color w:val="231F20"/>
                            <w:sz w:val="18"/>
                          </w:rPr>
                          <w:t>0.0</w:t>
                        </w:r>
                      </w:p>
                    </w:tc>
                    <w:tc>
                      <w:tcPr>
                        <w:tcW w:w="529" w:type="dxa"/>
                      </w:tcPr>
                      <w:p>
                        <w:pPr>
                          <w:pStyle w:val="TableParagraph"/>
                          <w:spacing w:before="73"/>
                          <w:ind w:left="127"/>
                          <w:jc w:val="left"/>
                          <w:rPr>
                            <w:sz w:val="18"/>
                          </w:rPr>
                        </w:pPr>
                        <w:r>
                          <w:rPr>
                            <w:color w:val="231F20"/>
                            <w:sz w:val="18"/>
                          </w:rPr>
                          <w:t>0.0</w:t>
                        </w:r>
                      </w:p>
                    </w:tc>
                    <w:tc>
                      <w:tcPr>
                        <w:tcW w:w="692" w:type="dxa"/>
                      </w:tcPr>
                      <w:p>
                        <w:pPr>
                          <w:pStyle w:val="TableParagraph"/>
                          <w:spacing w:before="73"/>
                          <w:ind w:left="131" w:right="138"/>
                          <w:rPr>
                            <w:sz w:val="18"/>
                          </w:rPr>
                        </w:pPr>
                        <w:r>
                          <w:rPr>
                            <w:color w:val="231F20"/>
                            <w:sz w:val="18"/>
                          </w:rPr>
                          <w:t>100</w:t>
                        </w:r>
                      </w:p>
                    </w:tc>
                  </w:tr>
                  <w:tr>
                    <w:trPr>
                      <w:trHeight w:val="397" w:hRule="exact"/>
                    </w:trPr>
                    <w:tc>
                      <w:tcPr>
                        <w:tcW w:w="786" w:type="dxa"/>
                      </w:tcPr>
                      <w:p>
                        <w:pPr>
                          <w:pStyle w:val="TableParagraph"/>
                          <w:spacing w:before="52"/>
                          <w:ind w:left="188" w:right="194"/>
                          <w:rPr>
                            <w:rFonts w:ascii="Palatino Linotype"/>
                            <w:b/>
                            <w:sz w:val="18"/>
                          </w:rPr>
                        </w:pPr>
                        <w:r>
                          <w:rPr>
                            <w:rFonts w:ascii="Palatino Linotype"/>
                            <w:b/>
                            <w:color w:val="231F20"/>
                            <w:sz w:val="18"/>
                          </w:rPr>
                          <w:t>1993</w:t>
                        </w:r>
                      </w:p>
                    </w:tc>
                    <w:tc>
                      <w:tcPr>
                        <w:tcW w:w="743" w:type="dxa"/>
                      </w:tcPr>
                      <w:p>
                        <w:pPr>
                          <w:pStyle w:val="TableParagraph"/>
                          <w:spacing w:before="73"/>
                          <w:ind w:right="223"/>
                          <w:jc w:val="right"/>
                          <w:rPr>
                            <w:sz w:val="18"/>
                          </w:rPr>
                        </w:pPr>
                        <w:r>
                          <w:rPr>
                            <w:color w:val="231F20"/>
                            <w:w w:val="95"/>
                            <w:sz w:val="18"/>
                          </w:rPr>
                          <w:t>28.0</w:t>
                        </w:r>
                      </w:p>
                    </w:tc>
                    <w:tc>
                      <w:tcPr>
                        <w:tcW w:w="733" w:type="dxa"/>
                      </w:tcPr>
                      <w:p>
                        <w:pPr>
                          <w:pStyle w:val="TableParagraph"/>
                          <w:spacing w:before="73"/>
                          <w:ind w:left="196" w:right="178"/>
                          <w:rPr>
                            <w:sz w:val="18"/>
                          </w:rPr>
                        </w:pPr>
                        <w:r>
                          <w:rPr>
                            <w:color w:val="231F20"/>
                            <w:sz w:val="18"/>
                          </w:rPr>
                          <w:t>23.8</w:t>
                        </w:r>
                      </w:p>
                    </w:tc>
                    <w:tc>
                      <w:tcPr>
                        <w:tcW w:w="735" w:type="dxa"/>
                      </w:tcPr>
                      <w:p>
                        <w:pPr>
                          <w:pStyle w:val="TableParagraph"/>
                          <w:spacing w:before="73"/>
                          <w:ind w:left="208"/>
                          <w:jc w:val="left"/>
                          <w:rPr>
                            <w:sz w:val="18"/>
                          </w:rPr>
                        </w:pPr>
                        <w:r>
                          <w:rPr>
                            <w:color w:val="231F20"/>
                            <w:sz w:val="18"/>
                          </w:rPr>
                          <w:t>18.4</w:t>
                        </w:r>
                      </w:p>
                    </w:tc>
                    <w:tc>
                      <w:tcPr>
                        <w:tcW w:w="611" w:type="dxa"/>
                      </w:tcPr>
                      <w:p>
                        <w:pPr>
                          <w:pStyle w:val="TableParagraph"/>
                          <w:spacing w:before="73"/>
                          <w:ind w:left="149" w:right="194"/>
                          <w:rPr>
                            <w:sz w:val="18"/>
                          </w:rPr>
                        </w:pPr>
                        <w:r>
                          <w:rPr>
                            <w:color w:val="231F20"/>
                            <w:sz w:val="18"/>
                          </w:rPr>
                          <w:t>0.0</w:t>
                        </w:r>
                      </w:p>
                    </w:tc>
                    <w:tc>
                      <w:tcPr>
                        <w:tcW w:w="670" w:type="dxa"/>
                      </w:tcPr>
                      <w:p>
                        <w:pPr>
                          <w:pStyle w:val="TableParagraph"/>
                          <w:spacing w:before="73"/>
                          <w:ind w:left="57" w:right="79"/>
                          <w:rPr>
                            <w:sz w:val="18"/>
                          </w:rPr>
                        </w:pPr>
                        <w:r>
                          <w:rPr>
                            <w:color w:val="231F20"/>
                            <w:sz w:val="18"/>
                          </w:rPr>
                          <w:t>10.1</w:t>
                        </w:r>
                      </w:p>
                    </w:tc>
                    <w:tc>
                      <w:tcPr>
                        <w:tcW w:w="1028" w:type="dxa"/>
                      </w:tcPr>
                      <w:p>
                        <w:pPr>
                          <w:pStyle w:val="TableParagraph"/>
                          <w:spacing w:before="73"/>
                          <w:ind w:left="53" w:right="33"/>
                          <w:rPr>
                            <w:sz w:val="18"/>
                          </w:rPr>
                        </w:pPr>
                        <w:r>
                          <w:rPr>
                            <w:color w:val="231F20"/>
                            <w:sz w:val="18"/>
                          </w:rPr>
                          <w:t>19.7</w:t>
                        </w:r>
                      </w:p>
                    </w:tc>
                    <w:tc>
                      <w:tcPr>
                        <w:tcW w:w="668" w:type="dxa"/>
                      </w:tcPr>
                      <w:p>
                        <w:pPr>
                          <w:pStyle w:val="TableParagraph"/>
                          <w:spacing w:before="73"/>
                          <w:ind w:left="50" w:right="65"/>
                          <w:rPr>
                            <w:sz w:val="18"/>
                          </w:rPr>
                        </w:pPr>
                        <w:r>
                          <w:rPr>
                            <w:color w:val="231F20"/>
                            <w:sz w:val="18"/>
                          </w:rPr>
                          <w:t>0.0</w:t>
                        </w:r>
                      </w:p>
                    </w:tc>
                    <w:tc>
                      <w:tcPr>
                        <w:tcW w:w="529" w:type="dxa"/>
                      </w:tcPr>
                      <w:p>
                        <w:pPr>
                          <w:pStyle w:val="TableParagraph"/>
                          <w:spacing w:before="73"/>
                          <w:ind w:left="127"/>
                          <w:jc w:val="left"/>
                          <w:rPr>
                            <w:sz w:val="18"/>
                          </w:rPr>
                        </w:pPr>
                        <w:r>
                          <w:rPr>
                            <w:color w:val="231F20"/>
                            <w:sz w:val="18"/>
                          </w:rPr>
                          <w:t>0.0</w:t>
                        </w:r>
                      </w:p>
                    </w:tc>
                    <w:tc>
                      <w:tcPr>
                        <w:tcW w:w="692" w:type="dxa"/>
                      </w:tcPr>
                      <w:p>
                        <w:pPr>
                          <w:pStyle w:val="TableParagraph"/>
                          <w:spacing w:before="73"/>
                          <w:ind w:left="131" w:right="138"/>
                          <w:rPr>
                            <w:sz w:val="18"/>
                          </w:rPr>
                        </w:pPr>
                        <w:r>
                          <w:rPr>
                            <w:color w:val="231F20"/>
                            <w:sz w:val="18"/>
                          </w:rPr>
                          <w:t>100</w:t>
                        </w:r>
                      </w:p>
                    </w:tc>
                  </w:tr>
                  <w:tr>
                    <w:trPr>
                      <w:trHeight w:val="397" w:hRule="exact"/>
                    </w:trPr>
                    <w:tc>
                      <w:tcPr>
                        <w:tcW w:w="786" w:type="dxa"/>
                      </w:tcPr>
                      <w:p>
                        <w:pPr>
                          <w:pStyle w:val="TableParagraph"/>
                          <w:spacing w:before="52"/>
                          <w:ind w:left="188" w:right="194"/>
                          <w:rPr>
                            <w:rFonts w:ascii="Palatino Linotype"/>
                            <w:b/>
                            <w:sz w:val="18"/>
                          </w:rPr>
                        </w:pPr>
                        <w:r>
                          <w:rPr>
                            <w:rFonts w:ascii="Palatino Linotype"/>
                            <w:b/>
                            <w:color w:val="231F20"/>
                            <w:sz w:val="18"/>
                          </w:rPr>
                          <w:t>1994</w:t>
                        </w:r>
                      </w:p>
                    </w:tc>
                    <w:tc>
                      <w:tcPr>
                        <w:tcW w:w="743" w:type="dxa"/>
                      </w:tcPr>
                      <w:p>
                        <w:pPr>
                          <w:pStyle w:val="TableParagraph"/>
                          <w:spacing w:before="73"/>
                          <w:ind w:right="223"/>
                          <w:jc w:val="right"/>
                          <w:rPr>
                            <w:sz w:val="18"/>
                          </w:rPr>
                        </w:pPr>
                        <w:r>
                          <w:rPr>
                            <w:color w:val="231F20"/>
                            <w:w w:val="95"/>
                            <w:sz w:val="18"/>
                          </w:rPr>
                          <w:t>28.1</w:t>
                        </w:r>
                      </w:p>
                    </w:tc>
                    <w:tc>
                      <w:tcPr>
                        <w:tcW w:w="733" w:type="dxa"/>
                      </w:tcPr>
                      <w:p>
                        <w:pPr>
                          <w:pStyle w:val="TableParagraph"/>
                          <w:spacing w:before="73"/>
                          <w:ind w:left="196" w:right="178"/>
                          <w:rPr>
                            <w:sz w:val="18"/>
                          </w:rPr>
                        </w:pPr>
                        <w:r>
                          <w:rPr>
                            <w:color w:val="231F20"/>
                            <w:sz w:val="18"/>
                          </w:rPr>
                          <w:t>31.3</w:t>
                        </w:r>
                      </w:p>
                    </w:tc>
                    <w:tc>
                      <w:tcPr>
                        <w:tcW w:w="735" w:type="dxa"/>
                      </w:tcPr>
                      <w:p>
                        <w:pPr>
                          <w:pStyle w:val="TableParagraph"/>
                          <w:spacing w:before="73"/>
                          <w:ind w:left="207"/>
                          <w:jc w:val="left"/>
                          <w:rPr>
                            <w:sz w:val="18"/>
                          </w:rPr>
                        </w:pPr>
                        <w:r>
                          <w:rPr>
                            <w:color w:val="231F20"/>
                            <w:sz w:val="18"/>
                          </w:rPr>
                          <w:t>12.2</w:t>
                        </w:r>
                      </w:p>
                    </w:tc>
                    <w:tc>
                      <w:tcPr>
                        <w:tcW w:w="611" w:type="dxa"/>
                      </w:tcPr>
                      <w:p>
                        <w:pPr>
                          <w:pStyle w:val="TableParagraph"/>
                          <w:spacing w:before="73"/>
                          <w:ind w:left="149" w:right="194"/>
                          <w:rPr>
                            <w:sz w:val="18"/>
                          </w:rPr>
                        </w:pPr>
                        <w:r>
                          <w:rPr>
                            <w:color w:val="231F20"/>
                            <w:sz w:val="18"/>
                          </w:rPr>
                          <w:t>0.0</w:t>
                        </w:r>
                      </w:p>
                    </w:tc>
                    <w:tc>
                      <w:tcPr>
                        <w:tcW w:w="670" w:type="dxa"/>
                      </w:tcPr>
                      <w:p>
                        <w:pPr>
                          <w:pStyle w:val="TableParagraph"/>
                          <w:spacing w:before="73"/>
                          <w:ind w:left="57" w:right="79"/>
                          <w:rPr>
                            <w:sz w:val="18"/>
                          </w:rPr>
                        </w:pPr>
                        <w:r>
                          <w:rPr>
                            <w:color w:val="231F20"/>
                            <w:sz w:val="18"/>
                          </w:rPr>
                          <w:t>11.2</w:t>
                        </w:r>
                      </w:p>
                    </w:tc>
                    <w:tc>
                      <w:tcPr>
                        <w:tcW w:w="1028" w:type="dxa"/>
                      </w:tcPr>
                      <w:p>
                        <w:pPr>
                          <w:pStyle w:val="TableParagraph"/>
                          <w:spacing w:before="73"/>
                          <w:ind w:left="53" w:right="33"/>
                          <w:rPr>
                            <w:sz w:val="18"/>
                          </w:rPr>
                        </w:pPr>
                        <w:r>
                          <w:rPr>
                            <w:color w:val="231F20"/>
                            <w:sz w:val="18"/>
                          </w:rPr>
                          <w:t>17.2</w:t>
                        </w:r>
                      </w:p>
                    </w:tc>
                    <w:tc>
                      <w:tcPr>
                        <w:tcW w:w="668" w:type="dxa"/>
                      </w:tcPr>
                      <w:p>
                        <w:pPr>
                          <w:pStyle w:val="TableParagraph"/>
                          <w:spacing w:before="73"/>
                          <w:ind w:left="50" w:right="65"/>
                          <w:rPr>
                            <w:sz w:val="18"/>
                          </w:rPr>
                        </w:pPr>
                        <w:r>
                          <w:rPr>
                            <w:color w:val="231F20"/>
                            <w:sz w:val="18"/>
                          </w:rPr>
                          <w:t>0.0</w:t>
                        </w:r>
                      </w:p>
                    </w:tc>
                    <w:tc>
                      <w:tcPr>
                        <w:tcW w:w="529" w:type="dxa"/>
                      </w:tcPr>
                      <w:p>
                        <w:pPr>
                          <w:pStyle w:val="TableParagraph"/>
                          <w:spacing w:before="73"/>
                          <w:ind w:left="126"/>
                          <w:jc w:val="left"/>
                          <w:rPr>
                            <w:sz w:val="18"/>
                          </w:rPr>
                        </w:pPr>
                        <w:r>
                          <w:rPr>
                            <w:color w:val="231F20"/>
                            <w:sz w:val="18"/>
                          </w:rPr>
                          <w:t>0.0</w:t>
                        </w:r>
                      </w:p>
                    </w:tc>
                    <w:tc>
                      <w:tcPr>
                        <w:tcW w:w="692" w:type="dxa"/>
                      </w:tcPr>
                      <w:p>
                        <w:pPr>
                          <w:pStyle w:val="TableParagraph"/>
                          <w:spacing w:before="73"/>
                          <w:ind w:left="131" w:right="138"/>
                          <w:rPr>
                            <w:sz w:val="18"/>
                          </w:rPr>
                        </w:pPr>
                        <w:r>
                          <w:rPr>
                            <w:color w:val="231F20"/>
                            <w:sz w:val="18"/>
                          </w:rPr>
                          <w:t>100</w:t>
                        </w:r>
                      </w:p>
                    </w:tc>
                  </w:tr>
                  <w:tr>
                    <w:trPr>
                      <w:trHeight w:val="397" w:hRule="exact"/>
                    </w:trPr>
                    <w:tc>
                      <w:tcPr>
                        <w:tcW w:w="786" w:type="dxa"/>
                      </w:tcPr>
                      <w:p>
                        <w:pPr>
                          <w:pStyle w:val="TableParagraph"/>
                          <w:spacing w:before="52"/>
                          <w:ind w:left="188" w:right="194"/>
                          <w:rPr>
                            <w:rFonts w:ascii="Palatino Linotype"/>
                            <w:b/>
                            <w:sz w:val="18"/>
                          </w:rPr>
                        </w:pPr>
                        <w:r>
                          <w:rPr>
                            <w:rFonts w:ascii="Palatino Linotype"/>
                            <w:b/>
                            <w:color w:val="231F20"/>
                            <w:sz w:val="18"/>
                          </w:rPr>
                          <w:t>1995</w:t>
                        </w:r>
                      </w:p>
                    </w:tc>
                    <w:tc>
                      <w:tcPr>
                        <w:tcW w:w="743" w:type="dxa"/>
                      </w:tcPr>
                      <w:p>
                        <w:pPr>
                          <w:pStyle w:val="TableParagraph"/>
                          <w:spacing w:before="73"/>
                          <w:ind w:right="223"/>
                          <w:jc w:val="right"/>
                          <w:rPr>
                            <w:sz w:val="18"/>
                          </w:rPr>
                        </w:pPr>
                        <w:r>
                          <w:rPr>
                            <w:color w:val="231F20"/>
                            <w:w w:val="95"/>
                            <w:sz w:val="18"/>
                          </w:rPr>
                          <w:t>23.1</w:t>
                        </w:r>
                      </w:p>
                    </w:tc>
                    <w:tc>
                      <w:tcPr>
                        <w:tcW w:w="733" w:type="dxa"/>
                      </w:tcPr>
                      <w:p>
                        <w:pPr>
                          <w:pStyle w:val="TableParagraph"/>
                          <w:spacing w:before="73"/>
                          <w:ind w:left="196" w:right="179"/>
                          <w:rPr>
                            <w:sz w:val="18"/>
                          </w:rPr>
                        </w:pPr>
                        <w:r>
                          <w:rPr>
                            <w:color w:val="231F20"/>
                            <w:sz w:val="18"/>
                          </w:rPr>
                          <w:t>27.1</w:t>
                        </w:r>
                      </w:p>
                    </w:tc>
                    <w:tc>
                      <w:tcPr>
                        <w:tcW w:w="735" w:type="dxa"/>
                      </w:tcPr>
                      <w:p>
                        <w:pPr>
                          <w:pStyle w:val="TableParagraph"/>
                          <w:spacing w:before="73"/>
                          <w:ind w:left="207"/>
                          <w:jc w:val="left"/>
                          <w:rPr>
                            <w:sz w:val="18"/>
                          </w:rPr>
                        </w:pPr>
                        <w:r>
                          <w:rPr>
                            <w:color w:val="231F20"/>
                            <w:sz w:val="18"/>
                          </w:rPr>
                          <w:t>21.1</w:t>
                        </w:r>
                      </w:p>
                    </w:tc>
                    <w:tc>
                      <w:tcPr>
                        <w:tcW w:w="611" w:type="dxa"/>
                      </w:tcPr>
                      <w:p>
                        <w:pPr>
                          <w:pStyle w:val="TableParagraph"/>
                          <w:spacing w:before="73"/>
                          <w:ind w:left="148" w:right="194"/>
                          <w:rPr>
                            <w:sz w:val="18"/>
                          </w:rPr>
                        </w:pPr>
                        <w:r>
                          <w:rPr>
                            <w:color w:val="231F20"/>
                            <w:sz w:val="18"/>
                          </w:rPr>
                          <w:t>0.0</w:t>
                        </w:r>
                      </w:p>
                    </w:tc>
                    <w:tc>
                      <w:tcPr>
                        <w:tcW w:w="670" w:type="dxa"/>
                      </w:tcPr>
                      <w:p>
                        <w:pPr>
                          <w:pStyle w:val="TableParagraph"/>
                          <w:spacing w:before="73"/>
                          <w:ind w:left="56" w:right="79"/>
                          <w:rPr>
                            <w:sz w:val="18"/>
                          </w:rPr>
                        </w:pPr>
                        <w:r>
                          <w:rPr>
                            <w:color w:val="231F20"/>
                            <w:sz w:val="18"/>
                          </w:rPr>
                          <w:t>8.8</w:t>
                        </w:r>
                      </w:p>
                    </w:tc>
                    <w:tc>
                      <w:tcPr>
                        <w:tcW w:w="1028" w:type="dxa"/>
                      </w:tcPr>
                      <w:p>
                        <w:pPr>
                          <w:pStyle w:val="TableParagraph"/>
                          <w:spacing w:before="73"/>
                          <w:ind w:left="53" w:right="33"/>
                          <w:rPr>
                            <w:sz w:val="18"/>
                          </w:rPr>
                        </w:pPr>
                        <w:r>
                          <w:rPr>
                            <w:color w:val="231F20"/>
                            <w:sz w:val="18"/>
                          </w:rPr>
                          <w:t>19.9</w:t>
                        </w:r>
                      </w:p>
                    </w:tc>
                    <w:tc>
                      <w:tcPr>
                        <w:tcW w:w="668" w:type="dxa"/>
                      </w:tcPr>
                      <w:p>
                        <w:pPr>
                          <w:pStyle w:val="TableParagraph"/>
                          <w:spacing w:before="73"/>
                          <w:ind w:left="49" w:right="65"/>
                          <w:rPr>
                            <w:sz w:val="18"/>
                          </w:rPr>
                        </w:pPr>
                        <w:r>
                          <w:rPr>
                            <w:color w:val="231F20"/>
                            <w:sz w:val="18"/>
                          </w:rPr>
                          <w:t>0.0</w:t>
                        </w:r>
                      </w:p>
                    </w:tc>
                    <w:tc>
                      <w:tcPr>
                        <w:tcW w:w="529" w:type="dxa"/>
                      </w:tcPr>
                      <w:p>
                        <w:pPr>
                          <w:pStyle w:val="TableParagraph"/>
                          <w:spacing w:before="73"/>
                          <w:ind w:left="126"/>
                          <w:jc w:val="left"/>
                          <w:rPr>
                            <w:sz w:val="18"/>
                          </w:rPr>
                        </w:pPr>
                        <w:r>
                          <w:rPr>
                            <w:color w:val="231F20"/>
                            <w:sz w:val="18"/>
                          </w:rPr>
                          <w:t>0.0</w:t>
                        </w:r>
                      </w:p>
                    </w:tc>
                    <w:tc>
                      <w:tcPr>
                        <w:tcW w:w="692" w:type="dxa"/>
                      </w:tcPr>
                      <w:p>
                        <w:pPr>
                          <w:pStyle w:val="TableParagraph"/>
                          <w:spacing w:before="73"/>
                          <w:ind w:left="130" w:right="138"/>
                          <w:rPr>
                            <w:sz w:val="18"/>
                          </w:rPr>
                        </w:pPr>
                        <w:r>
                          <w:rPr>
                            <w:color w:val="231F20"/>
                            <w:sz w:val="18"/>
                          </w:rPr>
                          <w:t>100</w:t>
                        </w:r>
                      </w:p>
                    </w:tc>
                  </w:tr>
                  <w:tr>
                    <w:trPr>
                      <w:trHeight w:val="397" w:hRule="exact"/>
                    </w:trPr>
                    <w:tc>
                      <w:tcPr>
                        <w:tcW w:w="786" w:type="dxa"/>
                      </w:tcPr>
                      <w:p>
                        <w:pPr>
                          <w:pStyle w:val="TableParagraph"/>
                          <w:spacing w:before="52"/>
                          <w:ind w:left="188" w:right="195"/>
                          <w:rPr>
                            <w:rFonts w:ascii="Palatino Linotype"/>
                            <w:b/>
                            <w:sz w:val="18"/>
                          </w:rPr>
                        </w:pPr>
                        <w:r>
                          <w:rPr>
                            <w:rFonts w:ascii="Palatino Linotype"/>
                            <w:b/>
                            <w:color w:val="231F20"/>
                            <w:sz w:val="18"/>
                          </w:rPr>
                          <w:t>1996</w:t>
                        </w:r>
                      </w:p>
                    </w:tc>
                    <w:tc>
                      <w:tcPr>
                        <w:tcW w:w="743" w:type="dxa"/>
                      </w:tcPr>
                      <w:p>
                        <w:pPr>
                          <w:pStyle w:val="TableParagraph"/>
                          <w:spacing w:before="73"/>
                          <w:ind w:right="223"/>
                          <w:jc w:val="right"/>
                          <w:rPr>
                            <w:sz w:val="18"/>
                          </w:rPr>
                        </w:pPr>
                        <w:r>
                          <w:rPr>
                            <w:color w:val="231F20"/>
                            <w:w w:val="95"/>
                            <w:sz w:val="18"/>
                          </w:rPr>
                          <w:t>33.5</w:t>
                        </w:r>
                      </w:p>
                    </w:tc>
                    <w:tc>
                      <w:tcPr>
                        <w:tcW w:w="733" w:type="dxa"/>
                      </w:tcPr>
                      <w:p>
                        <w:pPr>
                          <w:pStyle w:val="TableParagraph"/>
                          <w:spacing w:before="73"/>
                          <w:ind w:left="196" w:right="179"/>
                          <w:rPr>
                            <w:sz w:val="18"/>
                          </w:rPr>
                        </w:pPr>
                        <w:r>
                          <w:rPr>
                            <w:color w:val="231F20"/>
                            <w:sz w:val="18"/>
                          </w:rPr>
                          <w:t>18.5</w:t>
                        </w:r>
                      </w:p>
                    </w:tc>
                    <w:tc>
                      <w:tcPr>
                        <w:tcW w:w="735" w:type="dxa"/>
                      </w:tcPr>
                      <w:p>
                        <w:pPr>
                          <w:pStyle w:val="TableParagraph"/>
                          <w:spacing w:before="73"/>
                          <w:ind w:left="207"/>
                          <w:jc w:val="left"/>
                          <w:rPr>
                            <w:sz w:val="18"/>
                          </w:rPr>
                        </w:pPr>
                        <w:r>
                          <w:rPr>
                            <w:color w:val="231F20"/>
                            <w:sz w:val="18"/>
                          </w:rPr>
                          <w:t>20.9</w:t>
                        </w:r>
                      </w:p>
                    </w:tc>
                    <w:tc>
                      <w:tcPr>
                        <w:tcW w:w="611" w:type="dxa"/>
                      </w:tcPr>
                      <w:p>
                        <w:pPr>
                          <w:pStyle w:val="TableParagraph"/>
                          <w:spacing w:before="73"/>
                          <w:ind w:left="148" w:right="194"/>
                          <w:rPr>
                            <w:sz w:val="18"/>
                          </w:rPr>
                        </w:pPr>
                        <w:r>
                          <w:rPr>
                            <w:color w:val="231F20"/>
                            <w:sz w:val="18"/>
                          </w:rPr>
                          <w:t>0.0</w:t>
                        </w:r>
                      </w:p>
                    </w:tc>
                    <w:tc>
                      <w:tcPr>
                        <w:tcW w:w="670" w:type="dxa"/>
                      </w:tcPr>
                      <w:p>
                        <w:pPr>
                          <w:pStyle w:val="TableParagraph"/>
                          <w:spacing w:before="73"/>
                          <w:ind w:left="56" w:right="79"/>
                          <w:rPr>
                            <w:sz w:val="18"/>
                          </w:rPr>
                        </w:pPr>
                        <w:r>
                          <w:rPr>
                            <w:color w:val="231F20"/>
                            <w:sz w:val="18"/>
                          </w:rPr>
                          <w:t>8.8</w:t>
                        </w:r>
                      </w:p>
                    </w:tc>
                    <w:tc>
                      <w:tcPr>
                        <w:tcW w:w="1028" w:type="dxa"/>
                      </w:tcPr>
                      <w:p>
                        <w:pPr>
                          <w:pStyle w:val="TableParagraph"/>
                          <w:spacing w:before="73"/>
                          <w:ind w:left="52" w:right="33"/>
                          <w:rPr>
                            <w:sz w:val="18"/>
                          </w:rPr>
                        </w:pPr>
                        <w:r>
                          <w:rPr>
                            <w:color w:val="231F20"/>
                            <w:sz w:val="18"/>
                          </w:rPr>
                          <w:t>18.3</w:t>
                        </w:r>
                      </w:p>
                    </w:tc>
                    <w:tc>
                      <w:tcPr>
                        <w:tcW w:w="668" w:type="dxa"/>
                      </w:tcPr>
                      <w:p>
                        <w:pPr>
                          <w:pStyle w:val="TableParagraph"/>
                          <w:spacing w:before="73"/>
                          <w:ind w:left="49" w:right="65"/>
                          <w:rPr>
                            <w:sz w:val="18"/>
                          </w:rPr>
                        </w:pPr>
                        <w:r>
                          <w:rPr>
                            <w:color w:val="231F20"/>
                            <w:sz w:val="18"/>
                          </w:rPr>
                          <w:t>0.0</w:t>
                        </w:r>
                      </w:p>
                    </w:tc>
                    <w:tc>
                      <w:tcPr>
                        <w:tcW w:w="529" w:type="dxa"/>
                      </w:tcPr>
                      <w:p>
                        <w:pPr>
                          <w:pStyle w:val="TableParagraph"/>
                          <w:spacing w:before="73"/>
                          <w:ind w:left="126"/>
                          <w:jc w:val="left"/>
                          <w:rPr>
                            <w:sz w:val="18"/>
                          </w:rPr>
                        </w:pPr>
                        <w:r>
                          <w:rPr>
                            <w:color w:val="231F20"/>
                            <w:sz w:val="18"/>
                          </w:rPr>
                          <w:t>0.0</w:t>
                        </w:r>
                      </w:p>
                    </w:tc>
                    <w:tc>
                      <w:tcPr>
                        <w:tcW w:w="692" w:type="dxa"/>
                      </w:tcPr>
                      <w:p>
                        <w:pPr>
                          <w:pStyle w:val="TableParagraph"/>
                          <w:spacing w:before="73"/>
                          <w:ind w:left="130" w:right="138"/>
                          <w:rPr>
                            <w:sz w:val="18"/>
                          </w:rPr>
                        </w:pPr>
                        <w:r>
                          <w:rPr>
                            <w:color w:val="231F20"/>
                            <w:sz w:val="18"/>
                          </w:rPr>
                          <w:t>100</w:t>
                        </w:r>
                      </w:p>
                    </w:tc>
                  </w:tr>
                  <w:tr>
                    <w:trPr>
                      <w:trHeight w:val="397" w:hRule="exact"/>
                    </w:trPr>
                    <w:tc>
                      <w:tcPr>
                        <w:tcW w:w="786" w:type="dxa"/>
                      </w:tcPr>
                      <w:p>
                        <w:pPr>
                          <w:pStyle w:val="TableParagraph"/>
                          <w:spacing w:before="52"/>
                          <w:ind w:left="188" w:right="195"/>
                          <w:rPr>
                            <w:rFonts w:ascii="Palatino Linotype"/>
                            <w:b/>
                            <w:sz w:val="18"/>
                          </w:rPr>
                        </w:pPr>
                        <w:r>
                          <w:rPr>
                            <w:rFonts w:ascii="Palatino Linotype"/>
                            <w:b/>
                            <w:color w:val="231F20"/>
                            <w:sz w:val="18"/>
                          </w:rPr>
                          <w:t>1997</w:t>
                        </w:r>
                      </w:p>
                    </w:tc>
                    <w:tc>
                      <w:tcPr>
                        <w:tcW w:w="743" w:type="dxa"/>
                      </w:tcPr>
                      <w:p>
                        <w:pPr>
                          <w:pStyle w:val="TableParagraph"/>
                          <w:spacing w:before="73"/>
                          <w:ind w:right="223"/>
                          <w:jc w:val="right"/>
                          <w:rPr>
                            <w:sz w:val="18"/>
                          </w:rPr>
                        </w:pPr>
                        <w:r>
                          <w:rPr>
                            <w:color w:val="231F20"/>
                            <w:w w:val="95"/>
                            <w:sz w:val="18"/>
                          </w:rPr>
                          <w:t>30.3</w:t>
                        </w:r>
                      </w:p>
                    </w:tc>
                    <w:tc>
                      <w:tcPr>
                        <w:tcW w:w="733" w:type="dxa"/>
                      </w:tcPr>
                      <w:p>
                        <w:pPr>
                          <w:pStyle w:val="TableParagraph"/>
                          <w:spacing w:before="73"/>
                          <w:ind w:left="196" w:right="179"/>
                          <w:rPr>
                            <w:sz w:val="18"/>
                          </w:rPr>
                        </w:pPr>
                        <w:r>
                          <w:rPr>
                            <w:color w:val="231F20"/>
                            <w:sz w:val="18"/>
                          </w:rPr>
                          <w:t>21.0</w:t>
                        </w:r>
                      </w:p>
                    </w:tc>
                    <w:tc>
                      <w:tcPr>
                        <w:tcW w:w="735" w:type="dxa"/>
                      </w:tcPr>
                      <w:p>
                        <w:pPr>
                          <w:pStyle w:val="TableParagraph"/>
                          <w:spacing w:before="73"/>
                          <w:ind w:left="207"/>
                          <w:jc w:val="left"/>
                          <w:rPr>
                            <w:sz w:val="18"/>
                          </w:rPr>
                        </w:pPr>
                        <w:r>
                          <w:rPr>
                            <w:color w:val="231F20"/>
                            <w:sz w:val="18"/>
                          </w:rPr>
                          <w:t>21.3</w:t>
                        </w:r>
                      </w:p>
                    </w:tc>
                    <w:tc>
                      <w:tcPr>
                        <w:tcW w:w="611" w:type="dxa"/>
                      </w:tcPr>
                      <w:p>
                        <w:pPr>
                          <w:pStyle w:val="TableParagraph"/>
                          <w:spacing w:before="73"/>
                          <w:ind w:left="148" w:right="194"/>
                          <w:rPr>
                            <w:sz w:val="18"/>
                          </w:rPr>
                        </w:pPr>
                        <w:r>
                          <w:rPr>
                            <w:color w:val="231F20"/>
                            <w:sz w:val="18"/>
                          </w:rPr>
                          <w:t>0.0</w:t>
                        </w:r>
                      </w:p>
                    </w:tc>
                    <w:tc>
                      <w:tcPr>
                        <w:tcW w:w="670" w:type="dxa"/>
                      </w:tcPr>
                      <w:p>
                        <w:pPr>
                          <w:pStyle w:val="TableParagraph"/>
                          <w:spacing w:before="73"/>
                          <w:ind w:left="55" w:right="79"/>
                          <w:rPr>
                            <w:sz w:val="18"/>
                          </w:rPr>
                        </w:pPr>
                        <w:r>
                          <w:rPr>
                            <w:color w:val="231F20"/>
                            <w:sz w:val="18"/>
                          </w:rPr>
                          <w:t>8.4</w:t>
                        </w:r>
                      </w:p>
                    </w:tc>
                    <w:tc>
                      <w:tcPr>
                        <w:tcW w:w="1028" w:type="dxa"/>
                      </w:tcPr>
                      <w:p>
                        <w:pPr>
                          <w:pStyle w:val="TableParagraph"/>
                          <w:spacing w:before="73"/>
                          <w:ind w:left="52" w:right="33"/>
                          <w:rPr>
                            <w:sz w:val="18"/>
                          </w:rPr>
                        </w:pPr>
                        <w:r>
                          <w:rPr>
                            <w:color w:val="231F20"/>
                            <w:sz w:val="18"/>
                          </w:rPr>
                          <w:t>19.1</w:t>
                        </w:r>
                      </w:p>
                    </w:tc>
                    <w:tc>
                      <w:tcPr>
                        <w:tcW w:w="668" w:type="dxa"/>
                      </w:tcPr>
                      <w:p>
                        <w:pPr>
                          <w:pStyle w:val="TableParagraph"/>
                          <w:spacing w:before="73"/>
                          <w:ind w:left="49" w:right="65"/>
                          <w:rPr>
                            <w:sz w:val="18"/>
                          </w:rPr>
                        </w:pPr>
                        <w:r>
                          <w:rPr>
                            <w:color w:val="231F20"/>
                            <w:sz w:val="18"/>
                          </w:rPr>
                          <w:t>0.0</w:t>
                        </w:r>
                      </w:p>
                    </w:tc>
                    <w:tc>
                      <w:tcPr>
                        <w:tcW w:w="529" w:type="dxa"/>
                      </w:tcPr>
                      <w:p>
                        <w:pPr>
                          <w:pStyle w:val="TableParagraph"/>
                          <w:spacing w:before="73"/>
                          <w:ind w:left="126"/>
                          <w:jc w:val="left"/>
                          <w:rPr>
                            <w:sz w:val="18"/>
                          </w:rPr>
                        </w:pPr>
                        <w:r>
                          <w:rPr>
                            <w:color w:val="231F20"/>
                            <w:sz w:val="18"/>
                          </w:rPr>
                          <w:t>0.0</w:t>
                        </w:r>
                      </w:p>
                    </w:tc>
                    <w:tc>
                      <w:tcPr>
                        <w:tcW w:w="692" w:type="dxa"/>
                      </w:tcPr>
                      <w:p>
                        <w:pPr>
                          <w:pStyle w:val="TableParagraph"/>
                          <w:spacing w:before="73"/>
                          <w:ind w:left="130" w:right="138"/>
                          <w:rPr>
                            <w:sz w:val="18"/>
                          </w:rPr>
                        </w:pPr>
                        <w:r>
                          <w:rPr>
                            <w:color w:val="231F20"/>
                            <w:sz w:val="18"/>
                          </w:rPr>
                          <w:t>100</w:t>
                        </w:r>
                      </w:p>
                    </w:tc>
                  </w:tr>
                  <w:tr>
                    <w:trPr>
                      <w:trHeight w:val="397" w:hRule="exact"/>
                    </w:trPr>
                    <w:tc>
                      <w:tcPr>
                        <w:tcW w:w="786" w:type="dxa"/>
                      </w:tcPr>
                      <w:p>
                        <w:pPr>
                          <w:pStyle w:val="TableParagraph"/>
                          <w:spacing w:before="52"/>
                          <w:ind w:left="188" w:right="195"/>
                          <w:rPr>
                            <w:rFonts w:ascii="Palatino Linotype"/>
                            <w:b/>
                            <w:sz w:val="18"/>
                          </w:rPr>
                        </w:pPr>
                        <w:r>
                          <w:rPr>
                            <w:rFonts w:ascii="Palatino Linotype"/>
                            <w:b/>
                            <w:color w:val="231F20"/>
                            <w:sz w:val="18"/>
                          </w:rPr>
                          <w:t>1998</w:t>
                        </w:r>
                      </w:p>
                    </w:tc>
                    <w:tc>
                      <w:tcPr>
                        <w:tcW w:w="743" w:type="dxa"/>
                      </w:tcPr>
                      <w:p>
                        <w:pPr>
                          <w:pStyle w:val="TableParagraph"/>
                          <w:spacing w:before="73"/>
                          <w:ind w:right="225"/>
                          <w:jc w:val="right"/>
                          <w:rPr>
                            <w:sz w:val="18"/>
                          </w:rPr>
                        </w:pPr>
                        <w:r>
                          <w:rPr>
                            <w:color w:val="231F20"/>
                            <w:w w:val="95"/>
                            <w:sz w:val="18"/>
                          </w:rPr>
                          <w:t>30.6</w:t>
                        </w:r>
                      </w:p>
                    </w:tc>
                    <w:tc>
                      <w:tcPr>
                        <w:tcW w:w="733" w:type="dxa"/>
                      </w:tcPr>
                      <w:p>
                        <w:pPr>
                          <w:pStyle w:val="TableParagraph"/>
                          <w:spacing w:before="73"/>
                          <w:ind w:left="195" w:right="179"/>
                          <w:rPr>
                            <w:sz w:val="18"/>
                          </w:rPr>
                        </w:pPr>
                        <w:r>
                          <w:rPr>
                            <w:color w:val="231F20"/>
                            <w:sz w:val="18"/>
                          </w:rPr>
                          <w:t>17.8</w:t>
                        </w:r>
                      </w:p>
                    </w:tc>
                    <w:tc>
                      <w:tcPr>
                        <w:tcW w:w="735" w:type="dxa"/>
                      </w:tcPr>
                      <w:p>
                        <w:pPr>
                          <w:pStyle w:val="TableParagraph"/>
                          <w:spacing w:before="73"/>
                          <w:ind w:left="207"/>
                          <w:jc w:val="left"/>
                          <w:rPr>
                            <w:sz w:val="18"/>
                          </w:rPr>
                        </w:pPr>
                        <w:r>
                          <w:rPr>
                            <w:color w:val="231F20"/>
                            <w:sz w:val="18"/>
                          </w:rPr>
                          <w:t>20.5</w:t>
                        </w:r>
                      </w:p>
                    </w:tc>
                    <w:tc>
                      <w:tcPr>
                        <w:tcW w:w="611" w:type="dxa"/>
                      </w:tcPr>
                      <w:p>
                        <w:pPr>
                          <w:pStyle w:val="TableParagraph"/>
                          <w:spacing w:before="73"/>
                          <w:ind w:left="147" w:right="194"/>
                          <w:rPr>
                            <w:sz w:val="18"/>
                          </w:rPr>
                        </w:pPr>
                        <w:r>
                          <w:rPr>
                            <w:color w:val="231F20"/>
                            <w:sz w:val="18"/>
                          </w:rPr>
                          <w:t>0.0</w:t>
                        </w:r>
                      </w:p>
                    </w:tc>
                    <w:tc>
                      <w:tcPr>
                        <w:tcW w:w="670" w:type="dxa"/>
                      </w:tcPr>
                      <w:p>
                        <w:pPr>
                          <w:pStyle w:val="TableParagraph"/>
                          <w:spacing w:before="73"/>
                          <w:ind w:left="55" w:right="79"/>
                          <w:rPr>
                            <w:sz w:val="18"/>
                          </w:rPr>
                        </w:pPr>
                        <w:r>
                          <w:rPr>
                            <w:color w:val="231F20"/>
                            <w:sz w:val="18"/>
                          </w:rPr>
                          <w:t>5.7</w:t>
                        </w:r>
                      </w:p>
                    </w:tc>
                    <w:tc>
                      <w:tcPr>
                        <w:tcW w:w="1028" w:type="dxa"/>
                      </w:tcPr>
                      <w:p>
                        <w:pPr>
                          <w:pStyle w:val="TableParagraph"/>
                          <w:spacing w:before="73"/>
                          <w:ind w:left="52" w:right="33"/>
                          <w:rPr>
                            <w:sz w:val="18"/>
                          </w:rPr>
                        </w:pPr>
                        <w:r>
                          <w:rPr>
                            <w:color w:val="231F20"/>
                            <w:sz w:val="18"/>
                          </w:rPr>
                          <w:t>25.3</w:t>
                        </w:r>
                      </w:p>
                    </w:tc>
                    <w:tc>
                      <w:tcPr>
                        <w:tcW w:w="668" w:type="dxa"/>
                      </w:tcPr>
                      <w:p>
                        <w:pPr>
                          <w:pStyle w:val="TableParagraph"/>
                          <w:spacing w:before="73"/>
                          <w:ind w:left="48" w:right="65"/>
                          <w:rPr>
                            <w:sz w:val="18"/>
                          </w:rPr>
                        </w:pPr>
                        <w:r>
                          <w:rPr>
                            <w:color w:val="231F20"/>
                            <w:sz w:val="18"/>
                          </w:rPr>
                          <w:t>0.0</w:t>
                        </w:r>
                      </w:p>
                    </w:tc>
                    <w:tc>
                      <w:tcPr>
                        <w:tcW w:w="529" w:type="dxa"/>
                      </w:tcPr>
                      <w:p>
                        <w:pPr>
                          <w:pStyle w:val="TableParagraph"/>
                          <w:spacing w:before="73"/>
                          <w:ind w:left="126"/>
                          <w:jc w:val="left"/>
                          <w:rPr>
                            <w:sz w:val="18"/>
                          </w:rPr>
                        </w:pPr>
                        <w:r>
                          <w:rPr>
                            <w:color w:val="231F20"/>
                            <w:sz w:val="18"/>
                          </w:rPr>
                          <w:t>0.0</w:t>
                        </w:r>
                      </w:p>
                    </w:tc>
                    <w:tc>
                      <w:tcPr>
                        <w:tcW w:w="692" w:type="dxa"/>
                      </w:tcPr>
                      <w:p>
                        <w:pPr>
                          <w:pStyle w:val="TableParagraph"/>
                          <w:spacing w:before="73"/>
                          <w:ind w:left="129" w:right="138"/>
                          <w:rPr>
                            <w:sz w:val="18"/>
                          </w:rPr>
                        </w:pPr>
                        <w:r>
                          <w:rPr>
                            <w:color w:val="231F20"/>
                            <w:sz w:val="18"/>
                          </w:rPr>
                          <w:t>100</w:t>
                        </w:r>
                      </w:p>
                    </w:tc>
                  </w:tr>
                  <w:tr>
                    <w:trPr>
                      <w:trHeight w:val="397" w:hRule="exact"/>
                    </w:trPr>
                    <w:tc>
                      <w:tcPr>
                        <w:tcW w:w="786" w:type="dxa"/>
                      </w:tcPr>
                      <w:p>
                        <w:pPr>
                          <w:pStyle w:val="TableParagraph"/>
                          <w:spacing w:before="52"/>
                          <w:ind w:left="187" w:right="195"/>
                          <w:rPr>
                            <w:rFonts w:ascii="Palatino Linotype"/>
                            <w:b/>
                            <w:sz w:val="18"/>
                          </w:rPr>
                        </w:pPr>
                        <w:r>
                          <w:rPr>
                            <w:rFonts w:ascii="Palatino Linotype"/>
                            <w:b/>
                            <w:color w:val="231F20"/>
                            <w:sz w:val="18"/>
                          </w:rPr>
                          <w:t>1999</w:t>
                        </w:r>
                      </w:p>
                    </w:tc>
                    <w:tc>
                      <w:tcPr>
                        <w:tcW w:w="743" w:type="dxa"/>
                      </w:tcPr>
                      <w:p>
                        <w:pPr>
                          <w:pStyle w:val="TableParagraph"/>
                          <w:spacing w:before="73"/>
                          <w:ind w:right="224"/>
                          <w:jc w:val="right"/>
                          <w:rPr>
                            <w:sz w:val="18"/>
                          </w:rPr>
                        </w:pPr>
                        <w:r>
                          <w:rPr>
                            <w:color w:val="231F20"/>
                            <w:w w:val="95"/>
                            <w:sz w:val="18"/>
                          </w:rPr>
                          <w:t>27.3</w:t>
                        </w:r>
                      </w:p>
                    </w:tc>
                    <w:tc>
                      <w:tcPr>
                        <w:tcW w:w="733" w:type="dxa"/>
                      </w:tcPr>
                      <w:p>
                        <w:pPr>
                          <w:pStyle w:val="TableParagraph"/>
                          <w:spacing w:before="73"/>
                          <w:ind w:left="195" w:right="179"/>
                          <w:rPr>
                            <w:sz w:val="18"/>
                          </w:rPr>
                        </w:pPr>
                        <w:r>
                          <w:rPr>
                            <w:color w:val="231F20"/>
                            <w:sz w:val="18"/>
                          </w:rPr>
                          <w:t>16.6</w:t>
                        </w:r>
                      </w:p>
                    </w:tc>
                    <w:tc>
                      <w:tcPr>
                        <w:tcW w:w="735" w:type="dxa"/>
                      </w:tcPr>
                      <w:p>
                        <w:pPr>
                          <w:pStyle w:val="TableParagraph"/>
                          <w:spacing w:before="73"/>
                          <w:ind w:left="206"/>
                          <w:jc w:val="left"/>
                          <w:rPr>
                            <w:sz w:val="18"/>
                          </w:rPr>
                        </w:pPr>
                        <w:r>
                          <w:rPr>
                            <w:color w:val="231F20"/>
                            <w:sz w:val="18"/>
                          </w:rPr>
                          <w:t>19.1</w:t>
                        </w:r>
                      </w:p>
                    </w:tc>
                    <w:tc>
                      <w:tcPr>
                        <w:tcW w:w="611" w:type="dxa"/>
                      </w:tcPr>
                      <w:p>
                        <w:pPr>
                          <w:pStyle w:val="TableParagraph"/>
                          <w:spacing w:before="73"/>
                          <w:ind w:left="147" w:right="194"/>
                          <w:rPr>
                            <w:sz w:val="18"/>
                          </w:rPr>
                        </w:pPr>
                        <w:r>
                          <w:rPr>
                            <w:color w:val="231F20"/>
                            <w:sz w:val="18"/>
                          </w:rPr>
                          <w:t>0.2</w:t>
                        </w:r>
                      </w:p>
                    </w:tc>
                    <w:tc>
                      <w:tcPr>
                        <w:tcW w:w="670" w:type="dxa"/>
                      </w:tcPr>
                      <w:p>
                        <w:pPr>
                          <w:pStyle w:val="TableParagraph"/>
                          <w:spacing w:before="73"/>
                          <w:ind w:left="55" w:right="79"/>
                          <w:rPr>
                            <w:sz w:val="18"/>
                          </w:rPr>
                        </w:pPr>
                        <w:r>
                          <w:rPr>
                            <w:color w:val="231F20"/>
                            <w:sz w:val="18"/>
                          </w:rPr>
                          <w:t>5.1</w:t>
                        </w:r>
                      </w:p>
                    </w:tc>
                    <w:tc>
                      <w:tcPr>
                        <w:tcW w:w="1028" w:type="dxa"/>
                      </w:tcPr>
                      <w:p>
                        <w:pPr>
                          <w:pStyle w:val="TableParagraph"/>
                          <w:spacing w:before="73"/>
                          <w:ind w:left="51" w:right="33"/>
                          <w:rPr>
                            <w:sz w:val="18"/>
                          </w:rPr>
                        </w:pPr>
                        <w:r>
                          <w:rPr>
                            <w:color w:val="231F20"/>
                            <w:sz w:val="18"/>
                          </w:rPr>
                          <w:t>31.7</w:t>
                        </w:r>
                      </w:p>
                    </w:tc>
                    <w:tc>
                      <w:tcPr>
                        <w:tcW w:w="668" w:type="dxa"/>
                      </w:tcPr>
                      <w:p>
                        <w:pPr>
                          <w:pStyle w:val="TableParagraph"/>
                          <w:spacing w:before="73"/>
                          <w:ind w:left="48" w:right="65"/>
                          <w:rPr>
                            <w:sz w:val="18"/>
                          </w:rPr>
                        </w:pPr>
                        <w:r>
                          <w:rPr>
                            <w:color w:val="231F20"/>
                            <w:sz w:val="18"/>
                          </w:rPr>
                          <w:t>0.0</w:t>
                        </w:r>
                      </w:p>
                    </w:tc>
                    <w:tc>
                      <w:tcPr>
                        <w:tcW w:w="529" w:type="dxa"/>
                      </w:tcPr>
                      <w:p>
                        <w:pPr>
                          <w:pStyle w:val="TableParagraph"/>
                          <w:spacing w:before="73"/>
                          <w:ind w:left="125"/>
                          <w:jc w:val="left"/>
                          <w:rPr>
                            <w:sz w:val="18"/>
                          </w:rPr>
                        </w:pPr>
                        <w:r>
                          <w:rPr>
                            <w:color w:val="231F20"/>
                            <w:sz w:val="18"/>
                          </w:rPr>
                          <w:t>0.0</w:t>
                        </w:r>
                      </w:p>
                    </w:tc>
                    <w:tc>
                      <w:tcPr>
                        <w:tcW w:w="692" w:type="dxa"/>
                      </w:tcPr>
                      <w:p>
                        <w:pPr>
                          <w:pStyle w:val="TableParagraph"/>
                          <w:spacing w:before="73"/>
                          <w:ind w:left="129" w:right="138"/>
                          <w:rPr>
                            <w:sz w:val="18"/>
                          </w:rPr>
                        </w:pPr>
                        <w:r>
                          <w:rPr>
                            <w:color w:val="231F20"/>
                            <w:sz w:val="18"/>
                          </w:rPr>
                          <w:t>100</w:t>
                        </w:r>
                      </w:p>
                    </w:tc>
                  </w:tr>
                  <w:tr>
                    <w:trPr>
                      <w:trHeight w:val="397" w:hRule="exact"/>
                    </w:trPr>
                    <w:tc>
                      <w:tcPr>
                        <w:tcW w:w="786" w:type="dxa"/>
                      </w:tcPr>
                      <w:p>
                        <w:pPr>
                          <w:pStyle w:val="TableParagraph"/>
                          <w:spacing w:before="52"/>
                          <w:ind w:left="187" w:right="195"/>
                          <w:rPr>
                            <w:rFonts w:ascii="Palatino Linotype"/>
                            <w:b/>
                            <w:sz w:val="18"/>
                          </w:rPr>
                        </w:pPr>
                        <w:r>
                          <w:rPr>
                            <w:rFonts w:ascii="Palatino Linotype"/>
                            <w:b/>
                            <w:color w:val="231F20"/>
                            <w:sz w:val="18"/>
                          </w:rPr>
                          <w:t>2000</w:t>
                        </w:r>
                      </w:p>
                    </w:tc>
                    <w:tc>
                      <w:tcPr>
                        <w:tcW w:w="743" w:type="dxa"/>
                      </w:tcPr>
                      <w:p>
                        <w:pPr>
                          <w:pStyle w:val="TableParagraph"/>
                          <w:spacing w:before="73"/>
                          <w:ind w:right="224"/>
                          <w:jc w:val="right"/>
                          <w:rPr>
                            <w:sz w:val="18"/>
                          </w:rPr>
                        </w:pPr>
                        <w:r>
                          <w:rPr>
                            <w:color w:val="231F20"/>
                            <w:w w:val="95"/>
                            <w:sz w:val="18"/>
                          </w:rPr>
                          <w:t>25.9</w:t>
                        </w:r>
                      </w:p>
                    </w:tc>
                    <w:tc>
                      <w:tcPr>
                        <w:tcW w:w="733" w:type="dxa"/>
                      </w:tcPr>
                      <w:p>
                        <w:pPr>
                          <w:pStyle w:val="TableParagraph"/>
                          <w:spacing w:before="73"/>
                          <w:ind w:left="194" w:right="179"/>
                          <w:rPr>
                            <w:sz w:val="18"/>
                          </w:rPr>
                        </w:pPr>
                        <w:r>
                          <w:rPr>
                            <w:color w:val="231F20"/>
                            <w:sz w:val="18"/>
                          </w:rPr>
                          <w:t>16.4</w:t>
                        </w:r>
                      </w:p>
                    </w:tc>
                    <w:tc>
                      <w:tcPr>
                        <w:tcW w:w="735" w:type="dxa"/>
                      </w:tcPr>
                      <w:p>
                        <w:pPr>
                          <w:pStyle w:val="TableParagraph"/>
                          <w:spacing w:before="73"/>
                          <w:ind w:left="206"/>
                          <w:jc w:val="left"/>
                          <w:rPr>
                            <w:sz w:val="18"/>
                          </w:rPr>
                        </w:pPr>
                        <w:r>
                          <w:rPr>
                            <w:color w:val="231F20"/>
                            <w:sz w:val="18"/>
                          </w:rPr>
                          <w:t>22.7</w:t>
                        </w:r>
                      </w:p>
                    </w:tc>
                    <w:tc>
                      <w:tcPr>
                        <w:tcW w:w="611" w:type="dxa"/>
                      </w:tcPr>
                      <w:p>
                        <w:pPr>
                          <w:pStyle w:val="TableParagraph"/>
                          <w:spacing w:before="73"/>
                          <w:ind w:left="146" w:right="194"/>
                          <w:rPr>
                            <w:sz w:val="18"/>
                          </w:rPr>
                        </w:pPr>
                        <w:r>
                          <w:rPr>
                            <w:color w:val="231F20"/>
                            <w:sz w:val="18"/>
                          </w:rPr>
                          <w:t>0.5</w:t>
                        </w:r>
                      </w:p>
                    </w:tc>
                    <w:tc>
                      <w:tcPr>
                        <w:tcW w:w="670" w:type="dxa"/>
                      </w:tcPr>
                      <w:p>
                        <w:pPr>
                          <w:pStyle w:val="TableParagraph"/>
                          <w:spacing w:before="73"/>
                          <w:ind w:left="54" w:right="79"/>
                          <w:rPr>
                            <w:sz w:val="18"/>
                          </w:rPr>
                        </w:pPr>
                        <w:r>
                          <w:rPr>
                            <w:color w:val="231F20"/>
                            <w:sz w:val="18"/>
                          </w:rPr>
                          <w:t>10.7</w:t>
                        </w:r>
                      </w:p>
                    </w:tc>
                    <w:tc>
                      <w:tcPr>
                        <w:tcW w:w="1028" w:type="dxa"/>
                      </w:tcPr>
                      <w:p>
                        <w:pPr>
                          <w:pStyle w:val="TableParagraph"/>
                          <w:spacing w:before="73"/>
                          <w:ind w:left="51" w:right="33"/>
                          <w:rPr>
                            <w:sz w:val="18"/>
                          </w:rPr>
                        </w:pPr>
                        <w:r>
                          <w:rPr>
                            <w:color w:val="231F20"/>
                            <w:sz w:val="18"/>
                          </w:rPr>
                          <w:t>23.7</w:t>
                        </w:r>
                      </w:p>
                    </w:tc>
                    <w:tc>
                      <w:tcPr>
                        <w:tcW w:w="668" w:type="dxa"/>
                      </w:tcPr>
                      <w:p>
                        <w:pPr>
                          <w:pStyle w:val="TableParagraph"/>
                          <w:spacing w:before="73"/>
                          <w:ind w:left="46" w:right="65"/>
                          <w:rPr>
                            <w:sz w:val="18"/>
                          </w:rPr>
                        </w:pPr>
                        <w:r>
                          <w:rPr>
                            <w:color w:val="231F20"/>
                            <w:sz w:val="18"/>
                          </w:rPr>
                          <w:t>0.0</w:t>
                        </w:r>
                      </w:p>
                    </w:tc>
                    <w:tc>
                      <w:tcPr>
                        <w:tcW w:w="529" w:type="dxa"/>
                      </w:tcPr>
                      <w:p>
                        <w:pPr>
                          <w:pStyle w:val="TableParagraph"/>
                          <w:spacing w:before="73"/>
                          <w:ind w:left="125"/>
                          <w:jc w:val="left"/>
                          <w:rPr>
                            <w:sz w:val="18"/>
                          </w:rPr>
                        </w:pPr>
                        <w:r>
                          <w:rPr>
                            <w:color w:val="231F20"/>
                            <w:sz w:val="18"/>
                          </w:rPr>
                          <w:t>0.0</w:t>
                        </w:r>
                      </w:p>
                    </w:tc>
                    <w:tc>
                      <w:tcPr>
                        <w:tcW w:w="692" w:type="dxa"/>
                      </w:tcPr>
                      <w:p>
                        <w:pPr>
                          <w:pStyle w:val="TableParagraph"/>
                          <w:spacing w:before="73"/>
                          <w:ind w:left="128" w:right="138"/>
                          <w:rPr>
                            <w:sz w:val="18"/>
                          </w:rPr>
                        </w:pPr>
                        <w:r>
                          <w:rPr>
                            <w:color w:val="231F20"/>
                            <w:sz w:val="18"/>
                          </w:rPr>
                          <w:t>100</w:t>
                        </w:r>
                      </w:p>
                    </w:tc>
                  </w:tr>
                  <w:tr>
                    <w:trPr>
                      <w:trHeight w:val="397" w:hRule="exact"/>
                    </w:trPr>
                    <w:tc>
                      <w:tcPr>
                        <w:tcW w:w="786" w:type="dxa"/>
                      </w:tcPr>
                      <w:p>
                        <w:pPr>
                          <w:pStyle w:val="TableParagraph"/>
                          <w:spacing w:before="52"/>
                          <w:ind w:left="186" w:right="195"/>
                          <w:rPr>
                            <w:rFonts w:ascii="Palatino Linotype"/>
                            <w:b/>
                            <w:sz w:val="18"/>
                          </w:rPr>
                        </w:pPr>
                        <w:r>
                          <w:rPr>
                            <w:rFonts w:ascii="Palatino Linotype"/>
                            <w:b/>
                            <w:color w:val="231F20"/>
                            <w:sz w:val="18"/>
                          </w:rPr>
                          <w:t>2001</w:t>
                        </w:r>
                      </w:p>
                    </w:tc>
                    <w:tc>
                      <w:tcPr>
                        <w:tcW w:w="743" w:type="dxa"/>
                      </w:tcPr>
                      <w:p>
                        <w:pPr>
                          <w:pStyle w:val="TableParagraph"/>
                          <w:spacing w:before="73"/>
                          <w:ind w:right="224"/>
                          <w:jc w:val="right"/>
                          <w:rPr>
                            <w:sz w:val="18"/>
                          </w:rPr>
                        </w:pPr>
                        <w:r>
                          <w:rPr>
                            <w:color w:val="231F20"/>
                            <w:w w:val="95"/>
                            <w:sz w:val="18"/>
                          </w:rPr>
                          <w:t>27.5</w:t>
                        </w:r>
                      </w:p>
                    </w:tc>
                    <w:tc>
                      <w:tcPr>
                        <w:tcW w:w="733" w:type="dxa"/>
                      </w:tcPr>
                      <w:p>
                        <w:pPr>
                          <w:pStyle w:val="TableParagraph"/>
                          <w:spacing w:before="73"/>
                          <w:ind w:left="194" w:right="179"/>
                          <w:rPr>
                            <w:sz w:val="18"/>
                          </w:rPr>
                        </w:pPr>
                        <w:r>
                          <w:rPr>
                            <w:color w:val="231F20"/>
                            <w:sz w:val="18"/>
                          </w:rPr>
                          <w:t>14.0</w:t>
                        </w:r>
                      </w:p>
                    </w:tc>
                    <w:tc>
                      <w:tcPr>
                        <w:tcW w:w="735" w:type="dxa"/>
                      </w:tcPr>
                      <w:p>
                        <w:pPr>
                          <w:pStyle w:val="TableParagraph"/>
                          <w:spacing w:before="73"/>
                          <w:ind w:left="206"/>
                          <w:jc w:val="left"/>
                          <w:rPr>
                            <w:sz w:val="18"/>
                          </w:rPr>
                        </w:pPr>
                        <w:r>
                          <w:rPr>
                            <w:color w:val="231F20"/>
                            <w:sz w:val="18"/>
                          </w:rPr>
                          <w:t>25.2</w:t>
                        </w:r>
                      </w:p>
                    </w:tc>
                    <w:tc>
                      <w:tcPr>
                        <w:tcW w:w="611" w:type="dxa"/>
                      </w:tcPr>
                      <w:p>
                        <w:pPr>
                          <w:pStyle w:val="TableParagraph"/>
                          <w:spacing w:before="73"/>
                          <w:ind w:left="146" w:right="194"/>
                          <w:rPr>
                            <w:sz w:val="18"/>
                          </w:rPr>
                        </w:pPr>
                        <w:r>
                          <w:rPr>
                            <w:color w:val="231F20"/>
                            <w:sz w:val="18"/>
                          </w:rPr>
                          <w:t>1.0</w:t>
                        </w:r>
                      </w:p>
                    </w:tc>
                    <w:tc>
                      <w:tcPr>
                        <w:tcW w:w="670" w:type="dxa"/>
                      </w:tcPr>
                      <w:p>
                        <w:pPr>
                          <w:pStyle w:val="TableParagraph"/>
                          <w:spacing w:before="73"/>
                          <w:ind w:left="54" w:right="79"/>
                          <w:rPr>
                            <w:sz w:val="18"/>
                          </w:rPr>
                        </w:pPr>
                        <w:r>
                          <w:rPr>
                            <w:color w:val="231F20"/>
                            <w:sz w:val="18"/>
                          </w:rPr>
                          <w:t>11.0</w:t>
                        </w:r>
                      </w:p>
                    </w:tc>
                    <w:tc>
                      <w:tcPr>
                        <w:tcW w:w="1028" w:type="dxa"/>
                      </w:tcPr>
                      <w:p>
                        <w:pPr>
                          <w:pStyle w:val="TableParagraph"/>
                          <w:spacing w:before="73"/>
                          <w:ind w:left="50" w:right="33"/>
                          <w:rPr>
                            <w:sz w:val="18"/>
                          </w:rPr>
                        </w:pPr>
                        <w:r>
                          <w:rPr>
                            <w:color w:val="231F20"/>
                            <w:sz w:val="18"/>
                          </w:rPr>
                          <w:t>21.4</w:t>
                        </w:r>
                      </w:p>
                    </w:tc>
                    <w:tc>
                      <w:tcPr>
                        <w:tcW w:w="668" w:type="dxa"/>
                      </w:tcPr>
                      <w:p>
                        <w:pPr>
                          <w:pStyle w:val="TableParagraph"/>
                          <w:spacing w:before="73"/>
                          <w:ind w:left="47" w:right="65"/>
                          <w:rPr>
                            <w:sz w:val="18"/>
                          </w:rPr>
                        </w:pPr>
                        <w:r>
                          <w:rPr>
                            <w:color w:val="231F20"/>
                            <w:sz w:val="18"/>
                          </w:rPr>
                          <w:t>0.0</w:t>
                        </w:r>
                      </w:p>
                    </w:tc>
                    <w:tc>
                      <w:tcPr>
                        <w:tcW w:w="529" w:type="dxa"/>
                      </w:tcPr>
                      <w:p>
                        <w:pPr>
                          <w:pStyle w:val="TableParagraph"/>
                          <w:spacing w:before="73"/>
                          <w:ind w:left="125"/>
                          <w:jc w:val="left"/>
                          <w:rPr>
                            <w:sz w:val="18"/>
                          </w:rPr>
                        </w:pPr>
                        <w:r>
                          <w:rPr>
                            <w:color w:val="231F20"/>
                            <w:sz w:val="18"/>
                          </w:rPr>
                          <w:t>0.0</w:t>
                        </w:r>
                      </w:p>
                    </w:tc>
                    <w:tc>
                      <w:tcPr>
                        <w:tcW w:w="692" w:type="dxa"/>
                      </w:tcPr>
                      <w:p>
                        <w:pPr>
                          <w:pStyle w:val="TableParagraph"/>
                          <w:spacing w:before="73"/>
                          <w:ind w:left="128" w:right="138"/>
                          <w:rPr>
                            <w:sz w:val="18"/>
                          </w:rPr>
                        </w:pPr>
                        <w:r>
                          <w:rPr>
                            <w:color w:val="231F20"/>
                            <w:sz w:val="18"/>
                          </w:rPr>
                          <w:t>100</w:t>
                        </w:r>
                      </w:p>
                    </w:tc>
                  </w:tr>
                  <w:tr>
                    <w:trPr>
                      <w:trHeight w:val="373" w:hRule="exact"/>
                    </w:trPr>
                    <w:tc>
                      <w:tcPr>
                        <w:tcW w:w="786" w:type="dxa"/>
                        <w:tcBorders>
                          <w:bottom w:val="single" w:sz="4" w:space="0" w:color="231F20"/>
                        </w:tcBorders>
                      </w:tcPr>
                      <w:p>
                        <w:pPr>
                          <w:pStyle w:val="TableParagraph"/>
                          <w:spacing w:before="52"/>
                          <w:ind w:left="186" w:right="195"/>
                          <w:rPr>
                            <w:rFonts w:ascii="Palatino Linotype"/>
                            <w:b/>
                            <w:sz w:val="18"/>
                          </w:rPr>
                        </w:pPr>
                        <w:r>
                          <w:rPr>
                            <w:rFonts w:ascii="Palatino Linotype"/>
                            <w:b/>
                            <w:color w:val="231F20"/>
                            <w:sz w:val="18"/>
                          </w:rPr>
                          <w:t>2002</w:t>
                        </w:r>
                      </w:p>
                    </w:tc>
                    <w:tc>
                      <w:tcPr>
                        <w:tcW w:w="743" w:type="dxa"/>
                        <w:tcBorders>
                          <w:bottom w:val="single" w:sz="4" w:space="0" w:color="231F20"/>
                        </w:tcBorders>
                      </w:tcPr>
                      <w:p>
                        <w:pPr>
                          <w:pStyle w:val="TableParagraph"/>
                          <w:spacing w:before="73"/>
                          <w:ind w:right="224"/>
                          <w:jc w:val="right"/>
                          <w:rPr>
                            <w:sz w:val="18"/>
                          </w:rPr>
                        </w:pPr>
                        <w:r>
                          <w:rPr>
                            <w:color w:val="231F20"/>
                            <w:w w:val="95"/>
                            <w:sz w:val="18"/>
                          </w:rPr>
                          <w:t>28.0</w:t>
                        </w:r>
                      </w:p>
                    </w:tc>
                    <w:tc>
                      <w:tcPr>
                        <w:tcW w:w="733" w:type="dxa"/>
                        <w:tcBorders>
                          <w:bottom w:val="single" w:sz="4" w:space="0" w:color="231F20"/>
                        </w:tcBorders>
                      </w:tcPr>
                      <w:p>
                        <w:pPr>
                          <w:pStyle w:val="TableParagraph"/>
                          <w:spacing w:before="73"/>
                          <w:ind w:left="194" w:right="179"/>
                          <w:rPr>
                            <w:sz w:val="18"/>
                          </w:rPr>
                        </w:pPr>
                        <w:r>
                          <w:rPr>
                            <w:color w:val="231F20"/>
                            <w:sz w:val="18"/>
                          </w:rPr>
                          <w:t>10.5</w:t>
                        </w:r>
                      </w:p>
                    </w:tc>
                    <w:tc>
                      <w:tcPr>
                        <w:tcW w:w="735" w:type="dxa"/>
                        <w:tcBorders>
                          <w:bottom w:val="single" w:sz="4" w:space="0" w:color="231F20"/>
                        </w:tcBorders>
                      </w:tcPr>
                      <w:p>
                        <w:pPr>
                          <w:pStyle w:val="TableParagraph"/>
                          <w:spacing w:before="73"/>
                          <w:ind w:left="206"/>
                          <w:jc w:val="left"/>
                          <w:rPr>
                            <w:sz w:val="18"/>
                          </w:rPr>
                        </w:pPr>
                        <w:r>
                          <w:rPr>
                            <w:color w:val="231F20"/>
                            <w:sz w:val="18"/>
                          </w:rPr>
                          <w:t>29.6</w:t>
                        </w:r>
                      </w:p>
                    </w:tc>
                    <w:tc>
                      <w:tcPr>
                        <w:tcW w:w="611" w:type="dxa"/>
                        <w:tcBorders>
                          <w:bottom w:val="single" w:sz="4" w:space="0" w:color="231F20"/>
                        </w:tcBorders>
                      </w:tcPr>
                      <w:p>
                        <w:pPr>
                          <w:pStyle w:val="TableParagraph"/>
                          <w:spacing w:before="73"/>
                          <w:ind w:left="146" w:right="194"/>
                          <w:rPr>
                            <w:sz w:val="18"/>
                          </w:rPr>
                        </w:pPr>
                        <w:r>
                          <w:rPr>
                            <w:color w:val="231F20"/>
                            <w:sz w:val="18"/>
                          </w:rPr>
                          <w:t>1.1</w:t>
                        </w:r>
                      </w:p>
                    </w:tc>
                    <w:tc>
                      <w:tcPr>
                        <w:tcW w:w="670" w:type="dxa"/>
                        <w:tcBorders>
                          <w:bottom w:val="single" w:sz="4" w:space="0" w:color="231F20"/>
                        </w:tcBorders>
                      </w:tcPr>
                      <w:p>
                        <w:pPr>
                          <w:pStyle w:val="TableParagraph"/>
                          <w:spacing w:before="73"/>
                          <w:ind w:left="54" w:right="79"/>
                          <w:rPr>
                            <w:sz w:val="18"/>
                          </w:rPr>
                        </w:pPr>
                        <w:r>
                          <w:rPr>
                            <w:color w:val="231F20"/>
                            <w:sz w:val="18"/>
                          </w:rPr>
                          <w:t>11.0</w:t>
                        </w:r>
                      </w:p>
                    </w:tc>
                    <w:tc>
                      <w:tcPr>
                        <w:tcW w:w="1028" w:type="dxa"/>
                        <w:tcBorders>
                          <w:bottom w:val="single" w:sz="4" w:space="0" w:color="231F20"/>
                        </w:tcBorders>
                      </w:tcPr>
                      <w:p>
                        <w:pPr>
                          <w:pStyle w:val="TableParagraph"/>
                          <w:spacing w:before="73"/>
                          <w:ind w:left="50" w:right="33"/>
                          <w:rPr>
                            <w:sz w:val="18"/>
                          </w:rPr>
                        </w:pPr>
                        <w:r>
                          <w:rPr>
                            <w:color w:val="231F20"/>
                            <w:sz w:val="18"/>
                          </w:rPr>
                          <w:t>19.9</w:t>
                        </w:r>
                      </w:p>
                    </w:tc>
                    <w:tc>
                      <w:tcPr>
                        <w:tcW w:w="668" w:type="dxa"/>
                        <w:tcBorders>
                          <w:bottom w:val="single" w:sz="4" w:space="0" w:color="231F20"/>
                        </w:tcBorders>
                      </w:tcPr>
                      <w:p>
                        <w:pPr>
                          <w:pStyle w:val="TableParagraph"/>
                          <w:spacing w:before="73"/>
                          <w:ind w:left="47" w:right="65"/>
                          <w:rPr>
                            <w:sz w:val="18"/>
                          </w:rPr>
                        </w:pPr>
                        <w:r>
                          <w:rPr>
                            <w:color w:val="231F20"/>
                            <w:sz w:val="18"/>
                          </w:rPr>
                          <w:t>0.0</w:t>
                        </w:r>
                      </w:p>
                    </w:tc>
                    <w:tc>
                      <w:tcPr>
                        <w:tcW w:w="529" w:type="dxa"/>
                        <w:tcBorders>
                          <w:bottom w:val="single" w:sz="4" w:space="0" w:color="231F20"/>
                        </w:tcBorders>
                      </w:tcPr>
                      <w:p>
                        <w:pPr>
                          <w:pStyle w:val="TableParagraph"/>
                          <w:spacing w:before="73"/>
                          <w:ind w:left="125"/>
                          <w:jc w:val="left"/>
                          <w:rPr>
                            <w:sz w:val="18"/>
                          </w:rPr>
                        </w:pPr>
                        <w:r>
                          <w:rPr>
                            <w:color w:val="231F20"/>
                            <w:sz w:val="18"/>
                          </w:rPr>
                          <w:t>0.0</w:t>
                        </w:r>
                      </w:p>
                    </w:tc>
                    <w:tc>
                      <w:tcPr>
                        <w:tcW w:w="692" w:type="dxa"/>
                        <w:tcBorders>
                          <w:bottom w:val="single" w:sz="4" w:space="0" w:color="231F20"/>
                        </w:tcBorders>
                      </w:tcPr>
                      <w:p>
                        <w:pPr>
                          <w:pStyle w:val="TableParagraph"/>
                          <w:spacing w:before="73"/>
                          <w:ind w:left="128" w:right="138"/>
                          <w:rPr>
                            <w:sz w:val="18"/>
                          </w:rPr>
                        </w:pPr>
                        <w:r>
                          <w:rPr>
                            <w:color w:val="231F20"/>
                            <w:sz w:val="18"/>
                          </w:rPr>
                          <w:t>100</w:t>
                        </w:r>
                      </w:p>
                    </w:tc>
                  </w:tr>
                </w:tbl>
                <w:p>
                  <w:pPr>
                    <w:pStyle w:val="BodyText"/>
                  </w:pPr>
                </w:p>
              </w:txbxContent>
            </v:textbox>
            <w10:wrap type="none"/>
          </v:shape>
        </w:pict>
      </w:r>
      <w:r>
        <w:rPr>
          <w:rFonts w:ascii="Palatino Linotype"/>
          <w:b/>
          <w:color w:val="231F20"/>
          <w:spacing w:val="-2"/>
          <w:w w:val="95"/>
          <w:sz w:val="18"/>
        </w:rPr>
        <w:t>Empresa/</w:t>
      </w:r>
    </w:p>
    <w:p>
      <w:pPr>
        <w:spacing w:before="28"/>
        <w:ind w:left="156" w:right="-19" w:firstLine="0"/>
        <w:jc w:val="left"/>
        <w:rPr>
          <w:sz w:val="18"/>
        </w:rPr>
      </w:pPr>
      <w:r>
        <w:rPr/>
        <w:br w:type="column"/>
      </w:r>
      <w:r>
        <w:rPr>
          <w:color w:val="231F20"/>
          <w:sz w:val="18"/>
        </w:rPr>
        <w:t>Ford</w:t>
      </w:r>
    </w:p>
    <w:p>
      <w:pPr>
        <w:spacing w:before="127"/>
        <w:ind w:left="156" w:right="0" w:firstLine="0"/>
        <w:jc w:val="left"/>
        <w:rPr>
          <w:sz w:val="18"/>
        </w:rPr>
      </w:pPr>
      <w:r>
        <w:rPr/>
        <w:br w:type="column"/>
      </w:r>
      <w:r>
        <w:rPr>
          <w:color w:val="231F20"/>
          <w:sz w:val="18"/>
        </w:rPr>
        <w:t>General</w:t>
      </w:r>
    </w:p>
    <w:p>
      <w:pPr>
        <w:spacing w:after="0"/>
        <w:jc w:val="left"/>
        <w:rPr>
          <w:sz w:val="18"/>
        </w:rPr>
        <w:sectPr>
          <w:type w:val="continuous"/>
          <w:pgSz w:w="9640" w:h="13040"/>
          <w:pgMar w:top="1200" w:bottom="280" w:left="1180" w:right="480"/>
          <w:cols w:num="3" w:equalWidth="0">
            <w:col w:w="871" w:space="832"/>
            <w:col w:w="498" w:space="102"/>
            <w:col w:w="5677"/>
          </w:cols>
        </w:sectPr>
      </w:pPr>
    </w:p>
    <w:p>
      <w:pPr>
        <w:pStyle w:val="BodyText"/>
        <w:rPr>
          <w:sz w:val="20"/>
        </w:rPr>
      </w:pPr>
    </w:p>
    <w:p>
      <w:pPr>
        <w:pStyle w:val="BodyText"/>
        <w:spacing w:before="5"/>
      </w:pPr>
    </w:p>
    <w:p>
      <w:pPr>
        <w:pStyle w:val="Heading4"/>
        <w:spacing w:line="240" w:lineRule="auto" w:before="34"/>
        <w:ind w:left="3046" w:right="673"/>
        <w:jc w:val="left"/>
      </w:pPr>
      <w:r>
        <w:rPr>
          <w:color w:val="231F20"/>
          <w:w w:val="90"/>
        </w:rPr>
        <w:t>Cuadro  III.5 (continuación)</w:t>
      </w:r>
    </w:p>
    <w:p>
      <w:pPr>
        <w:pStyle w:val="BodyText"/>
        <w:spacing w:before="9"/>
        <w:rPr>
          <w:rFonts w:ascii="Palatino Linotype"/>
          <w:b/>
          <w:sz w:val="12"/>
        </w:rPr>
      </w:pPr>
      <w:r>
        <w:rPr/>
        <w:pict>
          <v:group style="position:absolute;margin-left:56.442902pt;margin-top:10.519089pt;width:360.4pt;height:.5pt;mso-position-horizontal-relative:page;mso-position-vertical-relative:paragraph;z-index:8368;mso-wrap-distance-left:0;mso-wrap-distance-right:0" coordorigin="1129,210" coordsize="7208,10">
            <v:line style="position:absolute" from="1134,215" to="1913,215" stroked="true" strokeweight=".5pt" strokecolor="#231f20"/>
            <v:line style="position:absolute" from="1913,215" to="2665,215" stroked="true" strokeweight=".5pt" strokecolor="#231f20"/>
            <v:line style="position:absolute" from="2665,215" to="3416,215" stroked="true" strokeweight=".5pt" strokecolor="#231f20"/>
            <v:line style="position:absolute" from="3416,215" to="4096,215" stroked="true" strokeweight=".5pt" strokecolor="#231f20"/>
            <v:line style="position:absolute" from="4096,215" to="4734,215" stroked="true" strokeweight=".5pt" strokecolor="#231f20"/>
            <v:line style="position:absolute" from="4734,215" to="5400,215" stroked="true" strokeweight=".5pt" strokecolor="#231f20"/>
            <v:line style="position:absolute" from="5400,215" to="6477,215" stroked="true" strokeweight=".5pt" strokecolor="#231f20"/>
            <v:line style="position:absolute" from="6477,215" to="7058,215" stroked="true" strokeweight=".5pt" strokecolor="#231f20"/>
            <v:line style="position:absolute" from="7058,215" to="7631,215" stroked="true" strokeweight=".5pt" strokecolor="#231f20"/>
            <v:line style="position:absolute" from="7631,215" to="8331,215" stroked="true" strokeweight=".5pt" strokecolor="#231f20"/>
            <w10:wrap type="topAndBottom"/>
          </v:group>
        </w:pict>
      </w:r>
    </w:p>
    <w:p>
      <w:pPr>
        <w:spacing w:after="0"/>
        <w:rPr>
          <w:rFonts w:ascii="Palatino Linotype"/>
          <w:sz w:val="12"/>
        </w:rPr>
        <w:sectPr>
          <w:pgSz w:w="9640" w:h="13040"/>
          <w:pgMar w:header="581" w:footer="654" w:top="780" w:bottom="840" w:left="480" w:right="1200"/>
        </w:sectPr>
      </w:pPr>
    </w:p>
    <w:p>
      <w:pPr>
        <w:spacing w:line="171" w:lineRule="exact" w:before="123"/>
        <w:ind w:left="686" w:right="0" w:firstLine="0"/>
        <w:jc w:val="left"/>
        <w:rPr>
          <w:rFonts w:ascii="Palatino Linotype"/>
          <w:b/>
          <w:sz w:val="18"/>
        </w:rPr>
      </w:pPr>
      <w:r>
        <w:rPr>
          <w:rFonts w:ascii="Palatino Linotype"/>
          <w:b/>
          <w:color w:val="231F20"/>
          <w:sz w:val="18"/>
        </w:rPr>
        <w:t>Empresa/</w:t>
      </w:r>
    </w:p>
    <w:p>
      <w:pPr>
        <w:tabs>
          <w:tab w:pos="1481" w:val="left" w:leader="none"/>
        </w:tabs>
        <w:spacing w:line="271" w:lineRule="exact" w:before="0"/>
        <w:ind w:left="882" w:right="0" w:firstLine="0"/>
        <w:jc w:val="left"/>
        <w:rPr>
          <w:rFonts w:ascii="Palatino Linotype" w:hAnsi="Palatino Linotype"/>
          <w:b/>
          <w:sz w:val="18"/>
        </w:rPr>
      </w:pPr>
      <w:r>
        <w:rPr/>
        <w:pict>
          <v:shape style="position:absolute;margin-left:56.692902pt;margin-top:9.093255pt;width:359.9pt;height:262.45pt;mso-position-horizontal-relative:page;mso-position-vertical-relative:paragraph;z-index:839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7"/>
                    <w:gridCol w:w="743"/>
                    <w:gridCol w:w="733"/>
                    <w:gridCol w:w="709"/>
                    <w:gridCol w:w="612"/>
                    <w:gridCol w:w="783"/>
                    <w:gridCol w:w="872"/>
                    <w:gridCol w:w="681"/>
                    <w:gridCol w:w="595"/>
                    <w:gridCol w:w="681"/>
                  </w:tblGrid>
                  <w:tr>
                    <w:trPr>
                      <w:trHeight w:val="250" w:hRule="exact"/>
                    </w:trPr>
                    <w:tc>
                      <w:tcPr>
                        <w:tcW w:w="1530" w:type="dxa"/>
                        <w:gridSpan w:val="2"/>
                        <w:tcBorders>
                          <w:bottom w:val="single" w:sz="4" w:space="0" w:color="231F20"/>
                        </w:tcBorders>
                      </w:tcPr>
                      <w:p>
                        <w:pPr/>
                      </w:p>
                    </w:tc>
                    <w:tc>
                      <w:tcPr>
                        <w:tcW w:w="733" w:type="dxa"/>
                        <w:tcBorders>
                          <w:bottom w:val="single" w:sz="4" w:space="0" w:color="231F20"/>
                        </w:tcBorders>
                      </w:tcPr>
                      <w:p>
                        <w:pPr>
                          <w:pStyle w:val="TableParagraph"/>
                          <w:spacing w:line="187" w:lineRule="exact"/>
                          <w:ind w:left="195" w:right="180"/>
                          <w:rPr>
                            <w:rFonts w:ascii="Palatino Linotype"/>
                            <w:b/>
                            <w:sz w:val="18"/>
                          </w:rPr>
                        </w:pPr>
                        <w:r>
                          <w:rPr>
                            <w:rFonts w:ascii="Palatino Linotype"/>
                            <w:b/>
                            <w:color w:val="231F20"/>
                            <w:sz w:val="18"/>
                          </w:rPr>
                          <w:t>Co.</w:t>
                        </w:r>
                      </w:p>
                    </w:tc>
                    <w:tc>
                      <w:tcPr>
                        <w:tcW w:w="4934" w:type="dxa"/>
                        <w:gridSpan w:val="7"/>
                        <w:tcBorders>
                          <w:bottom w:val="single" w:sz="4" w:space="0" w:color="231F20"/>
                        </w:tcBorders>
                      </w:tcPr>
                      <w:p>
                        <w:pPr/>
                      </w:p>
                    </w:tc>
                  </w:tr>
                  <w:tr>
                    <w:trPr>
                      <w:trHeight w:val="476" w:hRule="exact"/>
                    </w:trPr>
                    <w:tc>
                      <w:tcPr>
                        <w:tcW w:w="787" w:type="dxa"/>
                        <w:tcBorders>
                          <w:top w:val="single" w:sz="4" w:space="0" w:color="231F20"/>
                        </w:tcBorders>
                      </w:tcPr>
                      <w:p>
                        <w:pPr>
                          <w:pStyle w:val="TableParagraph"/>
                          <w:spacing w:before="98"/>
                          <w:ind w:left="189" w:right="193"/>
                          <w:rPr>
                            <w:rFonts w:ascii="Palatino Linotype"/>
                            <w:b/>
                            <w:sz w:val="18"/>
                          </w:rPr>
                        </w:pPr>
                        <w:r>
                          <w:rPr>
                            <w:rFonts w:ascii="Palatino Linotype"/>
                            <w:b/>
                            <w:color w:val="231F20"/>
                            <w:sz w:val="18"/>
                          </w:rPr>
                          <w:t>2003</w:t>
                        </w:r>
                      </w:p>
                    </w:tc>
                    <w:tc>
                      <w:tcPr>
                        <w:tcW w:w="743" w:type="dxa"/>
                        <w:tcBorders>
                          <w:top w:val="single" w:sz="4" w:space="0" w:color="231F20"/>
                        </w:tcBorders>
                      </w:tcPr>
                      <w:p>
                        <w:pPr>
                          <w:pStyle w:val="TableParagraph"/>
                          <w:spacing w:before="119"/>
                          <w:ind w:left="190" w:right="194"/>
                          <w:rPr>
                            <w:sz w:val="18"/>
                          </w:rPr>
                        </w:pPr>
                        <w:r>
                          <w:rPr>
                            <w:color w:val="231F20"/>
                            <w:sz w:val="18"/>
                          </w:rPr>
                          <w:t>26.2</w:t>
                        </w:r>
                      </w:p>
                    </w:tc>
                    <w:tc>
                      <w:tcPr>
                        <w:tcW w:w="733" w:type="dxa"/>
                        <w:tcBorders>
                          <w:top w:val="single" w:sz="4" w:space="0" w:color="231F20"/>
                        </w:tcBorders>
                      </w:tcPr>
                      <w:p>
                        <w:pPr>
                          <w:pStyle w:val="TableParagraph"/>
                          <w:spacing w:before="119"/>
                          <w:ind w:left="197" w:right="178"/>
                          <w:rPr>
                            <w:sz w:val="18"/>
                          </w:rPr>
                        </w:pPr>
                        <w:r>
                          <w:rPr>
                            <w:color w:val="231F20"/>
                            <w:sz w:val="18"/>
                          </w:rPr>
                          <w:t>9.0</w:t>
                        </w:r>
                      </w:p>
                    </w:tc>
                    <w:tc>
                      <w:tcPr>
                        <w:tcW w:w="709" w:type="dxa"/>
                        <w:tcBorders>
                          <w:top w:val="single" w:sz="4" w:space="0" w:color="231F20"/>
                        </w:tcBorders>
                      </w:tcPr>
                      <w:p>
                        <w:pPr>
                          <w:pStyle w:val="TableParagraph"/>
                          <w:spacing w:before="119"/>
                          <w:ind w:right="198"/>
                          <w:jc w:val="right"/>
                          <w:rPr>
                            <w:sz w:val="18"/>
                          </w:rPr>
                        </w:pPr>
                        <w:r>
                          <w:rPr>
                            <w:color w:val="231F20"/>
                            <w:w w:val="95"/>
                            <w:sz w:val="18"/>
                          </w:rPr>
                          <w:t>33.5</w:t>
                        </w:r>
                      </w:p>
                    </w:tc>
                    <w:tc>
                      <w:tcPr>
                        <w:tcW w:w="612" w:type="dxa"/>
                        <w:tcBorders>
                          <w:top w:val="single" w:sz="4" w:space="0" w:color="231F20"/>
                        </w:tcBorders>
                      </w:tcPr>
                      <w:p>
                        <w:pPr>
                          <w:pStyle w:val="TableParagraph"/>
                          <w:spacing w:before="119"/>
                          <w:ind w:left="174" w:right="169"/>
                          <w:rPr>
                            <w:sz w:val="18"/>
                          </w:rPr>
                        </w:pPr>
                        <w:r>
                          <w:rPr>
                            <w:color w:val="231F20"/>
                            <w:sz w:val="18"/>
                          </w:rPr>
                          <w:t>1.2</w:t>
                        </w:r>
                      </w:p>
                    </w:tc>
                    <w:tc>
                      <w:tcPr>
                        <w:tcW w:w="783" w:type="dxa"/>
                        <w:tcBorders>
                          <w:top w:val="single" w:sz="4" w:space="0" w:color="231F20"/>
                        </w:tcBorders>
                      </w:tcPr>
                      <w:p>
                        <w:pPr>
                          <w:pStyle w:val="TableParagraph"/>
                          <w:spacing w:before="119"/>
                          <w:ind w:left="198"/>
                          <w:jc w:val="left"/>
                          <w:rPr>
                            <w:sz w:val="18"/>
                          </w:rPr>
                        </w:pPr>
                        <w:r>
                          <w:rPr>
                            <w:color w:val="231F20"/>
                            <w:sz w:val="18"/>
                          </w:rPr>
                          <w:t>10.2</w:t>
                        </w:r>
                      </w:p>
                    </w:tc>
                    <w:tc>
                      <w:tcPr>
                        <w:tcW w:w="872" w:type="dxa"/>
                        <w:tcBorders>
                          <w:top w:val="single" w:sz="4" w:space="0" w:color="231F20"/>
                        </w:tcBorders>
                      </w:tcPr>
                      <w:p>
                        <w:pPr>
                          <w:pStyle w:val="TableParagraph"/>
                          <w:spacing w:before="119"/>
                          <w:ind w:left="286"/>
                          <w:jc w:val="left"/>
                          <w:rPr>
                            <w:sz w:val="18"/>
                          </w:rPr>
                        </w:pPr>
                        <w:r>
                          <w:rPr>
                            <w:color w:val="231F20"/>
                            <w:sz w:val="18"/>
                          </w:rPr>
                          <w:t>20.0</w:t>
                        </w:r>
                      </w:p>
                    </w:tc>
                    <w:tc>
                      <w:tcPr>
                        <w:tcW w:w="681" w:type="dxa"/>
                        <w:tcBorders>
                          <w:top w:val="single" w:sz="4" w:space="0" w:color="231F20"/>
                        </w:tcBorders>
                      </w:tcPr>
                      <w:p>
                        <w:pPr>
                          <w:pStyle w:val="TableParagraph"/>
                          <w:spacing w:before="119"/>
                          <w:ind w:right="178"/>
                          <w:jc w:val="right"/>
                          <w:rPr>
                            <w:sz w:val="18"/>
                          </w:rPr>
                        </w:pPr>
                        <w:r>
                          <w:rPr>
                            <w:color w:val="231F20"/>
                            <w:w w:val="95"/>
                            <w:sz w:val="18"/>
                          </w:rPr>
                          <w:t>0.0</w:t>
                        </w:r>
                      </w:p>
                    </w:tc>
                    <w:tc>
                      <w:tcPr>
                        <w:tcW w:w="595" w:type="dxa"/>
                        <w:tcBorders>
                          <w:top w:val="single" w:sz="4" w:space="0" w:color="231F20"/>
                        </w:tcBorders>
                      </w:tcPr>
                      <w:p>
                        <w:pPr>
                          <w:pStyle w:val="TableParagraph"/>
                          <w:spacing w:before="119"/>
                          <w:ind w:left="182"/>
                          <w:jc w:val="left"/>
                          <w:rPr>
                            <w:sz w:val="18"/>
                          </w:rPr>
                        </w:pPr>
                        <w:r>
                          <w:rPr>
                            <w:color w:val="231F20"/>
                            <w:sz w:val="18"/>
                          </w:rPr>
                          <w:t>0.0</w:t>
                        </w:r>
                      </w:p>
                    </w:tc>
                    <w:tc>
                      <w:tcPr>
                        <w:tcW w:w="681" w:type="dxa"/>
                        <w:tcBorders>
                          <w:top w:val="single" w:sz="4" w:space="0" w:color="231F20"/>
                        </w:tcBorders>
                      </w:tcPr>
                      <w:p>
                        <w:pPr>
                          <w:pStyle w:val="TableParagraph"/>
                          <w:spacing w:before="119"/>
                          <w:ind w:left="200"/>
                          <w:jc w:val="left"/>
                          <w:rPr>
                            <w:sz w:val="18"/>
                          </w:rPr>
                        </w:pPr>
                        <w:r>
                          <w:rPr>
                            <w:color w:val="231F20"/>
                            <w:sz w:val="18"/>
                          </w:rPr>
                          <w:t>100</w:t>
                        </w:r>
                      </w:p>
                    </w:tc>
                  </w:tr>
                  <w:tr>
                    <w:trPr>
                      <w:trHeight w:val="454" w:hRule="exact"/>
                    </w:trPr>
                    <w:tc>
                      <w:tcPr>
                        <w:tcW w:w="787" w:type="dxa"/>
                      </w:tcPr>
                      <w:p>
                        <w:pPr>
                          <w:pStyle w:val="TableParagraph"/>
                          <w:spacing w:before="80"/>
                          <w:ind w:left="189" w:right="194"/>
                          <w:rPr>
                            <w:rFonts w:ascii="Palatino Linotype"/>
                            <w:b/>
                            <w:sz w:val="18"/>
                          </w:rPr>
                        </w:pPr>
                        <w:r>
                          <w:rPr>
                            <w:rFonts w:ascii="Palatino Linotype"/>
                            <w:b/>
                            <w:color w:val="231F20"/>
                            <w:sz w:val="18"/>
                          </w:rPr>
                          <w:t>2004</w:t>
                        </w:r>
                      </w:p>
                    </w:tc>
                    <w:tc>
                      <w:tcPr>
                        <w:tcW w:w="743" w:type="dxa"/>
                      </w:tcPr>
                      <w:p>
                        <w:pPr>
                          <w:pStyle w:val="TableParagraph"/>
                          <w:spacing w:before="101"/>
                          <w:ind w:left="190" w:right="194"/>
                          <w:rPr>
                            <w:sz w:val="18"/>
                          </w:rPr>
                        </w:pPr>
                        <w:r>
                          <w:rPr>
                            <w:color w:val="231F20"/>
                            <w:sz w:val="18"/>
                          </w:rPr>
                          <w:t>30.9</w:t>
                        </w:r>
                      </w:p>
                    </w:tc>
                    <w:tc>
                      <w:tcPr>
                        <w:tcW w:w="733" w:type="dxa"/>
                      </w:tcPr>
                      <w:p>
                        <w:pPr>
                          <w:pStyle w:val="TableParagraph"/>
                          <w:spacing w:before="101"/>
                          <w:ind w:left="197" w:right="178"/>
                          <w:rPr>
                            <w:sz w:val="18"/>
                          </w:rPr>
                        </w:pPr>
                        <w:r>
                          <w:rPr>
                            <w:color w:val="231F20"/>
                            <w:sz w:val="18"/>
                          </w:rPr>
                          <w:t>6.6</w:t>
                        </w:r>
                      </w:p>
                    </w:tc>
                    <w:tc>
                      <w:tcPr>
                        <w:tcW w:w="709" w:type="dxa"/>
                      </w:tcPr>
                      <w:p>
                        <w:pPr>
                          <w:pStyle w:val="TableParagraph"/>
                          <w:spacing w:before="101"/>
                          <w:ind w:right="198"/>
                          <w:jc w:val="right"/>
                          <w:rPr>
                            <w:sz w:val="18"/>
                          </w:rPr>
                        </w:pPr>
                        <w:r>
                          <w:rPr>
                            <w:color w:val="231F20"/>
                            <w:w w:val="95"/>
                            <w:sz w:val="18"/>
                          </w:rPr>
                          <w:t>34.1</w:t>
                        </w:r>
                      </w:p>
                    </w:tc>
                    <w:tc>
                      <w:tcPr>
                        <w:tcW w:w="612" w:type="dxa"/>
                      </w:tcPr>
                      <w:p>
                        <w:pPr>
                          <w:pStyle w:val="TableParagraph"/>
                          <w:spacing w:before="101"/>
                          <w:ind w:left="174" w:right="170"/>
                          <w:rPr>
                            <w:sz w:val="18"/>
                          </w:rPr>
                        </w:pPr>
                        <w:r>
                          <w:rPr>
                            <w:color w:val="231F20"/>
                            <w:sz w:val="18"/>
                          </w:rPr>
                          <w:t>1.3</w:t>
                        </w:r>
                      </w:p>
                    </w:tc>
                    <w:tc>
                      <w:tcPr>
                        <w:tcW w:w="783" w:type="dxa"/>
                      </w:tcPr>
                      <w:p>
                        <w:pPr>
                          <w:pStyle w:val="TableParagraph"/>
                          <w:spacing w:before="101"/>
                          <w:ind w:left="198"/>
                          <w:jc w:val="left"/>
                          <w:rPr>
                            <w:sz w:val="18"/>
                          </w:rPr>
                        </w:pPr>
                        <w:r>
                          <w:rPr>
                            <w:color w:val="231F20"/>
                            <w:sz w:val="18"/>
                          </w:rPr>
                          <w:t>12.3</w:t>
                        </w:r>
                      </w:p>
                    </w:tc>
                    <w:tc>
                      <w:tcPr>
                        <w:tcW w:w="872" w:type="dxa"/>
                      </w:tcPr>
                      <w:p>
                        <w:pPr>
                          <w:pStyle w:val="TableParagraph"/>
                          <w:spacing w:before="101"/>
                          <w:ind w:left="286"/>
                          <w:jc w:val="left"/>
                          <w:rPr>
                            <w:sz w:val="18"/>
                          </w:rPr>
                        </w:pPr>
                        <w:r>
                          <w:rPr>
                            <w:color w:val="231F20"/>
                            <w:sz w:val="18"/>
                          </w:rPr>
                          <w:t>14.9</w:t>
                        </w:r>
                      </w:p>
                    </w:tc>
                    <w:tc>
                      <w:tcPr>
                        <w:tcW w:w="681" w:type="dxa"/>
                      </w:tcPr>
                      <w:p>
                        <w:pPr>
                          <w:pStyle w:val="TableParagraph"/>
                          <w:spacing w:before="101"/>
                          <w:ind w:right="178"/>
                          <w:jc w:val="right"/>
                          <w:rPr>
                            <w:sz w:val="18"/>
                          </w:rPr>
                        </w:pPr>
                        <w:r>
                          <w:rPr>
                            <w:color w:val="231F20"/>
                            <w:w w:val="95"/>
                            <w:sz w:val="18"/>
                          </w:rPr>
                          <w:t>0.0</w:t>
                        </w:r>
                      </w:p>
                    </w:tc>
                    <w:tc>
                      <w:tcPr>
                        <w:tcW w:w="595" w:type="dxa"/>
                      </w:tcPr>
                      <w:p>
                        <w:pPr>
                          <w:pStyle w:val="TableParagraph"/>
                          <w:spacing w:before="101"/>
                          <w:ind w:left="182"/>
                          <w:jc w:val="left"/>
                          <w:rPr>
                            <w:sz w:val="18"/>
                          </w:rPr>
                        </w:pPr>
                        <w:r>
                          <w:rPr>
                            <w:color w:val="231F20"/>
                            <w:sz w:val="18"/>
                          </w:rPr>
                          <w:t>0.0</w:t>
                        </w:r>
                      </w:p>
                    </w:tc>
                    <w:tc>
                      <w:tcPr>
                        <w:tcW w:w="681" w:type="dxa"/>
                      </w:tcPr>
                      <w:p>
                        <w:pPr>
                          <w:pStyle w:val="TableParagraph"/>
                          <w:spacing w:before="101"/>
                          <w:ind w:left="200"/>
                          <w:jc w:val="left"/>
                          <w:rPr>
                            <w:sz w:val="18"/>
                          </w:rPr>
                        </w:pPr>
                        <w:r>
                          <w:rPr>
                            <w:color w:val="231F20"/>
                            <w:sz w:val="18"/>
                          </w:rPr>
                          <w:t>100</w:t>
                        </w:r>
                      </w:p>
                    </w:tc>
                  </w:tr>
                  <w:tr>
                    <w:trPr>
                      <w:trHeight w:val="454" w:hRule="exact"/>
                    </w:trPr>
                    <w:tc>
                      <w:tcPr>
                        <w:tcW w:w="787" w:type="dxa"/>
                      </w:tcPr>
                      <w:p>
                        <w:pPr>
                          <w:pStyle w:val="TableParagraph"/>
                          <w:spacing w:before="80"/>
                          <w:ind w:left="189" w:right="194"/>
                          <w:rPr>
                            <w:rFonts w:ascii="Palatino Linotype"/>
                            <w:b/>
                            <w:sz w:val="18"/>
                          </w:rPr>
                        </w:pPr>
                        <w:r>
                          <w:rPr>
                            <w:rFonts w:ascii="Palatino Linotype"/>
                            <w:b/>
                            <w:color w:val="231F20"/>
                            <w:sz w:val="18"/>
                          </w:rPr>
                          <w:t>2005</w:t>
                        </w:r>
                      </w:p>
                    </w:tc>
                    <w:tc>
                      <w:tcPr>
                        <w:tcW w:w="743" w:type="dxa"/>
                      </w:tcPr>
                      <w:p>
                        <w:pPr>
                          <w:pStyle w:val="TableParagraph"/>
                          <w:spacing w:before="101"/>
                          <w:ind w:left="190" w:right="194"/>
                          <w:rPr>
                            <w:sz w:val="18"/>
                          </w:rPr>
                        </w:pPr>
                        <w:r>
                          <w:rPr>
                            <w:color w:val="231F20"/>
                            <w:sz w:val="18"/>
                          </w:rPr>
                          <w:t>28.5</w:t>
                        </w:r>
                      </w:p>
                    </w:tc>
                    <w:tc>
                      <w:tcPr>
                        <w:tcW w:w="733" w:type="dxa"/>
                      </w:tcPr>
                      <w:p>
                        <w:pPr>
                          <w:pStyle w:val="TableParagraph"/>
                          <w:spacing w:before="101"/>
                          <w:ind w:left="197" w:right="178"/>
                          <w:rPr>
                            <w:sz w:val="18"/>
                          </w:rPr>
                        </w:pPr>
                        <w:r>
                          <w:rPr>
                            <w:color w:val="231F20"/>
                            <w:sz w:val="18"/>
                          </w:rPr>
                          <w:t>9.0</w:t>
                        </w:r>
                      </w:p>
                    </w:tc>
                    <w:tc>
                      <w:tcPr>
                        <w:tcW w:w="709" w:type="dxa"/>
                      </w:tcPr>
                      <w:p>
                        <w:pPr>
                          <w:pStyle w:val="TableParagraph"/>
                          <w:spacing w:before="101"/>
                          <w:ind w:right="198"/>
                          <w:jc w:val="right"/>
                          <w:rPr>
                            <w:sz w:val="18"/>
                          </w:rPr>
                        </w:pPr>
                        <w:r>
                          <w:rPr>
                            <w:color w:val="231F20"/>
                            <w:w w:val="95"/>
                            <w:sz w:val="18"/>
                          </w:rPr>
                          <w:t>27.9</w:t>
                        </w:r>
                      </w:p>
                    </w:tc>
                    <w:tc>
                      <w:tcPr>
                        <w:tcW w:w="612" w:type="dxa"/>
                      </w:tcPr>
                      <w:p>
                        <w:pPr>
                          <w:pStyle w:val="TableParagraph"/>
                          <w:spacing w:before="101"/>
                          <w:ind w:left="174" w:right="170"/>
                          <w:rPr>
                            <w:sz w:val="18"/>
                          </w:rPr>
                        </w:pPr>
                        <w:r>
                          <w:rPr>
                            <w:color w:val="231F20"/>
                            <w:sz w:val="18"/>
                          </w:rPr>
                          <w:t>1.2</w:t>
                        </w:r>
                      </w:p>
                    </w:tc>
                    <w:tc>
                      <w:tcPr>
                        <w:tcW w:w="783" w:type="dxa"/>
                      </w:tcPr>
                      <w:p>
                        <w:pPr>
                          <w:pStyle w:val="TableParagraph"/>
                          <w:spacing w:before="101"/>
                          <w:ind w:left="197"/>
                          <w:jc w:val="left"/>
                          <w:rPr>
                            <w:sz w:val="18"/>
                          </w:rPr>
                        </w:pPr>
                        <w:r>
                          <w:rPr>
                            <w:color w:val="231F20"/>
                            <w:sz w:val="18"/>
                          </w:rPr>
                          <w:t>13.0</w:t>
                        </w:r>
                      </w:p>
                    </w:tc>
                    <w:tc>
                      <w:tcPr>
                        <w:tcW w:w="872" w:type="dxa"/>
                      </w:tcPr>
                      <w:p>
                        <w:pPr>
                          <w:pStyle w:val="TableParagraph"/>
                          <w:spacing w:before="101"/>
                          <w:ind w:left="286"/>
                          <w:jc w:val="left"/>
                          <w:rPr>
                            <w:sz w:val="18"/>
                          </w:rPr>
                        </w:pPr>
                        <w:r>
                          <w:rPr>
                            <w:color w:val="231F20"/>
                            <w:sz w:val="18"/>
                          </w:rPr>
                          <w:t>20.3</w:t>
                        </w:r>
                      </w:p>
                    </w:tc>
                    <w:tc>
                      <w:tcPr>
                        <w:tcW w:w="681" w:type="dxa"/>
                      </w:tcPr>
                      <w:p>
                        <w:pPr>
                          <w:pStyle w:val="TableParagraph"/>
                          <w:spacing w:before="101"/>
                          <w:ind w:right="180"/>
                          <w:jc w:val="right"/>
                          <w:rPr>
                            <w:sz w:val="18"/>
                          </w:rPr>
                        </w:pPr>
                        <w:r>
                          <w:rPr>
                            <w:color w:val="231F20"/>
                            <w:w w:val="95"/>
                            <w:sz w:val="18"/>
                          </w:rPr>
                          <w:t>0.0</w:t>
                        </w:r>
                      </w:p>
                    </w:tc>
                    <w:tc>
                      <w:tcPr>
                        <w:tcW w:w="595" w:type="dxa"/>
                      </w:tcPr>
                      <w:p>
                        <w:pPr>
                          <w:pStyle w:val="TableParagraph"/>
                          <w:spacing w:before="101"/>
                          <w:ind w:left="182"/>
                          <w:jc w:val="left"/>
                          <w:rPr>
                            <w:sz w:val="18"/>
                          </w:rPr>
                        </w:pPr>
                        <w:r>
                          <w:rPr>
                            <w:color w:val="231F20"/>
                            <w:sz w:val="18"/>
                          </w:rPr>
                          <w:t>0.0</w:t>
                        </w:r>
                      </w:p>
                    </w:tc>
                    <w:tc>
                      <w:tcPr>
                        <w:tcW w:w="681" w:type="dxa"/>
                      </w:tcPr>
                      <w:p>
                        <w:pPr>
                          <w:pStyle w:val="TableParagraph"/>
                          <w:spacing w:before="101"/>
                          <w:ind w:left="200"/>
                          <w:jc w:val="left"/>
                          <w:rPr>
                            <w:sz w:val="18"/>
                          </w:rPr>
                        </w:pPr>
                        <w:r>
                          <w:rPr>
                            <w:color w:val="231F20"/>
                            <w:sz w:val="18"/>
                          </w:rPr>
                          <w:t>100</w:t>
                        </w:r>
                      </w:p>
                    </w:tc>
                  </w:tr>
                  <w:tr>
                    <w:trPr>
                      <w:trHeight w:val="454" w:hRule="exact"/>
                    </w:trPr>
                    <w:tc>
                      <w:tcPr>
                        <w:tcW w:w="787" w:type="dxa"/>
                      </w:tcPr>
                      <w:p>
                        <w:pPr>
                          <w:pStyle w:val="TableParagraph"/>
                          <w:spacing w:before="80"/>
                          <w:ind w:left="189" w:right="194"/>
                          <w:rPr>
                            <w:rFonts w:ascii="Palatino Linotype"/>
                            <w:b/>
                            <w:sz w:val="18"/>
                          </w:rPr>
                        </w:pPr>
                        <w:r>
                          <w:rPr>
                            <w:rFonts w:ascii="Palatino Linotype"/>
                            <w:b/>
                            <w:color w:val="231F20"/>
                            <w:sz w:val="18"/>
                          </w:rPr>
                          <w:t>2006</w:t>
                        </w:r>
                      </w:p>
                    </w:tc>
                    <w:tc>
                      <w:tcPr>
                        <w:tcW w:w="743" w:type="dxa"/>
                      </w:tcPr>
                      <w:p>
                        <w:pPr>
                          <w:pStyle w:val="TableParagraph"/>
                          <w:spacing w:before="101"/>
                          <w:ind w:left="190" w:right="195"/>
                          <w:rPr>
                            <w:sz w:val="18"/>
                          </w:rPr>
                        </w:pPr>
                        <w:r>
                          <w:rPr>
                            <w:color w:val="231F20"/>
                            <w:sz w:val="18"/>
                          </w:rPr>
                          <w:t>20.2</w:t>
                        </w:r>
                      </w:p>
                    </w:tc>
                    <w:tc>
                      <w:tcPr>
                        <w:tcW w:w="733" w:type="dxa"/>
                      </w:tcPr>
                      <w:p>
                        <w:pPr>
                          <w:pStyle w:val="TableParagraph"/>
                          <w:spacing w:before="101"/>
                          <w:ind w:left="197" w:right="179"/>
                          <w:rPr>
                            <w:sz w:val="18"/>
                          </w:rPr>
                        </w:pPr>
                        <w:r>
                          <w:rPr>
                            <w:color w:val="231F20"/>
                            <w:sz w:val="18"/>
                          </w:rPr>
                          <w:t>19.8</w:t>
                        </w:r>
                      </w:p>
                    </w:tc>
                    <w:tc>
                      <w:tcPr>
                        <w:tcW w:w="709" w:type="dxa"/>
                      </w:tcPr>
                      <w:p>
                        <w:pPr>
                          <w:pStyle w:val="TableParagraph"/>
                          <w:spacing w:before="101"/>
                          <w:ind w:right="198"/>
                          <w:jc w:val="right"/>
                          <w:rPr>
                            <w:sz w:val="18"/>
                          </w:rPr>
                        </w:pPr>
                        <w:r>
                          <w:rPr>
                            <w:color w:val="231F20"/>
                            <w:w w:val="95"/>
                            <w:sz w:val="18"/>
                          </w:rPr>
                          <w:t>26.6</w:t>
                        </w:r>
                      </w:p>
                    </w:tc>
                    <w:tc>
                      <w:tcPr>
                        <w:tcW w:w="612" w:type="dxa"/>
                      </w:tcPr>
                      <w:p>
                        <w:pPr>
                          <w:pStyle w:val="TableParagraph"/>
                          <w:spacing w:before="101"/>
                          <w:ind w:left="174" w:right="170"/>
                          <w:rPr>
                            <w:sz w:val="18"/>
                          </w:rPr>
                        </w:pPr>
                        <w:r>
                          <w:rPr>
                            <w:color w:val="231F20"/>
                            <w:sz w:val="18"/>
                          </w:rPr>
                          <w:t>1.0</w:t>
                        </w:r>
                      </w:p>
                    </w:tc>
                    <w:tc>
                      <w:tcPr>
                        <w:tcW w:w="783" w:type="dxa"/>
                      </w:tcPr>
                      <w:p>
                        <w:pPr>
                          <w:pStyle w:val="TableParagraph"/>
                          <w:spacing w:before="101"/>
                          <w:ind w:left="197"/>
                          <w:jc w:val="left"/>
                          <w:rPr>
                            <w:sz w:val="18"/>
                          </w:rPr>
                        </w:pPr>
                        <w:r>
                          <w:rPr>
                            <w:color w:val="231F20"/>
                            <w:sz w:val="18"/>
                          </w:rPr>
                          <w:t>13.8</w:t>
                        </w:r>
                      </w:p>
                    </w:tc>
                    <w:tc>
                      <w:tcPr>
                        <w:tcW w:w="872" w:type="dxa"/>
                      </w:tcPr>
                      <w:p>
                        <w:pPr>
                          <w:pStyle w:val="TableParagraph"/>
                          <w:spacing w:before="101"/>
                          <w:ind w:left="286"/>
                          <w:jc w:val="left"/>
                          <w:rPr>
                            <w:sz w:val="18"/>
                          </w:rPr>
                        </w:pPr>
                        <w:r>
                          <w:rPr>
                            <w:color w:val="231F20"/>
                            <w:sz w:val="18"/>
                          </w:rPr>
                          <w:t>18.5</w:t>
                        </w:r>
                      </w:p>
                    </w:tc>
                    <w:tc>
                      <w:tcPr>
                        <w:tcW w:w="681" w:type="dxa"/>
                      </w:tcPr>
                      <w:p>
                        <w:pPr>
                          <w:pStyle w:val="TableParagraph"/>
                          <w:spacing w:before="101"/>
                          <w:ind w:right="179"/>
                          <w:jc w:val="right"/>
                          <w:rPr>
                            <w:sz w:val="18"/>
                          </w:rPr>
                        </w:pPr>
                        <w:r>
                          <w:rPr>
                            <w:color w:val="231F20"/>
                            <w:w w:val="95"/>
                            <w:sz w:val="18"/>
                          </w:rPr>
                          <w:t>0.0</w:t>
                        </w:r>
                      </w:p>
                    </w:tc>
                    <w:tc>
                      <w:tcPr>
                        <w:tcW w:w="595" w:type="dxa"/>
                      </w:tcPr>
                      <w:p>
                        <w:pPr>
                          <w:pStyle w:val="TableParagraph"/>
                          <w:spacing w:before="101"/>
                          <w:ind w:left="181"/>
                          <w:jc w:val="left"/>
                          <w:rPr>
                            <w:sz w:val="18"/>
                          </w:rPr>
                        </w:pPr>
                        <w:r>
                          <w:rPr>
                            <w:color w:val="231F20"/>
                            <w:sz w:val="18"/>
                          </w:rPr>
                          <w:t>0.0</w:t>
                        </w:r>
                      </w:p>
                    </w:tc>
                    <w:tc>
                      <w:tcPr>
                        <w:tcW w:w="681" w:type="dxa"/>
                      </w:tcPr>
                      <w:p>
                        <w:pPr>
                          <w:pStyle w:val="TableParagraph"/>
                          <w:spacing w:before="101"/>
                          <w:ind w:left="200"/>
                          <w:jc w:val="left"/>
                          <w:rPr>
                            <w:sz w:val="18"/>
                          </w:rPr>
                        </w:pPr>
                        <w:r>
                          <w:rPr>
                            <w:color w:val="231F20"/>
                            <w:sz w:val="18"/>
                          </w:rPr>
                          <w:t>100</w:t>
                        </w:r>
                      </w:p>
                    </w:tc>
                  </w:tr>
                  <w:tr>
                    <w:trPr>
                      <w:trHeight w:val="454" w:hRule="exact"/>
                    </w:trPr>
                    <w:tc>
                      <w:tcPr>
                        <w:tcW w:w="787" w:type="dxa"/>
                      </w:tcPr>
                      <w:p>
                        <w:pPr>
                          <w:pStyle w:val="TableParagraph"/>
                          <w:spacing w:before="80"/>
                          <w:ind w:left="189" w:right="195"/>
                          <w:rPr>
                            <w:rFonts w:ascii="Palatino Linotype"/>
                            <w:b/>
                            <w:sz w:val="18"/>
                          </w:rPr>
                        </w:pPr>
                        <w:r>
                          <w:rPr>
                            <w:rFonts w:ascii="Palatino Linotype"/>
                            <w:b/>
                            <w:color w:val="231F20"/>
                            <w:sz w:val="18"/>
                          </w:rPr>
                          <w:t>2007</w:t>
                        </w:r>
                      </w:p>
                    </w:tc>
                    <w:tc>
                      <w:tcPr>
                        <w:tcW w:w="743" w:type="dxa"/>
                      </w:tcPr>
                      <w:p>
                        <w:pPr>
                          <w:pStyle w:val="TableParagraph"/>
                          <w:spacing w:before="101"/>
                          <w:ind w:left="190" w:right="195"/>
                          <w:rPr>
                            <w:sz w:val="18"/>
                          </w:rPr>
                        </w:pPr>
                        <w:r>
                          <w:rPr>
                            <w:color w:val="231F20"/>
                            <w:sz w:val="18"/>
                          </w:rPr>
                          <w:t>17.2</w:t>
                        </w:r>
                      </w:p>
                    </w:tc>
                    <w:tc>
                      <w:tcPr>
                        <w:tcW w:w="733" w:type="dxa"/>
                      </w:tcPr>
                      <w:p>
                        <w:pPr>
                          <w:pStyle w:val="TableParagraph"/>
                          <w:spacing w:before="101"/>
                          <w:ind w:left="197" w:right="179"/>
                          <w:rPr>
                            <w:sz w:val="18"/>
                          </w:rPr>
                        </w:pPr>
                        <w:r>
                          <w:rPr>
                            <w:color w:val="231F20"/>
                            <w:sz w:val="18"/>
                          </w:rPr>
                          <w:t>16.5</w:t>
                        </w:r>
                      </w:p>
                    </w:tc>
                    <w:tc>
                      <w:tcPr>
                        <w:tcW w:w="709" w:type="dxa"/>
                      </w:tcPr>
                      <w:p>
                        <w:pPr>
                          <w:pStyle w:val="TableParagraph"/>
                          <w:spacing w:before="101"/>
                          <w:ind w:right="198"/>
                          <w:jc w:val="right"/>
                          <w:rPr>
                            <w:sz w:val="18"/>
                          </w:rPr>
                        </w:pPr>
                        <w:r>
                          <w:rPr>
                            <w:color w:val="231F20"/>
                            <w:w w:val="95"/>
                            <w:sz w:val="18"/>
                          </w:rPr>
                          <w:t>24.1</w:t>
                        </w:r>
                      </w:p>
                    </w:tc>
                    <w:tc>
                      <w:tcPr>
                        <w:tcW w:w="612" w:type="dxa"/>
                      </w:tcPr>
                      <w:p>
                        <w:pPr>
                          <w:pStyle w:val="TableParagraph"/>
                          <w:spacing w:before="101"/>
                          <w:ind w:left="174" w:right="171"/>
                          <w:rPr>
                            <w:sz w:val="18"/>
                          </w:rPr>
                        </w:pPr>
                        <w:r>
                          <w:rPr>
                            <w:color w:val="231F20"/>
                            <w:sz w:val="18"/>
                          </w:rPr>
                          <w:t>1.0</w:t>
                        </w:r>
                      </w:p>
                    </w:tc>
                    <w:tc>
                      <w:tcPr>
                        <w:tcW w:w="783" w:type="dxa"/>
                      </w:tcPr>
                      <w:p>
                        <w:pPr>
                          <w:pStyle w:val="TableParagraph"/>
                          <w:spacing w:before="101"/>
                          <w:ind w:left="197"/>
                          <w:jc w:val="left"/>
                          <w:rPr>
                            <w:sz w:val="18"/>
                          </w:rPr>
                        </w:pPr>
                        <w:r>
                          <w:rPr>
                            <w:color w:val="231F20"/>
                            <w:sz w:val="18"/>
                          </w:rPr>
                          <w:t>20.3</w:t>
                        </w:r>
                      </w:p>
                    </w:tc>
                    <w:tc>
                      <w:tcPr>
                        <w:tcW w:w="872" w:type="dxa"/>
                      </w:tcPr>
                      <w:p>
                        <w:pPr>
                          <w:pStyle w:val="TableParagraph"/>
                          <w:spacing w:before="101"/>
                          <w:ind w:left="285"/>
                          <w:jc w:val="left"/>
                          <w:rPr>
                            <w:sz w:val="18"/>
                          </w:rPr>
                        </w:pPr>
                        <w:r>
                          <w:rPr>
                            <w:color w:val="231F20"/>
                            <w:sz w:val="18"/>
                          </w:rPr>
                          <w:t>20.9</w:t>
                        </w:r>
                      </w:p>
                    </w:tc>
                    <w:tc>
                      <w:tcPr>
                        <w:tcW w:w="681" w:type="dxa"/>
                      </w:tcPr>
                      <w:p>
                        <w:pPr>
                          <w:pStyle w:val="TableParagraph"/>
                          <w:spacing w:before="101"/>
                          <w:ind w:right="179"/>
                          <w:jc w:val="right"/>
                          <w:rPr>
                            <w:sz w:val="18"/>
                          </w:rPr>
                        </w:pPr>
                        <w:r>
                          <w:rPr>
                            <w:color w:val="231F20"/>
                            <w:w w:val="95"/>
                            <w:sz w:val="18"/>
                          </w:rPr>
                          <w:t>0.0</w:t>
                        </w:r>
                      </w:p>
                    </w:tc>
                    <w:tc>
                      <w:tcPr>
                        <w:tcW w:w="595" w:type="dxa"/>
                      </w:tcPr>
                      <w:p>
                        <w:pPr>
                          <w:pStyle w:val="TableParagraph"/>
                          <w:spacing w:before="101"/>
                          <w:ind w:left="181"/>
                          <w:jc w:val="left"/>
                          <w:rPr>
                            <w:sz w:val="18"/>
                          </w:rPr>
                        </w:pPr>
                        <w:r>
                          <w:rPr>
                            <w:color w:val="231F20"/>
                            <w:sz w:val="18"/>
                          </w:rPr>
                          <w:t>0.0</w:t>
                        </w:r>
                      </w:p>
                    </w:tc>
                    <w:tc>
                      <w:tcPr>
                        <w:tcW w:w="681" w:type="dxa"/>
                      </w:tcPr>
                      <w:p>
                        <w:pPr>
                          <w:pStyle w:val="TableParagraph"/>
                          <w:spacing w:before="101"/>
                          <w:ind w:left="200"/>
                          <w:jc w:val="left"/>
                          <w:rPr>
                            <w:sz w:val="18"/>
                          </w:rPr>
                        </w:pPr>
                        <w:r>
                          <w:rPr>
                            <w:color w:val="231F20"/>
                            <w:sz w:val="18"/>
                          </w:rPr>
                          <w:t>100</w:t>
                        </w:r>
                      </w:p>
                    </w:tc>
                  </w:tr>
                  <w:tr>
                    <w:trPr>
                      <w:trHeight w:val="454" w:hRule="exact"/>
                    </w:trPr>
                    <w:tc>
                      <w:tcPr>
                        <w:tcW w:w="787" w:type="dxa"/>
                      </w:tcPr>
                      <w:p>
                        <w:pPr>
                          <w:pStyle w:val="TableParagraph"/>
                          <w:spacing w:before="80"/>
                          <w:ind w:left="189" w:right="195"/>
                          <w:rPr>
                            <w:rFonts w:ascii="Palatino Linotype"/>
                            <w:b/>
                            <w:sz w:val="18"/>
                          </w:rPr>
                        </w:pPr>
                        <w:r>
                          <w:rPr>
                            <w:rFonts w:ascii="Palatino Linotype"/>
                            <w:b/>
                            <w:color w:val="231F20"/>
                            <w:sz w:val="18"/>
                          </w:rPr>
                          <w:t>2008</w:t>
                        </w:r>
                      </w:p>
                    </w:tc>
                    <w:tc>
                      <w:tcPr>
                        <w:tcW w:w="743" w:type="dxa"/>
                      </w:tcPr>
                      <w:p>
                        <w:pPr>
                          <w:pStyle w:val="TableParagraph"/>
                          <w:spacing w:before="101"/>
                          <w:ind w:left="190" w:right="195"/>
                          <w:rPr>
                            <w:sz w:val="18"/>
                          </w:rPr>
                        </w:pPr>
                        <w:r>
                          <w:rPr>
                            <w:color w:val="231F20"/>
                            <w:sz w:val="18"/>
                          </w:rPr>
                          <w:t>15.8</w:t>
                        </w:r>
                      </w:p>
                    </w:tc>
                    <w:tc>
                      <w:tcPr>
                        <w:tcW w:w="733" w:type="dxa"/>
                      </w:tcPr>
                      <w:p>
                        <w:pPr>
                          <w:pStyle w:val="TableParagraph"/>
                          <w:spacing w:before="101"/>
                          <w:ind w:left="197" w:right="179"/>
                          <w:rPr>
                            <w:sz w:val="18"/>
                          </w:rPr>
                        </w:pPr>
                        <w:r>
                          <w:rPr>
                            <w:color w:val="231F20"/>
                            <w:sz w:val="18"/>
                          </w:rPr>
                          <w:t>17.1</w:t>
                        </w:r>
                      </w:p>
                    </w:tc>
                    <w:tc>
                      <w:tcPr>
                        <w:tcW w:w="709" w:type="dxa"/>
                      </w:tcPr>
                      <w:p>
                        <w:pPr>
                          <w:pStyle w:val="TableParagraph"/>
                          <w:spacing w:before="101"/>
                          <w:ind w:right="198"/>
                          <w:jc w:val="right"/>
                          <w:rPr>
                            <w:sz w:val="18"/>
                          </w:rPr>
                        </w:pPr>
                        <w:r>
                          <w:rPr>
                            <w:color w:val="231F20"/>
                            <w:w w:val="95"/>
                            <w:sz w:val="18"/>
                          </w:rPr>
                          <w:t>24.1</w:t>
                        </w:r>
                      </w:p>
                    </w:tc>
                    <w:tc>
                      <w:tcPr>
                        <w:tcW w:w="612" w:type="dxa"/>
                      </w:tcPr>
                      <w:p>
                        <w:pPr>
                          <w:pStyle w:val="TableParagraph"/>
                          <w:spacing w:before="101"/>
                          <w:ind w:left="174" w:right="171"/>
                          <w:rPr>
                            <w:sz w:val="18"/>
                          </w:rPr>
                        </w:pPr>
                        <w:r>
                          <w:rPr>
                            <w:color w:val="231F20"/>
                            <w:sz w:val="18"/>
                          </w:rPr>
                          <w:t>2.1</w:t>
                        </w:r>
                      </w:p>
                    </w:tc>
                    <w:tc>
                      <w:tcPr>
                        <w:tcW w:w="783" w:type="dxa"/>
                      </w:tcPr>
                      <w:p>
                        <w:pPr>
                          <w:pStyle w:val="TableParagraph"/>
                          <w:spacing w:before="101"/>
                          <w:ind w:left="197"/>
                          <w:jc w:val="left"/>
                          <w:rPr>
                            <w:sz w:val="18"/>
                          </w:rPr>
                        </w:pPr>
                        <w:r>
                          <w:rPr>
                            <w:color w:val="231F20"/>
                            <w:sz w:val="18"/>
                          </w:rPr>
                          <w:t>17.4</w:t>
                        </w:r>
                      </w:p>
                    </w:tc>
                    <w:tc>
                      <w:tcPr>
                        <w:tcW w:w="872" w:type="dxa"/>
                      </w:tcPr>
                      <w:p>
                        <w:pPr>
                          <w:pStyle w:val="TableParagraph"/>
                          <w:spacing w:before="101"/>
                          <w:ind w:left="285"/>
                          <w:jc w:val="left"/>
                          <w:rPr>
                            <w:sz w:val="18"/>
                          </w:rPr>
                        </w:pPr>
                        <w:r>
                          <w:rPr>
                            <w:color w:val="231F20"/>
                            <w:sz w:val="18"/>
                          </w:rPr>
                          <w:t>23.4</w:t>
                        </w:r>
                      </w:p>
                    </w:tc>
                    <w:tc>
                      <w:tcPr>
                        <w:tcW w:w="681" w:type="dxa"/>
                      </w:tcPr>
                      <w:p>
                        <w:pPr>
                          <w:pStyle w:val="TableParagraph"/>
                          <w:spacing w:before="101"/>
                          <w:ind w:right="179"/>
                          <w:jc w:val="right"/>
                          <w:rPr>
                            <w:sz w:val="18"/>
                          </w:rPr>
                        </w:pPr>
                        <w:r>
                          <w:rPr>
                            <w:color w:val="231F20"/>
                            <w:w w:val="95"/>
                            <w:sz w:val="18"/>
                          </w:rPr>
                          <w:t>0.0</w:t>
                        </w:r>
                      </w:p>
                    </w:tc>
                    <w:tc>
                      <w:tcPr>
                        <w:tcW w:w="595" w:type="dxa"/>
                      </w:tcPr>
                      <w:p>
                        <w:pPr>
                          <w:pStyle w:val="TableParagraph"/>
                          <w:spacing w:before="101"/>
                          <w:ind w:left="181"/>
                          <w:jc w:val="left"/>
                          <w:rPr>
                            <w:sz w:val="18"/>
                          </w:rPr>
                        </w:pPr>
                        <w:r>
                          <w:rPr>
                            <w:color w:val="231F20"/>
                            <w:sz w:val="18"/>
                          </w:rPr>
                          <w:t>0.0</w:t>
                        </w:r>
                      </w:p>
                    </w:tc>
                    <w:tc>
                      <w:tcPr>
                        <w:tcW w:w="681" w:type="dxa"/>
                      </w:tcPr>
                      <w:p>
                        <w:pPr>
                          <w:pStyle w:val="TableParagraph"/>
                          <w:spacing w:before="101"/>
                          <w:ind w:left="199"/>
                          <w:jc w:val="left"/>
                          <w:rPr>
                            <w:sz w:val="18"/>
                          </w:rPr>
                        </w:pPr>
                        <w:r>
                          <w:rPr>
                            <w:color w:val="231F20"/>
                            <w:sz w:val="18"/>
                          </w:rPr>
                          <w:t>100</w:t>
                        </w:r>
                      </w:p>
                    </w:tc>
                  </w:tr>
                  <w:tr>
                    <w:trPr>
                      <w:trHeight w:val="454" w:hRule="exact"/>
                    </w:trPr>
                    <w:tc>
                      <w:tcPr>
                        <w:tcW w:w="787" w:type="dxa"/>
                      </w:tcPr>
                      <w:p>
                        <w:pPr>
                          <w:pStyle w:val="TableParagraph"/>
                          <w:spacing w:before="80"/>
                          <w:ind w:left="188" w:right="195"/>
                          <w:rPr>
                            <w:rFonts w:ascii="Palatino Linotype"/>
                            <w:b/>
                            <w:sz w:val="18"/>
                          </w:rPr>
                        </w:pPr>
                        <w:r>
                          <w:rPr>
                            <w:rFonts w:ascii="Palatino Linotype"/>
                            <w:b/>
                            <w:color w:val="231F20"/>
                            <w:sz w:val="18"/>
                          </w:rPr>
                          <w:t>2009</w:t>
                        </w:r>
                      </w:p>
                    </w:tc>
                    <w:tc>
                      <w:tcPr>
                        <w:tcW w:w="743" w:type="dxa"/>
                      </w:tcPr>
                      <w:p>
                        <w:pPr>
                          <w:pStyle w:val="TableParagraph"/>
                          <w:spacing w:before="101"/>
                          <w:ind w:left="190" w:right="196"/>
                          <w:rPr>
                            <w:sz w:val="18"/>
                          </w:rPr>
                        </w:pPr>
                        <w:r>
                          <w:rPr>
                            <w:color w:val="231F20"/>
                            <w:sz w:val="18"/>
                          </w:rPr>
                          <w:t>11.0</w:t>
                        </w:r>
                      </w:p>
                    </w:tc>
                    <w:tc>
                      <w:tcPr>
                        <w:tcW w:w="733" w:type="dxa"/>
                      </w:tcPr>
                      <w:p>
                        <w:pPr>
                          <w:pStyle w:val="TableParagraph"/>
                          <w:spacing w:before="101"/>
                          <w:ind w:left="197" w:right="180"/>
                          <w:rPr>
                            <w:sz w:val="18"/>
                          </w:rPr>
                        </w:pPr>
                        <w:r>
                          <w:rPr>
                            <w:color w:val="231F20"/>
                            <w:sz w:val="18"/>
                          </w:rPr>
                          <w:t>18.9</w:t>
                        </w:r>
                      </w:p>
                    </w:tc>
                    <w:tc>
                      <w:tcPr>
                        <w:tcW w:w="709" w:type="dxa"/>
                      </w:tcPr>
                      <w:p>
                        <w:pPr>
                          <w:pStyle w:val="TableParagraph"/>
                          <w:spacing w:before="101"/>
                          <w:ind w:right="199"/>
                          <w:jc w:val="right"/>
                          <w:rPr>
                            <w:sz w:val="18"/>
                          </w:rPr>
                        </w:pPr>
                        <w:r>
                          <w:rPr>
                            <w:color w:val="231F20"/>
                            <w:w w:val="95"/>
                            <w:sz w:val="18"/>
                          </w:rPr>
                          <w:t>22.9</w:t>
                        </w:r>
                      </w:p>
                    </w:tc>
                    <w:tc>
                      <w:tcPr>
                        <w:tcW w:w="612" w:type="dxa"/>
                      </w:tcPr>
                      <w:p>
                        <w:pPr>
                          <w:pStyle w:val="TableParagraph"/>
                          <w:spacing w:before="101"/>
                          <w:ind w:left="174" w:right="171"/>
                          <w:rPr>
                            <w:sz w:val="18"/>
                          </w:rPr>
                        </w:pPr>
                        <w:r>
                          <w:rPr>
                            <w:color w:val="231F20"/>
                            <w:sz w:val="18"/>
                          </w:rPr>
                          <w:t>3.1</w:t>
                        </w:r>
                      </w:p>
                    </w:tc>
                    <w:tc>
                      <w:tcPr>
                        <w:tcW w:w="783" w:type="dxa"/>
                      </w:tcPr>
                      <w:p>
                        <w:pPr>
                          <w:pStyle w:val="TableParagraph"/>
                          <w:spacing w:before="101"/>
                          <w:ind w:left="197"/>
                          <w:jc w:val="left"/>
                          <w:rPr>
                            <w:sz w:val="18"/>
                          </w:rPr>
                        </w:pPr>
                        <w:r>
                          <w:rPr>
                            <w:color w:val="231F20"/>
                            <w:sz w:val="18"/>
                          </w:rPr>
                          <w:t>18.5</w:t>
                        </w:r>
                      </w:p>
                    </w:tc>
                    <w:tc>
                      <w:tcPr>
                        <w:tcW w:w="872" w:type="dxa"/>
                      </w:tcPr>
                      <w:p>
                        <w:pPr>
                          <w:pStyle w:val="TableParagraph"/>
                          <w:spacing w:before="101"/>
                          <w:ind w:left="285"/>
                          <w:jc w:val="left"/>
                          <w:rPr>
                            <w:sz w:val="18"/>
                          </w:rPr>
                        </w:pPr>
                        <w:r>
                          <w:rPr>
                            <w:color w:val="231F20"/>
                            <w:sz w:val="18"/>
                          </w:rPr>
                          <w:t>22.2</w:t>
                        </w:r>
                      </w:p>
                    </w:tc>
                    <w:tc>
                      <w:tcPr>
                        <w:tcW w:w="681" w:type="dxa"/>
                      </w:tcPr>
                      <w:p>
                        <w:pPr>
                          <w:pStyle w:val="TableParagraph"/>
                          <w:spacing w:before="101"/>
                          <w:ind w:right="179"/>
                          <w:jc w:val="right"/>
                          <w:rPr>
                            <w:sz w:val="18"/>
                          </w:rPr>
                        </w:pPr>
                        <w:r>
                          <w:rPr>
                            <w:color w:val="231F20"/>
                            <w:w w:val="95"/>
                            <w:sz w:val="18"/>
                          </w:rPr>
                          <w:t>3.5</w:t>
                        </w:r>
                      </w:p>
                    </w:tc>
                    <w:tc>
                      <w:tcPr>
                        <w:tcW w:w="595" w:type="dxa"/>
                      </w:tcPr>
                      <w:p>
                        <w:pPr>
                          <w:pStyle w:val="TableParagraph"/>
                          <w:spacing w:before="101"/>
                          <w:ind w:left="181"/>
                          <w:jc w:val="left"/>
                          <w:rPr>
                            <w:sz w:val="18"/>
                          </w:rPr>
                        </w:pPr>
                        <w:r>
                          <w:rPr>
                            <w:color w:val="231F20"/>
                            <w:sz w:val="18"/>
                          </w:rPr>
                          <w:t>0.0</w:t>
                        </w:r>
                      </w:p>
                    </w:tc>
                    <w:tc>
                      <w:tcPr>
                        <w:tcW w:w="681" w:type="dxa"/>
                      </w:tcPr>
                      <w:p>
                        <w:pPr>
                          <w:pStyle w:val="TableParagraph"/>
                          <w:spacing w:before="101"/>
                          <w:ind w:left="199"/>
                          <w:jc w:val="left"/>
                          <w:rPr>
                            <w:sz w:val="18"/>
                          </w:rPr>
                        </w:pPr>
                        <w:r>
                          <w:rPr>
                            <w:color w:val="231F20"/>
                            <w:sz w:val="18"/>
                          </w:rPr>
                          <w:t>100</w:t>
                        </w:r>
                      </w:p>
                    </w:tc>
                  </w:tr>
                  <w:tr>
                    <w:trPr>
                      <w:trHeight w:val="454" w:hRule="exact"/>
                    </w:trPr>
                    <w:tc>
                      <w:tcPr>
                        <w:tcW w:w="787" w:type="dxa"/>
                      </w:tcPr>
                      <w:p>
                        <w:pPr>
                          <w:pStyle w:val="TableParagraph"/>
                          <w:spacing w:before="80"/>
                          <w:ind w:left="188" w:right="195"/>
                          <w:rPr>
                            <w:rFonts w:ascii="Palatino Linotype"/>
                            <w:b/>
                            <w:sz w:val="18"/>
                          </w:rPr>
                        </w:pPr>
                        <w:r>
                          <w:rPr>
                            <w:rFonts w:ascii="Palatino Linotype"/>
                            <w:b/>
                            <w:color w:val="231F20"/>
                            <w:sz w:val="18"/>
                          </w:rPr>
                          <w:t>2010</w:t>
                        </w:r>
                      </w:p>
                    </w:tc>
                    <w:tc>
                      <w:tcPr>
                        <w:tcW w:w="743" w:type="dxa"/>
                      </w:tcPr>
                      <w:p>
                        <w:pPr>
                          <w:pStyle w:val="TableParagraph"/>
                          <w:spacing w:before="101"/>
                          <w:ind w:left="190" w:right="196"/>
                          <w:rPr>
                            <w:sz w:val="18"/>
                          </w:rPr>
                        </w:pPr>
                        <w:r>
                          <w:rPr>
                            <w:color w:val="231F20"/>
                            <w:sz w:val="18"/>
                          </w:rPr>
                          <w:t>12.0</w:t>
                        </w:r>
                      </w:p>
                    </w:tc>
                    <w:tc>
                      <w:tcPr>
                        <w:tcW w:w="733" w:type="dxa"/>
                      </w:tcPr>
                      <w:p>
                        <w:pPr>
                          <w:pStyle w:val="TableParagraph"/>
                          <w:spacing w:before="101"/>
                          <w:ind w:left="197" w:right="180"/>
                          <w:rPr>
                            <w:sz w:val="18"/>
                          </w:rPr>
                        </w:pPr>
                        <w:r>
                          <w:rPr>
                            <w:color w:val="231F20"/>
                            <w:sz w:val="18"/>
                          </w:rPr>
                          <w:t>19.9</w:t>
                        </w:r>
                      </w:p>
                    </w:tc>
                    <w:tc>
                      <w:tcPr>
                        <w:tcW w:w="709" w:type="dxa"/>
                      </w:tcPr>
                      <w:p>
                        <w:pPr>
                          <w:pStyle w:val="TableParagraph"/>
                          <w:spacing w:before="101"/>
                          <w:ind w:right="199"/>
                          <w:jc w:val="right"/>
                          <w:rPr>
                            <w:sz w:val="18"/>
                          </w:rPr>
                        </w:pPr>
                        <w:r>
                          <w:rPr>
                            <w:color w:val="231F20"/>
                            <w:w w:val="95"/>
                            <w:sz w:val="18"/>
                          </w:rPr>
                          <w:t>24.5</w:t>
                        </w:r>
                      </w:p>
                    </w:tc>
                    <w:tc>
                      <w:tcPr>
                        <w:tcW w:w="612" w:type="dxa"/>
                      </w:tcPr>
                      <w:p>
                        <w:pPr>
                          <w:pStyle w:val="TableParagraph"/>
                          <w:spacing w:before="101"/>
                          <w:ind w:left="173" w:right="171"/>
                          <w:rPr>
                            <w:sz w:val="18"/>
                          </w:rPr>
                        </w:pPr>
                        <w:r>
                          <w:rPr>
                            <w:color w:val="231F20"/>
                            <w:sz w:val="18"/>
                          </w:rPr>
                          <w:t>2.1</w:t>
                        </w:r>
                      </w:p>
                    </w:tc>
                    <w:tc>
                      <w:tcPr>
                        <w:tcW w:w="783" w:type="dxa"/>
                      </w:tcPr>
                      <w:p>
                        <w:pPr>
                          <w:pStyle w:val="TableParagraph"/>
                          <w:spacing w:before="101"/>
                          <w:ind w:left="197"/>
                          <w:jc w:val="left"/>
                          <w:rPr>
                            <w:sz w:val="18"/>
                          </w:rPr>
                        </w:pPr>
                        <w:r>
                          <w:rPr>
                            <w:color w:val="231F20"/>
                            <w:sz w:val="18"/>
                          </w:rPr>
                          <w:t>18.9</w:t>
                        </w:r>
                      </w:p>
                    </w:tc>
                    <w:tc>
                      <w:tcPr>
                        <w:tcW w:w="872" w:type="dxa"/>
                      </w:tcPr>
                      <w:p>
                        <w:pPr>
                          <w:pStyle w:val="TableParagraph"/>
                          <w:spacing w:before="101"/>
                          <w:ind w:left="285"/>
                          <w:jc w:val="left"/>
                          <w:rPr>
                            <w:sz w:val="18"/>
                          </w:rPr>
                        </w:pPr>
                        <w:r>
                          <w:rPr>
                            <w:color w:val="231F20"/>
                            <w:sz w:val="18"/>
                          </w:rPr>
                          <w:t>19.6</w:t>
                        </w:r>
                      </w:p>
                    </w:tc>
                    <w:tc>
                      <w:tcPr>
                        <w:tcW w:w="681" w:type="dxa"/>
                      </w:tcPr>
                      <w:p>
                        <w:pPr>
                          <w:pStyle w:val="TableParagraph"/>
                          <w:spacing w:before="101"/>
                          <w:ind w:right="179"/>
                          <w:jc w:val="right"/>
                          <w:rPr>
                            <w:sz w:val="18"/>
                          </w:rPr>
                        </w:pPr>
                        <w:r>
                          <w:rPr>
                            <w:color w:val="231F20"/>
                            <w:w w:val="95"/>
                            <w:sz w:val="18"/>
                          </w:rPr>
                          <w:t>2.9</w:t>
                        </w:r>
                      </w:p>
                    </w:tc>
                    <w:tc>
                      <w:tcPr>
                        <w:tcW w:w="595" w:type="dxa"/>
                      </w:tcPr>
                      <w:p>
                        <w:pPr>
                          <w:pStyle w:val="TableParagraph"/>
                          <w:spacing w:before="101"/>
                          <w:ind w:left="181"/>
                          <w:jc w:val="left"/>
                          <w:rPr>
                            <w:sz w:val="18"/>
                          </w:rPr>
                        </w:pPr>
                        <w:r>
                          <w:rPr>
                            <w:color w:val="231F20"/>
                            <w:sz w:val="18"/>
                          </w:rPr>
                          <w:t>0.0</w:t>
                        </w:r>
                      </w:p>
                    </w:tc>
                    <w:tc>
                      <w:tcPr>
                        <w:tcW w:w="681" w:type="dxa"/>
                      </w:tcPr>
                      <w:p>
                        <w:pPr>
                          <w:pStyle w:val="TableParagraph"/>
                          <w:spacing w:before="101"/>
                          <w:ind w:left="199"/>
                          <w:jc w:val="left"/>
                          <w:rPr>
                            <w:sz w:val="18"/>
                          </w:rPr>
                        </w:pPr>
                        <w:r>
                          <w:rPr>
                            <w:color w:val="231F20"/>
                            <w:sz w:val="18"/>
                          </w:rPr>
                          <w:t>100</w:t>
                        </w:r>
                      </w:p>
                    </w:tc>
                  </w:tr>
                  <w:tr>
                    <w:trPr>
                      <w:trHeight w:val="454" w:hRule="exact"/>
                    </w:trPr>
                    <w:tc>
                      <w:tcPr>
                        <w:tcW w:w="787" w:type="dxa"/>
                      </w:tcPr>
                      <w:p>
                        <w:pPr>
                          <w:pStyle w:val="TableParagraph"/>
                          <w:spacing w:before="80"/>
                          <w:ind w:left="188" w:right="195"/>
                          <w:rPr>
                            <w:rFonts w:ascii="Palatino Linotype"/>
                            <w:b/>
                            <w:sz w:val="18"/>
                          </w:rPr>
                        </w:pPr>
                        <w:r>
                          <w:rPr>
                            <w:rFonts w:ascii="Palatino Linotype"/>
                            <w:b/>
                            <w:color w:val="231F20"/>
                            <w:sz w:val="18"/>
                          </w:rPr>
                          <w:t>2011</w:t>
                        </w:r>
                      </w:p>
                    </w:tc>
                    <w:tc>
                      <w:tcPr>
                        <w:tcW w:w="743" w:type="dxa"/>
                      </w:tcPr>
                      <w:p>
                        <w:pPr>
                          <w:pStyle w:val="TableParagraph"/>
                          <w:spacing w:before="101"/>
                          <w:ind w:left="190" w:right="196"/>
                          <w:rPr>
                            <w:sz w:val="18"/>
                          </w:rPr>
                        </w:pPr>
                        <w:r>
                          <w:rPr>
                            <w:color w:val="231F20"/>
                            <w:sz w:val="18"/>
                          </w:rPr>
                          <w:t>12.2</w:t>
                        </w:r>
                      </w:p>
                    </w:tc>
                    <w:tc>
                      <w:tcPr>
                        <w:tcW w:w="733" w:type="dxa"/>
                      </w:tcPr>
                      <w:p>
                        <w:pPr>
                          <w:pStyle w:val="TableParagraph"/>
                          <w:spacing w:before="101"/>
                          <w:ind w:left="196" w:right="180"/>
                          <w:rPr>
                            <w:sz w:val="18"/>
                          </w:rPr>
                        </w:pPr>
                        <w:r>
                          <w:rPr>
                            <w:color w:val="231F20"/>
                            <w:sz w:val="18"/>
                          </w:rPr>
                          <w:t>21.3</w:t>
                        </w:r>
                      </w:p>
                    </w:tc>
                    <w:tc>
                      <w:tcPr>
                        <w:tcW w:w="709" w:type="dxa"/>
                      </w:tcPr>
                      <w:p>
                        <w:pPr>
                          <w:pStyle w:val="TableParagraph"/>
                          <w:spacing w:before="101"/>
                          <w:ind w:right="199"/>
                          <w:jc w:val="right"/>
                          <w:rPr>
                            <w:sz w:val="18"/>
                          </w:rPr>
                        </w:pPr>
                        <w:r>
                          <w:rPr>
                            <w:color w:val="231F20"/>
                            <w:w w:val="95"/>
                            <w:sz w:val="18"/>
                          </w:rPr>
                          <w:t>21.0</w:t>
                        </w:r>
                      </w:p>
                    </w:tc>
                    <w:tc>
                      <w:tcPr>
                        <w:tcW w:w="612" w:type="dxa"/>
                      </w:tcPr>
                      <w:p>
                        <w:pPr>
                          <w:pStyle w:val="TableParagraph"/>
                          <w:spacing w:before="101"/>
                          <w:ind w:left="173" w:right="171"/>
                          <w:rPr>
                            <w:sz w:val="18"/>
                          </w:rPr>
                        </w:pPr>
                        <w:r>
                          <w:rPr>
                            <w:color w:val="231F20"/>
                            <w:sz w:val="18"/>
                          </w:rPr>
                          <w:t>1.7</w:t>
                        </w:r>
                      </w:p>
                    </w:tc>
                    <w:tc>
                      <w:tcPr>
                        <w:tcW w:w="783" w:type="dxa"/>
                      </w:tcPr>
                      <w:p>
                        <w:pPr>
                          <w:pStyle w:val="TableParagraph"/>
                          <w:spacing w:before="101"/>
                          <w:ind w:left="196"/>
                          <w:jc w:val="left"/>
                          <w:rPr>
                            <w:sz w:val="18"/>
                          </w:rPr>
                        </w:pPr>
                        <w:r>
                          <w:rPr>
                            <w:color w:val="231F20"/>
                            <w:sz w:val="18"/>
                          </w:rPr>
                          <w:t>19.4</w:t>
                        </w:r>
                      </w:p>
                    </w:tc>
                    <w:tc>
                      <w:tcPr>
                        <w:tcW w:w="872" w:type="dxa"/>
                      </w:tcPr>
                      <w:p>
                        <w:pPr>
                          <w:pStyle w:val="TableParagraph"/>
                          <w:spacing w:before="101"/>
                          <w:ind w:left="285"/>
                          <w:jc w:val="left"/>
                          <w:rPr>
                            <w:sz w:val="18"/>
                          </w:rPr>
                        </w:pPr>
                        <w:r>
                          <w:rPr>
                            <w:color w:val="231F20"/>
                            <w:sz w:val="18"/>
                          </w:rPr>
                          <w:t>20.3</w:t>
                        </w:r>
                      </w:p>
                    </w:tc>
                    <w:tc>
                      <w:tcPr>
                        <w:tcW w:w="681" w:type="dxa"/>
                      </w:tcPr>
                      <w:p>
                        <w:pPr>
                          <w:pStyle w:val="TableParagraph"/>
                          <w:spacing w:before="101"/>
                          <w:ind w:right="180"/>
                          <w:jc w:val="right"/>
                          <w:rPr>
                            <w:sz w:val="18"/>
                          </w:rPr>
                        </w:pPr>
                        <w:r>
                          <w:rPr>
                            <w:color w:val="231F20"/>
                            <w:w w:val="95"/>
                            <w:sz w:val="18"/>
                          </w:rPr>
                          <w:t>2.4</w:t>
                        </w:r>
                      </w:p>
                    </w:tc>
                    <w:tc>
                      <w:tcPr>
                        <w:tcW w:w="595" w:type="dxa"/>
                      </w:tcPr>
                      <w:p>
                        <w:pPr>
                          <w:pStyle w:val="TableParagraph"/>
                          <w:spacing w:before="101"/>
                          <w:ind w:left="180"/>
                          <w:jc w:val="left"/>
                          <w:rPr>
                            <w:sz w:val="18"/>
                          </w:rPr>
                        </w:pPr>
                        <w:r>
                          <w:rPr>
                            <w:color w:val="231F20"/>
                            <w:sz w:val="18"/>
                          </w:rPr>
                          <w:t>1.8</w:t>
                        </w:r>
                      </w:p>
                    </w:tc>
                    <w:tc>
                      <w:tcPr>
                        <w:tcW w:w="681" w:type="dxa"/>
                      </w:tcPr>
                      <w:p>
                        <w:pPr>
                          <w:pStyle w:val="TableParagraph"/>
                          <w:spacing w:before="101"/>
                          <w:ind w:left="199"/>
                          <w:jc w:val="left"/>
                          <w:rPr>
                            <w:sz w:val="18"/>
                          </w:rPr>
                        </w:pPr>
                        <w:r>
                          <w:rPr>
                            <w:color w:val="231F20"/>
                            <w:sz w:val="18"/>
                          </w:rPr>
                          <w:t>100</w:t>
                        </w:r>
                      </w:p>
                    </w:tc>
                  </w:tr>
                  <w:tr>
                    <w:trPr>
                      <w:trHeight w:val="454" w:hRule="exact"/>
                    </w:trPr>
                    <w:tc>
                      <w:tcPr>
                        <w:tcW w:w="787" w:type="dxa"/>
                      </w:tcPr>
                      <w:p>
                        <w:pPr>
                          <w:pStyle w:val="TableParagraph"/>
                          <w:spacing w:before="80"/>
                          <w:ind w:left="187" w:right="195"/>
                          <w:rPr>
                            <w:rFonts w:ascii="Palatino Linotype"/>
                            <w:b/>
                            <w:sz w:val="18"/>
                          </w:rPr>
                        </w:pPr>
                        <w:r>
                          <w:rPr>
                            <w:rFonts w:ascii="Palatino Linotype"/>
                            <w:b/>
                            <w:color w:val="231F20"/>
                            <w:sz w:val="18"/>
                          </w:rPr>
                          <w:t>2012</w:t>
                        </w:r>
                      </w:p>
                    </w:tc>
                    <w:tc>
                      <w:tcPr>
                        <w:tcW w:w="743" w:type="dxa"/>
                      </w:tcPr>
                      <w:p>
                        <w:pPr>
                          <w:pStyle w:val="TableParagraph"/>
                          <w:spacing w:before="101"/>
                          <w:ind w:left="189" w:right="196"/>
                          <w:rPr>
                            <w:sz w:val="18"/>
                          </w:rPr>
                        </w:pPr>
                        <w:r>
                          <w:rPr>
                            <w:color w:val="231F20"/>
                            <w:sz w:val="18"/>
                          </w:rPr>
                          <w:t>16.1</w:t>
                        </w:r>
                      </w:p>
                    </w:tc>
                    <w:tc>
                      <w:tcPr>
                        <w:tcW w:w="733" w:type="dxa"/>
                      </w:tcPr>
                      <w:p>
                        <w:pPr>
                          <w:pStyle w:val="TableParagraph"/>
                          <w:spacing w:before="101"/>
                          <w:ind w:left="196" w:right="180"/>
                          <w:rPr>
                            <w:sz w:val="18"/>
                          </w:rPr>
                        </w:pPr>
                        <w:r>
                          <w:rPr>
                            <w:color w:val="231F20"/>
                            <w:sz w:val="18"/>
                          </w:rPr>
                          <w:t>18.1</w:t>
                        </w:r>
                      </w:p>
                    </w:tc>
                    <w:tc>
                      <w:tcPr>
                        <w:tcW w:w="709" w:type="dxa"/>
                      </w:tcPr>
                      <w:p>
                        <w:pPr>
                          <w:pStyle w:val="TableParagraph"/>
                          <w:spacing w:before="101"/>
                          <w:ind w:right="199"/>
                          <w:jc w:val="right"/>
                          <w:rPr>
                            <w:sz w:val="18"/>
                          </w:rPr>
                        </w:pPr>
                        <w:r>
                          <w:rPr>
                            <w:color w:val="231F20"/>
                            <w:w w:val="95"/>
                            <w:sz w:val="18"/>
                          </w:rPr>
                          <w:t>19.4</w:t>
                        </w:r>
                      </w:p>
                    </w:tc>
                    <w:tc>
                      <w:tcPr>
                        <w:tcW w:w="612" w:type="dxa"/>
                      </w:tcPr>
                      <w:p>
                        <w:pPr>
                          <w:pStyle w:val="TableParagraph"/>
                          <w:spacing w:before="101"/>
                          <w:ind w:left="173" w:right="171"/>
                          <w:rPr>
                            <w:sz w:val="18"/>
                          </w:rPr>
                        </w:pPr>
                        <w:r>
                          <w:rPr>
                            <w:color w:val="231F20"/>
                            <w:sz w:val="18"/>
                          </w:rPr>
                          <w:t>1.6</w:t>
                        </w:r>
                      </w:p>
                    </w:tc>
                    <w:tc>
                      <w:tcPr>
                        <w:tcW w:w="783" w:type="dxa"/>
                      </w:tcPr>
                      <w:p>
                        <w:pPr>
                          <w:pStyle w:val="TableParagraph"/>
                          <w:spacing w:before="101"/>
                          <w:ind w:left="196"/>
                          <w:jc w:val="left"/>
                          <w:rPr>
                            <w:sz w:val="18"/>
                          </w:rPr>
                        </w:pPr>
                        <w:r>
                          <w:rPr>
                            <w:color w:val="231F20"/>
                            <w:sz w:val="18"/>
                          </w:rPr>
                          <w:t>19.4</w:t>
                        </w:r>
                      </w:p>
                    </w:tc>
                    <w:tc>
                      <w:tcPr>
                        <w:tcW w:w="872" w:type="dxa"/>
                      </w:tcPr>
                      <w:p>
                        <w:pPr>
                          <w:pStyle w:val="TableParagraph"/>
                          <w:spacing w:before="101"/>
                          <w:ind w:left="285"/>
                          <w:jc w:val="left"/>
                          <w:rPr>
                            <w:sz w:val="18"/>
                          </w:rPr>
                        </w:pPr>
                        <w:r>
                          <w:rPr>
                            <w:color w:val="231F20"/>
                            <w:sz w:val="18"/>
                          </w:rPr>
                          <w:t>21.6</w:t>
                        </w:r>
                      </w:p>
                    </w:tc>
                    <w:tc>
                      <w:tcPr>
                        <w:tcW w:w="681" w:type="dxa"/>
                      </w:tcPr>
                      <w:p>
                        <w:pPr>
                          <w:pStyle w:val="TableParagraph"/>
                          <w:spacing w:before="101"/>
                          <w:ind w:right="180"/>
                          <w:jc w:val="right"/>
                          <w:rPr>
                            <w:sz w:val="18"/>
                          </w:rPr>
                        </w:pPr>
                        <w:r>
                          <w:rPr>
                            <w:color w:val="231F20"/>
                            <w:w w:val="95"/>
                            <w:sz w:val="18"/>
                          </w:rPr>
                          <w:t>2.3</w:t>
                        </w:r>
                      </w:p>
                    </w:tc>
                    <w:tc>
                      <w:tcPr>
                        <w:tcW w:w="595" w:type="dxa"/>
                      </w:tcPr>
                      <w:p>
                        <w:pPr>
                          <w:pStyle w:val="TableParagraph"/>
                          <w:spacing w:before="101"/>
                          <w:ind w:left="180"/>
                          <w:jc w:val="left"/>
                          <w:rPr>
                            <w:sz w:val="18"/>
                          </w:rPr>
                        </w:pPr>
                        <w:r>
                          <w:rPr>
                            <w:color w:val="231F20"/>
                            <w:sz w:val="18"/>
                          </w:rPr>
                          <w:t>1.4</w:t>
                        </w:r>
                      </w:p>
                    </w:tc>
                    <w:tc>
                      <w:tcPr>
                        <w:tcW w:w="681" w:type="dxa"/>
                      </w:tcPr>
                      <w:p>
                        <w:pPr>
                          <w:pStyle w:val="TableParagraph"/>
                          <w:spacing w:before="101"/>
                          <w:ind w:left="199"/>
                          <w:jc w:val="left"/>
                          <w:rPr>
                            <w:sz w:val="18"/>
                          </w:rPr>
                        </w:pPr>
                        <w:r>
                          <w:rPr>
                            <w:color w:val="231F20"/>
                            <w:sz w:val="18"/>
                          </w:rPr>
                          <w:t>100</w:t>
                        </w:r>
                      </w:p>
                    </w:tc>
                  </w:tr>
                  <w:tr>
                    <w:trPr>
                      <w:trHeight w:val="430" w:hRule="exact"/>
                    </w:trPr>
                    <w:tc>
                      <w:tcPr>
                        <w:tcW w:w="787" w:type="dxa"/>
                        <w:tcBorders>
                          <w:bottom w:val="single" w:sz="4" w:space="0" w:color="231F20"/>
                        </w:tcBorders>
                      </w:tcPr>
                      <w:p>
                        <w:pPr>
                          <w:pStyle w:val="TableParagraph"/>
                          <w:spacing w:before="80"/>
                          <w:ind w:left="187" w:right="195"/>
                          <w:rPr>
                            <w:rFonts w:ascii="Palatino Linotype"/>
                            <w:b/>
                            <w:sz w:val="18"/>
                          </w:rPr>
                        </w:pPr>
                        <w:r>
                          <w:rPr>
                            <w:rFonts w:ascii="Palatino Linotype"/>
                            <w:b/>
                            <w:color w:val="231F20"/>
                            <w:sz w:val="18"/>
                          </w:rPr>
                          <w:t>2013</w:t>
                        </w:r>
                      </w:p>
                    </w:tc>
                    <w:tc>
                      <w:tcPr>
                        <w:tcW w:w="743" w:type="dxa"/>
                        <w:tcBorders>
                          <w:bottom w:val="single" w:sz="4" w:space="0" w:color="231F20"/>
                        </w:tcBorders>
                      </w:tcPr>
                      <w:p>
                        <w:pPr>
                          <w:pStyle w:val="TableParagraph"/>
                          <w:spacing w:before="101"/>
                          <w:ind w:left="189" w:right="196"/>
                          <w:rPr>
                            <w:sz w:val="18"/>
                          </w:rPr>
                        </w:pPr>
                        <w:r>
                          <w:rPr>
                            <w:color w:val="231F20"/>
                            <w:sz w:val="18"/>
                          </w:rPr>
                          <w:t>16.3</w:t>
                        </w:r>
                      </w:p>
                    </w:tc>
                    <w:tc>
                      <w:tcPr>
                        <w:tcW w:w="733" w:type="dxa"/>
                        <w:tcBorders>
                          <w:bottom w:val="single" w:sz="4" w:space="0" w:color="231F20"/>
                        </w:tcBorders>
                      </w:tcPr>
                      <w:p>
                        <w:pPr>
                          <w:pStyle w:val="TableParagraph"/>
                          <w:spacing w:before="101"/>
                          <w:ind w:left="196" w:right="180"/>
                          <w:rPr>
                            <w:sz w:val="18"/>
                          </w:rPr>
                        </w:pPr>
                        <w:r>
                          <w:rPr>
                            <w:color w:val="231F20"/>
                            <w:sz w:val="18"/>
                          </w:rPr>
                          <w:t>20.2</w:t>
                        </w:r>
                      </w:p>
                    </w:tc>
                    <w:tc>
                      <w:tcPr>
                        <w:tcW w:w="709" w:type="dxa"/>
                        <w:tcBorders>
                          <w:bottom w:val="single" w:sz="4" w:space="0" w:color="231F20"/>
                        </w:tcBorders>
                      </w:tcPr>
                      <w:p>
                        <w:pPr>
                          <w:pStyle w:val="TableParagraph"/>
                          <w:spacing w:before="101"/>
                          <w:ind w:right="199"/>
                          <w:jc w:val="right"/>
                          <w:rPr>
                            <w:sz w:val="18"/>
                          </w:rPr>
                        </w:pPr>
                        <w:r>
                          <w:rPr>
                            <w:color w:val="231F20"/>
                            <w:w w:val="95"/>
                            <w:sz w:val="18"/>
                          </w:rPr>
                          <w:t>21.7</w:t>
                        </w:r>
                      </w:p>
                    </w:tc>
                    <w:tc>
                      <w:tcPr>
                        <w:tcW w:w="612" w:type="dxa"/>
                        <w:tcBorders>
                          <w:bottom w:val="single" w:sz="4" w:space="0" w:color="231F20"/>
                        </w:tcBorders>
                      </w:tcPr>
                      <w:p>
                        <w:pPr>
                          <w:pStyle w:val="TableParagraph"/>
                          <w:spacing w:before="101"/>
                          <w:ind w:left="172" w:right="171"/>
                          <w:rPr>
                            <w:sz w:val="18"/>
                          </w:rPr>
                        </w:pPr>
                        <w:r>
                          <w:rPr>
                            <w:color w:val="231F20"/>
                            <w:sz w:val="18"/>
                          </w:rPr>
                          <w:t>1.6</w:t>
                        </w:r>
                      </w:p>
                    </w:tc>
                    <w:tc>
                      <w:tcPr>
                        <w:tcW w:w="783" w:type="dxa"/>
                        <w:tcBorders>
                          <w:bottom w:val="single" w:sz="4" w:space="0" w:color="231F20"/>
                        </w:tcBorders>
                      </w:tcPr>
                      <w:p>
                        <w:pPr>
                          <w:pStyle w:val="TableParagraph"/>
                          <w:spacing w:before="101"/>
                          <w:ind w:left="196"/>
                          <w:jc w:val="left"/>
                          <w:rPr>
                            <w:sz w:val="18"/>
                          </w:rPr>
                        </w:pPr>
                        <w:r>
                          <w:rPr>
                            <w:color w:val="231F20"/>
                            <w:sz w:val="18"/>
                          </w:rPr>
                          <w:t>19.1</w:t>
                        </w:r>
                      </w:p>
                    </w:tc>
                    <w:tc>
                      <w:tcPr>
                        <w:tcW w:w="872" w:type="dxa"/>
                        <w:tcBorders>
                          <w:bottom w:val="single" w:sz="4" w:space="0" w:color="231F20"/>
                        </w:tcBorders>
                      </w:tcPr>
                      <w:p>
                        <w:pPr>
                          <w:pStyle w:val="TableParagraph"/>
                          <w:spacing w:before="101"/>
                          <w:ind w:left="284"/>
                          <w:jc w:val="left"/>
                          <w:rPr>
                            <w:sz w:val="18"/>
                          </w:rPr>
                        </w:pPr>
                        <w:r>
                          <w:rPr>
                            <w:color w:val="231F20"/>
                            <w:sz w:val="18"/>
                          </w:rPr>
                          <w:t>17.1</w:t>
                        </w:r>
                      </w:p>
                    </w:tc>
                    <w:tc>
                      <w:tcPr>
                        <w:tcW w:w="681" w:type="dxa"/>
                        <w:tcBorders>
                          <w:bottom w:val="single" w:sz="4" w:space="0" w:color="231F20"/>
                        </w:tcBorders>
                      </w:tcPr>
                      <w:p>
                        <w:pPr>
                          <w:pStyle w:val="TableParagraph"/>
                          <w:spacing w:before="101"/>
                          <w:ind w:right="180"/>
                          <w:jc w:val="right"/>
                          <w:rPr>
                            <w:sz w:val="18"/>
                          </w:rPr>
                        </w:pPr>
                        <w:r>
                          <w:rPr>
                            <w:color w:val="231F20"/>
                            <w:w w:val="95"/>
                            <w:sz w:val="18"/>
                          </w:rPr>
                          <w:t>2.6</w:t>
                        </w:r>
                      </w:p>
                    </w:tc>
                    <w:tc>
                      <w:tcPr>
                        <w:tcW w:w="595" w:type="dxa"/>
                        <w:tcBorders>
                          <w:bottom w:val="single" w:sz="4" w:space="0" w:color="231F20"/>
                        </w:tcBorders>
                      </w:tcPr>
                      <w:p>
                        <w:pPr>
                          <w:pStyle w:val="TableParagraph"/>
                          <w:spacing w:before="101"/>
                          <w:ind w:left="180"/>
                          <w:jc w:val="left"/>
                          <w:rPr>
                            <w:sz w:val="18"/>
                          </w:rPr>
                        </w:pPr>
                        <w:r>
                          <w:rPr>
                            <w:color w:val="231F20"/>
                            <w:sz w:val="18"/>
                          </w:rPr>
                          <w:t>1.4</w:t>
                        </w:r>
                      </w:p>
                    </w:tc>
                    <w:tc>
                      <w:tcPr>
                        <w:tcW w:w="681" w:type="dxa"/>
                        <w:tcBorders>
                          <w:bottom w:val="single" w:sz="4" w:space="0" w:color="231F20"/>
                        </w:tcBorders>
                      </w:tcPr>
                      <w:p>
                        <w:pPr>
                          <w:pStyle w:val="TableParagraph"/>
                          <w:spacing w:before="101"/>
                          <w:ind w:left="198"/>
                          <w:jc w:val="left"/>
                          <w:rPr>
                            <w:sz w:val="18"/>
                          </w:rPr>
                        </w:pPr>
                        <w:r>
                          <w:rPr>
                            <w:color w:val="231F20"/>
                            <w:sz w:val="18"/>
                          </w:rPr>
                          <w:t>100</w:t>
                        </w:r>
                      </w:p>
                    </w:tc>
                  </w:tr>
                </w:tbl>
                <w:p>
                  <w:pPr>
                    <w:pStyle w:val="BodyText"/>
                  </w:pPr>
                </w:p>
              </w:txbxContent>
            </v:textbox>
            <w10:wrap type="none"/>
          </v:shape>
        </w:pict>
      </w:r>
      <w:r>
        <w:rPr>
          <w:rFonts w:ascii="Palatino Linotype" w:hAnsi="Palatino Linotype"/>
          <w:b/>
          <w:color w:val="231F20"/>
          <w:position w:val="-9"/>
          <w:sz w:val="18"/>
        </w:rPr>
        <w:t>Año</w:t>
        <w:tab/>
      </w:r>
      <w:r>
        <w:rPr>
          <w:rFonts w:ascii="Palatino Linotype" w:hAnsi="Palatino Linotype"/>
          <w:b/>
          <w:color w:val="231F20"/>
          <w:w w:val="90"/>
          <w:sz w:val="18"/>
        </w:rPr>
        <w:t>Chrysler</w:t>
      </w:r>
    </w:p>
    <w:p>
      <w:pPr>
        <w:spacing w:line="198" w:lineRule="exact" w:before="55"/>
        <w:ind w:left="147" w:right="-10" w:firstLine="57"/>
        <w:jc w:val="left"/>
        <w:rPr>
          <w:rFonts w:ascii="Palatino Linotype"/>
          <w:b/>
          <w:sz w:val="18"/>
        </w:rPr>
      </w:pPr>
      <w:r>
        <w:rPr/>
        <w:br w:type="column"/>
      </w:r>
      <w:r>
        <w:rPr>
          <w:rFonts w:ascii="Palatino Linotype"/>
          <w:b/>
          <w:color w:val="231F20"/>
          <w:sz w:val="18"/>
        </w:rPr>
        <w:t>Ford </w:t>
      </w:r>
      <w:r>
        <w:rPr>
          <w:rFonts w:ascii="Palatino Linotype"/>
          <w:b/>
          <w:color w:val="231F20"/>
          <w:spacing w:val="-4"/>
          <w:w w:val="95"/>
          <w:sz w:val="18"/>
        </w:rPr>
        <w:t>Motor</w:t>
      </w:r>
    </w:p>
    <w:p>
      <w:pPr>
        <w:spacing w:line="171" w:lineRule="exact" w:before="123"/>
        <w:ind w:left="138" w:right="0" w:firstLine="0"/>
        <w:jc w:val="left"/>
        <w:rPr>
          <w:rFonts w:ascii="Palatino Linotype"/>
          <w:b/>
          <w:sz w:val="18"/>
        </w:rPr>
      </w:pPr>
      <w:r>
        <w:rPr/>
        <w:br w:type="column"/>
      </w:r>
      <w:r>
        <w:rPr>
          <w:rFonts w:ascii="Palatino Linotype"/>
          <w:b/>
          <w:color w:val="231F20"/>
          <w:sz w:val="18"/>
        </w:rPr>
        <w:t>General</w:t>
      </w:r>
    </w:p>
    <w:p>
      <w:pPr>
        <w:tabs>
          <w:tab w:pos="4471" w:val="left" w:leader="none"/>
        </w:tabs>
        <w:spacing w:line="271" w:lineRule="exact" w:before="0"/>
        <w:ind w:left="167" w:right="0" w:firstLine="0"/>
        <w:jc w:val="left"/>
        <w:rPr>
          <w:rFonts w:ascii="Palatino Linotype"/>
          <w:b/>
          <w:sz w:val="18"/>
        </w:rPr>
      </w:pPr>
      <w:r>
        <w:rPr>
          <w:rFonts w:ascii="Palatino Linotype"/>
          <w:b/>
          <w:color w:val="231F20"/>
          <w:position w:val="-9"/>
          <w:sz w:val="18"/>
        </w:rPr>
        <w:t>Motors  </w:t>
      </w:r>
      <w:r>
        <w:rPr>
          <w:rFonts w:ascii="Palatino Linotype"/>
          <w:b/>
          <w:color w:val="231F20"/>
          <w:sz w:val="18"/>
        </w:rPr>
        <w:t>Honda  Nissan   </w:t>
      </w:r>
      <w:r>
        <w:rPr>
          <w:rFonts w:ascii="Palatino Linotype"/>
          <w:b/>
          <w:color w:val="231F20"/>
          <w:spacing w:val="-4"/>
          <w:sz w:val="18"/>
        </w:rPr>
        <w:t>Volkswagen</w:t>
      </w:r>
      <w:r>
        <w:rPr>
          <w:rFonts w:ascii="Palatino Linotype"/>
          <w:b/>
          <w:color w:val="231F20"/>
          <w:spacing w:val="17"/>
          <w:sz w:val="18"/>
        </w:rPr>
        <w:t> </w:t>
      </w:r>
      <w:r>
        <w:rPr>
          <w:rFonts w:ascii="Palatino Linotype"/>
          <w:b/>
          <w:color w:val="231F20"/>
          <w:spacing w:val="-4"/>
          <w:sz w:val="18"/>
        </w:rPr>
        <w:t>Toyota </w:t>
      </w:r>
      <w:r>
        <w:rPr>
          <w:rFonts w:ascii="Palatino Linotype"/>
          <w:b/>
          <w:color w:val="231F20"/>
          <w:spacing w:val="25"/>
          <w:sz w:val="18"/>
        </w:rPr>
        <w:t> </w:t>
      </w:r>
      <w:r>
        <w:rPr>
          <w:rFonts w:ascii="Palatino Linotype"/>
          <w:b/>
          <w:color w:val="231F20"/>
          <w:sz w:val="18"/>
        </w:rPr>
        <w:t>Fiat</w:t>
        <w:tab/>
      </w:r>
      <w:r>
        <w:rPr>
          <w:rFonts w:ascii="Palatino Linotype"/>
          <w:b/>
          <w:color w:val="231F20"/>
          <w:spacing w:val="-5"/>
          <w:sz w:val="18"/>
        </w:rPr>
        <w:t>Total</w:t>
      </w:r>
    </w:p>
    <w:p>
      <w:pPr>
        <w:spacing w:after="0" w:line="271" w:lineRule="exact"/>
        <w:jc w:val="left"/>
        <w:rPr>
          <w:rFonts w:ascii="Palatino Linotype"/>
          <w:sz w:val="18"/>
        </w:rPr>
        <w:sectPr>
          <w:type w:val="continuous"/>
          <w:pgSz w:w="9640" w:h="13040"/>
          <w:pgMar w:top="1200" w:bottom="280" w:left="480" w:right="1200"/>
          <w:cols w:num="3" w:equalWidth="0">
            <w:col w:w="2136" w:space="40"/>
            <w:col w:w="622" w:space="40"/>
            <w:col w:w="5122"/>
          </w:cols>
        </w:sect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9"/>
        <w:rPr>
          <w:rFonts w:ascii="Palatino Linotype"/>
          <w:b/>
          <w:sz w:val="14"/>
        </w:rPr>
      </w:pPr>
    </w:p>
    <w:p>
      <w:pPr>
        <w:spacing w:before="1"/>
        <w:ind w:left="653" w:right="0" w:firstLine="0"/>
        <w:jc w:val="both"/>
        <w:rPr>
          <w:sz w:val="19"/>
        </w:rPr>
      </w:pPr>
      <w:r>
        <w:rPr>
          <w:rFonts w:ascii="Palatino Linotype" w:hAnsi="Palatino Linotype"/>
          <w:i/>
          <w:color w:val="231F20"/>
          <w:sz w:val="19"/>
        </w:rPr>
        <w:t>Fuente: </w:t>
      </w:r>
      <w:r>
        <w:rPr>
          <w:color w:val="231F20"/>
          <w:sz w:val="19"/>
        </w:rPr>
        <w:t>Elaboración propia con datos de AMIA (2014).</w:t>
      </w:r>
    </w:p>
    <w:p>
      <w:pPr>
        <w:pStyle w:val="BodyText"/>
        <w:rPr>
          <w:sz w:val="22"/>
        </w:rPr>
      </w:pPr>
    </w:p>
    <w:p>
      <w:pPr>
        <w:pStyle w:val="BodyText"/>
        <w:spacing w:line="278" w:lineRule="auto" w:before="1"/>
        <w:ind w:left="653" w:right="101"/>
        <w:jc w:val="both"/>
      </w:pPr>
      <w:r>
        <w:rPr>
          <w:color w:val="231F20"/>
          <w:spacing w:val="-5"/>
        </w:rPr>
        <w:t>Un </w:t>
      </w:r>
      <w:r>
        <w:rPr>
          <w:color w:val="231F20"/>
        </w:rPr>
        <w:t>hecho que no puede omitirse en este análisis del sector en México es sin duda la fuerte</w:t>
      </w:r>
      <w:r>
        <w:rPr>
          <w:color w:val="231F20"/>
          <w:spacing w:val="-9"/>
        </w:rPr>
        <w:t> </w:t>
      </w:r>
      <w:r>
        <w:rPr>
          <w:color w:val="231F20"/>
        </w:rPr>
        <w:t>contracción</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produjo</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automotriz</w:t>
      </w:r>
      <w:r>
        <w:rPr>
          <w:color w:val="231F20"/>
          <w:spacing w:val="-9"/>
        </w:rPr>
        <w:t> </w:t>
      </w:r>
      <w:r>
        <w:rPr>
          <w:color w:val="231F20"/>
        </w:rPr>
        <w:t>como</w:t>
      </w:r>
      <w:r>
        <w:rPr>
          <w:color w:val="231F20"/>
          <w:spacing w:val="-9"/>
        </w:rPr>
        <w:t> </w:t>
      </w:r>
      <w:r>
        <w:rPr>
          <w:color w:val="231F20"/>
        </w:rPr>
        <w:t>resultado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Gran Recesión</w:t>
      </w:r>
      <w:r>
        <w:rPr>
          <w:color w:val="231F20"/>
          <w:spacing w:val="-5"/>
        </w:rPr>
        <w:t> </w:t>
      </w:r>
      <w:r>
        <w:rPr>
          <w:color w:val="231F20"/>
        </w:rPr>
        <w:t>del</w:t>
      </w:r>
      <w:r>
        <w:rPr>
          <w:color w:val="231F20"/>
          <w:spacing w:val="-5"/>
        </w:rPr>
        <w:t> </w:t>
      </w:r>
      <w:r>
        <w:rPr>
          <w:color w:val="231F20"/>
        </w:rPr>
        <w:t>2008,</w:t>
      </w:r>
      <w:r>
        <w:rPr>
          <w:color w:val="231F20"/>
          <w:spacing w:val="-5"/>
        </w:rPr>
        <w:t> </w:t>
      </w:r>
      <w:r>
        <w:rPr>
          <w:color w:val="231F20"/>
        </w:rPr>
        <w:t>a</w:t>
      </w:r>
      <w:r>
        <w:rPr>
          <w:color w:val="231F20"/>
          <w:spacing w:val="-5"/>
        </w:rPr>
        <w:t> </w:t>
      </w:r>
      <w:r>
        <w:rPr>
          <w:color w:val="231F20"/>
        </w:rPr>
        <w:t>partir</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cual</w:t>
      </w:r>
      <w:r>
        <w:rPr>
          <w:color w:val="231F20"/>
          <w:spacing w:val="-5"/>
        </w:rPr>
        <w:t> </w:t>
      </w:r>
      <w:r>
        <w:rPr>
          <w:color w:val="231F20"/>
        </w:rPr>
        <w:t>prácticamente</w:t>
      </w:r>
      <w:r>
        <w:rPr>
          <w:color w:val="231F20"/>
          <w:spacing w:val="-5"/>
        </w:rPr>
        <w:t> </w:t>
      </w:r>
      <w:r>
        <w:rPr>
          <w:color w:val="231F20"/>
        </w:rPr>
        <w:t>todas</w:t>
      </w:r>
      <w:r>
        <w:rPr>
          <w:color w:val="231F20"/>
          <w:spacing w:val="-5"/>
        </w:rPr>
        <w:t> </w:t>
      </w:r>
      <w:r>
        <w:rPr>
          <w:color w:val="231F20"/>
        </w:rPr>
        <w:t>las</w:t>
      </w:r>
      <w:r>
        <w:rPr>
          <w:color w:val="231F20"/>
          <w:spacing w:val="-5"/>
        </w:rPr>
        <w:t> </w:t>
      </w:r>
      <w:r>
        <w:rPr>
          <w:color w:val="231F20"/>
        </w:rPr>
        <w:t>empresas</w:t>
      </w:r>
      <w:r>
        <w:rPr>
          <w:color w:val="231F20"/>
          <w:spacing w:val="-5"/>
        </w:rPr>
        <w:t> </w:t>
      </w:r>
      <w:r>
        <w:rPr>
          <w:color w:val="231F20"/>
        </w:rPr>
        <w:t>se</w:t>
      </w:r>
      <w:r>
        <w:rPr>
          <w:color w:val="231F20"/>
          <w:spacing w:val="-5"/>
        </w:rPr>
        <w:t> </w:t>
      </w:r>
      <w:r>
        <w:rPr>
          <w:color w:val="231F20"/>
        </w:rPr>
        <w:t>vieron</w:t>
      </w:r>
      <w:r>
        <w:rPr>
          <w:color w:val="231F20"/>
          <w:spacing w:val="-5"/>
        </w:rPr>
        <w:t> </w:t>
      </w:r>
      <w:r>
        <w:rPr>
          <w:color w:val="231F20"/>
        </w:rPr>
        <w:t>afec- tadas</w:t>
      </w:r>
      <w:r>
        <w:rPr>
          <w:color w:val="231F20"/>
          <w:spacing w:val="-12"/>
        </w:rPr>
        <w:t> </w:t>
      </w:r>
      <w:r>
        <w:rPr>
          <w:color w:val="231F20"/>
        </w:rPr>
        <w:t>en</w:t>
      </w:r>
      <w:r>
        <w:rPr>
          <w:color w:val="231F20"/>
          <w:spacing w:val="-12"/>
        </w:rPr>
        <w:t> </w:t>
      </w:r>
      <w:r>
        <w:rPr>
          <w:color w:val="231F20"/>
        </w:rPr>
        <w:t>sus</w:t>
      </w:r>
      <w:r>
        <w:rPr>
          <w:color w:val="231F20"/>
          <w:spacing w:val="-12"/>
        </w:rPr>
        <w:t> </w:t>
      </w:r>
      <w:r>
        <w:rPr>
          <w:color w:val="231F20"/>
        </w:rPr>
        <w:t>niveles</w:t>
      </w:r>
      <w:r>
        <w:rPr>
          <w:color w:val="231F20"/>
          <w:spacing w:val="-12"/>
        </w:rPr>
        <w:t> </w:t>
      </w:r>
      <w:r>
        <w:rPr>
          <w:color w:val="231F20"/>
        </w:rPr>
        <w:t>de</w:t>
      </w:r>
      <w:r>
        <w:rPr>
          <w:color w:val="231F20"/>
          <w:spacing w:val="-12"/>
        </w:rPr>
        <w:t> </w:t>
      </w:r>
      <w:r>
        <w:rPr>
          <w:color w:val="231F20"/>
        </w:rPr>
        <w:t>producción.</w:t>
      </w:r>
      <w:r>
        <w:rPr>
          <w:color w:val="231F20"/>
          <w:spacing w:val="-12"/>
        </w:rPr>
        <w:t> </w:t>
      </w:r>
      <w:r>
        <w:rPr>
          <w:color w:val="231F20"/>
          <w:spacing w:val="-13"/>
        </w:rPr>
        <w:t>Ya</w:t>
      </w:r>
      <w:r>
        <w:rPr>
          <w:color w:val="231F20"/>
          <w:spacing w:val="-12"/>
        </w:rPr>
        <w:t> </w:t>
      </w:r>
      <w:r>
        <w:rPr>
          <w:color w:val="231F20"/>
        </w:rPr>
        <w:t>desde</w:t>
      </w:r>
      <w:r>
        <w:rPr>
          <w:color w:val="231F20"/>
          <w:spacing w:val="-12"/>
        </w:rPr>
        <w:t> </w:t>
      </w:r>
      <w:r>
        <w:rPr>
          <w:color w:val="231F20"/>
        </w:rPr>
        <w:t>2008,</w:t>
      </w:r>
      <w:r>
        <w:rPr>
          <w:color w:val="231F20"/>
          <w:spacing w:val="-12"/>
        </w:rPr>
        <w:t> </w:t>
      </w:r>
      <w:r>
        <w:rPr>
          <w:color w:val="231F20"/>
        </w:rPr>
        <w:t>pero</w:t>
      </w:r>
      <w:r>
        <w:rPr>
          <w:color w:val="231F20"/>
          <w:spacing w:val="-12"/>
        </w:rPr>
        <w:t> </w:t>
      </w:r>
      <w:r>
        <w:rPr>
          <w:color w:val="231F20"/>
        </w:rPr>
        <w:t>sobre</w:t>
      </w:r>
      <w:r>
        <w:rPr>
          <w:color w:val="231F20"/>
          <w:spacing w:val="-12"/>
        </w:rPr>
        <w:t> </w:t>
      </w:r>
      <w:r>
        <w:rPr>
          <w:color w:val="231F20"/>
        </w:rPr>
        <w:t>todo</w:t>
      </w:r>
      <w:r>
        <w:rPr>
          <w:color w:val="231F20"/>
          <w:spacing w:val="-12"/>
        </w:rPr>
        <w:t> </w:t>
      </w:r>
      <w:r>
        <w:rPr>
          <w:color w:val="231F20"/>
        </w:rPr>
        <w:t>en</w:t>
      </w:r>
      <w:r>
        <w:rPr>
          <w:color w:val="231F20"/>
          <w:spacing w:val="-12"/>
        </w:rPr>
        <w:t> </w:t>
      </w:r>
      <w:r>
        <w:rPr>
          <w:color w:val="231F20"/>
        </w:rPr>
        <w:t>2009,</w:t>
      </w:r>
      <w:r>
        <w:rPr>
          <w:color w:val="231F20"/>
          <w:spacing w:val="-12"/>
        </w:rPr>
        <w:t> </w:t>
      </w:r>
      <w:r>
        <w:rPr>
          <w:color w:val="231F20"/>
        </w:rPr>
        <w:t>la</w:t>
      </w:r>
      <w:r>
        <w:rPr>
          <w:color w:val="231F20"/>
          <w:spacing w:val="-12"/>
        </w:rPr>
        <w:t> </w:t>
      </w:r>
      <w:r>
        <w:rPr>
          <w:color w:val="231F20"/>
        </w:rPr>
        <w:t>mayoría de</w:t>
      </w:r>
      <w:r>
        <w:rPr>
          <w:color w:val="231F20"/>
          <w:spacing w:val="-6"/>
        </w:rPr>
        <w:t> </w:t>
      </w:r>
      <w:r>
        <w:rPr>
          <w:color w:val="231F20"/>
        </w:rPr>
        <w:t>las</w:t>
      </w:r>
      <w:r>
        <w:rPr>
          <w:color w:val="231F20"/>
          <w:spacing w:val="-6"/>
        </w:rPr>
        <w:t> </w:t>
      </w:r>
      <w:r>
        <w:rPr>
          <w:color w:val="231F20"/>
        </w:rPr>
        <w:t>empresas</w:t>
      </w:r>
      <w:r>
        <w:rPr>
          <w:color w:val="231F20"/>
          <w:spacing w:val="-6"/>
        </w:rPr>
        <w:t> </w:t>
      </w:r>
      <w:r>
        <w:rPr>
          <w:color w:val="231F20"/>
        </w:rPr>
        <w:t>disminuyeron</w:t>
      </w:r>
      <w:r>
        <w:rPr>
          <w:color w:val="231F20"/>
          <w:spacing w:val="-6"/>
        </w:rPr>
        <w:t> </w:t>
      </w:r>
      <w:r>
        <w:rPr>
          <w:color w:val="231F20"/>
        </w:rPr>
        <w:t>de</w:t>
      </w:r>
      <w:r>
        <w:rPr>
          <w:color w:val="231F20"/>
          <w:spacing w:val="-6"/>
        </w:rPr>
        <w:t> </w:t>
      </w:r>
      <w:r>
        <w:rPr>
          <w:color w:val="231F20"/>
        </w:rPr>
        <w:t>manera</w:t>
      </w:r>
      <w:r>
        <w:rPr>
          <w:color w:val="231F20"/>
          <w:spacing w:val="-6"/>
        </w:rPr>
        <w:t> </w:t>
      </w:r>
      <w:r>
        <w:rPr>
          <w:color w:val="231F20"/>
        </w:rPr>
        <w:t>importante</w:t>
      </w:r>
      <w:r>
        <w:rPr>
          <w:color w:val="231F20"/>
          <w:spacing w:val="-6"/>
        </w:rPr>
        <w:t> </w:t>
      </w:r>
      <w:r>
        <w:rPr>
          <w:color w:val="231F20"/>
        </w:rPr>
        <w:t>su</w:t>
      </w:r>
      <w:r>
        <w:rPr>
          <w:color w:val="231F20"/>
          <w:spacing w:val="-6"/>
        </w:rPr>
        <w:t> </w:t>
      </w:r>
      <w:r>
        <w:rPr>
          <w:color w:val="231F20"/>
        </w:rPr>
        <w:t>producción,</w:t>
      </w:r>
      <w:r>
        <w:rPr>
          <w:color w:val="231F20"/>
          <w:spacing w:val="-6"/>
        </w:rPr>
        <w:t> </w:t>
      </w:r>
      <w:r>
        <w:rPr>
          <w:color w:val="231F20"/>
        </w:rPr>
        <w:t>presentando</w:t>
      </w:r>
      <w:r>
        <w:rPr>
          <w:color w:val="231F20"/>
          <w:spacing w:val="-6"/>
        </w:rPr>
        <w:t> </w:t>
      </w:r>
      <w:r>
        <w:rPr>
          <w:color w:val="231F20"/>
        </w:rPr>
        <w:t>tasas de</w:t>
      </w:r>
      <w:r>
        <w:rPr>
          <w:color w:val="231F20"/>
          <w:spacing w:val="-10"/>
        </w:rPr>
        <w:t> </w:t>
      </w:r>
      <w:r>
        <w:rPr>
          <w:color w:val="231F20"/>
        </w:rPr>
        <w:t>crecimiento</w:t>
      </w:r>
      <w:r>
        <w:rPr>
          <w:color w:val="231F20"/>
          <w:spacing w:val="-10"/>
        </w:rPr>
        <w:t> </w:t>
      </w:r>
      <w:r>
        <w:rPr>
          <w:color w:val="231F20"/>
        </w:rPr>
        <w:t>negativas</w:t>
      </w:r>
      <w:r>
        <w:rPr>
          <w:color w:val="231F20"/>
          <w:spacing w:val="-10"/>
        </w:rPr>
        <w:t> </w:t>
      </w:r>
      <w:r>
        <w:rPr>
          <w:color w:val="231F20"/>
        </w:rPr>
        <w:t>(véase</w:t>
      </w:r>
      <w:r>
        <w:rPr>
          <w:color w:val="231F20"/>
          <w:spacing w:val="-10"/>
        </w:rPr>
        <w:t> </w:t>
      </w:r>
      <w:r>
        <w:rPr>
          <w:color w:val="231F20"/>
        </w:rPr>
        <w:t>cuadro</w:t>
      </w:r>
      <w:r>
        <w:rPr>
          <w:color w:val="231F20"/>
          <w:spacing w:val="-10"/>
        </w:rPr>
        <w:t> </w:t>
      </w:r>
      <w:r>
        <w:rPr>
          <w:color w:val="231F20"/>
        </w:rPr>
        <w:t>III.6).</w:t>
      </w:r>
    </w:p>
    <w:p>
      <w:pPr>
        <w:pStyle w:val="BodyText"/>
        <w:spacing w:line="278" w:lineRule="auto" w:before="1"/>
        <w:ind w:left="653" w:firstLine="396"/>
      </w:pPr>
      <w:r>
        <w:rPr>
          <w:color w:val="231F20"/>
        </w:rPr>
        <w:t>Las transnacionales estadounidenses tuvieron las tasas negativas más pronun- ciadas en 2008 y 2009. Chrysler, por ejemplo, llegó a -43.9% en su producción  total,</w:t>
      </w:r>
    </w:p>
    <w:p>
      <w:pPr>
        <w:pStyle w:val="BodyText"/>
        <w:spacing w:line="278" w:lineRule="auto" w:before="1"/>
        <w:ind w:left="653" w:right="100"/>
        <w:jc w:val="both"/>
      </w:pPr>
      <w:r>
        <w:rPr>
          <w:color w:val="231F20"/>
        </w:rPr>
        <w:t>-76.4%</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producción</w:t>
      </w:r>
      <w:r>
        <w:rPr>
          <w:color w:val="231F20"/>
          <w:spacing w:val="-15"/>
        </w:rPr>
        <w:t> </w:t>
      </w:r>
      <w:r>
        <w:rPr>
          <w:color w:val="231F20"/>
        </w:rPr>
        <w:t>de</w:t>
      </w:r>
      <w:r>
        <w:rPr>
          <w:color w:val="231F20"/>
          <w:spacing w:val="-15"/>
        </w:rPr>
        <w:t> </w:t>
      </w:r>
      <w:r>
        <w:rPr>
          <w:color w:val="231F20"/>
        </w:rPr>
        <w:t>automóviles</w:t>
      </w:r>
      <w:r>
        <w:rPr>
          <w:color w:val="231F20"/>
          <w:spacing w:val="-15"/>
        </w:rPr>
        <w:t> </w:t>
      </w:r>
      <w:r>
        <w:rPr>
          <w:color w:val="231F20"/>
        </w:rPr>
        <w:t>y</w:t>
      </w:r>
      <w:r>
        <w:rPr>
          <w:color w:val="231F20"/>
          <w:spacing w:val="-15"/>
        </w:rPr>
        <w:t> </w:t>
      </w:r>
      <w:r>
        <w:rPr>
          <w:color w:val="231F20"/>
        </w:rPr>
        <w:t>-35.2%</w:t>
      </w:r>
      <w:r>
        <w:rPr>
          <w:color w:val="231F20"/>
          <w:spacing w:val="-15"/>
        </w:rPr>
        <w:t> </w:t>
      </w:r>
      <w:r>
        <w:rPr>
          <w:color w:val="231F20"/>
        </w:rPr>
        <w:t>en</w:t>
      </w:r>
      <w:r>
        <w:rPr>
          <w:color w:val="231F20"/>
          <w:spacing w:val="-15"/>
        </w:rPr>
        <w:t> </w:t>
      </w:r>
      <w:r>
        <w:rPr>
          <w:color w:val="231F20"/>
        </w:rPr>
        <w:t>la</w:t>
      </w:r>
      <w:r>
        <w:rPr>
          <w:color w:val="231F20"/>
          <w:spacing w:val="-15"/>
        </w:rPr>
        <w:t> </w:t>
      </w:r>
      <w:r>
        <w:rPr>
          <w:color w:val="231F20"/>
        </w:rPr>
        <w:t>de</w:t>
      </w:r>
      <w:r>
        <w:rPr>
          <w:color w:val="231F20"/>
          <w:spacing w:val="-15"/>
        </w:rPr>
        <w:t> </w:t>
      </w:r>
      <w:r>
        <w:rPr>
          <w:color w:val="231F20"/>
        </w:rPr>
        <w:t>camiones.</w:t>
      </w:r>
      <w:r>
        <w:rPr>
          <w:color w:val="231F20"/>
          <w:spacing w:val="-15"/>
        </w:rPr>
        <w:t> </w:t>
      </w:r>
      <w:r>
        <w:rPr>
          <w:color w:val="231F20"/>
          <w:spacing w:val="-3"/>
        </w:rPr>
        <w:t>Ford,</w:t>
      </w:r>
      <w:r>
        <w:rPr>
          <w:color w:val="231F20"/>
          <w:spacing w:val="-15"/>
        </w:rPr>
        <w:t> </w:t>
      </w:r>
      <w:r>
        <w:rPr>
          <w:color w:val="231F20"/>
        </w:rPr>
        <w:t>por</w:t>
      </w:r>
      <w:r>
        <w:rPr>
          <w:color w:val="231F20"/>
          <w:spacing w:val="-15"/>
        </w:rPr>
        <w:t> </w:t>
      </w:r>
      <w:r>
        <w:rPr>
          <w:color w:val="231F20"/>
        </w:rPr>
        <w:t>su</w:t>
      </w:r>
      <w:r>
        <w:rPr>
          <w:color w:val="231F20"/>
          <w:spacing w:val="-15"/>
        </w:rPr>
        <w:t> </w:t>
      </w:r>
      <w:r>
        <w:rPr>
          <w:color w:val="231F20"/>
        </w:rPr>
        <w:t>parte, llegó a -25.4% en su producción total, -15.2% en la de automóviles y -91.2% en la de camiones.</w:t>
      </w:r>
      <w:r>
        <w:rPr>
          <w:color w:val="231F20"/>
          <w:spacing w:val="-7"/>
        </w:rPr>
        <w:t> </w:t>
      </w:r>
      <w:r>
        <w:rPr>
          <w:color w:val="231F20"/>
        </w:rPr>
        <w:t>Finalmente,</w:t>
      </w:r>
      <w:r>
        <w:rPr>
          <w:color w:val="231F20"/>
          <w:spacing w:val="-7"/>
        </w:rPr>
        <w:t> </w:t>
      </w:r>
      <w:r>
        <w:rPr>
          <w:color w:val="231F20"/>
        </w:rPr>
        <w:t>General</w:t>
      </w:r>
      <w:r>
        <w:rPr>
          <w:color w:val="231F20"/>
          <w:spacing w:val="-7"/>
        </w:rPr>
        <w:t> </w:t>
      </w:r>
      <w:r>
        <w:rPr>
          <w:color w:val="231F20"/>
          <w:spacing w:val="-3"/>
        </w:rPr>
        <w:t>Motors</w:t>
      </w:r>
      <w:r>
        <w:rPr>
          <w:color w:val="231F20"/>
          <w:spacing w:val="-7"/>
        </w:rPr>
        <w:t> </w:t>
      </w:r>
      <w:r>
        <w:rPr>
          <w:color w:val="231F20"/>
        </w:rPr>
        <w:t>llegó</w:t>
      </w:r>
      <w:r>
        <w:rPr>
          <w:color w:val="231F20"/>
          <w:spacing w:val="-7"/>
        </w:rPr>
        <w:t> </w:t>
      </w:r>
      <w:r>
        <w:rPr>
          <w:color w:val="231F20"/>
        </w:rPr>
        <w:t>a</w:t>
      </w:r>
      <w:r>
        <w:rPr>
          <w:color w:val="231F20"/>
          <w:spacing w:val="-7"/>
        </w:rPr>
        <w:t> </w:t>
      </w:r>
      <w:r>
        <w:rPr>
          <w:color w:val="231F20"/>
        </w:rPr>
        <w:t>-31.1%,</w:t>
      </w:r>
      <w:r>
        <w:rPr>
          <w:color w:val="231F20"/>
          <w:spacing w:val="-7"/>
        </w:rPr>
        <w:t> </w:t>
      </w:r>
      <w:r>
        <w:rPr>
          <w:color w:val="231F20"/>
        </w:rPr>
        <w:t>-40.3%</w:t>
      </w:r>
      <w:r>
        <w:rPr>
          <w:color w:val="231F20"/>
          <w:spacing w:val="-7"/>
        </w:rPr>
        <w:t> </w:t>
      </w:r>
      <w:r>
        <w:rPr>
          <w:color w:val="231F20"/>
        </w:rPr>
        <w:t>y</w:t>
      </w:r>
      <w:r>
        <w:rPr>
          <w:color w:val="231F20"/>
          <w:spacing w:val="-7"/>
        </w:rPr>
        <w:t> </w:t>
      </w:r>
      <w:r>
        <w:rPr>
          <w:color w:val="231F20"/>
        </w:rPr>
        <w:t>-24.9%,</w:t>
      </w:r>
      <w:r>
        <w:rPr>
          <w:color w:val="231F20"/>
          <w:spacing w:val="-7"/>
        </w:rPr>
        <w:t> </w:t>
      </w:r>
      <w:r>
        <w:rPr>
          <w:color w:val="231F20"/>
        </w:rPr>
        <w:t>en</w:t>
      </w:r>
      <w:r>
        <w:rPr>
          <w:color w:val="231F20"/>
          <w:spacing w:val="-7"/>
        </w:rPr>
        <w:t> </w:t>
      </w:r>
      <w:r>
        <w:rPr>
          <w:color w:val="231F20"/>
        </w:rPr>
        <w:t>los</w:t>
      </w:r>
      <w:r>
        <w:rPr>
          <w:color w:val="231F20"/>
          <w:spacing w:val="-7"/>
        </w:rPr>
        <w:t> </w:t>
      </w:r>
      <w:r>
        <w:rPr>
          <w:color w:val="231F20"/>
        </w:rPr>
        <w:t>rubros respectivos</w:t>
      </w:r>
      <w:r>
        <w:rPr>
          <w:color w:val="231F20"/>
          <w:spacing w:val="-14"/>
        </w:rPr>
        <w:t> </w:t>
      </w:r>
      <w:r>
        <w:rPr>
          <w:color w:val="231F20"/>
        </w:rPr>
        <w:t>(véase</w:t>
      </w:r>
      <w:r>
        <w:rPr>
          <w:color w:val="231F20"/>
          <w:spacing w:val="-14"/>
        </w:rPr>
        <w:t> </w:t>
      </w:r>
      <w:r>
        <w:rPr>
          <w:color w:val="231F20"/>
        </w:rPr>
        <w:t>cuadro</w:t>
      </w:r>
      <w:r>
        <w:rPr>
          <w:color w:val="231F20"/>
          <w:spacing w:val="-14"/>
        </w:rPr>
        <w:t> </w:t>
      </w:r>
      <w:r>
        <w:rPr>
          <w:color w:val="231F20"/>
        </w:rPr>
        <w:t>III.6).</w:t>
      </w:r>
    </w:p>
    <w:p>
      <w:pPr>
        <w:spacing w:after="0" w:line="278" w:lineRule="auto"/>
        <w:jc w:val="both"/>
        <w:sectPr>
          <w:type w:val="continuous"/>
          <w:pgSz w:w="9640" w:h="13040"/>
          <w:pgMar w:top="1200" w:bottom="280" w:left="480" w:right="1200"/>
        </w:sectPr>
      </w:pPr>
    </w:p>
    <w:p>
      <w:pPr>
        <w:pStyle w:val="BodyText"/>
        <w:rPr>
          <w:sz w:val="20"/>
        </w:rPr>
      </w:pPr>
      <w:r>
        <w:rPr/>
        <w:pict>
          <v:shape style="position:absolute;margin-left:606.909912pt;margin-top:109.614304pt;width:20.1pt;height:271.2pt;mso-position-horizontal-relative:page;mso-position-vertical-relative:page;z-index:8464"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2"/>
                      <w:sz w:val="16"/>
                    </w:rPr>
                    <w:t>III.</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r>
                    <w:rPr>
                      <w:rFonts w:ascii="Palatino Linotype" w:hAnsi="Palatino Linotype"/>
                      <w:color w:val="231F20"/>
                      <w:spacing w:val="-4"/>
                      <w:sz w:val="16"/>
                    </w:rPr>
                    <w:t> </w:t>
                  </w: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2"/>
                      <w:w w:val="100"/>
                      <w:sz w:val="16"/>
                    </w:rPr>
                    <w:t>e</w:t>
                  </w:r>
                  <w:r>
                    <w:rPr>
                      <w:rFonts w:ascii="Palatino Linotype" w:hAnsi="Palatino Linotype"/>
                      <w:color w:val="231F20"/>
                      <w:spacing w:val="-6"/>
                      <w:w w:val="100"/>
                      <w:sz w:val="16"/>
                    </w:rPr>
                    <w:t>v</w:t>
                  </w:r>
                  <w:r>
                    <w:rPr>
                      <w:rFonts w:ascii="Palatino Linotype" w:hAnsi="Palatino Linotype"/>
                      <w:color w:val="231F20"/>
                      <w:spacing w:val="-1"/>
                      <w:w w:val="106"/>
                      <w:sz w:val="16"/>
                    </w:rPr>
                    <w:t>o</w:t>
                  </w:r>
                  <w:r>
                    <w:rPr>
                      <w:rFonts w:ascii="Palatino Linotype" w:hAnsi="Palatino Linotype"/>
                      <w:color w:val="231F20"/>
                      <w:spacing w:val="-4"/>
                      <w:w w:val="158"/>
                      <w:sz w:val="16"/>
                    </w:rPr>
                    <w:t>l</w:t>
                  </w:r>
                  <w:r>
                    <w:rPr>
                      <w:rFonts w:ascii="Palatino Linotype" w:hAnsi="Palatino Linotype"/>
                      <w:color w:val="231F20"/>
                      <w:w w:val="106"/>
                      <w:sz w:val="16"/>
                    </w:rPr>
                    <w:t>uci</w:t>
                  </w:r>
                  <w:r>
                    <w:rPr>
                      <w:rFonts w:ascii="Palatino Linotype" w:hAnsi="Palatino Linotype"/>
                      <w:color w:val="231F20"/>
                      <w:spacing w:val="-1"/>
                      <w:w w:val="106"/>
                      <w:sz w:val="16"/>
                    </w:rPr>
                    <w:t>ó</w:t>
                  </w:r>
                  <w:r>
                    <w:rPr>
                      <w:rFonts w:ascii="Palatino Linotype" w:hAnsi="Palatino Linotype"/>
                      <w:color w:val="231F20"/>
                      <w:w w:val="97"/>
                      <w:sz w:val="16"/>
                    </w:rPr>
                    <w:t>n,</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w w:val="107"/>
                      <w:sz w:val="16"/>
                    </w:rPr>
                    <w:t>ten</w:t>
                  </w:r>
                  <w:r>
                    <w:rPr>
                      <w:rFonts w:ascii="Palatino Linotype" w:hAnsi="Palatino Linotype"/>
                      <w:color w:val="231F20"/>
                      <w:spacing w:val="-1"/>
                      <w:w w:val="107"/>
                      <w:sz w:val="16"/>
                    </w:rPr>
                    <w:t>d</w:t>
                  </w:r>
                  <w:r>
                    <w:rPr>
                      <w:rFonts w:ascii="Palatino Linotype" w:hAnsi="Palatino Linotype"/>
                      <w:color w:val="231F20"/>
                      <w:w w:val="105"/>
                      <w:sz w:val="16"/>
                    </w:rPr>
                    <w:t>enc</w:t>
                  </w:r>
                  <w:r>
                    <w:rPr>
                      <w:rFonts w:ascii="Palatino Linotype" w:hAnsi="Palatino Linotype"/>
                      <w:color w:val="231F20"/>
                      <w:spacing w:val="-3"/>
                      <w:w w:val="105"/>
                      <w:sz w:val="16"/>
                    </w:rPr>
                    <w:t>i</w:t>
                  </w:r>
                  <w:r>
                    <w:rPr>
                      <w:rFonts w:ascii="Palatino Linotype" w:hAnsi="Palatino Linotype"/>
                      <w:color w:val="231F20"/>
                      <w:spacing w:val="-2"/>
                      <w:w w:val="113"/>
                      <w:sz w:val="16"/>
                    </w:rPr>
                    <w:t>a</w:t>
                  </w:r>
                  <w:r>
                    <w:rPr>
                      <w:rFonts w:ascii="Palatino Linotype" w:hAnsi="Palatino Linotype"/>
                      <w:color w:val="231F20"/>
                      <w:w w:val="96"/>
                      <w:sz w:val="16"/>
                    </w:rPr>
                    <w:t>s</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w w:val="126"/>
                      <w:sz w:val="16"/>
                    </w:rPr>
                    <w:t>c</w:t>
                  </w:r>
                  <w:r>
                    <w:rPr>
                      <w:rFonts w:ascii="Palatino Linotype" w:hAnsi="Palatino Linotype"/>
                      <w:color w:val="231F20"/>
                      <w:spacing w:val="-2"/>
                      <w:w w:val="126"/>
                      <w:sz w:val="16"/>
                    </w:rPr>
                    <w:t>r</w:t>
                  </w:r>
                  <w:r>
                    <w:rPr>
                      <w:rFonts w:ascii="Palatino Linotype" w:hAnsi="Palatino Linotype"/>
                      <w:color w:val="231F20"/>
                      <w:w w:val="103"/>
                      <w:sz w:val="16"/>
                    </w:rPr>
                    <w:t>ecimien</w:t>
                  </w:r>
                  <w:r>
                    <w:rPr>
                      <w:rFonts w:ascii="Palatino Linotype" w:hAnsi="Palatino Linotype"/>
                      <w:color w:val="231F20"/>
                      <w:spacing w:val="-1"/>
                      <w:w w:val="103"/>
                      <w:sz w:val="16"/>
                    </w:rPr>
                    <w:t>t</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9.979095pt;width:14pt;height:13.7pt;mso-position-horizontal-relative:page;mso-position-vertical-relative:page;z-index:8488" type="#_x0000_t202" filled="false" stroked="false">
            <v:textbox inset="0,0,0,0" style="layout-flow:vertical">
              <w:txbxContent>
                <w:p>
                  <w:pPr>
                    <w:spacing w:line="248" w:lineRule="exact" w:before="0"/>
                    <w:ind w:left="20" w:right="-110" w:firstLine="0"/>
                    <w:jc w:val="left"/>
                    <w:rPr>
                      <w:sz w:val="24"/>
                    </w:rPr>
                  </w:pPr>
                  <w:r>
                    <w:rPr>
                      <w:color w:val="231F20"/>
                      <w:w w:val="97"/>
                      <w:sz w:val="24"/>
                    </w:rPr>
                    <w:t>85</w:t>
                  </w:r>
                </w:p>
              </w:txbxContent>
            </v:textbox>
            <w10:wrap type="none"/>
          </v:shape>
        </w:pict>
      </w:r>
    </w:p>
    <w:p>
      <w:pPr>
        <w:pStyle w:val="BodyText"/>
        <w:rPr>
          <w:sz w:val="20"/>
        </w:rPr>
      </w:pPr>
    </w:p>
    <w:p>
      <w:pPr>
        <w:pStyle w:val="Heading4"/>
        <w:spacing w:before="169"/>
        <w:ind w:left="1776" w:right="1795"/>
      </w:pPr>
      <w:r>
        <w:rPr>
          <w:color w:val="231F20"/>
          <w:w w:val="95"/>
        </w:rPr>
        <w:t>Cuadro III.6</w:t>
      </w:r>
    </w:p>
    <w:p>
      <w:pPr>
        <w:spacing w:line="282" w:lineRule="exact" w:before="0"/>
        <w:ind w:left="1778" w:right="1795" w:firstLine="0"/>
        <w:jc w:val="center"/>
        <w:rPr>
          <w:rFonts w:ascii="Palatino Linotype" w:hAnsi="Palatino Linotype"/>
          <w:b/>
          <w:sz w:val="21"/>
        </w:rPr>
      </w:pPr>
      <w:r>
        <w:rPr>
          <w:rFonts w:ascii="Palatino Linotype" w:hAnsi="Palatino Linotype"/>
          <w:b/>
          <w:color w:val="231F20"/>
          <w:w w:val="95"/>
          <w:sz w:val="21"/>
        </w:rPr>
        <w:t>Tasas de crecimiento: producción de vehículos por empresa y segmento, 1991-2013</w:t>
      </w:r>
    </w:p>
    <w:p>
      <w:pPr>
        <w:pStyle w:val="BodyText"/>
        <w:spacing w:before="13"/>
        <w:rPr>
          <w:rFonts w:ascii="Palatino Linotype"/>
          <w:b/>
          <w:sz w:val="10"/>
        </w:rPr>
      </w:pPr>
      <w:r>
        <w:rPr/>
        <w:pict>
          <v:group style="position:absolute;margin-left:55.379902pt;margin-top:9.364571pt;width:541.8pt;height:.5pt;mso-position-horizontal-relative:page;mso-position-vertical-relative:paragraph;z-index:8416;mso-wrap-distance-left:0;mso-wrap-distance-right:0" coordorigin="1108,187" coordsize="10836,10">
            <v:line style="position:absolute" from="1113,192" to="2091,192" stroked="true" strokeweight=".5pt" strokecolor="#231f20"/>
            <v:line style="position:absolute" from="2091,192" to="2547,192" stroked="true" strokeweight=".5pt" strokecolor="#231f20"/>
            <v:line style="position:absolute" from="2547,192" to="2963,192" stroked="true" strokeweight=".5pt" strokecolor="#231f20"/>
            <v:line style="position:absolute" from="2963,192" to="3359,192" stroked="true" strokeweight=".5pt" strokecolor="#231f20"/>
            <v:line style="position:absolute" from="3359,192" to="3775,192" stroked="true" strokeweight=".5pt" strokecolor="#231f20"/>
            <v:line style="position:absolute" from="3775,192" to="4151,192" stroked="true" strokeweight=".5pt" strokecolor="#231f20"/>
            <v:line style="position:absolute" from="4151,192" to="4527,192" stroked="true" strokeweight=".5pt" strokecolor="#231f20"/>
            <v:line style="position:absolute" from="4527,192" to="4963,192" stroked="true" strokeweight=".5pt" strokecolor="#231f20"/>
            <v:line style="position:absolute" from="4963,192" to="5379,192" stroked="true" strokeweight=".5pt" strokecolor="#231f20"/>
            <v:line style="position:absolute" from="5379,192" to="5795,192" stroked="true" strokeweight=".5pt" strokecolor="#231f20"/>
            <v:line style="position:absolute" from="5795,192" to="6231,192" stroked="true" strokeweight=".5pt" strokecolor="#231f20"/>
            <v:line style="position:absolute" from="6231,192" to="6647,192" stroked="true" strokeweight=".5pt" strokecolor="#231f20"/>
            <v:line style="position:absolute" from="6647,192" to="7043,192" stroked="true" strokeweight=".5pt" strokecolor="#231f20"/>
            <v:line style="position:absolute" from="7043,192" to="7499,192" stroked="true" strokeweight=".5pt" strokecolor="#231f20"/>
            <v:line style="position:absolute" from="7499,192" to="7935,192" stroked="true" strokeweight=".5pt" strokecolor="#231f20"/>
            <v:line style="position:absolute" from="7935,192" to="8411,192" stroked="true" strokeweight=".5pt" strokecolor="#231f20"/>
            <v:line style="position:absolute" from="8411,192" to="8827,192" stroked="true" strokeweight=".5pt" strokecolor="#231f20"/>
            <v:line style="position:absolute" from="8827,192" to="9263,192" stroked="true" strokeweight=".5pt" strokecolor="#231f20"/>
            <v:line style="position:absolute" from="9263,192" to="9699,192" stroked="true" strokeweight=".5pt" strokecolor="#231f20"/>
            <v:line style="position:absolute" from="9699,192" to="10155,192" stroked="true" strokeweight=".5pt" strokecolor="#231f20"/>
            <v:line style="position:absolute" from="10155,192" to="10591,192" stroked="true" strokeweight=".5pt" strokecolor="#231f20"/>
            <v:line style="position:absolute" from="10591,192" to="11047,192" stroked="true" strokeweight=".5pt" strokecolor="#231f20"/>
            <v:line style="position:absolute" from="11047,192" to="11463,192" stroked="true" strokeweight=".5pt" strokecolor="#231f20"/>
            <v:line style="position:absolute" from="11463,192" to="11939,192" stroked="true" strokeweight=".5pt" strokecolor="#231f20"/>
            <w10:wrap type="topAndBottom"/>
          </v:group>
        </w:pict>
      </w:r>
    </w:p>
    <w:p>
      <w:pPr>
        <w:spacing w:line="133" w:lineRule="exact" w:before="1"/>
        <w:ind w:left="323" w:right="0" w:firstLine="0"/>
        <w:jc w:val="left"/>
        <w:rPr>
          <w:rFonts w:ascii="Palatino Linotype"/>
          <w:b/>
          <w:sz w:val="14"/>
        </w:rPr>
      </w:pPr>
      <w:r>
        <w:rPr>
          <w:rFonts w:ascii="Palatino Linotype"/>
          <w:b/>
          <w:color w:val="231F20"/>
          <w:sz w:val="14"/>
        </w:rPr>
        <w:t>Empresa/</w:t>
      </w:r>
    </w:p>
    <w:p>
      <w:pPr>
        <w:tabs>
          <w:tab w:pos="1178" w:val="left" w:leader="none"/>
        </w:tabs>
        <w:spacing w:line="213" w:lineRule="exact" w:before="0"/>
        <w:ind w:left="311" w:right="0" w:firstLine="0"/>
        <w:jc w:val="left"/>
        <w:rPr>
          <w:rFonts w:ascii="Palatino Linotype"/>
          <w:b/>
          <w:sz w:val="14"/>
        </w:rPr>
      </w:pPr>
      <w:r>
        <w:rPr/>
        <w:pict>
          <v:group style="position:absolute;margin-left:55.379902pt;margin-top:12.151715pt;width:541.8pt;height:.5pt;mso-position-horizontal-relative:page;mso-position-vertical-relative:paragraph;z-index:8440;mso-wrap-distance-left:0;mso-wrap-distance-right:0" coordorigin="1108,243" coordsize="10836,10">
            <v:line style="position:absolute" from="1113,248" to="2091,248" stroked="true" strokeweight=".5pt" strokecolor="#231f20"/>
            <v:line style="position:absolute" from="2091,248" to="2547,248" stroked="true" strokeweight=".5pt" strokecolor="#231f20"/>
            <v:line style="position:absolute" from="2547,248" to="2963,248" stroked="true" strokeweight=".5pt" strokecolor="#231f20"/>
            <v:line style="position:absolute" from="2963,248" to="3359,248" stroked="true" strokeweight=".5pt" strokecolor="#231f20"/>
            <v:line style="position:absolute" from="3359,248" to="3775,248" stroked="true" strokeweight=".5pt" strokecolor="#231f20"/>
            <v:line style="position:absolute" from="3775,248" to="4151,248" stroked="true" strokeweight=".5pt" strokecolor="#231f20"/>
            <v:line style="position:absolute" from="4151,248" to="4527,248" stroked="true" strokeweight=".5pt" strokecolor="#231f20"/>
            <v:line style="position:absolute" from="4527,248" to="4963,248" stroked="true" strokeweight=".5pt" strokecolor="#231f20"/>
            <v:line style="position:absolute" from="4963,248" to="5379,248" stroked="true" strokeweight=".5pt" strokecolor="#231f20"/>
            <v:line style="position:absolute" from="5379,248" to="5795,248" stroked="true" strokeweight=".5pt" strokecolor="#231f20"/>
            <v:line style="position:absolute" from="5795,248" to="6231,248" stroked="true" strokeweight=".5pt" strokecolor="#231f20"/>
            <v:line style="position:absolute" from="6231,248" to="6647,248" stroked="true" strokeweight=".5pt" strokecolor="#231f20"/>
            <v:line style="position:absolute" from="6647,248" to="7043,248" stroked="true" strokeweight=".5pt" strokecolor="#231f20"/>
            <v:line style="position:absolute" from="7043,248" to="7499,248" stroked="true" strokeweight=".5pt" strokecolor="#231f20"/>
            <v:line style="position:absolute" from="7499,248" to="7935,248" stroked="true" strokeweight=".5pt" strokecolor="#231f20"/>
            <v:line style="position:absolute" from="7935,248" to="8411,248" stroked="true" strokeweight=".5pt" strokecolor="#231f20"/>
            <v:line style="position:absolute" from="8411,248" to="8827,248" stroked="true" strokeweight=".5pt" strokecolor="#231f20"/>
            <v:line style="position:absolute" from="8827,248" to="9263,248" stroked="true" strokeweight=".5pt" strokecolor="#231f20"/>
            <v:line style="position:absolute" from="9263,248" to="9699,248" stroked="true" strokeweight=".5pt" strokecolor="#231f20"/>
            <v:line style="position:absolute" from="9699,248" to="10155,248" stroked="true" strokeweight=".5pt" strokecolor="#231f20"/>
            <v:line style="position:absolute" from="10155,248" to="10591,248" stroked="true" strokeweight=".5pt" strokecolor="#231f20"/>
            <v:line style="position:absolute" from="10591,248" to="11047,248" stroked="true" strokeweight=".5pt" strokecolor="#231f20"/>
            <v:line style="position:absolute" from="11047,248" to="11463,248" stroked="true" strokeweight=".5pt" strokecolor="#231f20"/>
            <v:line style="position:absolute" from="11463,248" to="11939,248" stroked="true" strokeweight=".5pt" strokecolor="#231f20"/>
            <w10:wrap type="topAndBottom"/>
          </v:group>
        </w:pict>
      </w:r>
      <w:r>
        <w:rPr>
          <w:rFonts w:ascii="Palatino Linotype"/>
          <w:b/>
          <w:color w:val="231F20"/>
          <w:position w:val="-7"/>
          <w:sz w:val="14"/>
        </w:rPr>
        <w:t>Segmento</w:t>
        <w:tab/>
      </w:r>
      <w:r>
        <w:rPr>
          <w:rFonts w:ascii="Palatino Linotype"/>
          <w:b/>
          <w:color w:val="231F20"/>
          <w:sz w:val="14"/>
        </w:rPr>
        <w:t>1991    1992    1993    1994   1995   1996    1997    1998    1999    2000    2001    2002    2003     2004     2005     2006    2007    2008     2009     2010     2011    2012  </w:t>
      </w:r>
      <w:r>
        <w:rPr>
          <w:rFonts w:ascii="Palatino Linotype"/>
          <w:b/>
          <w:color w:val="231F20"/>
          <w:spacing w:val="32"/>
          <w:sz w:val="14"/>
        </w:rPr>
        <w:t> </w:t>
      </w:r>
      <w:r>
        <w:rPr>
          <w:rFonts w:ascii="Palatino Linotype"/>
          <w:b/>
          <w:color w:val="231F20"/>
          <w:sz w:val="14"/>
        </w:rPr>
        <w:t>2013</w:t>
      </w:r>
    </w:p>
    <w:p>
      <w:pPr>
        <w:spacing w:before="0" w:after="14"/>
        <w:ind w:left="112" w:right="0" w:firstLine="0"/>
        <w:jc w:val="left"/>
        <w:rPr>
          <w:rFonts w:ascii="Palatino Linotype"/>
          <w:b/>
          <w:sz w:val="14"/>
        </w:rPr>
      </w:pPr>
      <w:r>
        <w:rPr>
          <w:rFonts w:ascii="Palatino Linotype"/>
          <w:b/>
          <w:color w:val="231F20"/>
          <w:sz w:val="14"/>
        </w:rPr>
        <w:t>Chrysler</w:t>
      </w:r>
    </w:p>
    <w:tbl>
      <w:tblPr>
        <w:tblW w:w="0" w:type="auto"/>
        <w:jc w:val="left"/>
        <w:tblInd w:w="1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1"/>
        <w:gridCol w:w="675"/>
        <w:gridCol w:w="378"/>
        <w:gridCol w:w="432"/>
        <w:gridCol w:w="408"/>
        <w:gridCol w:w="400"/>
        <w:gridCol w:w="383"/>
        <w:gridCol w:w="397"/>
        <w:gridCol w:w="416"/>
        <w:gridCol w:w="424"/>
        <w:gridCol w:w="427"/>
        <w:gridCol w:w="403"/>
        <w:gridCol w:w="428"/>
        <w:gridCol w:w="416"/>
        <w:gridCol w:w="438"/>
        <w:gridCol w:w="451"/>
        <w:gridCol w:w="447"/>
        <w:gridCol w:w="443"/>
        <w:gridCol w:w="413"/>
        <w:gridCol w:w="473"/>
        <w:gridCol w:w="429"/>
        <w:gridCol w:w="428"/>
        <w:gridCol w:w="475"/>
        <w:gridCol w:w="425"/>
        <w:gridCol w:w="459"/>
      </w:tblGrid>
      <w:tr>
        <w:trPr>
          <w:trHeight w:val="178" w:hRule="exact"/>
        </w:trPr>
        <w:tc>
          <w:tcPr>
            <w:tcW w:w="1036" w:type="dxa"/>
            <w:gridSpan w:val="2"/>
          </w:tcPr>
          <w:p>
            <w:pPr>
              <w:pStyle w:val="TableParagraph"/>
              <w:spacing w:line="133" w:lineRule="exact"/>
              <w:ind w:left="650"/>
              <w:jc w:val="left"/>
              <w:rPr>
                <w:sz w:val="14"/>
              </w:rPr>
            </w:pPr>
            <w:r>
              <w:rPr>
                <w:color w:val="231F20"/>
                <w:sz w:val="14"/>
              </w:rPr>
              <w:t>Autos</w:t>
            </w:r>
          </w:p>
        </w:tc>
        <w:tc>
          <w:tcPr>
            <w:tcW w:w="378" w:type="dxa"/>
          </w:tcPr>
          <w:p>
            <w:pPr>
              <w:pStyle w:val="TableParagraph"/>
              <w:spacing w:line="133" w:lineRule="exact"/>
              <w:ind w:left="53"/>
              <w:jc w:val="left"/>
              <w:rPr>
                <w:sz w:val="14"/>
              </w:rPr>
            </w:pPr>
            <w:r>
              <w:rPr>
                <w:color w:val="231F20"/>
                <w:sz w:val="14"/>
              </w:rPr>
              <w:t>22.3</w:t>
            </w:r>
          </w:p>
        </w:tc>
        <w:tc>
          <w:tcPr>
            <w:tcW w:w="432" w:type="dxa"/>
          </w:tcPr>
          <w:p>
            <w:pPr>
              <w:pStyle w:val="TableParagraph"/>
              <w:spacing w:line="133" w:lineRule="exact"/>
              <w:ind w:left="61" w:right="37"/>
              <w:rPr>
                <w:sz w:val="14"/>
              </w:rPr>
            </w:pPr>
            <w:r>
              <w:rPr>
                <w:color w:val="231F20"/>
                <w:sz w:val="14"/>
              </w:rPr>
              <w:t>16.7</w:t>
            </w:r>
          </w:p>
        </w:tc>
        <w:tc>
          <w:tcPr>
            <w:tcW w:w="408" w:type="dxa"/>
          </w:tcPr>
          <w:p>
            <w:pPr>
              <w:pStyle w:val="TableParagraph"/>
              <w:spacing w:line="133" w:lineRule="exact"/>
              <w:ind w:left="35" w:right="36"/>
              <w:rPr>
                <w:sz w:val="14"/>
              </w:rPr>
            </w:pPr>
            <w:r>
              <w:rPr>
                <w:color w:val="231F20"/>
                <w:sz w:val="14"/>
              </w:rPr>
              <w:t>2.9</w:t>
            </w:r>
          </w:p>
        </w:tc>
        <w:tc>
          <w:tcPr>
            <w:tcW w:w="400" w:type="dxa"/>
          </w:tcPr>
          <w:p>
            <w:pPr>
              <w:pStyle w:val="TableParagraph"/>
              <w:spacing w:line="133" w:lineRule="exact"/>
              <w:ind w:left="31" w:right="31"/>
              <w:rPr>
                <w:sz w:val="14"/>
              </w:rPr>
            </w:pPr>
            <w:r>
              <w:rPr>
                <w:color w:val="231F20"/>
                <w:sz w:val="14"/>
              </w:rPr>
              <w:t>3.5</w:t>
            </w:r>
          </w:p>
        </w:tc>
        <w:tc>
          <w:tcPr>
            <w:tcW w:w="383" w:type="dxa"/>
          </w:tcPr>
          <w:p>
            <w:pPr>
              <w:pStyle w:val="TableParagraph"/>
              <w:spacing w:line="133" w:lineRule="exact"/>
              <w:ind w:left="27" w:right="17"/>
              <w:rPr>
                <w:sz w:val="14"/>
              </w:rPr>
            </w:pPr>
            <w:r>
              <w:rPr>
                <w:color w:val="231F20"/>
                <w:sz w:val="14"/>
              </w:rPr>
              <w:t>-51.3</w:t>
            </w:r>
          </w:p>
        </w:tc>
        <w:tc>
          <w:tcPr>
            <w:tcW w:w="397" w:type="dxa"/>
          </w:tcPr>
          <w:p>
            <w:pPr>
              <w:pStyle w:val="TableParagraph"/>
              <w:spacing w:line="133" w:lineRule="exact"/>
              <w:ind w:left="11" w:right="25"/>
              <w:rPr>
                <w:sz w:val="14"/>
              </w:rPr>
            </w:pPr>
            <w:r>
              <w:rPr>
                <w:color w:val="231F20"/>
                <w:sz w:val="14"/>
              </w:rPr>
              <w:t>80.2</w:t>
            </w:r>
          </w:p>
        </w:tc>
        <w:tc>
          <w:tcPr>
            <w:tcW w:w="416" w:type="dxa"/>
          </w:tcPr>
          <w:p>
            <w:pPr>
              <w:pStyle w:val="TableParagraph"/>
              <w:spacing w:line="133" w:lineRule="exact"/>
              <w:ind w:left="19" w:right="34"/>
              <w:rPr>
                <w:sz w:val="14"/>
              </w:rPr>
            </w:pPr>
            <w:r>
              <w:rPr>
                <w:color w:val="231F20"/>
                <w:sz w:val="14"/>
              </w:rPr>
              <w:t>-7.7</w:t>
            </w:r>
          </w:p>
        </w:tc>
        <w:tc>
          <w:tcPr>
            <w:tcW w:w="424" w:type="dxa"/>
          </w:tcPr>
          <w:p>
            <w:pPr>
              <w:pStyle w:val="TableParagraph"/>
              <w:spacing w:line="133" w:lineRule="exact"/>
              <w:ind w:left="31" w:right="33"/>
              <w:rPr>
                <w:sz w:val="14"/>
              </w:rPr>
            </w:pPr>
            <w:r>
              <w:rPr>
                <w:color w:val="231F20"/>
                <w:sz w:val="14"/>
              </w:rPr>
              <w:t>-0.3</w:t>
            </w:r>
          </w:p>
        </w:tc>
        <w:tc>
          <w:tcPr>
            <w:tcW w:w="427" w:type="dxa"/>
          </w:tcPr>
          <w:p>
            <w:pPr>
              <w:pStyle w:val="TableParagraph"/>
              <w:spacing w:line="133" w:lineRule="exact"/>
              <w:ind w:left="59"/>
              <w:jc w:val="left"/>
              <w:rPr>
                <w:sz w:val="14"/>
              </w:rPr>
            </w:pPr>
            <w:r>
              <w:rPr>
                <w:color w:val="231F20"/>
                <w:sz w:val="14"/>
              </w:rPr>
              <w:t>-30.7</w:t>
            </w:r>
          </w:p>
        </w:tc>
        <w:tc>
          <w:tcPr>
            <w:tcW w:w="403" w:type="dxa"/>
          </w:tcPr>
          <w:p>
            <w:pPr>
              <w:pStyle w:val="TableParagraph"/>
              <w:spacing w:line="133" w:lineRule="exact"/>
              <w:ind w:left="83"/>
              <w:jc w:val="left"/>
              <w:rPr>
                <w:sz w:val="14"/>
              </w:rPr>
            </w:pPr>
            <w:r>
              <w:rPr>
                <w:color w:val="231F20"/>
                <w:sz w:val="14"/>
              </w:rPr>
              <w:t>98.5</w:t>
            </w:r>
          </w:p>
        </w:tc>
        <w:tc>
          <w:tcPr>
            <w:tcW w:w="428" w:type="dxa"/>
          </w:tcPr>
          <w:p>
            <w:pPr>
              <w:pStyle w:val="TableParagraph"/>
              <w:spacing w:line="133" w:lineRule="exact"/>
              <w:ind w:left="55" w:right="36"/>
              <w:rPr>
                <w:sz w:val="14"/>
              </w:rPr>
            </w:pPr>
            <w:r>
              <w:rPr>
                <w:color w:val="231F20"/>
                <w:sz w:val="14"/>
              </w:rPr>
              <w:t>9.8</w:t>
            </w:r>
          </w:p>
        </w:tc>
        <w:tc>
          <w:tcPr>
            <w:tcW w:w="416" w:type="dxa"/>
          </w:tcPr>
          <w:p>
            <w:pPr>
              <w:pStyle w:val="TableParagraph"/>
              <w:spacing w:line="133" w:lineRule="exact"/>
              <w:ind w:left="36" w:right="45"/>
              <w:rPr>
                <w:sz w:val="14"/>
              </w:rPr>
            </w:pPr>
            <w:r>
              <w:rPr>
                <w:color w:val="231F20"/>
                <w:sz w:val="14"/>
              </w:rPr>
              <w:t>-13.6</w:t>
            </w:r>
          </w:p>
        </w:tc>
        <w:tc>
          <w:tcPr>
            <w:tcW w:w="438" w:type="dxa"/>
          </w:tcPr>
          <w:p>
            <w:pPr>
              <w:pStyle w:val="TableParagraph"/>
              <w:spacing w:line="133" w:lineRule="exact"/>
              <w:ind w:left="70"/>
              <w:jc w:val="left"/>
              <w:rPr>
                <w:sz w:val="14"/>
              </w:rPr>
            </w:pPr>
            <w:r>
              <w:rPr>
                <w:color w:val="231F20"/>
                <w:sz w:val="14"/>
              </w:rPr>
              <w:t>-20.6</w:t>
            </w:r>
          </w:p>
        </w:tc>
        <w:tc>
          <w:tcPr>
            <w:tcW w:w="451" w:type="dxa"/>
          </w:tcPr>
          <w:p>
            <w:pPr>
              <w:pStyle w:val="TableParagraph"/>
              <w:spacing w:line="133" w:lineRule="exact"/>
              <w:ind w:left="54" w:right="61"/>
              <w:rPr>
                <w:sz w:val="14"/>
              </w:rPr>
            </w:pPr>
            <w:r>
              <w:rPr>
                <w:color w:val="231F20"/>
                <w:sz w:val="14"/>
              </w:rPr>
              <w:t>13.7</w:t>
            </w:r>
          </w:p>
        </w:tc>
        <w:tc>
          <w:tcPr>
            <w:tcW w:w="447" w:type="dxa"/>
          </w:tcPr>
          <w:p>
            <w:pPr>
              <w:pStyle w:val="TableParagraph"/>
              <w:spacing w:line="133" w:lineRule="exact"/>
              <w:ind w:right="135"/>
              <w:jc w:val="right"/>
              <w:rPr>
                <w:sz w:val="14"/>
              </w:rPr>
            </w:pPr>
            <w:r>
              <w:rPr>
                <w:color w:val="231F20"/>
                <w:w w:val="95"/>
                <w:sz w:val="14"/>
              </w:rPr>
              <w:t>0.6</w:t>
            </w:r>
          </w:p>
        </w:tc>
        <w:tc>
          <w:tcPr>
            <w:tcW w:w="443" w:type="dxa"/>
          </w:tcPr>
          <w:p>
            <w:pPr>
              <w:pStyle w:val="TableParagraph"/>
              <w:spacing w:line="133" w:lineRule="exact"/>
              <w:ind w:left="46" w:right="39"/>
              <w:rPr>
                <w:sz w:val="14"/>
              </w:rPr>
            </w:pPr>
            <w:r>
              <w:rPr>
                <w:color w:val="231F20"/>
                <w:sz w:val="14"/>
              </w:rPr>
              <w:t>1.4</w:t>
            </w:r>
          </w:p>
        </w:tc>
        <w:tc>
          <w:tcPr>
            <w:tcW w:w="413" w:type="dxa"/>
          </w:tcPr>
          <w:p>
            <w:pPr>
              <w:pStyle w:val="TableParagraph"/>
              <w:spacing w:line="133" w:lineRule="exact"/>
              <w:ind w:right="60"/>
              <w:jc w:val="right"/>
              <w:rPr>
                <w:sz w:val="14"/>
              </w:rPr>
            </w:pPr>
            <w:r>
              <w:rPr>
                <w:color w:val="231F20"/>
                <w:w w:val="95"/>
                <w:sz w:val="14"/>
              </w:rPr>
              <w:t>-28.3</w:t>
            </w:r>
          </w:p>
        </w:tc>
        <w:tc>
          <w:tcPr>
            <w:tcW w:w="473" w:type="dxa"/>
          </w:tcPr>
          <w:p>
            <w:pPr>
              <w:pStyle w:val="TableParagraph"/>
              <w:spacing w:line="133" w:lineRule="exact"/>
              <w:ind w:right="97"/>
              <w:jc w:val="right"/>
              <w:rPr>
                <w:sz w:val="14"/>
              </w:rPr>
            </w:pPr>
            <w:r>
              <w:rPr>
                <w:color w:val="231F20"/>
                <w:w w:val="95"/>
                <w:sz w:val="14"/>
              </w:rPr>
              <w:t>-48.3</w:t>
            </w:r>
          </w:p>
        </w:tc>
        <w:tc>
          <w:tcPr>
            <w:tcW w:w="429" w:type="dxa"/>
          </w:tcPr>
          <w:p>
            <w:pPr>
              <w:pStyle w:val="TableParagraph"/>
              <w:spacing w:line="133" w:lineRule="exact"/>
              <w:ind w:left="62"/>
              <w:jc w:val="left"/>
              <w:rPr>
                <w:sz w:val="14"/>
              </w:rPr>
            </w:pPr>
            <w:r>
              <w:rPr>
                <w:color w:val="231F20"/>
                <w:sz w:val="14"/>
              </w:rPr>
              <w:t>-76.4</w:t>
            </w:r>
          </w:p>
        </w:tc>
        <w:tc>
          <w:tcPr>
            <w:tcW w:w="428" w:type="dxa"/>
          </w:tcPr>
          <w:p>
            <w:pPr>
              <w:pStyle w:val="TableParagraph"/>
              <w:spacing w:line="133" w:lineRule="exact"/>
              <w:ind w:left="53" w:right="39"/>
              <w:rPr>
                <w:sz w:val="14"/>
              </w:rPr>
            </w:pPr>
            <w:r>
              <w:rPr>
                <w:color w:val="231F20"/>
                <w:sz w:val="14"/>
              </w:rPr>
              <w:t>-20.4</w:t>
            </w:r>
          </w:p>
        </w:tc>
        <w:tc>
          <w:tcPr>
            <w:tcW w:w="475" w:type="dxa"/>
          </w:tcPr>
          <w:p>
            <w:pPr>
              <w:pStyle w:val="TableParagraph"/>
              <w:spacing w:line="133" w:lineRule="exact"/>
              <w:ind w:left="38" w:right="35"/>
              <w:rPr>
                <w:sz w:val="14"/>
              </w:rPr>
            </w:pPr>
            <w:r>
              <w:rPr>
                <w:color w:val="231F20"/>
                <w:sz w:val="14"/>
              </w:rPr>
              <w:t>-100.0</w:t>
            </w:r>
          </w:p>
        </w:tc>
        <w:tc>
          <w:tcPr>
            <w:tcW w:w="425" w:type="dxa"/>
          </w:tcPr>
          <w:p>
            <w:pPr/>
          </w:p>
        </w:tc>
        <w:tc>
          <w:tcPr>
            <w:tcW w:w="459" w:type="dxa"/>
          </w:tcPr>
          <w:p>
            <w:pPr>
              <w:pStyle w:val="TableParagraph"/>
              <w:spacing w:line="133" w:lineRule="exact"/>
              <w:ind w:left="104"/>
              <w:jc w:val="left"/>
              <w:rPr>
                <w:sz w:val="14"/>
              </w:rPr>
            </w:pPr>
            <w:r>
              <w:rPr>
                <w:color w:val="231F20"/>
                <w:sz w:val="14"/>
              </w:rPr>
              <w:t>12.6</w:t>
            </w:r>
          </w:p>
        </w:tc>
      </w:tr>
      <w:tr>
        <w:trPr>
          <w:trHeight w:val="215" w:hRule="exact"/>
        </w:trPr>
        <w:tc>
          <w:tcPr>
            <w:tcW w:w="1036" w:type="dxa"/>
            <w:gridSpan w:val="2"/>
          </w:tcPr>
          <w:p>
            <w:pPr>
              <w:pStyle w:val="TableParagraph"/>
              <w:spacing w:before="9"/>
              <w:ind w:left="415"/>
              <w:jc w:val="left"/>
              <w:rPr>
                <w:sz w:val="14"/>
              </w:rPr>
            </w:pPr>
            <w:r>
              <w:rPr>
                <w:color w:val="231F20"/>
                <w:sz w:val="14"/>
              </w:rPr>
              <w:t>Camiones</w:t>
            </w:r>
          </w:p>
        </w:tc>
        <w:tc>
          <w:tcPr>
            <w:tcW w:w="378" w:type="dxa"/>
          </w:tcPr>
          <w:p>
            <w:pPr>
              <w:pStyle w:val="TableParagraph"/>
              <w:spacing w:before="9"/>
              <w:ind w:left="87"/>
              <w:jc w:val="left"/>
              <w:rPr>
                <w:sz w:val="14"/>
              </w:rPr>
            </w:pPr>
            <w:r>
              <w:rPr>
                <w:color w:val="231F20"/>
                <w:sz w:val="14"/>
              </w:rPr>
              <w:t>4.3</w:t>
            </w:r>
          </w:p>
        </w:tc>
        <w:tc>
          <w:tcPr>
            <w:tcW w:w="432" w:type="dxa"/>
          </w:tcPr>
          <w:p>
            <w:pPr>
              <w:pStyle w:val="TableParagraph"/>
              <w:spacing w:before="9"/>
              <w:ind w:left="62" w:right="37"/>
              <w:rPr>
                <w:sz w:val="14"/>
              </w:rPr>
            </w:pPr>
            <w:r>
              <w:rPr>
                <w:color w:val="231F20"/>
                <w:sz w:val="14"/>
              </w:rPr>
              <w:t>30.0</w:t>
            </w:r>
          </w:p>
        </w:tc>
        <w:tc>
          <w:tcPr>
            <w:tcW w:w="408" w:type="dxa"/>
          </w:tcPr>
          <w:p>
            <w:pPr>
              <w:pStyle w:val="TableParagraph"/>
              <w:spacing w:before="9"/>
              <w:ind w:left="36" w:right="36"/>
              <w:rPr>
                <w:sz w:val="14"/>
              </w:rPr>
            </w:pPr>
            <w:r>
              <w:rPr>
                <w:color w:val="231F20"/>
                <w:sz w:val="14"/>
              </w:rPr>
              <w:t>-13.6</w:t>
            </w:r>
          </w:p>
        </w:tc>
        <w:tc>
          <w:tcPr>
            <w:tcW w:w="400" w:type="dxa"/>
          </w:tcPr>
          <w:p>
            <w:pPr>
              <w:pStyle w:val="TableParagraph"/>
              <w:spacing w:before="9"/>
              <w:ind w:left="32" w:right="31"/>
              <w:rPr>
                <w:sz w:val="14"/>
              </w:rPr>
            </w:pPr>
            <w:r>
              <w:rPr>
                <w:color w:val="231F20"/>
                <w:sz w:val="14"/>
              </w:rPr>
              <w:t>14.1</w:t>
            </w:r>
          </w:p>
        </w:tc>
        <w:tc>
          <w:tcPr>
            <w:tcW w:w="383" w:type="dxa"/>
          </w:tcPr>
          <w:p>
            <w:pPr>
              <w:pStyle w:val="TableParagraph"/>
              <w:spacing w:before="9"/>
              <w:ind w:left="28" w:right="17"/>
              <w:rPr>
                <w:sz w:val="14"/>
              </w:rPr>
            </w:pPr>
            <w:r>
              <w:rPr>
                <w:color w:val="231F20"/>
                <w:sz w:val="14"/>
              </w:rPr>
              <w:t>58.7</w:t>
            </w:r>
          </w:p>
        </w:tc>
        <w:tc>
          <w:tcPr>
            <w:tcW w:w="397" w:type="dxa"/>
          </w:tcPr>
          <w:p>
            <w:pPr>
              <w:pStyle w:val="TableParagraph"/>
              <w:spacing w:before="9"/>
              <w:ind w:left="12" w:right="25"/>
              <w:rPr>
                <w:sz w:val="14"/>
              </w:rPr>
            </w:pPr>
            <w:r>
              <w:rPr>
                <w:color w:val="231F20"/>
                <w:sz w:val="14"/>
              </w:rPr>
              <w:t>72.9</w:t>
            </w:r>
          </w:p>
        </w:tc>
        <w:tc>
          <w:tcPr>
            <w:tcW w:w="416" w:type="dxa"/>
          </w:tcPr>
          <w:p>
            <w:pPr>
              <w:pStyle w:val="TableParagraph"/>
              <w:spacing w:before="9"/>
              <w:ind w:left="20" w:right="34"/>
              <w:rPr>
                <w:sz w:val="14"/>
              </w:rPr>
            </w:pPr>
            <w:r>
              <w:rPr>
                <w:color w:val="231F20"/>
                <w:sz w:val="14"/>
              </w:rPr>
              <w:t>2.7</w:t>
            </w:r>
          </w:p>
        </w:tc>
        <w:tc>
          <w:tcPr>
            <w:tcW w:w="424" w:type="dxa"/>
          </w:tcPr>
          <w:p>
            <w:pPr>
              <w:pStyle w:val="TableParagraph"/>
              <w:spacing w:before="9"/>
              <w:ind w:left="31" w:right="33"/>
              <w:rPr>
                <w:sz w:val="14"/>
              </w:rPr>
            </w:pPr>
            <w:r>
              <w:rPr>
                <w:color w:val="231F20"/>
                <w:sz w:val="14"/>
              </w:rPr>
              <w:t>1.8</w:t>
            </w:r>
          </w:p>
        </w:tc>
        <w:tc>
          <w:tcPr>
            <w:tcW w:w="427" w:type="dxa"/>
          </w:tcPr>
          <w:p>
            <w:pPr>
              <w:pStyle w:val="TableParagraph"/>
              <w:spacing w:before="9"/>
              <w:ind w:left="118"/>
              <w:jc w:val="left"/>
              <w:rPr>
                <w:sz w:val="14"/>
              </w:rPr>
            </w:pPr>
            <w:r>
              <w:rPr>
                <w:color w:val="231F20"/>
                <w:sz w:val="14"/>
              </w:rPr>
              <w:t>5.1</w:t>
            </w:r>
          </w:p>
        </w:tc>
        <w:tc>
          <w:tcPr>
            <w:tcW w:w="403" w:type="dxa"/>
          </w:tcPr>
          <w:p>
            <w:pPr>
              <w:pStyle w:val="TableParagraph"/>
              <w:spacing w:before="9"/>
              <w:ind w:left="92"/>
              <w:jc w:val="left"/>
              <w:rPr>
                <w:sz w:val="14"/>
              </w:rPr>
            </w:pPr>
            <w:r>
              <w:rPr>
                <w:color w:val="231F20"/>
                <w:sz w:val="14"/>
              </w:rPr>
              <w:t>-6.9</w:t>
            </w:r>
          </w:p>
        </w:tc>
        <w:tc>
          <w:tcPr>
            <w:tcW w:w="428" w:type="dxa"/>
          </w:tcPr>
          <w:p>
            <w:pPr>
              <w:pStyle w:val="TableParagraph"/>
              <w:spacing w:before="9"/>
              <w:ind w:left="55" w:right="36"/>
              <w:rPr>
                <w:sz w:val="14"/>
              </w:rPr>
            </w:pPr>
            <w:r>
              <w:rPr>
                <w:color w:val="231F20"/>
                <w:sz w:val="14"/>
              </w:rPr>
              <w:t>-12.4</w:t>
            </w:r>
          </w:p>
        </w:tc>
        <w:tc>
          <w:tcPr>
            <w:tcW w:w="416" w:type="dxa"/>
          </w:tcPr>
          <w:p>
            <w:pPr>
              <w:pStyle w:val="TableParagraph"/>
              <w:spacing w:before="9"/>
              <w:ind w:left="36" w:right="45"/>
              <w:rPr>
                <w:sz w:val="14"/>
              </w:rPr>
            </w:pPr>
            <w:r>
              <w:rPr>
                <w:color w:val="231F20"/>
                <w:sz w:val="14"/>
              </w:rPr>
              <w:t>6.6</w:t>
            </w:r>
          </w:p>
        </w:tc>
        <w:tc>
          <w:tcPr>
            <w:tcW w:w="438" w:type="dxa"/>
          </w:tcPr>
          <w:p>
            <w:pPr>
              <w:pStyle w:val="TableParagraph"/>
              <w:spacing w:before="9"/>
              <w:ind w:left="70"/>
              <w:jc w:val="left"/>
              <w:rPr>
                <w:sz w:val="14"/>
              </w:rPr>
            </w:pPr>
            <w:r>
              <w:rPr>
                <w:color w:val="231F20"/>
                <w:sz w:val="14"/>
              </w:rPr>
              <w:t>-17.4</w:t>
            </w:r>
          </w:p>
        </w:tc>
        <w:tc>
          <w:tcPr>
            <w:tcW w:w="451" w:type="dxa"/>
          </w:tcPr>
          <w:p>
            <w:pPr>
              <w:pStyle w:val="TableParagraph"/>
              <w:spacing w:before="9"/>
              <w:ind w:left="55" w:right="61"/>
              <w:rPr>
                <w:sz w:val="14"/>
              </w:rPr>
            </w:pPr>
            <w:r>
              <w:rPr>
                <w:color w:val="231F20"/>
                <w:sz w:val="14"/>
              </w:rPr>
              <w:t>8.2</w:t>
            </w:r>
          </w:p>
        </w:tc>
        <w:tc>
          <w:tcPr>
            <w:tcW w:w="447" w:type="dxa"/>
          </w:tcPr>
          <w:p>
            <w:pPr>
              <w:pStyle w:val="TableParagraph"/>
              <w:spacing w:before="9"/>
              <w:ind w:right="135"/>
              <w:jc w:val="right"/>
              <w:rPr>
                <w:sz w:val="14"/>
              </w:rPr>
            </w:pPr>
            <w:r>
              <w:rPr>
                <w:color w:val="231F20"/>
                <w:w w:val="95"/>
                <w:sz w:val="14"/>
              </w:rPr>
              <w:t>0.7</w:t>
            </w:r>
          </w:p>
        </w:tc>
        <w:tc>
          <w:tcPr>
            <w:tcW w:w="443" w:type="dxa"/>
          </w:tcPr>
          <w:p>
            <w:pPr>
              <w:pStyle w:val="TableParagraph"/>
              <w:spacing w:before="9"/>
              <w:ind w:left="47" w:right="39"/>
              <w:rPr>
                <w:sz w:val="14"/>
              </w:rPr>
            </w:pPr>
            <w:r>
              <w:rPr>
                <w:color w:val="231F20"/>
                <w:sz w:val="14"/>
              </w:rPr>
              <w:t>-17.5</w:t>
            </w:r>
          </w:p>
        </w:tc>
        <w:tc>
          <w:tcPr>
            <w:tcW w:w="413" w:type="dxa"/>
          </w:tcPr>
          <w:p>
            <w:pPr>
              <w:pStyle w:val="TableParagraph"/>
              <w:spacing w:before="9"/>
              <w:ind w:right="85"/>
              <w:jc w:val="right"/>
              <w:rPr>
                <w:sz w:val="14"/>
              </w:rPr>
            </w:pPr>
            <w:r>
              <w:rPr>
                <w:color w:val="231F20"/>
                <w:w w:val="95"/>
                <w:sz w:val="14"/>
              </w:rPr>
              <w:t>10.3</w:t>
            </w:r>
          </w:p>
        </w:tc>
        <w:tc>
          <w:tcPr>
            <w:tcW w:w="473" w:type="dxa"/>
          </w:tcPr>
          <w:p>
            <w:pPr>
              <w:pStyle w:val="TableParagraph"/>
              <w:spacing w:before="9"/>
              <w:ind w:right="122"/>
              <w:jc w:val="right"/>
              <w:rPr>
                <w:sz w:val="14"/>
              </w:rPr>
            </w:pPr>
            <w:r>
              <w:rPr>
                <w:color w:val="231F20"/>
                <w:w w:val="95"/>
                <w:sz w:val="14"/>
              </w:rPr>
              <w:t>30.4</w:t>
            </w:r>
          </w:p>
        </w:tc>
        <w:tc>
          <w:tcPr>
            <w:tcW w:w="429" w:type="dxa"/>
          </w:tcPr>
          <w:p>
            <w:pPr>
              <w:pStyle w:val="TableParagraph"/>
              <w:spacing w:before="9"/>
              <w:ind w:left="63"/>
              <w:jc w:val="left"/>
              <w:rPr>
                <w:sz w:val="14"/>
              </w:rPr>
            </w:pPr>
            <w:r>
              <w:rPr>
                <w:color w:val="231F20"/>
                <w:sz w:val="14"/>
              </w:rPr>
              <w:t>-35.2</w:t>
            </w:r>
          </w:p>
        </w:tc>
        <w:tc>
          <w:tcPr>
            <w:tcW w:w="428" w:type="dxa"/>
          </w:tcPr>
          <w:p>
            <w:pPr>
              <w:pStyle w:val="TableParagraph"/>
              <w:spacing w:before="9"/>
              <w:ind w:left="54" w:right="39"/>
              <w:rPr>
                <w:sz w:val="14"/>
              </w:rPr>
            </w:pPr>
            <w:r>
              <w:rPr>
                <w:color w:val="231F20"/>
                <w:sz w:val="14"/>
              </w:rPr>
              <w:t>38.1</w:t>
            </w:r>
          </w:p>
        </w:tc>
        <w:tc>
          <w:tcPr>
            <w:tcW w:w="475" w:type="dxa"/>
          </w:tcPr>
          <w:p>
            <w:pPr>
              <w:pStyle w:val="TableParagraph"/>
              <w:spacing w:before="9"/>
              <w:ind w:left="38" w:right="35"/>
              <w:rPr>
                <w:sz w:val="14"/>
              </w:rPr>
            </w:pPr>
            <w:r>
              <w:rPr>
                <w:color w:val="231F20"/>
                <w:sz w:val="14"/>
              </w:rPr>
              <w:t>41.7</w:t>
            </w:r>
          </w:p>
        </w:tc>
        <w:tc>
          <w:tcPr>
            <w:tcW w:w="425" w:type="dxa"/>
          </w:tcPr>
          <w:p>
            <w:pPr>
              <w:pStyle w:val="TableParagraph"/>
              <w:spacing w:before="9"/>
              <w:ind w:left="33" w:right="55"/>
              <w:rPr>
                <w:sz w:val="14"/>
              </w:rPr>
            </w:pPr>
            <w:r>
              <w:rPr>
                <w:color w:val="231F20"/>
                <w:sz w:val="14"/>
              </w:rPr>
              <w:t>33.5</w:t>
            </w:r>
          </w:p>
        </w:tc>
        <w:tc>
          <w:tcPr>
            <w:tcW w:w="459" w:type="dxa"/>
          </w:tcPr>
          <w:p>
            <w:pPr>
              <w:pStyle w:val="TableParagraph"/>
              <w:spacing w:before="9"/>
              <w:ind w:left="138"/>
              <w:jc w:val="left"/>
              <w:rPr>
                <w:sz w:val="14"/>
              </w:rPr>
            </w:pPr>
            <w:r>
              <w:rPr>
                <w:color w:val="231F20"/>
                <w:sz w:val="14"/>
              </w:rPr>
              <w:t>3.3</w:t>
            </w:r>
          </w:p>
        </w:tc>
      </w:tr>
      <w:tr>
        <w:trPr>
          <w:trHeight w:val="197" w:hRule="exact"/>
        </w:trPr>
        <w:tc>
          <w:tcPr>
            <w:tcW w:w="1036" w:type="dxa"/>
            <w:gridSpan w:val="2"/>
            <w:tcBorders>
              <w:bottom w:val="single" w:sz="4" w:space="0" w:color="231F20"/>
            </w:tcBorders>
          </w:tcPr>
          <w:p>
            <w:pPr>
              <w:pStyle w:val="TableParagraph"/>
              <w:spacing w:before="9"/>
              <w:ind w:right="55"/>
              <w:jc w:val="right"/>
              <w:rPr>
                <w:sz w:val="14"/>
              </w:rPr>
            </w:pPr>
            <w:r>
              <w:rPr>
                <w:color w:val="231F20"/>
                <w:sz w:val="14"/>
              </w:rPr>
              <w:t>Total</w:t>
            </w:r>
          </w:p>
        </w:tc>
        <w:tc>
          <w:tcPr>
            <w:tcW w:w="378" w:type="dxa"/>
            <w:tcBorders>
              <w:bottom w:val="single" w:sz="4" w:space="0" w:color="231F20"/>
            </w:tcBorders>
          </w:tcPr>
          <w:p>
            <w:pPr>
              <w:pStyle w:val="TableParagraph"/>
              <w:spacing w:before="9"/>
              <w:ind w:left="54"/>
              <w:jc w:val="left"/>
              <w:rPr>
                <w:sz w:val="14"/>
              </w:rPr>
            </w:pPr>
            <w:r>
              <w:rPr>
                <w:color w:val="231F20"/>
                <w:sz w:val="14"/>
              </w:rPr>
              <w:t>15.9</w:t>
            </w:r>
          </w:p>
        </w:tc>
        <w:tc>
          <w:tcPr>
            <w:tcW w:w="432" w:type="dxa"/>
            <w:tcBorders>
              <w:bottom w:val="single" w:sz="4" w:space="0" w:color="231F20"/>
            </w:tcBorders>
          </w:tcPr>
          <w:p>
            <w:pPr>
              <w:pStyle w:val="TableParagraph"/>
              <w:spacing w:before="9"/>
              <w:ind w:left="62" w:right="37"/>
              <w:rPr>
                <w:sz w:val="14"/>
              </w:rPr>
            </w:pPr>
            <w:r>
              <w:rPr>
                <w:color w:val="231F20"/>
                <w:sz w:val="14"/>
              </w:rPr>
              <w:t>21.0</w:t>
            </w:r>
          </w:p>
        </w:tc>
        <w:tc>
          <w:tcPr>
            <w:tcW w:w="408" w:type="dxa"/>
            <w:tcBorders>
              <w:bottom w:val="single" w:sz="4" w:space="0" w:color="231F20"/>
            </w:tcBorders>
          </w:tcPr>
          <w:p>
            <w:pPr>
              <w:pStyle w:val="TableParagraph"/>
              <w:spacing w:before="9"/>
              <w:ind w:left="36" w:right="36"/>
              <w:rPr>
                <w:sz w:val="14"/>
              </w:rPr>
            </w:pPr>
            <w:r>
              <w:rPr>
                <w:color w:val="231F20"/>
                <w:sz w:val="14"/>
              </w:rPr>
              <w:t>-2.7</w:t>
            </w:r>
          </w:p>
        </w:tc>
        <w:tc>
          <w:tcPr>
            <w:tcW w:w="400" w:type="dxa"/>
            <w:tcBorders>
              <w:bottom w:val="single" w:sz="4" w:space="0" w:color="231F20"/>
            </w:tcBorders>
          </w:tcPr>
          <w:p>
            <w:pPr>
              <w:pStyle w:val="TableParagraph"/>
              <w:spacing w:before="9"/>
              <w:ind w:left="33" w:right="31"/>
              <w:rPr>
                <w:sz w:val="14"/>
              </w:rPr>
            </w:pPr>
            <w:r>
              <w:rPr>
                <w:color w:val="231F20"/>
                <w:sz w:val="14"/>
              </w:rPr>
              <w:t>6.7</w:t>
            </w:r>
          </w:p>
        </w:tc>
        <w:tc>
          <w:tcPr>
            <w:tcW w:w="383" w:type="dxa"/>
            <w:tcBorders>
              <w:bottom w:val="single" w:sz="4" w:space="0" w:color="231F20"/>
            </w:tcBorders>
          </w:tcPr>
          <w:p>
            <w:pPr>
              <w:pStyle w:val="TableParagraph"/>
              <w:spacing w:before="9"/>
              <w:ind w:left="28" w:right="17"/>
              <w:rPr>
                <w:sz w:val="14"/>
              </w:rPr>
            </w:pPr>
            <w:r>
              <w:rPr>
                <w:color w:val="231F20"/>
                <w:sz w:val="14"/>
              </w:rPr>
              <w:t>-15.6</w:t>
            </w:r>
          </w:p>
        </w:tc>
        <w:tc>
          <w:tcPr>
            <w:tcW w:w="397" w:type="dxa"/>
            <w:tcBorders>
              <w:bottom w:val="single" w:sz="4" w:space="0" w:color="231F20"/>
            </w:tcBorders>
          </w:tcPr>
          <w:p>
            <w:pPr>
              <w:pStyle w:val="TableParagraph"/>
              <w:spacing w:before="9"/>
              <w:ind w:left="12" w:right="25"/>
              <w:rPr>
                <w:sz w:val="14"/>
              </w:rPr>
            </w:pPr>
            <w:r>
              <w:rPr>
                <w:color w:val="231F20"/>
                <w:sz w:val="14"/>
              </w:rPr>
              <w:t>75.7</w:t>
            </w:r>
          </w:p>
        </w:tc>
        <w:tc>
          <w:tcPr>
            <w:tcW w:w="416" w:type="dxa"/>
            <w:tcBorders>
              <w:bottom w:val="single" w:sz="4" w:space="0" w:color="231F20"/>
            </w:tcBorders>
          </w:tcPr>
          <w:p>
            <w:pPr>
              <w:pStyle w:val="TableParagraph"/>
              <w:spacing w:before="9"/>
              <w:ind w:left="20" w:right="34"/>
              <w:rPr>
                <w:sz w:val="14"/>
              </w:rPr>
            </w:pPr>
            <w:r>
              <w:rPr>
                <w:color w:val="231F20"/>
                <w:sz w:val="14"/>
              </w:rPr>
              <w:t>-1.5</w:t>
            </w:r>
          </w:p>
        </w:tc>
        <w:tc>
          <w:tcPr>
            <w:tcW w:w="424" w:type="dxa"/>
            <w:tcBorders>
              <w:bottom w:val="single" w:sz="4" w:space="0" w:color="231F20"/>
            </w:tcBorders>
          </w:tcPr>
          <w:p>
            <w:pPr>
              <w:pStyle w:val="TableParagraph"/>
              <w:spacing w:before="9"/>
              <w:ind w:left="32" w:right="33"/>
              <w:rPr>
                <w:sz w:val="14"/>
              </w:rPr>
            </w:pPr>
            <w:r>
              <w:rPr>
                <w:color w:val="231F20"/>
                <w:sz w:val="14"/>
              </w:rPr>
              <w:t>1.0</w:t>
            </w:r>
          </w:p>
        </w:tc>
        <w:tc>
          <w:tcPr>
            <w:tcW w:w="427" w:type="dxa"/>
            <w:tcBorders>
              <w:bottom w:val="single" w:sz="4" w:space="0" w:color="231F20"/>
            </w:tcBorders>
          </w:tcPr>
          <w:p>
            <w:pPr>
              <w:pStyle w:val="TableParagraph"/>
              <w:spacing w:before="9"/>
              <w:ind w:left="94"/>
              <w:jc w:val="left"/>
              <w:rPr>
                <w:sz w:val="14"/>
              </w:rPr>
            </w:pPr>
            <w:r>
              <w:rPr>
                <w:color w:val="231F20"/>
                <w:sz w:val="14"/>
              </w:rPr>
              <w:t>-8.1</w:t>
            </w:r>
          </w:p>
        </w:tc>
        <w:tc>
          <w:tcPr>
            <w:tcW w:w="403" w:type="dxa"/>
            <w:tcBorders>
              <w:bottom w:val="single" w:sz="4" w:space="0" w:color="231F20"/>
            </w:tcBorders>
          </w:tcPr>
          <w:p>
            <w:pPr>
              <w:pStyle w:val="TableParagraph"/>
              <w:spacing w:before="9"/>
              <w:ind w:left="84"/>
              <w:jc w:val="left"/>
              <w:rPr>
                <w:sz w:val="14"/>
              </w:rPr>
            </w:pPr>
            <w:r>
              <w:rPr>
                <w:color w:val="231F20"/>
                <w:sz w:val="14"/>
              </w:rPr>
              <w:t>22.5</w:t>
            </w:r>
          </w:p>
        </w:tc>
        <w:tc>
          <w:tcPr>
            <w:tcW w:w="428" w:type="dxa"/>
            <w:tcBorders>
              <w:bottom w:val="single" w:sz="4" w:space="0" w:color="231F20"/>
            </w:tcBorders>
          </w:tcPr>
          <w:p>
            <w:pPr>
              <w:pStyle w:val="TableParagraph"/>
              <w:spacing w:before="9"/>
              <w:ind w:left="56" w:right="36"/>
              <w:rPr>
                <w:sz w:val="14"/>
              </w:rPr>
            </w:pPr>
            <w:r>
              <w:rPr>
                <w:color w:val="231F20"/>
                <w:sz w:val="14"/>
              </w:rPr>
              <w:t>-2.4</w:t>
            </w:r>
          </w:p>
        </w:tc>
        <w:tc>
          <w:tcPr>
            <w:tcW w:w="416" w:type="dxa"/>
            <w:tcBorders>
              <w:bottom w:val="single" w:sz="4" w:space="0" w:color="231F20"/>
            </w:tcBorders>
          </w:tcPr>
          <w:p>
            <w:pPr>
              <w:pStyle w:val="TableParagraph"/>
              <w:spacing w:before="9"/>
              <w:ind w:left="37" w:right="45"/>
              <w:rPr>
                <w:sz w:val="14"/>
              </w:rPr>
            </w:pPr>
            <w:r>
              <w:rPr>
                <w:color w:val="231F20"/>
                <w:sz w:val="14"/>
              </w:rPr>
              <w:t>-3.7</w:t>
            </w:r>
          </w:p>
        </w:tc>
        <w:tc>
          <w:tcPr>
            <w:tcW w:w="438" w:type="dxa"/>
            <w:tcBorders>
              <w:bottom w:val="single" w:sz="4" w:space="0" w:color="231F20"/>
            </w:tcBorders>
          </w:tcPr>
          <w:p>
            <w:pPr>
              <w:pStyle w:val="TableParagraph"/>
              <w:spacing w:before="9"/>
              <w:ind w:left="71"/>
              <w:jc w:val="left"/>
              <w:rPr>
                <w:sz w:val="14"/>
              </w:rPr>
            </w:pPr>
            <w:r>
              <w:rPr>
                <w:color w:val="231F20"/>
                <w:sz w:val="14"/>
              </w:rPr>
              <w:t>-18.9</w:t>
            </w:r>
          </w:p>
        </w:tc>
        <w:tc>
          <w:tcPr>
            <w:tcW w:w="451" w:type="dxa"/>
            <w:tcBorders>
              <w:bottom w:val="single" w:sz="4" w:space="0" w:color="231F20"/>
            </w:tcBorders>
          </w:tcPr>
          <w:p>
            <w:pPr>
              <w:pStyle w:val="TableParagraph"/>
              <w:spacing w:before="9"/>
              <w:ind w:left="55" w:right="61"/>
              <w:rPr>
                <w:sz w:val="14"/>
              </w:rPr>
            </w:pPr>
            <w:r>
              <w:rPr>
                <w:color w:val="231F20"/>
                <w:sz w:val="14"/>
              </w:rPr>
              <w:t>10.6</w:t>
            </w:r>
          </w:p>
        </w:tc>
        <w:tc>
          <w:tcPr>
            <w:tcW w:w="447" w:type="dxa"/>
            <w:tcBorders>
              <w:bottom w:val="single" w:sz="4" w:space="0" w:color="231F20"/>
            </w:tcBorders>
          </w:tcPr>
          <w:p>
            <w:pPr>
              <w:pStyle w:val="TableParagraph"/>
              <w:spacing w:before="9"/>
              <w:ind w:right="134"/>
              <w:jc w:val="right"/>
              <w:rPr>
                <w:sz w:val="14"/>
              </w:rPr>
            </w:pPr>
            <w:r>
              <w:rPr>
                <w:color w:val="231F20"/>
                <w:w w:val="95"/>
                <w:sz w:val="14"/>
              </w:rPr>
              <w:t>0.6</w:t>
            </w:r>
          </w:p>
        </w:tc>
        <w:tc>
          <w:tcPr>
            <w:tcW w:w="443" w:type="dxa"/>
            <w:tcBorders>
              <w:bottom w:val="single" w:sz="4" w:space="0" w:color="231F20"/>
            </w:tcBorders>
          </w:tcPr>
          <w:p>
            <w:pPr>
              <w:pStyle w:val="TableParagraph"/>
              <w:spacing w:before="9"/>
              <w:ind w:left="47" w:right="39"/>
              <w:rPr>
                <w:sz w:val="14"/>
              </w:rPr>
            </w:pPr>
            <w:r>
              <w:rPr>
                <w:color w:val="231F20"/>
                <w:sz w:val="14"/>
              </w:rPr>
              <w:t>-8.8</w:t>
            </w:r>
          </w:p>
        </w:tc>
        <w:tc>
          <w:tcPr>
            <w:tcW w:w="413" w:type="dxa"/>
            <w:tcBorders>
              <w:bottom w:val="single" w:sz="4" w:space="0" w:color="231F20"/>
            </w:tcBorders>
          </w:tcPr>
          <w:p>
            <w:pPr>
              <w:pStyle w:val="TableParagraph"/>
              <w:spacing w:before="9"/>
              <w:ind w:right="93"/>
              <w:jc w:val="right"/>
              <w:rPr>
                <w:sz w:val="14"/>
              </w:rPr>
            </w:pPr>
            <w:r>
              <w:rPr>
                <w:color w:val="231F20"/>
                <w:w w:val="95"/>
                <w:sz w:val="14"/>
              </w:rPr>
              <w:t>-9.4</w:t>
            </w:r>
          </w:p>
        </w:tc>
        <w:tc>
          <w:tcPr>
            <w:tcW w:w="473" w:type="dxa"/>
            <w:tcBorders>
              <w:bottom w:val="single" w:sz="4" w:space="0" w:color="231F20"/>
            </w:tcBorders>
          </w:tcPr>
          <w:p>
            <w:pPr>
              <w:pStyle w:val="TableParagraph"/>
              <w:spacing w:before="9"/>
              <w:ind w:right="130"/>
              <w:jc w:val="right"/>
              <w:rPr>
                <w:sz w:val="14"/>
              </w:rPr>
            </w:pPr>
            <w:r>
              <w:rPr>
                <w:color w:val="231F20"/>
                <w:w w:val="95"/>
                <w:sz w:val="14"/>
              </w:rPr>
              <w:t>-1.3</w:t>
            </w:r>
          </w:p>
        </w:tc>
        <w:tc>
          <w:tcPr>
            <w:tcW w:w="429" w:type="dxa"/>
            <w:tcBorders>
              <w:bottom w:val="single" w:sz="4" w:space="0" w:color="231F20"/>
            </w:tcBorders>
          </w:tcPr>
          <w:p>
            <w:pPr>
              <w:pStyle w:val="TableParagraph"/>
              <w:spacing w:before="9"/>
              <w:ind w:left="63"/>
              <w:jc w:val="left"/>
              <w:rPr>
                <w:sz w:val="14"/>
              </w:rPr>
            </w:pPr>
            <w:r>
              <w:rPr>
                <w:color w:val="231F20"/>
                <w:sz w:val="14"/>
              </w:rPr>
              <w:t>-43.9</w:t>
            </w:r>
          </w:p>
        </w:tc>
        <w:tc>
          <w:tcPr>
            <w:tcW w:w="428" w:type="dxa"/>
            <w:tcBorders>
              <w:bottom w:val="single" w:sz="4" w:space="0" w:color="231F20"/>
            </w:tcBorders>
          </w:tcPr>
          <w:p>
            <w:pPr>
              <w:pStyle w:val="TableParagraph"/>
              <w:spacing w:before="9"/>
              <w:ind w:left="54" w:right="39"/>
              <w:rPr>
                <w:sz w:val="14"/>
              </w:rPr>
            </w:pPr>
            <w:r>
              <w:rPr>
                <w:color w:val="231F20"/>
                <w:sz w:val="14"/>
              </w:rPr>
              <w:t>32.8</w:t>
            </w:r>
          </w:p>
        </w:tc>
        <w:tc>
          <w:tcPr>
            <w:tcW w:w="475" w:type="dxa"/>
            <w:tcBorders>
              <w:bottom w:val="single" w:sz="4" w:space="0" w:color="231F20"/>
            </w:tcBorders>
          </w:tcPr>
          <w:p>
            <w:pPr>
              <w:pStyle w:val="TableParagraph"/>
              <w:spacing w:before="9"/>
              <w:ind w:left="38" w:right="34"/>
              <w:rPr>
                <w:sz w:val="14"/>
              </w:rPr>
            </w:pPr>
            <w:r>
              <w:rPr>
                <w:color w:val="231F20"/>
                <w:sz w:val="14"/>
              </w:rPr>
              <w:t>34.1</w:t>
            </w:r>
          </w:p>
        </w:tc>
        <w:tc>
          <w:tcPr>
            <w:tcW w:w="425" w:type="dxa"/>
            <w:tcBorders>
              <w:bottom w:val="single" w:sz="4" w:space="0" w:color="231F20"/>
            </w:tcBorders>
          </w:tcPr>
          <w:p>
            <w:pPr>
              <w:pStyle w:val="TableParagraph"/>
              <w:spacing w:before="9"/>
              <w:ind w:left="34" w:right="55"/>
              <w:rPr>
                <w:sz w:val="14"/>
              </w:rPr>
            </w:pPr>
            <w:r>
              <w:rPr>
                <w:color w:val="231F20"/>
                <w:sz w:val="14"/>
              </w:rPr>
              <w:t>50.3</w:t>
            </w:r>
          </w:p>
        </w:tc>
        <w:tc>
          <w:tcPr>
            <w:tcW w:w="459" w:type="dxa"/>
            <w:tcBorders>
              <w:bottom w:val="single" w:sz="4" w:space="0" w:color="231F20"/>
            </w:tcBorders>
          </w:tcPr>
          <w:p>
            <w:pPr>
              <w:pStyle w:val="TableParagraph"/>
              <w:spacing w:before="9"/>
              <w:ind w:left="138"/>
              <w:jc w:val="left"/>
              <w:rPr>
                <w:sz w:val="14"/>
              </w:rPr>
            </w:pPr>
            <w:r>
              <w:rPr>
                <w:color w:val="231F20"/>
                <w:sz w:val="14"/>
              </w:rPr>
              <w:t>4.4</w:t>
            </w:r>
          </w:p>
        </w:tc>
      </w:tr>
      <w:tr>
        <w:trPr>
          <w:trHeight w:val="219" w:hRule="exact"/>
        </w:trPr>
        <w:tc>
          <w:tcPr>
            <w:tcW w:w="1036" w:type="dxa"/>
            <w:gridSpan w:val="2"/>
            <w:tcBorders>
              <w:top w:val="single" w:sz="4" w:space="0" w:color="231F20"/>
            </w:tcBorders>
          </w:tcPr>
          <w:p>
            <w:pPr>
              <w:pStyle w:val="TableParagraph"/>
              <w:spacing w:before="18"/>
              <w:ind w:left="1"/>
              <w:jc w:val="left"/>
              <w:rPr>
                <w:rFonts w:ascii="Palatino Linotype"/>
                <w:b/>
                <w:sz w:val="14"/>
              </w:rPr>
            </w:pPr>
            <w:r>
              <w:rPr>
                <w:rFonts w:ascii="Palatino Linotype"/>
                <w:b/>
                <w:color w:val="231F20"/>
                <w:w w:val="95"/>
                <w:sz w:val="14"/>
              </w:rPr>
              <w:t>Ford Motor Co.</w:t>
            </w:r>
          </w:p>
        </w:tc>
        <w:tc>
          <w:tcPr>
            <w:tcW w:w="378" w:type="dxa"/>
            <w:tcBorders>
              <w:top w:val="single" w:sz="4" w:space="0" w:color="231F20"/>
            </w:tcBorders>
          </w:tcPr>
          <w:p>
            <w:pPr/>
          </w:p>
        </w:tc>
        <w:tc>
          <w:tcPr>
            <w:tcW w:w="432" w:type="dxa"/>
            <w:tcBorders>
              <w:top w:val="single" w:sz="4" w:space="0" w:color="231F20"/>
            </w:tcBorders>
          </w:tcPr>
          <w:p>
            <w:pPr/>
          </w:p>
        </w:tc>
        <w:tc>
          <w:tcPr>
            <w:tcW w:w="408" w:type="dxa"/>
            <w:tcBorders>
              <w:top w:val="single" w:sz="4" w:space="0" w:color="231F20"/>
            </w:tcBorders>
          </w:tcPr>
          <w:p>
            <w:pPr/>
          </w:p>
        </w:tc>
        <w:tc>
          <w:tcPr>
            <w:tcW w:w="400" w:type="dxa"/>
            <w:tcBorders>
              <w:top w:val="single" w:sz="4" w:space="0" w:color="231F20"/>
            </w:tcBorders>
          </w:tcPr>
          <w:p>
            <w:pPr/>
          </w:p>
        </w:tc>
        <w:tc>
          <w:tcPr>
            <w:tcW w:w="383" w:type="dxa"/>
            <w:tcBorders>
              <w:top w:val="single" w:sz="4" w:space="0" w:color="231F20"/>
            </w:tcBorders>
          </w:tcPr>
          <w:p>
            <w:pPr/>
          </w:p>
        </w:tc>
        <w:tc>
          <w:tcPr>
            <w:tcW w:w="397" w:type="dxa"/>
            <w:tcBorders>
              <w:top w:val="single" w:sz="4" w:space="0" w:color="231F20"/>
            </w:tcBorders>
          </w:tcPr>
          <w:p>
            <w:pPr/>
          </w:p>
        </w:tc>
        <w:tc>
          <w:tcPr>
            <w:tcW w:w="416" w:type="dxa"/>
            <w:tcBorders>
              <w:top w:val="single" w:sz="4" w:space="0" w:color="231F20"/>
            </w:tcBorders>
          </w:tcPr>
          <w:p>
            <w:pPr/>
          </w:p>
        </w:tc>
        <w:tc>
          <w:tcPr>
            <w:tcW w:w="424" w:type="dxa"/>
            <w:tcBorders>
              <w:top w:val="single" w:sz="4" w:space="0" w:color="231F20"/>
            </w:tcBorders>
          </w:tcPr>
          <w:p>
            <w:pPr/>
          </w:p>
        </w:tc>
        <w:tc>
          <w:tcPr>
            <w:tcW w:w="427" w:type="dxa"/>
            <w:tcBorders>
              <w:top w:val="single" w:sz="4" w:space="0" w:color="231F20"/>
            </w:tcBorders>
          </w:tcPr>
          <w:p>
            <w:pPr/>
          </w:p>
        </w:tc>
        <w:tc>
          <w:tcPr>
            <w:tcW w:w="403" w:type="dxa"/>
            <w:tcBorders>
              <w:top w:val="single" w:sz="4" w:space="0" w:color="231F20"/>
            </w:tcBorders>
          </w:tcPr>
          <w:p>
            <w:pPr/>
          </w:p>
        </w:tc>
        <w:tc>
          <w:tcPr>
            <w:tcW w:w="428" w:type="dxa"/>
            <w:tcBorders>
              <w:top w:val="single" w:sz="4" w:space="0" w:color="231F20"/>
            </w:tcBorders>
          </w:tcPr>
          <w:p>
            <w:pPr/>
          </w:p>
        </w:tc>
        <w:tc>
          <w:tcPr>
            <w:tcW w:w="416" w:type="dxa"/>
            <w:tcBorders>
              <w:top w:val="single" w:sz="4" w:space="0" w:color="231F20"/>
            </w:tcBorders>
          </w:tcPr>
          <w:p>
            <w:pPr/>
          </w:p>
        </w:tc>
        <w:tc>
          <w:tcPr>
            <w:tcW w:w="438" w:type="dxa"/>
            <w:tcBorders>
              <w:top w:val="single" w:sz="4" w:space="0" w:color="231F20"/>
            </w:tcBorders>
          </w:tcPr>
          <w:p>
            <w:pPr/>
          </w:p>
        </w:tc>
        <w:tc>
          <w:tcPr>
            <w:tcW w:w="451" w:type="dxa"/>
            <w:tcBorders>
              <w:top w:val="single" w:sz="4" w:space="0" w:color="231F20"/>
            </w:tcBorders>
          </w:tcPr>
          <w:p>
            <w:pPr/>
          </w:p>
        </w:tc>
        <w:tc>
          <w:tcPr>
            <w:tcW w:w="447" w:type="dxa"/>
            <w:tcBorders>
              <w:top w:val="single" w:sz="4" w:space="0" w:color="231F20"/>
            </w:tcBorders>
          </w:tcPr>
          <w:p>
            <w:pPr/>
          </w:p>
        </w:tc>
        <w:tc>
          <w:tcPr>
            <w:tcW w:w="443" w:type="dxa"/>
            <w:tcBorders>
              <w:top w:val="single" w:sz="4" w:space="0" w:color="231F20"/>
            </w:tcBorders>
          </w:tcPr>
          <w:p>
            <w:pPr/>
          </w:p>
        </w:tc>
        <w:tc>
          <w:tcPr>
            <w:tcW w:w="413" w:type="dxa"/>
            <w:tcBorders>
              <w:top w:val="single" w:sz="4" w:space="0" w:color="231F20"/>
            </w:tcBorders>
          </w:tcPr>
          <w:p>
            <w:pPr/>
          </w:p>
        </w:tc>
        <w:tc>
          <w:tcPr>
            <w:tcW w:w="473" w:type="dxa"/>
            <w:tcBorders>
              <w:top w:val="single" w:sz="4" w:space="0" w:color="231F20"/>
            </w:tcBorders>
          </w:tcPr>
          <w:p>
            <w:pPr/>
          </w:p>
        </w:tc>
        <w:tc>
          <w:tcPr>
            <w:tcW w:w="429" w:type="dxa"/>
            <w:tcBorders>
              <w:top w:val="single" w:sz="4" w:space="0" w:color="231F20"/>
            </w:tcBorders>
          </w:tcPr>
          <w:p>
            <w:pPr/>
          </w:p>
        </w:tc>
        <w:tc>
          <w:tcPr>
            <w:tcW w:w="428" w:type="dxa"/>
            <w:tcBorders>
              <w:top w:val="single" w:sz="4" w:space="0" w:color="231F20"/>
            </w:tcBorders>
          </w:tcPr>
          <w:p>
            <w:pPr/>
          </w:p>
        </w:tc>
        <w:tc>
          <w:tcPr>
            <w:tcW w:w="475" w:type="dxa"/>
            <w:tcBorders>
              <w:top w:val="single" w:sz="4" w:space="0" w:color="231F20"/>
            </w:tcBorders>
          </w:tcPr>
          <w:p>
            <w:pPr/>
          </w:p>
        </w:tc>
        <w:tc>
          <w:tcPr>
            <w:tcW w:w="425" w:type="dxa"/>
            <w:tcBorders>
              <w:top w:val="single" w:sz="4" w:space="0" w:color="231F20"/>
            </w:tcBorders>
          </w:tcPr>
          <w:p>
            <w:pPr/>
          </w:p>
        </w:tc>
        <w:tc>
          <w:tcPr>
            <w:tcW w:w="459" w:type="dxa"/>
            <w:tcBorders>
              <w:top w:val="single" w:sz="4" w:space="0" w:color="231F20"/>
            </w:tcBorders>
          </w:tcPr>
          <w:p>
            <w:pPr/>
          </w:p>
        </w:tc>
      </w:tr>
      <w:tr>
        <w:trPr>
          <w:trHeight w:val="196" w:hRule="exact"/>
        </w:trPr>
        <w:tc>
          <w:tcPr>
            <w:tcW w:w="1036" w:type="dxa"/>
            <w:gridSpan w:val="2"/>
          </w:tcPr>
          <w:p>
            <w:pPr>
              <w:pStyle w:val="TableParagraph"/>
              <w:spacing w:line="146" w:lineRule="exact"/>
              <w:ind w:left="651"/>
              <w:jc w:val="left"/>
              <w:rPr>
                <w:sz w:val="14"/>
              </w:rPr>
            </w:pPr>
            <w:r>
              <w:rPr>
                <w:color w:val="231F20"/>
                <w:sz w:val="14"/>
              </w:rPr>
              <w:t>Autos</w:t>
            </w:r>
          </w:p>
        </w:tc>
        <w:tc>
          <w:tcPr>
            <w:tcW w:w="378" w:type="dxa"/>
          </w:tcPr>
          <w:p>
            <w:pPr>
              <w:pStyle w:val="TableParagraph"/>
              <w:spacing w:line="146" w:lineRule="exact"/>
              <w:ind w:left="54"/>
              <w:jc w:val="left"/>
              <w:rPr>
                <w:sz w:val="14"/>
              </w:rPr>
            </w:pPr>
            <w:r>
              <w:rPr>
                <w:color w:val="231F20"/>
                <w:sz w:val="14"/>
              </w:rPr>
              <w:t>24.1</w:t>
            </w:r>
          </w:p>
        </w:tc>
        <w:tc>
          <w:tcPr>
            <w:tcW w:w="432" w:type="dxa"/>
          </w:tcPr>
          <w:p>
            <w:pPr>
              <w:pStyle w:val="TableParagraph"/>
              <w:spacing w:line="146" w:lineRule="exact"/>
              <w:ind w:left="63" w:right="37"/>
              <w:rPr>
                <w:sz w:val="14"/>
              </w:rPr>
            </w:pPr>
            <w:r>
              <w:rPr>
                <w:color w:val="231F20"/>
                <w:sz w:val="14"/>
              </w:rPr>
              <w:t>18.7</w:t>
            </w:r>
          </w:p>
        </w:tc>
        <w:tc>
          <w:tcPr>
            <w:tcW w:w="408" w:type="dxa"/>
          </w:tcPr>
          <w:p>
            <w:pPr>
              <w:pStyle w:val="TableParagraph"/>
              <w:spacing w:line="146" w:lineRule="exact"/>
              <w:ind w:left="35" w:right="36"/>
              <w:rPr>
                <w:sz w:val="14"/>
              </w:rPr>
            </w:pPr>
            <w:r>
              <w:rPr>
                <w:color w:val="231F20"/>
                <w:sz w:val="14"/>
              </w:rPr>
              <w:t>-14.3</w:t>
            </w:r>
          </w:p>
        </w:tc>
        <w:tc>
          <w:tcPr>
            <w:tcW w:w="400" w:type="dxa"/>
          </w:tcPr>
          <w:p>
            <w:pPr>
              <w:pStyle w:val="TableParagraph"/>
              <w:spacing w:line="146" w:lineRule="exact"/>
              <w:ind w:left="34" w:right="31"/>
              <w:rPr>
                <w:sz w:val="14"/>
              </w:rPr>
            </w:pPr>
            <w:r>
              <w:rPr>
                <w:color w:val="231F20"/>
                <w:sz w:val="14"/>
              </w:rPr>
              <w:t>13.0</w:t>
            </w:r>
          </w:p>
        </w:tc>
        <w:tc>
          <w:tcPr>
            <w:tcW w:w="383" w:type="dxa"/>
          </w:tcPr>
          <w:p>
            <w:pPr>
              <w:pStyle w:val="TableParagraph"/>
              <w:spacing w:line="146" w:lineRule="exact"/>
              <w:ind w:left="30" w:right="17"/>
              <w:rPr>
                <w:sz w:val="14"/>
              </w:rPr>
            </w:pPr>
            <w:r>
              <w:rPr>
                <w:color w:val="231F20"/>
                <w:sz w:val="14"/>
              </w:rPr>
              <w:t>7.8</w:t>
            </w:r>
          </w:p>
        </w:tc>
        <w:tc>
          <w:tcPr>
            <w:tcW w:w="397" w:type="dxa"/>
          </w:tcPr>
          <w:p>
            <w:pPr>
              <w:pStyle w:val="TableParagraph"/>
              <w:spacing w:line="146" w:lineRule="exact"/>
              <w:ind w:left="13" w:right="25"/>
              <w:rPr>
                <w:sz w:val="14"/>
              </w:rPr>
            </w:pPr>
            <w:r>
              <w:rPr>
                <w:color w:val="231F20"/>
                <w:sz w:val="14"/>
              </w:rPr>
              <w:t>-18.6</w:t>
            </w:r>
          </w:p>
        </w:tc>
        <w:tc>
          <w:tcPr>
            <w:tcW w:w="416" w:type="dxa"/>
          </w:tcPr>
          <w:p>
            <w:pPr>
              <w:pStyle w:val="TableParagraph"/>
              <w:spacing w:line="146" w:lineRule="exact"/>
              <w:ind w:left="21" w:right="34"/>
              <w:rPr>
                <w:sz w:val="14"/>
              </w:rPr>
            </w:pPr>
            <w:r>
              <w:rPr>
                <w:color w:val="231F20"/>
                <w:sz w:val="14"/>
              </w:rPr>
              <w:t>1.7</w:t>
            </w:r>
          </w:p>
        </w:tc>
        <w:tc>
          <w:tcPr>
            <w:tcW w:w="424" w:type="dxa"/>
          </w:tcPr>
          <w:p>
            <w:pPr>
              <w:pStyle w:val="TableParagraph"/>
              <w:spacing w:line="146" w:lineRule="exact"/>
              <w:ind w:left="33" w:right="33"/>
              <w:rPr>
                <w:sz w:val="14"/>
              </w:rPr>
            </w:pPr>
            <w:r>
              <w:rPr>
                <w:color w:val="231F20"/>
                <w:sz w:val="14"/>
              </w:rPr>
              <w:t>-6.5</w:t>
            </w:r>
          </w:p>
        </w:tc>
        <w:tc>
          <w:tcPr>
            <w:tcW w:w="427" w:type="dxa"/>
          </w:tcPr>
          <w:p>
            <w:pPr>
              <w:pStyle w:val="TableParagraph"/>
              <w:spacing w:line="146" w:lineRule="exact"/>
              <w:ind w:left="94"/>
              <w:jc w:val="left"/>
              <w:rPr>
                <w:sz w:val="14"/>
              </w:rPr>
            </w:pPr>
            <w:r>
              <w:rPr>
                <w:color w:val="231F20"/>
                <w:sz w:val="14"/>
              </w:rPr>
              <w:t>-8.1</w:t>
            </w:r>
          </w:p>
        </w:tc>
        <w:tc>
          <w:tcPr>
            <w:tcW w:w="403" w:type="dxa"/>
          </w:tcPr>
          <w:p>
            <w:pPr>
              <w:pStyle w:val="TableParagraph"/>
              <w:spacing w:line="146" w:lineRule="exact"/>
              <w:ind w:left="84"/>
              <w:jc w:val="left"/>
              <w:rPr>
                <w:sz w:val="14"/>
              </w:rPr>
            </w:pPr>
            <w:r>
              <w:rPr>
                <w:color w:val="231F20"/>
                <w:sz w:val="14"/>
              </w:rPr>
              <w:t>31.2</w:t>
            </w:r>
          </w:p>
        </w:tc>
        <w:tc>
          <w:tcPr>
            <w:tcW w:w="428" w:type="dxa"/>
          </w:tcPr>
          <w:p>
            <w:pPr>
              <w:pStyle w:val="TableParagraph"/>
              <w:spacing w:line="146" w:lineRule="exact"/>
              <w:ind w:left="57" w:right="36"/>
              <w:rPr>
                <w:sz w:val="14"/>
              </w:rPr>
            </w:pPr>
            <w:r>
              <w:rPr>
                <w:color w:val="231F20"/>
                <w:sz w:val="14"/>
              </w:rPr>
              <w:t>-12.8</w:t>
            </w:r>
          </w:p>
        </w:tc>
        <w:tc>
          <w:tcPr>
            <w:tcW w:w="416" w:type="dxa"/>
          </w:tcPr>
          <w:p>
            <w:pPr>
              <w:pStyle w:val="TableParagraph"/>
              <w:spacing w:line="146" w:lineRule="exact"/>
              <w:ind w:left="37" w:right="44"/>
              <w:rPr>
                <w:sz w:val="14"/>
              </w:rPr>
            </w:pPr>
            <w:r>
              <w:rPr>
                <w:color w:val="231F20"/>
                <w:sz w:val="14"/>
              </w:rPr>
              <w:t>-8.3</w:t>
            </w:r>
          </w:p>
        </w:tc>
        <w:tc>
          <w:tcPr>
            <w:tcW w:w="438" w:type="dxa"/>
          </w:tcPr>
          <w:p>
            <w:pPr>
              <w:pStyle w:val="TableParagraph"/>
              <w:spacing w:line="146" w:lineRule="exact"/>
              <w:ind w:left="71"/>
              <w:jc w:val="left"/>
              <w:rPr>
                <w:sz w:val="14"/>
              </w:rPr>
            </w:pPr>
            <w:r>
              <w:rPr>
                <w:color w:val="231F20"/>
                <w:sz w:val="14"/>
              </w:rPr>
              <w:t>-45.0</w:t>
            </w:r>
          </w:p>
        </w:tc>
        <w:tc>
          <w:tcPr>
            <w:tcW w:w="451" w:type="dxa"/>
          </w:tcPr>
          <w:p>
            <w:pPr>
              <w:pStyle w:val="TableParagraph"/>
              <w:spacing w:line="146" w:lineRule="exact"/>
              <w:ind w:left="56" w:right="61"/>
              <w:rPr>
                <w:sz w:val="14"/>
              </w:rPr>
            </w:pPr>
            <w:r>
              <w:rPr>
                <w:color w:val="231F20"/>
                <w:sz w:val="14"/>
              </w:rPr>
              <w:t>-16.6</w:t>
            </w:r>
          </w:p>
        </w:tc>
        <w:tc>
          <w:tcPr>
            <w:tcW w:w="447" w:type="dxa"/>
          </w:tcPr>
          <w:p>
            <w:pPr>
              <w:pStyle w:val="TableParagraph"/>
              <w:spacing w:line="146" w:lineRule="exact"/>
              <w:ind w:right="100"/>
              <w:jc w:val="right"/>
              <w:rPr>
                <w:sz w:val="14"/>
              </w:rPr>
            </w:pPr>
            <w:r>
              <w:rPr>
                <w:color w:val="231F20"/>
                <w:w w:val="95"/>
                <w:sz w:val="14"/>
              </w:rPr>
              <w:t>34.6</w:t>
            </w:r>
          </w:p>
        </w:tc>
        <w:tc>
          <w:tcPr>
            <w:tcW w:w="443" w:type="dxa"/>
          </w:tcPr>
          <w:p>
            <w:pPr>
              <w:pStyle w:val="TableParagraph"/>
              <w:spacing w:line="146" w:lineRule="exact"/>
              <w:ind w:left="48" w:right="39"/>
              <w:rPr>
                <w:sz w:val="14"/>
              </w:rPr>
            </w:pPr>
            <w:r>
              <w:rPr>
                <w:color w:val="231F20"/>
                <w:sz w:val="14"/>
              </w:rPr>
              <w:t>207.2</w:t>
            </w:r>
          </w:p>
        </w:tc>
        <w:tc>
          <w:tcPr>
            <w:tcW w:w="413" w:type="dxa"/>
          </w:tcPr>
          <w:p>
            <w:pPr>
              <w:pStyle w:val="TableParagraph"/>
              <w:spacing w:line="146" w:lineRule="exact"/>
              <w:ind w:right="59"/>
              <w:jc w:val="right"/>
              <w:rPr>
                <w:sz w:val="14"/>
              </w:rPr>
            </w:pPr>
            <w:r>
              <w:rPr>
                <w:color w:val="231F20"/>
                <w:w w:val="95"/>
                <w:sz w:val="14"/>
              </w:rPr>
              <w:t>-12.7</w:t>
            </w:r>
          </w:p>
        </w:tc>
        <w:tc>
          <w:tcPr>
            <w:tcW w:w="473" w:type="dxa"/>
          </w:tcPr>
          <w:p>
            <w:pPr>
              <w:pStyle w:val="TableParagraph"/>
              <w:spacing w:line="146" w:lineRule="exact"/>
              <w:ind w:right="155"/>
              <w:jc w:val="right"/>
              <w:rPr>
                <w:sz w:val="14"/>
              </w:rPr>
            </w:pPr>
            <w:r>
              <w:rPr>
                <w:color w:val="231F20"/>
                <w:w w:val="95"/>
                <w:sz w:val="14"/>
              </w:rPr>
              <w:t>6.9</w:t>
            </w:r>
          </w:p>
        </w:tc>
        <w:tc>
          <w:tcPr>
            <w:tcW w:w="429" w:type="dxa"/>
          </w:tcPr>
          <w:p>
            <w:pPr>
              <w:pStyle w:val="TableParagraph"/>
              <w:spacing w:line="146" w:lineRule="exact"/>
              <w:ind w:left="64"/>
              <w:jc w:val="left"/>
              <w:rPr>
                <w:sz w:val="14"/>
              </w:rPr>
            </w:pPr>
            <w:r>
              <w:rPr>
                <w:color w:val="231F20"/>
                <w:sz w:val="14"/>
              </w:rPr>
              <w:t>-15.6</w:t>
            </w:r>
          </w:p>
        </w:tc>
        <w:tc>
          <w:tcPr>
            <w:tcW w:w="428" w:type="dxa"/>
          </w:tcPr>
          <w:p>
            <w:pPr>
              <w:pStyle w:val="TableParagraph"/>
              <w:spacing w:line="146" w:lineRule="exact"/>
              <w:ind w:left="55" w:right="39"/>
              <w:rPr>
                <w:sz w:val="14"/>
              </w:rPr>
            </w:pPr>
            <w:r>
              <w:rPr>
                <w:color w:val="231F20"/>
                <w:sz w:val="14"/>
              </w:rPr>
              <w:t>34.8</w:t>
            </w:r>
          </w:p>
        </w:tc>
        <w:tc>
          <w:tcPr>
            <w:tcW w:w="475" w:type="dxa"/>
          </w:tcPr>
          <w:p>
            <w:pPr>
              <w:pStyle w:val="TableParagraph"/>
              <w:spacing w:line="146" w:lineRule="exact"/>
              <w:ind w:left="38" w:right="33"/>
              <w:rPr>
                <w:sz w:val="14"/>
              </w:rPr>
            </w:pPr>
            <w:r>
              <w:rPr>
                <w:color w:val="231F20"/>
                <w:sz w:val="14"/>
              </w:rPr>
              <w:t>46.4</w:t>
            </w:r>
          </w:p>
        </w:tc>
        <w:tc>
          <w:tcPr>
            <w:tcW w:w="425" w:type="dxa"/>
          </w:tcPr>
          <w:p>
            <w:pPr>
              <w:pStyle w:val="TableParagraph"/>
              <w:spacing w:line="146" w:lineRule="exact"/>
              <w:ind w:left="35" w:right="55"/>
              <w:rPr>
                <w:sz w:val="14"/>
              </w:rPr>
            </w:pPr>
            <w:r>
              <w:rPr>
                <w:color w:val="231F20"/>
                <w:sz w:val="14"/>
              </w:rPr>
              <w:t>-2.4</w:t>
            </w:r>
          </w:p>
        </w:tc>
        <w:tc>
          <w:tcPr>
            <w:tcW w:w="459" w:type="dxa"/>
          </w:tcPr>
          <w:p>
            <w:pPr>
              <w:pStyle w:val="TableParagraph"/>
              <w:spacing w:line="146" w:lineRule="exact"/>
              <w:ind w:left="105"/>
              <w:jc w:val="left"/>
              <w:rPr>
                <w:sz w:val="14"/>
              </w:rPr>
            </w:pPr>
            <w:r>
              <w:rPr>
                <w:color w:val="231F20"/>
                <w:sz w:val="14"/>
              </w:rPr>
              <w:t>18.4</w:t>
            </w:r>
          </w:p>
        </w:tc>
      </w:tr>
      <w:tr>
        <w:trPr>
          <w:trHeight w:val="227" w:hRule="exact"/>
        </w:trPr>
        <w:tc>
          <w:tcPr>
            <w:tcW w:w="1036" w:type="dxa"/>
            <w:gridSpan w:val="2"/>
          </w:tcPr>
          <w:p>
            <w:pPr>
              <w:pStyle w:val="TableParagraph"/>
              <w:spacing w:before="15"/>
              <w:ind w:left="416"/>
              <w:jc w:val="left"/>
              <w:rPr>
                <w:sz w:val="14"/>
              </w:rPr>
            </w:pPr>
            <w:r>
              <w:rPr>
                <w:color w:val="231F20"/>
                <w:sz w:val="14"/>
              </w:rPr>
              <w:t>Camiones</w:t>
            </w:r>
          </w:p>
        </w:tc>
        <w:tc>
          <w:tcPr>
            <w:tcW w:w="378" w:type="dxa"/>
          </w:tcPr>
          <w:p>
            <w:pPr>
              <w:pStyle w:val="TableParagraph"/>
              <w:spacing w:before="15"/>
              <w:ind w:left="55"/>
              <w:jc w:val="left"/>
              <w:rPr>
                <w:sz w:val="14"/>
              </w:rPr>
            </w:pPr>
            <w:r>
              <w:rPr>
                <w:color w:val="231F20"/>
                <w:sz w:val="14"/>
              </w:rPr>
              <w:t>54.6</w:t>
            </w:r>
          </w:p>
        </w:tc>
        <w:tc>
          <w:tcPr>
            <w:tcW w:w="432" w:type="dxa"/>
          </w:tcPr>
          <w:p>
            <w:pPr>
              <w:pStyle w:val="TableParagraph"/>
              <w:spacing w:before="15"/>
              <w:ind w:left="63" w:right="36"/>
              <w:rPr>
                <w:sz w:val="14"/>
              </w:rPr>
            </w:pPr>
            <w:r>
              <w:rPr>
                <w:color w:val="231F20"/>
                <w:sz w:val="14"/>
              </w:rPr>
              <w:t>6.2</w:t>
            </w:r>
          </w:p>
        </w:tc>
        <w:tc>
          <w:tcPr>
            <w:tcW w:w="408" w:type="dxa"/>
          </w:tcPr>
          <w:p>
            <w:pPr>
              <w:pStyle w:val="TableParagraph"/>
              <w:spacing w:before="15"/>
              <w:ind w:left="36" w:right="36"/>
              <w:rPr>
                <w:sz w:val="14"/>
              </w:rPr>
            </w:pPr>
            <w:r>
              <w:rPr>
                <w:color w:val="231F20"/>
                <w:sz w:val="14"/>
              </w:rPr>
              <w:t>-33.1</w:t>
            </w:r>
          </w:p>
        </w:tc>
        <w:tc>
          <w:tcPr>
            <w:tcW w:w="400" w:type="dxa"/>
          </w:tcPr>
          <w:p>
            <w:pPr>
              <w:pStyle w:val="TableParagraph"/>
              <w:spacing w:before="15"/>
              <w:ind w:left="34" w:right="31"/>
              <w:rPr>
                <w:sz w:val="14"/>
              </w:rPr>
            </w:pPr>
            <w:r>
              <w:rPr>
                <w:color w:val="231F20"/>
                <w:sz w:val="14"/>
              </w:rPr>
              <w:t>26.9</w:t>
            </w:r>
          </w:p>
        </w:tc>
        <w:tc>
          <w:tcPr>
            <w:tcW w:w="383" w:type="dxa"/>
          </w:tcPr>
          <w:p>
            <w:pPr>
              <w:pStyle w:val="TableParagraph"/>
              <w:spacing w:before="15"/>
              <w:ind w:left="30" w:right="17"/>
              <w:rPr>
                <w:sz w:val="14"/>
              </w:rPr>
            </w:pPr>
            <w:r>
              <w:rPr>
                <w:color w:val="231F20"/>
                <w:sz w:val="14"/>
              </w:rPr>
              <w:t>-59.4</w:t>
            </w:r>
          </w:p>
        </w:tc>
        <w:tc>
          <w:tcPr>
            <w:tcW w:w="397" w:type="dxa"/>
          </w:tcPr>
          <w:p>
            <w:pPr>
              <w:pStyle w:val="TableParagraph"/>
              <w:spacing w:before="15"/>
              <w:ind w:left="14" w:right="25"/>
              <w:rPr>
                <w:sz w:val="14"/>
              </w:rPr>
            </w:pPr>
            <w:r>
              <w:rPr>
                <w:color w:val="231F20"/>
                <w:sz w:val="14"/>
              </w:rPr>
              <w:t>121.1</w:t>
            </w:r>
          </w:p>
        </w:tc>
        <w:tc>
          <w:tcPr>
            <w:tcW w:w="416" w:type="dxa"/>
          </w:tcPr>
          <w:p>
            <w:pPr>
              <w:pStyle w:val="TableParagraph"/>
              <w:spacing w:before="15"/>
              <w:ind w:left="22" w:right="34"/>
              <w:rPr>
                <w:sz w:val="14"/>
              </w:rPr>
            </w:pPr>
            <w:r>
              <w:rPr>
                <w:color w:val="231F20"/>
                <w:sz w:val="14"/>
              </w:rPr>
              <w:t>66.1</w:t>
            </w:r>
          </w:p>
        </w:tc>
        <w:tc>
          <w:tcPr>
            <w:tcW w:w="424" w:type="dxa"/>
          </w:tcPr>
          <w:p>
            <w:pPr>
              <w:pStyle w:val="TableParagraph"/>
              <w:spacing w:before="15"/>
              <w:ind w:left="33" w:right="33"/>
              <w:rPr>
                <w:sz w:val="14"/>
              </w:rPr>
            </w:pPr>
            <w:r>
              <w:rPr>
                <w:color w:val="231F20"/>
                <w:sz w:val="14"/>
              </w:rPr>
              <w:t>-28.6</w:t>
            </w:r>
          </w:p>
        </w:tc>
        <w:tc>
          <w:tcPr>
            <w:tcW w:w="427" w:type="dxa"/>
          </w:tcPr>
          <w:p>
            <w:pPr>
              <w:pStyle w:val="TableParagraph"/>
              <w:spacing w:before="15"/>
              <w:ind w:left="86"/>
              <w:jc w:val="left"/>
              <w:rPr>
                <w:sz w:val="14"/>
              </w:rPr>
            </w:pPr>
            <w:r>
              <w:rPr>
                <w:color w:val="231F20"/>
                <w:sz w:val="14"/>
              </w:rPr>
              <w:t>44.8</w:t>
            </w:r>
          </w:p>
        </w:tc>
        <w:tc>
          <w:tcPr>
            <w:tcW w:w="403" w:type="dxa"/>
          </w:tcPr>
          <w:p>
            <w:pPr>
              <w:pStyle w:val="TableParagraph"/>
              <w:spacing w:before="15"/>
              <w:ind w:left="85"/>
              <w:jc w:val="left"/>
              <w:rPr>
                <w:sz w:val="14"/>
              </w:rPr>
            </w:pPr>
            <w:r>
              <w:rPr>
                <w:color w:val="231F20"/>
                <w:sz w:val="14"/>
              </w:rPr>
              <w:t>13.1</w:t>
            </w:r>
          </w:p>
        </w:tc>
        <w:tc>
          <w:tcPr>
            <w:tcW w:w="428" w:type="dxa"/>
          </w:tcPr>
          <w:p>
            <w:pPr>
              <w:pStyle w:val="TableParagraph"/>
              <w:spacing w:before="15"/>
              <w:ind w:left="57" w:right="35"/>
              <w:rPr>
                <w:sz w:val="14"/>
              </w:rPr>
            </w:pPr>
            <w:r>
              <w:rPr>
                <w:color w:val="231F20"/>
                <w:sz w:val="14"/>
              </w:rPr>
              <w:t>-18.6</w:t>
            </w:r>
          </w:p>
        </w:tc>
        <w:tc>
          <w:tcPr>
            <w:tcW w:w="416" w:type="dxa"/>
          </w:tcPr>
          <w:p>
            <w:pPr>
              <w:pStyle w:val="TableParagraph"/>
              <w:spacing w:before="15"/>
              <w:ind w:left="37" w:right="44"/>
              <w:rPr>
                <w:sz w:val="14"/>
              </w:rPr>
            </w:pPr>
            <w:r>
              <w:rPr>
                <w:color w:val="231F20"/>
                <w:sz w:val="14"/>
              </w:rPr>
              <w:t>-56.0</w:t>
            </w:r>
          </w:p>
        </w:tc>
        <w:tc>
          <w:tcPr>
            <w:tcW w:w="438" w:type="dxa"/>
          </w:tcPr>
          <w:p>
            <w:pPr>
              <w:pStyle w:val="TableParagraph"/>
              <w:spacing w:before="15"/>
              <w:ind w:left="96"/>
              <w:jc w:val="left"/>
              <w:rPr>
                <w:sz w:val="14"/>
              </w:rPr>
            </w:pPr>
            <w:r>
              <w:rPr>
                <w:color w:val="231F20"/>
                <w:sz w:val="14"/>
              </w:rPr>
              <w:t>87.9</w:t>
            </w:r>
          </w:p>
        </w:tc>
        <w:tc>
          <w:tcPr>
            <w:tcW w:w="451" w:type="dxa"/>
          </w:tcPr>
          <w:p>
            <w:pPr>
              <w:pStyle w:val="TableParagraph"/>
              <w:spacing w:before="15"/>
              <w:ind w:left="57" w:right="61"/>
              <w:rPr>
                <w:sz w:val="14"/>
              </w:rPr>
            </w:pPr>
            <w:r>
              <w:rPr>
                <w:color w:val="231F20"/>
                <w:sz w:val="14"/>
              </w:rPr>
              <w:t>-37.1</w:t>
            </w:r>
          </w:p>
        </w:tc>
        <w:tc>
          <w:tcPr>
            <w:tcW w:w="447" w:type="dxa"/>
          </w:tcPr>
          <w:p>
            <w:pPr>
              <w:pStyle w:val="TableParagraph"/>
              <w:spacing w:before="15"/>
              <w:ind w:right="100"/>
              <w:jc w:val="right"/>
              <w:rPr>
                <w:sz w:val="14"/>
              </w:rPr>
            </w:pPr>
            <w:r>
              <w:rPr>
                <w:color w:val="231F20"/>
                <w:w w:val="95"/>
                <w:sz w:val="14"/>
              </w:rPr>
              <w:t>41.4</w:t>
            </w:r>
          </w:p>
        </w:tc>
        <w:tc>
          <w:tcPr>
            <w:tcW w:w="443" w:type="dxa"/>
          </w:tcPr>
          <w:p>
            <w:pPr>
              <w:pStyle w:val="TableParagraph"/>
              <w:spacing w:before="15"/>
              <w:ind w:left="48" w:right="38"/>
              <w:rPr>
                <w:sz w:val="14"/>
              </w:rPr>
            </w:pPr>
            <w:r>
              <w:rPr>
                <w:color w:val="231F20"/>
                <w:sz w:val="14"/>
              </w:rPr>
              <w:t>8.7</w:t>
            </w:r>
          </w:p>
        </w:tc>
        <w:tc>
          <w:tcPr>
            <w:tcW w:w="413" w:type="dxa"/>
          </w:tcPr>
          <w:p>
            <w:pPr>
              <w:pStyle w:val="TableParagraph"/>
              <w:spacing w:before="15"/>
              <w:ind w:right="59"/>
              <w:jc w:val="right"/>
              <w:rPr>
                <w:sz w:val="14"/>
              </w:rPr>
            </w:pPr>
            <w:r>
              <w:rPr>
                <w:color w:val="231F20"/>
                <w:w w:val="95"/>
                <w:sz w:val="14"/>
              </w:rPr>
              <w:t>-14.9</w:t>
            </w:r>
          </w:p>
        </w:tc>
        <w:tc>
          <w:tcPr>
            <w:tcW w:w="473" w:type="dxa"/>
          </w:tcPr>
          <w:p>
            <w:pPr>
              <w:pStyle w:val="TableParagraph"/>
              <w:spacing w:before="15"/>
              <w:ind w:right="96"/>
              <w:jc w:val="right"/>
              <w:rPr>
                <w:sz w:val="14"/>
              </w:rPr>
            </w:pPr>
            <w:r>
              <w:rPr>
                <w:color w:val="231F20"/>
                <w:w w:val="95"/>
                <w:sz w:val="14"/>
              </w:rPr>
              <w:t>-15.4</w:t>
            </w:r>
          </w:p>
        </w:tc>
        <w:tc>
          <w:tcPr>
            <w:tcW w:w="429" w:type="dxa"/>
          </w:tcPr>
          <w:p>
            <w:pPr>
              <w:pStyle w:val="TableParagraph"/>
              <w:spacing w:before="15"/>
              <w:ind w:left="64"/>
              <w:jc w:val="left"/>
              <w:rPr>
                <w:sz w:val="14"/>
              </w:rPr>
            </w:pPr>
            <w:r>
              <w:rPr>
                <w:color w:val="231F20"/>
                <w:sz w:val="14"/>
              </w:rPr>
              <w:t>-91.2</w:t>
            </w:r>
          </w:p>
        </w:tc>
        <w:tc>
          <w:tcPr>
            <w:tcW w:w="428" w:type="dxa"/>
          </w:tcPr>
          <w:p>
            <w:pPr>
              <w:pStyle w:val="TableParagraph"/>
              <w:spacing w:before="15"/>
              <w:ind w:left="55" w:right="38"/>
              <w:rPr>
                <w:sz w:val="14"/>
              </w:rPr>
            </w:pPr>
            <w:r>
              <w:rPr>
                <w:color w:val="231F20"/>
                <w:sz w:val="14"/>
              </w:rPr>
              <w:t>-18.0</w:t>
            </w:r>
          </w:p>
        </w:tc>
        <w:tc>
          <w:tcPr>
            <w:tcW w:w="475" w:type="dxa"/>
          </w:tcPr>
          <w:p>
            <w:pPr>
              <w:pStyle w:val="TableParagraph"/>
              <w:spacing w:before="15"/>
              <w:ind w:left="38" w:right="32"/>
              <w:rPr>
                <w:sz w:val="14"/>
              </w:rPr>
            </w:pPr>
            <w:r>
              <w:rPr>
                <w:color w:val="231F20"/>
                <w:sz w:val="14"/>
              </w:rPr>
              <w:t>138.2</w:t>
            </w:r>
          </w:p>
        </w:tc>
        <w:tc>
          <w:tcPr>
            <w:tcW w:w="425" w:type="dxa"/>
          </w:tcPr>
          <w:p>
            <w:pPr>
              <w:pStyle w:val="TableParagraph"/>
              <w:spacing w:before="15"/>
              <w:ind w:left="36" w:right="55"/>
              <w:rPr>
                <w:sz w:val="14"/>
              </w:rPr>
            </w:pPr>
            <w:r>
              <w:rPr>
                <w:color w:val="231F20"/>
                <w:sz w:val="14"/>
              </w:rPr>
              <w:t>3.4</w:t>
            </w:r>
          </w:p>
        </w:tc>
        <w:tc>
          <w:tcPr>
            <w:tcW w:w="459" w:type="dxa"/>
          </w:tcPr>
          <w:p>
            <w:pPr>
              <w:pStyle w:val="TableParagraph"/>
              <w:spacing w:before="15"/>
              <w:ind w:left="106"/>
              <w:jc w:val="left"/>
              <w:rPr>
                <w:sz w:val="14"/>
              </w:rPr>
            </w:pPr>
            <w:r>
              <w:rPr>
                <w:color w:val="231F20"/>
                <w:sz w:val="14"/>
              </w:rPr>
              <w:t>36.1</w:t>
            </w:r>
          </w:p>
        </w:tc>
      </w:tr>
      <w:tr>
        <w:trPr>
          <w:trHeight w:val="209" w:hRule="exact"/>
        </w:trPr>
        <w:tc>
          <w:tcPr>
            <w:tcW w:w="1036" w:type="dxa"/>
            <w:gridSpan w:val="2"/>
            <w:tcBorders>
              <w:bottom w:val="single" w:sz="4" w:space="0" w:color="231F20"/>
            </w:tcBorders>
          </w:tcPr>
          <w:p>
            <w:pPr>
              <w:pStyle w:val="TableParagraph"/>
              <w:spacing w:before="15"/>
              <w:ind w:right="53"/>
              <w:jc w:val="right"/>
              <w:rPr>
                <w:sz w:val="14"/>
              </w:rPr>
            </w:pPr>
            <w:r>
              <w:rPr>
                <w:color w:val="231F20"/>
                <w:sz w:val="14"/>
              </w:rPr>
              <w:t>Total</w:t>
            </w:r>
          </w:p>
        </w:tc>
        <w:tc>
          <w:tcPr>
            <w:tcW w:w="378" w:type="dxa"/>
            <w:tcBorders>
              <w:bottom w:val="single" w:sz="4" w:space="0" w:color="231F20"/>
            </w:tcBorders>
          </w:tcPr>
          <w:p>
            <w:pPr>
              <w:pStyle w:val="TableParagraph"/>
              <w:spacing w:before="15"/>
              <w:ind w:left="55"/>
              <w:jc w:val="left"/>
              <w:rPr>
                <w:sz w:val="14"/>
              </w:rPr>
            </w:pPr>
            <w:r>
              <w:rPr>
                <w:color w:val="231F20"/>
                <w:sz w:val="14"/>
              </w:rPr>
              <w:t>30.5</w:t>
            </w:r>
          </w:p>
        </w:tc>
        <w:tc>
          <w:tcPr>
            <w:tcW w:w="432" w:type="dxa"/>
            <w:tcBorders>
              <w:bottom w:val="single" w:sz="4" w:space="0" w:color="231F20"/>
            </w:tcBorders>
          </w:tcPr>
          <w:p>
            <w:pPr>
              <w:pStyle w:val="TableParagraph"/>
              <w:spacing w:before="15"/>
              <w:ind w:left="63" w:right="35"/>
              <w:rPr>
                <w:sz w:val="14"/>
              </w:rPr>
            </w:pPr>
            <w:r>
              <w:rPr>
                <w:color w:val="231F20"/>
                <w:sz w:val="14"/>
              </w:rPr>
              <w:t>15.6</w:t>
            </w:r>
          </w:p>
        </w:tc>
        <w:tc>
          <w:tcPr>
            <w:tcW w:w="408" w:type="dxa"/>
            <w:tcBorders>
              <w:bottom w:val="single" w:sz="4" w:space="0" w:color="231F20"/>
            </w:tcBorders>
          </w:tcPr>
          <w:p>
            <w:pPr>
              <w:pStyle w:val="TableParagraph"/>
              <w:spacing w:before="15"/>
              <w:ind w:left="36" w:right="36"/>
              <w:rPr>
                <w:sz w:val="14"/>
              </w:rPr>
            </w:pPr>
            <w:r>
              <w:rPr>
                <w:color w:val="231F20"/>
                <w:sz w:val="14"/>
              </w:rPr>
              <w:t>-18.6</w:t>
            </w:r>
          </w:p>
        </w:tc>
        <w:tc>
          <w:tcPr>
            <w:tcW w:w="400" w:type="dxa"/>
            <w:tcBorders>
              <w:bottom w:val="single" w:sz="4" w:space="0" w:color="231F20"/>
            </w:tcBorders>
          </w:tcPr>
          <w:p>
            <w:pPr>
              <w:pStyle w:val="TableParagraph"/>
              <w:spacing w:before="15"/>
              <w:ind w:left="35" w:right="31"/>
              <w:rPr>
                <w:sz w:val="14"/>
              </w:rPr>
            </w:pPr>
            <w:r>
              <w:rPr>
                <w:color w:val="231F20"/>
                <w:sz w:val="14"/>
              </w:rPr>
              <w:t>15.6</w:t>
            </w:r>
          </w:p>
        </w:tc>
        <w:tc>
          <w:tcPr>
            <w:tcW w:w="383" w:type="dxa"/>
            <w:tcBorders>
              <w:bottom w:val="single" w:sz="4" w:space="0" w:color="231F20"/>
            </w:tcBorders>
          </w:tcPr>
          <w:p>
            <w:pPr>
              <w:pStyle w:val="TableParagraph"/>
              <w:spacing w:before="15"/>
              <w:ind w:left="30" w:right="16"/>
              <w:rPr>
                <w:sz w:val="14"/>
              </w:rPr>
            </w:pPr>
            <w:r>
              <w:rPr>
                <w:color w:val="231F20"/>
                <w:sz w:val="14"/>
              </w:rPr>
              <w:t>-6.1</w:t>
            </w:r>
          </w:p>
        </w:tc>
        <w:tc>
          <w:tcPr>
            <w:tcW w:w="397" w:type="dxa"/>
            <w:tcBorders>
              <w:bottom w:val="single" w:sz="4" w:space="0" w:color="231F20"/>
            </w:tcBorders>
          </w:tcPr>
          <w:p>
            <w:pPr>
              <w:pStyle w:val="TableParagraph"/>
              <w:spacing w:before="15"/>
              <w:ind w:left="14" w:right="25"/>
              <w:rPr>
                <w:sz w:val="14"/>
              </w:rPr>
            </w:pPr>
            <w:r>
              <w:rPr>
                <w:color w:val="231F20"/>
                <w:sz w:val="14"/>
              </w:rPr>
              <w:t>-6.1</w:t>
            </w:r>
          </w:p>
        </w:tc>
        <w:tc>
          <w:tcPr>
            <w:tcW w:w="416" w:type="dxa"/>
            <w:tcBorders>
              <w:bottom w:val="single" w:sz="4" w:space="0" w:color="231F20"/>
            </w:tcBorders>
          </w:tcPr>
          <w:p>
            <w:pPr>
              <w:pStyle w:val="TableParagraph"/>
              <w:spacing w:before="15"/>
              <w:ind w:left="23" w:right="34"/>
              <w:rPr>
                <w:sz w:val="14"/>
              </w:rPr>
            </w:pPr>
            <w:r>
              <w:rPr>
                <w:color w:val="231F20"/>
                <w:sz w:val="14"/>
              </w:rPr>
              <w:t>15.3</w:t>
            </w:r>
          </w:p>
        </w:tc>
        <w:tc>
          <w:tcPr>
            <w:tcW w:w="424" w:type="dxa"/>
            <w:tcBorders>
              <w:bottom w:val="single" w:sz="4" w:space="0" w:color="231F20"/>
            </w:tcBorders>
          </w:tcPr>
          <w:p>
            <w:pPr>
              <w:pStyle w:val="TableParagraph"/>
              <w:spacing w:before="15"/>
              <w:ind w:left="32" w:right="33"/>
              <w:rPr>
                <w:sz w:val="14"/>
              </w:rPr>
            </w:pPr>
            <w:r>
              <w:rPr>
                <w:color w:val="231F20"/>
                <w:sz w:val="14"/>
              </w:rPr>
              <w:t>-13.2</w:t>
            </w:r>
          </w:p>
        </w:tc>
        <w:tc>
          <w:tcPr>
            <w:tcW w:w="427" w:type="dxa"/>
            <w:tcBorders>
              <w:bottom w:val="single" w:sz="4" w:space="0" w:color="231F20"/>
            </w:tcBorders>
          </w:tcPr>
          <w:p>
            <w:pPr>
              <w:pStyle w:val="TableParagraph"/>
              <w:spacing w:before="15"/>
              <w:ind w:left="120"/>
              <w:jc w:val="left"/>
              <w:rPr>
                <w:sz w:val="14"/>
              </w:rPr>
            </w:pPr>
            <w:r>
              <w:rPr>
                <w:color w:val="231F20"/>
                <w:sz w:val="14"/>
              </w:rPr>
              <w:t>5.1</w:t>
            </w:r>
          </w:p>
        </w:tc>
        <w:tc>
          <w:tcPr>
            <w:tcW w:w="403" w:type="dxa"/>
            <w:tcBorders>
              <w:bottom w:val="single" w:sz="4" w:space="0" w:color="231F20"/>
            </w:tcBorders>
          </w:tcPr>
          <w:p>
            <w:pPr>
              <w:pStyle w:val="TableParagraph"/>
              <w:spacing w:before="15"/>
              <w:ind w:left="85"/>
              <w:jc w:val="left"/>
              <w:rPr>
                <w:sz w:val="14"/>
              </w:rPr>
            </w:pPr>
            <w:r>
              <w:rPr>
                <w:color w:val="231F20"/>
                <w:sz w:val="14"/>
              </w:rPr>
              <w:t>25.0</w:t>
            </w:r>
          </w:p>
        </w:tc>
        <w:tc>
          <w:tcPr>
            <w:tcW w:w="428" w:type="dxa"/>
            <w:tcBorders>
              <w:bottom w:val="single" w:sz="4" w:space="0" w:color="231F20"/>
            </w:tcBorders>
          </w:tcPr>
          <w:p>
            <w:pPr>
              <w:pStyle w:val="TableParagraph"/>
              <w:spacing w:before="15"/>
              <w:ind w:left="57" w:right="35"/>
              <w:rPr>
                <w:sz w:val="14"/>
              </w:rPr>
            </w:pPr>
            <w:r>
              <w:rPr>
                <w:color w:val="231F20"/>
                <w:sz w:val="14"/>
              </w:rPr>
              <w:t>-14.6</w:t>
            </w:r>
          </w:p>
        </w:tc>
        <w:tc>
          <w:tcPr>
            <w:tcW w:w="416" w:type="dxa"/>
            <w:tcBorders>
              <w:bottom w:val="single" w:sz="4" w:space="0" w:color="231F20"/>
            </w:tcBorders>
          </w:tcPr>
          <w:p>
            <w:pPr>
              <w:pStyle w:val="TableParagraph"/>
              <w:spacing w:before="15"/>
              <w:ind w:left="37" w:right="43"/>
              <w:rPr>
                <w:sz w:val="14"/>
              </w:rPr>
            </w:pPr>
            <w:r>
              <w:rPr>
                <w:color w:val="231F20"/>
                <w:sz w:val="14"/>
              </w:rPr>
              <w:t>-22.5</w:t>
            </w:r>
          </w:p>
        </w:tc>
        <w:tc>
          <w:tcPr>
            <w:tcW w:w="438" w:type="dxa"/>
            <w:tcBorders>
              <w:bottom w:val="single" w:sz="4" w:space="0" w:color="231F20"/>
            </w:tcBorders>
          </w:tcPr>
          <w:p>
            <w:pPr>
              <w:pStyle w:val="TableParagraph"/>
              <w:spacing w:before="15"/>
              <w:ind w:left="72"/>
              <w:jc w:val="left"/>
              <w:rPr>
                <w:sz w:val="14"/>
              </w:rPr>
            </w:pPr>
            <w:r>
              <w:rPr>
                <w:color w:val="231F20"/>
                <w:sz w:val="14"/>
              </w:rPr>
              <w:t>-22.7</w:t>
            </w:r>
          </w:p>
        </w:tc>
        <w:tc>
          <w:tcPr>
            <w:tcW w:w="451" w:type="dxa"/>
            <w:tcBorders>
              <w:bottom w:val="single" w:sz="4" w:space="0" w:color="231F20"/>
            </w:tcBorders>
          </w:tcPr>
          <w:p>
            <w:pPr>
              <w:pStyle w:val="TableParagraph"/>
              <w:spacing w:before="15"/>
              <w:ind w:left="57" w:right="61"/>
              <w:rPr>
                <w:sz w:val="14"/>
              </w:rPr>
            </w:pPr>
            <w:r>
              <w:rPr>
                <w:color w:val="231F20"/>
                <w:sz w:val="14"/>
              </w:rPr>
              <w:t>-25.0</w:t>
            </w:r>
          </w:p>
        </w:tc>
        <w:tc>
          <w:tcPr>
            <w:tcW w:w="447" w:type="dxa"/>
            <w:tcBorders>
              <w:bottom w:val="single" w:sz="4" w:space="0" w:color="231F20"/>
            </w:tcBorders>
          </w:tcPr>
          <w:p>
            <w:pPr>
              <w:pStyle w:val="TableParagraph"/>
              <w:spacing w:before="15"/>
              <w:ind w:right="100"/>
              <w:jc w:val="right"/>
              <w:rPr>
                <w:sz w:val="14"/>
              </w:rPr>
            </w:pPr>
            <w:r>
              <w:rPr>
                <w:color w:val="231F20"/>
                <w:w w:val="95"/>
                <w:sz w:val="14"/>
              </w:rPr>
              <w:t>36.9</w:t>
            </w:r>
          </w:p>
        </w:tc>
        <w:tc>
          <w:tcPr>
            <w:tcW w:w="443" w:type="dxa"/>
            <w:tcBorders>
              <w:bottom w:val="single" w:sz="4" w:space="0" w:color="231F20"/>
            </w:tcBorders>
          </w:tcPr>
          <w:p>
            <w:pPr>
              <w:pStyle w:val="TableParagraph"/>
              <w:spacing w:before="15"/>
              <w:ind w:left="48" w:right="38"/>
              <w:rPr>
                <w:sz w:val="14"/>
              </w:rPr>
            </w:pPr>
            <w:r>
              <w:rPr>
                <w:color w:val="231F20"/>
                <w:sz w:val="14"/>
              </w:rPr>
              <w:t>137.0</w:t>
            </w:r>
          </w:p>
        </w:tc>
        <w:tc>
          <w:tcPr>
            <w:tcW w:w="413" w:type="dxa"/>
            <w:tcBorders>
              <w:bottom w:val="single" w:sz="4" w:space="0" w:color="231F20"/>
            </w:tcBorders>
          </w:tcPr>
          <w:p>
            <w:pPr>
              <w:pStyle w:val="TableParagraph"/>
              <w:spacing w:before="15"/>
              <w:ind w:right="59"/>
              <w:jc w:val="right"/>
              <w:rPr>
                <w:sz w:val="14"/>
              </w:rPr>
            </w:pPr>
            <w:r>
              <w:rPr>
                <w:color w:val="231F20"/>
                <w:w w:val="95"/>
                <w:sz w:val="14"/>
              </w:rPr>
              <w:t>-13.1</w:t>
            </w:r>
          </w:p>
        </w:tc>
        <w:tc>
          <w:tcPr>
            <w:tcW w:w="473" w:type="dxa"/>
            <w:tcBorders>
              <w:bottom w:val="single" w:sz="4" w:space="0" w:color="231F20"/>
            </w:tcBorders>
          </w:tcPr>
          <w:p>
            <w:pPr>
              <w:pStyle w:val="TableParagraph"/>
              <w:spacing w:before="15"/>
              <w:ind w:right="154"/>
              <w:jc w:val="right"/>
              <w:rPr>
                <w:sz w:val="14"/>
              </w:rPr>
            </w:pPr>
            <w:r>
              <w:rPr>
                <w:color w:val="231F20"/>
                <w:w w:val="95"/>
                <w:sz w:val="14"/>
              </w:rPr>
              <w:t>3.3</w:t>
            </w:r>
          </w:p>
        </w:tc>
        <w:tc>
          <w:tcPr>
            <w:tcW w:w="429" w:type="dxa"/>
            <w:tcBorders>
              <w:bottom w:val="single" w:sz="4" w:space="0" w:color="231F20"/>
            </w:tcBorders>
          </w:tcPr>
          <w:p>
            <w:pPr>
              <w:pStyle w:val="TableParagraph"/>
              <w:spacing w:before="15"/>
              <w:ind w:left="64"/>
              <w:jc w:val="left"/>
              <w:rPr>
                <w:sz w:val="14"/>
              </w:rPr>
            </w:pPr>
            <w:r>
              <w:rPr>
                <w:color w:val="231F20"/>
                <w:sz w:val="14"/>
              </w:rPr>
              <w:t>-25.4</w:t>
            </w:r>
          </w:p>
        </w:tc>
        <w:tc>
          <w:tcPr>
            <w:tcW w:w="428" w:type="dxa"/>
            <w:tcBorders>
              <w:bottom w:val="single" w:sz="4" w:space="0" w:color="231F20"/>
            </w:tcBorders>
          </w:tcPr>
          <w:p>
            <w:pPr>
              <w:pStyle w:val="TableParagraph"/>
              <w:spacing w:before="15"/>
              <w:ind w:left="55" w:right="38"/>
              <w:rPr>
                <w:sz w:val="14"/>
              </w:rPr>
            </w:pPr>
            <w:r>
              <w:rPr>
                <w:color w:val="231F20"/>
                <w:sz w:val="14"/>
              </w:rPr>
              <w:t>34.0</w:t>
            </w:r>
          </w:p>
        </w:tc>
        <w:tc>
          <w:tcPr>
            <w:tcW w:w="475" w:type="dxa"/>
            <w:tcBorders>
              <w:bottom w:val="single" w:sz="4" w:space="0" w:color="231F20"/>
            </w:tcBorders>
          </w:tcPr>
          <w:p>
            <w:pPr>
              <w:pStyle w:val="TableParagraph"/>
              <w:spacing w:before="15"/>
              <w:ind w:left="38" w:right="32"/>
              <w:rPr>
                <w:sz w:val="14"/>
              </w:rPr>
            </w:pPr>
            <w:r>
              <w:rPr>
                <w:color w:val="231F20"/>
                <w:sz w:val="14"/>
              </w:rPr>
              <w:t>47.3</w:t>
            </w:r>
          </w:p>
        </w:tc>
        <w:tc>
          <w:tcPr>
            <w:tcW w:w="425" w:type="dxa"/>
            <w:tcBorders>
              <w:bottom w:val="single" w:sz="4" w:space="0" w:color="231F20"/>
            </w:tcBorders>
          </w:tcPr>
          <w:p>
            <w:pPr>
              <w:pStyle w:val="TableParagraph"/>
              <w:spacing w:before="15"/>
              <w:ind w:left="36" w:right="55"/>
              <w:rPr>
                <w:sz w:val="14"/>
              </w:rPr>
            </w:pPr>
            <w:r>
              <w:rPr>
                <w:color w:val="231F20"/>
                <w:sz w:val="14"/>
              </w:rPr>
              <w:t>-2.3</w:t>
            </w:r>
          </w:p>
        </w:tc>
        <w:tc>
          <w:tcPr>
            <w:tcW w:w="459" w:type="dxa"/>
            <w:tcBorders>
              <w:bottom w:val="single" w:sz="4" w:space="0" w:color="231F20"/>
            </w:tcBorders>
          </w:tcPr>
          <w:p>
            <w:pPr>
              <w:pStyle w:val="TableParagraph"/>
              <w:spacing w:before="15"/>
              <w:ind w:left="106"/>
              <w:jc w:val="left"/>
              <w:rPr>
                <w:sz w:val="14"/>
              </w:rPr>
            </w:pPr>
            <w:r>
              <w:rPr>
                <w:color w:val="231F20"/>
                <w:sz w:val="14"/>
              </w:rPr>
              <w:t>18.6</w:t>
            </w:r>
          </w:p>
        </w:tc>
      </w:tr>
      <w:tr>
        <w:trPr>
          <w:trHeight w:val="219" w:hRule="exact"/>
        </w:trPr>
        <w:tc>
          <w:tcPr>
            <w:tcW w:w="1036" w:type="dxa"/>
            <w:gridSpan w:val="2"/>
            <w:tcBorders>
              <w:top w:val="single" w:sz="4" w:space="0" w:color="231F20"/>
            </w:tcBorders>
          </w:tcPr>
          <w:p>
            <w:pPr>
              <w:pStyle w:val="TableParagraph"/>
              <w:spacing w:before="18"/>
              <w:ind w:left="2"/>
              <w:jc w:val="left"/>
              <w:rPr>
                <w:rFonts w:ascii="Palatino Linotype"/>
                <w:b/>
                <w:sz w:val="14"/>
              </w:rPr>
            </w:pPr>
            <w:r>
              <w:rPr>
                <w:rFonts w:ascii="Palatino Linotype"/>
                <w:b/>
                <w:color w:val="231F20"/>
                <w:w w:val="90"/>
                <w:sz w:val="14"/>
              </w:rPr>
              <w:t>General Motors</w:t>
            </w:r>
          </w:p>
        </w:tc>
        <w:tc>
          <w:tcPr>
            <w:tcW w:w="378" w:type="dxa"/>
            <w:tcBorders>
              <w:top w:val="single" w:sz="4" w:space="0" w:color="231F20"/>
            </w:tcBorders>
          </w:tcPr>
          <w:p>
            <w:pPr/>
          </w:p>
        </w:tc>
        <w:tc>
          <w:tcPr>
            <w:tcW w:w="432" w:type="dxa"/>
            <w:tcBorders>
              <w:top w:val="single" w:sz="4" w:space="0" w:color="231F20"/>
            </w:tcBorders>
          </w:tcPr>
          <w:p>
            <w:pPr/>
          </w:p>
        </w:tc>
        <w:tc>
          <w:tcPr>
            <w:tcW w:w="408" w:type="dxa"/>
            <w:tcBorders>
              <w:top w:val="single" w:sz="4" w:space="0" w:color="231F20"/>
            </w:tcBorders>
          </w:tcPr>
          <w:p>
            <w:pPr/>
          </w:p>
        </w:tc>
        <w:tc>
          <w:tcPr>
            <w:tcW w:w="400" w:type="dxa"/>
            <w:tcBorders>
              <w:top w:val="single" w:sz="4" w:space="0" w:color="231F20"/>
            </w:tcBorders>
          </w:tcPr>
          <w:p>
            <w:pPr/>
          </w:p>
        </w:tc>
        <w:tc>
          <w:tcPr>
            <w:tcW w:w="383" w:type="dxa"/>
            <w:tcBorders>
              <w:top w:val="single" w:sz="4" w:space="0" w:color="231F20"/>
            </w:tcBorders>
          </w:tcPr>
          <w:p>
            <w:pPr/>
          </w:p>
        </w:tc>
        <w:tc>
          <w:tcPr>
            <w:tcW w:w="397" w:type="dxa"/>
            <w:tcBorders>
              <w:top w:val="single" w:sz="4" w:space="0" w:color="231F20"/>
            </w:tcBorders>
          </w:tcPr>
          <w:p>
            <w:pPr/>
          </w:p>
        </w:tc>
        <w:tc>
          <w:tcPr>
            <w:tcW w:w="416" w:type="dxa"/>
            <w:tcBorders>
              <w:top w:val="single" w:sz="4" w:space="0" w:color="231F20"/>
            </w:tcBorders>
          </w:tcPr>
          <w:p>
            <w:pPr/>
          </w:p>
        </w:tc>
        <w:tc>
          <w:tcPr>
            <w:tcW w:w="424" w:type="dxa"/>
            <w:tcBorders>
              <w:top w:val="single" w:sz="4" w:space="0" w:color="231F20"/>
            </w:tcBorders>
          </w:tcPr>
          <w:p>
            <w:pPr/>
          </w:p>
        </w:tc>
        <w:tc>
          <w:tcPr>
            <w:tcW w:w="427" w:type="dxa"/>
            <w:tcBorders>
              <w:top w:val="single" w:sz="4" w:space="0" w:color="231F20"/>
            </w:tcBorders>
          </w:tcPr>
          <w:p>
            <w:pPr/>
          </w:p>
        </w:tc>
        <w:tc>
          <w:tcPr>
            <w:tcW w:w="403" w:type="dxa"/>
            <w:tcBorders>
              <w:top w:val="single" w:sz="4" w:space="0" w:color="231F20"/>
            </w:tcBorders>
          </w:tcPr>
          <w:p>
            <w:pPr/>
          </w:p>
        </w:tc>
        <w:tc>
          <w:tcPr>
            <w:tcW w:w="428" w:type="dxa"/>
            <w:tcBorders>
              <w:top w:val="single" w:sz="4" w:space="0" w:color="231F20"/>
            </w:tcBorders>
          </w:tcPr>
          <w:p>
            <w:pPr/>
          </w:p>
        </w:tc>
        <w:tc>
          <w:tcPr>
            <w:tcW w:w="416" w:type="dxa"/>
            <w:tcBorders>
              <w:top w:val="single" w:sz="4" w:space="0" w:color="231F20"/>
            </w:tcBorders>
          </w:tcPr>
          <w:p>
            <w:pPr/>
          </w:p>
        </w:tc>
        <w:tc>
          <w:tcPr>
            <w:tcW w:w="438" w:type="dxa"/>
            <w:tcBorders>
              <w:top w:val="single" w:sz="4" w:space="0" w:color="231F20"/>
            </w:tcBorders>
          </w:tcPr>
          <w:p>
            <w:pPr/>
          </w:p>
        </w:tc>
        <w:tc>
          <w:tcPr>
            <w:tcW w:w="451" w:type="dxa"/>
            <w:tcBorders>
              <w:top w:val="single" w:sz="4" w:space="0" w:color="231F20"/>
            </w:tcBorders>
          </w:tcPr>
          <w:p>
            <w:pPr/>
          </w:p>
        </w:tc>
        <w:tc>
          <w:tcPr>
            <w:tcW w:w="447" w:type="dxa"/>
            <w:tcBorders>
              <w:top w:val="single" w:sz="4" w:space="0" w:color="231F20"/>
            </w:tcBorders>
          </w:tcPr>
          <w:p>
            <w:pPr/>
          </w:p>
        </w:tc>
        <w:tc>
          <w:tcPr>
            <w:tcW w:w="443" w:type="dxa"/>
            <w:tcBorders>
              <w:top w:val="single" w:sz="4" w:space="0" w:color="231F20"/>
            </w:tcBorders>
          </w:tcPr>
          <w:p>
            <w:pPr/>
          </w:p>
        </w:tc>
        <w:tc>
          <w:tcPr>
            <w:tcW w:w="413" w:type="dxa"/>
            <w:tcBorders>
              <w:top w:val="single" w:sz="4" w:space="0" w:color="231F20"/>
            </w:tcBorders>
          </w:tcPr>
          <w:p>
            <w:pPr/>
          </w:p>
        </w:tc>
        <w:tc>
          <w:tcPr>
            <w:tcW w:w="473" w:type="dxa"/>
            <w:tcBorders>
              <w:top w:val="single" w:sz="4" w:space="0" w:color="231F20"/>
            </w:tcBorders>
          </w:tcPr>
          <w:p>
            <w:pPr/>
          </w:p>
        </w:tc>
        <w:tc>
          <w:tcPr>
            <w:tcW w:w="429" w:type="dxa"/>
            <w:tcBorders>
              <w:top w:val="single" w:sz="4" w:space="0" w:color="231F20"/>
            </w:tcBorders>
          </w:tcPr>
          <w:p>
            <w:pPr/>
          </w:p>
        </w:tc>
        <w:tc>
          <w:tcPr>
            <w:tcW w:w="428" w:type="dxa"/>
            <w:tcBorders>
              <w:top w:val="single" w:sz="4" w:space="0" w:color="231F20"/>
            </w:tcBorders>
          </w:tcPr>
          <w:p>
            <w:pPr/>
          </w:p>
        </w:tc>
        <w:tc>
          <w:tcPr>
            <w:tcW w:w="475" w:type="dxa"/>
            <w:tcBorders>
              <w:top w:val="single" w:sz="4" w:space="0" w:color="231F20"/>
            </w:tcBorders>
          </w:tcPr>
          <w:p>
            <w:pPr/>
          </w:p>
        </w:tc>
        <w:tc>
          <w:tcPr>
            <w:tcW w:w="425" w:type="dxa"/>
            <w:tcBorders>
              <w:top w:val="single" w:sz="4" w:space="0" w:color="231F20"/>
            </w:tcBorders>
          </w:tcPr>
          <w:p>
            <w:pPr/>
          </w:p>
        </w:tc>
        <w:tc>
          <w:tcPr>
            <w:tcW w:w="459" w:type="dxa"/>
            <w:tcBorders>
              <w:top w:val="single" w:sz="4" w:space="0" w:color="231F20"/>
            </w:tcBorders>
          </w:tcPr>
          <w:p>
            <w:pPr/>
          </w:p>
        </w:tc>
      </w:tr>
      <w:tr>
        <w:trPr>
          <w:trHeight w:val="196" w:hRule="exact"/>
        </w:trPr>
        <w:tc>
          <w:tcPr>
            <w:tcW w:w="1036" w:type="dxa"/>
            <w:gridSpan w:val="2"/>
          </w:tcPr>
          <w:p>
            <w:pPr>
              <w:pStyle w:val="TableParagraph"/>
              <w:spacing w:line="146" w:lineRule="exact"/>
              <w:ind w:left="652"/>
              <w:jc w:val="left"/>
              <w:rPr>
                <w:sz w:val="14"/>
              </w:rPr>
            </w:pPr>
            <w:r>
              <w:rPr>
                <w:color w:val="231F20"/>
                <w:sz w:val="14"/>
              </w:rPr>
              <w:t>Autos</w:t>
            </w:r>
          </w:p>
        </w:tc>
        <w:tc>
          <w:tcPr>
            <w:tcW w:w="378" w:type="dxa"/>
          </w:tcPr>
          <w:p>
            <w:pPr>
              <w:pStyle w:val="TableParagraph"/>
              <w:spacing w:line="146" w:lineRule="exact"/>
              <w:ind w:left="55"/>
              <w:jc w:val="left"/>
              <w:rPr>
                <w:sz w:val="14"/>
              </w:rPr>
            </w:pPr>
            <w:r>
              <w:rPr>
                <w:color w:val="231F20"/>
                <w:sz w:val="14"/>
              </w:rPr>
              <w:t>70.3</w:t>
            </w:r>
          </w:p>
        </w:tc>
        <w:tc>
          <w:tcPr>
            <w:tcW w:w="432" w:type="dxa"/>
          </w:tcPr>
          <w:p>
            <w:pPr>
              <w:pStyle w:val="TableParagraph"/>
              <w:spacing w:line="146" w:lineRule="exact"/>
              <w:ind w:left="63" w:right="34"/>
              <w:rPr>
                <w:sz w:val="14"/>
              </w:rPr>
            </w:pPr>
            <w:r>
              <w:rPr>
                <w:color w:val="231F20"/>
                <w:sz w:val="14"/>
              </w:rPr>
              <w:t>0.7</w:t>
            </w:r>
          </w:p>
        </w:tc>
        <w:tc>
          <w:tcPr>
            <w:tcW w:w="408" w:type="dxa"/>
          </w:tcPr>
          <w:p>
            <w:pPr>
              <w:pStyle w:val="TableParagraph"/>
              <w:spacing w:line="146" w:lineRule="exact"/>
              <w:ind w:left="37" w:right="36"/>
              <w:rPr>
                <w:sz w:val="14"/>
              </w:rPr>
            </w:pPr>
            <w:r>
              <w:rPr>
                <w:color w:val="231F20"/>
                <w:sz w:val="14"/>
              </w:rPr>
              <w:t>11.7</w:t>
            </w:r>
          </w:p>
        </w:tc>
        <w:tc>
          <w:tcPr>
            <w:tcW w:w="400" w:type="dxa"/>
          </w:tcPr>
          <w:p>
            <w:pPr>
              <w:pStyle w:val="TableParagraph"/>
              <w:spacing w:line="146" w:lineRule="exact"/>
              <w:ind w:left="36" w:right="31"/>
              <w:rPr>
                <w:sz w:val="14"/>
              </w:rPr>
            </w:pPr>
            <w:r>
              <w:rPr>
                <w:color w:val="231F20"/>
                <w:sz w:val="14"/>
              </w:rPr>
              <w:t>-20.5</w:t>
            </w:r>
          </w:p>
        </w:tc>
        <w:tc>
          <w:tcPr>
            <w:tcW w:w="383" w:type="dxa"/>
          </w:tcPr>
          <w:p>
            <w:pPr>
              <w:pStyle w:val="TableParagraph"/>
              <w:spacing w:line="146" w:lineRule="exact"/>
              <w:ind w:left="30" w:right="15"/>
              <w:rPr>
                <w:sz w:val="14"/>
              </w:rPr>
            </w:pPr>
            <w:r>
              <w:rPr>
                <w:color w:val="231F20"/>
                <w:sz w:val="14"/>
              </w:rPr>
              <w:t>24.3</w:t>
            </w:r>
          </w:p>
        </w:tc>
        <w:tc>
          <w:tcPr>
            <w:tcW w:w="397" w:type="dxa"/>
          </w:tcPr>
          <w:p>
            <w:pPr>
              <w:pStyle w:val="TableParagraph"/>
              <w:spacing w:line="146" w:lineRule="exact"/>
              <w:ind w:left="15" w:right="24"/>
              <w:rPr>
                <w:sz w:val="14"/>
              </w:rPr>
            </w:pPr>
            <w:r>
              <w:rPr>
                <w:color w:val="231F20"/>
                <w:sz w:val="14"/>
              </w:rPr>
              <w:t>2.7</w:t>
            </w:r>
          </w:p>
        </w:tc>
        <w:tc>
          <w:tcPr>
            <w:tcW w:w="416" w:type="dxa"/>
          </w:tcPr>
          <w:p>
            <w:pPr>
              <w:pStyle w:val="TableParagraph"/>
              <w:spacing w:line="146" w:lineRule="exact"/>
              <w:ind w:left="24" w:right="34"/>
              <w:rPr>
                <w:sz w:val="14"/>
              </w:rPr>
            </w:pPr>
            <w:r>
              <w:rPr>
                <w:color w:val="231F20"/>
                <w:sz w:val="14"/>
              </w:rPr>
              <w:t>10.2</w:t>
            </w:r>
          </w:p>
        </w:tc>
        <w:tc>
          <w:tcPr>
            <w:tcW w:w="424" w:type="dxa"/>
          </w:tcPr>
          <w:p>
            <w:pPr>
              <w:pStyle w:val="TableParagraph"/>
              <w:spacing w:line="146" w:lineRule="exact"/>
              <w:ind w:left="33" w:right="33"/>
              <w:rPr>
                <w:sz w:val="14"/>
              </w:rPr>
            </w:pPr>
            <w:r>
              <w:rPr>
                <w:color w:val="231F20"/>
                <w:sz w:val="14"/>
              </w:rPr>
              <w:t>5.8</w:t>
            </w:r>
          </w:p>
        </w:tc>
        <w:tc>
          <w:tcPr>
            <w:tcW w:w="427" w:type="dxa"/>
          </w:tcPr>
          <w:p>
            <w:pPr>
              <w:pStyle w:val="TableParagraph"/>
              <w:spacing w:line="146" w:lineRule="exact"/>
              <w:ind w:left="87"/>
              <w:jc w:val="left"/>
              <w:rPr>
                <w:sz w:val="14"/>
              </w:rPr>
            </w:pPr>
            <w:r>
              <w:rPr>
                <w:color w:val="231F20"/>
                <w:sz w:val="14"/>
              </w:rPr>
              <w:t>10.4</w:t>
            </w:r>
          </w:p>
        </w:tc>
        <w:tc>
          <w:tcPr>
            <w:tcW w:w="403" w:type="dxa"/>
          </w:tcPr>
          <w:p>
            <w:pPr>
              <w:pStyle w:val="TableParagraph"/>
              <w:spacing w:line="146" w:lineRule="exact"/>
              <w:ind w:left="119"/>
              <w:jc w:val="left"/>
              <w:rPr>
                <w:sz w:val="14"/>
              </w:rPr>
            </w:pPr>
            <w:r>
              <w:rPr>
                <w:color w:val="231F20"/>
                <w:sz w:val="14"/>
              </w:rPr>
              <w:t>1.5</w:t>
            </w:r>
          </w:p>
        </w:tc>
        <w:tc>
          <w:tcPr>
            <w:tcW w:w="428" w:type="dxa"/>
          </w:tcPr>
          <w:p>
            <w:pPr>
              <w:pStyle w:val="TableParagraph"/>
              <w:spacing w:line="146" w:lineRule="exact"/>
              <w:ind w:left="57" w:right="34"/>
              <w:rPr>
                <w:sz w:val="14"/>
              </w:rPr>
            </w:pPr>
            <w:r>
              <w:rPr>
                <w:color w:val="231F20"/>
                <w:sz w:val="14"/>
              </w:rPr>
              <w:t>-25.9</w:t>
            </w:r>
          </w:p>
        </w:tc>
        <w:tc>
          <w:tcPr>
            <w:tcW w:w="416" w:type="dxa"/>
          </w:tcPr>
          <w:p>
            <w:pPr>
              <w:pStyle w:val="TableParagraph"/>
              <w:spacing w:line="146" w:lineRule="exact"/>
              <w:ind w:left="37" w:right="42"/>
              <w:rPr>
                <w:sz w:val="14"/>
              </w:rPr>
            </w:pPr>
            <w:r>
              <w:rPr>
                <w:color w:val="231F20"/>
                <w:sz w:val="14"/>
              </w:rPr>
              <w:t>2.3</w:t>
            </w:r>
          </w:p>
        </w:tc>
        <w:tc>
          <w:tcPr>
            <w:tcW w:w="438" w:type="dxa"/>
          </w:tcPr>
          <w:p>
            <w:pPr>
              <w:pStyle w:val="TableParagraph"/>
              <w:spacing w:line="146" w:lineRule="exact"/>
              <w:ind w:left="72"/>
              <w:jc w:val="left"/>
              <w:rPr>
                <w:sz w:val="14"/>
              </w:rPr>
            </w:pPr>
            <w:r>
              <w:rPr>
                <w:color w:val="231F20"/>
                <w:sz w:val="14"/>
              </w:rPr>
              <w:t>-25.3</w:t>
            </w:r>
          </w:p>
        </w:tc>
        <w:tc>
          <w:tcPr>
            <w:tcW w:w="451" w:type="dxa"/>
          </w:tcPr>
          <w:p>
            <w:pPr>
              <w:pStyle w:val="TableParagraph"/>
              <w:spacing w:line="146" w:lineRule="exact"/>
              <w:ind w:left="57" w:right="60"/>
              <w:rPr>
                <w:sz w:val="14"/>
              </w:rPr>
            </w:pPr>
            <w:r>
              <w:rPr>
                <w:color w:val="231F20"/>
                <w:sz w:val="14"/>
              </w:rPr>
              <w:t>32.4</w:t>
            </w:r>
          </w:p>
        </w:tc>
        <w:tc>
          <w:tcPr>
            <w:tcW w:w="447" w:type="dxa"/>
          </w:tcPr>
          <w:p>
            <w:pPr>
              <w:pStyle w:val="TableParagraph"/>
              <w:spacing w:line="146" w:lineRule="exact"/>
              <w:ind w:right="99"/>
              <w:jc w:val="right"/>
              <w:rPr>
                <w:sz w:val="14"/>
              </w:rPr>
            </w:pPr>
            <w:r>
              <w:rPr>
                <w:color w:val="231F20"/>
                <w:w w:val="95"/>
                <w:sz w:val="14"/>
              </w:rPr>
              <w:t>10.7</w:t>
            </w:r>
          </w:p>
        </w:tc>
        <w:tc>
          <w:tcPr>
            <w:tcW w:w="443" w:type="dxa"/>
          </w:tcPr>
          <w:p>
            <w:pPr>
              <w:pStyle w:val="TableParagraph"/>
              <w:spacing w:line="146" w:lineRule="exact"/>
              <w:ind w:left="48" w:right="36"/>
              <w:rPr>
                <w:sz w:val="14"/>
              </w:rPr>
            </w:pPr>
            <w:r>
              <w:rPr>
                <w:color w:val="231F20"/>
                <w:sz w:val="14"/>
              </w:rPr>
              <w:t>21.4</w:t>
            </w:r>
          </w:p>
        </w:tc>
        <w:tc>
          <w:tcPr>
            <w:tcW w:w="413" w:type="dxa"/>
          </w:tcPr>
          <w:p>
            <w:pPr>
              <w:pStyle w:val="TableParagraph"/>
              <w:spacing w:line="146" w:lineRule="exact"/>
              <w:ind w:right="92"/>
              <w:jc w:val="right"/>
              <w:rPr>
                <w:sz w:val="14"/>
              </w:rPr>
            </w:pPr>
            <w:r>
              <w:rPr>
                <w:color w:val="231F20"/>
                <w:w w:val="95"/>
                <w:sz w:val="14"/>
              </w:rPr>
              <w:t>-8.7</w:t>
            </w:r>
          </w:p>
        </w:tc>
        <w:tc>
          <w:tcPr>
            <w:tcW w:w="473" w:type="dxa"/>
          </w:tcPr>
          <w:p>
            <w:pPr>
              <w:pStyle w:val="TableParagraph"/>
              <w:spacing w:line="146" w:lineRule="exact"/>
              <w:ind w:right="120"/>
              <w:jc w:val="right"/>
              <w:rPr>
                <w:sz w:val="14"/>
              </w:rPr>
            </w:pPr>
            <w:r>
              <w:rPr>
                <w:color w:val="231F20"/>
                <w:w w:val="95"/>
                <w:sz w:val="14"/>
              </w:rPr>
              <w:t>18.6</w:t>
            </w:r>
          </w:p>
        </w:tc>
        <w:tc>
          <w:tcPr>
            <w:tcW w:w="429" w:type="dxa"/>
          </w:tcPr>
          <w:p>
            <w:pPr>
              <w:pStyle w:val="TableParagraph"/>
              <w:spacing w:line="146" w:lineRule="exact"/>
              <w:ind w:left="65"/>
              <w:jc w:val="left"/>
              <w:rPr>
                <w:sz w:val="14"/>
              </w:rPr>
            </w:pPr>
            <w:r>
              <w:rPr>
                <w:color w:val="231F20"/>
                <w:sz w:val="14"/>
              </w:rPr>
              <w:t>-40.3</w:t>
            </w:r>
          </w:p>
        </w:tc>
        <w:tc>
          <w:tcPr>
            <w:tcW w:w="428" w:type="dxa"/>
          </w:tcPr>
          <w:p>
            <w:pPr>
              <w:pStyle w:val="TableParagraph"/>
              <w:spacing w:line="146" w:lineRule="exact"/>
              <w:ind w:left="55" w:right="37"/>
              <w:rPr>
                <w:sz w:val="14"/>
              </w:rPr>
            </w:pPr>
            <w:r>
              <w:rPr>
                <w:color w:val="231F20"/>
                <w:sz w:val="14"/>
              </w:rPr>
              <w:t>18.7</w:t>
            </w:r>
          </w:p>
        </w:tc>
        <w:tc>
          <w:tcPr>
            <w:tcW w:w="475" w:type="dxa"/>
          </w:tcPr>
          <w:p>
            <w:pPr>
              <w:pStyle w:val="TableParagraph"/>
              <w:spacing w:line="146" w:lineRule="exact"/>
              <w:ind w:left="38" w:right="31"/>
              <w:rPr>
                <w:sz w:val="14"/>
              </w:rPr>
            </w:pPr>
            <w:r>
              <w:rPr>
                <w:color w:val="231F20"/>
                <w:sz w:val="14"/>
              </w:rPr>
              <w:t>-6.4</w:t>
            </w:r>
          </w:p>
        </w:tc>
        <w:tc>
          <w:tcPr>
            <w:tcW w:w="425" w:type="dxa"/>
          </w:tcPr>
          <w:p>
            <w:pPr>
              <w:pStyle w:val="TableParagraph"/>
              <w:spacing w:line="146" w:lineRule="exact"/>
              <w:ind w:left="37" w:right="55"/>
              <w:rPr>
                <w:sz w:val="14"/>
              </w:rPr>
            </w:pPr>
            <w:r>
              <w:rPr>
                <w:color w:val="231F20"/>
                <w:sz w:val="14"/>
              </w:rPr>
              <w:t>-17.9</w:t>
            </w:r>
          </w:p>
        </w:tc>
        <w:tc>
          <w:tcPr>
            <w:tcW w:w="459" w:type="dxa"/>
          </w:tcPr>
          <w:p>
            <w:pPr>
              <w:pStyle w:val="TableParagraph"/>
              <w:spacing w:line="146" w:lineRule="exact"/>
              <w:ind w:left="115"/>
              <w:jc w:val="left"/>
              <w:rPr>
                <w:sz w:val="14"/>
              </w:rPr>
            </w:pPr>
            <w:r>
              <w:rPr>
                <w:color w:val="231F20"/>
                <w:sz w:val="14"/>
              </w:rPr>
              <w:t>-1.5</w:t>
            </w:r>
          </w:p>
        </w:tc>
      </w:tr>
      <w:tr>
        <w:trPr>
          <w:trHeight w:val="227" w:hRule="exact"/>
        </w:trPr>
        <w:tc>
          <w:tcPr>
            <w:tcW w:w="1036" w:type="dxa"/>
            <w:gridSpan w:val="2"/>
          </w:tcPr>
          <w:p>
            <w:pPr>
              <w:pStyle w:val="TableParagraph"/>
              <w:spacing w:before="15"/>
              <w:ind w:left="417"/>
              <w:jc w:val="left"/>
              <w:rPr>
                <w:sz w:val="14"/>
              </w:rPr>
            </w:pPr>
            <w:r>
              <w:rPr>
                <w:color w:val="231F20"/>
                <w:sz w:val="14"/>
              </w:rPr>
              <w:t>Camiones</w:t>
            </w:r>
          </w:p>
        </w:tc>
        <w:tc>
          <w:tcPr>
            <w:tcW w:w="378" w:type="dxa"/>
          </w:tcPr>
          <w:p>
            <w:pPr>
              <w:pStyle w:val="TableParagraph"/>
              <w:spacing w:before="15"/>
              <w:ind w:left="89"/>
              <w:jc w:val="left"/>
              <w:rPr>
                <w:sz w:val="14"/>
              </w:rPr>
            </w:pPr>
            <w:r>
              <w:rPr>
                <w:color w:val="231F20"/>
                <w:sz w:val="14"/>
              </w:rPr>
              <w:t>7.3</w:t>
            </w:r>
          </w:p>
        </w:tc>
        <w:tc>
          <w:tcPr>
            <w:tcW w:w="432" w:type="dxa"/>
          </w:tcPr>
          <w:p>
            <w:pPr>
              <w:pStyle w:val="TableParagraph"/>
              <w:spacing w:before="15"/>
              <w:ind w:left="63" w:right="34"/>
              <w:rPr>
                <w:sz w:val="14"/>
              </w:rPr>
            </w:pPr>
            <w:r>
              <w:rPr>
                <w:color w:val="231F20"/>
                <w:sz w:val="14"/>
              </w:rPr>
              <w:t>7.1</w:t>
            </w:r>
          </w:p>
        </w:tc>
        <w:tc>
          <w:tcPr>
            <w:tcW w:w="408" w:type="dxa"/>
          </w:tcPr>
          <w:p>
            <w:pPr>
              <w:pStyle w:val="TableParagraph"/>
              <w:spacing w:before="15"/>
              <w:ind w:left="37" w:right="36"/>
              <w:rPr>
                <w:sz w:val="14"/>
              </w:rPr>
            </w:pPr>
            <w:r>
              <w:rPr>
                <w:color w:val="231F20"/>
                <w:sz w:val="14"/>
              </w:rPr>
              <w:t>-28.8</w:t>
            </w:r>
          </w:p>
        </w:tc>
        <w:tc>
          <w:tcPr>
            <w:tcW w:w="400" w:type="dxa"/>
          </w:tcPr>
          <w:p>
            <w:pPr>
              <w:pStyle w:val="TableParagraph"/>
              <w:spacing w:before="15"/>
              <w:ind w:left="36" w:right="31"/>
              <w:rPr>
                <w:sz w:val="14"/>
              </w:rPr>
            </w:pPr>
            <w:r>
              <w:rPr>
                <w:color w:val="231F20"/>
                <w:sz w:val="14"/>
              </w:rPr>
              <w:t>-4.4</w:t>
            </w:r>
          </w:p>
        </w:tc>
        <w:tc>
          <w:tcPr>
            <w:tcW w:w="383" w:type="dxa"/>
          </w:tcPr>
          <w:p>
            <w:pPr>
              <w:pStyle w:val="TableParagraph"/>
              <w:spacing w:before="15"/>
              <w:ind w:left="30" w:right="15"/>
              <w:rPr>
                <w:sz w:val="14"/>
              </w:rPr>
            </w:pPr>
            <w:r>
              <w:rPr>
                <w:color w:val="231F20"/>
                <w:sz w:val="14"/>
              </w:rPr>
              <w:t>21.3</w:t>
            </w:r>
          </w:p>
        </w:tc>
        <w:tc>
          <w:tcPr>
            <w:tcW w:w="397" w:type="dxa"/>
          </w:tcPr>
          <w:p>
            <w:pPr>
              <w:pStyle w:val="TableParagraph"/>
              <w:spacing w:before="15"/>
              <w:ind w:left="15" w:right="24"/>
              <w:rPr>
                <w:sz w:val="14"/>
              </w:rPr>
            </w:pPr>
            <w:r>
              <w:rPr>
                <w:color w:val="231F20"/>
                <w:sz w:val="14"/>
              </w:rPr>
              <w:t>109.1</w:t>
            </w:r>
          </w:p>
        </w:tc>
        <w:tc>
          <w:tcPr>
            <w:tcW w:w="416" w:type="dxa"/>
          </w:tcPr>
          <w:p>
            <w:pPr>
              <w:pStyle w:val="TableParagraph"/>
              <w:spacing w:before="15"/>
              <w:ind w:left="24" w:right="34"/>
              <w:rPr>
                <w:sz w:val="14"/>
              </w:rPr>
            </w:pPr>
            <w:r>
              <w:rPr>
                <w:color w:val="231F20"/>
                <w:sz w:val="14"/>
              </w:rPr>
              <w:t>15.5</w:t>
            </w:r>
          </w:p>
        </w:tc>
        <w:tc>
          <w:tcPr>
            <w:tcW w:w="424" w:type="dxa"/>
          </w:tcPr>
          <w:p>
            <w:pPr>
              <w:pStyle w:val="TableParagraph"/>
              <w:spacing w:before="15"/>
              <w:ind w:left="33" w:right="33"/>
              <w:rPr>
                <w:sz w:val="14"/>
              </w:rPr>
            </w:pPr>
            <w:r>
              <w:rPr>
                <w:color w:val="231F20"/>
                <w:sz w:val="14"/>
              </w:rPr>
              <w:t>4.2</w:t>
            </w:r>
          </w:p>
        </w:tc>
        <w:tc>
          <w:tcPr>
            <w:tcW w:w="427" w:type="dxa"/>
          </w:tcPr>
          <w:p>
            <w:pPr>
              <w:pStyle w:val="TableParagraph"/>
              <w:spacing w:before="15"/>
              <w:ind w:left="96"/>
              <w:jc w:val="left"/>
              <w:rPr>
                <w:sz w:val="14"/>
              </w:rPr>
            </w:pPr>
            <w:r>
              <w:rPr>
                <w:color w:val="231F20"/>
                <w:sz w:val="14"/>
              </w:rPr>
              <w:t>-1.7</w:t>
            </w:r>
          </w:p>
        </w:tc>
        <w:tc>
          <w:tcPr>
            <w:tcW w:w="403" w:type="dxa"/>
          </w:tcPr>
          <w:p>
            <w:pPr>
              <w:pStyle w:val="TableParagraph"/>
              <w:spacing w:before="15"/>
              <w:ind w:left="86"/>
              <w:jc w:val="left"/>
              <w:rPr>
                <w:sz w:val="14"/>
              </w:rPr>
            </w:pPr>
            <w:r>
              <w:rPr>
                <w:color w:val="231F20"/>
                <w:sz w:val="14"/>
              </w:rPr>
              <w:t>75.7</w:t>
            </w:r>
          </w:p>
        </w:tc>
        <w:tc>
          <w:tcPr>
            <w:tcW w:w="428" w:type="dxa"/>
          </w:tcPr>
          <w:p>
            <w:pPr>
              <w:pStyle w:val="TableParagraph"/>
              <w:spacing w:before="15"/>
              <w:ind w:left="57" w:right="33"/>
              <w:rPr>
                <w:sz w:val="14"/>
              </w:rPr>
            </w:pPr>
            <w:r>
              <w:rPr>
                <w:color w:val="231F20"/>
                <w:sz w:val="14"/>
              </w:rPr>
              <w:t>20.1</w:t>
            </w:r>
          </w:p>
        </w:tc>
        <w:tc>
          <w:tcPr>
            <w:tcW w:w="416" w:type="dxa"/>
          </w:tcPr>
          <w:p>
            <w:pPr>
              <w:pStyle w:val="TableParagraph"/>
              <w:spacing w:before="15"/>
              <w:ind w:left="37" w:right="41"/>
              <w:rPr>
                <w:sz w:val="14"/>
              </w:rPr>
            </w:pPr>
            <w:r>
              <w:rPr>
                <w:color w:val="231F20"/>
                <w:sz w:val="14"/>
              </w:rPr>
              <w:t>18.4</w:t>
            </w:r>
          </w:p>
        </w:tc>
        <w:tc>
          <w:tcPr>
            <w:tcW w:w="438" w:type="dxa"/>
          </w:tcPr>
          <w:p>
            <w:pPr>
              <w:pStyle w:val="TableParagraph"/>
              <w:spacing w:before="15"/>
              <w:ind w:left="106"/>
              <w:jc w:val="left"/>
              <w:rPr>
                <w:sz w:val="14"/>
              </w:rPr>
            </w:pPr>
            <w:r>
              <w:rPr>
                <w:color w:val="231F20"/>
                <w:sz w:val="14"/>
              </w:rPr>
              <w:t>-0.1</w:t>
            </w:r>
          </w:p>
        </w:tc>
        <w:tc>
          <w:tcPr>
            <w:tcW w:w="451" w:type="dxa"/>
          </w:tcPr>
          <w:p>
            <w:pPr>
              <w:pStyle w:val="TableParagraph"/>
              <w:spacing w:before="15"/>
              <w:ind w:left="57" w:right="59"/>
              <w:rPr>
                <w:sz w:val="14"/>
              </w:rPr>
            </w:pPr>
            <w:r>
              <w:rPr>
                <w:color w:val="231F20"/>
                <w:sz w:val="14"/>
              </w:rPr>
              <w:t>-5.5</w:t>
            </w:r>
          </w:p>
        </w:tc>
        <w:tc>
          <w:tcPr>
            <w:tcW w:w="447" w:type="dxa"/>
          </w:tcPr>
          <w:p>
            <w:pPr>
              <w:pStyle w:val="TableParagraph"/>
              <w:spacing w:before="15"/>
              <w:ind w:right="74"/>
              <w:jc w:val="right"/>
              <w:rPr>
                <w:sz w:val="14"/>
              </w:rPr>
            </w:pPr>
            <w:r>
              <w:rPr>
                <w:color w:val="231F20"/>
                <w:w w:val="95"/>
                <w:sz w:val="14"/>
              </w:rPr>
              <w:t>-21.0</w:t>
            </w:r>
          </w:p>
        </w:tc>
        <w:tc>
          <w:tcPr>
            <w:tcW w:w="443" w:type="dxa"/>
          </w:tcPr>
          <w:p>
            <w:pPr>
              <w:pStyle w:val="TableParagraph"/>
              <w:spacing w:before="15"/>
              <w:ind w:left="48" w:right="36"/>
              <w:rPr>
                <w:sz w:val="14"/>
              </w:rPr>
            </w:pPr>
            <w:r>
              <w:rPr>
                <w:color w:val="231F20"/>
                <w:sz w:val="14"/>
              </w:rPr>
              <w:t>14.9</w:t>
            </w:r>
          </w:p>
        </w:tc>
        <w:tc>
          <w:tcPr>
            <w:tcW w:w="413" w:type="dxa"/>
          </w:tcPr>
          <w:p>
            <w:pPr>
              <w:pStyle w:val="TableParagraph"/>
              <w:spacing w:before="15"/>
              <w:ind w:right="91"/>
              <w:jc w:val="right"/>
              <w:rPr>
                <w:sz w:val="14"/>
              </w:rPr>
            </w:pPr>
            <w:r>
              <w:rPr>
                <w:color w:val="231F20"/>
                <w:w w:val="95"/>
                <w:sz w:val="14"/>
              </w:rPr>
              <w:t>-5.9</w:t>
            </w:r>
          </w:p>
        </w:tc>
        <w:tc>
          <w:tcPr>
            <w:tcW w:w="473" w:type="dxa"/>
          </w:tcPr>
          <w:p>
            <w:pPr>
              <w:pStyle w:val="TableParagraph"/>
              <w:spacing w:before="15"/>
              <w:ind w:right="153"/>
              <w:jc w:val="right"/>
              <w:rPr>
                <w:sz w:val="14"/>
              </w:rPr>
            </w:pPr>
            <w:r>
              <w:rPr>
                <w:color w:val="231F20"/>
                <w:w w:val="95"/>
                <w:sz w:val="14"/>
              </w:rPr>
              <w:t>3.0</w:t>
            </w:r>
          </w:p>
        </w:tc>
        <w:tc>
          <w:tcPr>
            <w:tcW w:w="429" w:type="dxa"/>
          </w:tcPr>
          <w:p>
            <w:pPr>
              <w:pStyle w:val="TableParagraph"/>
              <w:spacing w:before="15"/>
              <w:ind w:left="65"/>
              <w:jc w:val="left"/>
              <w:rPr>
                <w:sz w:val="14"/>
              </w:rPr>
            </w:pPr>
            <w:r>
              <w:rPr>
                <w:color w:val="231F20"/>
                <w:sz w:val="14"/>
              </w:rPr>
              <w:t>-24.9</w:t>
            </w:r>
          </w:p>
        </w:tc>
        <w:tc>
          <w:tcPr>
            <w:tcW w:w="428" w:type="dxa"/>
          </w:tcPr>
          <w:p>
            <w:pPr>
              <w:pStyle w:val="TableParagraph"/>
              <w:spacing w:before="15"/>
              <w:ind w:left="55" w:right="36"/>
              <w:rPr>
                <w:sz w:val="14"/>
              </w:rPr>
            </w:pPr>
            <w:r>
              <w:rPr>
                <w:color w:val="231F20"/>
                <w:sz w:val="14"/>
              </w:rPr>
              <w:t>37.9</w:t>
            </w:r>
          </w:p>
        </w:tc>
        <w:tc>
          <w:tcPr>
            <w:tcW w:w="475" w:type="dxa"/>
          </w:tcPr>
          <w:p>
            <w:pPr>
              <w:pStyle w:val="TableParagraph"/>
              <w:spacing w:before="15"/>
              <w:ind w:left="38" w:right="30"/>
              <w:rPr>
                <w:sz w:val="14"/>
              </w:rPr>
            </w:pPr>
            <w:r>
              <w:rPr>
                <w:color w:val="231F20"/>
                <w:sz w:val="14"/>
              </w:rPr>
              <w:t>29.7</w:t>
            </w:r>
          </w:p>
        </w:tc>
        <w:tc>
          <w:tcPr>
            <w:tcW w:w="425" w:type="dxa"/>
          </w:tcPr>
          <w:p>
            <w:pPr>
              <w:pStyle w:val="TableParagraph"/>
              <w:spacing w:before="15"/>
              <w:ind w:left="37" w:right="54"/>
              <w:rPr>
                <w:sz w:val="14"/>
              </w:rPr>
            </w:pPr>
            <w:r>
              <w:rPr>
                <w:color w:val="231F20"/>
                <w:sz w:val="14"/>
              </w:rPr>
              <w:t>12.5</w:t>
            </w:r>
          </w:p>
        </w:tc>
        <w:tc>
          <w:tcPr>
            <w:tcW w:w="459" w:type="dxa"/>
          </w:tcPr>
          <w:p>
            <w:pPr>
              <w:pStyle w:val="TableParagraph"/>
              <w:spacing w:before="15"/>
              <w:ind w:left="107"/>
              <w:jc w:val="left"/>
              <w:rPr>
                <w:sz w:val="14"/>
              </w:rPr>
            </w:pPr>
            <w:r>
              <w:rPr>
                <w:color w:val="231F20"/>
                <w:sz w:val="14"/>
              </w:rPr>
              <w:t>14.9</w:t>
            </w:r>
          </w:p>
        </w:tc>
      </w:tr>
      <w:tr>
        <w:trPr>
          <w:trHeight w:val="209" w:hRule="exact"/>
        </w:trPr>
        <w:tc>
          <w:tcPr>
            <w:tcW w:w="1036" w:type="dxa"/>
            <w:gridSpan w:val="2"/>
            <w:tcBorders>
              <w:bottom w:val="single" w:sz="4" w:space="0" w:color="231F20"/>
            </w:tcBorders>
          </w:tcPr>
          <w:p>
            <w:pPr>
              <w:pStyle w:val="TableParagraph"/>
              <w:spacing w:before="15"/>
              <w:ind w:right="52"/>
              <w:jc w:val="right"/>
              <w:rPr>
                <w:sz w:val="14"/>
              </w:rPr>
            </w:pPr>
            <w:r>
              <w:rPr>
                <w:color w:val="231F20"/>
                <w:sz w:val="14"/>
              </w:rPr>
              <w:t>Total</w:t>
            </w:r>
          </w:p>
        </w:tc>
        <w:tc>
          <w:tcPr>
            <w:tcW w:w="378" w:type="dxa"/>
            <w:tcBorders>
              <w:bottom w:val="single" w:sz="4" w:space="0" w:color="231F20"/>
            </w:tcBorders>
          </w:tcPr>
          <w:p>
            <w:pPr>
              <w:pStyle w:val="TableParagraph"/>
              <w:spacing w:before="15"/>
              <w:ind w:left="56"/>
              <w:jc w:val="left"/>
              <w:rPr>
                <w:sz w:val="14"/>
              </w:rPr>
            </w:pPr>
            <w:r>
              <w:rPr>
                <w:color w:val="231F20"/>
                <w:sz w:val="14"/>
              </w:rPr>
              <w:t>41.5</w:t>
            </w:r>
          </w:p>
        </w:tc>
        <w:tc>
          <w:tcPr>
            <w:tcW w:w="432" w:type="dxa"/>
            <w:tcBorders>
              <w:bottom w:val="single" w:sz="4" w:space="0" w:color="231F20"/>
            </w:tcBorders>
          </w:tcPr>
          <w:p>
            <w:pPr>
              <w:pStyle w:val="TableParagraph"/>
              <w:spacing w:before="15"/>
              <w:ind w:left="63" w:right="33"/>
              <w:rPr>
                <w:sz w:val="14"/>
              </w:rPr>
            </w:pPr>
            <w:r>
              <w:rPr>
                <w:color w:val="231F20"/>
                <w:sz w:val="14"/>
              </w:rPr>
              <w:t>2.9</w:t>
            </w:r>
          </w:p>
        </w:tc>
        <w:tc>
          <w:tcPr>
            <w:tcW w:w="408" w:type="dxa"/>
            <w:tcBorders>
              <w:bottom w:val="single" w:sz="4" w:space="0" w:color="231F20"/>
            </w:tcBorders>
          </w:tcPr>
          <w:p>
            <w:pPr>
              <w:pStyle w:val="TableParagraph"/>
              <w:spacing w:before="15"/>
              <w:ind w:left="37" w:right="35"/>
              <w:rPr>
                <w:sz w:val="14"/>
              </w:rPr>
            </w:pPr>
            <w:r>
              <w:rPr>
                <w:color w:val="231F20"/>
                <w:sz w:val="14"/>
              </w:rPr>
              <w:t>-3.0</w:t>
            </w:r>
          </w:p>
        </w:tc>
        <w:tc>
          <w:tcPr>
            <w:tcW w:w="400" w:type="dxa"/>
            <w:tcBorders>
              <w:bottom w:val="single" w:sz="4" w:space="0" w:color="231F20"/>
            </w:tcBorders>
          </w:tcPr>
          <w:p>
            <w:pPr>
              <w:pStyle w:val="TableParagraph"/>
              <w:spacing w:before="15"/>
              <w:ind w:left="36" w:right="30"/>
              <w:rPr>
                <w:sz w:val="14"/>
              </w:rPr>
            </w:pPr>
            <w:r>
              <w:rPr>
                <w:color w:val="231F20"/>
                <w:sz w:val="14"/>
              </w:rPr>
              <w:t>-16.2</w:t>
            </w:r>
          </w:p>
        </w:tc>
        <w:tc>
          <w:tcPr>
            <w:tcW w:w="383" w:type="dxa"/>
            <w:tcBorders>
              <w:bottom w:val="single" w:sz="4" w:space="0" w:color="231F20"/>
            </w:tcBorders>
          </w:tcPr>
          <w:p>
            <w:pPr>
              <w:pStyle w:val="TableParagraph"/>
              <w:spacing w:before="15"/>
              <w:ind w:left="30" w:right="14"/>
              <w:rPr>
                <w:sz w:val="14"/>
              </w:rPr>
            </w:pPr>
            <w:r>
              <w:rPr>
                <w:color w:val="231F20"/>
                <w:sz w:val="14"/>
              </w:rPr>
              <w:t>23.4</w:t>
            </w:r>
          </w:p>
        </w:tc>
        <w:tc>
          <w:tcPr>
            <w:tcW w:w="397" w:type="dxa"/>
            <w:tcBorders>
              <w:bottom w:val="single" w:sz="4" w:space="0" w:color="231F20"/>
            </w:tcBorders>
          </w:tcPr>
          <w:p>
            <w:pPr>
              <w:pStyle w:val="TableParagraph"/>
              <w:spacing w:before="15"/>
              <w:ind w:left="15" w:right="23"/>
              <w:rPr>
                <w:sz w:val="14"/>
              </w:rPr>
            </w:pPr>
            <w:r>
              <w:rPr>
                <w:color w:val="231F20"/>
                <w:sz w:val="14"/>
              </w:rPr>
              <w:t>34.4</w:t>
            </w:r>
          </w:p>
        </w:tc>
        <w:tc>
          <w:tcPr>
            <w:tcW w:w="416" w:type="dxa"/>
            <w:tcBorders>
              <w:bottom w:val="single" w:sz="4" w:space="0" w:color="231F20"/>
            </w:tcBorders>
          </w:tcPr>
          <w:p>
            <w:pPr>
              <w:pStyle w:val="TableParagraph"/>
              <w:spacing w:before="15"/>
              <w:ind w:left="25" w:right="34"/>
              <w:rPr>
                <w:sz w:val="14"/>
              </w:rPr>
            </w:pPr>
            <w:r>
              <w:rPr>
                <w:color w:val="231F20"/>
                <w:sz w:val="14"/>
              </w:rPr>
              <w:t>12.6</w:t>
            </w:r>
          </w:p>
        </w:tc>
        <w:tc>
          <w:tcPr>
            <w:tcW w:w="424" w:type="dxa"/>
            <w:tcBorders>
              <w:bottom w:val="single" w:sz="4" w:space="0" w:color="231F20"/>
            </w:tcBorders>
          </w:tcPr>
          <w:p>
            <w:pPr>
              <w:pStyle w:val="TableParagraph"/>
              <w:spacing w:before="15"/>
              <w:ind w:left="33" w:right="33"/>
              <w:rPr>
                <w:sz w:val="14"/>
              </w:rPr>
            </w:pPr>
            <w:r>
              <w:rPr>
                <w:color w:val="231F20"/>
                <w:sz w:val="14"/>
              </w:rPr>
              <w:t>5.0</w:t>
            </w:r>
          </w:p>
        </w:tc>
        <w:tc>
          <w:tcPr>
            <w:tcW w:w="427" w:type="dxa"/>
            <w:tcBorders>
              <w:bottom w:val="single" w:sz="4" w:space="0" w:color="231F20"/>
            </w:tcBorders>
          </w:tcPr>
          <w:p>
            <w:pPr>
              <w:pStyle w:val="TableParagraph"/>
              <w:spacing w:before="15"/>
              <w:ind w:left="121"/>
              <w:jc w:val="left"/>
              <w:rPr>
                <w:sz w:val="14"/>
              </w:rPr>
            </w:pPr>
            <w:r>
              <w:rPr>
                <w:color w:val="231F20"/>
                <w:sz w:val="14"/>
              </w:rPr>
              <w:t>4.7</w:t>
            </w:r>
          </w:p>
        </w:tc>
        <w:tc>
          <w:tcPr>
            <w:tcW w:w="403" w:type="dxa"/>
            <w:tcBorders>
              <w:bottom w:val="single" w:sz="4" w:space="0" w:color="231F20"/>
            </w:tcBorders>
          </w:tcPr>
          <w:p>
            <w:pPr>
              <w:pStyle w:val="TableParagraph"/>
              <w:spacing w:before="15"/>
              <w:ind w:left="86"/>
              <w:jc w:val="left"/>
              <w:rPr>
                <w:sz w:val="14"/>
              </w:rPr>
            </w:pPr>
            <w:r>
              <w:rPr>
                <w:color w:val="231F20"/>
                <w:sz w:val="14"/>
              </w:rPr>
              <w:t>34.3</w:t>
            </w:r>
          </w:p>
        </w:tc>
        <w:tc>
          <w:tcPr>
            <w:tcW w:w="428" w:type="dxa"/>
            <w:tcBorders>
              <w:bottom w:val="single" w:sz="4" w:space="0" w:color="231F20"/>
            </w:tcBorders>
          </w:tcPr>
          <w:p>
            <w:pPr>
              <w:pStyle w:val="TableParagraph"/>
              <w:spacing w:before="15"/>
              <w:ind w:left="57" w:right="33"/>
              <w:rPr>
                <w:sz w:val="14"/>
              </w:rPr>
            </w:pPr>
            <w:r>
              <w:rPr>
                <w:color w:val="231F20"/>
                <w:sz w:val="14"/>
              </w:rPr>
              <w:t>0.7</w:t>
            </w:r>
          </w:p>
        </w:tc>
        <w:tc>
          <w:tcPr>
            <w:tcW w:w="416" w:type="dxa"/>
            <w:tcBorders>
              <w:bottom w:val="single" w:sz="4" w:space="0" w:color="231F20"/>
            </w:tcBorders>
          </w:tcPr>
          <w:p>
            <w:pPr>
              <w:pStyle w:val="TableParagraph"/>
              <w:spacing w:before="15"/>
              <w:ind w:left="37" w:right="41"/>
              <w:rPr>
                <w:sz w:val="14"/>
              </w:rPr>
            </w:pPr>
            <w:r>
              <w:rPr>
                <w:color w:val="231F20"/>
                <w:sz w:val="14"/>
              </w:rPr>
              <w:t>13.4</w:t>
            </w:r>
          </w:p>
        </w:tc>
        <w:tc>
          <w:tcPr>
            <w:tcW w:w="438" w:type="dxa"/>
            <w:tcBorders>
              <w:bottom w:val="single" w:sz="4" w:space="0" w:color="231F20"/>
            </w:tcBorders>
          </w:tcPr>
          <w:p>
            <w:pPr>
              <w:pStyle w:val="TableParagraph"/>
              <w:spacing w:before="15"/>
              <w:ind w:left="106"/>
              <w:jc w:val="left"/>
              <w:rPr>
                <w:sz w:val="14"/>
              </w:rPr>
            </w:pPr>
            <w:r>
              <w:rPr>
                <w:color w:val="231F20"/>
                <w:sz w:val="14"/>
              </w:rPr>
              <w:t>-7.2</w:t>
            </w:r>
          </w:p>
        </w:tc>
        <w:tc>
          <w:tcPr>
            <w:tcW w:w="451" w:type="dxa"/>
            <w:tcBorders>
              <w:bottom w:val="single" w:sz="4" w:space="0" w:color="231F20"/>
            </w:tcBorders>
          </w:tcPr>
          <w:p>
            <w:pPr>
              <w:pStyle w:val="TableParagraph"/>
              <w:spacing w:before="15"/>
              <w:ind w:left="57" w:right="58"/>
              <w:rPr>
                <w:sz w:val="14"/>
              </w:rPr>
            </w:pPr>
            <w:r>
              <w:rPr>
                <w:color w:val="231F20"/>
                <w:sz w:val="14"/>
              </w:rPr>
              <w:t>3.1</w:t>
            </w:r>
          </w:p>
        </w:tc>
        <w:tc>
          <w:tcPr>
            <w:tcW w:w="447" w:type="dxa"/>
            <w:tcBorders>
              <w:bottom w:val="single" w:sz="4" w:space="0" w:color="231F20"/>
            </w:tcBorders>
          </w:tcPr>
          <w:p>
            <w:pPr>
              <w:pStyle w:val="TableParagraph"/>
              <w:spacing w:before="15"/>
              <w:ind w:right="74"/>
              <w:jc w:val="right"/>
              <w:rPr>
                <w:sz w:val="14"/>
              </w:rPr>
            </w:pPr>
            <w:r>
              <w:rPr>
                <w:color w:val="231F20"/>
                <w:w w:val="95"/>
                <w:sz w:val="14"/>
              </w:rPr>
              <w:t>-11.9</w:t>
            </w:r>
          </w:p>
        </w:tc>
        <w:tc>
          <w:tcPr>
            <w:tcW w:w="443" w:type="dxa"/>
            <w:tcBorders>
              <w:bottom w:val="single" w:sz="4" w:space="0" w:color="231F20"/>
            </w:tcBorders>
          </w:tcPr>
          <w:p>
            <w:pPr>
              <w:pStyle w:val="TableParagraph"/>
              <w:spacing w:before="15"/>
              <w:ind w:left="48" w:right="35"/>
              <w:rPr>
                <w:sz w:val="14"/>
              </w:rPr>
            </w:pPr>
            <w:r>
              <w:rPr>
                <w:color w:val="231F20"/>
                <w:sz w:val="14"/>
              </w:rPr>
              <w:t>17.3</w:t>
            </w:r>
          </w:p>
        </w:tc>
        <w:tc>
          <w:tcPr>
            <w:tcW w:w="413" w:type="dxa"/>
            <w:tcBorders>
              <w:bottom w:val="single" w:sz="4" w:space="0" w:color="231F20"/>
            </w:tcBorders>
          </w:tcPr>
          <w:p>
            <w:pPr>
              <w:pStyle w:val="TableParagraph"/>
              <w:spacing w:before="15"/>
              <w:ind w:right="91"/>
              <w:jc w:val="right"/>
              <w:rPr>
                <w:sz w:val="14"/>
              </w:rPr>
            </w:pPr>
            <w:r>
              <w:rPr>
                <w:color w:val="231F20"/>
                <w:w w:val="95"/>
                <w:sz w:val="14"/>
              </w:rPr>
              <w:t>-6.9</w:t>
            </w:r>
          </w:p>
        </w:tc>
        <w:tc>
          <w:tcPr>
            <w:tcW w:w="473" w:type="dxa"/>
            <w:tcBorders>
              <w:bottom w:val="single" w:sz="4" w:space="0" w:color="231F20"/>
            </w:tcBorders>
          </w:tcPr>
          <w:p>
            <w:pPr>
              <w:pStyle w:val="TableParagraph"/>
              <w:spacing w:before="15"/>
              <w:ind w:right="153"/>
              <w:jc w:val="right"/>
              <w:rPr>
                <w:sz w:val="14"/>
              </w:rPr>
            </w:pPr>
            <w:r>
              <w:rPr>
                <w:color w:val="231F20"/>
                <w:w w:val="95"/>
                <w:sz w:val="14"/>
              </w:rPr>
              <w:t>8.8</w:t>
            </w:r>
          </w:p>
        </w:tc>
        <w:tc>
          <w:tcPr>
            <w:tcW w:w="429" w:type="dxa"/>
            <w:tcBorders>
              <w:bottom w:val="single" w:sz="4" w:space="0" w:color="231F20"/>
            </w:tcBorders>
          </w:tcPr>
          <w:p>
            <w:pPr>
              <w:pStyle w:val="TableParagraph"/>
              <w:spacing w:before="15"/>
              <w:ind w:left="65"/>
              <w:jc w:val="left"/>
              <w:rPr>
                <w:sz w:val="14"/>
              </w:rPr>
            </w:pPr>
            <w:r>
              <w:rPr>
                <w:color w:val="231F20"/>
                <w:sz w:val="14"/>
              </w:rPr>
              <w:t>-31.1</w:t>
            </w:r>
          </w:p>
        </w:tc>
        <w:tc>
          <w:tcPr>
            <w:tcW w:w="428" w:type="dxa"/>
            <w:tcBorders>
              <w:bottom w:val="single" w:sz="4" w:space="0" w:color="231F20"/>
            </w:tcBorders>
          </w:tcPr>
          <w:p>
            <w:pPr>
              <w:pStyle w:val="TableParagraph"/>
              <w:spacing w:before="15"/>
              <w:ind w:left="55" w:right="35"/>
              <w:rPr>
                <w:sz w:val="14"/>
              </w:rPr>
            </w:pPr>
            <w:r>
              <w:rPr>
                <w:color w:val="231F20"/>
                <w:sz w:val="14"/>
              </w:rPr>
              <w:t>31.2</w:t>
            </w:r>
          </w:p>
        </w:tc>
        <w:tc>
          <w:tcPr>
            <w:tcW w:w="475" w:type="dxa"/>
            <w:tcBorders>
              <w:bottom w:val="single" w:sz="4" w:space="0" w:color="231F20"/>
            </w:tcBorders>
          </w:tcPr>
          <w:p>
            <w:pPr>
              <w:pStyle w:val="TableParagraph"/>
              <w:spacing w:before="15"/>
              <w:ind w:left="38" w:right="30"/>
              <w:rPr>
                <w:sz w:val="14"/>
              </w:rPr>
            </w:pPr>
            <w:r>
              <w:rPr>
                <w:color w:val="231F20"/>
                <w:sz w:val="14"/>
              </w:rPr>
              <w:t>18.3</w:t>
            </w:r>
          </w:p>
        </w:tc>
        <w:tc>
          <w:tcPr>
            <w:tcW w:w="425" w:type="dxa"/>
            <w:tcBorders>
              <w:bottom w:val="single" w:sz="4" w:space="0" w:color="231F20"/>
            </w:tcBorders>
          </w:tcPr>
          <w:p>
            <w:pPr>
              <w:pStyle w:val="TableParagraph"/>
              <w:spacing w:before="15"/>
              <w:ind w:left="37" w:right="53"/>
              <w:rPr>
                <w:sz w:val="14"/>
              </w:rPr>
            </w:pPr>
            <w:r>
              <w:rPr>
                <w:color w:val="231F20"/>
                <w:sz w:val="14"/>
              </w:rPr>
              <w:t>4.9</w:t>
            </w:r>
          </w:p>
        </w:tc>
        <w:tc>
          <w:tcPr>
            <w:tcW w:w="459" w:type="dxa"/>
            <w:tcBorders>
              <w:bottom w:val="single" w:sz="4" w:space="0" w:color="231F20"/>
            </w:tcBorders>
          </w:tcPr>
          <w:p>
            <w:pPr>
              <w:pStyle w:val="TableParagraph"/>
              <w:spacing w:before="15"/>
              <w:ind w:left="107"/>
              <w:jc w:val="left"/>
              <w:rPr>
                <w:sz w:val="14"/>
              </w:rPr>
            </w:pPr>
            <w:r>
              <w:rPr>
                <w:color w:val="231F20"/>
                <w:sz w:val="14"/>
              </w:rPr>
              <w:t>11.7</w:t>
            </w:r>
          </w:p>
        </w:tc>
      </w:tr>
      <w:tr>
        <w:trPr>
          <w:trHeight w:val="219" w:hRule="exact"/>
        </w:trPr>
        <w:tc>
          <w:tcPr>
            <w:tcW w:w="1036" w:type="dxa"/>
            <w:gridSpan w:val="2"/>
          </w:tcPr>
          <w:p>
            <w:pPr>
              <w:pStyle w:val="TableParagraph"/>
              <w:spacing w:before="23"/>
              <w:ind w:left="3"/>
              <w:jc w:val="left"/>
              <w:rPr>
                <w:rFonts w:ascii="Palatino Linotype"/>
                <w:b/>
                <w:sz w:val="14"/>
              </w:rPr>
            </w:pPr>
            <w:r>
              <w:rPr>
                <w:rFonts w:ascii="Palatino Linotype"/>
                <w:b/>
                <w:color w:val="231F20"/>
                <w:sz w:val="14"/>
              </w:rPr>
              <w:t>Honda</w:t>
            </w:r>
          </w:p>
        </w:tc>
        <w:tc>
          <w:tcPr>
            <w:tcW w:w="378" w:type="dxa"/>
          </w:tcPr>
          <w:p>
            <w:pPr/>
          </w:p>
        </w:tc>
        <w:tc>
          <w:tcPr>
            <w:tcW w:w="432" w:type="dxa"/>
          </w:tcPr>
          <w:p>
            <w:pPr/>
          </w:p>
        </w:tc>
        <w:tc>
          <w:tcPr>
            <w:tcW w:w="408" w:type="dxa"/>
          </w:tcPr>
          <w:p>
            <w:pPr/>
          </w:p>
        </w:tc>
        <w:tc>
          <w:tcPr>
            <w:tcW w:w="400" w:type="dxa"/>
          </w:tcPr>
          <w:p>
            <w:pPr/>
          </w:p>
        </w:tc>
        <w:tc>
          <w:tcPr>
            <w:tcW w:w="383" w:type="dxa"/>
          </w:tcPr>
          <w:p>
            <w:pPr/>
          </w:p>
        </w:tc>
        <w:tc>
          <w:tcPr>
            <w:tcW w:w="397" w:type="dxa"/>
          </w:tcPr>
          <w:p>
            <w:pPr/>
          </w:p>
        </w:tc>
        <w:tc>
          <w:tcPr>
            <w:tcW w:w="416" w:type="dxa"/>
          </w:tcPr>
          <w:p>
            <w:pPr/>
          </w:p>
        </w:tc>
        <w:tc>
          <w:tcPr>
            <w:tcW w:w="424" w:type="dxa"/>
          </w:tcPr>
          <w:p>
            <w:pPr/>
          </w:p>
        </w:tc>
        <w:tc>
          <w:tcPr>
            <w:tcW w:w="427" w:type="dxa"/>
          </w:tcPr>
          <w:p>
            <w:pPr/>
          </w:p>
        </w:tc>
        <w:tc>
          <w:tcPr>
            <w:tcW w:w="403" w:type="dxa"/>
          </w:tcPr>
          <w:p>
            <w:pPr/>
          </w:p>
        </w:tc>
        <w:tc>
          <w:tcPr>
            <w:tcW w:w="428" w:type="dxa"/>
          </w:tcPr>
          <w:p>
            <w:pPr/>
          </w:p>
        </w:tc>
        <w:tc>
          <w:tcPr>
            <w:tcW w:w="416" w:type="dxa"/>
          </w:tcPr>
          <w:p>
            <w:pPr/>
          </w:p>
        </w:tc>
        <w:tc>
          <w:tcPr>
            <w:tcW w:w="438" w:type="dxa"/>
          </w:tcPr>
          <w:p>
            <w:pPr/>
          </w:p>
        </w:tc>
        <w:tc>
          <w:tcPr>
            <w:tcW w:w="451" w:type="dxa"/>
          </w:tcPr>
          <w:p>
            <w:pPr/>
          </w:p>
        </w:tc>
        <w:tc>
          <w:tcPr>
            <w:tcW w:w="447" w:type="dxa"/>
          </w:tcPr>
          <w:p>
            <w:pPr/>
          </w:p>
        </w:tc>
        <w:tc>
          <w:tcPr>
            <w:tcW w:w="443" w:type="dxa"/>
          </w:tcPr>
          <w:p>
            <w:pPr/>
          </w:p>
        </w:tc>
        <w:tc>
          <w:tcPr>
            <w:tcW w:w="413" w:type="dxa"/>
          </w:tcPr>
          <w:p>
            <w:pPr/>
          </w:p>
        </w:tc>
        <w:tc>
          <w:tcPr>
            <w:tcW w:w="473" w:type="dxa"/>
          </w:tcPr>
          <w:p>
            <w:pPr/>
          </w:p>
        </w:tc>
        <w:tc>
          <w:tcPr>
            <w:tcW w:w="429" w:type="dxa"/>
          </w:tcPr>
          <w:p>
            <w:pPr/>
          </w:p>
        </w:tc>
        <w:tc>
          <w:tcPr>
            <w:tcW w:w="428" w:type="dxa"/>
          </w:tcPr>
          <w:p>
            <w:pPr/>
          </w:p>
        </w:tc>
        <w:tc>
          <w:tcPr>
            <w:tcW w:w="475" w:type="dxa"/>
          </w:tcPr>
          <w:p>
            <w:pPr/>
          </w:p>
        </w:tc>
        <w:tc>
          <w:tcPr>
            <w:tcW w:w="425" w:type="dxa"/>
          </w:tcPr>
          <w:p>
            <w:pPr/>
          </w:p>
        </w:tc>
        <w:tc>
          <w:tcPr>
            <w:tcW w:w="459" w:type="dxa"/>
          </w:tcPr>
          <w:p>
            <w:pPr/>
          </w:p>
        </w:tc>
      </w:tr>
      <w:tr>
        <w:trPr>
          <w:trHeight w:val="196" w:hRule="exact"/>
        </w:trPr>
        <w:tc>
          <w:tcPr>
            <w:tcW w:w="1036" w:type="dxa"/>
            <w:gridSpan w:val="2"/>
          </w:tcPr>
          <w:p>
            <w:pPr>
              <w:pStyle w:val="TableParagraph"/>
              <w:spacing w:line="133" w:lineRule="exact"/>
              <w:ind w:left="653"/>
              <w:jc w:val="left"/>
              <w:rPr>
                <w:sz w:val="14"/>
              </w:rPr>
            </w:pPr>
            <w:r>
              <w:rPr>
                <w:color w:val="231F20"/>
                <w:sz w:val="14"/>
              </w:rPr>
              <w:t>Autos</w:t>
            </w:r>
          </w:p>
        </w:tc>
        <w:tc>
          <w:tcPr>
            <w:tcW w:w="2397" w:type="dxa"/>
            <w:gridSpan w:val="6"/>
          </w:tcPr>
          <w:p>
            <w:pPr>
              <w:pStyle w:val="TableParagraph"/>
              <w:spacing w:line="133" w:lineRule="exact"/>
              <w:ind w:right="50"/>
              <w:jc w:val="right"/>
              <w:rPr>
                <w:sz w:val="14"/>
              </w:rPr>
            </w:pPr>
            <w:r>
              <w:rPr>
                <w:color w:val="231F20"/>
                <w:w w:val="95"/>
                <w:sz w:val="14"/>
              </w:rPr>
              <w:t>784.4</w:t>
            </w:r>
          </w:p>
        </w:tc>
        <w:tc>
          <w:tcPr>
            <w:tcW w:w="416" w:type="dxa"/>
          </w:tcPr>
          <w:p>
            <w:pPr>
              <w:pStyle w:val="TableParagraph"/>
              <w:spacing w:line="133" w:lineRule="exact"/>
              <w:ind w:left="26" w:right="34"/>
              <w:rPr>
                <w:sz w:val="14"/>
              </w:rPr>
            </w:pPr>
            <w:r>
              <w:rPr>
                <w:color w:val="231F20"/>
                <w:sz w:val="14"/>
              </w:rPr>
              <w:t>155.0</w:t>
            </w:r>
          </w:p>
        </w:tc>
        <w:tc>
          <w:tcPr>
            <w:tcW w:w="424" w:type="dxa"/>
          </w:tcPr>
          <w:p>
            <w:pPr>
              <w:pStyle w:val="TableParagraph"/>
              <w:spacing w:line="133" w:lineRule="exact"/>
              <w:ind w:left="34" w:right="33"/>
              <w:rPr>
                <w:sz w:val="14"/>
              </w:rPr>
            </w:pPr>
            <w:r>
              <w:rPr>
                <w:color w:val="231F20"/>
                <w:sz w:val="14"/>
              </w:rPr>
              <w:t>136.3</w:t>
            </w:r>
          </w:p>
        </w:tc>
        <w:tc>
          <w:tcPr>
            <w:tcW w:w="427" w:type="dxa"/>
          </w:tcPr>
          <w:p>
            <w:pPr>
              <w:pStyle w:val="TableParagraph"/>
              <w:spacing w:line="133" w:lineRule="exact"/>
              <w:ind w:left="88"/>
              <w:jc w:val="left"/>
              <w:rPr>
                <w:sz w:val="14"/>
              </w:rPr>
            </w:pPr>
            <w:r>
              <w:rPr>
                <w:color w:val="231F20"/>
                <w:sz w:val="14"/>
              </w:rPr>
              <w:t>42.4</w:t>
            </w:r>
          </w:p>
        </w:tc>
        <w:tc>
          <w:tcPr>
            <w:tcW w:w="403" w:type="dxa"/>
          </w:tcPr>
          <w:p>
            <w:pPr>
              <w:pStyle w:val="TableParagraph"/>
              <w:spacing w:line="133" w:lineRule="exact"/>
              <w:ind w:left="87"/>
              <w:jc w:val="left"/>
              <w:rPr>
                <w:sz w:val="14"/>
              </w:rPr>
            </w:pPr>
            <w:r>
              <w:rPr>
                <w:color w:val="231F20"/>
                <w:sz w:val="14"/>
              </w:rPr>
              <w:t>83.6</w:t>
            </w:r>
          </w:p>
        </w:tc>
        <w:tc>
          <w:tcPr>
            <w:tcW w:w="428" w:type="dxa"/>
          </w:tcPr>
          <w:p>
            <w:pPr>
              <w:pStyle w:val="TableParagraph"/>
              <w:spacing w:line="133" w:lineRule="exact"/>
              <w:ind w:left="57" w:right="31"/>
              <w:rPr>
                <w:sz w:val="14"/>
              </w:rPr>
            </w:pPr>
            <w:r>
              <w:rPr>
                <w:color w:val="231F20"/>
                <w:sz w:val="14"/>
              </w:rPr>
              <w:t>27.0</w:t>
            </w:r>
          </w:p>
        </w:tc>
        <w:tc>
          <w:tcPr>
            <w:tcW w:w="416" w:type="dxa"/>
          </w:tcPr>
          <w:p>
            <w:pPr>
              <w:pStyle w:val="TableParagraph"/>
              <w:spacing w:line="133" w:lineRule="exact"/>
              <w:ind w:left="37" w:right="40"/>
              <w:rPr>
                <w:sz w:val="14"/>
              </w:rPr>
            </w:pPr>
            <w:r>
              <w:rPr>
                <w:color w:val="231F20"/>
                <w:sz w:val="14"/>
              </w:rPr>
              <w:t>4.5</w:t>
            </w:r>
          </w:p>
        </w:tc>
        <w:tc>
          <w:tcPr>
            <w:tcW w:w="438" w:type="dxa"/>
          </w:tcPr>
          <w:p>
            <w:pPr>
              <w:pStyle w:val="TableParagraph"/>
              <w:spacing w:line="133" w:lineRule="exact"/>
              <w:ind w:left="73"/>
              <w:jc w:val="left"/>
              <w:rPr>
                <w:sz w:val="14"/>
              </w:rPr>
            </w:pPr>
            <w:r>
              <w:rPr>
                <w:color w:val="231F20"/>
                <w:sz w:val="14"/>
              </w:rPr>
              <w:t>-13.4</w:t>
            </w:r>
          </w:p>
        </w:tc>
        <w:tc>
          <w:tcPr>
            <w:tcW w:w="451" w:type="dxa"/>
          </w:tcPr>
          <w:p>
            <w:pPr>
              <w:pStyle w:val="TableParagraph"/>
              <w:spacing w:line="133" w:lineRule="exact"/>
              <w:ind w:left="57" w:right="57"/>
              <w:rPr>
                <w:sz w:val="14"/>
              </w:rPr>
            </w:pPr>
            <w:r>
              <w:rPr>
                <w:color w:val="231F20"/>
                <w:sz w:val="14"/>
              </w:rPr>
              <w:t>0.9</w:t>
            </w:r>
          </w:p>
        </w:tc>
        <w:tc>
          <w:tcPr>
            <w:tcW w:w="447" w:type="dxa"/>
          </w:tcPr>
          <w:p>
            <w:pPr>
              <w:pStyle w:val="TableParagraph"/>
              <w:spacing w:line="133" w:lineRule="exact"/>
              <w:ind w:right="132"/>
              <w:jc w:val="right"/>
              <w:rPr>
                <w:sz w:val="14"/>
              </w:rPr>
            </w:pPr>
            <w:r>
              <w:rPr>
                <w:color w:val="231F20"/>
                <w:w w:val="95"/>
                <w:sz w:val="14"/>
              </w:rPr>
              <w:t>7.8</w:t>
            </w:r>
          </w:p>
        </w:tc>
        <w:tc>
          <w:tcPr>
            <w:tcW w:w="443" w:type="dxa"/>
          </w:tcPr>
          <w:p>
            <w:pPr>
              <w:pStyle w:val="TableParagraph"/>
              <w:spacing w:line="133" w:lineRule="exact"/>
              <w:ind w:left="48" w:right="34"/>
              <w:rPr>
                <w:sz w:val="14"/>
              </w:rPr>
            </w:pPr>
            <w:r>
              <w:rPr>
                <w:color w:val="231F20"/>
                <w:sz w:val="14"/>
              </w:rPr>
              <w:t>3.1</w:t>
            </w:r>
          </w:p>
        </w:tc>
        <w:tc>
          <w:tcPr>
            <w:tcW w:w="413" w:type="dxa"/>
          </w:tcPr>
          <w:p>
            <w:pPr>
              <w:pStyle w:val="TableParagraph"/>
              <w:spacing w:line="133" w:lineRule="exact"/>
              <w:ind w:right="57"/>
              <w:jc w:val="right"/>
              <w:rPr>
                <w:sz w:val="14"/>
              </w:rPr>
            </w:pPr>
            <w:r>
              <w:rPr>
                <w:color w:val="231F20"/>
                <w:w w:val="95"/>
                <w:sz w:val="14"/>
              </w:rPr>
              <w:t>-36.2</w:t>
            </w:r>
          </w:p>
        </w:tc>
        <w:tc>
          <w:tcPr>
            <w:tcW w:w="473" w:type="dxa"/>
          </w:tcPr>
          <w:p>
            <w:pPr>
              <w:pStyle w:val="TableParagraph"/>
              <w:spacing w:line="133" w:lineRule="exact"/>
              <w:ind w:right="60"/>
              <w:jc w:val="right"/>
              <w:rPr>
                <w:sz w:val="14"/>
              </w:rPr>
            </w:pPr>
            <w:r>
              <w:rPr>
                <w:color w:val="231F20"/>
                <w:w w:val="95"/>
                <w:sz w:val="14"/>
              </w:rPr>
              <w:t>-100.0</w:t>
            </w:r>
          </w:p>
        </w:tc>
        <w:tc>
          <w:tcPr>
            <w:tcW w:w="429" w:type="dxa"/>
          </w:tcPr>
          <w:p>
            <w:pPr/>
          </w:p>
        </w:tc>
        <w:tc>
          <w:tcPr>
            <w:tcW w:w="428" w:type="dxa"/>
          </w:tcPr>
          <w:p>
            <w:pPr/>
          </w:p>
        </w:tc>
        <w:tc>
          <w:tcPr>
            <w:tcW w:w="475" w:type="dxa"/>
          </w:tcPr>
          <w:p>
            <w:pPr/>
          </w:p>
        </w:tc>
        <w:tc>
          <w:tcPr>
            <w:tcW w:w="425" w:type="dxa"/>
          </w:tcPr>
          <w:p>
            <w:pPr/>
          </w:p>
        </w:tc>
        <w:tc>
          <w:tcPr>
            <w:tcW w:w="459" w:type="dxa"/>
          </w:tcPr>
          <w:p>
            <w:pPr/>
          </w:p>
        </w:tc>
      </w:tr>
      <w:tr>
        <w:trPr>
          <w:trHeight w:val="227" w:hRule="exact"/>
        </w:trPr>
        <w:tc>
          <w:tcPr>
            <w:tcW w:w="1036" w:type="dxa"/>
            <w:gridSpan w:val="2"/>
          </w:tcPr>
          <w:p>
            <w:pPr>
              <w:pStyle w:val="TableParagraph"/>
              <w:spacing w:before="15"/>
              <w:ind w:left="418"/>
              <w:jc w:val="left"/>
              <w:rPr>
                <w:sz w:val="14"/>
              </w:rPr>
            </w:pPr>
            <w:r>
              <w:rPr>
                <w:color w:val="231F20"/>
                <w:sz w:val="14"/>
              </w:rPr>
              <w:t>Camiones</w:t>
            </w:r>
          </w:p>
        </w:tc>
        <w:tc>
          <w:tcPr>
            <w:tcW w:w="2397" w:type="dxa"/>
            <w:gridSpan w:val="6"/>
          </w:tcPr>
          <w:p>
            <w:pPr/>
          </w:p>
        </w:tc>
        <w:tc>
          <w:tcPr>
            <w:tcW w:w="416" w:type="dxa"/>
          </w:tcPr>
          <w:p>
            <w:pPr/>
          </w:p>
        </w:tc>
        <w:tc>
          <w:tcPr>
            <w:tcW w:w="424" w:type="dxa"/>
          </w:tcPr>
          <w:p>
            <w:pPr/>
          </w:p>
        </w:tc>
        <w:tc>
          <w:tcPr>
            <w:tcW w:w="427" w:type="dxa"/>
          </w:tcPr>
          <w:p>
            <w:pPr/>
          </w:p>
        </w:tc>
        <w:tc>
          <w:tcPr>
            <w:tcW w:w="403" w:type="dxa"/>
          </w:tcPr>
          <w:p>
            <w:pPr/>
          </w:p>
        </w:tc>
        <w:tc>
          <w:tcPr>
            <w:tcW w:w="428" w:type="dxa"/>
          </w:tcPr>
          <w:p>
            <w:pPr/>
          </w:p>
        </w:tc>
        <w:tc>
          <w:tcPr>
            <w:tcW w:w="416" w:type="dxa"/>
          </w:tcPr>
          <w:p>
            <w:pPr/>
          </w:p>
        </w:tc>
        <w:tc>
          <w:tcPr>
            <w:tcW w:w="438" w:type="dxa"/>
          </w:tcPr>
          <w:p>
            <w:pPr/>
          </w:p>
        </w:tc>
        <w:tc>
          <w:tcPr>
            <w:tcW w:w="451" w:type="dxa"/>
          </w:tcPr>
          <w:p>
            <w:pPr/>
          </w:p>
        </w:tc>
        <w:tc>
          <w:tcPr>
            <w:tcW w:w="447" w:type="dxa"/>
          </w:tcPr>
          <w:p>
            <w:pPr/>
          </w:p>
        </w:tc>
        <w:tc>
          <w:tcPr>
            <w:tcW w:w="443" w:type="dxa"/>
          </w:tcPr>
          <w:p>
            <w:pPr/>
          </w:p>
        </w:tc>
        <w:tc>
          <w:tcPr>
            <w:tcW w:w="413" w:type="dxa"/>
          </w:tcPr>
          <w:p>
            <w:pPr/>
          </w:p>
        </w:tc>
        <w:tc>
          <w:tcPr>
            <w:tcW w:w="473" w:type="dxa"/>
          </w:tcPr>
          <w:p>
            <w:pPr>
              <w:pStyle w:val="TableParagraph"/>
              <w:spacing w:before="15"/>
              <w:ind w:right="85"/>
              <w:jc w:val="right"/>
              <w:rPr>
                <w:sz w:val="14"/>
              </w:rPr>
            </w:pPr>
            <w:r>
              <w:rPr>
                <w:color w:val="231F20"/>
                <w:w w:val="95"/>
                <w:sz w:val="14"/>
              </w:rPr>
              <w:t>370.1</w:t>
            </w:r>
          </w:p>
        </w:tc>
        <w:tc>
          <w:tcPr>
            <w:tcW w:w="429" w:type="dxa"/>
          </w:tcPr>
          <w:p>
            <w:pPr>
              <w:pStyle w:val="TableParagraph"/>
              <w:spacing w:before="15"/>
              <w:ind w:left="100"/>
              <w:jc w:val="left"/>
              <w:rPr>
                <w:sz w:val="14"/>
              </w:rPr>
            </w:pPr>
            <w:r>
              <w:rPr>
                <w:color w:val="231F20"/>
                <w:sz w:val="14"/>
              </w:rPr>
              <w:t>-6.9</w:t>
            </w:r>
          </w:p>
        </w:tc>
        <w:tc>
          <w:tcPr>
            <w:tcW w:w="428" w:type="dxa"/>
          </w:tcPr>
          <w:p>
            <w:pPr>
              <w:pStyle w:val="TableParagraph"/>
              <w:spacing w:before="15"/>
              <w:ind w:left="55" w:right="34"/>
              <w:rPr>
                <w:sz w:val="14"/>
              </w:rPr>
            </w:pPr>
            <w:r>
              <w:rPr>
                <w:color w:val="231F20"/>
                <w:sz w:val="14"/>
              </w:rPr>
              <w:t>-5.3</w:t>
            </w:r>
          </w:p>
        </w:tc>
        <w:tc>
          <w:tcPr>
            <w:tcW w:w="475" w:type="dxa"/>
          </w:tcPr>
          <w:p>
            <w:pPr>
              <w:pStyle w:val="TableParagraph"/>
              <w:spacing w:before="15"/>
              <w:ind w:left="38" w:right="28"/>
              <w:rPr>
                <w:sz w:val="14"/>
              </w:rPr>
            </w:pPr>
            <w:r>
              <w:rPr>
                <w:color w:val="231F20"/>
                <w:sz w:val="14"/>
              </w:rPr>
              <w:t>0.4</w:t>
            </w:r>
          </w:p>
        </w:tc>
        <w:tc>
          <w:tcPr>
            <w:tcW w:w="425" w:type="dxa"/>
          </w:tcPr>
          <w:p>
            <w:pPr>
              <w:pStyle w:val="TableParagraph"/>
              <w:spacing w:before="15"/>
              <w:ind w:left="37" w:right="52"/>
              <w:rPr>
                <w:sz w:val="14"/>
              </w:rPr>
            </w:pPr>
            <w:r>
              <w:rPr>
                <w:color w:val="231F20"/>
                <w:sz w:val="14"/>
              </w:rPr>
              <w:t>39.4</w:t>
            </w:r>
          </w:p>
        </w:tc>
        <w:tc>
          <w:tcPr>
            <w:tcW w:w="459" w:type="dxa"/>
          </w:tcPr>
          <w:p>
            <w:pPr>
              <w:pStyle w:val="TableParagraph"/>
              <w:spacing w:before="15"/>
              <w:ind w:left="141"/>
              <w:jc w:val="left"/>
              <w:rPr>
                <w:sz w:val="14"/>
              </w:rPr>
            </w:pPr>
            <w:r>
              <w:rPr>
                <w:color w:val="231F20"/>
                <w:sz w:val="14"/>
              </w:rPr>
              <w:t>0.0</w:t>
            </w:r>
          </w:p>
        </w:tc>
      </w:tr>
      <w:tr>
        <w:trPr>
          <w:trHeight w:val="209" w:hRule="exact"/>
        </w:trPr>
        <w:tc>
          <w:tcPr>
            <w:tcW w:w="1036" w:type="dxa"/>
            <w:gridSpan w:val="2"/>
            <w:tcBorders>
              <w:bottom w:val="single" w:sz="4" w:space="0" w:color="231F20"/>
            </w:tcBorders>
          </w:tcPr>
          <w:p>
            <w:pPr>
              <w:pStyle w:val="TableParagraph"/>
              <w:spacing w:before="15"/>
              <w:ind w:right="51"/>
              <w:jc w:val="right"/>
              <w:rPr>
                <w:sz w:val="14"/>
              </w:rPr>
            </w:pPr>
            <w:r>
              <w:rPr>
                <w:color w:val="231F20"/>
                <w:sz w:val="14"/>
              </w:rPr>
              <w:t>Total</w:t>
            </w:r>
          </w:p>
        </w:tc>
        <w:tc>
          <w:tcPr>
            <w:tcW w:w="2397" w:type="dxa"/>
            <w:gridSpan w:val="6"/>
            <w:tcBorders>
              <w:bottom w:val="single" w:sz="4" w:space="0" w:color="231F20"/>
            </w:tcBorders>
          </w:tcPr>
          <w:p>
            <w:pPr>
              <w:pStyle w:val="TableParagraph"/>
              <w:spacing w:before="15"/>
              <w:ind w:right="50"/>
              <w:jc w:val="right"/>
              <w:rPr>
                <w:sz w:val="14"/>
              </w:rPr>
            </w:pPr>
            <w:r>
              <w:rPr>
                <w:color w:val="231F20"/>
                <w:w w:val="95"/>
                <w:sz w:val="14"/>
              </w:rPr>
              <w:t>784.4</w:t>
            </w:r>
          </w:p>
        </w:tc>
        <w:tc>
          <w:tcPr>
            <w:tcW w:w="416" w:type="dxa"/>
            <w:tcBorders>
              <w:bottom w:val="single" w:sz="4" w:space="0" w:color="231F20"/>
            </w:tcBorders>
          </w:tcPr>
          <w:p>
            <w:pPr>
              <w:pStyle w:val="TableParagraph"/>
              <w:spacing w:before="15"/>
              <w:ind w:left="26" w:right="33"/>
              <w:rPr>
                <w:sz w:val="14"/>
              </w:rPr>
            </w:pPr>
            <w:r>
              <w:rPr>
                <w:color w:val="231F20"/>
                <w:sz w:val="14"/>
              </w:rPr>
              <w:t>155.0</w:t>
            </w:r>
          </w:p>
        </w:tc>
        <w:tc>
          <w:tcPr>
            <w:tcW w:w="424" w:type="dxa"/>
            <w:tcBorders>
              <w:bottom w:val="single" w:sz="4" w:space="0" w:color="231F20"/>
            </w:tcBorders>
          </w:tcPr>
          <w:p>
            <w:pPr>
              <w:pStyle w:val="TableParagraph"/>
              <w:spacing w:before="15"/>
              <w:ind w:left="34" w:right="32"/>
              <w:rPr>
                <w:sz w:val="14"/>
              </w:rPr>
            </w:pPr>
            <w:r>
              <w:rPr>
                <w:color w:val="231F20"/>
                <w:sz w:val="14"/>
              </w:rPr>
              <w:t>136.3</w:t>
            </w:r>
          </w:p>
        </w:tc>
        <w:tc>
          <w:tcPr>
            <w:tcW w:w="427" w:type="dxa"/>
            <w:tcBorders>
              <w:bottom w:val="single" w:sz="4" w:space="0" w:color="231F20"/>
            </w:tcBorders>
          </w:tcPr>
          <w:p>
            <w:pPr>
              <w:pStyle w:val="TableParagraph"/>
              <w:spacing w:before="15"/>
              <w:ind w:left="88"/>
              <w:jc w:val="left"/>
              <w:rPr>
                <w:sz w:val="14"/>
              </w:rPr>
            </w:pPr>
            <w:r>
              <w:rPr>
                <w:color w:val="231F20"/>
                <w:sz w:val="14"/>
              </w:rPr>
              <w:t>42.4</w:t>
            </w:r>
          </w:p>
        </w:tc>
        <w:tc>
          <w:tcPr>
            <w:tcW w:w="403" w:type="dxa"/>
            <w:tcBorders>
              <w:bottom w:val="single" w:sz="4" w:space="0" w:color="231F20"/>
            </w:tcBorders>
          </w:tcPr>
          <w:p>
            <w:pPr>
              <w:pStyle w:val="TableParagraph"/>
              <w:spacing w:before="15"/>
              <w:ind w:left="87"/>
              <w:jc w:val="left"/>
              <w:rPr>
                <w:sz w:val="14"/>
              </w:rPr>
            </w:pPr>
            <w:r>
              <w:rPr>
                <w:color w:val="231F20"/>
                <w:sz w:val="14"/>
              </w:rPr>
              <w:t>83.6</w:t>
            </w:r>
          </w:p>
        </w:tc>
        <w:tc>
          <w:tcPr>
            <w:tcW w:w="428" w:type="dxa"/>
            <w:tcBorders>
              <w:bottom w:val="single" w:sz="4" w:space="0" w:color="231F20"/>
            </w:tcBorders>
          </w:tcPr>
          <w:p>
            <w:pPr>
              <w:pStyle w:val="TableParagraph"/>
              <w:spacing w:before="15"/>
              <w:ind w:left="57" w:right="30"/>
              <w:rPr>
                <w:sz w:val="14"/>
              </w:rPr>
            </w:pPr>
            <w:r>
              <w:rPr>
                <w:color w:val="231F20"/>
                <w:sz w:val="14"/>
              </w:rPr>
              <w:t>27.0</w:t>
            </w:r>
          </w:p>
        </w:tc>
        <w:tc>
          <w:tcPr>
            <w:tcW w:w="416" w:type="dxa"/>
            <w:tcBorders>
              <w:bottom w:val="single" w:sz="4" w:space="0" w:color="231F20"/>
            </w:tcBorders>
          </w:tcPr>
          <w:p>
            <w:pPr>
              <w:pStyle w:val="TableParagraph"/>
              <w:spacing w:before="15"/>
              <w:ind w:left="37" w:right="39"/>
              <w:rPr>
                <w:sz w:val="14"/>
              </w:rPr>
            </w:pPr>
            <w:r>
              <w:rPr>
                <w:color w:val="231F20"/>
                <w:sz w:val="14"/>
              </w:rPr>
              <w:t>4.5</w:t>
            </w:r>
          </w:p>
        </w:tc>
        <w:tc>
          <w:tcPr>
            <w:tcW w:w="438" w:type="dxa"/>
            <w:tcBorders>
              <w:bottom w:val="single" w:sz="4" w:space="0" w:color="231F20"/>
            </w:tcBorders>
          </w:tcPr>
          <w:p>
            <w:pPr>
              <w:pStyle w:val="TableParagraph"/>
              <w:spacing w:before="15"/>
              <w:ind w:left="74"/>
              <w:jc w:val="left"/>
              <w:rPr>
                <w:sz w:val="14"/>
              </w:rPr>
            </w:pPr>
            <w:r>
              <w:rPr>
                <w:color w:val="231F20"/>
                <w:sz w:val="14"/>
              </w:rPr>
              <w:t>-13.4</w:t>
            </w:r>
          </w:p>
        </w:tc>
        <w:tc>
          <w:tcPr>
            <w:tcW w:w="451" w:type="dxa"/>
            <w:tcBorders>
              <w:bottom w:val="single" w:sz="4" w:space="0" w:color="231F20"/>
            </w:tcBorders>
          </w:tcPr>
          <w:p>
            <w:pPr>
              <w:pStyle w:val="TableParagraph"/>
              <w:spacing w:before="15"/>
              <w:ind w:left="57" w:right="58"/>
              <w:rPr>
                <w:sz w:val="14"/>
              </w:rPr>
            </w:pPr>
            <w:r>
              <w:rPr>
                <w:color w:val="231F20"/>
                <w:sz w:val="14"/>
              </w:rPr>
              <w:t>0.9</w:t>
            </w:r>
          </w:p>
        </w:tc>
        <w:tc>
          <w:tcPr>
            <w:tcW w:w="447" w:type="dxa"/>
            <w:tcBorders>
              <w:bottom w:val="single" w:sz="4" w:space="0" w:color="231F20"/>
            </w:tcBorders>
          </w:tcPr>
          <w:p>
            <w:pPr>
              <w:pStyle w:val="TableParagraph"/>
              <w:spacing w:before="15"/>
              <w:ind w:right="136"/>
              <w:jc w:val="right"/>
              <w:rPr>
                <w:sz w:val="14"/>
              </w:rPr>
            </w:pPr>
            <w:r>
              <w:rPr>
                <w:color w:val="231F20"/>
                <w:w w:val="95"/>
                <w:sz w:val="14"/>
              </w:rPr>
              <w:t>7.8</w:t>
            </w:r>
          </w:p>
        </w:tc>
        <w:tc>
          <w:tcPr>
            <w:tcW w:w="443" w:type="dxa"/>
            <w:tcBorders>
              <w:bottom w:val="single" w:sz="4" w:space="0" w:color="231F20"/>
            </w:tcBorders>
          </w:tcPr>
          <w:p>
            <w:pPr>
              <w:pStyle w:val="TableParagraph"/>
              <w:spacing w:before="15"/>
              <w:ind w:left="45" w:right="39"/>
              <w:rPr>
                <w:sz w:val="14"/>
              </w:rPr>
            </w:pPr>
            <w:r>
              <w:rPr>
                <w:color w:val="231F20"/>
                <w:sz w:val="14"/>
              </w:rPr>
              <w:t>3.1</w:t>
            </w:r>
          </w:p>
        </w:tc>
        <w:tc>
          <w:tcPr>
            <w:tcW w:w="413" w:type="dxa"/>
            <w:tcBorders>
              <w:bottom w:val="single" w:sz="4" w:space="0" w:color="231F20"/>
            </w:tcBorders>
          </w:tcPr>
          <w:p>
            <w:pPr>
              <w:pStyle w:val="TableParagraph"/>
              <w:spacing w:before="15"/>
              <w:ind w:right="61"/>
              <w:jc w:val="right"/>
              <w:rPr>
                <w:sz w:val="14"/>
              </w:rPr>
            </w:pPr>
            <w:r>
              <w:rPr>
                <w:color w:val="231F20"/>
                <w:w w:val="95"/>
                <w:sz w:val="14"/>
              </w:rPr>
              <w:t>-17.0</w:t>
            </w:r>
          </w:p>
        </w:tc>
        <w:tc>
          <w:tcPr>
            <w:tcW w:w="473" w:type="dxa"/>
            <w:tcBorders>
              <w:bottom w:val="single" w:sz="4" w:space="0" w:color="231F20"/>
            </w:tcBorders>
          </w:tcPr>
          <w:p>
            <w:pPr>
              <w:pStyle w:val="TableParagraph"/>
              <w:spacing w:before="15"/>
              <w:ind w:right="89"/>
              <w:jc w:val="right"/>
              <w:rPr>
                <w:sz w:val="14"/>
              </w:rPr>
            </w:pPr>
            <w:r>
              <w:rPr>
                <w:color w:val="231F20"/>
                <w:w w:val="95"/>
                <w:sz w:val="14"/>
              </w:rPr>
              <w:t>154.5</w:t>
            </w:r>
          </w:p>
        </w:tc>
        <w:tc>
          <w:tcPr>
            <w:tcW w:w="429" w:type="dxa"/>
            <w:tcBorders>
              <w:bottom w:val="single" w:sz="4" w:space="0" w:color="231F20"/>
            </w:tcBorders>
          </w:tcPr>
          <w:p>
            <w:pPr>
              <w:pStyle w:val="TableParagraph"/>
              <w:spacing w:before="15"/>
              <w:ind w:left="95"/>
              <w:jc w:val="left"/>
              <w:rPr>
                <w:sz w:val="14"/>
              </w:rPr>
            </w:pPr>
            <w:r>
              <w:rPr>
                <w:color w:val="231F20"/>
                <w:sz w:val="14"/>
              </w:rPr>
              <w:t>-6.9</w:t>
            </w:r>
          </w:p>
        </w:tc>
        <w:tc>
          <w:tcPr>
            <w:tcW w:w="428" w:type="dxa"/>
            <w:tcBorders>
              <w:bottom w:val="single" w:sz="4" w:space="0" w:color="231F20"/>
            </w:tcBorders>
          </w:tcPr>
          <w:p>
            <w:pPr>
              <w:pStyle w:val="TableParagraph"/>
              <w:spacing w:before="15"/>
              <w:ind w:left="52" w:right="39"/>
              <w:rPr>
                <w:sz w:val="14"/>
              </w:rPr>
            </w:pPr>
            <w:r>
              <w:rPr>
                <w:color w:val="231F20"/>
                <w:sz w:val="14"/>
              </w:rPr>
              <w:t>-5.3</w:t>
            </w:r>
          </w:p>
        </w:tc>
        <w:tc>
          <w:tcPr>
            <w:tcW w:w="475" w:type="dxa"/>
            <w:tcBorders>
              <w:bottom w:val="single" w:sz="4" w:space="0" w:color="231F20"/>
            </w:tcBorders>
          </w:tcPr>
          <w:p>
            <w:pPr>
              <w:pStyle w:val="TableParagraph"/>
              <w:spacing w:before="15"/>
              <w:ind w:left="36" w:right="35"/>
              <w:rPr>
                <w:sz w:val="14"/>
              </w:rPr>
            </w:pPr>
            <w:r>
              <w:rPr>
                <w:color w:val="231F20"/>
                <w:sz w:val="14"/>
              </w:rPr>
              <w:t>0.4</w:t>
            </w:r>
          </w:p>
        </w:tc>
        <w:tc>
          <w:tcPr>
            <w:tcW w:w="425" w:type="dxa"/>
            <w:tcBorders>
              <w:bottom w:val="single" w:sz="4" w:space="0" w:color="231F20"/>
            </w:tcBorders>
          </w:tcPr>
          <w:p>
            <w:pPr>
              <w:pStyle w:val="TableParagraph"/>
              <w:spacing w:before="15"/>
              <w:ind w:left="32" w:right="55"/>
              <w:rPr>
                <w:sz w:val="14"/>
              </w:rPr>
            </w:pPr>
            <w:r>
              <w:rPr>
                <w:color w:val="231F20"/>
                <w:sz w:val="14"/>
              </w:rPr>
              <w:t>39.4</w:t>
            </w:r>
          </w:p>
        </w:tc>
        <w:tc>
          <w:tcPr>
            <w:tcW w:w="459" w:type="dxa"/>
            <w:tcBorders>
              <w:bottom w:val="single" w:sz="4" w:space="0" w:color="231F20"/>
            </w:tcBorders>
          </w:tcPr>
          <w:p>
            <w:pPr>
              <w:pStyle w:val="TableParagraph"/>
              <w:spacing w:before="15"/>
              <w:ind w:left="137"/>
              <w:jc w:val="left"/>
              <w:rPr>
                <w:sz w:val="14"/>
              </w:rPr>
            </w:pPr>
            <w:r>
              <w:rPr>
                <w:color w:val="231F20"/>
                <w:sz w:val="14"/>
              </w:rPr>
              <w:t>0.0</w:t>
            </w:r>
          </w:p>
        </w:tc>
      </w:tr>
      <w:tr>
        <w:trPr>
          <w:trHeight w:val="219" w:hRule="exact"/>
        </w:trPr>
        <w:tc>
          <w:tcPr>
            <w:tcW w:w="1036" w:type="dxa"/>
            <w:gridSpan w:val="2"/>
          </w:tcPr>
          <w:p>
            <w:pPr>
              <w:pStyle w:val="TableParagraph"/>
              <w:spacing w:before="23"/>
              <w:jc w:val="left"/>
              <w:rPr>
                <w:rFonts w:ascii="Palatino Linotype"/>
                <w:b/>
                <w:sz w:val="14"/>
              </w:rPr>
            </w:pPr>
            <w:r>
              <w:rPr>
                <w:rFonts w:ascii="Palatino Linotype"/>
                <w:b/>
                <w:color w:val="231F20"/>
                <w:sz w:val="14"/>
              </w:rPr>
              <w:t>Nissan</w:t>
            </w:r>
          </w:p>
        </w:tc>
        <w:tc>
          <w:tcPr>
            <w:tcW w:w="378" w:type="dxa"/>
          </w:tcPr>
          <w:p>
            <w:pPr/>
          </w:p>
        </w:tc>
        <w:tc>
          <w:tcPr>
            <w:tcW w:w="432" w:type="dxa"/>
          </w:tcPr>
          <w:p>
            <w:pPr/>
          </w:p>
        </w:tc>
        <w:tc>
          <w:tcPr>
            <w:tcW w:w="408" w:type="dxa"/>
          </w:tcPr>
          <w:p>
            <w:pPr/>
          </w:p>
        </w:tc>
        <w:tc>
          <w:tcPr>
            <w:tcW w:w="400" w:type="dxa"/>
          </w:tcPr>
          <w:p>
            <w:pPr/>
          </w:p>
        </w:tc>
        <w:tc>
          <w:tcPr>
            <w:tcW w:w="383" w:type="dxa"/>
          </w:tcPr>
          <w:p>
            <w:pPr/>
          </w:p>
        </w:tc>
        <w:tc>
          <w:tcPr>
            <w:tcW w:w="397" w:type="dxa"/>
          </w:tcPr>
          <w:p>
            <w:pPr/>
          </w:p>
        </w:tc>
        <w:tc>
          <w:tcPr>
            <w:tcW w:w="416" w:type="dxa"/>
          </w:tcPr>
          <w:p>
            <w:pPr/>
          </w:p>
        </w:tc>
        <w:tc>
          <w:tcPr>
            <w:tcW w:w="424" w:type="dxa"/>
          </w:tcPr>
          <w:p>
            <w:pPr/>
          </w:p>
        </w:tc>
        <w:tc>
          <w:tcPr>
            <w:tcW w:w="427" w:type="dxa"/>
          </w:tcPr>
          <w:p>
            <w:pPr/>
          </w:p>
        </w:tc>
        <w:tc>
          <w:tcPr>
            <w:tcW w:w="403" w:type="dxa"/>
          </w:tcPr>
          <w:p>
            <w:pPr/>
          </w:p>
        </w:tc>
        <w:tc>
          <w:tcPr>
            <w:tcW w:w="428" w:type="dxa"/>
          </w:tcPr>
          <w:p>
            <w:pPr/>
          </w:p>
        </w:tc>
        <w:tc>
          <w:tcPr>
            <w:tcW w:w="416" w:type="dxa"/>
          </w:tcPr>
          <w:p>
            <w:pPr/>
          </w:p>
        </w:tc>
        <w:tc>
          <w:tcPr>
            <w:tcW w:w="438" w:type="dxa"/>
          </w:tcPr>
          <w:p>
            <w:pPr/>
          </w:p>
        </w:tc>
        <w:tc>
          <w:tcPr>
            <w:tcW w:w="451" w:type="dxa"/>
          </w:tcPr>
          <w:p>
            <w:pPr/>
          </w:p>
        </w:tc>
        <w:tc>
          <w:tcPr>
            <w:tcW w:w="447" w:type="dxa"/>
          </w:tcPr>
          <w:p>
            <w:pPr/>
          </w:p>
        </w:tc>
        <w:tc>
          <w:tcPr>
            <w:tcW w:w="443" w:type="dxa"/>
          </w:tcPr>
          <w:p>
            <w:pPr/>
          </w:p>
        </w:tc>
        <w:tc>
          <w:tcPr>
            <w:tcW w:w="413" w:type="dxa"/>
          </w:tcPr>
          <w:p>
            <w:pPr/>
          </w:p>
        </w:tc>
        <w:tc>
          <w:tcPr>
            <w:tcW w:w="473" w:type="dxa"/>
          </w:tcPr>
          <w:p>
            <w:pPr/>
          </w:p>
        </w:tc>
        <w:tc>
          <w:tcPr>
            <w:tcW w:w="429" w:type="dxa"/>
          </w:tcPr>
          <w:p>
            <w:pPr/>
          </w:p>
        </w:tc>
        <w:tc>
          <w:tcPr>
            <w:tcW w:w="428" w:type="dxa"/>
          </w:tcPr>
          <w:p>
            <w:pPr/>
          </w:p>
        </w:tc>
        <w:tc>
          <w:tcPr>
            <w:tcW w:w="475" w:type="dxa"/>
          </w:tcPr>
          <w:p>
            <w:pPr/>
          </w:p>
        </w:tc>
        <w:tc>
          <w:tcPr>
            <w:tcW w:w="425" w:type="dxa"/>
          </w:tcPr>
          <w:p>
            <w:pPr/>
          </w:p>
        </w:tc>
        <w:tc>
          <w:tcPr>
            <w:tcW w:w="459" w:type="dxa"/>
          </w:tcPr>
          <w:p>
            <w:pPr/>
          </w:p>
        </w:tc>
      </w:tr>
      <w:tr>
        <w:trPr>
          <w:trHeight w:val="196" w:hRule="exact"/>
        </w:trPr>
        <w:tc>
          <w:tcPr>
            <w:tcW w:w="1036" w:type="dxa"/>
            <w:gridSpan w:val="2"/>
          </w:tcPr>
          <w:p>
            <w:pPr>
              <w:pStyle w:val="TableParagraph"/>
              <w:spacing w:line="133" w:lineRule="exact"/>
              <w:ind w:left="650"/>
              <w:jc w:val="left"/>
              <w:rPr>
                <w:sz w:val="14"/>
              </w:rPr>
            </w:pPr>
            <w:r>
              <w:rPr>
                <w:color w:val="231F20"/>
                <w:sz w:val="14"/>
              </w:rPr>
              <w:t>Autos</w:t>
            </w:r>
          </w:p>
        </w:tc>
        <w:tc>
          <w:tcPr>
            <w:tcW w:w="378" w:type="dxa"/>
          </w:tcPr>
          <w:p>
            <w:pPr>
              <w:pStyle w:val="TableParagraph"/>
              <w:spacing w:line="133" w:lineRule="exact"/>
              <w:ind w:left="62"/>
              <w:jc w:val="left"/>
              <w:rPr>
                <w:sz w:val="14"/>
              </w:rPr>
            </w:pPr>
            <w:r>
              <w:rPr>
                <w:color w:val="231F20"/>
                <w:sz w:val="14"/>
              </w:rPr>
              <w:t>-0.3</w:t>
            </w:r>
          </w:p>
        </w:tc>
        <w:tc>
          <w:tcPr>
            <w:tcW w:w="432" w:type="dxa"/>
          </w:tcPr>
          <w:p>
            <w:pPr>
              <w:pStyle w:val="TableParagraph"/>
              <w:spacing w:line="133" w:lineRule="exact"/>
              <w:ind w:left="61" w:right="37"/>
              <w:rPr>
                <w:sz w:val="14"/>
              </w:rPr>
            </w:pPr>
            <w:r>
              <w:rPr>
                <w:color w:val="231F20"/>
                <w:sz w:val="14"/>
              </w:rPr>
              <w:t>24.0</w:t>
            </w:r>
          </w:p>
        </w:tc>
        <w:tc>
          <w:tcPr>
            <w:tcW w:w="408" w:type="dxa"/>
          </w:tcPr>
          <w:p>
            <w:pPr>
              <w:pStyle w:val="TableParagraph"/>
              <w:spacing w:line="133" w:lineRule="exact"/>
              <w:ind w:left="35" w:right="36"/>
              <w:rPr>
                <w:sz w:val="14"/>
              </w:rPr>
            </w:pPr>
            <w:r>
              <w:rPr>
                <w:color w:val="231F20"/>
                <w:sz w:val="14"/>
              </w:rPr>
              <w:t>13.0</w:t>
            </w:r>
          </w:p>
        </w:tc>
        <w:tc>
          <w:tcPr>
            <w:tcW w:w="400" w:type="dxa"/>
          </w:tcPr>
          <w:p>
            <w:pPr>
              <w:pStyle w:val="TableParagraph"/>
              <w:spacing w:line="133" w:lineRule="exact"/>
              <w:ind w:left="31" w:right="31"/>
              <w:rPr>
                <w:sz w:val="14"/>
              </w:rPr>
            </w:pPr>
            <w:r>
              <w:rPr>
                <w:color w:val="231F20"/>
                <w:sz w:val="14"/>
              </w:rPr>
              <w:t>4.3</w:t>
            </w:r>
          </w:p>
        </w:tc>
        <w:tc>
          <w:tcPr>
            <w:tcW w:w="383" w:type="dxa"/>
          </w:tcPr>
          <w:p>
            <w:pPr>
              <w:pStyle w:val="TableParagraph"/>
              <w:spacing w:line="133" w:lineRule="exact"/>
              <w:ind w:left="27" w:right="17"/>
              <w:rPr>
                <w:sz w:val="14"/>
              </w:rPr>
            </w:pPr>
            <w:r>
              <w:rPr>
                <w:color w:val="231F20"/>
                <w:sz w:val="14"/>
              </w:rPr>
              <w:t>-42.4</w:t>
            </w:r>
          </w:p>
        </w:tc>
        <w:tc>
          <w:tcPr>
            <w:tcW w:w="397" w:type="dxa"/>
          </w:tcPr>
          <w:p>
            <w:pPr>
              <w:pStyle w:val="TableParagraph"/>
              <w:spacing w:line="133" w:lineRule="exact"/>
              <w:ind w:left="11" w:right="25"/>
              <w:rPr>
                <w:sz w:val="14"/>
              </w:rPr>
            </w:pPr>
            <w:r>
              <w:rPr>
                <w:color w:val="231F20"/>
                <w:sz w:val="14"/>
              </w:rPr>
              <w:t>29.9</w:t>
            </w:r>
          </w:p>
        </w:tc>
        <w:tc>
          <w:tcPr>
            <w:tcW w:w="416" w:type="dxa"/>
          </w:tcPr>
          <w:p>
            <w:pPr>
              <w:pStyle w:val="TableParagraph"/>
              <w:spacing w:line="133" w:lineRule="exact"/>
              <w:ind w:left="19" w:right="34"/>
              <w:rPr>
                <w:sz w:val="14"/>
              </w:rPr>
            </w:pPr>
            <w:r>
              <w:rPr>
                <w:color w:val="231F20"/>
                <w:sz w:val="14"/>
              </w:rPr>
              <w:t>20.6</w:t>
            </w:r>
          </w:p>
        </w:tc>
        <w:tc>
          <w:tcPr>
            <w:tcW w:w="424" w:type="dxa"/>
          </w:tcPr>
          <w:p>
            <w:pPr>
              <w:pStyle w:val="TableParagraph"/>
              <w:spacing w:line="133" w:lineRule="exact"/>
              <w:ind w:left="30" w:right="33"/>
              <w:rPr>
                <w:sz w:val="14"/>
              </w:rPr>
            </w:pPr>
            <w:r>
              <w:rPr>
                <w:color w:val="231F20"/>
                <w:sz w:val="14"/>
              </w:rPr>
              <w:t>10.9</w:t>
            </w:r>
          </w:p>
        </w:tc>
        <w:tc>
          <w:tcPr>
            <w:tcW w:w="427" w:type="dxa"/>
          </w:tcPr>
          <w:p>
            <w:pPr>
              <w:pStyle w:val="TableParagraph"/>
              <w:spacing w:line="133" w:lineRule="exact"/>
              <w:ind w:left="118"/>
              <w:jc w:val="left"/>
              <w:rPr>
                <w:sz w:val="14"/>
              </w:rPr>
            </w:pPr>
            <w:r>
              <w:rPr>
                <w:color w:val="231F20"/>
                <w:sz w:val="14"/>
              </w:rPr>
              <w:t>2.5</w:t>
            </w:r>
          </w:p>
        </w:tc>
        <w:tc>
          <w:tcPr>
            <w:tcW w:w="403" w:type="dxa"/>
          </w:tcPr>
          <w:p>
            <w:pPr>
              <w:pStyle w:val="TableParagraph"/>
              <w:spacing w:line="133" w:lineRule="exact"/>
              <w:ind w:left="83"/>
              <w:jc w:val="left"/>
              <w:rPr>
                <w:sz w:val="14"/>
              </w:rPr>
            </w:pPr>
            <w:r>
              <w:rPr>
                <w:color w:val="231F20"/>
                <w:sz w:val="14"/>
              </w:rPr>
              <w:t>82.8</w:t>
            </w:r>
          </w:p>
        </w:tc>
        <w:tc>
          <w:tcPr>
            <w:tcW w:w="428" w:type="dxa"/>
          </w:tcPr>
          <w:p>
            <w:pPr>
              <w:pStyle w:val="TableParagraph"/>
              <w:spacing w:line="133" w:lineRule="exact"/>
              <w:ind w:left="55" w:right="36"/>
              <w:rPr>
                <w:sz w:val="14"/>
              </w:rPr>
            </w:pPr>
            <w:r>
              <w:rPr>
                <w:color w:val="231F20"/>
                <w:sz w:val="14"/>
              </w:rPr>
              <w:t>8.9</w:t>
            </w:r>
          </w:p>
        </w:tc>
        <w:tc>
          <w:tcPr>
            <w:tcW w:w="416" w:type="dxa"/>
          </w:tcPr>
          <w:p>
            <w:pPr>
              <w:pStyle w:val="TableParagraph"/>
              <w:spacing w:line="133" w:lineRule="exact"/>
              <w:ind w:left="35" w:right="45"/>
              <w:rPr>
                <w:sz w:val="14"/>
              </w:rPr>
            </w:pPr>
            <w:r>
              <w:rPr>
                <w:color w:val="231F20"/>
                <w:sz w:val="14"/>
              </w:rPr>
              <w:t>1.8</w:t>
            </w:r>
          </w:p>
        </w:tc>
        <w:tc>
          <w:tcPr>
            <w:tcW w:w="438" w:type="dxa"/>
          </w:tcPr>
          <w:p>
            <w:pPr>
              <w:pStyle w:val="TableParagraph"/>
              <w:spacing w:line="133" w:lineRule="exact"/>
              <w:ind w:left="70"/>
              <w:jc w:val="left"/>
              <w:rPr>
                <w:sz w:val="14"/>
              </w:rPr>
            </w:pPr>
            <w:r>
              <w:rPr>
                <w:color w:val="231F20"/>
                <w:sz w:val="14"/>
              </w:rPr>
              <w:t>-13.0</w:t>
            </w:r>
          </w:p>
        </w:tc>
        <w:tc>
          <w:tcPr>
            <w:tcW w:w="451" w:type="dxa"/>
          </w:tcPr>
          <w:p>
            <w:pPr>
              <w:pStyle w:val="TableParagraph"/>
              <w:spacing w:line="133" w:lineRule="exact"/>
              <w:ind w:left="54" w:right="61"/>
              <w:rPr>
                <w:sz w:val="14"/>
              </w:rPr>
            </w:pPr>
            <w:r>
              <w:rPr>
                <w:color w:val="231F20"/>
                <w:sz w:val="14"/>
              </w:rPr>
              <w:t>6.6</w:t>
            </w:r>
          </w:p>
        </w:tc>
        <w:tc>
          <w:tcPr>
            <w:tcW w:w="447" w:type="dxa"/>
          </w:tcPr>
          <w:p>
            <w:pPr>
              <w:pStyle w:val="TableParagraph"/>
              <w:spacing w:line="133" w:lineRule="exact"/>
              <w:ind w:right="102"/>
              <w:jc w:val="right"/>
              <w:rPr>
                <w:sz w:val="14"/>
              </w:rPr>
            </w:pPr>
            <w:r>
              <w:rPr>
                <w:color w:val="231F20"/>
                <w:w w:val="95"/>
                <w:sz w:val="14"/>
              </w:rPr>
              <w:t>10.7</w:t>
            </w:r>
          </w:p>
        </w:tc>
        <w:tc>
          <w:tcPr>
            <w:tcW w:w="443" w:type="dxa"/>
          </w:tcPr>
          <w:p>
            <w:pPr>
              <w:pStyle w:val="TableParagraph"/>
              <w:spacing w:line="133" w:lineRule="exact"/>
              <w:ind w:left="46" w:right="39"/>
              <w:rPr>
                <w:sz w:val="14"/>
              </w:rPr>
            </w:pPr>
            <w:r>
              <w:rPr>
                <w:color w:val="231F20"/>
                <w:sz w:val="14"/>
              </w:rPr>
              <w:t>13.4</w:t>
            </w:r>
          </w:p>
        </w:tc>
        <w:tc>
          <w:tcPr>
            <w:tcW w:w="413" w:type="dxa"/>
          </w:tcPr>
          <w:p>
            <w:pPr>
              <w:pStyle w:val="TableParagraph"/>
              <w:spacing w:line="133" w:lineRule="exact"/>
              <w:ind w:right="85"/>
              <w:jc w:val="right"/>
              <w:rPr>
                <w:sz w:val="14"/>
              </w:rPr>
            </w:pPr>
            <w:r>
              <w:rPr>
                <w:color w:val="231F20"/>
                <w:w w:val="95"/>
                <w:sz w:val="14"/>
              </w:rPr>
              <w:t>26.4</w:t>
            </w:r>
          </w:p>
        </w:tc>
        <w:tc>
          <w:tcPr>
            <w:tcW w:w="473" w:type="dxa"/>
          </w:tcPr>
          <w:p>
            <w:pPr>
              <w:pStyle w:val="TableParagraph"/>
              <w:spacing w:line="133" w:lineRule="exact"/>
              <w:ind w:right="97"/>
              <w:jc w:val="right"/>
              <w:rPr>
                <w:sz w:val="14"/>
              </w:rPr>
            </w:pPr>
            <w:r>
              <w:rPr>
                <w:color w:val="231F20"/>
                <w:w w:val="95"/>
                <w:sz w:val="14"/>
              </w:rPr>
              <w:t>-10.7</w:t>
            </w:r>
          </w:p>
        </w:tc>
        <w:tc>
          <w:tcPr>
            <w:tcW w:w="429" w:type="dxa"/>
          </w:tcPr>
          <w:p>
            <w:pPr>
              <w:pStyle w:val="TableParagraph"/>
              <w:spacing w:line="133" w:lineRule="exact"/>
              <w:ind w:left="62"/>
              <w:jc w:val="left"/>
              <w:rPr>
                <w:sz w:val="14"/>
              </w:rPr>
            </w:pPr>
            <w:r>
              <w:rPr>
                <w:color w:val="231F20"/>
                <w:sz w:val="14"/>
              </w:rPr>
              <w:t>-17.7</w:t>
            </w:r>
          </w:p>
        </w:tc>
        <w:tc>
          <w:tcPr>
            <w:tcW w:w="428" w:type="dxa"/>
          </w:tcPr>
          <w:p>
            <w:pPr>
              <w:pStyle w:val="TableParagraph"/>
              <w:spacing w:line="133" w:lineRule="exact"/>
              <w:ind w:left="53" w:right="39"/>
              <w:rPr>
                <w:sz w:val="14"/>
              </w:rPr>
            </w:pPr>
            <w:r>
              <w:rPr>
                <w:color w:val="231F20"/>
                <w:sz w:val="14"/>
              </w:rPr>
              <w:t>17.7</w:t>
            </w:r>
          </w:p>
        </w:tc>
        <w:tc>
          <w:tcPr>
            <w:tcW w:w="475" w:type="dxa"/>
          </w:tcPr>
          <w:p>
            <w:pPr>
              <w:pStyle w:val="TableParagraph"/>
              <w:spacing w:line="133" w:lineRule="exact"/>
              <w:ind w:left="37" w:right="35"/>
              <w:rPr>
                <w:sz w:val="14"/>
              </w:rPr>
            </w:pPr>
            <w:r>
              <w:rPr>
                <w:color w:val="231F20"/>
                <w:sz w:val="14"/>
              </w:rPr>
              <w:t>39.0</w:t>
            </w:r>
          </w:p>
        </w:tc>
        <w:tc>
          <w:tcPr>
            <w:tcW w:w="425" w:type="dxa"/>
          </w:tcPr>
          <w:p>
            <w:pPr>
              <w:pStyle w:val="TableParagraph"/>
              <w:spacing w:line="133" w:lineRule="exact"/>
              <w:ind w:left="33" w:right="55"/>
              <w:rPr>
                <w:sz w:val="14"/>
              </w:rPr>
            </w:pPr>
            <w:r>
              <w:rPr>
                <w:color w:val="231F20"/>
                <w:sz w:val="14"/>
              </w:rPr>
              <w:t>7.6</w:t>
            </w:r>
          </w:p>
        </w:tc>
        <w:tc>
          <w:tcPr>
            <w:tcW w:w="459" w:type="dxa"/>
          </w:tcPr>
          <w:p>
            <w:pPr>
              <w:pStyle w:val="TableParagraph"/>
              <w:spacing w:line="133" w:lineRule="exact"/>
              <w:ind w:left="113"/>
              <w:jc w:val="left"/>
              <w:rPr>
                <w:sz w:val="14"/>
              </w:rPr>
            </w:pPr>
            <w:r>
              <w:rPr>
                <w:color w:val="231F20"/>
                <w:sz w:val="14"/>
              </w:rPr>
              <w:t>-2.5</w:t>
            </w:r>
          </w:p>
        </w:tc>
      </w:tr>
      <w:tr>
        <w:trPr>
          <w:trHeight w:val="227" w:hRule="exact"/>
        </w:trPr>
        <w:tc>
          <w:tcPr>
            <w:tcW w:w="1036" w:type="dxa"/>
            <w:gridSpan w:val="2"/>
          </w:tcPr>
          <w:p>
            <w:pPr>
              <w:pStyle w:val="TableParagraph"/>
              <w:spacing w:before="15"/>
              <w:ind w:left="415"/>
              <w:jc w:val="left"/>
              <w:rPr>
                <w:sz w:val="14"/>
              </w:rPr>
            </w:pPr>
            <w:r>
              <w:rPr>
                <w:color w:val="231F20"/>
                <w:sz w:val="14"/>
              </w:rPr>
              <w:t>Camiones</w:t>
            </w:r>
          </w:p>
        </w:tc>
        <w:tc>
          <w:tcPr>
            <w:tcW w:w="378" w:type="dxa"/>
          </w:tcPr>
          <w:p>
            <w:pPr>
              <w:pStyle w:val="TableParagraph"/>
              <w:spacing w:before="15"/>
              <w:ind w:left="53"/>
              <w:jc w:val="left"/>
              <w:rPr>
                <w:sz w:val="14"/>
              </w:rPr>
            </w:pPr>
            <w:r>
              <w:rPr>
                <w:color w:val="231F20"/>
                <w:sz w:val="14"/>
              </w:rPr>
              <w:t>17.5</w:t>
            </w:r>
          </w:p>
        </w:tc>
        <w:tc>
          <w:tcPr>
            <w:tcW w:w="432" w:type="dxa"/>
          </w:tcPr>
          <w:p>
            <w:pPr>
              <w:pStyle w:val="TableParagraph"/>
              <w:spacing w:before="15"/>
              <w:ind w:left="61" w:right="37"/>
              <w:rPr>
                <w:sz w:val="14"/>
              </w:rPr>
            </w:pPr>
            <w:r>
              <w:rPr>
                <w:color w:val="231F20"/>
                <w:sz w:val="14"/>
              </w:rPr>
              <w:t>13.8</w:t>
            </w:r>
          </w:p>
        </w:tc>
        <w:tc>
          <w:tcPr>
            <w:tcW w:w="408" w:type="dxa"/>
          </w:tcPr>
          <w:p>
            <w:pPr>
              <w:pStyle w:val="TableParagraph"/>
              <w:spacing w:before="15"/>
              <w:ind w:left="35" w:right="36"/>
              <w:rPr>
                <w:sz w:val="14"/>
              </w:rPr>
            </w:pPr>
            <w:r>
              <w:rPr>
                <w:color w:val="231F20"/>
                <w:sz w:val="14"/>
              </w:rPr>
              <w:t>-4.9</w:t>
            </w:r>
          </w:p>
        </w:tc>
        <w:tc>
          <w:tcPr>
            <w:tcW w:w="400" w:type="dxa"/>
          </w:tcPr>
          <w:p>
            <w:pPr>
              <w:pStyle w:val="TableParagraph"/>
              <w:spacing w:before="15"/>
              <w:ind w:left="32" w:right="31"/>
              <w:rPr>
                <w:sz w:val="14"/>
              </w:rPr>
            </w:pPr>
            <w:r>
              <w:rPr>
                <w:color w:val="231F20"/>
                <w:sz w:val="14"/>
              </w:rPr>
              <w:t>3.6</w:t>
            </w:r>
          </w:p>
        </w:tc>
        <w:tc>
          <w:tcPr>
            <w:tcW w:w="383" w:type="dxa"/>
          </w:tcPr>
          <w:p>
            <w:pPr>
              <w:pStyle w:val="TableParagraph"/>
              <w:spacing w:before="15"/>
              <w:ind w:left="28" w:right="17"/>
              <w:rPr>
                <w:sz w:val="14"/>
              </w:rPr>
            </w:pPr>
            <w:r>
              <w:rPr>
                <w:color w:val="231F20"/>
                <w:sz w:val="14"/>
              </w:rPr>
              <w:t>-51.9</w:t>
            </w:r>
          </w:p>
        </w:tc>
        <w:tc>
          <w:tcPr>
            <w:tcW w:w="397" w:type="dxa"/>
          </w:tcPr>
          <w:p>
            <w:pPr>
              <w:pStyle w:val="TableParagraph"/>
              <w:spacing w:before="15"/>
              <w:ind w:left="11" w:right="25"/>
              <w:rPr>
                <w:sz w:val="14"/>
              </w:rPr>
            </w:pPr>
            <w:r>
              <w:rPr>
                <w:color w:val="231F20"/>
                <w:sz w:val="14"/>
              </w:rPr>
              <w:t>16.9</w:t>
            </w:r>
          </w:p>
        </w:tc>
        <w:tc>
          <w:tcPr>
            <w:tcW w:w="416" w:type="dxa"/>
          </w:tcPr>
          <w:p>
            <w:pPr>
              <w:pStyle w:val="TableParagraph"/>
              <w:spacing w:before="15"/>
              <w:ind w:left="19" w:right="34"/>
              <w:rPr>
                <w:sz w:val="14"/>
              </w:rPr>
            </w:pPr>
            <w:r>
              <w:rPr>
                <w:color w:val="231F20"/>
                <w:sz w:val="14"/>
              </w:rPr>
              <w:t>53.2</w:t>
            </w:r>
          </w:p>
        </w:tc>
        <w:tc>
          <w:tcPr>
            <w:tcW w:w="424" w:type="dxa"/>
          </w:tcPr>
          <w:p>
            <w:pPr>
              <w:pStyle w:val="TableParagraph"/>
              <w:spacing w:before="15"/>
              <w:ind w:left="31" w:right="33"/>
              <w:rPr>
                <w:sz w:val="14"/>
              </w:rPr>
            </w:pPr>
            <w:r>
              <w:rPr>
                <w:color w:val="231F20"/>
                <w:sz w:val="14"/>
              </w:rPr>
              <w:t>6.7</w:t>
            </w:r>
          </w:p>
        </w:tc>
        <w:tc>
          <w:tcPr>
            <w:tcW w:w="427" w:type="dxa"/>
          </w:tcPr>
          <w:p>
            <w:pPr>
              <w:pStyle w:val="TableParagraph"/>
              <w:spacing w:before="15"/>
              <w:ind w:left="60"/>
              <w:jc w:val="left"/>
              <w:rPr>
                <w:sz w:val="14"/>
              </w:rPr>
            </w:pPr>
            <w:r>
              <w:rPr>
                <w:color w:val="231F20"/>
                <w:sz w:val="14"/>
              </w:rPr>
              <w:t>-17.0</w:t>
            </w:r>
          </w:p>
        </w:tc>
        <w:tc>
          <w:tcPr>
            <w:tcW w:w="403" w:type="dxa"/>
          </w:tcPr>
          <w:p>
            <w:pPr>
              <w:pStyle w:val="TableParagraph"/>
              <w:spacing w:before="15"/>
              <w:ind w:left="83"/>
              <w:jc w:val="left"/>
              <w:rPr>
                <w:sz w:val="14"/>
              </w:rPr>
            </w:pPr>
            <w:r>
              <w:rPr>
                <w:color w:val="231F20"/>
                <w:sz w:val="14"/>
              </w:rPr>
              <w:t>15.4</w:t>
            </w:r>
          </w:p>
        </w:tc>
        <w:tc>
          <w:tcPr>
            <w:tcW w:w="428" w:type="dxa"/>
          </w:tcPr>
          <w:p>
            <w:pPr>
              <w:pStyle w:val="TableParagraph"/>
              <w:spacing w:before="15"/>
              <w:ind w:left="55" w:right="36"/>
              <w:rPr>
                <w:sz w:val="14"/>
              </w:rPr>
            </w:pPr>
            <w:r>
              <w:rPr>
                <w:color w:val="231F20"/>
                <w:sz w:val="14"/>
              </w:rPr>
              <w:t>-21.6</w:t>
            </w:r>
          </w:p>
        </w:tc>
        <w:tc>
          <w:tcPr>
            <w:tcW w:w="416" w:type="dxa"/>
          </w:tcPr>
          <w:p>
            <w:pPr>
              <w:pStyle w:val="TableParagraph"/>
              <w:spacing w:before="15"/>
              <w:ind w:left="36" w:right="45"/>
              <w:rPr>
                <w:sz w:val="14"/>
              </w:rPr>
            </w:pPr>
            <w:r>
              <w:rPr>
                <w:color w:val="231F20"/>
                <w:sz w:val="14"/>
              </w:rPr>
              <w:t>-12.1</w:t>
            </w:r>
          </w:p>
        </w:tc>
        <w:tc>
          <w:tcPr>
            <w:tcW w:w="438" w:type="dxa"/>
          </w:tcPr>
          <w:p>
            <w:pPr>
              <w:pStyle w:val="TableParagraph"/>
              <w:spacing w:before="15"/>
              <w:ind w:left="129"/>
              <w:jc w:val="left"/>
              <w:rPr>
                <w:sz w:val="14"/>
              </w:rPr>
            </w:pPr>
            <w:r>
              <w:rPr>
                <w:color w:val="231F20"/>
                <w:sz w:val="14"/>
              </w:rPr>
              <w:t>5.8</w:t>
            </w:r>
          </w:p>
        </w:tc>
        <w:tc>
          <w:tcPr>
            <w:tcW w:w="451" w:type="dxa"/>
          </w:tcPr>
          <w:p>
            <w:pPr>
              <w:pStyle w:val="TableParagraph"/>
              <w:spacing w:before="15"/>
              <w:ind w:left="54" w:right="61"/>
              <w:rPr>
                <w:sz w:val="14"/>
              </w:rPr>
            </w:pPr>
            <w:r>
              <w:rPr>
                <w:color w:val="231F20"/>
                <w:sz w:val="14"/>
              </w:rPr>
              <w:t>13.7</w:t>
            </w:r>
          </w:p>
        </w:tc>
        <w:tc>
          <w:tcPr>
            <w:tcW w:w="447" w:type="dxa"/>
          </w:tcPr>
          <w:p>
            <w:pPr>
              <w:pStyle w:val="TableParagraph"/>
              <w:spacing w:before="15"/>
              <w:ind w:right="101"/>
              <w:jc w:val="right"/>
              <w:rPr>
                <w:sz w:val="14"/>
              </w:rPr>
            </w:pPr>
            <w:r>
              <w:rPr>
                <w:color w:val="231F20"/>
                <w:w w:val="95"/>
                <w:sz w:val="14"/>
              </w:rPr>
              <w:t>16.3</w:t>
            </w:r>
          </w:p>
        </w:tc>
        <w:tc>
          <w:tcPr>
            <w:tcW w:w="443" w:type="dxa"/>
          </w:tcPr>
          <w:p>
            <w:pPr>
              <w:pStyle w:val="TableParagraph"/>
              <w:spacing w:before="15"/>
              <w:ind w:left="46" w:right="39"/>
              <w:rPr>
                <w:sz w:val="14"/>
              </w:rPr>
            </w:pPr>
            <w:r>
              <w:rPr>
                <w:color w:val="231F20"/>
                <w:sz w:val="14"/>
              </w:rPr>
              <w:t>19.6</w:t>
            </w:r>
          </w:p>
        </w:tc>
        <w:tc>
          <w:tcPr>
            <w:tcW w:w="413" w:type="dxa"/>
          </w:tcPr>
          <w:p>
            <w:pPr>
              <w:pStyle w:val="TableParagraph"/>
              <w:spacing w:before="15"/>
              <w:ind w:right="94"/>
              <w:jc w:val="right"/>
              <w:rPr>
                <w:sz w:val="14"/>
              </w:rPr>
            </w:pPr>
            <w:r>
              <w:rPr>
                <w:color w:val="231F20"/>
                <w:w w:val="95"/>
                <w:sz w:val="14"/>
              </w:rPr>
              <w:t>-2.3</w:t>
            </w:r>
          </w:p>
        </w:tc>
        <w:tc>
          <w:tcPr>
            <w:tcW w:w="473" w:type="dxa"/>
          </w:tcPr>
          <w:p>
            <w:pPr>
              <w:pStyle w:val="TableParagraph"/>
              <w:spacing w:before="15"/>
              <w:ind w:right="131"/>
              <w:jc w:val="right"/>
              <w:rPr>
                <w:sz w:val="14"/>
              </w:rPr>
            </w:pPr>
            <w:r>
              <w:rPr>
                <w:color w:val="231F20"/>
                <w:w w:val="95"/>
                <w:sz w:val="14"/>
              </w:rPr>
              <w:t>-3.2</w:t>
            </w:r>
          </w:p>
        </w:tc>
        <w:tc>
          <w:tcPr>
            <w:tcW w:w="429" w:type="dxa"/>
          </w:tcPr>
          <w:p>
            <w:pPr>
              <w:pStyle w:val="TableParagraph"/>
              <w:spacing w:before="15"/>
              <w:ind w:left="63"/>
              <w:jc w:val="left"/>
              <w:rPr>
                <w:sz w:val="14"/>
              </w:rPr>
            </w:pPr>
            <w:r>
              <w:rPr>
                <w:color w:val="231F20"/>
                <w:sz w:val="14"/>
              </w:rPr>
              <w:t>-32.9</w:t>
            </w:r>
          </w:p>
        </w:tc>
        <w:tc>
          <w:tcPr>
            <w:tcW w:w="428" w:type="dxa"/>
          </w:tcPr>
          <w:p>
            <w:pPr>
              <w:pStyle w:val="TableParagraph"/>
              <w:spacing w:before="15"/>
              <w:ind w:left="53" w:right="39"/>
              <w:rPr>
                <w:sz w:val="14"/>
              </w:rPr>
            </w:pPr>
            <w:r>
              <w:rPr>
                <w:color w:val="231F20"/>
                <w:sz w:val="14"/>
              </w:rPr>
              <w:t>26.5</w:t>
            </w:r>
          </w:p>
        </w:tc>
        <w:tc>
          <w:tcPr>
            <w:tcW w:w="475" w:type="dxa"/>
          </w:tcPr>
          <w:p>
            <w:pPr>
              <w:pStyle w:val="TableParagraph"/>
              <w:spacing w:before="15"/>
              <w:ind w:left="38" w:right="35"/>
              <w:rPr>
                <w:sz w:val="14"/>
              </w:rPr>
            </w:pPr>
            <w:r>
              <w:rPr>
                <w:color w:val="231F20"/>
                <w:sz w:val="14"/>
              </w:rPr>
              <w:t>91.8</w:t>
            </w:r>
          </w:p>
        </w:tc>
        <w:tc>
          <w:tcPr>
            <w:tcW w:w="425" w:type="dxa"/>
          </w:tcPr>
          <w:p>
            <w:pPr>
              <w:pStyle w:val="TableParagraph"/>
              <w:spacing w:before="15"/>
              <w:ind w:left="33" w:right="55"/>
              <w:rPr>
                <w:sz w:val="14"/>
              </w:rPr>
            </w:pPr>
            <w:r>
              <w:rPr>
                <w:color w:val="231F20"/>
                <w:sz w:val="14"/>
              </w:rPr>
              <w:t>46.4</w:t>
            </w:r>
          </w:p>
        </w:tc>
        <w:tc>
          <w:tcPr>
            <w:tcW w:w="459" w:type="dxa"/>
          </w:tcPr>
          <w:p>
            <w:pPr>
              <w:pStyle w:val="TableParagraph"/>
              <w:spacing w:before="15"/>
              <w:ind w:left="113"/>
              <w:jc w:val="left"/>
              <w:rPr>
                <w:sz w:val="14"/>
              </w:rPr>
            </w:pPr>
            <w:r>
              <w:rPr>
                <w:color w:val="231F20"/>
                <w:sz w:val="14"/>
              </w:rPr>
              <w:t>-2.1</w:t>
            </w:r>
          </w:p>
        </w:tc>
      </w:tr>
      <w:tr>
        <w:trPr>
          <w:trHeight w:val="209" w:hRule="exact"/>
        </w:trPr>
        <w:tc>
          <w:tcPr>
            <w:tcW w:w="1036" w:type="dxa"/>
            <w:gridSpan w:val="2"/>
            <w:tcBorders>
              <w:bottom w:val="single" w:sz="4" w:space="0" w:color="231F20"/>
            </w:tcBorders>
          </w:tcPr>
          <w:p>
            <w:pPr>
              <w:pStyle w:val="TableParagraph"/>
              <w:spacing w:before="15"/>
              <w:ind w:right="55"/>
              <w:jc w:val="right"/>
              <w:rPr>
                <w:sz w:val="14"/>
              </w:rPr>
            </w:pPr>
            <w:r>
              <w:rPr>
                <w:color w:val="231F20"/>
                <w:sz w:val="14"/>
              </w:rPr>
              <w:t>Total</w:t>
            </w:r>
          </w:p>
        </w:tc>
        <w:tc>
          <w:tcPr>
            <w:tcW w:w="378" w:type="dxa"/>
            <w:tcBorders>
              <w:bottom w:val="single" w:sz="4" w:space="0" w:color="231F20"/>
            </w:tcBorders>
          </w:tcPr>
          <w:p>
            <w:pPr>
              <w:pStyle w:val="TableParagraph"/>
              <w:spacing w:before="15"/>
              <w:ind w:left="87"/>
              <w:jc w:val="left"/>
              <w:rPr>
                <w:sz w:val="14"/>
              </w:rPr>
            </w:pPr>
            <w:r>
              <w:rPr>
                <w:color w:val="231F20"/>
                <w:sz w:val="14"/>
              </w:rPr>
              <w:t>4.7</w:t>
            </w:r>
          </w:p>
        </w:tc>
        <w:tc>
          <w:tcPr>
            <w:tcW w:w="432" w:type="dxa"/>
            <w:tcBorders>
              <w:bottom w:val="single" w:sz="4" w:space="0" w:color="231F20"/>
            </w:tcBorders>
          </w:tcPr>
          <w:p>
            <w:pPr>
              <w:pStyle w:val="TableParagraph"/>
              <w:spacing w:before="15"/>
              <w:ind w:left="62" w:right="37"/>
              <w:rPr>
                <w:sz w:val="14"/>
              </w:rPr>
            </w:pPr>
            <w:r>
              <w:rPr>
                <w:color w:val="231F20"/>
                <w:sz w:val="14"/>
              </w:rPr>
              <w:t>20.8</w:t>
            </w:r>
          </w:p>
        </w:tc>
        <w:tc>
          <w:tcPr>
            <w:tcW w:w="408" w:type="dxa"/>
            <w:tcBorders>
              <w:bottom w:val="single" w:sz="4" w:space="0" w:color="231F20"/>
            </w:tcBorders>
          </w:tcPr>
          <w:p>
            <w:pPr>
              <w:pStyle w:val="TableParagraph"/>
              <w:spacing w:before="15"/>
              <w:ind w:left="36" w:right="36"/>
              <w:rPr>
                <w:sz w:val="14"/>
              </w:rPr>
            </w:pPr>
            <w:r>
              <w:rPr>
                <w:color w:val="231F20"/>
                <w:sz w:val="14"/>
              </w:rPr>
              <w:t>7.7</w:t>
            </w:r>
          </w:p>
        </w:tc>
        <w:tc>
          <w:tcPr>
            <w:tcW w:w="400" w:type="dxa"/>
            <w:tcBorders>
              <w:bottom w:val="single" w:sz="4" w:space="0" w:color="231F20"/>
            </w:tcBorders>
          </w:tcPr>
          <w:p>
            <w:pPr>
              <w:pStyle w:val="TableParagraph"/>
              <w:spacing w:before="15"/>
              <w:ind w:left="32" w:right="31"/>
              <w:rPr>
                <w:sz w:val="14"/>
              </w:rPr>
            </w:pPr>
            <w:r>
              <w:rPr>
                <w:color w:val="231F20"/>
                <w:sz w:val="14"/>
              </w:rPr>
              <w:t>4.1</w:t>
            </w:r>
          </w:p>
        </w:tc>
        <w:tc>
          <w:tcPr>
            <w:tcW w:w="383" w:type="dxa"/>
            <w:tcBorders>
              <w:bottom w:val="single" w:sz="4" w:space="0" w:color="231F20"/>
            </w:tcBorders>
          </w:tcPr>
          <w:p>
            <w:pPr>
              <w:pStyle w:val="TableParagraph"/>
              <w:spacing w:before="15"/>
              <w:ind w:left="28" w:right="17"/>
              <w:rPr>
                <w:sz w:val="14"/>
              </w:rPr>
            </w:pPr>
            <w:r>
              <w:rPr>
                <w:color w:val="231F20"/>
                <w:sz w:val="14"/>
              </w:rPr>
              <w:t>-44.8</w:t>
            </w:r>
          </w:p>
        </w:tc>
        <w:tc>
          <w:tcPr>
            <w:tcW w:w="397" w:type="dxa"/>
            <w:tcBorders>
              <w:bottom w:val="single" w:sz="4" w:space="0" w:color="231F20"/>
            </w:tcBorders>
          </w:tcPr>
          <w:p>
            <w:pPr>
              <w:pStyle w:val="TableParagraph"/>
              <w:spacing w:before="15"/>
              <w:ind w:left="12" w:right="25"/>
              <w:rPr>
                <w:sz w:val="14"/>
              </w:rPr>
            </w:pPr>
            <w:r>
              <w:rPr>
                <w:color w:val="231F20"/>
                <w:sz w:val="14"/>
              </w:rPr>
              <w:t>27.0</w:t>
            </w:r>
          </w:p>
        </w:tc>
        <w:tc>
          <w:tcPr>
            <w:tcW w:w="416" w:type="dxa"/>
            <w:tcBorders>
              <w:bottom w:val="single" w:sz="4" w:space="0" w:color="231F20"/>
            </w:tcBorders>
          </w:tcPr>
          <w:p>
            <w:pPr>
              <w:pStyle w:val="TableParagraph"/>
              <w:spacing w:before="15"/>
              <w:ind w:left="20" w:right="34"/>
              <w:rPr>
                <w:sz w:val="14"/>
              </w:rPr>
            </w:pPr>
            <w:r>
              <w:rPr>
                <w:color w:val="231F20"/>
                <w:sz w:val="14"/>
              </w:rPr>
              <w:t>27.4</w:t>
            </w:r>
          </w:p>
        </w:tc>
        <w:tc>
          <w:tcPr>
            <w:tcW w:w="424" w:type="dxa"/>
            <w:tcBorders>
              <w:bottom w:val="single" w:sz="4" w:space="0" w:color="231F20"/>
            </w:tcBorders>
          </w:tcPr>
          <w:p>
            <w:pPr>
              <w:pStyle w:val="TableParagraph"/>
              <w:spacing w:before="15"/>
              <w:ind w:left="31" w:right="33"/>
              <w:rPr>
                <w:sz w:val="14"/>
              </w:rPr>
            </w:pPr>
            <w:r>
              <w:rPr>
                <w:color w:val="231F20"/>
                <w:sz w:val="14"/>
              </w:rPr>
              <w:t>9.9</w:t>
            </w:r>
          </w:p>
        </w:tc>
        <w:tc>
          <w:tcPr>
            <w:tcW w:w="427" w:type="dxa"/>
            <w:tcBorders>
              <w:bottom w:val="single" w:sz="4" w:space="0" w:color="231F20"/>
            </w:tcBorders>
          </w:tcPr>
          <w:p>
            <w:pPr>
              <w:pStyle w:val="TableParagraph"/>
              <w:spacing w:before="15"/>
              <w:ind w:left="94"/>
              <w:jc w:val="left"/>
              <w:rPr>
                <w:sz w:val="14"/>
              </w:rPr>
            </w:pPr>
            <w:r>
              <w:rPr>
                <w:color w:val="231F20"/>
                <w:sz w:val="14"/>
              </w:rPr>
              <w:t>-2.2</w:t>
            </w:r>
          </w:p>
        </w:tc>
        <w:tc>
          <w:tcPr>
            <w:tcW w:w="403" w:type="dxa"/>
            <w:tcBorders>
              <w:bottom w:val="single" w:sz="4" w:space="0" w:color="231F20"/>
            </w:tcBorders>
          </w:tcPr>
          <w:p>
            <w:pPr>
              <w:pStyle w:val="TableParagraph"/>
              <w:spacing w:before="15"/>
              <w:ind w:left="84"/>
              <w:jc w:val="left"/>
              <w:rPr>
                <w:sz w:val="14"/>
              </w:rPr>
            </w:pPr>
            <w:r>
              <w:rPr>
                <w:color w:val="231F20"/>
                <w:sz w:val="14"/>
              </w:rPr>
              <w:t>68.9</w:t>
            </w:r>
          </w:p>
        </w:tc>
        <w:tc>
          <w:tcPr>
            <w:tcW w:w="428" w:type="dxa"/>
            <w:tcBorders>
              <w:bottom w:val="single" w:sz="4" w:space="0" w:color="231F20"/>
            </w:tcBorders>
          </w:tcPr>
          <w:p>
            <w:pPr>
              <w:pStyle w:val="TableParagraph"/>
              <w:spacing w:before="15"/>
              <w:ind w:left="56" w:right="36"/>
              <w:rPr>
                <w:sz w:val="14"/>
              </w:rPr>
            </w:pPr>
            <w:r>
              <w:rPr>
                <w:color w:val="231F20"/>
                <w:sz w:val="14"/>
              </w:rPr>
              <w:t>4.6</w:t>
            </w:r>
          </w:p>
        </w:tc>
        <w:tc>
          <w:tcPr>
            <w:tcW w:w="416" w:type="dxa"/>
            <w:tcBorders>
              <w:bottom w:val="single" w:sz="4" w:space="0" w:color="231F20"/>
            </w:tcBorders>
          </w:tcPr>
          <w:p>
            <w:pPr>
              <w:pStyle w:val="TableParagraph"/>
              <w:spacing w:before="15"/>
              <w:ind w:left="36" w:right="45"/>
              <w:rPr>
                <w:sz w:val="14"/>
              </w:rPr>
            </w:pPr>
            <w:r>
              <w:rPr>
                <w:color w:val="231F20"/>
                <w:sz w:val="14"/>
              </w:rPr>
              <w:t>0.3</w:t>
            </w:r>
          </w:p>
        </w:tc>
        <w:tc>
          <w:tcPr>
            <w:tcW w:w="438" w:type="dxa"/>
            <w:tcBorders>
              <w:bottom w:val="single" w:sz="4" w:space="0" w:color="231F20"/>
            </w:tcBorders>
          </w:tcPr>
          <w:p>
            <w:pPr>
              <w:pStyle w:val="TableParagraph"/>
              <w:spacing w:before="15"/>
              <w:ind w:left="70"/>
              <w:jc w:val="left"/>
              <w:rPr>
                <w:sz w:val="14"/>
              </w:rPr>
            </w:pPr>
            <w:r>
              <w:rPr>
                <w:color w:val="231F20"/>
                <w:sz w:val="14"/>
              </w:rPr>
              <w:t>-11.3</w:t>
            </w:r>
          </w:p>
        </w:tc>
        <w:tc>
          <w:tcPr>
            <w:tcW w:w="451" w:type="dxa"/>
            <w:tcBorders>
              <w:bottom w:val="single" w:sz="4" w:space="0" w:color="231F20"/>
            </w:tcBorders>
          </w:tcPr>
          <w:p>
            <w:pPr>
              <w:pStyle w:val="TableParagraph"/>
              <w:spacing w:before="15"/>
              <w:ind w:left="55" w:right="61"/>
              <w:rPr>
                <w:sz w:val="14"/>
              </w:rPr>
            </w:pPr>
            <w:r>
              <w:rPr>
                <w:color w:val="231F20"/>
                <w:sz w:val="14"/>
              </w:rPr>
              <w:t>7.4</w:t>
            </w:r>
          </w:p>
        </w:tc>
        <w:tc>
          <w:tcPr>
            <w:tcW w:w="447" w:type="dxa"/>
            <w:tcBorders>
              <w:bottom w:val="single" w:sz="4" w:space="0" w:color="231F20"/>
            </w:tcBorders>
          </w:tcPr>
          <w:p>
            <w:pPr>
              <w:pStyle w:val="TableParagraph"/>
              <w:spacing w:before="15"/>
              <w:ind w:right="101"/>
              <w:jc w:val="right"/>
              <w:rPr>
                <w:sz w:val="14"/>
              </w:rPr>
            </w:pPr>
            <w:r>
              <w:rPr>
                <w:color w:val="231F20"/>
                <w:w w:val="95"/>
                <w:sz w:val="14"/>
              </w:rPr>
              <w:t>11.4</w:t>
            </w:r>
          </w:p>
        </w:tc>
        <w:tc>
          <w:tcPr>
            <w:tcW w:w="443" w:type="dxa"/>
            <w:tcBorders>
              <w:bottom w:val="single" w:sz="4" w:space="0" w:color="231F20"/>
            </w:tcBorders>
          </w:tcPr>
          <w:p>
            <w:pPr>
              <w:pStyle w:val="TableParagraph"/>
              <w:spacing w:before="15"/>
              <w:ind w:left="47" w:right="39"/>
              <w:rPr>
                <w:sz w:val="14"/>
              </w:rPr>
            </w:pPr>
            <w:r>
              <w:rPr>
                <w:color w:val="231F20"/>
                <w:sz w:val="14"/>
              </w:rPr>
              <w:t>14.2</w:t>
            </w:r>
          </w:p>
        </w:tc>
        <w:tc>
          <w:tcPr>
            <w:tcW w:w="413" w:type="dxa"/>
            <w:tcBorders>
              <w:bottom w:val="single" w:sz="4" w:space="0" w:color="231F20"/>
            </w:tcBorders>
          </w:tcPr>
          <w:p>
            <w:pPr>
              <w:pStyle w:val="TableParagraph"/>
              <w:spacing w:before="15"/>
              <w:ind w:right="85"/>
              <w:jc w:val="right"/>
              <w:rPr>
                <w:sz w:val="14"/>
              </w:rPr>
            </w:pPr>
            <w:r>
              <w:rPr>
                <w:color w:val="231F20"/>
                <w:w w:val="95"/>
                <w:sz w:val="14"/>
              </w:rPr>
              <w:t>22.7</w:t>
            </w:r>
          </w:p>
        </w:tc>
        <w:tc>
          <w:tcPr>
            <w:tcW w:w="473" w:type="dxa"/>
            <w:tcBorders>
              <w:bottom w:val="single" w:sz="4" w:space="0" w:color="231F20"/>
            </w:tcBorders>
          </w:tcPr>
          <w:p>
            <w:pPr>
              <w:pStyle w:val="TableParagraph"/>
              <w:spacing w:before="15"/>
              <w:ind w:right="130"/>
              <w:jc w:val="right"/>
              <w:rPr>
                <w:sz w:val="14"/>
              </w:rPr>
            </w:pPr>
            <w:r>
              <w:rPr>
                <w:color w:val="231F20"/>
                <w:w w:val="95"/>
                <w:sz w:val="14"/>
              </w:rPr>
              <w:t>-9.9</w:t>
            </w:r>
          </w:p>
        </w:tc>
        <w:tc>
          <w:tcPr>
            <w:tcW w:w="429" w:type="dxa"/>
            <w:tcBorders>
              <w:bottom w:val="single" w:sz="4" w:space="0" w:color="231F20"/>
            </w:tcBorders>
          </w:tcPr>
          <w:p>
            <w:pPr>
              <w:pStyle w:val="TableParagraph"/>
              <w:spacing w:before="15"/>
              <w:ind w:left="63"/>
              <w:jc w:val="left"/>
              <w:rPr>
                <w:sz w:val="14"/>
              </w:rPr>
            </w:pPr>
            <w:r>
              <w:rPr>
                <w:color w:val="231F20"/>
                <w:sz w:val="14"/>
              </w:rPr>
              <w:t>-19.3</w:t>
            </w:r>
          </w:p>
        </w:tc>
        <w:tc>
          <w:tcPr>
            <w:tcW w:w="428" w:type="dxa"/>
            <w:tcBorders>
              <w:bottom w:val="single" w:sz="4" w:space="0" w:color="231F20"/>
            </w:tcBorders>
          </w:tcPr>
          <w:p>
            <w:pPr>
              <w:pStyle w:val="TableParagraph"/>
              <w:spacing w:before="15"/>
              <w:ind w:left="54" w:right="39"/>
              <w:rPr>
                <w:sz w:val="14"/>
              </w:rPr>
            </w:pPr>
            <w:r>
              <w:rPr>
                <w:color w:val="231F20"/>
                <w:sz w:val="14"/>
              </w:rPr>
              <w:t>18.5</w:t>
            </w:r>
          </w:p>
        </w:tc>
        <w:tc>
          <w:tcPr>
            <w:tcW w:w="475" w:type="dxa"/>
            <w:tcBorders>
              <w:bottom w:val="single" w:sz="4" w:space="0" w:color="231F20"/>
            </w:tcBorders>
          </w:tcPr>
          <w:p>
            <w:pPr>
              <w:pStyle w:val="TableParagraph"/>
              <w:spacing w:before="15"/>
              <w:ind w:left="38" w:right="34"/>
              <w:rPr>
                <w:sz w:val="14"/>
              </w:rPr>
            </w:pPr>
            <w:r>
              <w:rPr>
                <w:color w:val="231F20"/>
                <w:sz w:val="14"/>
              </w:rPr>
              <w:t>44.1</w:t>
            </w:r>
          </w:p>
        </w:tc>
        <w:tc>
          <w:tcPr>
            <w:tcW w:w="425" w:type="dxa"/>
            <w:tcBorders>
              <w:bottom w:val="single" w:sz="4" w:space="0" w:color="231F20"/>
            </w:tcBorders>
          </w:tcPr>
          <w:p>
            <w:pPr>
              <w:pStyle w:val="TableParagraph"/>
              <w:spacing w:before="15"/>
              <w:ind w:left="34" w:right="55"/>
              <w:rPr>
                <w:sz w:val="14"/>
              </w:rPr>
            </w:pPr>
            <w:r>
              <w:rPr>
                <w:color w:val="231F20"/>
                <w:sz w:val="14"/>
              </w:rPr>
              <w:t>12.6</w:t>
            </w:r>
          </w:p>
        </w:tc>
        <w:tc>
          <w:tcPr>
            <w:tcW w:w="459" w:type="dxa"/>
            <w:tcBorders>
              <w:bottom w:val="single" w:sz="4" w:space="0" w:color="231F20"/>
            </w:tcBorders>
          </w:tcPr>
          <w:p>
            <w:pPr>
              <w:pStyle w:val="TableParagraph"/>
              <w:spacing w:before="15"/>
              <w:ind w:left="113"/>
              <w:jc w:val="left"/>
              <w:rPr>
                <w:sz w:val="14"/>
              </w:rPr>
            </w:pPr>
            <w:r>
              <w:rPr>
                <w:color w:val="231F20"/>
                <w:sz w:val="14"/>
              </w:rPr>
              <w:t>-2.4</w:t>
            </w:r>
          </w:p>
        </w:tc>
      </w:tr>
      <w:tr>
        <w:trPr>
          <w:trHeight w:val="219" w:hRule="exact"/>
        </w:trPr>
        <w:tc>
          <w:tcPr>
            <w:tcW w:w="1036" w:type="dxa"/>
            <w:gridSpan w:val="2"/>
          </w:tcPr>
          <w:p>
            <w:pPr>
              <w:pStyle w:val="TableParagraph"/>
              <w:spacing w:before="23"/>
              <w:ind w:left="1"/>
              <w:jc w:val="left"/>
              <w:rPr>
                <w:rFonts w:ascii="Palatino Linotype"/>
                <w:b/>
                <w:sz w:val="14"/>
              </w:rPr>
            </w:pPr>
            <w:r>
              <w:rPr>
                <w:rFonts w:ascii="Palatino Linotype"/>
                <w:b/>
                <w:color w:val="231F20"/>
                <w:sz w:val="14"/>
              </w:rPr>
              <w:t>Volkswagen</w:t>
            </w:r>
          </w:p>
        </w:tc>
        <w:tc>
          <w:tcPr>
            <w:tcW w:w="378" w:type="dxa"/>
          </w:tcPr>
          <w:p>
            <w:pPr/>
          </w:p>
        </w:tc>
        <w:tc>
          <w:tcPr>
            <w:tcW w:w="432" w:type="dxa"/>
          </w:tcPr>
          <w:p>
            <w:pPr/>
          </w:p>
        </w:tc>
        <w:tc>
          <w:tcPr>
            <w:tcW w:w="408" w:type="dxa"/>
          </w:tcPr>
          <w:p>
            <w:pPr/>
          </w:p>
        </w:tc>
        <w:tc>
          <w:tcPr>
            <w:tcW w:w="400" w:type="dxa"/>
          </w:tcPr>
          <w:p>
            <w:pPr/>
          </w:p>
        </w:tc>
        <w:tc>
          <w:tcPr>
            <w:tcW w:w="383" w:type="dxa"/>
          </w:tcPr>
          <w:p>
            <w:pPr/>
          </w:p>
        </w:tc>
        <w:tc>
          <w:tcPr>
            <w:tcW w:w="397" w:type="dxa"/>
          </w:tcPr>
          <w:p>
            <w:pPr/>
          </w:p>
        </w:tc>
        <w:tc>
          <w:tcPr>
            <w:tcW w:w="416" w:type="dxa"/>
          </w:tcPr>
          <w:p>
            <w:pPr/>
          </w:p>
        </w:tc>
        <w:tc>
          <w:tcPr>
            <w:tcW w:w="424" w:type="dxa"/>
          </w:tcPr>
          <w:p>
            <w:pPr/>
          </w:p>
        </w:tc>
        <w:tc>
          <w:tcPr>
            <w:tcW w:w="427" w:type="dxa"/>
          </w:tcPr>
          <w:p>
            <w:pPr/>
          </w:p>
        </w:tc>
        <w:tc>
          <w:tcPr>
            <w:tcW w:w="403" w:type="dxa"/>
          </w:tcPr>
          <w:p>
            <w:pPr/>
          </w:p>
        </w:tc>
        <w:tc>
          <w:tcPr>
            <w:tcW w:w="428" w:type="dxa"/>
          </w:tcPr>
          <w:p>
            <w:pPr/>
          </w:p>
        </w:tc>
        <w:tc>
          <w:tcPr>
            <w:tcW w:w="416" w:type="dxa"/>
          </w:tcPr>
          <w:p>
            <w:pPr/>
          </w:p>
        </w:tc>
        <w:tc>
          <w:tcPr>
            <w:tcW w:w="438" w:type="dxa"/>
          </w:tcPr>
          <w:p>
            <w:pPr/>
          </w:p>
        </w:tc>
        <w:tc>
          <w:tcPr>
            <w:tcW w:w="451" w:type="dxa"/>
          </w:tcPr>
          <w:p>
            <w:pPr/>
          </w:p>
        </w:tc>
        <w:tc>
          <w:tcPr>
            <w:tcW w:w="447" w:type="dxa"/>
          </w:tcPr>
          <w:p>
            <w:pPr/>
          </w:p>
        </w:tc>
        <w:tc>
          <w:tcPr>
            <w:tcW w:w="443" w:type="dxa"/>
          </w:tcPr>
          <w:p>
            <w:pPr/>
          </w:p>
        </w:tc>
        <w:tc>
          <w:tcPr>
            <w:tcW w:w="413" w:type="dxa"/>
          </w:tcPr>
          <w:p>
            <w:pPr/>
          </w:p>
        </w:tc>
        <w:tc>
          <w:tcPr>
            <w:tcW w:w="473" w:type="dxa"/>
          </w:tcPr>
          <w:p>
            <w:pPr/>
          </w:p>
        </w:tc>
        <w:tc>
          <w:tcPr>
            <w:tcW w:w="429" w:type="dxa"/>
          </w:tcPr>
          <w:p>
            <w:pPr/>
          </w:p>
        </w:tc>
        <w:tc>
          <w:tcPr>
            <w:tcW w:w="428" w:type="dxa"/>
          </w:tcPr>
          <w:p>
            <w:pPr/>
          </w:p>
        </w:tc>
        <w:tc>
          <w:tcPr>
            <w:tcW w:w="475" w:type="dxa"/>
          </w:tcPr>
          <w:p>
            <w:pPr/>
          </w:p>
        </w:tc>
        <w:tc>
          <w:tcPr>
            <w:tcW w:w="425" w:type="dxa"/>
          </w:tcPr>
          <w:p>
            <w:pPr/>
          </w:p>
        </w:tc>
        <w:tc>
          <w:tcPr>
            <w:tcW w:w="459" w:type="dxa"/>
          </w:tcPr>
          <w:p>
            <w:pPr/>
          </w:p>
        </w:tc>
      </w:tr>
      <w:tr>
        <w:trPr>
          <w:trHeight w:val="153" w:hRule="exact"/>
        </w:trPr>
        <w:tc>
          <w:tcPr>
            <w:tcW w:w="1036" w:type="dxa"/>
            <w:gridSpan w:val="2"/>
          </w:tcPr>
          <w:p>
            <w:pPr>
              <w:pStyle w:val="TableParagraph"/>
              <w:spacing w:line="133" w:lineRule="exact"/>
              <w:ind w:left="651"/>
              <w:jc w:val="left"/>
              <w:rPr>
                <w:sz w:val="14"/>
              </w:rPr>
            </w:pPr>
            <w:r>
              <w:rPr>
                <w:color w:val="231F20"/>
                <w:sz w:val="14"/>
              </w:rPr>
              <w:t>Autos</w:t>
            </w:r>
          </w:p>
        </w:tc>
        <w:tc>
          <w:tcPr>
            <w:tcW w:w="378" w:type="dxa"/>
          </w:tcPr>
          <w:p>
            <w:pPr>
              <w:pStyle w:val="TableParagraph"/>
              <w:spacing w:line="133" w:lineRule="exact"/>
              <w:ind w:left="88"/>
              <w:jc w:val="left"/>
              <w:rPr>
                <w:sz w:val="14"/>
              </w:rPr>
            </w:pPr>
            <w:r>
              <w:rPr>
                <w:color w:val="231F20"/>
                <w:sz w:val="14"/>
              </w:rPr>
              <w:t>7.7</w:t>
            </w:r>
          </w:p>
        </w:tc>
        <w:tc>
          <w:tcPr>
            <w:tcW w:w="432" w:type="dxa"/>
          </w:tcPr>
          <w:p>
            <w:pPr>
              <w:pStyle w:val="TableParagraph"/>
              <w:spacing w:line="133" w:lineRule="exact"/>
              <w:ind w:left="63" w:right="37"/>
              <w:rPr>
                <w:sz w:val="14"/>
              </w:rPr>
            </w:pPr>
            <w:r>
              <w:rPr>
                <w:color w:val="231F20"/>
                <w:sz w:val="14"/>
              </w:rPr>
              <w:t>-11.2</w:t>
            </w:r>
          </w:p>
        </w:tc>
        <w:tc>
          <w:tcPr>
            <w:tcW w:w="408" w:type="dxa"/>
          </w:tcPr>
          <w:p>
            <w:pPr>
              <w:pStyle w:val="TableParagraph"/>
              <w:spacing w:line="133" w:lineRule="exact"/>
              <w:ind w:left="35" w:right="36"/>
              <w:rPr>
                <w:sz w:val="14"/>
              </w:rPr>
            </w:pPr>
            <w:r>
              <w:rPr>
                <w:color w:val="231F20"/>
                <w:sz w:val="14"/>
              </w:rPr>
              <w:t>29.8</w:t>
            </w:r>
          </w:p>
        </w:tc>
        <w:tc>
          <w:tcPr>
            <w:tcW w:w="400" w:type="dxa"/>
          </w:tcPr>
          <w:p>
            <w:pPr>
              <w:pStyle w:val="TableParagraph"/>
              <w:spacing w:line="133" w:lineRule="exact"/>
              <w:ind w:left="33" w:right="31"/>
              <w:rPr>
                <w:sz w:val="14"/>
              </w:rPr>
            </w:pPr>
            <w:r>
              <w:rPr>
                <w:color w:val="231F20"/>
                <w:sz w:val="14"/>
              </w:rPr>
              <w:t>7.2</w:t>
            </w:r>
          </w:p>
        </w:tc>
        <w:tc>
          <w:tcPr>
            <w:tcW w:w="383" w:type="dxa"/>
          </w:tcPr>
          <w:p>
            <w:pPr>
              <w:pStyle w:val="TableParagraph"/>
              <w:spacing w:line="133" w:lineRule="exact"/>
              <w:ind w:left="29" w:right="17"/>
              <w:rPr>
                <w:sz w:val="14"/>
              </w:rPr>
            </w:pPr>
            <w:r>
              <w:rPr>
                <w:color w:val="231F20"/>
                <w:sz w:val="14"/>
              </w:rPr>
              <w:t>-22.5</w:t>
            </w:r>
          </w:p>
        </w:tc>
        <w:tc>
          <w:tcPr>
            <w:tcW w:w="397" w:type="dxa"/>
          </w:tcPr>
          <w:p>
            <w:pPr>
              <w:pStyle w:val="TableParagraph"/>
              <w:spacing w:line="133" w:lineRule="exact"/>
              <w:ind w:left="13" w:right="25"/>
              <w:rPr>
                <w:sz w:val="14"/>
              </w:rPr>
            </w:pPr>
            <w:r>
              <w:rPr>
                <w:color w:val="231F20"/>
                <w:sz w:val="14"/>
              </w:rPr>
              <w:t>22.6</w:t>
            </w:r>
          </w:p>
        </w:tc>
        <w:tc>
          <w:tcPr>
            <w:tcW w:w="416" w:type="dxa"/>
          </w:tcPr>
          <w:p>
            <w:pPr>
              <w:pStyle w:val="TableParagraph"/>
              <w:spacing w:line="133" w:lineRule="exact"/>
              <w:ind w:left="21" w:right="34"/>
              <w:rPr>
                <w:sz w:val="14"/>
              </w:rPr>
            </w:pPr>
            <w:r>
              <w:rPr>
                <w:color w:val="231F20"/>
                <w:sz w:val="14"/>
              </w:rPr>
              <w:t>11.4</w:t>
            </w:r>
          </w:p>
        </w:tc>
        <w:tc>
          <w:tcPr>
            <w:tcW w:w="424" w:type="dxa"/>
          </w:tcPr>
          <w:p>
            <w:pPr>
              <w:pStyle w:val="TableParagraph"/>
              <w:spacing w:line="133" w:lineRule="exact"/>
              <w:ind w:left="33" w:right="33"/>
              <w:rPr>
                <w:sz w:val="14"/>
              </w:rPr>
            </w:pPr>
            <w:r>
              <w:rPr>
                <w:color w:val="231F20"/>
                <w:sz w:val="14"/>
              </w:rPr>
              <w:t>31.7</w:t>
            </w:r>
          </w:p>
        </w:tc>
        <w:tc>
          <w:tcPr>
            <w:tcW w:w="427" w:type="dxa"/>
          </w:tcPr>
          <w:p>
            <w:pPr>
              <w:pStyle w:val="TableParagraph"/>
              <w:spacing w:line="133" w:lineRule="exact"/>
              <w:ind w:left="85"/>
              <w:jc w:val="left"/>
              <w:rPr>
                <w:sz w:val="14"/>
              </w:rPr>
            </w:pPr>
            <w:r>
              <w:rPr>
                <w:color w:val="231F20"/>
                <w:sz w:val="14"/>
              </w:rPr>
              <w:t>21.0</w:t>
            </w:r>
          </w:p>
        </w:tc>
        <w:tc>
          <w:tcPr>
            <w:tcW w:w="403" w:type="dxa"/>
          </w:tcPr>
          <w:p>
            <w:pPr>
              <w:pStyle w:val="TableParagraph"/>
              <w:spacing w:line="133" w:lineRule="exact"/>
              <w:ind w:left="118"/>
              <w:jc w:val="left"/>
              <w:rPr>
                <w:sz w:val="14"/>
              </w:rPr>
            </w:pPr>
            <w:r>
              <w:rPr>
                <w:color w:val="231F20"/>
                <w:sz w:val="14"/>
              </w:rPr>
              <w:t>3.8</w:t>
            </w:r>
          </w:p>
        </w:tc>
        <w:tc>
          <w:tcPr>
            <w:tcW w:w="428" w:type="dxa"/>
          </w:tcPr>
          <w:p>
            <w:pPr>
              <w:pStyle w:val="TableParagraph"/>
              <w:spacing w:line="133" w:lineRule="exact"/>
              <w:ind w:left="57" w:right="36"/>
              <w:rPr>
                <w:sz w:val="14"/>
              </w:rPr>
            </w:pPr>
            <w:r>
              <w:rPr>
                <w:color w:val="231F20"/>
                <w:sz w:val="14"/>
              </w:rPr>
              <w:t>-10.6</w:t>
            </w:r>
          </w:p>
        </w:tc>
        <w:tc>
          <w:tcPr>
            <w:tcW w:w="416" w:type="dxa"/>
          </w:tcPr>
          <w:p>
            <w:pPr>
              <w:pStyle w:val="TableParagraph"/>
              <w:spacing w:line="133" w:lineRule="exact"/>
              <w:ind w:left="37" w:right="44"/>
              <w:rPr>
                <w:sz w:val="14"/>
              </w:rPr>
            </w:pPr>
            <w:r>
              <w:rPr>
                <w:color w:val="231F20"/>
                <w:sz w:val="14"/>
              </w:rPr>
              <w:t>-12.6</w:t>
            </w:r>
          </w:p>
        </w:tc>
        <w:tc>
          <w:tcPr>
            <w:tcW w:w="438" w:type="dxa"/>
          </w:tcPr>
          <w:p>
            <w:pPr>
              <w:pStyle w:val="TableParagraph"/>
              <w:spacing w:line="133" w:lineRule="exact"/>
              <w:ind w:left="71"/>
              <w:jc w:val="left"/>
              <w:rPr>
                <w:sz w:val="14"/>
              </w:rPr>
            </w:pPr>
            <w:r>
              <w:rPr>
                <w:color w:val="231F20"/>
                <w:sz w:val="14"/>
              </w:rPr>
              <w:t>-13.7</w:t>
            </w:r>
          </w:p>
        </w:tc>
        <w:tc>
          <w:tcPr>
            <w:tcW w:w="451" w:type="dxa"/>
          </w:tcPr>
          <w:p>
            <w:pPr>
              <w:pStyle w:val="TableParagraph"/>
              <w:spacing w:line="133" w:lineRule="exact"/>
              <w:ind w:left="56" w:right="61"/>
              <w:rPr>
                <w:sz w:val="14"/>
              </w:rPr>
            </w:pPr>
            <w:r>
              <w:rPr>
                <w:color w:val="231F20"/>
                <w:sz w:val="14"/>
              </w:rPr>
              <w:t>-21.6</w:t>
            </w:r>
          </w:p>
        </w:tc>
        <w:tc>
          <w:tcPr>
            <w:tcW w:w="447" w:type="dxa"/>
          </w:tcPr>
          <w:p>
            <w:pPr>
              <w:pStyle w:val="TableParagraph"/>
              <w:spacing w:line="133" w:lineRule="exact"/>
              <w:ind w:right="100"/>
              <w:jc w:val="right"/>
              <w:rPr>
                <w:sz w:val="14"/>
              </w:rPr>
            </w:pPr>
            <w:r>
              <w:rPr>
                <w:color w:val="231F20"/>
                <w:w w:val="95"/>
                <w:sz w:val="14"/>
              </w:rPr>
              <w:t>33.3</w:t>
            </w:r>
          </w:p>
        </w:tc>
        <w:tc>
          <w:tcPr>
            <w:tcW w:w="443" w:type="dxa"/>
          </w:tcPr>
          <w:p>
            <w:pPr>
              <w:pStyle w:val="TableParagraph"/>
              <w:spacing w:line="133" w:lineRule="exact"/>
              <w:ind w:left="48" w:right="39"/>
              <w:rPr>
                <w:sz w:val="14"/>
              </w:rPr>
            </w:pPr>
            <w:r>
              <w:rPr>
                <w:color w:val="231F20"/>
                <w:sz w:val="14"/>
              </w:rPr>
              <w:t>15.5</w:t>
            </w:r>
          </w:p>
        </w:tc>
        <w:tc>
          <w:tcPr>
            <w:tcW w:w="413" w:type="dxa"/>
          </w:tcPr>
          <w:p>
            <w:pPr>
              <w:pStyle w:val="TableParagraph"/>
              <w:spacing w:line="133" w:lineRule="exact"/>
              <w:ind w:right="84"/>
              <w:jc w:val="right"/>
              <w:rPr>
                <w:sz w:val="14"/>
              </w:rPr>
            </w:pPr>
            <w:r>
              <w:rPr>
                <w:color w:val="231F20"/>
                <w:w w:val="95"/>
                <w:sz w:val="14"/>
              </w:rPr>
              <w:t>18.0</w:t>
            </w:r>
          </w:p>
        </w:tc>
        <w:tc>
          <w:tcPr>
            <w:tcW w:w="473" w:type="dxa"/>
          </w:tcPr>
          <w:p>
            <w:pPr>
              <w:pStyle w:val="TableParagraph"/>
              <w:spacing w:line="133" w:lineRule="exact"/>
              <w:ind w:right="155"/>
              <w:jc w:val="right"/>
              <w:rPr>
                <w:sz w:val="14"/>
              </w:rPr>
            </w:pPr>
            <w:r>
              <w:rPr>
                <w:color w:val="231F20"/>
                <w:w w:val="95"/>
                <w:sz w:val="14"/>
              </w:rPr>
              <w:t>9.7</w:t>
            </w:r>
          </w:p>
        </w:tc>
        <w:tc>
          <w:tcPr>
            <w:tcW w:w="429" w:type="dxa"/>
          </w:tcPr>
          <w:p>
            <w:pPr>
              <w:pStyle w:val="TableParagraph"/>
              <w:spacing w:line="133" w:lineRule="exact"/>
              <w:ind w:left="63"/>
              <w:jc w:val="left"/>
              <w:rPr>
                <w:sz w:val="14"/>
              </w:rPr>
            </w:pPr>
            <w:r>
              <w:rPr>
                <w:color w:val="231F20"/>
                <w:sz w:val="14"/>
              </w:rPr>
              <w:t>-28.8</w:t>
            </w:r>
          </w:p>
        </w:tc>
        <w:tc>
          <w:tcPr>
            <w:tcW w:w="428" w:type="dxa"/>
          </w:tcPr>
          <w:p>
            <w:pPr>
              <w:pStyle w:val="TableParagraph"/>
              <w:spacing w:line="133" w:lineRule="exact"/>
              <w:ind w:left="55" w:right="39"/>
              <w:rPr>
                <w:sz w:val="14"/>
              </w:rPr>
            </w:pPr>
            <w:r>
              <w:rPr>
                <w:color w:val="231F20"/>
                <w:sz w:val="14"/>
              </w:rPr>
              <w:t>13.8</w:t>
            </w:r>
          </w:p>
        </w:tc>
        <w:tc>
          <w:tcPr>
            <w:tcW w:w="475" w:type="dxa"/>
          </w:tcPr>
          <w:p>
            <w:pPr>
              <w:pStyle w:val="TableParagraph"/>
              <w:spacing w:line="133" w:lineRule="exact"/>
              <w:ind w:left="38" w:right="33"/>
              <w:rPr>
                <w:sz w:val="14"/>
              </w:rPr>
            </w:pPr>
            <w:r>
              <w:rPr>
                <w:color w:val="231F20"/>
                <w:sz w:val="14"/>
              </w:rPr>
              <w:t>40.1</w:t>
            </w:r>
          </w:p>
        </w:tc>
        <w:tc>
          <w:tcPr>
            <w:tcW w:w="425" w:type="dxa"/>
          </w:tcPr>
          <w:p>
            <w:pPr>
              <w:pStyle w:val="TableParagraph"/>
              <w:spacing w:line="133" w:lineRule="exact"/>
              <w:ind w:left="35" w:right="55"/>
              <w:rPr>
                <w:sz w:val="14"/>
              </w:rPr>
            </w:pPr>
            <w:r>
              <w:rPr>
                <w:color w:val="231F20"/>
                <w:sz w:val="14"/>
              </w:rPr>
              <w:t>18.5</w:t>
            </w:r>
          </w:p>
        </w:tc>
        <w:tc>
          <w:tcPr>
            <w:tcW w:w="459" w:type="dxa"/>
          </w:tcPr>
          <w:p>
            <w:pPr>
              <w:pStyle w:val="TableParagraph"/>
              <w:spacing w:line="133" w:lineRule="exact"/>
              <w:ind w:left="80"/>
              <w:jc w:val="left"/>
              <w:rPr>
                <w:sz w:val="14"/>
              </w:rPr>
            </w:pPr>
            <w:r>
              <w:rPr>
                <w:color w:val="231F20"/>
                <w:sz w:val="14"/>
              </w:rPr>
              <w:t>-16.1</w:t>
            </w:r>
          </w:p>
        </w:tc>
      </w:tr>
      <w:tr>
        <w:trPr>
          <w:trHeight w:val="270" w:hRule="exact"/>
        </w:trPr>
        <w:tc>
          <w:tcPr>
            <w:tcW w:w="10826" w:type="dxa"/>
            <w:gridSpan w:val="25"/>
          </w:tcPr>
          <w:p>
            <w:pPr>
              <w:pStyle w:val="TableParagraph"/>
              <w:tabs>
                <w:tab w:pos="1526" w:val="left" w:leader="none"/>
              </w:tabs>
              <w:spacing w:before="58"/>
              <w:ind w:left="416"/>
              <w:jc w:val="left"/>
              <w:rPr>
                <w:sz w:val="14"/>
              </w:rPr>
            </w:pPr>
            <w:r>
              <w:rPr>
                <w:color w:val="231F20"/>
                <w:sz w:val="14"/>
              </w:rPr>
              <w:t>Camiones   14.9</w:t>
              <w:tab/>
              <w:t>13.8    -11.7     8.7    -77.6</w:t>
            </w:r>
            <w:r>
              <w:rPr>
                <w:color w:val="231F20"/>
                <w:spacing w:val="20"/>
                <w:sz w:val="14"/>
              </w:rPr>
              <w:t> </w:t>
            </w:r>
            <w:r>
              <w:rPr>
                <w:color w:val="231F20"/>
                <w:sz w:val="14"/>
              </w:rPr>
              <w:t>-100.0</w:t>
            </w:r>
          </w:p>
        </w:tc>
      </w:tr>
      <w:tr>
        <w:trPr>
          <w:trHeight w:val="209" w:hRule="exact"/>
        </w:trPr>
        <w:tc>
          <w:tcPr>
            <w:tcW w:w="1036" w:type="dxa"/>
            <w:gridSpan w:val="2"/>
            <w:tcBorders>
              <w:bottom w:val="single" w:sz="4" w:space="0" w:color="231F20"/>
            </w:tcBorders>
          </w:tcPr>
          <w:p>
            <w:pPr>
              <w:pStyle w:val="TableParagraph"/>
              <w:spacing w:before="15"/>
              <w:ind w:right="54"/>
              <w:jc w:val="right"/>
              <w:rPr>
                <w:sz w:val="14"/>
              </w:rPr>
            </w:pPr>
            <w:r>
              <w:rPr>
                <w:color w:val="231F20"/>
                <w:sz w:val="14"/>
              </w:rPr>
              <w:t>Total</w:t>
            </w:r>
          </w:p>
        </w:tc>
        <w:tc>
          <w:tcPr>
            <w:tcW w:w="378" w:type="dxa"/>
            <w:tcBorders>
              <w:bottom w:val="single" w:sz="4" w:space="0" w:color="231F20"/>
            </w:tcBorders>
          </w:tcPr>
          <w:p>
            <w:pPr>
              <w:pStyle w:val="TableParagraph"/>
              <w:spacing w:before="15"/>
              <w:ind w:left="88"/>
              <w:jc w:val="left"/>
              <w:rPr>
                <w:sz w:val="14"/>
              </w:rPr>
            </w:pPr>
            <w:r>
              <w:rPr>
                <w:color w:val="231F20"/>
                <w:sz w:val="14"/>
              </w:rPr>
              <w:t>8.1</w:t>
            </w:r>
          </w:p>
        </w:tc>
        <w:tc>
          <w:tcPr>
            <w:tcW w:w="432" w:type="dxa"/>
            <w:tcBorders>
              <w:bottom w:val="single" w:sz="4" w:space="0" w:color="231F20"/>
            </w:tcBorders>
          </w:tcPr>
          <w:p>
            <w:pPr>
              <w:pStyle w:val="TableParagraph"/>
              <w:spacing w:before="15"/>
              <w:ind w:left="63" w:right="36"/>
              <w:rPr>
                <w:sz w:val="14"/>
              </w:rPr>
            </w:pPr>
            <w:r>
              <w:rPr>
                <w:color w:val="231F20"/>
                <w:sz w:val="14"/>
              </w:rPr>
              <w:t>-9.8</w:t>
            </w:r>
          </w:p>
        </w:tc>
        <w:tc>
          <w:tcPr>
            <w:tcW w:w="408" w:type="dxa"/>
            <w:tcBorders>
              <w:bottom w:val="single" w:sz="4" w:space="0" w:color="231F20"/>
            </w:tcBorders>
          </w:tcPr>
          <w:p>
            <w:pPr>
              <w:pStyle w:val="TableParagraph"/>
              <w:spacing w:before="15"/>
              <w:ind w:left="36" w:right="36"/>
              <w:rPr>
                <w:sz w:val="14"/>
              </w:rPr>
            </w:pPr>
            <w:r>
              <w:rPr>
                <w:color w:val="231F20"/>
                <w:sz w:val="14"/>
              </w:rPr>
              <w:t>26.8</w:t>
            </w:r>
          </w:p>
        </w:tc>
        <w:tc>
          <w:tcPr>
            <w:tcW w:w="400" w:type="dxa"/>
            <w:tcBorders>
              <w:bottom w:val="single" w:sz="4" w:space="0" w:color="231F20"/>
            </w:tcBorders>
          </w:tcPr>
          <w:p>
            <w:pPr>
              <w:pStyle w:val="TableParagraph"/>
              <w:spacing w:before="15"/>
              <w:ind w:left="34" w:right="31"/>
              <w:rPr>
                <w:sz w:val="14"/>
              </w:rPr>
            </w:pPr>
            <w:r>
              <w:rPr>
                <w:color w:val="231F20"/>
                <w:sz w:val="14"/>
              </w:rPr>
              <w:t>7.2</w:t>
            </w:r>
          </w:p>
        </w:tc>
        <w:tc>
          <w:tcPr>
            <w:tcW w:w="383" w:type="dxa"/>
            <w:tcBorders>
              <w:bottom w:val="single" w:sz="4" w:space="0" w:color="231F20"/>
            </w:tcBorders>
          </w:tcPr>
          <w:p>
            <w:pPr>
              <w:pStyle w:val="TableParagraph"/>
              <w:spacing w:before="15"/>
              <w:ind w:left="30" w:right="17"/>
              <w:rPr>
                <w:sz w:val="14"/>
              </w:rPr>
            </w:pPr>
            <w:r>
              <w:rPr>
                <w:color w:val="231F20"/>
                <w:sz w:val="14"/>
              </w:rPr>
              <w:t>-25.3</w:t>
            </w:r>
          </w:p>
        </w:tc>
        <w:tc>
          <w:tcPr>
            <w:tcW w:w="397" w:type="dxa"/>
            <w:tcBorders>
              <w:bottom w:val="single" w:sz="4" w:space="0" w:color="231F20"/>
            </w:tcBorders>
          </w:tcPr>
          <w:p>
            <w:pPr>
              <w:pStyle w:val="TableParagraph"/>
              <w:spacing w:before="15"/>
              <w:ind w:left="14" w:right="25"/>
              <w:rPr>
                <w:sz w:val="14"/>
              </w:rPr>
            </w:pPr>
            <w:r>
              <w:rPr>
                <w:color w:val="231F20"/>
                <w:sz w:val="14"/>
              </w:rPr>
              <w:t>20.7</w:t>
            </w:r>
          </w:p>
        </w:tc>
        <w:tc>
          <w:tcPr>
            <w:tcW w:w="416" w:type="dxa"/>
            <w:tcBorders>
              <w:bottom w:val="single" w:sz="4" w:space="0" w:color="231F20"/>
            </w:tcBorders>
          </w:tcPr>
          <w:p>
            <w:pPr>
              <w:pStyle w:val="TableParagraph"/>
              <w:spacing w:before="15"/>
              <w:ind w:left="22" w:right="34"/>
              <w:rPr>
                <w:sz w:val="14"/>
              </w:rPr>
            </w:pPr>
            <w:r>
              <w:rPr>
                <w:color w:val="231F20"/>
                <w:sz w:val="14"/>
              </w:rPr>
              <w:t>11.4</w:t>
            </w:r>
          </w:p>
        </w:tc>
        <w:tc>
          <w:tcPr>
            <w:tcW w:w="424" w:type="dxa"/>
            <w:tcBorders>
              <w:bottom w:val="single" w:sz="4" w:space="0" w:color="231F20"/>
            </w:tcBorders>
          </w:tcPr>
          <w:p>
            <w:pPr>
              <w:pStyle w:val="TableParagraph"/>
              <w:spacing w:before="15"/>
              <w:ind w:left="32" w:right="33"/>
              <w:rPr>
                <w:sz w:val="14"/>
              </w:rPr>
            </w:pPr>
            <w:r>
              <w:rPr>
                <w:color w:val="231F20"/>
                <w:sz w:val="14"/>
              </w:rPr>
              <w:t>31.7</w:t>
            </w:r>
          </w:p>
        </w:tc>
        <w:tc>
          <w:tcPr>
            <w:tcW w:w="427" w:type="dxa"/>
            <w:tcBorders>
              <w:bottom w:val="single" w:sz="4" w:space="0" w:color="231F20"/>
            </w:tcBorders>
          </w:tcPr>
          <w:p>
            <w:pPr>
              <w:pStyle w:val="TableParagraph"/>
              <w:spacing w:before="15"/>
              <w:ind w:left="86"/>
              <w:jc w:val="left"/>
              <w:rPr>
                <w:sz w:val="14"/>
              </w:rPr>
            </w:pPr>
            <w:r>
              <w:rPr>
                <w:color w:val="231F20"/>
                <w:sz w:val="14"/>
              </w:rPr>
              <w:t>21.0</w:t>
            </w:r>
          </w:p>
        </w:tc>
        <w:tc>
          <w:tcPr>
            <w:tcW w:w="403" w:type="dxa"/>
            <w:tcBorders>
              <w:bottom w:val="single" w:sz="4" w:space="0" w:color="231F20"/>
            </w:tcBorders>
          </w:tcPr>
          <w:p>
            <w:pPr>
              <w:pStyle w:val="TableParagraph"/>
              <w:spacing w:before="15"/>
              <w:ind w:left="118"/>
              <w:jc w:val="left"/>
              <w:rPr>
                <w:sz w:val="14"/>
              </w:rPr>
            </w:pPr>
            <w:r>
              <w:rPr>
                <w:color w:val="231F20"/>
                <w:sz w:val="14"/>
              </w:rPr>
              <w:t>3.8</w:t>
            </w:r>
          </w:p>
        </w:tc>
        <w:tc>
          <w:tcPr>
            <w:tcW w:w="428" w:type="dxa"/>
            <w:tcBorders>
              <w:bottom w:val="single" w:sz="4" w:space="0" w:color="231F20"/>
            </w:tcBorders>
          </w:tcPr>
          <w:p>
            <w:pPr>
              <w:pStyle w:val="TableParagraph"/>
              <w:spacing w:before="15"/>
              <w:ind w:left="57" w:right="35"/>
              <w:rPr>
                <w:sz w:val="14"/>
              </w:rPr>
            </w:pPr>
            <w:r>
              <w:rPr>
                <w:color w:val="231F20"/>
                <w:sz w:val="14"/>
              </w:rPr>
              <w:t>-10.6</w:t>
            </w:r>
          </w:p>
        </w:tc>
        <w:tc>
          <w:tcPr>
            <w:tcW w:w="416" w:type="dxa"/>
            <w:tcBorders>
              <w:bottom w:val="single" w:sz="4" w:space="0" w:color="231F20"/>
            </w:tcBorders>
          </w:tcPr>
          <w:p>
            <w:pPr>
              <w:pStyle w:val="TableParagraph"/>
              <w:spacing w:before="15"/>
              <w:ind w:left="37" w:right="43"/>
              <w:rPr>
                <w:sz w:val="14"/>
              </w:rPr>
            </w:pPr>
            <w:r>
              <w:rPr>
                <w:color w:val="231F20"/>
                <w:sz w:val="14"/>
              </w:rPr>
              <w:t>-12.6</w:t>
            </w:r>
          </w:p>
        </w:tc>
        <w:tc>
          <w:tcPr>
            <w:tcW w:w="438" w:type="dxa"/>
            <w:tcBorders>
              <w:bottom w:val="single" w:sz="4" w:space="0" w:color="231F20"/>
            </w:tcBorders>
          </w:tcPr>
          <w:p>
            <w:pPr>
              <w:pStyle w:val="TableParagraph"/>
              <w:spacing w:before="15"/>
              <w:ind w:left="72"/>
              <w:jc w:val="left"/>
              <w:rPr>
                <w:sz w:val="14"/>
              </w:rPr>
            </w:pPr>
            <w:r>
              <w:rPr>
                <w:color w:val="231F20"/>
                <w:sz w:val="14"/>
              </w:rPr>
              <w:t>-13.7</w:t>
            </w:r>
          </w:p>
        </w:tc>
        <w:tc>
          <w:tcPr>
            <w:tcW w:w="451" w:type="dxa"/>
            <w:tcBorders>
              <w:bottom w:val="single" w:sz="4" w:space="0" w:color="231F20"/>
            </w:tcBorders>
          </w:tcPr>
          <w:p>
            <w:pPr>
              <w:pStyle w:val="TableParagraph"/>
              <w:spacing w:before="15"/>
              <w:ind w:left="57" w:right="61"/>
              <w:rPr>
                <w:sz w:val="14"/>
              </w:rPr>
            </w:pPr>
            <w:r>
              <w:rPr>
                <w:color w:val="231F20"/>
                <w:sz w:val="14"/>
              </w:rPr>
              <w:t>-21.6</w:t>
            </w:r>
          </w:p>
        </w:tc>
        <w:tc>
          <w:tcPr>
            <w:tcW w:w="447" w:type="dxa"/>
            <w:tcBorders>
              <w:bottom w:val="single" w:sz="4" w:space="0" w:color="231F20"/>
            </w:tcBorders>
          </w:tcPr>
          <w:p>
            <w:pPr>
              <w:pStyle w:val="TableParagraph"/>
              <w:spacing w:before="15"/>
              <w:ind w:right="100"/>
              <w:jc w:val="right"/>
              <w:rPr>
                <w:sz w:val="14"/>
              </w:rPr>
            </w:pPr>
            <w:r>
              <w:rPr>
                <w:color w:val="231F20"/>
                <w:w w:val="95"/>
                <w:sz w:val="14"/>
              </w:rPr>
              <w:t>33.3</w:t>
            </w:r>
          </w:p>
        </w:tc>
        <w:tc>
          <w:tcPr>
            <w:tcW w:w="443" w:type="dxa"/>
            <w:tcBorders>
              <w:bottom w:val="single" w:sz="4" w:space="0" w:color="231F20"/>
            </w:tcBorders>
          </w:tcPr>
          <w:p>
            <w:pPr>
              <w:pStyle w:val="TableParagraph"/>
              <w:spacing w:before="15"/>
              <w:ind w:left="48" w:right="38"/>
              <w:rPr>
                <w:sz w:val="14"/>
              </w:rPr>
            </w:pPr>
            <w:r>
              <w:rPr>
                <w:color w:val="231F20"/>
                <w:sz w:val="14"/>
              </w:rPr>
              <w:t>15.5</w:t>
            </w:r>
          </w:p>
        </w:tc>
        <w:tc>
          <w:tcPr>
            <w:tcW w:w="413" w:type="dxa"/>
            <w:tcBorders>
              <w:bottom w:val="single" w:sz="4" w:space="0" w:color="231F20"/>
            </w:tcBorders>
          </w:tcPr>
          <w:p>
            <w:pPr>
              <w:pStyle w:val="TableParagraph"/>
              <w:spacing w:before="15"/>
              <w:ind w:right="84"/>
              <w:jc w:val="right"/>
              <w:rPr>
                <w:sz w:val="14"/>
              </w:rPr>
            </w:pPr>
            <w:r>
              <w:rPr>
                <w:color w:val="231F20"/>
                <w:w w:val="95"/>
                <w:sz w:val="14"/>
              </w:rPr>
              <w:t>18.0</w:t>
            </w:r>
          </w:p>
        </w:tc>
        <w:tc>
          <w:tcPr>
            <w:tcW w:w="473" w:type="dxa"/>
            <w:tcBorders>
              <w:bottom w:val="single" w:sz="4" w:space="0" w:color="231F20"/>
            </w:tcBorders>
          </w:tcPr>
          <w:p>
            <w:pPr>
              <w:pStyle w:val="TableParagraph"/>
              <w:spacing w:before="15"/>
              <w:ind w:right="154"/>
              <w:jc w:val="right"/>
              <w:rPr>
                <w:sz w:val="14"/>
              </w:rPr>
            </w:pPr>
            <w:r>
              <w:rPr>
                <w:color w:val="231F20"/>
                <w:w w:val="95"/>
                <w:sz w:val="14"/>
              </w:rPr>
              <w:t>9.7</w:t>
            </w:r>
          </w:p>
        </w:tc>
        <w:tc>
          <w:tcPr>
            <w:tcW w:w="429" w:type="dxa"/>
            <w:tcBorders>
              <w:bottom w:val="single" w:sz="4" w:space="0" w:color="231F20"/>
            </w:tcBorders>
          </w:tcPr>
          <w:p>
            <w:pPr>
              <w:pStyle w:val="TableParagraph"/>
              <w:spacing w:before="15"/>
              <w:ind w:left="64"/>
              <w:jc w:val="left"/>
              <w:rPr>
                <w:sz w:val="14"/>
              </w:rPr>
            </w:pPr>
            <w:r>
              <w:rPr>
                <w:color w:val="231F20"/>
                <w:sz w:val="14"/>
              </w:rPr>
              <w:t>-28.8</w:t>
            </w:r>
          </w:p>
        </w:tc>
        <w:tc>
          <w:tcPr>
            <w:tcW w:w="428" w:type="dxa"/>
            <w:tcBorders>
              <w:bottom w:val="single" w:sz="4" w:space="0" w:color="231F20"/>
            </w:tcBorders>
          </w:tcPr>
          <w:p>
            <w:pPr>
              <w:pStyle w:val="TableParagraph"/>
              <w:spacing w:before="15"/>
              <w:ind w:left="55" w:right="38"/>
              <w:rPr>
                <w:sz w:val="14"/>
              </w:rPr>
            </w:pPr>
            <w:r>
              <w:rPr>
                <w:color w:val="231F20"/>
                <w:sz w:val="14"/>
              </w:rPr>
              <w:t>13.8</w:t>
            </w:r>
          </w:p>
        </w:tc>
        <w:tc>
          <w:tcPr>
            <w:tcW w:w="475" w:type="dxa"/>
            <w:tcBorders>
              <w:bottom w:val="single" w:sz="4" w:space="0" w:color="231F20"/>
            </w:tcBorders>
          </w:tcPr>
          <w:p>
            <w:pPr>
              <w:pStyle w:val="TableParagraph"/>
              <w:spacing w:before="15"/>
              <w:ind w:left="38" w:right="32"/>
              <w:rPr>
                <w:sz w:val="14"/>
              </w:rPr>
            </w:pPr>
            <w:r>
              <w:rPr>
                <w:color w:val="231F20"/>
                <w:sz w:val="14"/>
              </w:rPr>
              <w:t>40.1</w:t>
            </w:r>
          </w:p>
        </w:tc>
        <w:tc>
          <w:tcPr>
            <w:tcW w:w="425" w:type="dxa"/>
            <w:tcBorders>
              <w:bottom w:val="single" w:sz="4" w:space="0" w:color="231F20"/>
            </w:tcBorders>
          </w:tcPr>
          <w:p>
            <w:pPr>
              <w:pStyle w:val="TableParagraph"/>
              <w:spacing w:before="15"/>
              <w:ind w:left="36" w:right="55"/>
              <w:rPr>
                <w:sz w:val="14"/>
              </w:rPr>
            </w:pPr>
            <w:r>
              <w:rPr>
                <w:color w:val="231F20"/>
                <w:sz w:val="14"/>
              </w:rPr>
              <w:t>18.5</w:t>
            </w:r>
          </w:p>
        </w:tc>
        <w:tc>
          <w:tcPr>
            <w:tcW w:w="459" w:type="dxa"/>
            <w:tcBorders>
              <w:bottom w:val="single" w:sz="4" w:space="0" w:color="231F20"/>
            </w:tcBorders>
          </w:tcPr>
          <w:p>
            <w:pPr>
              <w:pStyle w:val="TableParagraph"/>
              <w:spacing w:before="15"/>
              <w:ind w:left="81"/>
              <w:jc w:val="left"/>
              <w:rPr>
                <w:sz w:val="14"/>
              </w:rPr>
            </w:pPr>
            <w:r>
              <w:rPr>
                <w:color w:val="231F20"/>
                <w:sz w:val="14"/>
              </w:rPr>
              <w:t>-16.1</w:t>
            </w:r>
          </w:p>
        </w:tc>
      </w:tr>
      <w:tr>
        <w:trPr>
          <w:trHeight w:val="219" w:hRule="exact"/>
        </w:trPr>
        <w:tc>
          <w:tcPr>
            <w:tcW w:w="1036" w:type="dxa"/>
            <w:gridSpan w:val="2"/>
          </w:tcPr>
          <w:p>
            <w:pPr>
              <w:pStyle w:val="TableParagraph"/>
              <w:spacing w:before="23"/>
              <w:ind w:left="2"/>
              <w:jc w:val="left"/>
              <w:rPr>
                <w:rFonts w:ascii="Palatino Linotype"/>
                <w:b/>
                <w:sz w:val="14"/>
              </w:rPr>
            </w:pPr>
            <w:r>
              <w:rPr>
                <w:rFonts w:ascii="Palatino Linotype"/>
                <w:b/>
                <w:color w:val="231F20"/>
                <w:sz w:val="14"/>
              </w:rPr>
              <w:t>Toyota</w:t>
            </w:r>
          </w:p>
        </w:tc>
        <w:tc>
          <w:tcPr>
            <w:tcW w:w="378" w:type="dxa"/>
          </w:tcPr>
          <w:p>
            <w:pPr/>
          </w:p>
        </w:tc>
        <w:tc>
          <w:tcPr>
            <w:tcW w:w="432" w:type="dxa"/>
          </w:tcPr>
          <w:p>
            <w:pPr/>
          </w:p>
        </w:tc>
        <w:tc>
          <w:tcPr>
            <w:tcW w:w="408" w:type="dxa"/>
          </w:tcPr>
          <w:p>
            <w:pPr/>
          </w:p>
        </w:tc>
        <w:tc>
          <w:tcPr>
            <w:tcW w:w="400" w:type="dxa"/>
          </w:tcPr>
          <w:p>
            <w:pPr/>
          </w:p>
        </w:tc>
        <w:tc>
          <w:tcPr>
            <w:tcW w:w="383" w:type="dxa"/>
          </w:tcPr>
          <w:p>
            <w:pPr/>
          </w:p>
        </w:tc>
        <w:tc>
          <w:tcPr>
            <w:tcW w:w="397" w:type="dxa"/>
          </w:tcPr>
          <w:p>
            <w:pPr/>
          </w:p>
        </w:tc>
        <w:tc>
          <w:tcPr>
            <w:tcW w:w="416" w:type="dxa"/>
          </w:tcPr>
          <w:p>
            <w:pPr/>
          </w:p>
        </w:tc>
        <w:tc>
          <w:tcPr>
            <w:tcW w:w="424" w:type="dxa"/>
          </w:tcPr>
          <w:p>
            <w:pPr/>
          </w:p>
        </w:tc>
        <w:tc>
          <w:tcPr>
            <w:tcW w:w="427" w:type="dxa"/>
          </w:tcPr>
          <w:p>
            <w:pPr/>
          </w:p>
        </w:tc>
        <w:tc>
          <w:tcPr>
            <w:tcW w:w="403" w:type="dxa"/>
          </w:tcPr>
          <w:p>
            <w:pPr/>
          </w:p>
        </w:tc>
        <w:tc>
          <w:tcPr>
            <w:tcW w:w="428" w:type="dxa"/>
          </w:tcPr>
          <w:p>
            <w:pPr/>
          </w:p>
        </w:tc>
        <w:tc>
          <w:tcPr>
            <w:tcW w:w="416" w:type="dxa"/>
          </w:tcPr>
          <w:p>
            <w:pPr/>
          </w:p>
        </w:tc>
        <w:tc>
          <w:tcPr>
            <w:tcW w:w="438" w:type="dxa"/>
          </w:tcPr>
          <w:p>
            <w:pPr/>
          </w:p>
        </w:tc>
        <w:tc>
          <w:tcPr>
            <w:tcW w:w="451" w:type="dxa"/>
          </w:tcPr>
          <w:p>
            <w:pPr/>
          </w:p>
        </w:tc>
        <w:tc>
          <w:tcPr>
            <w:tcW w:w="447" w:type="dxa"/>
          </w:tcPr>
          <w:p>
            <w:pPr/>
          </w:p>
        </w:tc>
        <w:tc>
          <w:tcPr>
            <w:tcW w:w="443" w:type="dxa"/>
          </w:tcPr>
          <w:p>
            <w:pPr/>
          </w:p>
        </w:tc>
        <w:tc>
          <w:tcPr>
            <w:tcW w:w="413" w:type="dxa"/>
          </w:tcPr>
          <w:p>
            <w:pPr/>
          </w:p>
        </w:tc>
        <w:tc>
          <w:tcPr>
            <w:tcW w:w="473" w:type="dxa"/>
          </w:tcPr>
          <w:p>
            <w:pPr/>
          </w:p>
        </w:tc>
        <w:tc>
          <w:tcPr>
            <w:tcW w:w="429" w:type="dxa"/>
          </w:tcPr>
          <w:p>
            <w:pPr/>
          </w:p>
        </w:tc>
        <w:tc>
          <w:tcPr>
            <w:tcW w:w="428" w:type="dxa"/>
          </w:tcPr>
          <w:p>
            <w:pPr/>
          </w:p>
        </w:tc>
        <w:tc>
          <w:tcPr>
            <w:tcW w:w="475" w:type="dxa"/>
          </w:tcPr>
          <w:p>
            <w:pPr/>
          </w:p>
        </w:tc>
        <w:tc>
          <w:tcPr>
            <w:tcW w:w="425" w:type="dxa"/>
          </w:tcPr>
          <w:p>
            <w:pPr/>
          </w:p>
        </w:tc>
        <w:tc>
          <w:tcPr>
            <w:tcW w:w="459" w:type="dxa"/>
          </w:tcPr>
          <w:p>
            <w:pPr/>
          </w:p>
        </w:tc>
      </w:tr>
      <w:tr>
        <w:trPr>
          <w:trHeight w:val="196" w:hRule="exact"/>
        </w:trPr>
        <w:tc>
          <w:tcPr>
            <w:tcW w:w="1036" w:type="dxa"/>
            <w:gridSpan w:val="2"/>
          </w:tcPr>
          <w:p>
            <w:pPr>
              <w:pStyle w:val="TableParagraph"/>
              <w:spacing w:line="133" w:lineRule="exact"/>
              <w:ind w:left="417"/>
              <w:jc w:val="left"/>
              <w:rPr>
                <w:sz w:val="14"/>
              </w:rPr>
            </w:pPr>
            <w:r>
              <w:rPr>
                <w:color w:val="231F20"/>
                <w:sz w:val="14"/>
              </w:rPr>
              <w:t>Camiones</w:t>
            </w:r>
          </w:p>
        </w:tc>
        <w:tc>
          <w:tcPr>
            <w:tcW w:w="7101" w:type="dxa"/>
            <w:gridSpan w:val="17"/>
          </w:tcPr>
          <w:p>
            <w:pPr>
              <w:pStyle w:val="TableParagraph"/>
              <w:spacing w:line="133" w:lineRule="exact"/>
              <w:ind w:right="92"/>
              <w:jc w:val="right"/>
              <w:rPr>
                <w:sz w:val="14"/>
              </w:rPr>
            </w:pPr>
            <w:r>
              <w:rPr>
                <w:color w:val="231F20"/>
                <w:w w:val="95"/>
                <w:sz w:val="14"/>
              </w:rPr>
              <w:t>-2.9</w:t>
            </w:r>
          </w:p>
        </w:tc>
        <w:tc>
          <w:tcPr>
            <w:tcW w:w="473" w:type="dxa"/>
          </w:tcPr>
          <w:p>
            <w:pPr>
              <w:pStyle w:val="TableParagraph"/>
              <w:spacing w:line="133" w:lineRule="exact"/>
              <w:ind w:right="120"/>
              <w:jc w:val="right"/>
              <w:rPr>
                <w:sz w:val="14"/>
              </w:rPr>
            </w:pPr>
            <w:r>
              <w:rPr>
                <w:color w:val="231F20"/>
                <w:w w:val="95"/>
                <w:sz w:val="14"/>
              </w:rPr>
              <w:t>54.7</w:t>
            </w:r>
          </w:p>
        </w:tc>
        <w:tc>
          <w:tcPr>
            <w:tcW w:w="429" w:type="dxa"/>
          </w:tcPr>
          <w:p>
            <w:pPr>
              <w:pStyle w:val="TableParagraph"/>
              <w:spacing w:line="133" w:lineRule="exact"/>
              <w:ind w:left="65"/>
              <w:jc w:val="left"/>
              <w:rPr>
                <w:sz w:val="14"/>
              </w:rPr>
            </w:pPr>
            <w:r>
              <w:rPr>
                <w:color w:val="231F20"/>
                <w:sz w:val="14"/>
              </w:rPr>
              <w:t>-14.4</w:t>
            </w:r>
          </w:p>
        </w:tc>
        <w:tc>
          <w:tcPr>
            <w:tcW w:w="428" w:type="dxa"/>
          </w:tcPr>
          <w:p>
            <w:pPr>
              <w:pStyle w:val="TableParagraph"/>
              <w:spacing w:line="133" w:lineRule="exact"/>
              <w:ind w:left="55" w:right="37"/>
              <w:rPr>
                <w:sz w:val="14"/>
              </w:rPr>
            </w:pPr>
            <w:r>
              <w:rPr>
                <w:color w:val="231F20"/>
                <w:sz w:val="14"/>
              </w:rPr>
              <w:t>4.6</w:t>
            </w:r>
          </w:p>
        </w:tc>
        <w:tc>
          <w:tcPr>
            <w:tcW w:w="475" w:type="dxa"/>
          </w:tcPr>
          <w:p>
            <w:pPr>
              <w:pStyle w:val="TableParagraph"/>
              <w:spacing w:line="133" w:lineRule="exact"/>
              <w:ind w:left="38" w:right="31"/>
              <w:rPr>
                <w:sz w:val="14"/>
              </w:rPr>
            </w:pPr>
            <w:r>
              <w:rPr>
                <w:color w:val="231F20"/>
                <w:sz w:val="14"/>
              </w:rPr>
              <w:t>11.0</w:t>
            </w:r>
          </w:p>
        </w:tc>
        <w:tc>
          <w:tcPr>
            <w:tcW w:w="425" w:type="dxa"/>
          </w:tcPr>
          <w:p>
            <w:pPr>
              <w:pStyle w:val="TableParagraph"/>
              <w:spacing w:line="133" w:lineRule="exact"/>
              <w:ind w:left="37" w:right="55"/>
              <w:rPr>
                <w:sz w:val="14"/>
              </w:rPr>
            </w:pPr>
            <w:r>
              <w:rPr>
                <w:color w:val="231F20"/>
                <w:sz w:val="14"/>
              </w:rPr>
              <w:t>12.2</w:t>
            </w:r>
          </w:p>
        </w:tc>
        <w:tc>
          <w:tcPr>
            <w:tcW w:w="459" w:type="dxa"/>
          </w:tcPr>
          <w:p>
            <w:pPr>
              <w:pStyle w:val="TableParagraph"/>
              <w:spacing w:line="133" w:lineRule="exact"/>
              <w:ind w:left="106"/>
              <w:jc w:val="left"/>
              <w:rPr>
                <w:sz w:val="14"/>
              </w:rPr>
            </w:pPr>
            <w:r>
              <w:rPr>
                <w:color w:val="231F20"/>
                <w:sz w:val="14"/>
              </w:rPr>
              <w:t>14.5</w:t>
            </w:r>
          </w:p>
        </w:tc>
      </w:tr>
      <w:tr>
        <w:trPr>
          <w:trHeight w:val="209" w:hRule="exact"/>
        </w:trPr>
        <w:tc>
          <w:tcPr>
            <w:tcW w:w="1036" w:type="dxa"/>
            <w:gridSpan w:val="2"/>
            <w:tcBorders>
              <w:bottom w:val="single" w:sz="4" w:space="0" w:color="231F20"/>
            </w:tcBorders>
          </w:tcPr>
          <w:p>
            <w:pPr>
              <w:pStyle w:val="TableParagraph"/>
              <w:spacing w:before="15"/>
              <w:ind w:right="53"/>
              <w:jc w:val="right"/>
              <w:rPr>
                <w:sz w:val="14"/>
              </w:rPr>
            </w:pPr>
            <w:r>
              <w:rPr>
                <w:color w:val="231F20"/>
                <w:sz w:val="14"/>
              </w:rPr>
              <w:t>Total</w:t>
            </w:r>
          </w:p>
        </w:tc>
        <w:tc>
          <w:tcPr>
            <w:tcW w:w="7101" w:type="dxa"/>
            <w:gridSpan w:val="17"/>
            <w:tcBorders>
              <w:bottom w:val="single" w:sz="4" w:space="0" w:color="231F20"/>
            </w:tcBorders>
          </w:tcPr>
          <w:p>
            <w:pPr>
              <w:pStyle w:val="TableParagraph"/>
              <w:spacing w:before="15"/>
              <w:ind w:right="92"/>
              <w:jc w:val="right"/>
              <w:rPr>
                <w:sz w:val="14"/>
              </w:rPr>
            </w:pPr>
            <w:r>
              <w:rPr>
                <w:color w:val="231F20"/>
                <w:w w:val="95"/>
                <w:sz w:val="14"/>
              </w:rPr>
              <w:t>-2.9</w:t>
            </w:r>
          </w:p>
        </w:tc>
        <w:tc>
          <w:tcPr>
            <w:tcW w:w="473" w:type="dxa"/>
            <w:tcBorders>
              <w:bottom w:val="single" w:sz="4" w:space="0" w:color="231F20"/>
            </w:tcBorders>
          </w:tcPr>
          <w:p>
            <w:pPr>
              <w:pStyle w:val="TableParagraph"/>
              <w:spacing w:before="15"/>
              <w:ind w:right="120"/>
              <w:jc w:val="right"/>
              <w:rPr>
                <w:sz w:val="14"/>
              </w:rPr>
            </w:pPr>
            <w:r>
              <w:rPr>
                <w:color w:val="231F20"/>
                <w:w w:val="95"/>
                <w:sz w:val="14"/>
              </w:rPr>
              <w:t>54.7</w:t>
            </w:r>
          </w:p>
        </w:tc>
        <w:tc>
          <w:tcPr>
            <w:tcW w:w="429" w:type="dxa"/>
            <w:tcBorders>
              <w:bottom w:val="single" w:sz="4" w:space="0" w:color="231F20"/>
            </w:tcBorders>
          </w:tcPr>
          <w:p>
            <w:pPr>
              <w:pStyle w:val="TableParagraph"/>
              <w:spacing w:before="15"/>
              <w:ind w:left="65"/>
              <w:jc w:val="left"/>
              <w:rPr>
                <w:sz w:val="14"/>
              </w:rPr>
            </w:pPr>
            <w:r>
              <w:rPr>
                <w:color w:val="231F20"/>
                <w:sz w:val="14"/>
              </w:rPr>
              <w:t>-14.4</w:t>
            </w:r>
          </w:p>
        </w:tc>
        <w:tc>
          <w:tcPr>
            <w:tcW w:w="428" w:type="dxa"/>
            <w:tcBorders>
              <w:bottom w:val="single" w:sz="4" w:space="0" w:color="231F20"/>
            </w:tcBorders>
          </w:tcPr>
          <w:p>
            <w:pPr>
              <w:pStyle w:val="TableParagraph"/>
              <w:spacing w:before="15"/>
              <w:ind w:left="55" w:right="36"/>
              <w:rPr>
                <w:sz w:val="14"/>
              </w:rPr>
            </w:pPr>
            <w:r>
              <w:rPr>
                <w:color w:val="231F20"/>
                <w:sz w:val="14"/>
              </w:rPr>
              <w:t>4.6</w:t>
            </w:r>
          </w:p>
        </w:tc>
        <w:tc>
          <w:tcPr>
            <w:tcW w:w="475" w:type="dxa"/>
            <w:tcBorders>
              <w:bottom w:val="single" w:sz="4" w:space="0" w:color="231F20"/>
            </w:tcBorders>
          </w:tcPr>
          <w:p>
            <w:pPr>
              <w:pStyle w:val="TableParagraph"/>
              <w:spacing w:before="15"/>
              <w:ind w:left="38" w:right="31"/>
              <w:rPr>
                <w:sz w:val="14"/>
              </w:rPr>
            </w:pPr>
            <w:r>
              <w:rPr>
                <w:color w:val="231F20"/>
                <w:sz w:val="14"/>
              </w:rPr>
              <w:t>11.0</w:t>
            </w:r>
          </w:p>
        </w:tc>
        <w:tc>
          <w:tcPr>
            <w:tcW w:w="425" w:type="dxa"/>
            <w:tcBorders>
              <w:bottom w:val="single" w:sz="4" w:space="0" w:color="231F20"/>
            </w:tcBorders>
          </w:tcPr>
          <w:p>
            <w:pPr>
              <w:pStyle w:val="TableParagraph"/>
              <w:spacing w:before="15"/>
              <w:ind w:left="37" w:right="54"/>
              <w:rPr>
                <w:sz w:val="14"/>
              </w:rPr>
            </w:pPr>
            <w:r>
              <w:rPr>
                <w:color w:val="231F20"/>
                <w:sz w:val="14"/>
              </w:rPr>
              <w:t>12.2</w:t>
            </w:r>
          </w:p>
        </w:tc>
        <w:tc>
          <w:tcPr>
            <w:tcW w:w="459" w:type="dxa"/>
            <w:tcBorders>
              <w:bottom w:val="single" w:sz="4" w:space="0" w:color="231F20"/>
            </w:tcBorders>
          </w:tcPr>
          <w:p>
            <w:pPr>
              <w:pStyle w:val="TableParagraph"/>
              <w:spacing w:before="15"/>
              <w:ind w:left="107"/>
              <w:jc w:val="left"/>
              <w:rPr>
                <w:sz w:val="14"/>
              </w:rPr>
            </w:pPr>
            <w:r>
              <w:rPr>
                <w:color w:val="231F20"/>
                <w:sz w:val="14"/>
              </w:rPr>
              <w:t>14.5</w:t>
            </w:r>
          </w:p>
        </w:tc>
      </w:tr>
      <w:tr>
        <w:trPr>
          <w:trHeight w:val="276" w:hRule="exact"/>
        </w:trPr>
        <w:tc>
          <w:tcPr>
            <w:tcW w:w="361" w:type="dxa"/>
          </w:tcPr>
          <w:p>
            <w:pPr>
              <w:pStyle w:val="TableParagraph"/>
              <w:spacing w:before="74"/>
              <w:ind w:left="3"/>
              <w:jc w:val="left"/>
              <w:rPr>
                <w:rFonts w:ascii="Palatino Linotype"/>
                <w:b/>
                <w:sz w:val="14"/>
              </w:rPr>
            </w:pPr>
            <w:r>
              <w:rPr>
                <w:rFonts w:ascii="Palatino Linotype"/>
                <w:b/>
                <w:color w:val="231F20"/>
                <w:sz w:val="14"/>
              </w:rPr>
              <w:t>Total</w:t>
            </w:r>
          </w:p>
        </w:tc>
        <w:tc>
          <w:tcPr>
            <w:tcW w:w="675" w:type="dxa"/>
          </w:tcPr>
          <w:p>
            <w:pPr/>
          </w:p>
        </w:tc>
        <w:tc>
          <w:tcPr>
            <w:tcW w:w="378" w:type="dxa"/>
          </w:tcPr>
          <w:p>
            <w:pPr>
              <w:pStyle w:val="TableParagraph"/>
              <w:spacing w:before="91"/>
              <w:ind w:left="56"/>
              <w:jc w:val="left"/>
              <w:rPr>
                <w:sz w:val="14"/>
              </w:rPr>
            </w:pPr>
            <w:r>
              <w:rPr>
                <w:color w:val="231F20"/>
                <w:sz w:val="14"/>
              </w:rPr>
              <w:t>19.6</w:t>
            </w:r>
          </w:p>
        </w:tc>
        <w:tc>
          <w:tcPr>
            <w:tcW w:w="432" w:type="dxa"/>
          </w:tcPr>
          <w:p>
            <w:pPr>
              <w:pStyle w:val="TableParagraph"/>
              <w:spacing w:before="91"/>
              <w:ind w:left="63" w:right="33"/>
              <w:rPr>
                <w:sz w:val="14"/>
              </w:rPr>
            </w:pPr>
            <w:r>
              <w:rPr>
                <w:color w:val="231F20"/>
                <w:sz w:val="14"/>
              </w:rPr>
              <w:t>9.4</w:t>
            </w:r>
          </w:p>
        </w:tc>
        <w:tc>
          <w:tcPr>
            <w:tcW w:w="408" w:type="dxa"/>
          </w:tcPr>
          <w:p>
            <w:pPr>
              <w:pStyle w:val="TableParagraph"/>
              <w:spacing w:before="91"/>
              <w:ind w:left="37" w:right="36"/>
              <w:rPr>
                <w:sz w:val="14"/>
              </w:rPr>
            </w:pPr>
            <w:r>
              <w:rPr>
                <w:color w:val="231F20"/>
                <w:sz w:val="14"/>
              </w:rPr>
              <w:t>0.4</w:t>
            </w:r>
          </w:p>
        </w:tc>
        <w:tc>
          <w:tcPr>
            <w:tcW w:w="400" w:type="dxa"/>
          </w:tcPr>
          <w:p>
            <w:pPr>
              <w:pStyle w:val="TableParagraph"/>
              <w:spacing w:before="91"/>
              <w:ind w:left="36" w:right="30"/>
              <w:rPr>
                <w:sz w:val="14"/>
              </w:rPr>
            </w:pPr>
            <w:r>
              <w:rPr>
                <w:color w:val="231F20"/>
                <w:sz w:val="14"/>
              </w:rPr>
              <w:t>4.0</w:t>
            </w:r>
          </w:p>
        </w:tc>
        <w:tc>
          <w:tcPr>
            <w:tcW w:w="383" w:type="dxa"/>
          </w:tcPr>
          <w:p>
            <w:pPr>
              <w:pStyle w:val="TableParagraph"/>
              <w:spacing w:before="91"/>
              <w:ind w:left="30" w:right="14"/>
              <w:rPr>
                <w:sz w:val="14"/>
              </w:rPr>
            </w:pPr>
            <w:r>
              <w:rPr>
                <w:color w:val="231F20"/>
                <w:sz w:val="14"/>
              </w:rPr>
              <w:t>-15.2</w:t>
            </w:r>
          </w:p>
        </w:tc>
        <w:tc>
          <w:tcPr>
            <w:tcW w:w="397" w:type="dxa"/>
          </w:tcPr>
          <w:p>
            <w:pPr>
              <w:pStyle w:val="TableParagraph"/>
              <w:spacing w:before="91"/>
              <w:ind w:left="15" w:right="24"/>
              <w:rPr>
                <w:sz w:val="14"/>
              </w:rPr>
            </w:pPr>
            <w:r>
              <w:rPr>
                <w:color w:val="231F20"/>
                <w:sz w:val="14"/>
              </w:rPr>
              <w:t>30.1</w:t>
            </w:r>
          </w:p>
        </w:tc>
        <w:tc>
          <w:tcPr>
            <w:tcW w:w="416" w:type="dxa"/>
          </w:tcPr>
          <w:p>
            <w:pPr>
              <w:pStyle w:val="TableParagraph"/>
              <w:spacing w:before="91"/>
              <w:ind w:left="25" w:right="34"/>
              <w:rPr>
                <w:sz w:val="14"/>
              </w:rPr>
            </w:pPr>
            <w:r>
              <w:rPr>
                <w:color w:val="231F20"/>
                <w:sz w:val="14"/>
              </w:rPr>
              <w:t>10.4</w:t>
            </w:r>
          </w:p>
        </w:tc>
        <w:tc>
          <w:tcPr>
            <w:tcW w:w="424" w:type="dxa"/>
          </w:tcPr>
          <w:p>
            <w:pPr>
              <w:pStyle w:val="TableParagraph"/>
              <w:spacing w:before="91"/>
              <w:ind w:left="33" w:right="33"/>
              <w:rPr>
                <w:sz w:val="14"/>
              </w:rPr>
            </w:pPr>
            <w:r>
              <w:rPr>
                <w:color w:val="231F20"/>
                <w:sz w:val="14"/>
              </w:rPr>
              <w:t>6.7</w:t>
            </w:r>
          </w:p>
        </w:tc>
        <w:tc>
          <w:tcPr>
            <w:tcW w:w="427" w:type="dxa"/>
          </w:tcPr>
          <w:p>
            <w:pPr>
              <w:pStyle w:val="TableParagraph"/>
              <w:spacing w:before="91"/>
              <w:ind w:left="121"/>
              <w:jc w:val="left"/>
              <w:rPr>
                <w:sz w:val="14"/>
              </w:rPr>
            </w:pPr>
            <w:r>
              <w:rPr>
                <w:color w:val="231F20"/>
                <w:sz w:val="14"/>
              </w:rPr>
              <w:t>4.7</w:t>
            </w:r>
          </w:p>
        </w:tc>
        <w:tc>
          <w:tcPr>
            <w:tcW w:w="403" w:type="dxa"/>
          </w:tcPr>
          <w:p>
            <w:pPr>
              <w:pStyle w:val="TableParagraph"/>
              <w:spacing w:before="91"/>
              <w:ind w:left="86"/>
              <w:jc w:val="left"/>
              <w:rPr>
                <w:sz w:val="14"/>
              </w:rPr>
            </w:pPr>
            <w:r>
              <w:rPr>
                <w:color w:val="231F20"/>
                <w:sz w:val="14"/>
              </w:rPr>
              <w:t>26.5</w:t>
            </w:r>
          </w:p>
        </w:tc>
        <w:tc>
          <w:tcPr>
            <w:tcW w:w="428" w:type="dxa"/>
          </w:tcPr>
          <w:p>
            <w:pPr>
              <w:pStyle w:val="TableParagraph"/>
              <w:spacing w:before="91"/>
              <w:ind w:left="57" w:right="33"/>
              <w:rPr>
                <w:sz w:val="14"/>
              </w:rPr>
            </w:pPr>
            <w:r>
              <w:rPr>
                <w:color w:val="231F20"/>
                <w:sz w:val="14"/>
              </w:rPr>
              <w:t>-3.9</w:t>
            </w:r>
          </w:p>
        </w:tc>
        <w:tc>
          <w:tcPr>
            <w:tcW w:w="416" w:type="dxa"/>
          </w:tcPr>
          <w:p>
            <w:pPr>
              <w:pStyle w:val="TableParagraph"/>
              <w:spacing w:before="91"/>
              <w:ind w:left="37" w:right="41"/>
              <w:rPr>
                <w:sz w:val="14"/>
              </w:rPr>
            </w:pPr>
            <w:r>
              <w:rPr>
                <w:color w:val="231F20"/>
                <w:sz w:val="14"/>
              </w:rPr>
              <w:t>-3.0</w:t>
            </w:r>
          </w:p>
        </w:tc>
        <w:tc>
          <w:tcPr>
            <w:tcW w:w="438" w:type="dxa"/>
          </w:tcPr>
          <w:p>
            <w:pPr>
              <w:pStyle w:val="TableParagraph"/>
              <w:spacing w:before="91"/>
              <w:ind w:left="73"/>
              <w:jc w:val="left"/>
              <w:rPr>
                <w:sz w:val="14"/>
              </w:rPr>
            </w:pPr>
            <w:r>
              <w:rPr>
                <w:color w:val="231F20"/>
                <w:sz w:val="14"/>
              </w:rPr>
              <w:t>-13.4</w:t>
            </w:r>
          </w:p>
        </w:tc>
        <w:tc>
          <w:tcPr>
            <w:tcW w:w="451" w:type="dxa"/>
          </w:tcPr>
          <w:p>
            <w:pPr>
              <w:pStyle w:val="TableParagraph"/>
              <w:spacing w:before="91"/>
              <w:ind w:left="57" w:right="59"/>
              <w:rPr>
                <w:sz w:val="14"/>
              </w:rPr>
            </w:pPr>
            <w:r>
              <w:rPr>
                <w:color w:val="231F20"/>
                <w:sz w:val="14"/>
              </w:rPr>
              <w:t>-1.9</w:t>
            </w:r>
          </w:p>
        </w:tc>
        <w:tc>
          <w:tcPr>
            <w:tcW w:w="447" w:type="dxa"/>
          </w:tcPr>
          <w:p>
            <w:pPr>
              <w:pStyle w:val="TableParagraph"/>
              <w:spacing w:before="91"/>
              <w:ind w:right="132"/>
              <w:jc w:val="right"/>
              <w:rPr>
                <w:sz w:val="14"/>
              </w:rPr>
            </w:pPr>
            <w:r>
              <w:rPr>
                <w:color w:val="231F20"/>
                <w:w w:val="95"/>
                <w:sz w:val="14"/>
              </w:rPr>
              <w:t>6.5</w:t>
            </w:r>
          </w:p>
        </w:tc>
        <w:tc>
          <w:tcPr>
            <w:tcW w:w="443" w:type="dxa"/>
          </w:tcPr>
          <w:p>
            <w:pPr>
              <w:pStyle w:val="TableParagraph"/>
              <w:spacing w:before="91"/>
              <w:ind w:left="48" w:right="36"/>
              <w:rPr>
                <w:sz w:val="14"/>
              </w:rPr>
            </w:pPr>
            <w:r>
              <w:rPr>
                <w:color w:val="231F20"/>
                <w:sz w:val="14"/>
              </w:rPr>
              <w:t>23.6</w:t>
            </w:r>
          </w:p>
        </w:tc>
        <w:tc>
          <w:tcPr>
            <w:tcW w:w="413" w:type="dxa"/>
          </w:tcPr>
          <w:p>
            <w:pPr>
              <w:pStyle w:val="TableParagraph"/>
              <w:spacing w:before="91"/>
              <w:ind w:right="116"/>
              <w:jc w:val="right"/>
              <w:rPr>
                <w:sz w:val="14"/>
              </w:rPr>
            </w:pPr>
            <w:r>
              <w:rPr>
                <w:color w:val="231F20"/>
                <w:w w:val="95"/>
                <w:sz w:val="14"/>
              </w:rPr>
              <w:t>1.9</w:t>
            </w:r>
          </w:p>
        </w:tc>
        <w:tc>
          <w:tcPr>
            <w:tcW w:w="473" w:type="dxa"/>
          </w:tcPr>
          <w:p>
            <w:pPr>
              <w:pStyle w:val="TableParagraph"/>
              <w:spacing w:before="91"/>
              <w:ind w:right="153"/>
              <w:jc w:val="right"/>
              <w:rPr>
                <w:sz w:val="14"/>
              </w:rPr>
            </w:pPr>
            <w:r>
              <w:rPr>
                <w:color w:val="231F20"/>
                <w:w w:val="95"/>
                <w:sz w:val="14"/>
              </w:rPr>
              <w:t>4.3</w:t>
            </w:r>
          </w:p>
        </w:tc>
        <w:tc>
          <w:tcPr>
            <w:tcW w:w="429" w:type="dxa"/>
          </w:tcPr>
          <w:p>
            <w:pPr>
              <w:pStyle w:val="TableParagraph"/>
              <w:spacing w:before="91"/>
              <w:ind w:left="65"/>
              <w:jc w:val="left"/>
              <w:rPr>
                <w:sz w:val="14"/>
              </w:rPr>
            </w:pPr>
            <w:r>
              <w:rPr>
                <w:color w:val="231F20"/>
                <w:sz w:val="14"/>
              </w:rPr>
              <w:t>-28.0</w:t>
            </w:r>
          </w:p>
        </w:tc>
        <w:tc>
          <w:tcPr>
            <w:tcW w:w="428" w:type="dxa"/>
          </w:tcPr>
          <w:p>
            <w:pPr>
              <w:pStyle w:val="TableParagraph"/>
              <w:spacing w:before="91"/>
              <w:ind w:left="55" w:right="36"/>
              <w:rPr>
                <w:sz w:val="14"/>
              </w:rPr>
            </w:pPr>
            <w:r>
              <w:rPr>
                <w:color w:val="231F20"/>
                <w:sz w:val="14"/>
              </w:rPr>
              <w:t>23.2</w:t>
            </w:r>
          </w:p>
        </w:tc>
        <w:tc>
          <w:tcPr>
            <w:tcW w:w="475" w:type="dxa"/>
          </w:tcPr>
          <w:p>
            <w:pPr>
              <w:pStyle w:val="TableParagraph"/>
              <w:spacing w:before="91"/>
              <w:ind w:left="38" w:right="30"/>
              <w:rPr>
                <w:sz w:val="14"/>
              </w:rPr>
            </w:pPr>
            <w:r>
              <w:rPr>
                <w:color w:val="231F20"/>
                <w:sz w:val="14"/>
              </w:rPr>
              <w:t>34.5</w:t>
            </w:r>
          </w:p>
        </w:tc>
        <w:tc>
          <w:tcPr>
            <w:tcW w:w="425" w:type="dxa"/>
          </w:tcPr>
          <w:p>
            <w:pPr>
              <w:pStyle w:val="TableParagraph"/>
              <w:spacing w:before="91"/>
              <w:ind w:left="37" w:right="54"/>
              <w:rPr>
                <w:sz w:val="14"/>
              </w:rPr>
            </w:pPr>
            <w:r>
              <w:rPr>
                <w:color w:val="231F20"/>
                <w:sz w:val="14"/>
              </w:rPr>
              <w:t>14.1</w:t>
            </w:r>
          </w:p>
        </w:tc>
        <w:tc>
          <w:tcPr>
            <w:tcW w:w="459" w:type="dxa"/>
          </w:tcPr>
          <w:p>
            <w:pPr>
              <w:pStyle w:val="TableParagraph"/>
              <w:spacing w:before="91"/>
              <w:ind w:left="140"/>
              <w:jc w:val="left"/>
              <w:rPr>
                <w:sz w:val="14"/>
              </w:rPr>
            </w:pPr>
            <w:r>
              <w:rPr>
                <w:color w:val="231F20"/>
                <w:sz w:val="14"/>
              </w:rPr>
              <w:t>2.2</w:t>
            </w:r>
          </w:p>
        </w:tc>
      </w:tr>
      <w:tr>
        <w:trPr>
          <w:trHeight w:val="196" w:hRule="exact"/>
        </w:trPr>
        <w:tc>
          <w:tcPr>
            <w:tcW w:w="361" w:type="dxa"/>
          </w:tcPr>
          <w:p>
            <w:pPr/>
          </w:p>
        </w:tc>
        <w:tc>
          <w:tcPr>
            <w:tcW w:w="675" w:type="dxa"/>
          </w:tcPr>
          <w:p>
            <w:pPr>
              <w:pStyle w:val="TableParagraph"/>
              <w:spacing w:line="145" w:lineRule="exact"/>
              <w:ind w:right="52"/>
              <w:jc w:val="right"/>
              <w:rPr>
                <w:sz w:val="14"/>
              </w:rPr>
            </w:pPr>
            <w:r>
              <w:rPr>
                <w:color w:val="231F20"/>
                <w:sz w:val="14"/>
              </w:rPr>
              <w:t>Autos</w:t>
            </w:r>
          </w:p>
        </w:tc>
        <w:tc>
          <w:tcPr>
            <w:tcW w:w="378" w:type="dxa"/>
          </w:tcPr>
          <w:p>
            <w:pPr>
              <w:pStyle w:val="TableParagraph"/>
              <w:spacing w:line="145" w:lineRule="exact"/>
              <w:ind w:left="56"/>
              <w:jc w:val="left"/>
              <w:rPr>
                <w:sz w:val="14"/>
              </w:rPr>
            </w:pPr>
            <w:r>
              <w:rPr>
                <w:color w:val="231F20"/>
                <w:sz w:val="14"/>
              </w:rPr>
              <w:t>20.4</w:t>
            </w:r>
          </w:p>
        </w:tc>
        <w:tc>
          <w:tcPr>
            <w:tcW w:w="432" w:type="dxa"/>
          </w:tcPr>
          <w:p>
            <w:pPr>
              <w:pStyle w:val="TableParagraph"/>
              <w:spacing w:line="145" w:lineRule="exact"/>
              <w:ind w:left="63" w:right="33"/>
              <w:rPr>
                <w:sz w:val="14"/>
              </w:rPr>
            </w:pPr>
            <w:r>
              <w:rPr>
                <w:color w:val="231F20"/>
                <w:sz w:val="14"/>
              </w:rPr>
              <w:t>7.7</w:t>
            </w:r>
          </w:p>
        </w:tc>
        <w:tc>
          <w:tcPr>
            <w:tcW w:w="408" w:type="dxa"/>
          </w:tcPr>
          <w:p>
            <w:pPr>
              <w:pStyle w:val="TableParagraph"/>
              <w:spacing w:line="145" w:lineRule="exact"/>
              <w:ind w:left="37" w:right="35"/>
              <w:rPr>
                <w:sz w:val="14"/>
              </w:rPr>
            </w:pPr>
            <w:r>
              <w:rPr>
                <w:color w:val="231F20"/>
                <w:sz w:val="14"/>
              </w:rPr>
              <w:t>7.6</w:t>
            </w:r>
          </w:p>
        </w:tc>
        <w:tc>
          <w:tcPr>
            <w:tcW w:w="400" w:type="dxa"/>
          </w:tcPr>
          <w:p>
            <w:pPr>
              <w:pStyle w:val="TableParagraph"/>
              <w:spacing w:line="145" w:lineRule="exact"/>
              <w:ind w:left="36" w:right="30"/>
              <w:rPr>
                <w:sz w:val="14"/>
              </w:rPr>
            </w:pPr>
            <w:r>
              <w:rPr>
                <w:color w:val="231F20"/>
                <w:sz w:val="14"/>
              </w:rPr>
              <w:t>2.5</w:t>
            </w:r>
          </w:p>
        </w:tc>
        <w:tc>
          <w:tcPr>
            <w:tcW w:w="383" w:type="dxa"/>
          </w:tcPr>
          <w:p>
            <w:pPr>
              <w:pStyle w:val="TableParagraph"/>
              <w:spacing w:line="145" w:lineRule="exact"/>
              <w:ind w:left="30" w:right="14"/>
              <w:rPr>
                <w:sz w:val="14"/>
              </w:rPr>
            </w:pPr>
            <w:r>
              <w:rPr>
                <w:color w:val="231F20"/>
                <w:sz w:val="14"/>
              </w:rPr>
              <w:t>-18.4</w:t>
            </w:r>
          </w:p>
        </w:tc>
        <w:tc>
          <w:tcPr>
            <w:tcW w:w="397" w:type="dxa"/>
          </w:tcPr>
          <w:p>
            <w:pPr>
              <w:pStyle w:val="TableParagraph"/>
              <w:spacing w:line="145" w:lineRule="exact"/>
              <w:ind w:left="15" w:right="23"/>
              <w:rPr>
                <w:sz w:val="14"/>
              </w:rPr>
            </w:pPr>
            <w:r>
              <w:rPr>
                <w:color w:val="231F20"/>
                <w:sz w:val="14"/>
              </w:rPr>
              <w:t>14.0</w:t>
            </w:r>
          </w:p>
        </w:tc>
        <w:tc>
          <w:tcPr>
            <w:tcW w:w="416" w:type="dxa"/>
          </w:tcPr>
          <w:p>
            <w:pPr>
              <w:pStyle w:val="TableParagraph"/>
              <w:spacing w:line="145" w:lineRule="exact"/>
              <w:ind w:left="25" w:right="34"/>
              <w:rPr>
                <w:sz w:val="14"/>
              </w:rPr>
            </w:pPr>
            <w:r>
              <w:rPr>
                <w:color w:val="231F20"/>
                <w:sz w:val="14"/>
              </w:rPr>
              <w:t>7.1</w:t>
            </w:r>
          </w:p>
        </w:tc>
        <w:tc>
          <w:tcPr>
            <w:tcW w:w="424" w:type="dxa"/>
          </w:tcPr>
          <w:p>
            <w:pPr>
              <w:pStyle w:val="TableParagraph"/>
              <w:spacing w:line="145" w:lineRule="exact"/>
              <w:ind w:left="33" w:right="33"/>
              <w:rPr>
                <w:sz w:val="14"/>
              </w:rPr>
            </w:pPr>
            <w:r>
              <w:rPr>
                <w:color w:val="231F20"/>
                <w:sz w:val="14"/>
              </w:rPr>
              <w:t>11.4</w:t>
            </w:r>
          </w:p>
        </w:tc>
        <w:tc>
          <w:tcPr>
            <w:tcW w:w="427" w:type="dxa"/>
          </w:tcPr>
          <w:p>
            <w:pPr>
              <w:pStyle w:val="TableParagraph"/>
              <w:spacing w:line="145" w:lineRule="exact"/>
              <w:ind w:left="121"/>
              <w:jc w:val="left"/>
              <w:rPr>
                <w:sz w:val="14"/>
              </w:rPr>
            </w:pPr>
            <w:r>
              <w:rPr>
                <w:color w:val="231F20"/>
                <w:sz w:val="14"/>
              </w:rPr>
              <w:t>4.4</w:t>
            </w:r>
          </w:p>
        </w:tc>
        <w:tc>
          <w:tcPr>
            <w:tcW w:w="403" w:type="dxa"/>
          </w:tcPr>
          <w:p>
            <w:pPr>
              <w:pStyle w:val="TableParagraph"/>
              <w:spacing w:line="145" w:lineRule="exact"/>
              <w:ind w:left="86"/>
              <w:jc w:val="left"/>
              <w:rPr>
                <w:sz w:val="14"/>
              </w:rPr>
            </w:pPr>
            <w:r>
              <w:rPr>
                <w:color w:val="231F20"/>
                <w:sz w:val="14"/>
              </w:rPr>
              <w:t>28.8</w:t>
            </w:r>
          </w:p>
        </w:tc>
        <w:tc>
          <w:tcPr>
            <w:tcW w:w="428" w:type="dxa"/>
          </w:tcPr>
          <w:p>
            <w:pPr>
              <w:pStyle w:val="TableParagraph"/>
              <w:spacing w:line="145" w:lineRule="exact"/>
              <w:ind w:left="57" w:right="32"/>
              <w:rPr>
                <w:sz w:val="14"/>
              </w:rPr>
            </w:pPr>
            <w:r>
              <w:rPr>
                <w:color w:val="231F20"/>
                <w:sz w:val="14"/>
              </w:rPr>
              <w:t>-5.6</w:t>
            </w:r>
          </w:p>
        </w:tc>
        <w:tc>
          <w:tcPr>
            <w:tcW w:w="416" w:type="dxa"/>
          </w:tcPr>
          <w:p>
            <w:pPr>
              <w:pStyle w:val="TableParagraph"/>
              <w:spacing w:line="145" w:lineRule="exact"/>
              <w:ind w:left="37" w:right="41"/>
              <w:rPr>
                <w:sz w:val="14"/>
              </w:rPr>
            </w:pPr>
            <w:r>
              <w:rPr>
                <w:color w:val="231F20"/>
                <w:sz w:val="14"/>
              </w:rPr>
              <w:t>-6.6</w:t>
            </w:r>
          </w:p>
        </w:tc>
        <w:tc>
          <w:tcPr>
            <w:tcW w:w="438" w:type="dxa"/>
          </w:tcPr>
          <w:p>
            <w:pPr>
              <w:pStyle w:val="TableParagraph"/>
              <w:spacing w:line="145" w:lineRule="exact"/>
              <w:ind w:left="73"/>
              <w:jc w:val="left"/>
              <w:rPr>
                <w:sz w:val="14"/>
              </w:rPr>
            </w:pPr>
            <w:r>
              <w:rPr>
                <w:color w:val="231F20"/>
                <w:sz w:val="14"/>
              </w:rPr>
              <w:t>-20.3</w:t>
            </w:r>
          </w:p>
        </w:tc>
        <w:tc>
          <w:tcPr>
            <w:tcW w:w="451" w:type="dxa"/>
          </w:tcPr>
          <w:p>
            <w:pPr>
              <w:pStyle w:val="TableParagraph"/>
              <w:spacing w:line="145" w:lineRule="exact"/>
              <w:ind w:left="57" w:right="58"/>
              <w:rPr>
                <w:sz w:val="14"/>
              </w:rPr>
            </w:pPr>
            <w:r>
              <w:rPr>
                <w:color w:val="231F20"/>
                <w:sz w:val="14"/>
              </w:rPr>
              <w:t>-0.6</w:t>
            </w:r>
          </w:p>
        </w:tc>
        <w:tc>
          <w:tcPr>
            <w:tcW w:w="447" w:type="dxa"/>
          </w:tcPr>
          <w:p>
            <w:pPr>
              <w:pStyle w:val="TableParagraph"/>
              <w:spacing w:line="145" w:lineRule="exact"/>
              <w:ind w:right="98"/>
              <w:jc w:val="right"/>
              <w:rPr>
                <w:sz w:val="14"/>
              </w:rPr>
            </w:pPr>
            <w:r>
              <w:rPr>
                <w:color w:val="231F20"/>
                <w:w w:val="95"/>
                <w:sz w:val="14"/>
              </w:rPr>
              <w:t>16.5</w:t>
            </w:r>
          </w:p>
        </w:tc>
        <w:tc>
          <w:tcPr>
            <w:tcW w:w="443" w:type="dxa"/>
          </w:tcPr>
          <w:p>
            <w:pPr>
              <w:pStyle w:val="TableParagraph"/>
              <w:spacing w:line="145" w:lineRule="exact"/>
              <w:ind w:left="48" w:right="35"/>
              <w:rPr>
                <w:sz w:val="14"/>
              </w:rPr>
            </w:pPr>
            <w:r>
              <w:rPr>
                <w:color w:val="231F20"/>
                <w:sz w:val="14"/>
              </w:rPr>
              <w:t>31.0</w:t>
            </w:r>
          </w:p>
        </w:tc>
        <w:tc>
          <w:tcPr>
            <w:tcW w:w="413" w:type="dxa"/>
          </w:tcPr>
          <w:p>
            <w:pPr>
              <w:pStyle w:val="TableParagraph"/>
              <w:spacing w:line="145" w:lineRule="exact"/>
              <w:ind w:right="116"/>
              <w:jc w:val="right"/>
              <w:rPr>
                <w:sz w:val="14"/>
              </w:rPr>
            </w:pPr>
            <w:r>
              <w:rPr>
                <w:color w:val="231F20"/>
                <w:w w:val="95"/>
                <w:sz w:val="14"/>
              </w:rPr>
              <w:t>3.4</w:t>
            </w:r>
          </w:p>
        </w:tc>
        <w:tc>
          <w:tcPr>
            <w:tcW w:w="473" w:type="dxa"/>
          </w:tcPr>
          <w:p>
            <w:pPr>
              <w:pStyle w:val="TableParagraph"/>
              <w:spacing w:line="145" w:lineRule="exact"/>
              <w:ind w:right="128"/>
              <w:jc w:val="right"/>
              <w:rPr>
                <w:sz w:val="14"/>
              </w:rPr>
            </w:pPr>
            <w:r>
              <w:rPr>
                <w:color w:val="231F20"/>
                <w:w w:val="95"/>
                <w:sz w:val="14"/>
              </w:rPr>
              <w:t>-2.0</w:t>
            </w:r>
          </w:p>
        </w:tc>
        <w:tc>
          <w:tcPr>
            <w:tcW w:w="429" w:type="dxa"/>
          </w:tcPr>
          <w:p>
            <w:pPr>
              <w:pStyle w:val="TableParagraph"/>
              <w:spacing w:line="145" w:lineRule="exact"/>
              <w:ind w:left="65"/>
              <w:jc w:val="left"/>
              <w:rPr>
                <w:sz w:val="14"/>
              </w:rPr>
            </w:pPr>
            <w:r>
              <w:rPr>
                <w:color w:val="231F20"/>
                <w:sz w:val="14"/>
              </w:rPr>
              <w:t>-26.8</w:t>
            </w:r>
          </w:p>
        </w:tc>
        <w:tc>
          <w:tcPr>
            <w:tcW w:w="428" w:type="dxa"/>
          </w:tcPr>
          <w:p>
            <w:pPr>
              <w:pStyle w:val="TableParagraph"/>
              <w:spacing w:line="145" w:lineRule="exact"/>
              <w:ind w:left="55" w:right="35"/>
              <w:rPr>
                <w:sz w:val="14"/>
              </w:rPr>
            </w:pPr>
            <w:r>
              <w:rPr>
                <w:color w:val="231F20"/>
                <w:sz w:val="14"/>
              </w:rPr>
              <w:t>20.0</w:t>
            </w:r>
          </w:p>
        </w:tc>
        <w:tc>
          <w:tcPr>
            <w:tcW w:w="475" w:type="dxa"/>
          </w:tcPr>
          <w:p>
            <w:pPr>
              <w:pStyle w:val="TableParagraph"/>
              <w:spacing w:line="145" w:lineRule="exact"/>
              <w:ind w:left="38" w:right="29"/>
              <w:rPr>
                <w:sz w:val="14"/>
              </w:rPr>
            </w:pPr>
            <w:r>
              <w:rPr>
                <w:color w:val="231F20"/>
                <w:sz w:val="14"/>
              </w:rPr>
              <w:t>34.5</w:t>
            </w:r>
          </w:p>
        </w:tc>
        <w:tc>
          <w:tcPr>
            <w:tcW w:w="425" w:type="dxa"/>
          </w:tcPr>
          <w:p>
            <w:pPr>
              <w:pStyle w:val="TableParagraph"/>
              <w:spacing w:line="145" w:lineRule="exact"/>
              <w:ind w:left="37" w:right="53"/>
              <w:rPr>
                <w:sz w:val="14"/>
              </w:rPr>
            </w:pPr>
            <w:r>
              <w:rPr>
                <w:color w:val="231F20"/>
                <w:sz w:val="14"/>
              </w:rPr>
              <w:t>9.0</w:t>
            </w:r>
          </w:p>
        </w:tc>
        <w:tc>
          <w:tcPr>
            <w:tcW w:w="459" w:type="dxa"/>
          </w:tcPr>
          <w:p>
            <w:pPr>
              <w:pStyle w:val="TableParagraph"/>
              <w:spacing w:line="145" w:lineRule="exact"/>
              <w:ind w:left="116"/>
              <w:jc w:val="left"/>
              <w:rPr>
                <w:sz w:val="14"/>
              </w:rPr>
            </w:pPr>
            <w:r>
              <w:rPr>
                <w:color w:val="231F20"/>
                <w:sz w:val="14"/>
              </w:rPr>
              <w:t>-1.5</w:t>
            </w:r>
          </w:p>
        </w:tc>
      </w:tr>
      <w:tr>
        <w:trPr>
          <w:trHeight w:val="209" w:hRule="exact"/>
        </w:trPr>
        <w:tc>
          <w:tcPr>
            <w:tcW w:w="361" w:type="dxa"/>
            <w:tcBorders>
              <w:bottom w:val="single" w:sz="4" w:space="0" w:color="231F20"/>
            </w:tcBorders>
          </w:tcPr>
          <w:p>
            <w:pPr/>
          </w:p>
        </w:tc>
        <w:tc>
          <w:tcPr>
            <w:tcW w:w="675" w:type="dxa"/>
            <w:tcBorders>
              <w:bottom w:val="single" w:sz="4" w:space="0" w:color="231F20"/>
            </w:tcBorders>
          </w:tcPr>
          <w:p>
            <w:pPr>
              <w:pStyle w:val="TableParagraph"/>
              <w:spacing w:before="15"/>
              <w:ind w:right="52"/>
              <w:jc w:val="right"/>
              <w:rPr>
                <w:sz w:val="14"/>
              </w:rPr>
            </w:pPr>
            <w:r>
              <w:rPr>
                <w:color w:val="231F20"/>
                <w:sz w:val="14"/>
              </w:rPr>
              <w:t>Camiones</w:t>
            </w:r>
          </w:p>
        </w:tc>
        <w:tc>
          <w:tcPr>
            <w:tcW w:w="378" w:type="dxa"/>
            <w:tcBorders>
              <w:bottom w:val="single" w:sz="4" w:space="0" w:color="231F20"/>
            </w:tcBorders>
          </w:tcPr>
          <w:p>
            <w:pPr>
              <w:pStyle w:val="TableParagraph"/>
              <w:spacing w:before="15"/>
              <w:ind w:left="56"/>
              <w:jc w:val="left"/>
              <w:rPr>
                <w:sz w:val="14"/>
              </w:rPr>
            </w:pPr>
            <w:r>
              <w:rPr>
                <w:color w:val="231F20"/>
                <w:sz w:val="14"/>
              </w:rPr>
              <w:t>17.0</w:t>
            </w:r>
          </w:p>
        </w:tc>
        <w:tc>
          <w:tcPr>
            <w:tcW w:w="432" w:type="dxa"/>
            <w:tcBorders>
              <w:bottom w:val="single" w:sz="4" w:space="0" w:color="231F20"/>
            </w:tcBorders>
          </w:tcPr>
          <w:p>
            <w:pPr>
              <w:pStyle w:val="TableParagraph"/>
              <w:spacing w:before="15"/>
              <w:ind w:left="63" w:right="32"/>
              <w:rPr>
                <w:sz w:val="14"/>
              </w:rPr>
            </w:pPr>
            <w:r>
              <w:rPr>
                <w:color w:val="231F20"/>
                <w:sz w:val="14"/>
              </w:rPr>
              <w:t>14.3</w:t>
            </w:r>
          </w:p>
        </w:tc>
        <w:tc>
          <w:tcPr>
            <w:tcW w:w="408" w:type="dxa"/>
            <w:tcBorders>
              <w:bottom w:val="single" w:sz="4" w:space="0" w:color="231F20"/>
            </w:tcBorders>
          </w:tcPr>
          <w:p>
            <w:pPr>
              <w:pStyle w:val="TableParagraph"/>
              <w:spacing w:before="15"/>
              <w:ind w:left="37" w:right="34"/>
              <w:rPr>
                <w:sz w:val="14"/>
              </w:rPr>
            </w:pPr>
            <w:r>
              <w:rPr>
                <w:color w:val="231F20"/>
                <w:sz w:val="14"/>
              </w:rPr>
              <w:t>-20.0</w:t>
            </w:r>
          </w:p>
        </w:tc>
        <w:tc>
          <w:tcPr>
            <w:tcW w:w="400" w:type="dxa"/>
            <w:tcBorders>
              <w:bottom w:val="single" w:sz="4" w:space="0" w:color="231F20"/>
            </w:tcBorders>
          </w:tcPr>
          <w:p>
            <w:pPr>
              <w:pStyle w:val="TableParagraph"/>
              <w:spacing w:before="15"/>
              <w:ind w:left="36" w:right="29"/>
              <w:rPr>
                <w:sz w:val="14"/>
              </w:rPr>
            </w:pPr>
            <w:r>
              <w:rPr>
                <w:color w:val="231F20"/>
                <w:sz w:val="14"/>
              </w:rPr>
              <w:t>9.5</w:t>
            </w:r>
          </w:p>
        </w:tc>
        <w:tc>
          <w:tcPr>
            <w:tcW w:w="383" w:type="dxa"/>
            <w:tcBorders>
              <w:bottom w:val="single" w:sz="4" w:space="0" w:color="231F20"/>
            </w:tcBorders>
          </w:tcPr>
          <w:p>
            <w:pPr>
              <w:pStyle w:val="TableParagraph"/>
              <w:spacing w:before="15"/>
              <w:ind w:left="30" w:right="13"/>
              <w:rPr>
                <w:sz w:val="14"/>
              </w:rPr>
            </w:pPr>
            <w:r>
              <w:rPr>
                <w:color w:val="231F20"/>
                <w:sz w:val="14"/>
              </w:rPr>
              <w:t>-3.7</w:t>
            </w:r>
          </w:p>
        </w:tc>
        <w:tc>
          <w:tcPr>
            <w:tcW w:w="397" w:type="dxa"/>
            <w:tcBorders>
              <w:bottom w:val="single" w:sz="4" w:space="0" w:color="231F20"/>
            </w:tcBorders>
          </w:tcPr>
          <w:p>
            <w:pPr>
              <w:pStyle w:val="TableParagraph"/>
              <w:spacing w:before="15"/>
              <w:ind w:left="15" w:right="23"/>
              <w:rPr>
                <w:sz w:val="14"/>
              </w:rPr>
            </w:pPr>
            <w:r>
              <w:rPr>
                <w:color w:val="231F20"/>
                <w:sz w:val="14"/>
              </w:rPr>
              <w:t>78.4</w:t>
            </w:r>
          </w:p>
        </w:tc>
        <w:tc>
          <w:tcPr>
            <w:tcW w:w="416" w:type="dxa"/>
            <w:tcBorders>
              <w:bottom w:val="single" w:sz="4" w:space="0" w:color="231F20"/>
            </w:tcBorders>
          </w:tcPr>
          <w:p>
            <w:pPr>
              <w:pStyle w:val="TableParagraph"/>
              <w:spacing w:before="15"/>
              <w:ind w:left="26" w:right="34"/>
              <w:rPr>
                <w:sz w:val="14"/>
              </w:rPr>
            </w:pPr>
            <w:r>
              <w:rPr>
                <w:color w:val="231F20"/>
                <w:sz w:val="14"/>
              </w:rPr>
              <w:t>16.8</w:t>
            </w:r>
          </w:p>
        </w:tc>
        <w:tc>
          <w:tcPr>
            <w:tcW w:w="424" w:type="dxa"/>
            <w:tcBorders>
              <w:bottom w:val="single" w:sz="4" w:space="0" w:color="231F20"/>
            </w:tcBorders>
          </w:tcPr>
          <w:p>
            <w:pPr>
              <w:pStyle w:val="TableParagraph"/>
              <w:spacing w:before="15"/>
              <w:ind w:left="34" w:right="33"/>
              <w:rPr>
                <w:sz w:val="14"/>
              </w:rPr>
            </w:pPr>
            <w:r>
              <w:rPr>
                <w:color w:val="231F20"/>
                <w:sz w:val="14"/>
              </w:rPr>
              <w:t>-1.8</w:t>
            </w:r>
          </w:p>
        </w:tc>
        <w:tc>
          <w:tcPr>
            <w:tcW w:w="427" w:type="dxa"/>
            <w:tcBorders>
              <w:bottom w:val="single" w:sz="4" w:space="0" w:color="231F20"/>
            </w:tcBorders>
          </w:tcPr>
          <w:p>
            <w:pPr>
              <w:pStyle w:val="TableParagraph"/>
              <w:spacing w:before="15"/>
              <w:ind w:left="121"/>
              <w:jc w:val="left"/>
              <w:rPr>
                <w:sz w:val="14"/>
              </w:rPr>
            </w:pPr>
            <w:r>
              <w:rPr>
                <w:color w:val="231F20"/>
                <w:sz w:val="14"/>
              </w:rPr>
              <w:t>5.3</w:t>
            </w:r>
          </w:p>
        </w:tc>
        <w:tc>
          <w:tcPr>
            <w:tcW w:w="403" w:type="dxa"/>
            <w:tcBorders>
              <w:bottom w:val="single" w:sz="4" w:space="0" w:color="231F20"/>
            </w:tcBorders>
          </w:tcPr>
          <w:p>
            <w:pPr>
              <w:pStyle w:val="TableParagraph"/>
              <w:spacing w:before="15"/>
              <w:ind w:left="87"/>
              <w:jc w:val="left"/>
              <w:rPr>
                <w:sz w:val="14"/>
              </w:rPr>
            </w:pPr>
            <w:r>
              <w:rPr>
                <w:color w:val="231F20"/>
                <w:sz w:val="14"/>
              </w:rPr>
              <w:t>22.1</w:t>
            </w:r>
          </w:p>
        </w:tc>
        <w:tc>
          <w:tcPr>
            <w:tcW w:w="428" w:type="dxa"/>
            <w:tcBorders>
              <w:bottom w:val="single" w:sz="4" w:space="0" w:color="231F20"/>
            </w:tcBorders>
          </w:tcPr>
          <w:p>
            <w:pPr>
              <w:pStyle w:val="TableParagraph"/>
              <w:spacing w:before="15"/>
              <w:ind w:left="57" w:right="32"/>
              <w:rPr>
                <w:sz w:val="14"/>
              </w:rPr>
            </w:pPr>
            <w:r>
              <w:rPr>
                <w:color w:val="231F20"/>
                <w:sz w:val="14"/>
              </w:rPr>
              <w:t>-0.2</w:t>
            </w:r>
          </w:p>
        </w:tc>
        <w:tc>
          <w:tcPr>
            <w:tcW w:w="416" w:type="dxa"/>
            <w:tcBorders>
              <w:bottom w:val="single" w:sz="4" w:space="0" w:color="231F20"/>
            </w:tcBorders>
          </w:tcPr>
          <w:p>
            <w:pPr>
              <w:pStyle w:val="TableParagraph"/>
              <w:spacing w:before="15"/>
              <w:ind w:left="37" w:right="40"/>
              <w:rPr>
                <w:sz w:val="14"/>
              </w:rPr>
            </w:pPr>
            <w:r>
              <w:rPr>
                <w:color w:val="231F20"/>
                <w:sz w:val="14"/>
              </w:rPr>
              <w:t>4.2</w:t>
            </w:r>
          </w:p>
        </w:tc>
        <w:tc>
          <w:tcPr>
            <w:tcW w:w="438" w:type="dxa"/>
            <w:tcBorders>
              <w:bottom w:val="single" w:sz="4" w:space="0" w:color="231F20"/>
            </w:tcBorders>
          </w:tcPr>
          <w:p>
            <w:pPr>
              <w:pStyle w:val="TableParagraph"/>
              <w:spacing w:before="15"/>
              <w:ind w:left="107"/>
              <w:jc w:val="left"/>
              <w:rPr>
                <w:sz w:val="14"/>
              </w:rPr>
            </w:pPr>
            <w:r>
              <w:rPr>
                <w:color w:val="231F20"/>
                <w:sz w:val="14"/>
              </w:rPr>
              <w:t>-1.2</w:t>
            </w:r>
          </w:p>
        </w:tc>
        <w:tc>
          <w:tcPr>
            <w:tcW w:w="451" w:type="dxa"/>
            <w:tcBorders>
              <w:bottom w:val="single" w:sz="4" w:space="0" w:color="231F20"/>
            </w:tcBorders>
          </w:tcPr>
          <w:p>
            <w:pPr>
              <w:pStyle w:val="TableParagraph"/>
              <w:spacing w:before="15"/>
              <w:ind w:left="57" w:right="58"/>
              <w:rPr>
                <w:sz w:val="14"/>
              </w:rPr>
            </w:pPr>
            <w:r>
              <w:rPr>
                <w:color w:val="231F20"/>
                <w:sz w:val="14"/>
              </w:rPr>
              <w:t>-3.7</w:t>
            </w:r>
          </w:p>
        </w:tc>
        <w:tc>
          <w:tcPr>
            <w:tcW w:w="447" w:type="dxa"/>
            <w:tcBorders>
              <w:bottom w:val="single" w:sz="4" w:space="0" w:color="231F20"/>
            </w:tcBorders>
          </w:tcPr>
          <w:p>
            <w:pPr>
              <w:pStyle w:val="TableParagraph"/>
              <w:spacing w:before="15"/>
              <w:ind w:right="107"/>
              <w:jc w:val="right"/>
              <w:rPr>
                <w:sz w:val="14"/>
              </w:rPr>
            </w:pPr>
            <w:r>
              <w:rPr>
                <w:color w:val="231F20"/>
                <w:w w:val="95"/>
                <w:sz w:val="14"/>
              </w:rPr>
              <w:t>-8.3</w:t>
            </w:r>
          </w:p>
        </w:tc>
        <w:tc>
          <w:tcPr>
            <w:tcW w:w="443" w:type="dxa"/>
            <w:tcBorders>
              <w:bottom w:val="single" w:sz="4" w:space="0" w:color="231F20"/>
            </w:tcBorders>
          </w:tcPr>
          <w:p>
            <w:pPr>
              <w:pStyle w:val="TableParagraph"/>
              <w:spacing w:before="15"/>
              <w:ind w:left="48" w:right="35"/>
              <w:rPr>
                <w:sz w:val="14"/>
              </w:rPr>
            </w:pPr>
            <w:r>
              <w:rPr>
                <w:color w:val="231F20"/>
                <w:sz w:val="14"/>
              </w:rPr>
              <w:t>9.8</w:t>
            </w:r>
          </w:p>
        </w:tc>
        <w:tc>
          <w:tcPr>
            <w:tcW w:w="413" w:type="dxa"/>
            <w:tcBorders>
              <w:bottom w:val="single" w:sz="4" w:space="0" w:color="231F20"/>
            </w:tcBorders>
          </w:tcPr>
          <w:p>
            <w:pPr>
              <w:pStyle w:val="TableParagraph"/>
              <w:spacing w:before="15"/>
              <w:ind w:right="91"/>
              <w:jc w:val="right"/>
              <w:rPr>
                <w:sz w:val="14"/>
              </w:rPr>
            </w:pPr>
            <w:r>
              <w:rPr>
                <w:color w:val="231F20"/>
                <w:w w:val="95"/>
                <w:sz w:val="14"/>
              </w:rPr>
              <w:t>-0.4</w:t>
            </w:r>
          </w:p>
        </w:tc>
        <w:tc>
          <w:tcPr>
            <w:tcW w:w="473" w:type="dxa"/>
            <w:tcBorders>
              <w:bottom w:val="single" w:sz="4" w:space="0" w:color="231F20"/>
            </w:tcBorders>
          </w:tcPr>
          <w:p>
            <w:pPr>
              <w:pStyle w:val="TableParagraph"/>
              <w:spacing w:before="15"/>
              <w:ind w:right="119"/>
              <w:jc w:val="right"/>
              <w:rPr>
                <w:sz w:val="14"/>
              </w:rPr>
            </w:pPr>
            <w:r>
              <w:rPr>
                <w:color w:val="231F20"/>
                <w:w w:val="95"/>
                <w:sz w:val="14"/>
              </w:rPr>
              <w:t>18.1</w:t>
            </w:r>
          </w:p>
        </w:tc>
        <w:tc>
          <w:tcPr>
            <w:tcW w:w="429" w:type="dxa"/>
            <w:tcBorders>
              <w:bottom w:val="single" w:sz="4" w:space="0" w:color="231F20"/>
            </w:tcBorders>
          </w:tcPr>
          <w:p>
            <w:pPr>
              <w:pStyle w:val="TableParagraph"/>
              <w:spacing w:before="15"/>
              <w:ind w:left="66"/>
              <w:jc w:val="left"/>
              <w:rPr>
                <w:sz w:val="14"/>
              </w:rPr>
            </w:pPr>
            <w:r>
              <w:rPr>
                <w:color w:val="231F20"/>
                <w:sz w:val="14"/>
              </w:rPr>
              <w:t>-30.4</w:t>
            </w:r>
          </w:p>
        </w:tc>
        <w:tc>
          <w:tcPr>
            <w:tcW w:w="428" w:type="dxa"/>
            <w:tcBorders>
              <w:bottom w:val="single" w:sz="4" w:space="0" w:color="231F20"/>
            </w:tcBorders>
          </w:tcPr>
          <w:p>
            <w:pPr>
              <w:pStyle w:val="TableParagraph"/>
              <w:spacing w:before="15"/>
              <w:ind w:left="55" w:right="35"/>
              <w:rPr>
                <w:sz w:val="14"/>
              </w:rPr>
            </w:pPr>
            <w:r>
              <w:rPr>
                <w:color w:val="231F20"/>
                <w:sz w:val="14"/>
              </w:rPr>
              <w:t>29.8</w:t>
            </w:r>
          </w:p>
        </w:tc>
        <w:tc>
          <w:tcPr>
            <w:tcW w:w="475" w:type="dxa"/>
            <w:tcBorders>
              <w:bottom w:val="single" w:sz="4" w:space="0" w:color="231F20"/>
            </w:tcBorders>
          </w:tcPr>
          <w:p>
            <w:pPr>
              <w:pStyle w:val="TableParagraph"/>
              <w:spacing w:before="15"/>
              <w:ind w:left="38" w:right="29"/>
              <w:rPr>
                <w:sz w:val="14"/>
              </w:rPr>
            </w:pPr>
            <w:r>
              <w:rPr>
                <w:color w:val="231F20"/>
                <w:sz w:val="14"/>
              </w:rPr>
              <w:t>34.5</w:t>
            </w:r>
          </w:p>
        </w:tc>
        <w:tc>
          <w:tcPr>
            <w:tcW w:w="425" w:type="dxa"/>
            <w:tcBorders>
              <w:bottom w:val="single" w:sz="4" w:space="0" w:color="231F20"/>
            </w:tcBorders>
          </w:tcPr>
          <w:p>
            <w:pPr>
              <w:pStyle w:val="TableParagraph"/>
              <w:spacing w:before="15"/>
              <w:ind w:left="37" w:right="53"/>
              <w:rPr>
                <w:sz w:val="14"/>
              </w:rPr>
            </w:pPr>
            <w:r>
              <w:rPr>
                <w:color w:val="231F20"/>
                <w:sz w:val="14"/>
              </w:rPr>
              <w:t>23.6</w:t>
            </w:r>
          </w:p>
        </w:tc>
        <w:tc>
          <w:tcPr>
            <w:tcW w:w="459" w:type="dxa"/>
            <w:tcBorders>
              <w:bottom w:val="single" w:sz="4" w:space="0" w:color="231F20"/>
            </w:tcBorders>
          </w:tcPr>
          <w:p>
            <w:pPr>
              <w:pStyle w:val="TableParagraph"/>
              <w:spacing w:before="15"/>
              <w:ind w:left="141"/>
              <w:jc w:val="left"/>
              <w:rPr>
                <w:sz w:val="14"/>
              </w:rPr>
            </w:pPr>
            <w:r>
              <w:rPr>
                <w:color w:val="231F20"/>
                <w:sz w:val="14"/>
              </w:rPr>
              <w:t>8.3</w:t>
            </w:r>
          </w:p>
        </w:tc>
      </w:tr>
    </w:tbl>
    <w:p>
      <w:pPr>
        <w:pStyle w:val="BodyText"/>
        <w:spacing w:before="10"/>
        <w:rPr>
          <w:rFonts w:ascii="Palatino Linotype"/>
          <w:b/>
          <w:sz w:val="8"/>
        </w:rPr>
      </w:pPr>
    </w:p>
    <w:p>
      <w:pPr>
        <w:spacing w:before="60"/>
        <w:ind w:left="112" w:right="0" w:firstLine="0"/>
        <w:jc w:val="left"/>
        <w:rPr>
          <w:sz w:val="20"/>
        </w:rPr>
      </w:pPr>
      <w:r>
        <w:rPr>
          <w:color w:val="231F20"/>
          <w:sz w:val="20"/>
        </w:rPr>
        <w:t>Nota: Las cifras de 2010 no incluyen los meses de julio y agosto.</w:t>
      </w:r>
    </w:p>
    <w:p>
      <w:pPr>
        <w:spacing w:before="26"/>
        <w:ind w:left="112" w:right="0" w:firstLine="0"/>
        <w:jc w:val="left"/>
        <w:rPr>
          <w:sz w:val="20"/>
        </w:rPr>
      </w:pPr>
      <w:r>
        <w:rPr>
          <w:rFonts w:ascii="Palatino Linotype" w:hAnsi="Palatino Linotype"/>
          <w:i/>
          <w:color w:val="231F20"/>
          <w:sz w:val="20"/>
        </w:rPr>
        <w:t>Fuente: </w:t>
      </w:r>
      <w:r>
        <w:rPr>
          <w:color w:val="231F20"/>
          <w:sz w:val="20"/>
        </w:rPr>
        <w:t>Elaboración propia con datos de AMIA (2014).</w:t>
      </w:r>
    </w:p>
    <w:p>
      <w:pPr>
        <w:spacing w:after="0"/>
        <w:jc w:val="left"/>
        <w:rPr>
          <w:sz w:val="20"/>
        </w:rPr>
        <w:sectPr>
          <w:headerReference w:type="default" r:id="rId177"/>
          <w:footerReference w:type="default" r:id="rId178"/>
          <w:pgSz w:w="13040" w:h="9640" w:orient="landscape"/>
          <w:pgMar w:header="0" w:footer="0" w:top="0" w:bottom="280" w:left="1000" w:right="980"/>
        </w:sectPr>
      </w:pPr>
    </w:p>
    <w:p>
      <w:pPr>
        <w:pStyle w:val="BodyText"/>
        <w:rPr>
          <w:sz w:val="20"/>
        </w:rPr>
      </w:pPr>
    </w:p>
    <w:p>
      <w:pPr>
        <w:pStyle w:val="BodyText"/>
        <w:spacing w:before="6"/>
      </w:pPr>
    </w:p>
    <w:p>
      <w:pPr>
        <w:pStyle w:val="BodyText"/>
        <w:spacing w:line="278" w:lineRule="auto" w:before="58"/>
        <w:ind w:left="653" w:right="101"/>
        <w:jc w:val="both"/>
      </w:pPr>
      <w:r>
        <w:rPr>
          <w:color w:val="231F20"/>
        </w:rPr>
        <w:t>Finalmente, es importante mencionar que la producción total de vehículos en 2013 fue de 2, 933, 465 unidades (AMIA, 2014) y que se concentró en gran medida en las cinco</w:t>
      </w:r>
      <w:r>
        <w:rPr>
          <w:color w:val="231F20"/>
          <w:spacing w:val="-14"/>
        </w:rPr>
        <w:t> </w:t>
      </w:r>
      <w:r>
        <w:rPr>
          <w:color w:val="231F20"/>
        </w:rPr>
        <w:t>empresas</w:t>
      </w:r>
      <w:r>
        <w:rPr>
          <w:color w:val="231F20"/>
          <w:spacing w:val="-14"/>
        </w:rPr>
        <w:t> </w:t>
      </w:r>
      <w:r>
        <w:rPr>
          <w:color w:val="231F20"/>
        </w:rPr>
        <w:t>ensambladoras</w:t>
      </w:r>
      <w:r>
        <w:rPr>
          <w:color w:val="231F20"/>
          <w:spacing w:val="-14"/>
        </w:rPr>
        <w:t> </w:t>
      </w:r>
      <w:r>
        <w:rPr>
          <w:color w:val="231F20"/>
        </w:rPr>
        <w:t>que</w:t>
      </w:r>
      <w:r>
        <w:rPr>
          <w:color w:val="231F20"/>
          <w:spacing w:val="-14"/>
        </w:rPr>
        <w:t> </w:t>
      </w:r>
      <w:r>
        <w:rPr>
          <w:color w:val="231F20"/>
        </w:rPr>
        <w:t>han</w:t>
      </w:r>
      <w:r>
        <w:rPr>
          <w:color w:val="231F20"/>
          <w:spacing w:val="-14"/>
        </w:rPr>
        <w:t> </w:t>
      </w:r>
      <w:r>
        <w:rPr>
          <w:color w:val="231F20"/>
        </w:rPr>
        <w:t>estado</w:t>
      </w:r>
      <w:r>
        <w:rPr>
          <w:color w:val="231F20"/>
          <w:spacing w:val="-14"/>
        </w:rPr>
        <w:t> </w:t>
      </w:r>
      <w:r>
        <w:rPr>
          <w:color w:val="231F20"/>
        </w:rPr>
        <w:t>presentes</w:t>
      </w:r>
      <w:r>
        <w:rPr>
          <w:color w:val="231F20"/>
          <w:spacing w:val="-14"/>
        </w:rPr>
        <w:t> </w:t>
      </w:r>
      <w:r>
        <w:rPr>
          <w:color w:val="231F20"/>
        </w:rPr>
        <w:t>en</w:t>
      </w:r>
      <w:r>
        <w:rPr>
          <w:color w:val="231F20"/>
          <w:spacing w:val="-14"/>
        </w:rPr>
        <w:t> </w:t>
      </w:r>
      <w:r>
        <w:rPr>
          <w:color w:val="231F20"/>
        </w:rPr>
        <w:t>México</w:t>
      </w:r>
      <w:r>
        <w:rPr>
          <w:color w:val="231F20"/>
          <w:spacing w:val="-14"/>
        </w:rPr>
        <w:t> </w:t>
      </w:r>
      <w:r>
        <w:rPr>
          <w:color w:val="231F20"/>
        </w:rPr>
        <w:t>por</w:t>
      </w:r>
      <w:r>
        <w:rPr>
          <w:color w:val="231F20"/>
          <w:spacing w:val="-14"/>
        </w:rPr>
        <w:t> </w:t>
      </w:r>
      <w:r>
        <w:rPr>
          <w:color w:val="231F20"/>
        </w:rPr>
        <w:t>varias</w:t>
      </w:r>
      <w:r>
        <w:rPr>
          <w:color w:val="231F20"/>
          <w:spacing w:val="-14"/>
        </w:rPr>
        <w:t> </w:t>
      </w:r>
      <w:r>
        <w:rPr>
          <w:color w:val="231F20"/>
        </w:rPr>
        <w:t>décadas: Nissan,</w:t>
      </w:r>
      <w:r>
        <w:rPr>
          <w:color w:val="231F20"/>
          <w:spacing w:val="-5"/>
        </w:rPr>
        <w:t> </w:t>
      </w:r>
      <w:r>
        <w:rPr>
          <w:color w:val="231F20"/>
        </w:rPr>
        <w:t>General</w:t>
      </w:r>
      <w:r>
        <w:rPr>
          <w:color w:val="231F20"/>
          <w:spacing w:val="-5"/>
        </w:rPr>
        <w:t> </w:t>
      </w:r>
      <w:r>
        <w:rPr>
          <w:color w:val="231F20"/>
          <w:spacing w:val="-3"/>
        </w:rPr>
        <w:t>Motors,</w:t>
      </w:r>
      <w:r>
        <w:rPr>
          <w:color w:val="231F20"/>
          <w:spacing w:val="-5"/>
        </w:rPr>
        <w:t> </w:t>
      </w:r>
      <w:r>
        <w:rPr>
          <w:color w:val="231F20"/>
          <w:spacing w:val="-3"/>
        </w:rPr>
        <w:t>Volkswagen,</w:t>
      </w:r>
      <w:r>
        <w:rPr>
          <w:color w:val="231F20"/>
          <w:spacing w:val="-5"/>
        </w:rPr>
        <w:t> </w:t>
      </w:r>
      <w:r>
        <w:rPr>
          <w:color w:val="231F20"/>
          <w:spacing w:val="-3"/>
        </w:rPr>
        <w:t>Ford</w:t>
      </w:r>
      <w:r>
        <w:rPr>
          <w:color w:val="231F20"/>
          <w:spacing w:val="-5"/>
        </w:rPr>
        <w:t> </w:t>
      </w:r>
      <w:r>
        <w:rPr>
          <w:color w:val="231F20"/>
        </w:rPr>
        <w:t>y</w:t>
      </w:r>
      <w:r>
        <w:rPr>
          <w:color w:val="231F20"/>
          <w:spacing w:val="-5"/>
        </w:rPr>
        <w:t> </w:t>
      </w:r>
      <w:r>
        <w:rPr>
          <w:color w:val="231F20"/>
        </w:rPr>
        <w:t>Chrysler;</w:t>
      </w:r>
      <w:r>
        <w:rPr>
          <w:color w:val="231F20"/>
          <w:spacing w:val="-5"/>
        </w:rPr>
        <w:t> </w:t>
      </w:r>
      <w:r>
        <w:rPr>
          <w:color w:val="231F20"/>
        </w:rPr>
        <w:t>estas</w:t>
      </w:r>
      <w:r>
        <w:rPr>
          <w:color w:val="231F20"/>
          <w:spacing w:val="-5"/>
        </w:rPr>
        <w:t> </w:t>
      </w:r>
      <w:r>
        <w:rPr>
          <w:color w:val="231F20"/>
        </w:rPr>
        <w:t>empresas</w:t>
      </w:r>
      <w:r>
        <w:rPr>
          <w:color w:val="231F20"/>
          <w:spacing w:val="-5"/>
        </w:rPr>
        <w:t> </w:t>
      </w:r>
      <w:r>
        <w:rPr>
          <w:color w:val="231F20"/>
        </w:rPr>
        <w:t>produjeron</w:t>
      </w:r>
      <w:r>
        <w:rPr>
          <w:color w:val="231F20"/>
          <w:spacing w:val="-5"/>
        </w:rPr>
        <w:t> </w:t>
      </w:r>
      <w:r>
        <w:rPr>
          <w:color w:val="231F20"/>
        </w:rPr>
        <w:t>casi 95%</w:t>
      </w:r>
      <w:r>
        <w:rPr>
          <w:color w:val="231F20"/>
          <w:spacing w:val="-15"/>
        </w:rPr>
        <w:t> </w:t>
      </w:r>
      <w:r>
        <w:rPr>
          <w:color w:val="231F20"/>
        </w:rPr>
        <w:t>del</w:t>
      </w:r>
      <w:r>
        <w:rPr>
          <w:color w:val="231F20"/>
          <w:spacing w:val="-15"/>
        </w:rPr>
        <w:t> </w:t>
      </w:r>
      <w:r>
        <w:rPr>
          <w:color w:val="231F20"/>
        </w:rPr>
        <w:t>total</w:t>
      </w:r>
      <w:r>
        <w:rPr>
          <w:color w:val="231F20"/>
          <w:spacing w:val="-15"/>
        </w:rPr>
        <w:t> </w:t>
      </w:r>
      <w:r>
        <w:rPr>
          <w:color w:val="231F20"/>
        </w:rPr>
        <w:t>de</w:t>
      </w:r>
      <w:r>
        <w:rPr>
          <w:color w:val="231F20"/>
          <w:spacing w:val="-15"/>
        </w:rPr>
        <w:t> </w:t>
      </w:r>
      <w:r>
        <w:rPr>
          <w:color w:val="231F20"/>
        </w:rPr>
        <w:t>vehículos</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país</w:t>
      </w:r>
      <w:r>
        <w:rPr>
          <w:color w:val="231F20"/>
          <w:spacing w:val="-15"/>
        </w:rPr>
        <w:t> </w:t>
      </w:r>
      <w:r>
        <w:rPr>
          <w:color w:val="231F20"/>
        </w:rPr>
        <w:t>(véase</w:t>
      </w:r>
      <w:r>
        <w:rPr>
          <w:color w:val="231F20"/>
          <w:spacing w:val="-15"/>
        </w:rPr>
        <w:t> </w:t>
      </w:r>
      <w:r>
        <w:rPr>
          <w:color w:val="231F20"/>
        </w:rPr>
        <w:t>gráfica</w:t>
      </w:r>
      <w:r>
        <w:rPr>
          <w:color w:val="231F20"/>
          <w:spacing w:val="-15"/>
        </w:rPr>
        <w:t> </w:t>
      </w:r>
      <w:r>
        <w:rPr>
          <w:color w:val="231F20"/>
        </w:rPr>
        <w:t>III.3).</w:t>
      </w:r>
    </w:p>
    <w:p>
      <w:pPr>
        <w:pStyle w:val="BodyText"/>
        <w:spacing w:before="8"/>
        <w:rPr>
          <w:sz w:val="17"/>
        </w:rPr>
      </w:pPr>
    </w:p>
    <w:p>
      <w:pPr>
        <w:pStyle w:val="Heading4"/>
        <w:ind w:right="12"/>
      </w:pPr>
      <w:r>
        <w:rPr>
          <w:color w:val="231F20"/>
          <w:w w:val="90"/>
        </w:rPr>
        <w:t>Gráfica III.3</w:t>
      </w:r>
    </w:p>
    <w:p>
      <w:pPr>
        <w:spacing w:line="282" w:lineRule="exact" w:before="0"/>
        <w:ind w:left="561" w:right="12" w:firstLine="0"/>
        <w:jc w:val="center"/>
        <w:rPr>
          <w:rFonts w:ascii="Palatino Linotype" w:hAnsi="Palatino Linotype"/>
          <w:b/>
          <w:sz w:val="21"/>
        </w:rPr>
      </w:pPr>
      <w:r>
        <w:rPr>
          <w:rFonts w:ascii="Palatino Linotype" w:hAnsi="Palatino Linotype"/>
          <w:b/>
          <w:color w:val="231F20"/>
          <w:w w:val="95"/>
          <w:sz w:val="21"/>
        </w:rPr>
        <w:t>Producción total de automóviles por empresa, 2013</w:t>
      </w:r>
    </w:p>
    <w:p>
      <w:pPr>
        <w:spacing w:before="18"/>
        <w:ind w:left="561" w:right="12" w:firstLine="0"/>
        <w:jc w:val="center"/>
        <w:rPr>
          <w:rFonts w:ascii="Palatino Linotype"/>
          <w:b/>
          <w:sz w:val="19"/>
        </w:rPr>
      </w:pPr>
      <w:r>
        <w:rPr>
          <w:rFonts w:ascii="Palatino Linotype"/>
          <w:b/>
          <w:color w:val="231F20"/>
          <w:sz w:val="19"/>
        </w:rPr>
        <w:t>(Porcentaje)</w:t>
      </w:r>
    </w:p>
    <w:p>
      <w:pPr>
        <w:pStyle w:val="BodyText"/>
        <w:spacing w:before="6"/>
        <w:rPr>
          <w:rFonts w:ascii="Palatino Linotype"/>
          <w:b/>
        </w:rPr>
      </w:pPr>
    </w:p>
    <w:p>
      <w:pPr>
        <w:spacing w:after="0"/>
        <w:rPr>
          <w:rFonts w:ascii="Palatino Linotype"/>
        </w:rPr>
        <w:sectPr>
          <w:headerReference w:type="even" r:id="rId179"/>
          <w:headerReference w:type="default" r:id="rId180"/>
          <w:footerReference w:type="even" r:id="rId181"/>
          <w:footerReference w:type="default" r:id="rId182"/>
          <w:pgSz w:w="9640" w:h="13040"/>
          <w:pgMar w:header="581" w:footer="654" w:top="780" w:bottom="840" w:left="480" w:right="1200"/>
          <w:pgNumType w:start="86"/>
        </w:sectPr>
      </w:pPr>
    </w:p>
    <w:p>
      <w:pPr>
        <w:pStyle w:val="BodyText"/>
        <w:rPr>
          <w:rFonts w:ascii="Palatino Linotype"/>
          <w:b/>
          <w:sz w:val="18"/>
        </w:rPr>
      </w:pPr>
    </w:p>
    <w:p>
      <w:pPr>
        <w:pStyle w:val="BodyText"/>
        <w:rPr>
          <w:rFonts w:ascii="Palatino Linotype"/>
          <w:b/>
          <w:sz w:val="18"/>
        </w:rPr>
      </w:pPr>
    </w:p>
    <w:p>
      <w:pPr>
        <w:spacing w:line="204" w:lineRule="exact" w:before="158"/>
        <w:ind w:left="1771" w:right="-5" w:hanging="124"/>
        <w:jc w:val="left"/>
        <w:rPr>
          <w:sz w:val="18"/>
        </w:rPr>
      </w:pPr>
      <w:r>
        <w:rPr>
          <w:color w:val="231F20"/>
          <w:w w:val="95"/>
          <w:sz w:val="18"/>
        </w:rPr>
        <w:t>Toyota </w:t>
      </w:r>
      <w:r>
        <w:rPr>
          <w:color w:val="231F20"/>
          <w:sz w:val="18"/>
        </w:rPr>
        <w:t>2%</w:t>
      </w:r>
    </w:p>
    <w:p>
      <w:pPr>
        <w:spacing w:line="204" w:lineRule="exact" w:before="68"/>
        <w:ind w:left="565" w:right="-18" w:hanging="273"/>
        <w:jc w:val="left"/>
        <w:rPr>
          <w:sz w:val="18"/>
        </w:rPr>
      </w:pPr>
      <w:r>
        <w:rPr/>
        <w:br w:type="column"/>
      </w:r>
      <w:r>
        <w:rPr>
          <w:color w:val="231F20"/>
          <w:spacing w:val="-2"/>
          <w:w w:val="95"/>
          <w:sz w:val="18"/>
        </w:rPr>
        <w:t>Volkswagen </w:t>
      </w:r>
      <w:r>
        <w:rPr>
          <w:color w:val="231F20"/>
          <w:sz w:val="18"/>
        </w:rPr>
        <w:t>18%</w:t>
      </w:r>
    </w:p>
    <w:p>
      <w:pPr>
        <w:spacing w:line="204" w:lineRule="exact" w:before="98"/>
        <w:ind w:left="1783" w:right="-19" w:hanging="137"/>
        <w:jc w:val="left"/>
        <w:rPr>
          <w:sz w:val="18"/>
        </w:rPr>
      </w:pPr>
      <w:r>
        <w:rPr/>
        <w:br w:type="column"/>
      </w:r>
      <w:r>
        <w:rPr>
          <w:color w:val="231F20"/>
          <w:w w:val="95"/>
          <w:sz w:val="18"/>
        </w:rPr>
        <w:t>Chrysler </w:t>
      </w:r>
      <w:r>
        <w:rPr>
          <w:color w:val="231F20"/>
          <w:sz w:val="18"/>
        </w:rPr>
        <w:t>15%</w:t>
      </w:r>
    </w:p>
    <w:p>
      <w:pPr>
        <w:pStyle w:val="BodyText"/>
        <w:rPr>
          <w:sz w:val="18"/>
        </w:rPr>
      </w:pPr>
      <w:r>
        <w:rPr/>
        <w:br w:type="column"/>
      </w:r>
      <w:r>
        <w:rPr>
          <w:sz w:val="18"/>
        </w:rPr>
      </w:r>
    </w:p>
    <w:p>
      <w:pPr>
        <w:pStyle w:val="BodyText"/>
        <w:rPr>
          <w:sz w:val="18"/>
        </w:rPr>
      </w:pPr>
    </w:p>
    <w:p>
      <w:pPr>
        <w:pStyle w:val="BodyText"/>
        <w:spacing w:before="8"/>
        <w:rPr>
          <w:sz w:val="17"/>
        </w:rPr>
      </w:pPr>
    </w:p>
    <w:p>
      <w:pPr>
        <w:spacing w:line="204" w:lineRule="exact" w:before="1"/>
        <w:ind w:left="539" w:right="748" w:hanging="248"/>
        <w:jc w:val="left"/>
        <w:rPr>
          <w:sz w:val="18"/>
        </w:rPr>
      </w:pPr>
      <w:r>
        <w:rPr>
          <w:color w:val="231F20"/>
          <w:sz w:val="18"/>
        </w:rPr>
        <w:t>Ford Motor 18%</w:t>
      </w:r>
    </w:p>
    <w:p>
      <w:pPr>
        <w:spacing w:after="0" w:line="204" w:lineRule="exact"/>
        <w:jc w:val="left"/>
        <w:rPr>
          <w:sz w:val="18"/>
        </w:rPr>
        <w:sectPr>
          <w:type w:val="continuous"/>
          <w:pgSz w:w="9640" w:h="13040"/>
          <w:pgMar w:top="1200" w:bottom="280" w:left="480" w:right="1200"/>
          <w:cols w:num="4" w:equalWidth="0">
            <w:col w:w="2147" w:space="40"/>
            <w:col w:w="1129" w:space="184"/>
            <w:col w:w="2236" w:space="40"/>
            <w:col w:w="2184"/>
          </w:cols>
        </w:sectPr>
      </w:pPr>
    </w:p>
    <w:p>
      <w:pPr>
        <w:pStyle w:val="BodyText"/>
        <w:spacing w:before="10"/>
        <w:rPr>
          <w:sz w:val="28"/>
        </w:rPr>
      </w:pPr>
    </w:p>
    <w:p>
      <w:pPr>
        <w:spacing w:after="0"/>
        <w:rPr>
          <w:sz w:val="28"/>
        </w:rPr>
        <w:sectPr>
          <w:type w:val="continuous"/>
          <w:pgSz w:w="9640" w:h="13040"/>
          <w:pgMar w:top="1200" w:bottom="280" w:left="480" w:right="1200"/>
        </w:sectPr>
      </w:pPr>
    </w:p>
    <w:p>
      <w:pPr>
        <w:spacing w:line="204" w:lineRule="exact" w:before="69"/>
        <w:ind w:left="2147" w:right="-11" w:hanging="75"/>
        <w:jc w:val="left"/>
        <w:rPr>
          <w:sz w:val="18"/>
        </w:rPr>
      </w:pPr>
      <w:r>
        <w:rPr>
          <w:color w:val="231F20"/>
          <w:w w:val="95"/>
          <w:sz w:val="18"/>
        </w:rPr>
        <w:t>Nissan </w:t>
      </w:r>
      <w:r>
        <w:rPr>
          <w:color w:val="231F20"/>
          <w:sz w:val="18"/>
        </w:rPr>
        <w:t>23%</w:t>
      </w:r>
    </w:p>
    <w:p>
      <w:pPr>
        <w:pStyle w:val="BodyText"/>
        <w:rPr>
          <w:sz w:val="18"/>
        </w:rPr>
      </w:pPr>
      <w:r>
        <w:rPr/>
        <w:br w:type="column"/>
      </w:r>
      <w:r>
        <w:rPr>
          <w:sz w:val="18"/>
        </w:rPr>
      </w:r>
    </w:p>
    <w:p>
      <w:pPr>
        <w:spacing w:line="204" w:lineRule="exact" w:before="115"/>
        <w:ind w:left="1782" w:right="3053" w:hanging="13"/>
        <w:jc w:val="both"/>
        <w:rPr>
          <w:sz w:val="18"/>
        </w:rPr>
      </w:pPr>
      <w:r>
        <w:rPr>
          <w:color w:val="231F20"/>
          <w:w w:val="95"/>
          <w:sz w:val="18"/>
        </w:rPr>
        <w:t>General </w:t>
      </w:r>
      <w:r>
        <w:rPr>
          <w:color w:val="231F20"/>
          <w:sz w:val="18"/>
        </w:rPr>
        <w:t>Motors 22%</w:t>
      </w:r>
    </w:p>
    <w:p>
      <w:pPr>
        <w:spacing w:after="0" w:line="204" w:lineRule="exact"/>
        <w:jc w:val="both"/>
        <w:rPr>
          <w:sz w:val="18"/>
        </w:rPr>
        <w:sectPr>
          <w:type w:val="continuous"/>
          <w:pgSz w:w="9640" w:h="13040"/>
          <w:pgMar w:top="1200" w:bottom="280" w:left="480" w:right="1200"/>
          <w:cols w:num="2" w:equalWidth="0">
            <w:col w:w="2547" w:space="40"/>
            <w:col w:w="5373"/>
          </w:cols>
        </w:sectPr>
      </w:pPr>
    </w:p>
    <w:p>
      <w:pPr>
        <w:pStyle w:val="BodyText"/>
        <w:rPr>
          <w:sz w:val="20"/>
        </w:rPr>
      </w:pPr>
    </w:p>
    <w:p>
      <w:pPr>
        <w:pStyle w:val="BodyText"/>
        <w:spacing w:before="4"/>
        <w:rPr>
          <w:sz w:val="24"/>
        </w:rPr>
      </w:pPr>
    </w:p>
    <w:p>
      <w:pPr>
        <w:spacing w:line="204" w:lineRule="exact" w:before="68"/>
        <w:ind w:left="2589" w:right="4771" w:hanging="100"/>
        <w:jc w:val="left"/>
        <w:rPr>
          <w:sz w:val="18"/>
        </w:rPr>
      </w:pPr>
      <w:r>
        <w:rPr>
          <w:color w:val="231F20"/>
          <w:sz w:val="18"/>
        </w:rPr>
        <w:t>Honda 2%</w:t>
      </w:r>
    </w:p>
    <w:p>
      <w:pPr>
        <w:pStyle w:val="BodyText"/>
        <w:spacing w:before="8"/>
        <w:rPr>
          <w:sz w:val="17"/>
        </w:rPr>
      </w:pPr>
    </w:p>
    <w:p>
      <w:pPr>
        <w:spacing w:before="40"/>
        <w:ind w:left="653" w:right="0" w:firstLine="0"/>
        <w:jc w:val="both"/>
        <w:rPr>
          <w:sz w:val="19"/>
        </w:rPr>
      </w:pPr>
      <w:r>
        <w:rPr/>
        <w:pict>
          <v:group style="position:absolute;margin-left:104.948997pt;margin-top:-161.014175pt;width:251.3pt;height:138.3pt;mso-position-horizontal-relative:page;mso-position-vertical-relative:paragraph;z-index:-611080" coordorigin="2099,-3220" coordsize="5026,2766">
            <v:shape style="position:absolute;left:2099;top:-3220;width:5026;height:2766" type="#_x0000_t75" stroked="false">
              <v:imagedata r:id="rId183" o:title=""/>
            </v:shape>
            <v:shape style="position:absolute;left:3448;top:-637;width:191;height:176" type="#_x0000_t75" stroked="false">
              <v:imagedata r:id="rId184" o:title=""/>
            </v:shape>
            <w10:wrap type="none"/>
          </v:group>
        </w:pict>
      </w:r>
      <w:r>
        <w:rPr>
          <w:rFonts w:ascii="Palatino Linotype" w:hAnsi="Palatino Linotype"/>
          <w:i/>
          <w:color w:val="231F20"/>
          <w:sz w:val="19"/>
        </w:rPr>
        <w:t>Fuente: </w:t>
      </w:r>
      <w:r>
        <w:rPr>
          <w:color w:val="231F20"/>
          <w:sz w:val="19"/>
        </w:rPr>
        <w:t>Elaboración propia con datos de AMIA (2014).</w:t>
      </w:r>
    </w:p>
    <w:p>
      <w:pPr>
        <w:pStyle w:val="BodyText"/>
        <w:rPr>
          <w:sz w:val="22"/>
        </w:rPr>
      </w:pPr>
    </w:p>
    <w:p>
      <w:pPr>
        <w:pStyle w:val="BodyText"/>
        <w:spacing w:line="278" w:lineRule="auto" w:before="1"/>
        <w:ind w:left="653" w:right="100"/>
        <w:jc w:val="both"/>
      </w:pPr>
      <w:r>
        <w:rPr>
          <w:color w:val="231F20"/>
          <w:spacing w:val="-4"/>
        </w:rPr>
        <w:t>Por </w:t>
      </w:r>
      <w:r>
        <w:rPr>
          <w:color w:val="231F20"/>
        </w:rPr>
        <w:t>otro lado, si se analiza el valor de la producción de autopartes a partir de 1995, se observa que su crecimiento ha sido </w:t>
      </w:r>
      <w:r>
        <w:rPr>
          <w:color w:val="231F20"/>
          <w:spacing w:val="-2"/>
        </w:rPr>
        <w:t>muy </w:t>
      </w:r>
      <w:r>
        <w:rPr>
          <w:color w:val="231F20"/>
        </w:rPr>
        <w:t>estable </w:t>
      </w:r>
      <w:r>
        <w:rPr>
          <w:color w:val="231F20"/>
          <w:spacing w:val="-8"/>
        </w:rPr>
        <w:t>y, </w:t>
      </w:r>
      <w:r>
        <w:rPr>
          <w:color w:val="231F20"/>
        </w:rPr>
        <w:t>a diferencia del sector terminal, no ha tenido caídas tan drásticas en las épocas de recesión; además, su recuperación ha sido más rápida. Desde 2003 este sector ha mostrado un crecimiento sostenido y de 2007</w:t>
      </w:r>
      <w:r>
        <w:rPr>
          <w:color w:val="231F20"/>
          <w:spacing w:val="-12"/>
        </w:rPr>
        <w:t> </w:t>
      </w:r>
      <w:r>
        <w:rPr>
          <w:color w:val="231F20"/>
        </w:rPr>
        <w:t>a</w:t>
      </w:r>
      <w:r>
        <w:rPr>
          <w:color w:val="231F20"/>
          <w:spacing w:val="-12"/>
        </w:rPr>
        <w:t> </w:t>
      </w:r>
      <w:r>
        <w:rPr>
          <w:color w:val="231F20"/>
        </w:rPr>
        <w:t>2008</w:t>
      </w:r>
      <w:r>
        <w:rPr>
          <w:color w:val="231F20"/>
          <w:spacing w:val="-12"/>
        </w:rPr>
        <w:t> </w:t>
      </w:r>
      <w:r>
        <w:rPr>
          <w:color w:val="231F20"/>
        </w:rPr>
        <w:t>presentó</w:t>
      </w:r>
      <w:r>
        <w:rPr>
          <w:color w:val="231F20"/>
          <w:spacing w:val="-12"/>
        </w:rPr>
        <w:t> </w:t>
      </w:r>
      <w:r>
        <w:rPr>
          <w:color w:val="231F20"/>
        </w:rPr>
        <w:t>un</w:t>
      </w:r>
      <w:r>
        <w:rPr>
          <w:color w:val="231F20"/>
          <w:spacing w:val="-12"/>
        </w:rPr>
        <w:t> </w:t>
      </w:r>
      <w:r>
        <w:rPr>
          <w:color w:val="231F20"/>
        </w:rPr>
        <w:t>crecimiento</w:t>
      </w:r>
      <w:r>
        <w:rPr>
          <w:color w:val="231F20"/>
          <w:spacing w:val="-12"/>
        </w:rPr>
        <w:t> </w:t>
      </w:r>
      <w:r>
        <w:rPr>
          <w:color w:val="231F20"/>
        </w:rPr>
        <w:t>espectacular;</w:t>
      </w:r>
      <w:r>
        <w:rPr>
          <w:color w:val="231F20"/>
          <w:spacing w:val="-12"/>
        </w:rPr>
        <w:t> </w:t>
      </w:r>
      <w:r>
        <w:rPr>
          <w:color w:val="231F20"/>
        </w:rPr>
        <w:t>sin</w:t>
      </w:r>
      <w:r>
        <w:rPr>
          <w:color w:val="231F20"/>
          <w:spacing w:val="-12"/>
        </w:rPr>
        <w:t> </w:t>
      </w:r>
      <w:r>
        <w:rPr>
          <w:color w:val="231F20"/>
        </w:rPr>
        <w:t>embargo,</w:t>
      </w:r>
      <w:r>
        <w:rPr>
          <w:color w:val="231F20"/>
          <w:spacing w:val="-12"/>
        </w:rPr>
        <w:t> </w:t>
      </w:r>
      <w:r>
        <w:rPr>
          <w:color w:val="231F20"/>
        </w:rPr>
        <w:t>la</w:t>
      </w:r>
      <w:r>
        <w:rPr>
          <w:color w:val="231F20"/>
          <w:spacing w:val="-12"/>
        </w:rPr>
        <w:t> </w:t>
      </w:r>
      <w:r>
        <w:rPr>
          <w:color w:val="231F20"/>
        </w:rPr>
        <w:t>Gran</w:t>
      </w:r>
      <w:r>
        <w:rPr>
          <w:color w:val="231F20"/>
          <w:spacing w:val="-12"/>
        </w:rPr>
        <w:t> </w:t>
      </w:r>
      <w:r>
        <w:rPr>
          <w:color w:val="231F20"/>
        </w:rPr>
        <w:t>Recesión</w:t>
      </w:r>
      <w:r>
        <w:rPr>
          <w:color w:val="231F20"/>
          <w:spacing w:val="-12"/>
        </w:rPr>
        <w:t> </w:t>
      </w:r>
      <w:r>
        <w:rPr>
          <w:color w:val="231F20"/>
        </w:rPr>
        <w:t>tuvo saldos importantes para el </w:t>
      </w:r>
      <w:r>
        <w:rPr>
          <w:color w:val="231F20"/>
          <w:spacing w:val="-3"/>
        </w:rPr>
        <w:t>sector, </w:t>
      </w:r>
      <w:r>
        <w:rPr>
          <w:color w:val="231F20"/>
        </w:rPr>
        <w:t>que se evidencian en los datos de 2009, año en que presentó</w:t>
      </w:r>
      <w:r>
        <w:rPr>
          <w:color w:val="231F20"/>
          <w:spacing w:val="-8"/>
        </w:rPr>
        <w:t> </w:t>
      </w:r>
      <w:r>
        <w:rPr>
          <w:color w:val="231F20"/>
        </w:rPr>
        <w:t>una</w:t>
      </w:r>
      <w:r>
        <w:rPr>
          <w:color w:val="231F20"/>
          <w:spacing w:val="-8"/>
        </w:rPr>
        <w:t> </w:t>
      </w:r>
      <w:r>
        <w:rPr>
          <w:color w:val="231F20"/>
        </w:rPr>
        <w:t>dramática</w:t>
      </w:r>
      <w:r>
        <w:rPr>
          <w:color w:val="231F20"/>
          <w:spacing w:val="-8"/>
        </w:rPr>
        <w:t> </w:t>
      </w:r>
      <w:r>
        <w:rPr>
          <w:color w:val="231F20"/>
        </w:rPr>
        <w:t>caída</w:t>
      </w:r>
      <w:r>
        <w:rPr>
          <w:color w:val="231F20"/>
          <w:spacing w:val="-8"/>
        </w:rPr>
        <w:t> </w:t>
      </w:r>
      <w:r>
        <w:rPr>
          <w:color w:val="231F20"/>
        </w:rPr>
        <w:t>(véase</w:t>
      </w:r>
      <w:r>
        <w:rPr>
          <w:color w:val="231F20"/>
          <w:spacing w:val="-8"/>
        </w:rPr>
        <w:t> </w:t>
      </w:r>
      <w:r>
        <w:rPr>
          <w:color w:val="231F20"/>
        </w:rPr>
        <w:t>gráfica</w:t>
      </w:r>
      <w:r>
        <w:rPr>
          <w:color w:val="231F20"/>
          <w:spacing w:val="-8"/>
        </w:rPr>
        <w:t> </w:t>
      </w:r>
      <w:r>
        <w:rPr>
          <w:color w:val="231F20"/>
        </w:rPr>
        <w:t>III.4),</w:t>
      </w:r>
      <w:r>
        <w:rPr>
          <w:color w:val="231F20"/>
          <w:spacing w:val="-8"/>
        </w:rPr>
        <w:t> </w:t>
      </w:r>
      <w:r>
        <w:rPr>
          <w:color w:val="231F20"/>
        </w:rPr>
        <w:t>pues,</w:t>
      </w:r>
      <w:r>
        <w:rPr>
          <w:color w:val="231F20"/>
          <w:spacing w:val="-8"/>
        </w:rPr>
        <w:t> </w:t>
      </w:r>
      <w:r>
        <w:rPr>
          <w:color w:val="231F20"/>
        </w:rPr>
        <w:t>al</w:t>
      </w:r>
      <w:r>
        <w:rPr>
          <w:color w:val="231F20"/>
          <w:spacing w:val="-8"/>
        </w:rPr>
        <w:t> </w:t>
      </w:r>
      <w:r>
        <w:rPr>
          <w:color w:val="231F20"/>
        </w:rPr>
        <w:t>igual</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industria</w:t>
      </w:r>
      <w:r>
        <w:rPr>
          <w:color w:val="231F20"/>
          <w:spacing w:val="-8"/>
        </w:rPr>
        <w:t> </w:t>
      </w:r>
      <w:r>
        <w:rPr>
          <w:color w:val="231F20"/>
        </w:rPr>
        <w:t>termi- nal, tiene una fuerte vinculación con el sector externo, principalmente con el mercado norteamericano.</w:t>
      </w:r>
    </w:p>
    <w:p>
      <w:pPr>
        <w:spacing w:after="0" w:line="278" w:lineRule="auto"/>
        <w:jc w:val="both"/>
        <w:sectPr>
          <w:type w:val="continuous"/>
          <w:pgSz w:w="9640" w:h="13040"/>
          <w:pgMar w:top="1200" w:bottom="280" w:left="480" w:right="1200"/>
        </w:sectPr>
      </w:pPr>
    </w:p>
    <w:p>
      <w:pPr>
        <w:pStyle w:val="BodyText"/>
        <w:rPr>
          <w:sz w:val="20"/>
        </w:rPr>
      </w:pPr>
    </w:p>
    <w:p>
      <w:pPr>
        <w:pStyle w:val="BodyText"/>
        <w:spacing w:before="9"/>
        <w:rPr>
          <w:sz w:val="15"/>
        </w:rPr>
      </w:pPr>
    </w:p>
    <w:p>
      <w:pPr>
        <w:pStyle w:val="Heading4"/>
        <w:ind w:left="127" w:right="674"/>
      </w:pPr>
      <w:r>
        <w:rPr>
          <w:color w:val="231F20"/>
          <w:w w:val="90"/>
        </w:rPr>
        <w:t>Gráfica III.4</w:t>
      </w:r>
    </w:p>
    <w:p>
      <w:pPr>
        <w:spacing w:line="282" w:lineRule="exact" w:before="0"/>
        <w:ind w:left="173" w:right="674" w:firstLine="0"/>
        <w:jc w:val="center"/>
        <w:rPr>
          <w:rFonts w:ascii="Palatino Linotype" w:hAnsi="Palatino Linotype"/>
          <w:b/>
          <w:sz w:val="21"/>
        </w:rPr>
      </w:pPr>
      <w:r>
        <w:rPr>
          <w:rFonts w:ascii="Palatino Linotype" w:hAnsi="Palatino Linotype"/>
          <w:b/>
          <w:color w:val="231F20"/>
          <w:w w:val="95"/>
          <w:sz w:val="21"/>
        </w:rPr>
        <w:t>Producción nacional de autopartes, 1994-2009</w:t>
      </w:r>
    </w:p>
    <w:p>
      <w:pPr>
        <w:spacing w:before="17"/>
        <w:ind w:left="173" w:right="674" w:firstLine="0"/>
        <w:jc w:val="center"/>
        <w:rPr>
          <w:rFonts w:ascii="Palatino Linotype" w:hAnsi="Palatino Linotype"/>
          <w:b/>
          <w:sz w:val="19"/>
        </w:rPr>
      </w:pPr>
      <w:r>
        <w:rPr>
          <w:rFonts w:ascii="Palatino Linotype" w:hAnsi="Palatino Linotype"/>
          <w:b/>
          <w:color w:val="231F20"/>
          <w:w w:val="90"/>
          <w:sz w:val="19"/>
        </w:rPr>
        <w:t>(Millones de dólares)</w:t>
      </w:r>
    </w:p>
    <w:p>
      <w:pPr>
        <w:pStyle w:val="BodyText"/>
        <w:spacing w:before="6"/>
        <w:rPr>
          <w:rFonts w:ascii="Palatino Linotype"/>
          <w:b/>
          <w:sz w:val="25"/>
        </w:rPr>
      </w:pPr>
    </w:p>
    <w:p>
      <w:pPr>
        <w:spacing w:before="39"/>
        <w:ind w:left="143" w:right="673" w:firstLine="0"/>
        <w:jc w:val="left"/>
        <w:rPr>
          <w:rFonts w:ascii="Palatino Linotype"/>
          <w:sz w:val="19"/>
        </w:rPr>
      </w:pPr>
      <w:r>
        <w:rPr/>
        <w:pict>
          <v:group style="position:absolute;margin-left:100.428001pt;margin-top:-.609363pt;width:330.85pt;height:136.5pt;mso-position-horizontal-relative:page;mso-position-vertical-relative:paragraph;z-index:8920" coordorigin="2009,-12" coordsize="6617,2730">
            <v:shape style="position:absolute;left:2009;top:-10;width:6617;height:2728" type="#_x0000_t75" stroked="false">
              <v:imagedata r:id="rId185" o:title=""/>
            </v:shape>
            <v:shape style="position:absolute;left:8080;top:-12;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78,000</w:t>
                    </w:r>
                  </w:p>
                </w:txbxContent>
              </v:textbox>
              <w10:wrap type="none"/>
            </v:shape>
            <v:shape style="position:absolute;left:7335;top:106;width:670;height:363" type="#_x0000_t202" filled="false" stroked="false">
              <v:textbox inset="0,0,0,0">
                <w:txbxContent>
                  <w:p>
                    <w:pPr>
                      <w:spacing w:line="135" w:lineRule="exact" w:before="0"/>
                      <w:ind w:left="296" w:right="0" w:firstLine="0"/>
                      <w:jc w:val="left"/>
                      <w:rPr>
                        <w:rFonts w:ascii="Palatino Linotype"/>
                        <w:sz w:val="13"/>
                      </w:rPr>
                    </w:pPr>
                    <w:r>
                      <w:rPr>
                        <w:rFonts w:ascii="Palatino Linotype"/>
                        <w:color w:val="231F20"/>
                        <w:w w:val="95"/>
                        <w:sz w:val="13"/>
                      </w:rPr>
                      <w:t>74,795</w:t>
                    </w:r>
                  </w:p>
                  <w:p>
                    <w:pPr>
                      <w:spacing w:line="171" w:lineRule="exact" w:before="55"/>
                      <w:ind w:left="0" w:right="0" w:firstLine="0"/>
                      <w:jc w:val="left"/>
                      <w:rPr>
                        <w:rFonts w:ascii="Palatino Linotype"/>
                        <w:sz w:val="13"/>
                      </w:rPr>
                    </w:pPr>
                    <w:r>
                      <w:rPr>
                        <w:rFonts w:ascii="Palatino Linotype"/>
                        <w:color w:val="231F20"/>
                        <w:sz w:val="13"/>
                      </w:rPr>
                      <w:t>67,989</w:t>
                    </w:r>
                  </w:p>
                </w:txbxContent>
              </v:textbox>
              <w10:wrap type="none"/>
            </v:shape>
            <v:shape style="position:absolute;left:6407;top:685;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55,764</w:t>
                    </w:r>
                  </w:p>
                </w:txbxContent>
              </v:textbox>
              <w10:wrap type="none"/>
            </v:shape>
            <v:shape style="position:absolute;left:7076;top:627;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57,599</w:t>
                    </w:r>
                  </w:p>
                </w:txbxContent>
              </v:textbox>
              <w10:wrap type="none"/>
            </v:shape>
            <v:shape style="position:absolute;left:6742;top:1180;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39,939</w:t>
                    </w:r>
                  </w:p>
                </w:txbxContent>
              </v:textbox>
              <w10:wrap type="none"/>
            </v:shape>
            <v:shape style="position:absolute;left:3730;top:1754;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21,617</w:t>
                    </w:r>
                  </w:p>
                </w:txbxContent>
              </v:textbox>
              <w10:wrap type="none"/>
            </v:shape>
            <v:shape style="position:absolute;left:4399;top:1792;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20,423</w:t>
                    </w:r>
                  </w:p>
                </w:txbxContent>
              </v:textbox>
              <w10:wrap type="none"/>
            </v:shape>
            <v:shape style="position:absolute;left:5069;top:1729;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22,419</w:t>
                    </w:r>
                  </w:p>
                </w:txbxContent>
              </v:textbox>
              <w10:wrap type="none"/>
            </v:shape>
            <v:shape style="position:absolute;left:5738;top:1674;width:703;height:304" type="#_x0000_t202" filled="false" stroked="false">
              <v:textbox inset="0,0,0,0">
                <w:txbxContent>
                  <w:p>
                    <w:pPr>
                      <w:spacing w:line="133" w:lineRule="exact" w:before="0"/>
                      <w:ind w:left="0" w:right="0" w:firstLine="0"/>
                      <w:jc w:val="left"/>
                      <w:rPr>
                        <w:rFonts w:ascii="Palatino Linotype"/>
                        <w:sz w:val="13"/>
                      </w:rPr>
                    </w:pPr>
                    <w:r>
                      <w:rPr>
                        <w:rFonts w:ascii="Palatino Linotype"/>
                        <w:color w:val="231F20"/>
                        <w:sz w:val="13"/>
                      </w:rPr>
                      <w:t>24,183</w:t>
                    </w:r>
                  </w:p>
                  <w:p>
                    <w:pPr>
                      <w:spacing w:line="170" w:lineRule="exact" w:before="0"/>
                      <w:ind w:left="334" w:right="0" w:firstLine="0"/>
                      <w:jc w:val="left"/>
                      <w:rPr>
                        <w:rFonts w:ascii="Palatino Linotype"/>
                        <w:sz w:val="13"/>
                      </w:rPr>
                    </w:pPr>
                    <w:r>
                      <w:rPr>
                        <w:rFonts w:ascii="Palatino Linotype"/>
                        <w:color w:val="231F20"/>
                        <w:w w:val="95"/>
                        <w:sz w:val="13"/>
                      </w:rPr>
                      <w:t>27,688</w:t>
                    </w:r>
                  </w:p>
                </w:txbxContent>
              </v:textbox>
              <w10:wrap type="none"/>
            </v:shape>
            <v:shape style="position:absolute;left:3061;top:1947;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16,637</w:t>
                    </w:r>
                  </w:p>
                </w:txbxContent>
              </v:textbox>
              <w10:wrap type="none"/>
            </v:shape>
            <v:shape style="position:absolute;left:2392;top:2051;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13,324</w:t>
                    </w:r>
                  </w:p>
                </w:txbxContent>
              </v:textbox>
              <w10:wrap type="none"/>
            </v:shape>
            <v:shape style="position:absolute;left:5403;top:2001;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23,300</w:t>
                    </w:r>
                  </w:p>
                </w:txbxContent>
              </v:textbox>
              <w10:wrap type="none"/>
            </v:shape>
            <v:shape style="position:absolute;left:4065;top:2099;width:1043;height:138" type="#_x0000_t202" filled="false" stroked="false">
              <v:textbox inset="0,0,0,0">
                <w:txbxContent>
                  <w:p>
                    <w:pPr>
                      <w:tabs>
                        <w:tab w:pos="669" w:val="left" w:leader="none"/>
                      </w:tabs>
                      <w:spacing w:line="138" w:lineRule="exact" w:before="0"/>
                      <w:ind w:left="0" w:right="0" w:firstLine="0"/>
                      <w:jc w:val="left"/>
                      <w:rPr>
                        <w:rFonts w:ascii="Palatino Linotype"/>
                        <w:sz w:val="13"/>
                      </w:rPr>
                    </w:pPr>
                    <w:r>
                      <w:rPr>
                        <w:rFonts w:ascii="Palatino Linotype"/>
                        <w:color w:val="231F20"/>
                        <w:spacing w:val="3"/>
                        <w:sz w:val="13"/>
                      </w:rPr>
                      <w:t>20,521</w:t>
                      <w:tab/>
                    </w:r>
                    <w:r>
                      <w:rPr>
                        <w:rFonts w:ascii="Palatino Linotype"/>
                        <w:color w:val="231F20"/>
                        <w:spacing w:val="4"/>
                        <w:w w:val="95"/>
                        <w:position w:val="1"/>
                        <w:sz w:val="13"/>
                      </w:rPr>
                      <w:t>19,041</w:t>
                    </w:r>
                  </w:p>
                </w:txbxContent>
              </v:textbox>
              <w10:wrap type="none"/>
            </v:shape>
            <v:shape style="position:absolute;left:2057;top:2295;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11,120</w:t>
                    </w:r>
                  </w:p>
                </w:txbxContent>
              </v:textbox>
              <w10:wrap type="none"/>
            </v:shape>
            <v:shape style="position:absolute;left:2746;top:2249;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15,400</w:t>
                    </w:r>
                  </w:p>
                </w:txbxContent>
              </v:textbox>
              <w10:wrap type="none"/>
            </v:shape>
            <v:shape style="position:absolute;left:3415;top:2158;width:374;height:132" type="#_x0000_t202" filled="false" stroked="false">
              <v:textbox inset="0,0,0,0">
                <w:txbxContent>
                  <w:p>
                    <w:pPr>
                      <w:spacing w:line="131" w:lineRule="exact" w:before="0"/>
                      <w:ind w:left="0" w:right="0" w:firstLine="0"/>
                      <w:jc w:val="left"/>
                      <w:rPr>
                        <w:rFonts w:ascii="Palatino Linotype"/>
                        <w:sz w:val="13"/>
                      </w:rPr>
                    </w:pPr>
                    <w:r>
                      <w:rPr>
                        <w:rFonts w:ascii="Palatino Linotype"/>
                        <w:color w:val="231F20"/>
                        <w:w w:val="95"/>
                        <w:sz w:val="13"/>
                      </w:rPr>
                      <w:t>18,279</w:t>
                    </w:r>
                  </w:p>
                </w:txbxContent>
              </v:textbox>
              <w10:wrap type="none"/>
            </v:shape>
            <w10:wrap type="none"/>
          </v:group>
        </w:pict>
      </w:r>
      <w:r>
        <w:rPr>
          <w:rFonts w:ascii="Palatino Linotype"/>
          <w:color w:val="231F20"/>
          <w:sz w:val="19"/>
        </w:rPr>
        <w:t>80,000</w:t>
      </w:r>
    </w:p>
    <w:p>
      <w:pPr>
        <w:spacing w:before="57"/>
        <w:ind w:left="143" w:right="673" w:firstLine="0"/>
        <w:jc w:val="left"/>
        <w:rPr>
          <w:rFonts w:ascii="Palatino Linotype"/>
          <w:sz w:val="19"/>
        </w:rPr>
      </w:pPr>
      <w:r>
        <w:rPr>
          <w:rFonts w:ascii="Palatino Linotype"/>
          <w:color w:val="231F20"/>
          <w:sz w:val="19"/>
        </w:rPr>
        <w:t>70,000</w:t>
      </w:r>
    </w:p>
    <w:p>
      <w:pPr>
        <w:spacing w:before="57"/>
        <w:ind w:left="143" w:right="673" w:firstLine="0"/>
        <w:jc w:val="left"/>
        <w:rPr>
          <w:rFonts w:ascii="Palatino Linotype"/>
          <w:sz w:val="19"/>
        </w:rPr>
      </w:pPr>
      <w:r>
        <w:rPr>
          <w:rFonts w:ascii="Palatino Linotype"/>
          <w:color w:val="231F20"/>
          <w:sz w:val="19"/>
        </w:rPr>
        <w:t>60,000</w:t>
      </w:r>
    </w:p>
    <w:p>
      <w:pPr>
        <w:spacing w:before="57"/>
        <w:ind w:left="143" w:right="673" w:firstLine="0"/>
        <w:jc w:val="left"/>
        <w:rPr>
          <w:rFonts w:ascii="Palatino Linotype"/>
          <w:sz w:val="19"/>
        </w:rPr>
      </w:pPr>
      <w:r>
        <w:rPr>
          <w:rFonts w:ascii="Palatino Linotype"/>
          <w:color w:val="231F20"/>
          <w:sz w:val="19"/>
        </w:rPr>
        <w:t>50,000</w:t>
      </w:r>
    </w:p>
    <w:p>
      <w:pPr>
        <w:spacing w:before="57"/>
        <w:ind w:left="143" w:right="673" w:firstLine="0"/>
        <w:jc w:val="left"/>
        <w:rPr>
          <w:rFonts w:ascii="Palatino Linotype"/>
          <w:sz w:val="19"/>
        </w:rPr>
      </w:pPr>
      <w:r>
        <w:rPr>
          <w:rFonts w:ascii="Palatino Linotype"/>
          <w:color w:val="231F20"/>
          <w:sz w:val="19"/>
        </w:rPr>
        <w:t>40,000</w:t>
      </w:r>
    </w:p>
    <w:p>
      <w:pPr>
        <w:spacing w:before="57"/>
        <w:ind w:left="143" w:right="673" w:firstLine="0"/>
        <w:jc w:val="left"/>
        <w:rPr>
          <w:rFonts w:ascii="Palatino Linotype"/>
          <w:sz w:val="19"/>
        </w:rPr>
      </w:pPr>
      <w:r>
        <w:rPr>
          <w:rFonts w:ascii="Palatino Linotype"/>
          <w:color w:val="231F20"/>
          <w:sz w:val="19"/>
        </w:rPr>
        <w:t>30,000</w:t>
      </w:r>
    </w:p>
    <w:p>
      <w:pPr>
        <w:spacing w:before="57"/>
        <w:ind w:left="143" w:right="673" w:firstLine="0"/>
        <w:jc w:val="left"/>
        <w:rPr>
          <w:rFonts w:ascii="Palatino Linotype"/>
          <w:sz w:val="19"/>
        </w:rPr>
      </w:pPr>
      <w:r>
        <w:rPr>
          <w:rFonts w:ascii="Palatino Linotype"/>
          <w:color w:val="231F20"/>
          <w:sz w:val="19"/>
        </w:rPr>
        <w:t>20,000</w:t>
      </w:r>
    </w:p>
    <w:p>
      <w:pPr>
        <w:spacing w:before="78"/>
        <w:ind w:left="143" w:right="673" w:firstLine="0"/>
        <w:jc w:val="left"/>
        <w:rPr>
          <w:rFonts w:ascii="Palatino Linotype"/>
          <w:sz w:val="19"/>
        </w:rPr>
      </w:pPr>
      <w:r>
        <w:rPr>
          <w:rFonts w:ascii="Palatino Linotype"/>
          <w:color w:val="231F20"/>
          <w:sz w:val="19"/>
        </w:rPr>
        <w:t>10,000</w:t>
      </w:r>
    </w:p>
    <w:p>
      <w:pPr>
        <w:spacing w:before="35"/>
        <w:ind w:left="580" w:right="0" w:firstLine="0"/>
        <w:jc w:val="left"/>
        <w:rPr>
          <w:rFonts w:ascii="Palatino Linotype"/>
          <w:sz w:val="19"/>
        </w:rPr>
      </w:pPr>
      <w:r>
        <w:rPr/>
        <w:pict>
          <v:shape style="position:absolute;margin-left:105.91758pt;margin-top:13.699398pt;width:312.650pt;height:20.9pt;mso-position-horizontal-relative:page;mso-position-vertical-relative:paragraph;z-index:8944" type="#_x0000_t202" filled="false" stroked="false">
            <v:textbox inset="0,0,0,0" style="layout-flow:vertical;mso-layout-flow-alt:bottom-to-top">
              <w:txbxContent>
                <w:p>
                  <w:pPr>
                    <w:spacing w:line="215" w:lineRule="exact" w:before="0"/>
                    <w:ind w:left="20" w:right="0" w:firstLine="0"/>
                    <w:jc w:val="left"/>
                    <w:rPr>
                      <w:rFonts w:ascii="Palatino Linotype"/>
                      <w:sz w:val="19"/>
                    </w:rPr>
                  </w:pPr>
                  <w:r>
                    <w:rPr>
                      <w:rFonts w:ascii="Palatino Linotype"/>
                      <w:color w:val="231F20"/>
                      <w:spacing w:val="7"/>
                      <w:w w:val="95"/>
                      <w:sz w:val="19"/>
                    </w:rPr>
                    <w:t>1</w:t>
                  </w:r>
                  <w:r>
                    <w:rPr>
                      <w:rFonts w:ascii="Palatino Linotype"/>
                      <w:color w:val="231F20"/>
                      <w:spacing w:val="-8"/>
                      <w:w w:val="95"/>
                      <w:sz w:val="19"/>
                    </w:rPr>
                    <w:t>9</w:t>
                  </w:r>
                  <w:r>
                    <w:rPr>
                      <w:rFonts w:ascii="Palatino Linotype"/>
                      <w:color w:val="231F20"/>
                      <w:spacing w:val="7"/>
                      <w:w w:val="95"/>
                      <w:sz w:val="19"/>
                    </w:rPr>
                    <w:t>95</w:t>
                  </w:r>
                </w:p>
                <w:p>
                  <w:pPr>
                    <w:spacing w:before="78"/>
                    <w:ind w:left="20" w:right="0" w:firstLine="0"/>
                    <w:jc w:val="left"/>
                    <w:rPr>
                      <w:rFonts w:ascii="Palatino Linotype"/>
                      <w:sz w:val="19"/>
                    </w:rPr>
                  </w:pPr>
                  <w:r>
                    <w:rPr>
                      <w:rFonts w:ascii="Palatino Linotype"/>
                      <w:color w:val="231F20"/>
                      <w:spacing w:val="7"/>
                      <w:w w:val="95"/>
                      <w:sz w:val="19"/>
                    </w:rPr>
                    <w:t>1</w:t>
                  </w:r>
                  <w:r>
                    <w:rPr>
                      <w:rFonts w:ascii="Palatino Linotype"/>
                      <w:color w:val="231F20"/>
                      <w:spacing w:val="-8"/>
                      <w:w w:val="95"/>
                      <w:sz w:val="19"/>
                    </w:rPr>
                    <w:t>9</w:t>
                  </w:r>
                  <w:r>
                    <w:rPr>
                      <w:rFonts w:ascii="Palatino Linotype"/>
                      <w:color w:val="231F20"/>
                      <w:spacing w:val="7"/>
                      <w:w w:val="95"/>
                      <w:sz w:val="19"/>
                    </w:rPr>
                    <w:t>96</w:t>
                  </w:r>
                </w:p>
                <w:p>
                  <w:pPr>
                    <w:spacing w:before="78"/>
                    <w:ind w:left="20" w:right="0" w:firstLine="0"/>
                    <w:jc w:val="left"/>
                    <w:rPr>
                      <w:rFonts w:ascii="Palatino Linotype"/>
                      <w:sz w:val="19"/>
                    </w:rPr>
                  </w:pPr>
                  <w:r>
                    <w:rPr>
                      <w:rFonts w:ascii="Palatino Linotype"/>
                      <w:color w:val="231F20"/>
                      <w:spacing w:val="7"/>
                      <w:w w:val="95"/>
                      <w:sz w:val="19"/>
                    </w:rPr>
                    <w:t>1</w:t>
                  </w:r>
                  <w:r>
                    <w:rPr>
                      <w:rFonts w:ascii="Palatino Linotype"/>
                      <w:color w:val="231F20"/>
                      <w:spacing w:val="-8"/>
                      <w:w w:val="95"/>
                      <w:sz w:val="19"/>
                    </w:rPr>
                    <w:t>9</w:t>
                  </w:r>
                  <w:r>
                    <w:rPr>
                      <w:rFonts w:ascii="Palatino Linotype"/>
                      <w:color w:val="231F20"/>
                      <w:spacing w:val="7"/>
                      <w:w w:val="95"/>
                      <w:sz w:val="19"/>
                    </w:rPr>
                    <w:t>97</w:t>
                  </w:r>
                </w:p>
                <w:p>
                  <w:pPr>
                    <w:spacing w:before="78"/>
                    <w:ind w:left="20" w:right="0" w:firstLine="0"/>
                    <w:jc w:val="left"/>
                    <w:rPr>
                      <w:rFonts w:ascii="Palatino Linotype"/>
                      <w:sz w:val="19"/>
                    </w:rPr>
                  </w:pPr>
                  <w:r>
                    <w:rPr>
                      <w:rFonts w:ascii="Palatino Linotype"/>
                      <w:color w:val="231F20"/>
                      <w:spacing w:val="7"/>
                      <w:w w:val="95"/>
                      <w:sz w:val="19"/>
                    </w:rPr>
                    <w:t>1</w:t>
                  </w:r>
                  <w:r>
                    <w:rPr>
                      <w:rFonts w:ascii="Palatino Linotype"/>
                      <w:color w:val="231F20"/>
                      <w:spacing w:val="-8"/>
                      <w:w w:val="95"/>
                      <w:sz w:val="19"/>
                    </w:rPr>
                    <w:t>9</w:t>
                  </w:r>
                  <w:r>
                    <w:rPr>
                      <w:rFonts w:ascii="Palatino Linotype"/>
                      <w:color w:val="231F20"/>
                      <w:spacing w:val="7"/>
                      <w:w w:val="95"/>
                      <w:sz w:val="19"/>
                    </w:rPr>
                    <w:t>98</w:t>
                  </w:r>
                </w:p>
                <w:p>
                  <w:pPr>
                    <w:spacing w:before="78"/>
                    <w:ind w:left="20" w:right="0" w:firstLine="0"/>
                    <w:jc w:val="left"/>
                    <w:rPr>
                      <w:rFonts w:ascii="Palatino Linotype"/>
                      <w:sz w:val="19"/>
                    </w:rPr>
                  </w:pPr>
                  <w:r>
                    <w:rPr>
                      <w:rFonts w:ascii="Palatino Linotype"/>
                      <w:color w:val="231F20"/>
                      <w:spacing w:val="7"/>
                      <w:w w:val="95"/>
                      <w:sz w:val="19"/>
                    </w:rPr>
                    <w:t>1</w:t>
                  </w:r>
                  <w:r>
                    <w:rPr>
                      <w:rFonts w:ascii="Palatino Linotype"/>
                      <w:color w:val="231F20"/>
                      <w:spacing w:val="-8"/>
                      <w:w w:val="95"/>
                      <w:sz w:val="19"/>
                    </w:rPr>
                    <w:t>9</w:t>
                  </w:r>
                  <w:r>
                    <w:rPr>
                      <w:rFonts w:ascii="Palatino Linotype"/>
                      <w:color w:val="231F20"/>
                      <w:spacing w:val="7"/>
                      <w:w w:val="95"/>
                      <w:sz w:val="19"/>
                    </w:rPr>
                    <w:t>99</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00</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01</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02</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03</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04</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05</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06</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07</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08</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09</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10</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11</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12</w:t>
                  </w:r>
                </w:p>
                <w:p>
                  <w:pPr>
                    <w:spacing w:before="78"/>
                    <w:ind w:left="20" w:right="0" w:firstLine="0"/>
                    <w:jc w:val="left"/>
                    <w:rPr>
                      <w:rFonts w:ascii="Palatino Linotype"/>
                      <w:sz w:val="19"/>
                    </w:rPr>
                  </w:pPr>
                  <w:r>
                    <w:rPr>
                      <w:rFonts w:ascii="Palatino Linotype"/>
                      <w:color w:val="231F20"/>
                      <w:spacing w:val="7"/>
                      <w:w w:val="95"/>
                      <w:sz w:val="19"/>
                    </w:rPr>
                    <w:t>2</w:t>
                  </w:r>
                  <w:r>
                    <w:rPr>
                      <w:rFonts w:ascii="Palatino Linotype"/>
                      <w:color w:val="231F20"/>
                      <w:spacing w:val="-8"/>
                      <w:w w:val="95"/>
                      <w:sz w:val="19"/>
                    </w:rPr>
                    <w:t>0</w:t>
                  </w:r>
                  <w:r>
                    <w:rPr>
                      <w:rFonts w:ascii="Palatino Linotype"/>
                      <w:color w:val="231F20"/>
                      <w:spacing w:val="7"/>
                      <w:w w:val="95"/>
                      <w:sz w:val="19"/>
                    </w:rPr>
                    <w:t>13</w:t>
                  </w:r>
                </w:p>
              </w:txbxContent>
            </v:textbox>
            <w10:wrap type="none"/>
          </v:shape>
        </w:pict>
      </w:r>
      <w:r>
        <w:rPr>
          <w:rFonts w:ascii="Palatino Linotype"/>
          <w:color w:val="231F20"/>
          <w:w w:val="95"/>
          <w:sz w:val="19"/>
        </w:rPr>
        <w:t>0</w:t>
      </w:r>
    </w:p>
    <w:p>
      <w:pPr>
        <w:pStyle w:val="BodyText"/>
        <w:rPr>
          <w:rFonts w:ascii="Palatino Linotype"/>
          <w:sz w:val="20"/>
        </w:rPr>
      </w:pPr>
    </w:p>
    <w:p>
      <w:pPr>
        <w:pStyle w:val="BodyText"/>
        <w:rPr>
          <w:rFonts w:ascii="Palatino Linotype"/>
          <w:sz w:val="20"/>
        </w:rPr>
      </w:pPr>
    </w:p>
    <w:p>
      <w:pPr>
        <w:pStyle w:val="BodyText"/>
        <w:spacing w:before="8"/>
        <w:rPr>
          <w:rFonts w:ascii="Palatino Linotype"/>
          <w:sz w:val="20"/>
        </w:rPr>
      </w:pPr>
    </w:p>
    <w:p>
      <w:pPr>
        <w:spacing w:line="283" w:lineRule="auto" w:before="40"/>
        <w:ind w:left="103" w:right="673" w:firstLine="0"/>
        <w:jc w:val="left"/>
        <w:rPr>
          <w:sz w:val="19"/>
        </w:rPr>
      </w:pPr>
      <w:r>
        <w:rPr>
          <w:rFonts w:ascii="Palatino Linotype" w:hAnsi="Palatino Linotype"/>
          <w:i/>
          <w:color w:val="231F20"/>
          <w:sz w:val="19"/>
        </w:rPr>
        <w:t>Fuente:</w:t>
      </w:r>
      <w:r>
        <w:rPr>
          <w:rFonts w:ascii="Palatino Linotype" w:hAnsi="Palatino Linotype"/>
          <w:i/>
          <w:color w:val="231F20"/>
          <w:spacing w:val="-11"/>
          <w:sz w:val="19"/>
        </w:rPr>
        <w:t> </w:t>
      </w:r>
      <w:r>
        <w:rPr>
          <w:color w:val="231F20"/>
          <w:sz w:val="19"/>
        </w:rPr>
        <w:t>Elaboración</w:t>
      </w:r>
      <w:r>
        <w:rPr>
          <w:color w:val="231F20"/>
          <w:spacing w:val="25"/>
          <w:sz w:val="19"/>
        </w:rPr>
        <w:t> </w:t>
      </w:r>
      <w:r>
        <w:rPr>
          <w:color w:val="231F20"/>
          <w:sz w:val="19"/>
        </w:rPr>
        <w:t>propia.</w:t>
      </w:r>
      <w:r>
        <w:rPr>
          <w:color w:val="231F20"/>
          <w:spacing w:val="-12"/>
          <w:sz w:val="19"/>
        </w:rPr>
        <w:t> </w:t>
      </w:r>
      <w:r>
        <w:rPr>
          <w:color w:val="231F20"/>
          <w:sz w:val="19"/>
        </w:rPr>
        <w:t>De</w:t>
      </w:r>
      <w:r>
        <w:rPr>
          <w:color w:val="231F20"/>
          <w:spacing w:val="-12"/>
          <w:sz w:val="19"/>
        </w:rPr>
        <w:t> </w:t>
      </w:r>
      <w:r>
        <w:rPr>
          <w:color w:val="231F20"/>
          <w:sz w:val="19"/>
        </w:rPr>
        <w:t>1995</w:t>
      </w:r>
      <w:r>
        <w:rPr>
          <w:color w:val="231F20"/>
          <w:spacing w:val="-12"/>
          <w:sz w:val="19"/>
        </w:rPr>
        <w:t> </w:t>
      </w:r>
      <w:r>
        <w:rPr>
          <w:color w:val="231F20"/>
          <w:sz w:val="19"/>
        </w:rPr>
        <w:t>a</w:t>
      </w:r>
      <w:r>
        <w:rPr>
          <w:color w:val="231F20"/>
          <w:spacing w:val="-12"/>
          <w:sz w:val="19"/>
        </w:rPr>
        <w:t> </w:t>
      </w:r>
      <w:r>
        <w:rPr>
          <w:color w:val="231F20"/>
          <w:sz w:val="19"/>
        </w:rPr>
        <w:t>2004,</w:t>
      </w:r>
      <w:r>
        <w:rPr>
          <w:color w:val="231F20"/>
          <w:spacing w:val="-12"/>
          <w:sz w:val="19"/>
        </w:rPr>
        <w:t> </w:t>
      </w:r>
      <w:r>
        <w:rPr>
          <w:color w:val="231F20"/>
          <w:sz w:val="19"/>
        </w:rPr>
        <w:t>datos</w:t>
      </w:r>
      <w:r>
        <w:rPr>
          <w:color w:val="231F20"/>
          <w:spacing w:val="-12"/>
          <w:sz w:val="19"/>
        </w:rPr>
        <w:t> </w:t>
      </w:r>
      <w:r>
        <w:rPr>
          <w:color w:val="231F20"/>
          <w:sz w:val="19"/>
        </w:rPr>
        <w:t>de</w:t>
      </w:r>
      <w:r>
        <w:rPr>
          <w:color w:val="231F20"/>
          <w:spacing w:val="-12"/>
          <w:sz w:val="19"/>
        </w:rPr>
        <w:t> </w:t>
      </w:r>
      <w:r>
        <w:rPr>
          <w:color w:val="231F20"/>
          <w:sz w:val="19"/>
        </w:rPr>
        <w:t>la</w:t>
      </w:r>
      <w:r>
        <w:rPr>
          <w:color w:val="231F20"/>
          <w:spacing w:val="-12"/>
          <w:sz w:val="19"/>
        </w:rPr>
        <w:t> </w:t>
      </w:r>
      <w:r>
        <w:rPr>
          <w:color w:val="231F20"/>
          <w:sz w:val="19"/>
        </w:rPr>
        <w:t>Secretaría</w:t>
      </w:r>
      <w:r>
        <w:rPr>
          <w:color w:val="231F20"/>
          <w:spacing w:val="-12"/>
          <w:sz w:val="19"/>
        </w:rPr>
        <w:t> </w:t>
      </w:r>
      <w:r>
        <w:rPr>
          <w:color w:val="231F20"/>
          <w:sz w:val="19"/>
        </w:rPr>
        <w:t>de</w:t>
      </w:r>
      <w:r>
        <w:rPr>
          <w:color w:val="231F20"/>
          <w:spacing w:val="-12"/>
          <w:sz w:val="19"/>
        </w:rPr>
        <w:t> </w:t>
      </w:r>
      <w:r>
        <w:rPr>
          <w:color w:val="231F20"/>
          <w:sz w:val="19"/>
        </w:rPr>
        <w:t>Economía</w:t>
      </w:r>
      <w:r>
        <w:rPr>
          <w:color w:val="231F20"/>
          <w:spacing w:val="-12"/>
          <w:sz w:val="19"/>
        </w:rPr>
        <w:t> </w:t>
      </w:r>
      <w:r>
        <w:rPr>
          <w:color w:val="231F20"/>
          <w:sz w:val="19"/>
        </w:rPr>
        <w:t>(2012),</w:t>
      </w:r>
      <w:r>
        <w:rPr>
          <w:color w:val="231F20"/>
          <w:spacing w:val="-12"/>
          <w:sz w:val="19"/>
        </w:rPr>
        <w:t> </w:t>
      </w:r>
      <w:r>
        <w:rPr>
          <w:color w:val="231F20"/>
          <w:sz w:val="19"/>
        </w:rPr>
        <w:t>de 2005</w:t>
      </w:r>
      <w:r>
        <w:rPr>
          <w:color w:val="231F20"/>
          <w:spacing w:val="-15"/>
          <w:sz w:val="19"/>
        </w:rPr>
        <w:t> </w:t>
      </w:r>
      <w:r>
        <w:rPr>
          <w:color w:val="231F20"/>
          <w:sz w:val="19"/>
        </w:rPr>
        <w:t>a</w:t>
      </w:r>
      <w:r>
        <w:rPr>
          <w:color w:val="231F20"/>
          <w:spacing w:val="-15"/>
          <w:sz w:val="19"/>
        </w:rPr>
        <w:t> </w:t>
      </w:r>
      <w:r>
        <w:rPr>
          <w:color w:val="231F20"/>
          <w:sz w:val="19"/>
        </w:rPr>
        <w:t>2012,</w:t>
      </w:r>
      <w:r>
        <w:rPr>
          <w:color w:val="231F20"/>
          <w:spacing w:val="-15"/>
          <w:sz w:val="19"/>
        </w:rPr>
        <w:t> </w:t>
      </w:r>
      <w:r>
        <w:rPr>
          <w:color w:val="231F20"/>
          <w:sz w:val="19"/>
        </w:rPr>
        <w:t>datos</w:t>
      </w:r>
      <w:r>
        <w:rPr>
          <w:color w:val="231F20"/>
          <w:spacing w:val="-15"/>
          <w:sz w:val="19"/>
        </w:rPr>
        <w:t> </w:t>
      </w:r>
      <w:r>
        <w:rPr>
          <w:color w:val="231F20"/>
          <w:sz w:val="19"/>
        </w:rPr>
        <w:t>de</w:t>
      </w:r>
      <w:r>
        <w:rPr>
          <w:color w:val="231F20"/>
          <w:spacing w:val="-15"/>
          <w:sz w:val="19"/>
        </w:rPr>
        <w:t> </w:t>
      </w:r>
      <w:r>
        <w:rPr>
          <w:color w:val="231F20"/>
          <w:sz w:val="19"/>
        </w:rPr>
        <w:t>ProMéxico</w:t>
      </w:r>
      <w:r>
        <w:rPr>
          <w:color w:val="231F20"/>
          <w:spacing w:val="-15"/>
          <w:sz w:val="19"/>
        </w:rPr>
        <w:t> </w:t>
      </w:r>
      <w:r>
        <w:rPr>
          <w:color w:val="231F20"/>
          <w:sz w:val="19"/>
        </w:rPr>
        <w:t>(2014);</w:t>
      </w:r>
      <w:r>
        <w:rPr>
          <w:color w:val="231F20"/>
          <w:spacing w:val="-15"/>
          <w:sz w:val="19"/>
        </w:rPr>
        <w:t> </w:t>
      </w:r>
      <w:r>
        <w:rPr>
          <w:color w:val="231F20"/>
          <w:sz w:val="19"/>
        </w:rPr>
        <w:t>2013,</w:t>
      </w:r>
      <w:r>
        <w:rPr>
          <w:color w:val="231F20"/>
          <w:spacing w:val="-15"/>
          <w:sz w:val="19"/>
        </w:rPr>
        <w:t> </w:t>
      </w:r>
      <w:r>
        <w:rPr>
          <w:color w:val="231F20"/>
          <w:sz w:val="19"/>
        </w:rPr>
        <w:t>datos</w:t>
      </w:r>
      <w:r>
        <w:rPr>
          <w:color w:val="231F20"/>
          <w:spacing w:val="-15"/>
          <w:sz w:val="19"/>
        </w:rPr>
        <w:t> </w:t>
      </w:r>
      <w:r>
        <w:rPr>
          <w:color w:val="231F20"/>
          <w:sz w:val="19"/>
        </w:rPr>
        <w:t>de</w:t>
      </w:r>
      <w:r>
        <w:rPr>
          <w:color w:val="231F20"/>
          <w:spacing w:val="-15"/>
          <w:sz w:val="19"/>
        </w:rPr>
        <w:t> </w:t>
      </w:r>
      <w:r>
        <w:rPr>
          <w:color w:val="231F20"/>
          <w:sz w:val="19"/>
        </w:rPr>
        <w:t>González</w:t>
      </w:r>
      <w:r>
        <w:rPr>
          <w:color w:val="231F20"/>
          <w:spacing w:val="-15"/>
          <w:sz w:val="19"/>
        </w:rPr>
        <w:t> </w:t>
      </w:r>
      <w:r>
        <w:rPr>
          <w:color w:val="231F20"/>
          <w:sz w:val="19"/>
        </w:rPr>
        <w:t>(2013).</w:t>
      </w:r>
    </w:p>
    <w:p>
      <w:pPr>
        <w:pStyle w:val="BodyText"/>
        <w:spacing w:before="1"/>
        <w:rPr>
          <w:sz w:val="20"/>
        </w:rPr>
      </w:pPr>
    </w:p>
    <w:p>
      <w:pPr>
        <w:pStyle w:val="BodyText"/>
        <w:spacing w:line="278" w:lineRule="auto"/>
        <w:ind w:left="103" w:right="649"/>
        <w:jc w:val="both"/>
      </w:pPr>
      <w:r>
        <w:rPr>
          <w:color w:val="231F20"/>
        </w:rPr>
        <w:t>En la gráfica III.4 se muestra cómo el sector productor de autopartes en México su- </w:t>
      </w:r>
      <w:r>
        <w:rPr>
          <w:color w:val="231F20"/>
          <w:spacing w:val="2"/>
        </w:rPr>
        <w:t>frió </w:t>
      </w:r>
      <w:r>
        <w:rPr>
          <w:color w:val="231F20"/>
        </w:rPr>
        <w:t>una severa caída en la producción de 2008 a 2009, como resultado de la Gran Recesión: su producción disminuyó 15, 825 millones de dólares, lo que representa una contracción de casi 29% de un año a otro. Por esta misma causa también se      dio un duro golpe al empleo del sector, pues en esas fechas apenas ocupó a 350, </w:t>
      </w:r>
      <w:r>
        <w:rPr>
          <w:color w:val="231F20"/>
          <w:spacing w:val="2"/>
        </w:rPr>
        <w:t>000 </w:t>
      </w:r>
      <w:r>
        <w:rPr>
          <w:color w:val="231F20"/>
        </w:rPr>
        <w:t>trabajadores, mientras que en años anteriores empleaba </w:t>
      </w:r>
      <w:r>
        <w:rPr>
          <w:color w:val="231F20"/>
          <w:spacing w:val="2"/>
        </w:rPr>
        <w:t>poco </w:t>
      </w:r>
      <w:r>
        <w:rPr>
          <w:color w:val="231F20"/>
        </w:rPr>
        <w:t>más de 600, 000; </w:t>
      </w:r>
      <w:r>
        <w:rPr>
          <w:color w:val="231F20"/>
          <w:spacing w:val="2"/>
        </w:rPr>
        <w:t>sin </w:t>
      </w:r>
      <w:r>
        <w:rPr>
          <w:color w:val="231F20"/>
        </w:rPr>
        <w:t>embargo,</w:t>
      </w:r>
      <w:r>
        <w:rPr>
          <w:color w:val="231F20"/>
          <w:spacing w:val="-5"/>
        </w:rPr>
        <w:t> </w:t>
      </w:r>
      <w:r>
        <w:rPr>
          <w:color w:val="231F20"/>
        </w:rPr>
        <w:t>esta</w:t>
      </w:r>
      <w:r>
        <w:rPr>
          <w:color w:val="231F20"/>
          <w:spacing w:val="-5"/>
        </w:rPr>
        <w:t> </w:t>
      </w:r>
      <w:r>
        <w:rPr>
          <w:color w:val="231F20"/>
        </w:rPr>
        <w:t>cifra</w:t>
      </w:r>
      <w:r>
        <w:rPr>
          <w:color w:val="231F20"/>
          <w:spacing w:val="-5"/>
        </w:rPr>
        <w:t> </w:t>
      </w:r>
      <w:r>
        <w:rPr>
          <w:color w:val="231F20"/>
        </w:rPr>
        <w:t>ha</w:t>
      </w:r>
      <w:r>
        <w:rPr>
          <w:color w:val="231F20"/>
          <w:spacing w:val="-5"/>
        </w:rPr>
        <w:t> </w:t>
      </w:r>
      <w:r>
        <w:rPr>
          <w:color w:val="231F20"/>
        </w:rPr>
        <w:t>repuntado,</w:t>
      </w:r>
      <w:r>
        <w:rPr>
          <w:color w:val="231F20"/>
          <w:spacing w:val="-5"/>
        </w:rPr>
        <w:t> </w:t>
      </w:r>
      <w:r>
        <w:rPr>
          <w:color w:val="231F20"/>
        </w:rPr>
        <w:t>pues</w:t>
      </w:r>
      <w:r>
        <w:rPr>
          <w:color w:val="231F20"/>
          <w:spacing w:val="-5"/>
        </w:rPr>
        <w:t> </w:t>
      </w:r>
      <w:r>
        <w:rPr>
          <w:color w:val="231F20"/>
        </w:rPr>
        <w:t>para</w:t>
      </w:r>
      <w:r>
        <w:rPr>
          <w:color w:val="231F20"/>
          <w:spacing w:val="-5"/>
        </w:rPr>
        <w:t> </w:t>
      </w:r>
      <w:r>
        <w:rPr>
          <w:color w:val="231F20"/>
        </w:rPr>
        <w:t>finales</w:t>
      </w:r>
      <w:r>
        <w:rPr>
          <w:color w:val="231F20"/>
          <w:spacing w:val="-5"/>
        </w:rPr>
        <w:t> </w:t>
      </w:r>
      <w:r>
        <w:rPr>
          <w:color w:val="231F20"/>
        </w:rPr>
        <w:t>de</w:t>
      </w:r>
      <w:r>
        <w:rPr>
          <w:color w:val="231F20"/>
          <w:spacing w:val="-5"/>
        </w:rPr>
        <w:t> </w:t>
      </w:r>
      <w:r>
        <w:rPr>
          <w:color w:val="231F20"/>
        </w:rPr>
        <w:t>2012</w:t>
      </w:r>
      <w:r>
        <w:rPr>
          <w:color w:val="231F20"/>
          <w:spacing w:val="-5"/>
        </w:rPr>
        <w:t> </w:t>
      </w:r>
      <w:r>
        <w:rPr>
          <w:color w:val="231F20"/>
        </w:rPr>
        <w:t>el</w:t>
      </w:r>
      <w:r>
        <w:rPr>
          <w:color w:val="231F20"/>
          <w:spacing w:val="-5"/>
        </w:rPr>
        <w:t> </w:t>
      </w:r>
      <w:r>
        <w:rPr>
          <w:color w:val="231F20"/>
        </w:rPr>
        <w:t>empleo</w:t>
      </w:r>
      <w:r>
        <w:rPr>
          <w:color w:val="231F20"/>
          <w:spacing w:val="-5"/>
        </w:rPr>
        <w:t> </w:t>
      </w:r>
      <w:r>
        <w:rPr>
          <w:color w:val="231F20"/>
        </w:rPr>
        <w:t>llegó</w:t>
      </w:r>
      <w:r>
        <w:rPr>
          <w:color w:val="231F20"/>
          <w:spacing w:val="-5"/>
        </w:rPr>
        <w:t> </w:t>
      </w:r>
      <w:r>
        <w:rPr>
          <w:color w:val="231F20"/>
        </w:rPr>
        <w:t>a</w:t>
      </w:r>
      <w:r>
        <w:rPr>
          <w:color w:val="231F20"/>
          <w:spacing w:val="-5"/>
        </w:rPr>
        <w:t> </w:t>
      </w:r>
      <w:r>
        <w:rPr>
          <w:color w:val="231F20"/>
        </w:rPr>
        <w:t>572,</w:t>
      </w:r>
      <w:r>
        <w:rPr>
          <w:color w:val="231F20"/>
          <w:spacing w:val="-31"/>
        </w:rPr>
        <w:t> </w:t>
      </w:r>
      <w:r>
        <w:rPr>
          <w:color w:val="231F20"/>
          <w:spacing w:val="2"/>
        </w:rPr>
        <w:t>520 </w:t>
      </w:r>
      <w:r>
        <w:rPr>
          <w:color w:val="231F20"/>
        </w:rPr>
        <w:t>(González,</w:t>
      </w:r>
      <w:r>
        <w:rPr>
          <w:color w:val="231F20"/>
          <w:spacing w:val="-14"/>
        </w:rPr>
        <w:t> </w:t>
      </w:r>
      <w:r>
        <w:rPr>
          <w:color w:val="231F20"/>
          <w:spacing w:val="2"/>
        </w:rPr>
        <w:t>2012).</w:t>
      </w:r>
    </w:p>
    <w:p>
      <w:pPr>
        <w:pStyle w:val="BodyText"/>
        <w:spacing w:line="278" w:lineRule="auto" w:before="1"/>
        <w:ind w:left="103" w:right="647" w:firstLine="396"/>
        <w:jc w:val="both"/>
      </w:pPr>
      <w:r>
        <w:rPr>
          <w:color w:val="231F20"/>
        </w:rPr>
        <w:t>El principal mercado para los productos automotrices mexicanos es el nortea- mericano,</w:t>
      </w:r>
      <w:r>
        <w:rPr>
          <w:color w:val="231F20"/>
          <w:spacing w:val="-6"/>
        </w:rPr>
        <w:t> </w:t>
      </w:r>
      <w:r>
        <w:rPr>
          <w:color w:val="231F20"/>
        </w:rPr>
        <w:t>al</w:t>
      </w:r>
      <w:r>
        <w:rPr>
          <w:color w:val="231F20"/>
          <w:spacing w:val="-6"/>
        </w:rPr>
        <w:t> </w:t>
      </w:r>
      <w:r>
        <w:rPr>
          <w:color w:val="231F20"/>
        </w:rPr>
        <w:t>cual</w:t>
      </w:r>
      <w:r>
        <w:rPr>
          <w:color w:val="231F20"/>
          <w:spacing w:val="-6"/>
        </w:rPr>
        <w:t> </w:t>
      </w:r>
      <w:r>
        <w:rPr>
          <w:color w:val="231F20"/>
        </w:rPr>
        <w:t>se</w:t>
      </w:r>
      <w:r>
        <w:rPr>
          <w:color w:val="231F20"/>
          <w:spacing w:val="-6"/>
        </w:rPr>
        <w:t> </w:t>
      </w:r>
      <w:r>
        <w:rPr>
          <w:color w:val="231F20"/>
        </w:rPr>
        <w:t>destina</w:t>
      </w:r>
      <w:r>
        <w:rPr>
          <w:color w:val="231F20"/>
          <w:spacing w:val="-6"/>
        </w:rPr>
        <w:t> </w:t>
      </w:r>
      <w:r>
        <w:rPr>
          <w:color w:val="231F20"/>
        </w:rPr>
        <w:t>el</w:t>
      </w:r>
      <w:r>
        <w:rPr>
          <w:color w:val="231F20"/>
          <w:spacing w:val="-6"/>
        </w:rPr>
        <w:t> </w:t>
      </w:r>
      <w:r>
        <w:rPr>
          <w:color w:val="231F20"/>
        </w:rPr>
        <w:t>90%</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exportaciones.</w:t>
      </w:r>
      <w:r>
        <w:rPr>
          <w:color w:val="231F20"/>
          <w:spacing w:val="-6"/>
        </w:rPr>
        <w:t> </w:t>
      </w:r>
      <w:r>
        <w:rPr>
          <w:color w:val="231F20"/>
        </w:rPr>
        <w:t>Le</w:t>
      </w:r>
      <w:r>
        <w:rPr>
          <w:color w:val="231F20"/>
          <w:spacing w:val="-6"/>
        </w:rPr>
        <w:t> </w:t>
      </w:r>
      <w:r>
        <w:rPr>
          <w:color w:val="231F20"/>
        </w:rPr>
        <w:t>siguen</w:t>
      </w:r>
      <w:r>
        <w:rPr>
          <w:color w:val="231F20"/>
          <w:spacing w:val="-6"/>
        </w:rPr>
        <w:t> </w:t>
      </w:r>
      <w:r>
        <w:rPr>
          <w:color w:val="231F20"/>
        </w:rPr>
        <w:t>Alemania,</w:t>
      </w:r>
      <w:r>
        <w:rPr>
          <w:color w:val="231F20"/>
          <w:spacing w:val="-6"/>
        </w:rPr>
        <w:t> </w:t>
      </w:r>
      <w:r>
        <w:rPr>
          <w:color w:val="231F20"/>
        </w:rPr>
        <w:t>Canadá y</w:t>
      </w:r>
      <w:r>
        <w:rPr>
          <w:color w:val="231F20"/>
          <w:spacing w:val="-5"/>
        </w:rPr>
        <w:t> </w:t>
      </w:r>
      <w:r>
        <w:rPr>
          <w:color w:val="231F20"/>
        </w:rPr>
        <w:t>Brasil.</w:t>
      </w:r>
      <w:r>
        <w:rPr>
          <w:color w:val="231F20"/>
          <w:spacing w:val="-5"/>
        </w:rPr>
        <w:t> </w:t>
      </w:r>
      <w:r>
        <w:rPr>
          <w:color w:val="231F20"/>
        </w:rPr>
        <w:t>El</w:t>
      </w:r>
      <w:r>
        <w:rPr>
          <w:color w:val="231F20"/>
          <w:spacing w:val="-3"/>
        </w:rPr>
        <w:t> </w:t>
      </w:r>
      <w:r>
        <w:rPr>
          <w:color w:val="231F20"/>
        </w:rPr>
        <w:t>resto</w:t>
      </w:r>
      <w:r>
        <w:rPr>
          <w:color w:val="231F20"/>
          <w:spacing w:val="-3"/>
        </w:rPr>
        <w:t> </w:t>
      </w:r>
      <w:r>
        <w:rPr>
          <w:color w:val="231F20"/>
        </w:rPr>
        <w:t>se</w:t>
      </w:r>
      <w:r>
        <w:rPr>
          <w:color w:val="231F20"/>
          <w:spacing w:val="-3"/>
        </w:rPr>
        <w:t> </w:t>
      </w:r>
      <w:r>
        <w:rPr>
          <w:color w:val="231F20"/>
          <w:spacing w:val="2"/>
        </w:rPr>
        <w:t>encuentra</w:t>
      </w:r>
      <w:r>
        <w:rPr>
          <w:color w:val="231F20"/>
          <w:spacing w:val="-3"/>
        </w:rPr>
        <w:t> </w:t>
      </w:r>
      <w:r>
        <w:rPr>
          <w:color w:val="231F20"/>
          <w:spacing w:val="2"/>
        </w:rPr>
        <w:t>distribuido</w:t>
      </w:r>
      <w:r>
        <w:rPr>
          <w:color w:val="231F20"/>
          <w:spacing w:val="-3"/>
        </w:rPr>
        <w:t> </w:t>
      </w:r>
      <w:r>
        <w:rPr>
          <w:color w:val="231F20"/>
        </w:rPr>
        <w:t>entre</w:t>
      </w:r>
      <w:r>
        <w:rPr>
          <w:color w:val="231F20"/>
          <w:spacing w:val="-3"/>
        </w:rPr>
        <w:t> </w:t>
      </w:r>
      <w:r>
        <w:rPr>
          <w:color w:val="231F20"/>
        </w:rPr>
        <w:t>los</w:t>
      </w:r>
      <w:r>
        <w:rPr>
          <w:color w:val="231F20"/>
          <w:spacing w:val="-3"/>
        </w:rPr>
        <w:t> </w:t>
      </w:r>
      <w:r>
        <w:rPr>
          <w:color w:val="231F20"/>
          <w:spacing w:val="2"/>
        </w:rPr>
        <w:t>países</w:t>
      </w:r>
      <w:r>
        <w:rPr>
          <w:color w:val="231F20"/>
          <w:spacing w:val="-3"/>
        </w:rPr>
        <w:t> </w:t>
      </w:r>
      <w:r>
        <w:rPr>
          <w:color w:val="231F20"/>
        </w:rPr>
        <w:t>de</w:t>
      </w:r>
      <w:r>
        <w:rPr>
          <w:color w:val="231F20"/>
          <w:spacing w:val="-3"/>
        </w:rPr>
        <w:t> </w:t>
      </w:r>
      <w:r>
        <w:rPr>
          <w:color w:val="231F20"/>
          <w:spacing w:val="2"/>
        </w:rPr>
        <w:t>América</w:t>
      </w:r>
      <w:r>
        <w:rPr>
          <w:color w:val="231F20"/>
          <w:spacing w:val="-3"/>
        </w:rPr>
        <w:t> </w:t>
      </w:r>
      <w:r>
        <w:rPr>
          <w:color w:val="231F20"/>
          <w:spacing w:val="2"/>
        </w:rPr>
        <w:t>Latina,</w:t>
      </w:r>
      <w:r>
        <w:rPr>
          <w:color w:val="231F20"/>
          <w:spacing w:val="-3"/>
        </w:rPr>
        <w:t> </w:t>
      </w:r>
      <w:r>
        <w:rPr>
          <w:color w:val="231F20"/>
        </w:rPr>
        <w:t>Europa y Asia. </w:t>
      </w:r>
      <w:r>
        <w:rPr>
          <w:color w:val="231F20"/>
          <w:spacing w:val="3"/>
        </w:rPr>
        <w:t>Se destaca </w:t>
      </w:r>
      <w:r>
        <w:rPr>
          <w:color w:val="231F20"/>
        </w:rPr>
        <w:t>la </w:t>
      </w:r>
      <w:r>
        <w:rPr>
          <w:color w:val="231F20"/>
          <w:spacing w:val="3"/>
        </w:rPr>
        <w:t>exportación </w:t>
      </w:r>
      <w:r>
        <w:rPr>
          <w:color w:val="231F20"/>
        </w:rPr>
        <w:t>de </w:t>
      </w:r>
      <w:r>
        <w:rPr>
          <w:color w:val="231F20"/>
          <w:spacing w:val="2"/>
        </w:rPr>
        <w:t>las </w:t>
      </w:r>
      <w:r>
        <w:rPr>
          <w:color w:val="231F20"/>
          <w:spacing w:val="3"/>
        </w:rPr>
        <w:t>siguientes </w:t>
      </w:r>
      <w:r>
        <w:rPr>
          <w:color w:val="231F20"/>
          <w:spacing w:val="2"/>
        </w:rPr>
        <w:t>autopartes: </w:t>
      </w:r>
      <w:r>
        <w:rPr>
          <w:color w:val="231F20"/>
        </w:rPr>
        <w:t>motores, </w:t>
      </w:r>
      <w:r>
        <w:rPr>
          <w:color w:val="231F20"/>
          <w:spacing w:val="2"/>
        </w:rPr>
        <w:t>compo- nentes </w:t>
      </w:r>
      <w:r>
        <w:rPr>
          <w:color w:val="231F20"/>
          <w:spacing w:val="3"/>
        </w:rPr>
        <w:t>eléctricos, transmisión, suspensión, frenos </w:t>
      </w:r>
      <w:r>
        <w:rPr>
          <w:color w:val="231F20"/>
        </w:rPr>
        <w:t>y </w:t>
      </w:r>
      <w:r>
        <w:rPr>
          <w:color w:val="231F20"/>
          <w:spacing w:val="3"/>
        </w:rPr>
        <w:t>carrocerías. </w:t>
      </w:r>
      <w:r>
        <w:rPr>
          <w:color w:val="231F20"/>
          <w:spacing w:val="2"/>
        </w:rPr>
        <w:t>De </w:t>
      </w:r>
      <w:r>
        <w:rPr>
          <w:color w:val="231F20"/>
          <w:spacing w:val="3"/>
        </w:rPr>
        <w:t>igual forma, </w:t>
      </w:r>
      <w:r>
        <w:rPr>
          <w:color w:val="231F20"/>
          <w:spacing w:val="2"/>
        </w:rPr>
        <w:t>México se mantiene </w:t>
      </w:r>
      <w:r>
        <w:rPr>
          <w:color w:val="231F20"/>
        </w:rPr>
        <w:t>como el quinto </w:t>
      </w:r>
      <w:r>
        <w:rPr>
          <w:color w:val="231F20"/>
          <w:spacing w:val="3"/>
        </w:rPr>
        <w:t>exportador </w:t>
      </w:r>
      <w:r>
        <w:rPr>
          <w:color w:val="231F20"/>
        </w:rPr>
        <w:t>de </w:t>
      </w:r>
      <w:r>
        <w:rPr>
          <w:color w:val="231F20"/>
          <w:spacing w:val="2"/>
        </w:rPr>
        <w:t>autopartes </w:t>
      </w:r>
      <w:r>
        <w:rPr>
          <w:color w:val="231F20"/>
        </w:rPr>
        <w:t>a </w:t>
      </w:r>
      <w:r>
        <w:rPr>
          <w:color w:val="231F20"/>
          <w:spacing w:val="2"/>
        </w:rPr>
        <w:t>nivel mundial, por debajo </w:t>
      </w:r>
      <w:r>
        <w:rPr>
          <w:color w:val="231F20"/>
        </w:rPr>
        <w:t>de </w:t>
      </w:r>
      <w:r>
        <w:rPr>
          <w:color w:val="231F20"/>
          <w:spacing w:val="3"/>
        </w:rPr>
        <w:t>China, Estados </w:t>
      </w:r>
      <w:r>
        <w:rPr>
          <w:color w:val="231F20"/>
          <w:spacing w:val="2"/>
        </w:rPr>
        <w:t>Unidos, </w:t>
      </w:r>
      <w:r>
        <w:rPr>
          <w:color w:val="231F20"/>
        </w:rPr>
        <w:t>Japón y </w:t>
      </w:r>
      <w:r>
        <w:rPr>
          <w:color w:val="231F20"/>
          <w:spacing w:val="3"/>
        </w:rPr>
        <w:t>Alemania, </w:t>
      </w:r>
      <w:r>
        <w:rPr>
          <w:color w:val="231F20"/>
          <w:spacing w:val="2"/>
        </w:rPr>
        <w:t>que </w:t>
      </w:r>
      <w:r>
        <w:rPr>
          <w:color w:val="231F20"/>
        </w:rPr>
        <w:t>es el </w:t>
      </w:r>
      <w:r>
        <w:rPr>
          <w:color w:val="231F20"/>
          <w:spacing w:val="2"/>
        </w:rPr>
        <w:t>primero </w:t>
      </w:r>
      <w:r>
        <w:rPr>
          <w:color w:val="231F20"/>
        </w:rPr>
        <w:t>en la </w:t>
      </w:r>
      <w:r>
        <w:rPr>
          <w:color w:val="231F20"/>
          <w:spacing w:val="3"/>
        </w:rPr>
        <w:t>lista (González,</w:t>
      </w:r>
      <w:r>
        <w:rPr>
          <w:color w:val="231F20"/>
          <w:spacing w:val="-22"/>
        </w:rPr>
        <w:t> </w:t>
      </w:r>
      <w:r>
        <w:rPr>
          <w:color w:val="231F20"/>
          <w:spacing w:val="4"/>
        </w:rPr>
        <w:t>2012).</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6"/>
      </w:pPr>
    </w:p>
    <w:p>
      <w:pPr>
        <w:pStyle w:val="BodyText"/>
        <w:spacing w:line="278" w:lineRule="auto" w:before="58"/>
        <w:ind w:left="653" w:right="117" w:firstLine="396"/>
        <w:jc w:val="both"/>
      </w:pPr>
      <w:r>
        <w:rPr>
          <w:color w:val="231F20"/>
        </w:rPr>
        <w:t>En </w:t>
      </w:r>
      <w:r>
        <w:rPr>
          <w:color w:val="231F20"/>
          <w:spacing w:val="2"/>
        </w:rPr>
        <w:t>territorio </w:t>
      </w:r>
      <w:r>
        <w:rPr>
          <w:color w:val="231F20"/>
          <w:spacing w:val="3"/>
        </w:rPr>
        <w:t>mexicano </w:t>
      </w:r>
      <w:r>
        <w:rPr>
          <w:color w:val="231F20"/>
          <w:spacing w:val="2"/>
        </w:rPr>
        <w:t>se </w:t>
      </w:r>
      <w:r>
        <w:rPr>
          <w:color w:val="231F20"/>
          <w:spacing w:val="3"/>
        </w:rPr>
        <w:t>encuentran instaladas </w:t>
      </w:r>
      <w:r>
        <w:rPr>
          <w:color w:val="231F20"/>
          <w:spacing w:val="2"/>
        </w:rPr>
        <w:t>plantas </w:t>
      </w:r>
      <w:r>
        <w:rPr>
          <w:color w:val="231F20"/>
        </w:rPr>
        <w:t>de </w:t>
      </w:r>
      <w:r>
        <w:rPr>
          <w:color w:val="231F20"/>
          <w:spacing w:val="2"/>
        </w:rPr>
        <w:t>gran </w:t>
      </w:r>
      <w:r>
        <w:rPr>
          <w:color w:val="231F20"/>
          <w:spacing w:val="3"/>
        </w:rPr>
        <w:t>parte </w:t>
      </w:r>
      <w:r>
        <w:rPr>
          <w:color w:val="231F20"/>
        </w:rPr>
        <w:t>de </w:t>
      </w:r>
      <w:r>
        <w:rPr>
          <w:color w:val="231F20"/>
          <w:spacing w:val="2"/>
        </w:rPr>
        <w:t>las </w:t>
      </w:r>
      <w:r>
        <w:rPr>
          <w:color w:val="231F20"/>
          <w:spacing w:val="3"/>
        </w:rPr>
        <w:t>grandes transnacionales, </w:t>
      </w:r>
      <w:r>
        <w:rPr>
          <w:color w:val="231F20"/>
          <w:spacing w:val="2"/>
        </w:rPr>
        <w:t>las que se </w:t>
      </w:r>
      <w:r>
        <w:rPr>
          <w:color w:val="231F20"/>
        </w:rPr>
        <w:t>han </w:t>
      </w:r>
      <w:r>
        <w:rPr>
          <w:color w:val="231F20"/>
          <w:spacing w:val="3"/>
        </w:rPr>
        <w:t>localizado </w:t>
      </w:r>
      <w:r>
        <w:rPr>
          <w:color w:val="231F20"/>
          <w:spacing w:val="2"/>
        </w:rPr>
        <w:t>preferentemente </w:t>
      </w:r>
      <w:r>
        <w:rPr>
          <w:color w:val="231F20"/>
        </w:rPr>
        <w:t>en </w:t>
      </w:r>
      <w:r>
        <w:rPr>
          <w:color w:val="231F20"/>
          <w:spacing w:val="2"/>
        </w:rPr>
        <w:t>las </w:t>
      </w:r>
      <w:r>
        <w:rPr>
          <w:color w:val="231F20"/>
          <w:spacing w:val="3"/>
        </w:rPr>
        <w:t>entidades federativas </w:t>
      </w:r>
      <w:r>
        <w:rPr>
          <w:color w:val="231F20"/>
          <w:spacing w:val="2"/>
        </w:rPr>
        <w:t>donde se </w:t>
      </w:r>
      <w:r>
        <w:rPr>
          <w:color w:val="231F20"/>
        </w:rPr>
        <w:t>ha </w:t>
      </w:r>
      <w:r>
        <w:rPr>
          <w:color w:val="231F20"/>
          <w:spacing w:val="3"/>
        </w:rPr>
        <w:t>concentrado </w:t>
      </w:r>
      <w:r>
        <w:rPr>
          <w:color w:val="231F20"/>
        </w:rPr>
        <w:t>la </w:t>
      </w:r>
      <w:r>
        <w:rPr>
          <w:color w:val="231F20"/>
          <w:spacing w:val="3"/>
        </w:rPr>
        <w:t>industria terminal. </w:t>
      </w:r>
      <w:r>
        <w:rPr>
          <w:color w:val="231F20"/>
        </w:rPr>
        <w:t>84 de las 100 empresas  de autopartes más importantes en el mundo por valor de producción fabrican en México (Medina, 2013). </w:t>
      </w:r>
      <w:r>
        <w:rPr>
          <w:color w:val="231F20"/>
          <w:spacing w:val="3"/>
        </w:rPr>
        <w:t>Algunas </w:t>
      </w:r>
      <w:r>
        <w:rPr>
          <w:color w:val="231F20"/>
        </w:rPr>
        <w:t>de </w:t>
      </w:r>
      <w:r>
        <w:rPr>
          <w:color w:val="231F20"/>
          <w:spacing w:val="2"/>
        </w:rPr>
        <w:t>las empresas </w:t>
      </w:r>
      <w:r>
        <w:rPr>
          <w:color w:val="231F20"/>
        </w:rPr>
        <w:t>más </w:t>
      </w:r>
      <w:r>
        <w:rPr>
          <w:color w:val="231F20"/>
          <w:spacing w:val="2"/>
        </w:rPr>
        <w:t>relevantes que se </w:t>
      </w:r>
      <w:r>
        <w:rPr>
          <w:color w:val="231F20"/>
          <w:spacing w:val="3"/>
        </w:rPr>
        <w:t>localizan</w:t>
      </w:r>
      <w:r>
        <w:rPr>
          <w:color w:val="231F20"/>
          <w:spacing w:val="58"/>
        </w:rPr>
        <w:t> </w:t>
      </w:r>
      <w:r>
        <w:rPr>
          <w:color w:val="231F20"/>
        </w:rPr>
        <w:t>en </w:t>
      </w:r>
      <w:r>
        <w:rPr>
          <w:color w:val="231F20"/>
          <w:spacing w:val="2"/>
        </w:rPr>
        <w:t>México son: </w:t>
      </w:r>
      <w:r>
        <w:rPr>
          <w:color w:val="231F20"/>
          <w:spacing w:val="3"/>
        </w:rPr>
        <w:t>Bosch, </w:t>
      </w:r>
      <w:r>
        <w:rPr>
          <w:color w:val="231F20"/>
          <w:spacing w:val="2"/>
        </w:rPr>
        <w:t>Eaton, </w:t>
      </w:r>
      <w:r>
        <w:rPr>
          <w:color w:val="231F20"/>
          <w:spacing w:val="3"/>
        </w:rPr>
        <w:t>Federal </w:t>
      </w:r>
      <w:r>
        <w:rPr>
          <w:color w:val="231F20"/>
          <w:spacing w:val="2"/>
        </w:rPr>
        <w:t>Mogul, </w:t>
      </w:r>
      <w:r>
        <w:rPr>
          <w:color w:val="231F20"/>
        </w:rPr>
        <w:t>Valeo </w:t>
      </w:r>
      <w:r>
        <w:rPr>
          <w:color w:val="231F20"/>
          <w:spacing w:val="2"/>
        </w:rPr>
        <w:t>Climate Control, </w:t>
      </w:r>
      <w:r>
        <w:rPr>
          <w:color w:val="231F20"/>
          <w:spacing w:val="3"/>
        </w:rPr>
        <w:t>Lear </w:t>
      </w:r>
      <w:r>
        <w:rPr>
          <w:color w:val="231F20"/>
        </w:rPr>
        <w:t>Cor- </w:t>
      </w:r>
      <w:r>
        <w:rPr>
          <w:color w:val="231F20"/>
          <w:spacing w:val="2"/>
        </w:rPr>
        <w:t>poration, </w:t>
      </w:r>
      <w:r>
        <w:rPr>
          <w:color w:val="231F20"/>
        </w:rPr>
        <w:t>Dana Corporation, Perkins, Henkel KGAA, Goodyear Group, Johnson Controls, Parker, Delphi, </w:t>
      </w:r>
      <w:r>
        <w:rPr>
          <w:color w:val="231F20"/>
          <w:spacing w:val="-3"/>
        </w:rPr>
        <w:t>Autoliv, </w:t>
      </w:r>
      <w:r>
        <w:rPr>
          <w:color w:val="231F20"/>
        </w:rPr>
        <w:t>Trelleborg, Gates de México, Bardhal de México, Gonher, Echlin Mexicana, Visteon y Goner, entre otras, todas ellas de primer</w:t>
      </w:r>
      <w:r>
        <w:rPr>
          <w:color w:val="231F20"/>
          <w:spacing w:val="50"/>
        </w:rPr>
        <w:t> </w:t>
      </w:r>
      <w:r>
        <w:rPr>
          <w:color w:val="231F20"/>
        </w:rPr>
        <w:t>nivel.</w:t>
      </w:r>
    </w:p>
    <w:p>
      <w:pPr>
        <w:pStyle w:val="BodyText"/>
        <w:spacing w:line="278" w:lineRule="auto" w:before="1"/>
        <w:ind w:left="653" w:right="120" w:firstLine="396"/>
        <w:jc w:val="both"/>
      </w:pPr>
      <w:r>
        <w:rPr>
          <w:color w:val="231F20"/>
          <w:spacing w:val="2"/>
        </w:rPr>
        <w:t>Los </w:t>
      </w:r>
      <w:r>
        <w:rPr>
          <w:color w:val="231F20"/>
        </w:rPr>
        <w:t>datos presentados en este apartado dan evidencia del desempeño que ha tenido el sector automotriz en México durante las últimas décadas. En el apartado siguiente se aborda otro punto fundamental del sector automotriz: la localización geográfica, la cual también es resultado de los diferentes decretos y otras políticas que han sido determinantes para que las empresas se ubiquen de manera estratégica en el territorio nacional, en busca de enfrentar de la forma más ventajosa posible la competencia y el abasto a los principales</w:t>
      </w:r>
      <w:r>
        <w:rPr>
          <w:color w:val="231F20"/>
          <w:spacing w:val="43"/>
        </w:rPr>
        <w:t> </w:t>
      </w:r>
      <w:r>
        <w:rPr>
          <w:color w:val="231F20"/>
        </w:rPr>
        <w:t>mercados.</w:t>
      </w:r>
    </w:p>
    <w:p>
      <w:pPr>
        <w:pStyle w:val="BodyText"/>
        <w:spacing w:before="8"/>
        <w:rPr>
          <w:sz w:val="17"/>
        </w:rPr>
      </w:pPr>
    </w:p>
    <w:p>
      <w:pPr>
        <w:pStyle w:val="Heading4"/>
        <w:numPr>
          <w:ilvl w:val="2"/>
          <w:numId w:val="17"/>
        </w:numPr>
        <w:tabs>
          <w:tab w:pos="1175" w:val="left" w:leader="none"/>
        </w:tabs>
        <w:spacing w:line="240" w:lineRule="auto" w:before="0" w:after="0"/>
        <w:ind w:left="1174" w:right="0" w:hanging="521"/>
        <w:jc w:val="both"/>
      </w:pPr>
      <w:r>
        <w:rPr>
          <w:color w:val="231F20"/>
          <w:w w:val="90"/>
        </w:rPr>
        <w:t>Localización</w:t>
      </w:r>
      <w:r>
        <w:rPr>
          <w:color w:val="231F20"/>
          <w:spacing w:val="41"/>
          <w:w w:val="90"/>
        </w:rPr>
        <w:t> </w:t>
      </w:r>
      <w:r>
        <w:rPr>
          <w:color w:val="231F20"/>
          <w:w w:val="90"/>
        </w:rPr>
        <w:t>geográfica</w:t>
      </w:r>
    </w:p>
    <w:p>
      <w:pPr>
        <w:pStyle w:val="BodyText"/>
        <w:spacing w:line="278" w:lineRule="auto" w:before="134"/>
        <w:ind w:left="653" w:right="121"/>
        <w:jc w:val="both"/>
      </w:pPr>
      <w:r>
        <w:rPr>
          <w:color w:val="010202"/>
          <w:spacing w:val="-3"/>
        </w:rPr>
        <w:t>Aun </w:t>
      </w:r>
      <w:r>
        <w:rPr>
          <w:color w:val="010202"/>
        </w:rPr>
        <w:t>cuando el sector automotriz está presente en gran parte del territorio nacional,   ya sea por la existencia de la industria terminal o de autopartes, </w:t>
      </w:r>
      <w:r>
        <w:rPr>
          <w:color w:val="231F20"/>
        </w:rPr>
        <w:t>geográficamente pre- dominan dos tendencias en la localización de las empresas que conforman la cadena automotriz-autopartes: la región centro y la frontera norte de México (véase figura III.1). Hasta la década de los sesenta el sector se concentraba casi en su totalidad en la</w:t>
      </w:r>
      <w:r>
        <w:rPr>
          <w:color w:val="231F20"/>
          <w:spacing w:val="-8"/>
        </w:rPr>
        <w:t> </w:t>
      </w:r>
      <w:r>
        <w:rPr>
          <w:color w:val="231F20"/>
        </w:rPr>
        <w:t>región</w:t>
      </w:r>
      <w:r>
        <w:rPr>
          <w:color w:val="231F20"/>
          <w:spacing w:val="-8"/>
        </w:rPr>
        <w:t> </w:t>
      </w:r>
      <w:r>
        <w:rPr>
          <w:color w:val="231F20"/>
        </w:rPr>
        <w:t>centro</w:t>
      </w:r>
      <w:r>
        <w:rPr>
          <w:color w:val="231F20"/>
          <w:spacing w:val="-8"/>
        </w:rPr>
        <w:t> </w:t>
      </w:r>
      <w:r>
        <w:rPr>
          <w:color w:val="231F20"/>
        </w:rPr>
        <w:t>del</w:t>
      </w:r>
      <w:r>
        <w:rPr>
          <w:color w:val="231F20"/>
          <w:spacing w:val="-8"/>
        </w:rPr>
        <w:t> </w:t>
      </w:r>
      <w:r>
        <w:rPr>
          <w:color w:val="231F20"/>
        </w:rPr>
        <w:t>país,</w:t>
      </w:r>
      <w:r>
        <w:rPr>
          <w:color w:val="231F20"/>
          <w:spacing w:val="-8"/>
        </w:rPr>
        <w:t> </w:t>
      </w:r>
      <w:r>
        <w:rPr>
          <w:color w:val="231F20"/>
        </w:rPr>
        <w:t>específicamente</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Estado</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y</w:t>
      </w:r>
      <w:r>
        <w:rPr>
          <w:color w:val="231F20"/>
          <w:spacing w:val="-8"/>
        </w:rPr>
        <w:t> </w:t>
      </w:r>
      <w:r>
        <w:rPr>
          <w:color w:val="231F20"/>
        </w:rPr>
        <w:t>el</w:t>
      </w:r>
      <w:r>
        <w:rPr>
          <w:color w:val="231F20"/>
          <w:spacing w:val="-8"/>
        </w:rPr>
        <w:t> </w:t>
      </w:r>
      <w:r>
        <w:rPr>
          <w:color w:val="231F20"/>
        </w:rPr>
        <w:t>Distrito</w:t>
      </w:r>
      <w:r>
        <w:rPr>
          <w:color w:val="231F20"/>
          <w:spacing w:val="-8"/>
        </w:rPr>
        <w:t> </w:t>
      </w:r>
      <w:r>
        <w:rPr>
          <w:color w:val="231F20"/>
        </w:rPr>
        <w:t>Federal. Sin embargo, a finales de los años setenta y principios de los ochenta, se empezaron a instalar</w:t>
      </w:r>
      <w:r>
        <w:rPr>
          <w:color w:val="231F20"/>
          <w:spacing w:val="-7"/>
        </w:rPr>
        <w:t> </w:t>
      </w:r>
      <w:r>
        <w:rPr>
          <w:color w:val="231F20"/>
        </w:rPr>
        <w:t>complejos</w:t>
      </w:r>
      <w:r>
        <w:rPr>
          <w:color w:val="231F20"/>
          <w:spacing w:val="-7"/>
        </w:rPr>
        <w:t> </w:t>
      </w:r>
      <w:r>
        <w:rPr>
          <w:color w:val="231F20"/>
        </w:rPr>
        <w:t>automotrices</w:t>
      </w:r>
      <w:r>
        <w:rPr>
          <w:color w:val="231F20"/>
          <w:spacing w:val="-7"/>
        </w:rPr>
        <w:t> </w:t>
      </w:r>
      <w:r>
        <w:rPr>
          <w:color w:val="231F20"/>
        </w:rPr>
        <w:t>en</w:t>
      </w:r>
      <w:r>
        <w:rPr>
          <w:color w:val="231F20"/>
          <w:spacing w:val="-7"/>
        </w:rPr>
        <w:t> </w:t>
      </w:r>
      <w:r>
        <w:rPr>
          <w:color w:val="231F20"/>
        </w:rPr>
        <w:t>Chihuahua,</w:t>
      </w:r>
      <w:r>
        <w:rPr>
          <w:color w:val="231F20"/>
          <w:spacing w:val="-7"/>
        </w:rPr>
        <w:t> </w:t>
      </w:r>
      <w:r>
        <w:rPr>
          <w:color w:val="231F20"/>
        </w:rPr>
        <w:t>Coahuila,</w:t>
      </w:r>
      <w:r>
        <w:rPr>
          <w:color w:val="231F20"/>
          <w:spacing w:val="-7"/>
        </w:rPr>
        <w:t> </w:t>
      </w:r>
      <w:r>
        <w:rPr>
          <w:color w:val="231F20"/>
        </w:rPr>
        <w:t>Sonora,</w:t>
      </w:r>
      <w:r>
        <w:rPr>
          <w:color w:val="231F20"/>
          <w:spacing w:val="-7"/>
        </w:rPr>
        <w:t> </w:t>
      </w:r>
      <w:r>
        <w:rPr>
          <w:color w:val="231F20"/>
        </w:rPr>
        <w:t>Nuevo</w:t>
      </w:r>
      <w:r>
        <w:rPr>
          <w:color w:val="231F20"/>
          <w:spacing w:val="-7"/>
        </w:rPr>
        <w:t> </w:t>
      </w:r>
      <w:r>
        <w:rPr>
          <w:color w:val="231F20"/>
        </w:rPr>
        <w:t>León;</w:t>
      </w:r>
      <w:r>
        <w:rPr>
          <w:color w:val="231F20"/>
          <w:spacing w:val="-7"/>
        </w:rPr>
        <w:t> </w:t>
      </w:r>
      <w:r>
        <w:rPr>
          <w:color w:val="231F20"/>
          <w:spacing w:val="-8"/>
        </w:rPr>
        <w:t>y,</w:t>
      </w:r>
      <w:r>
        <w:rPr>
          <w:color w:val="231F20"/>
          <w:spacing w:val="-7"/>
        </w:rPr>
        <w:t> </w:t>
      </w:r>
      <w:r>
        <w:rPr>
          <w:color w:val="231F20"/>
        </w:rPr>
        <w:t>más recientemente,</w:t>
      </w:r>
      <w:r>
        <w:rPr>
          <w:color w:val="231F20"/>
          <w:spacing w:val="-12"/>
        </w:rPr>
        <w:t> </w:t>
      </w:r>
      <w:r>
        <w:rPr>
          <w:color w:val="231F20"/>
        </w:rPr>
        <w:t>en</w:t>
      </w:r>
      <w:r>
        <w:rPr>
          <w:color w:val="231F20"/>
          <w:spacing w:val="-12"/>
        </w:rPr>
        <w:t> </w:t>
      </w:r>
      <w:r>
        <w:rPr>
          <w:color w:val="231F20"/>
        </w:rPr>
        <w:t>San</w:t>
      </w:r>
      <w:r>
        <w:rPr>
          <w:color w:val="231F20"/>
          <w:spacing w:val="-12"/>
        </w:rPr>
        <w:t> </w:t>
      </w:r>
      <w:r>
        <w:rPr>
          <w:color w:val="231F20"/>
        </w:rPr>
        <w:t>Luis</w:t>
      </w:r>
      <w:r>
        <w:rPr>
          <w:color w:val="231F20"/>
          <w:spacing w:val="-12"/>
        </w:rPr>
        <w:t> </w:t>
      </w:r>
      <w:r>
        <w:rPr>
          <w:color w:val="231F20"/>
        </w:rPr>
        <w:t>Potosí,</w:t>
      </w:r>
      <w:r>
        <w:rPr>
          <w:color w:val="231F20"/>
          <w:spacing w:val="-12"/>
        </w:rPr>
        <w:t> </w:t>
      </w:r>
      <w:r>
        <w:rPr>
          <w:color w:val="231F20"/>
        </w:rPr>
        <w:t>Guanajuato,</w:t>
      </w:r>
      <w:r>
        <w:rPr>
          <w:color w:val="231F20"/>
          <w:spacing w:val="-12"/>
        </w:rPr>
        <w:t> </w:t>
      </w:r>
      <w:r>
        <w:rPr>
          <w:color w:val="231F20"/>
        </w:rPr>
        <w:t>Jalisco</w:t>
      </w:r>
      <w:r>
        <w:rPr>
          <w:color w:val="231F20"/>
          <w:spacing w:val="-12"/>
        </w:rPr>
        <w:t> </w:t>
      </w:r>
      <w:r>
        <w:rPr>
          <w:color w:val="231F20"/>
        </w:rPr>
        <w:t>y</w:t>
      </w:r>
      <w:r>
        <w:rPr>
          <w:color w:val="231F20"/>
          <w:spacing w:val="-12"/>
        </w:rPr>
        <w:t> </w:t>
      </w:r>
      <w:r>
        <w:rPr>
          <w:color w:val="231F20"/>
        </w:rPr>
        <w:t>Aguascalientes.</w:t>
      </w:r>
    </w:p>
    <w:p>
      <w:pPr>
        <w:spacing w:after="0" w:line="278" w:lineRule="auto"/>
        <w:jc w:val="both"/>
        <w:sectPr>
          <w:pgSz w:w="9640" w:h="13040"/>
          <w:pgMar w:header="581" w:footer="654" w:top="780" w:bottom="840" w:left="480" w:right="1180"/>
        </w:sectPr>
      </w:pPr>
    </w:p>
    <w:p>
      <w:pPr>
        <w:pStyle w:val="BodyText"/>
        <w:rPr>
          <w:sz w:val="20"/>
        </w:rPr>
      </w:pPr>
      <w:r>
        <w:rPr/>
        <w:pict>
          <v:shape style="position:absolute;margin-left:44.95351pt;margin-top:185.956573pt;width:26.5pt;height:302.75pt;mso-position-horizontal-relative:page;mso-position-vertical-relative:page;z-index:8968" type="#_x0000_t202" filled="false" stroked="false">
            <v:textbox inset="0,0,0,0" style="layout-flow:vertical;mso-layout-flow-alt:bottom-to-top">
              <w:txbxContent>
                <w:p>
                  <w:pPr>
                    <w:spacing w:line="236" w:lineRule="exact" w:before="0"/>
                    <w:ind w:left="0" w:right="0" w:firstLine="0"/>
                    <w:jc w:val="center"/>
                    <w:rPr>
                      <w:rFonts w:ascii="Palatino Linotype"/>
                      <w:b/>
                      <w:sz w:val="21"/>
                    </w:rPr>
                  </w:pPr>
                  <w:r>
                    <w:rPr>
                      <w:rFonts w:ascii="Palatino Linotype"/>
                      <w:b/>
                      <w:color w:val="231F20"/>
                      <w:spacing w:val="-2"/>
                      <w:w w:val="97"/>
                      <w:sz w:val="21"/>
                    </w:rPr>
                    <w:t>F</w:t>
                  </w:r>
                  <w:r>
                    <w:rPr>
                      <w:rFonts w:ascii="Palatino Linotype"/>
                      <w:b/>
                      <w:color w:val="231F20"/>
                      <w:w w:val="90"/>
                      <w:sz w:val="21"/>
                    </w:rPr>
                    <w:t>igu</w:t>
                  </w:r>
                  <w:r>
                    <w:rPr>
                      <w:rFonts w:ascii="Palatino Linotype"/>
                      <w:b/>
                      <w:color w:val="231F20"/>
                      <w:spacing w:val="1"/>
                      <w:w w:val="90"/>
                      <w:sz w:val="21"/>
                    </w:rPr>
                    <w:t>r</w:t>
                  </w:r>
                  <w:r>
                    <w:rPr>
                      <w:rFonts w:ascii="Palatino Linotype"/>
                      <w:b/>
                      <w:color w:val="231F20"/>
                      <w:w w:val="91"/>
                      <w:sz w:val="21"/>
                    </w:rPr>
                    <w:t>a</w:t>
                  </w:r>
                  <w:r>
                    <w:rPr>
                      <w:rFonts w:ascii="Palatino Linotype"/>
                      <w:b/>
                      <w:color w:val="231F20"/>
                      <w:spacing w:val="-7"/>
                      <w:sz w:val="21"/>
                    </w:rPr>
                    <w:t> </w:t>
                  </w:r>
                  <w:r>
                    <w:rPr>
                      <w:rFonts w:ascii="Palatino Linotype"/>
                      <w:b/>
                      <w:color w:val="231F20"/>
                      <w:w w:val="95"/>
                      <w:sz w:val="21"/>
                    </w:rPr>
                    <w:t>III.1</w:t>
                  </w:r>
                </w:p>
                <w:p>
                  <w:pPr>
                    <w:spacing w:line="282" w:lineRule="exact" w:before="0"/>
                    <w:ind w:left="0" w:right="0" w:firstLine="0"/>
                    <w:jc w:val="center"/>
                    <w:rPr>
                      <w:rFonts w:ascii="Palatino Linotype" w:hAnsi="Palatino Linotype"/>
                      <w:b/>
                      <w:sz w:val="21"/>
                    </w:rPr>
                  </w:pPr>
                  <w:r>
                    <w:rPr>
                      <w:rFonts w:ascii="Palatino Linotype" w:hAnsi="Palatino Linotype"/>
                      <w:b/>
                      <w:color w:val="231F20"/>
                      <w:spacing w:val="4"/>
                      <w:w w:val="90"/>
                      <w:sz w:val="21"/>
                    </w:rPr>
                    <w:t>L</w:t>
                  </w:r>
                  <w:r>
                    <w:rPr>
                      <w:rFonts w:ascii="Palatino Linotype" w:hAnsi="Palatino Linotype"/>
                      <w:b/>
                      <w:color w:val="231F20"/>
                      <w:spacing w:val="2"/>
                      <w:w w:val="93"/>
                      <w:sz w:val="21"/>
                    </w:rPr>
                    <w:t>o</w:t>
                  </w:r>
                  <w:r>
                    <w:rPr>
                      <w:rFonts w:ascii="Palatino Linotype" w:hAnsi="Palatino Linotype"/>
                      <w:b/>
                      <w:color w:val="231F20"/>
                      <w:spacing w:val="2"/>
                      <w:w w:val="95"/>
                      <w:sz w:val="21"/>
                    </w:rPr>
                    <w:t>c</w:t>
                  </w:r>
                  <w:r>
                    <w:rPr>
                      <w:rFonts w:ascii="Palatino Linotype" w:hAnsi="Palatino Linotype"/>
                      <w:b/>
                      <w:color w:val="231F20"/>
                      <w:spacing w:val="1"/>
                      <w:w w:val="91"/>
                      <w:sz w:val="21"/>
                    </w:rPr>
                    <w:t>a</w:t>
                  </w:r>
                  <w:r>
                    <w:rPr>
                      <w:rFonts w:ascii="Palatino Linotype" w:hAnsi="Palatino Linotype"/>
                      <w:b/>
                      <w:color w:val="231F20"/>
                      <w:w w:val="88"/>
                      <w:sz w:val="21"/>
                    </w:rPr>
                    <w:t>lizaci</w:t>
                  </w:r>
                  <w:r>
                    <w:rPr>
                      <w:rFonts w:ascii="Palatino Linotype" w:hAnsi="Palatino Linotype"/>
                      <w:b/>
                      <w:color w:val="231F20"/>
                      <w:spacing w:val="-3"/>
                      <w:w w:val="93"/>
                      <w:sz w:val="21"/>
                    </w:rPr>
                    <w:t>ó</w:t>
                  </w:r>
                  <w:r>
                    <w:rPr>
                      <w:rFonts w:ascii="Palatino Linotype" w:hAnsi="Palatino Linotype"/>
                      <w:b/>
                      <w:color w:val="231F20"/>
                      <w:w w:val="91"/>
                      <w:sz w:val="21"/>
                    </w:rPr>
                    <w:t>n</w:t>
                  </w:r>
                  <w:r>
                    <w:rPr>
                      <w:rFonts w:ascii="Palatino Linotype" w:hAnsi="Palatino Linotype"/>
                      <w:b/>
                      <w:color w:val="231F20"/>
                      <w:spacing w:val="-7"/>
                      <w:sz w:val="21"/>
                    </w:rPr>
                    <w:t> </w:t>
                  </w:r>
                  <w:r>
                    <w:rPr>
                      <w:rFonts w:ascii="Palatino Linotype" w:hAnsi="Palatino Linotype"/>
                      <w:b/>
                      <w:color w:val="231F20"/>
                      <w:w w:val="88"/>
                      <w:sz w:val="21"/>
                    </w:rPr>
                    <w:t>d</w:t>
                  </w:r>
                  <w:r>
                    <w:rPr>
                      <w:rFonts w:ascii="Palatino Linotype" w:hAnsi="Palatino Linotype"/>
                      <w:b/>
                      <w:color w:val="231F20"/>
                      <w:w w:val="86"/>
                      <w:sz w:val="21"/>
                    </w:rPr>
                    <w:t>e</w:t>
                  </w:r>
                  <w:r>
                    <w:rPr>
                      <w:rFonts w:ascii="Palatino Linotype" w:hAnsi="Palatino Linotype"/>
                      <w:b/>
                      <w:color w:val="231F20"/>
                      <w:spacing w:val="-7"/>
                      <w:sz w:val="21"/>
                    </w:rPr>
                    <w:t> </w:t>
                  </w:r>
                  <w:r>
                    <w:rPr>
                      <w:rFonts w:ascii="Palatino Linotype" w:hAnsi="Palatino Linotype"/>
                      <w:b/>
                      <w:color w:val="231F20"/>
                      <w:w w:val="80"/>
                      <w:sz w:val="21"/>
                    </w:rPr>
                    <w:t>l</w:t>
                  </w:r>
                  <w:r>
                    <w:rPr>
                      <w:rFonts w:ascii="Palatino Linotype" w:hAnsi="Palatino Linotype"/>
                      <w:b/>
                      <w:color w:val="231F20"/>
                      <w:w w:val="88"/>
                      <w:sz w:val="21"/>
                    </w:rPr>
                    <w:t>as</w:t>
                  </w:r>
                  <w:r>
                    <w:rPr>
                      <w:rFonts w:ascii="Palatino Linotype" w:hAnsi="Palatino Linotype"/>
                      <w:b/>
                      <w:color w:val="231F20"/>
                      <w:spacing w:val="-7"/>
                      <w:sz w:val="21"/>
                    </w:rPr>
                    <w:t> </w:t>
                  </w:r>
                  <w:r>
                    <w:rPr>
                      <w:rFonts w:ascii="Palatino Linotype" w:hAnsi="Palatino Linotype"/>
                      <w:b/>
                      <w:color w:val="231F20"/>
                      <w:spacing w:val="-3"/>
                      <w:w w:val="88"/>
                      <w:sz w:val="21"/>
                    </w:rPr>
                    <w:t>p</w:t>
                  </w:r>
                  <w:r>
                    <w:rPr>
                      <w:rFonts w:ascii="Palatino Linotype" w:hAnsi="Palatino Linotype"/>
                      <w:b/>
                      <w:color w:val="231F20"/>
                      <w:w w:val="92"/>
                      <w:sz w:val="21"/>
                    </w:rPr>
                    <w:t>rinc</w:t>
                  </w:r>
                  <w:r>
                    <w:rPr>
                      <w:rFonts w:ascii="Palatino Linotype" w:hAnsi="Palatino Linotype"/>
                      <w:b/>
                      <w:color w:val="231F20"/>
                      <w:spacing w:val="-2"/>
                      <w:w w:val="92"/>
                      <w:sz w:val="21"/>
                    </w:rPr>
                    <w:t>i</w:t>
                  </w:r>
                  <w:r>
                    <w:rPr>
                      <w:rFonts w:ascii="Palatino Linotype" w:hAnsi="Palatino Linotype"/>
                      <w:b/>
                      <w:color w:val="231F20"/>
                      <w:spacing w:val="1"/>
                      <w:w w:val="88"/>
                      <w:sz w:val="21"/>
                    </w:rPr>
                    <w:t>p</w:t>
                  </w:r>
                  <w:r>
                    <w:rPr>
                      <w:rFonts w:ascii="Palatino Linotype" w:hAnsi="Palatino Linotype"/>
                      <w:b/>
                      <w:color w:val="231F20"/>
                      <w:spacing w:val="1"/>
                      <w:w w:val="91"/>
                      <w:sz w:val="21"/>
                    </w:rPr>
                    <w:t>a</w:t>
                  </w:r>
                  <w:r>
                    <w:rPr>
                      <w:rFonts w:ascii="Palatino Linotype" w:hAnsi="Palatino Linotype"/>
                      <w:b/>
                      <w:color w:val="231F20"/>
                      <w:w w:val="80"/>
                      <w:sz w:val="21"/>
                    </w:rPr>
                    <w:t>l</w:t>
                  </w:r>
                  <w:r>
                    <w:rPr>
                      <w:rFonts w:ascii="Palatino Linotype" w:hAnsi="Palatino Linotype"/>
                      <w:b/>
                      <w:color w:val="231F20"/>
                      <w:w w:val="85"/>
                      <w:sz w:val="21"/>
                    </w:rPr>
                    <w:t>es</w:t>
                  </w:r>
                  <w:r>
                    <w:rPr>
                      <w:rFonts w:ascii="Palatino Linotype" w:hAnsi="Palatino Linotype"/>
                      <w:b/>
                      <w:color w:val="231F20"/>
                      <w:spacing w:val="-7"/>
                      <w:sz w:val="21"/>
                    </w:rPr>
                    <w:t> </w:t>
                  </w:r>
                  <w:r>
                    <w:rPr>
                      <w:rFonts w:ascii="Palatino Linotype" w:hAnsi="Palatino Linotype"/>
                      <w:b/>
                      <w:color w:val="231F20"/>
                      <w:spacing w:val="-1"/>
                      <w:w w:val="86"/>
                      <w:sz w:val="21"/>
                    </w:rPr>
                    <w:t>e</w:t>
                  </w:r>
                  <w:r>
                    <w:rPr>
                      <w:rFonts w:ascii="Palatino Linotype" w:hAnsi="Palatino Linotype"/>
                      <w:b/>
                      <w:color w:val="231F20"/>
                      <w:spacing w:val="-1"/>
                      <w:w w:val="91"/>
                      <w:sz w:val="21"/>
                    </w:rPr>
                    <w:t>n</w:t>
                  </w:r>
                  <w:r>
                    <w:rPr>
                      <w:rFonts w:ascii="Palatino Linotype" w:hAnsi="Palatino Linotype"/>
                      <w:b/>
                      <w:color w:val="231F20"/>
                      <w:spacing w:val="1"/>
                      <w:w w:val="84"/>
                      <w:sz w:val="21"/>
                    </w:rPr>
                    <w:t>s</w:t>
                  </w:r>
                  <w:r>
                    <w:rPr>
                      <w:rFonts w:ascii="Palatino Linotype" w:hAnsi="Palatino Linotype"/>
                      <w:b/>
                      <w:color w:val="231F20"/>
                      <w:spacing w:val="-2"/>
                      <w:w w:val="91"/>
                      <w:sz w:val="21"/>
                    </w:rPr>
                    <w:t>a</w:t>
                  </w:r>
                  <w:r>
                    <w:rPr>
                      <w:rFonts w:ascii="Palatino Linotype" w:hAnsi="Palatino Linotype"/>
                      <w:b/>
                      <w:color w:val="231F20"/>
                      <w:spacing w:val="-2"/>
                      <w:w w:val="93"/>
                      <w:sz w:val="21"/>
                    </w:rPr>
                    <w:t>m</w:t>
                  </w:r>
                  <w:r>
                    <w:rPr>
                      <w:rFonts w:ascii="Palatino Linotype" w:hAnsi="Palatino Linotype"/>
                      <w:b/>
                      <w:color w:val="231F20"/>
                      <w:spacing w:val="-1"/>
                      <w:w w:val="85"/>
                      <w:sz w:val="21"/>
                    </w:rPr>
                    <w:t>b</w:t>
                  </w:r>
                  <w:r>
                    <w:rPr>
                      <w:rFonts w:ascii="Palatino Linotype" w:hAnsi="Palatino Linotype"/>
                      <w:b/>
                      <w:color w:val="231F20"/>
                      <w:w w:val="80"/>
                      <w:sz w:val="21"/>
                    </w:rPr>
                    <w:t>l</w:t>
                  </w:r>
                  <w:r>
                    <w:rPr>
                      <w:rFonts w:ascii="Palatino Linotype" w:hAnsi="Palatino Linotype"/>
                      <w:b/>
                      <w:color w:val="231F20"/>
                      <w:w w:val="89"/>
                      <w:sz w:val="21"/>
                    </w:rPr>
                    <w:t>ad</w:t>
                  </w:r>
                  <w:r>
                    <w:rPr>
                      <w:rFonts w:ascii="Palatino Linotype" w:hAnsi="Palatino Linotype"/>
                      <w:b/>
                      <w:color w:val="231F20"/>
                      <w:spacing w:val="-3"/>
                      <w:w w:val="93"/>
                      <w:sz w:val="21"/>
                    </w:rPr>
                    <w:t>o</w:t>
                  </w:r>
                  <w:r>
                    <w:rPr>
                      <w:rFonts w:ascii="Palatino Linotype" w:hAnsi="Palatino Linotype"/>
                      <w:b/>
                      <w:color w:val="231F20"/>
                      <w:spacing w:val="1"/>
                      <w:w w:val="100"/>
                      <w:sz w:val="21"/>
                    </w:rPr>
                    <w:t>r</w:t>
                  </w:r>
                  <w:r>
                    <w:rPr>
                      <w:rFonts w:ascii="Palatino Linotype" w:hAnsi="Palatino Linotype"/>
                      <w:b/>
                      <w:color w:val="231F20"/>
                      <w:w w:val="88"/>
                      <w:sz w:val="21"/>
                    </w:rPr>
                    <w:t>as</w:t>
                  </w:r>
                  <w:r>
                    <w:rPr>
                      <w:rFonts w:ascii="Palatino Linotype" w:hAnsi="Palatino Linotype"/>
                      <w:b/>
                      <w:color w:val="231F20"/>
                      <w:spacing w:val="-7"/>
                      <w:sz w:val="21"/>
                    </w:rPr>
                    <w:t> </w:t>
                  </w:r>
                  <w:r>
                    <w:rPr>
                      <w:rFonts w:ascii="Palatino Linotype" w:hAnsi="Palatino Linotype"/>
                      <w:b/>
                      <w:color w:val="231F20"/>
                      <w:w w:val="88"/>
                      <w:sz w:val="21"/>
                    </w:rPr>
                    <w:t>d</w:t>
                  </w:r>
                  <w:r>
                    <w:rPr>
                      <w:rFonts w:ascii="Palatino Linotype" w:hAnsi="Palatino Linotype"/>
                      <w:b/>
                      <w:color w:val="231F20"/>
                      <w:w w:val="86"/>
                      <w:sz w:val="21"/>
                    </w:rPr>
                    <w:t>e</w:t>
                  </w:r>
                  <w:r>
                    <w:rPr>
                      <w:rFonts w:ascii="Palatino Linotype" w:hAnsi="Palatino Linotype"/>
                      <w:b/>
                      <w:color w:val="231F20"/>
                      <w:spacing w:val="-7"/>
                      <w:sz w:val="21"/>
                    </w:rPr>
                    <w:t> </w:t>
                  </w:r>
                  <w:r>
                    <w:rPr>
                      <w:rFonts w:ascii="Palatino Linotype" w:hAnsi="Palatino Linotype"/>
                      <w:b/>
                      <w:color w:val="231F20"/>
                      <w:spacing w:val="-2"/>
                      <w:w w:val="83"/>
                      <w:sz w:val="21"/>
                    </w:rPr>
                    <w:t>v</w:t>
                  </w:r>
                  <w:r>
                    <w:rPr>
                      <w:rFonts w:ascii="Palatino Linotype" w:hAnsi="Palatino Linotype"/>
                      <w:b/>
                      <w:color w:val="231F20"/>
                      <w:spacing w:val="-1"/>
                      <w:w w:val="86"/>
                      <w:sz w:val="21"/>
                    </w:rPr>
                    <w:t>e</w:t>
                  </w:r>
                  <w:r>
                    <w:rPr>
                      <w:rFonts w:ascii="Palatino Linotype" w:hAnsi="Palatino Linotype"/>
                      <w:b/>
                      <w:color w:val="231F20"/>
                      <w:w w:val="87"/>
                      <w:sz w:val="21"/>
                    </w:rPr>
                    <w:t>hí</w:t>
                  </w:r>
                  <w:r>
                    <w:rPr>
                      <w:rFonts w:ascii="Palatino Linotype" w:hAnsi="Palatino Linotype"/>
                      <w:b/>
                      <w:color w:val="231F20"/>
                      <w:spacing w:val="1"/>
                      <w:w w:val="95"/>
                      <w:sz w:val="21"/>
                    </w:rPr>
                    <w:t>c</w:t>
                  </w:r>
                  <w:r>
                    <w:rPr>
                      <w:rFonts w:ascii="Palatino Linotype" w:hAnsi="Palatino Linotype"/>
                      <w:b/>
                      <w:color w:val="231F20"/>
                      <w:spacing w:val="1"/>
                      <w:w w:val="89"/>
                      <w:sz w:val="21"/>
                    </w:rPr>
                    <w:t>u</w:t>
                  </w:r>
                  <w:r>
                    <w:rPr>
                      <w:rFonts w:ascii="Palatino Linotype" w:hAnsi="Palatino Linotype"/>
                      <w:b/>
                      <w:color w:val="231F20"/>
                      <w:w w:val="80"/>
                      <w:sz w:val="21"/>
                    </w:rPr>
                    <w:t>l</w:t>
                  </w:r>
                  <w:r>
                    <w:rPr>
                      <w:rFonts w:ascii="Palatino Linotype" w:hAnsi="Palatino Linotype"/>
                      <w:b/>
                      <w:color w:val="231F20"/>
                      <w:w w:val="89"/>
                      <w:sz w:val="21"/>
                    </w:rPr>
                    <w:t>os</w:t>
                  </w:r>
                  <w:r>
                    <w:rPr>
                      <w:rFonts w:ascii="Palatino Linotype" w:hAnsi="Palatino Linotype"/>
                      <w:b/>
                      <w:color w:val="231F20"/>
                      <w:spacing w:val="-7"/>
                      <w:sz w:val="21"/>
                    </w:rPr>
                    <w:t> </w:t>
                  </w:r>
                  <w:r>
                    <w:rPr>
                      <w:rFonts w:ascii="Palatino Linotype" w:hAnsi="Palatino Linotype"/>
                      <w:b/>
                      <w:color w:val="231F20"/>
                      <w:spacing w:val="-1"/>
                      <w:w w:val="86"/>
                      <w:sz w:val="21"/>
                    </w:rPr>
                    <w:t>e</w:t>
                  </w:r>
                  <w:r>
                    <w:rPr>
                      <w:rFonts w:ascii="Palatino Linotype" w:hAnsi="Palatino Linotype"/>
                      <w:b/>
                      <w:color w:val="231F20"/>
                      <w:w w:val="91"/>
                      <w:sz w:val="21"/>
                    </w:rPr>
                    <w:t>n</w:t>
                  </w:r>
                  <w:r>
                    <w:rPr>
                      <w:rFonts w:ascii="Palatino Linotype" w:hAnsi="Palatino Linotype"/>
                      <w:b/>
                      <w:color w:val="231F20"/>
                      <w:spacing w:val="-7"/>
                      <w:sz w:val="21"/>
                    </w:rPr>
                    <w:t> </w:t>
                  </w:r>
                  <w:r>
                    <w:rPr>
                      <w:rFonts w:ascii="Palatino Linotype" w:hAnsi="Palatino Linotype"/>
                      <w:b/>
                      <w:color w:val="231F20"/>
                      <w:spacing w:val="-5"/>
                      <w:w w:val="88"/>
                      <w:sz w:val="21"/>
                    </w:rPr>
                    <w:t>M</w:t>
                  </w:r>
                  <w:r>
                    <w:rPr>
                      <w:rFonts w:ascii="Palatino Linotype" w:hAnsi="Palatino Linotype"/>
                      <w:b/>
                      <w:color w:val="231F20"/>
                      <w:spacing w:val="-1"/>
                      <w:w w:val="86"/>
                      <w:sz w:val="21"/>
                    </w:rPr>
                    <w:t>é</w:t>
                  </w:r>
                  <w:r>
                    <w:rPr>
                      <w:rFonts w:ascii="Palatino Linotype" w:hAnsi="Palatino Linotype"/>
                      <w:b/>
                      <w:color w:val="231F20"/>
                      <w:w w:val="91"/>
                      <w:sz w:val="21"/>
                    </w:rPr>
                    <w:t>xi</w:t>
                  </w:r>
                  <w:r>
                    <w:rPr>
                      <w:rFonts w:ascii="Palatino Linotype" w:hAnsi="Palatino Linotype"/>
                      <w:b/>
                      <w:color w:val="231F20"/>
                      <w:w w:val="94"/>
                      <w:sz w:val="21"/>
                    </w:rPr>
                    <w:t>co</w:t>
                  </w:r>
                </w:p>
              </w:txbxContent>
            </v:textbox>
            <w10:wrap type="none"/>
          </v:shape>
        </w:pict>
      </w:r>
      <w:r>
        <w:rPr/>
        <w:pict>
          <v:shape style="position:absolute;margin-left:418.5578pt;margin-top:423.982788pt;width:11.55pt;height:173.75pt;mso-position-horizontal-relative:page;mso-position-vertical-relative:page;z-index:8992" type="#_x0000_t202" filled="false" stroked="false">
            <v:textbox inset="0,0,0,0" style="layout-flow:vertical;mso-layout-flow-alt:bottom-to-top">
              <w:txbxContent>
                <w:p>
                  <w:pPr>
                    <w:spacing w:line="217" w:lineRule="exact" w:before="0"/>
                    <w:ind w:left="20" w:right="-702" w:firstLine="0"/>
                    <w:jc w:val="left"/>
                    <w:rPr>
                      <w:sz w:val="19"/>
                    </w:rPr>
                  </w:pPr>
                  <w:r>
                    <w:rPr>
                      <w:rFonts w:ascii="Palatino Linotype" w:hAnsi="Palatino Linotype"/>
                      <w:i/>
                      <w:color w:val="231F20"/>
                      <w:spacing w:val="-5"/>
                      <w:w w:val="94"/>
                      <w:sz w:val="19"/>
                    </w:rPr>
                    <w:t>F</w:t>
                  </w:r>
                  <w:r>
                    <w:rPr>
                      <w:rFonts w:ascii="Palatino Linotype" w:hAnsi="Palatino Linotype"/>
                      <w:i/>
                      <w:color w:val="231F20"/>
                      <w:spacing w:val="-1"/>
                      <w:w w:val="95"/>
                      <w:sz w:val="19"/>
                    </w:rPr>
                    <w:t>u</w:t>
                  </w:r>
                  <w:r>
                    <w:rPr>
                      <w:rFonts w:ascii="Palatino Linotype" w:hAnsi="Palatino Linotype"/>
                      <w:i/>
                      <w:color w:val="231F20"/>
                      <w:w w:val="98"/>
                      <w:sz w:val="19"/>
                    </w:rPr>
                    <w:t>e</w:t>
                  </w:r>
                  <w:r>
                    <w:rPr>
                      <w:rFonts w:ascii="Palatino Linotype" w:hAnsi="Palatino Linotype"/>
                      <w:i/>
                      <w:color w:val="231F20"/>
                      <w:spacing w:val="-5"/>
                      <w:w w:val="98"/>
                      <w:sz w:val="19"/>
                    </w:rPr>
                    <w:t>n</w:t>
                  </w:r>
                  <w:r>
                    <w:rPr>
                      <w:rFonts w:ascii="Palatino Linotype" w:hAnsi="Palatino Linotype"/>
                      <w:i/>
                      <w:color w:val="231F20"/>
                      <w:spacing w:val="-2"/>
                      <w:w w:val="92"/>
                      <w:sz w:val="19"/>
                    </w:rPr>
                    <w:t>t</w:t>
                  </w:r>
                  <w:r>
                    <w:rPr>
                      <w:rFonts w:ascii="Palatino Linotype" w:hAnsi="Palatino Linotype"/>
                      <w:i/>
                      <w:color w:val="231F20"/>
                      <w:w w:val="99"/>
                      <w:sz w:val="19"/>
                    </w:rPr>
                    <w:t>e:</w:t>
                  </w:r>
                  <w:r>
                    <w:rPr>
                      <w:rFonts w:ascii="Palatino Linotype" w:hAnsi="Palatino Linotype"/>
                      <w:i/>
                      <w:color w:val="231F20"/>
                      <w:spacing w:val="-4"/>
                      <w:sz w:val="19"/>
                    </w:rPr>
                    <w:t> </w:t>
                  </w:r>
                  <w:r>
                    <w:rPr>
                      <w:color w:val="231F20"/>
                      <w:spacing w:val="1"/>
                      <w:w w:val="92"/>
                      <w:sz w:val="19"/>
                    </w:rPr>
                    <w:t>E</w:t>
                  </w:r>
                  <w:r>
                    <w:rPr>
                      <w:color w:val="231F20"/>
                      <w:w w:val="91"/>
                      <w:sz w:val="19"/>
                    </w:rPr>
                    <w:t>l</w:t>
                  </w:r>
                  <w:r>
                    <w:rPr>
                      <w:color w:val="231F20"/>
                      <w:spacing w:val="-2"/>
                      <w:w w:val="98"/>
                      <w:sz w:val="19"/>
                    </w:rPr>
                    <w:t>a</w:t>
                  </w:r>
                  <w:r>
                    <w:rPr>
                      <w:color w:val="231F20"/>
                      <w:spacing w:val="1"/>
                      <w:w w:val="101"/>
                      <w:sz w:val="19"/>
                    </w:rPr>
                    <w:t>b</w:t>
                  </w:r>
                  <w:r>
                    <w:rPr>
                      <w:color w:val="231F20"/>
                      <w:spacing w:val="-3"/>
                      <w:w w:val="102"/>
                      <w:sz w:val="19"/>
                    </w:rPr>
                    <w:t>o</w:t>
                  </w:r>
                  <w:r>
                    <w:rPr>
                      <w:color w:val="231F20"/>
                      <w:w w:val="100"/>
                      <w:sz w:val="19"/>
                    </w:rPr>
                    <w:t>raci</w:t>
                  </w:r>
                  <w:r>
                    <w:rPr>
                      <w:color w:val="231F20"/>
                      <w:spacing w:val="-3"/>
                      <w:w w:val="100"/>
                      <w:sz w:val="19"/>
                    </w:rPr>
                    <w:t>ó</w:t>
                  </w:r>
                  <w:r>
                    <w:rPr>
                      <w:color w:val="231F20"/>
                      <w:w w:val="109"/>
                      <w:sz w:val="19"/>
                    </w:rPr>
                    <w:t>n</w:t>
                  </w:r>
                  <w:r>
                    <w:rPr>
                      <w:color w:val="231F20"/>
                      <w:spacing w:val="-5"/>
                      <w:sz w:val="19"/>
                    </w:rPr>
                    <w:t> </w:t>
                  </w:r>
                  <w:r>
                    <w:rPr>
                      <w:color w:val="231F20"/>
                      <w:spacing w:val="-3"/>
                      <w:w w:val="104"/>
                      <w:sz w:val="19"/>
                    </w:rPr>
                    <w:t>p</w:t>
                  </w:r>
                  <w:r>
                    <w:rPr>
                      <w:color w:val="231F20"/>
                      <w:spacing w:val="-3"/>
                      <w:w w:val="111"/>
                      <w:sz w:val="19"/>
                    </w:rPr>
                    <w:t>r</w:t>
                  </w:r>
                  <w:r>
                    <w:rPr>
                      <w:color w:val="231F20"/>
                      <w:spacing w:val="-3"/>
                      <w:w w:val="102"/>
                      <w:sz w:val="19"/>
                    </w:rPr>
                    <w:t>o</w:t>
                  </w:r>
                  <w:r>
                    <w:rPr>
                      <w:color w:val="231F20"/>
                      <w:spacing w:val="-3"/>
                      <w:w w:val="104"/>
                      <w:sz w:val="19"/>
                    </w:rPr>
                    <w:t>p</w:t>
                  </w:r>
                  <w:r>
                    <w:rPr>
                      <w:color w:val="231F20"/>
                      <w:w w:val="96"/>
                      <w:sz w:val="19"/>
                    </w:rPr>
                    <w:t>i</w:t>
                  </w:r>
                  <w:r>
                    <w:rPr>
                      <w:color w:val="231F20"/>
                      <w:w w:val="98"/>
                      <w:sz w:val="19"/>
                    </w:rPr>
                    <w:t>a</w:t>
                  </w:r>
                  <w:r>
                    <w:rPr>
                      <w:color w:val="231F20"/>
                      <w:spacing w:val="-5"/>
                      <w:sz w:val="19"/>
                    </w:rPr>
                    <w:t> </w:t>
                  </w:r>
                  <w:r>
                    <w:rPr>
                      <w:color w:val="231F20"/>
                      <w:w w:val="98"/>
                      <w:sz w:val="19"/>
                    </w:rPr>
                    <w:t>c</w:t>
                  </w:r>
                  <w:r>
                    <w:rPr>
                      <w:color w:val="231F20"/>
                      <w:spacing w:val="-3"/>
                      <w:w w:val="98"/>
                      <w:sz w:val="19"/>
                    </w:rPr>
                    <w:t>o</w:t>
                  </w:r>
                  <w:r>
                    <w:rPr>
                      <w:color w:val="231F20"/>
                      <w:w w:val="109"/>
                      <w:sz w:val="19"/>
                    </w:rPr>
                    <w:t>n</w:t>
                  </w:r>
                  <w:r>
                    <w:rPr>
                      <w:color w:val="231F20"/>
                      <w:spacing w:val="-5"/>
                      <w:sz w:val="19"/>
                    </w:rPr>
                    <w:t> </w:t>
                  </w:r>
                  <w:r>
                    <w:rPr>
                      <w:color w:val="231F20"/>
                      <w:spacing w:val="-1"/>
                      <w:w w:val="95"/>
                      <w:sz w:val="19"/>
                    </w:rPr>
                    <w:t>A</w:t>
                  </w:r>
                  <w:r>
                    <w:rPr>
                      <w:color w:val="231F20"/>
                      <w:spacing w:val="-3"/>
                      <w:w w:val="111"/>
                      <w:sz w:val="19"/>
                    </w:rPr>
                    <w:t>r</w:t>
                  </w:r>
                  <w:r>
                    <w:rPr>
                      <w:color w:val="231F20"/>
                      <w:w w:val="98"/>
                      <w:sz w:val="19"/>
                    </w:rPr>
                    <w:t>c</w:t>
                  </w:r>
                  <w:r>
                    <w:rPr>
                      <w:color w:val="231F20"/>
                      <w:spacing w:val="-4"/>
                      <w:w w:val="98"/>
                      <w:sz w:val="19"/>
                    </w:rPr>
                    <w:t>M</w:t>
                  </w:r>
                  <w:r>
                    <w:rPr>
                      <w:color w:val="231F20"/>
                      <w:spacing w:val="-4"/>
                      <w:w w:val="98"/>
                      <w:sz w:val="19"/>
                    </w:rPr>
                    <w:t>a</w:t>
                  </w:r>
                  <w:r>
                    <w:rPr>
                      <w:color w:val="231F20"/>
                      <w:w w:val="104"/>
                      <w:sz w:val="19"/>
                    </w:rPr>
                    <w:t>p</w:t>
                  </w:r>
                  <w:r>
                    <w:rPr>
                      <w:color w:val="231F20"/>
                      <w:spacing w:val="-5"/>
                      <w:sz w:val="19"/>
                    </w:rPr>
                    <w:t> </w:t>
                  </w:r>
                  <w:r>
                    <w:rPr>
                      <w:color w:val="231F20"/>
                      <w:w w:val="94"/>
                      <w:sz w:val="19"/>
                    </w:rPr>
                    <w:t>10.1.</w:t>
                  </w:r>
                </w:p>
              </w:txbxContent>
            </v:textbox>
            <w10:wrap type="none"/>
          </v:shape>
        </w:pict>
      </w:r>
    </w:p>
    <w:p>
      <w:pPr>
        <w:pStyle w:val="BodyText"/>
        <w:rPr>
          <w:sz w:val="20"/>
        </w:rPr>
      </w:pPr>
    </w:p>
    <w:p>
      <w:pPr>
        <w:pStyle w:val="BodyText"/>
        <w:rPr>
          <w:sz w:val="20"/>
        </w:rPr>
      </w:pPr>
    </w:p>
    <w:p>
      <w:pPr>
        <w:pStyle w:val="BodyText"/>
        <w:spacing w:before="6" w:after="1"/>
        <w:rPr>
          <w:sz w:val="11"/>
        </w:rPr>
      </w:pPr>
    </w:p>
    <w:p>
      <w:pPr>
        <w:pStyle w:val="BodyText"/>
        <w:ind w:left="595"/>
        <w:rPr>
          <w:sz w:val="20"/>
        </w:rPr>
      </w:pPr>
      <w:r>
        <w:rPr>
          <w:sz w:val="20"/>
        </w:rPr>
        <w:drawing>
          <wp:inline distT="0" distB="0" distL="0" distR="0">
            <wp:extent cx="4148503" cy="6403848"/>
            <wp:effectExtent l="0" t="0" r="0" b="0"/>
            <wp:docPr id="17" name="image121.png" descr=""/>
            <wp:cNvGraphicFramePr>
              <a:graphicFrameLocks noChangeAspect="1"/>
            </wp:cNvGraphicFramePr>
            <a:graphic>
              <a:graphicData uri="http://schemas.openxmlformats.org/drawingml/2006/picture">
                <pic:pic>
                  <pic:nvPicPr>
                    <pic:cNvPr id="18" name="image121.png"/>
                    <pic:cNvPicPr/>
                  </pic:nvPicPr>
                  <pic:blipFill>
                    <a:blip r:embed="rId186" cstate="print"/>
                    <a:stretch>
                      <a:fillRect/>
                    </a:stretch>
                  </pic:blipFill>
                  <pic:spPr>
                    <a:xfrm>
                      <a:off x="0" y="0"/>
                      <a:ext cx="4148503" cy="6403848"/>
                    </a:xfrm>
                    <a:prstGeom prst="rect">
                      <a:avLst/>
                    </a:prstGeom>
                  </pic:spPr>
                </pic:pic>
              </a:graphicData>
            </a:graphic>
          </wp:inline>
        </w:drawing>
      </w:r>
      <w:r>
        <w:rPr>
          <w:sz w:val="20"/>
        </w:rPr>
      </w:r>
    </w:p>
    <w:p>
      <w:pPr>
        <w:spacing w:after="0"/>
        <w:rPr>
          <w:sz w:val="20"/>
        </w:rPr>
        <w:sectPr>
          <w:pgSz w:w="9640" w:h="13040"/>
          <w:pgMar w:header="520" w:footer="654" w:top="880" w:bottom="840" w:left="980" w:right="200"/>
        </w:sectPr>
      </w:pPr>
    </w:p>
    <w:p>
      <w:pPr>
        <w:pStyle w:val="BodyText"/>
        <w:rPr>
          <w:sz w:val="20"/>
        </w:rPr>
      </w:pPr>
    </w:p>
    <w:p>
      <w:pPr>
        <w:pStyle w:val="BodyText"/>
        <w:spacing w:before="6"/>
      </w:pPr>
    </w:p>
    <w:p>
      <w:pPr>
        <w:pStyle w:val="BodyText"/>
        <w:spacing w:line="278" w:lineRule="auto" w:before="58"/>
        <w:ind w:left="653" w:right="100"/>
        <w:jc w:val="both"/>
      </w:pPr>
      <w:r>
        <w:rPr>
          <w:color w:val="231F20"/>
        </w:rPr>
        <w:t>Es</w:t>
      </w:r>
      <w:r>
        <w:rPr>
          <w:color w:val="231F20"/>
          <w:spacing w:val="-13"/>
        </w:rPr>
        <w:t> </w:t>
      </w:r>
      <w:r>
        <w:rPr>
          <w:color w:val="231F20"/>
          <w:spacing w:val="-3"/>
        </w:rPr>
        <w:t>evidente</w:t>
      </w:r>
      <w:r>
        <w:rPr>
          <w:color w:val="231F20"/>
          <w:spacing w:val="-13"/>
        </w:rPr>
        <w:t> </w:t>
      </w:r>
      <w:r>
        <w:rPr>
          <w:color w:val="231F20"/>
          <w:spacing w:val="-3"/>
        </w:rPr>
        <w:t>que</w:t>
      </w:r>
      <w:r>
        <w:rPr>
          <w:color w:val="231F20"/>
          <w:spacing w:val="-13"/>
        </w:rPr>
        <w:t> </w:t>
      </w:r>
      <w:r>
        <w:rPr>
          <w:color w:val="231F20"/>
        </w:rPr>
        <w:t>la</w:t>
      </w:r>
      <w:r>
        <w:rPr>
          <w:color w:val="231F20"/>
          <w:spacing w:val="-13"/>
        </w:rPr>
        <w:t> </w:t>
      </w:r>
      <w:r>
        <w:rPr>
          <w:color w:val="231F20"/>
          <w:spacing w:val="-3"/>
        </w:rPr>
        <w:t>localización</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spacing w:val="-4"/>
        </w:rPr>
        <w:t>empresas</w:t>
      </w:r>
      <w:r>
        <w:rPr>
          <w:color w:val="231F20"/>
          <w:spacing w:val="-13"/>
        </w:rPr>
        <w:t> </w:t>
      </w:r>
      <w:r>
        <w:rPr>
          <w:color w:val="231F20"/>
        </w:rPr>
        <w:t>ha</w:t>
      </w:r>
      <w:r>
        <w:rPr>
          <w:color w:val="231F20"/>
          <w:spacing w:val="-13"/>
        </w:rPr>
        <w:t> </w:t>
      </w:r>
      <w:r>
        <w:rPr>
          <w:color w:val="231F20"/>
          <w:spacing w:val="-3"/>
        </w:rPr>
        <w:t>respondido</w:t>
      </w:r>
      <w:r>
        <w:rPr>
          <w:color w:val="231F20"/>
          <w:spacing w:val="-13"/>
        </w:rPr>
        <w:t> </w:t>
      </w:r>
      <w:r>
        <w:rPr>
          <w:color w:val="231F20"/>
        </w:rPr>
        <w:t>a</w:t>
      </w:r>
      <w:r>
        <w:rPr>
          <w:color w:val="231F20"/>
          <w:spacing w:val="-13"/>
        </w:rPr>
        <w:t> </w:t>
      </w:r>
      <w:r>
        <w:rPr>
          <w:color w:val="231F20"/>
          <w:spacing w:val="-3"/>
        </w:rPr>
        <w:t>distintas</w:t>
      </w:r>
      <w:r>
        <w:rPr>
          <w:color w:val="231F20"/>
          <w:spacing w:val="-13"/>
        </w:rPr>
        <w:t> </w:t>
      </w:r>
      <w:r>
        <w:rPr>
          <w:color w:val="231F20"/>
          <w:spacing w:val="-3"/>
        </w:rPr>
        <w:t>lógicas</w:t>
      </w:r>
      <w:r>
        <w:rPr>
          <w:color w:val="231F20"/>
          <w:spacing w:val="-13"/>
        </w:rPr>
        <w:t> </w:t>
      </w:r>
      <w:r>
        <w:rPr>
          <w:color w:val="231F20"/>
        </w:rPr>
        <w:t>de</w:t>
      </w:r>
      <w:r>
        <w:rPr>
          <w:color w:val="231F20"/>
          <w:spacing w:val="-13"/>
        </w:rPr>
        <w:t> </w:t>
      </w:r>
      <w:r>
        <w:rPr>
          <w:color w:val="231F20"/>
        </w:rPr>
        <w:t>desa- </w:t>
      </w:r>
      <w:r>
        <w:rPr>
          <w:color w:val="231F20"/>
          <w:spacing w:val="-3"/>
        </w:rPr>
        <w:t>rrollo</w:t>
      </w:r>
      <w:r>
        <w:rPr>
          <w:color w:val="231F20"/>
          <w:spacing w:val="-16"/>
        </w:rPr>
        <w:t> </w:t>
      </w:r>
      <w:r>
        <w:rPr>
          <w:color w:val="231F20"/>
        </w:rPr>
        <w:t>del</w:t>
      </w:r>
      <w:r>
        <w:rPr>
          <w:color w:val="231F20"/>
          <w:spacing w:val="-16"/>
        </w:rPr>
        <w:t> </w:t>
      </w:r>
      <w:r>
        <w:rPr>
          <w:color w:val="231F20"/>
          <w:spacing w:val="-4"/>
        </w:rPr>
        <w:t>propio</w:t>
      </w:r>
      <w:r>
        <w:rPr>
          <w:color w:val="231F20"/>
          <w:spacing w:val="-16"/>
        </w:rPr>
        <w:t> </w:t>
      </w:r>
      <w:r>
        <w:rPr>
          <w:color w:val="231F20"/>
        </w:rPr>
        <w:t>sector:</w:t>
      </w:r>
      <w:r>
        <w:rPr>
          <w:color w:val="231F20"/>
          <w:spacing w:val="-16"/>
        </w:rPr>
        <w:t> </w:t>
      </w:r>
      <w:r>
        <w:rPr>
          <w:color w:val="231F20"/>
        </w:rPr>
        <w:t>por</w:t>
      </w:r>
      <w:r>
        <w:rPr>
          <w:color w:val="231F20"/>
          <w:spacing w:val="-16"/>
        </w:rPr>
        <w:t> </w:t>
      </w:r>
      <w:r>
        <w:rPr>
          <w:color w:val="231F20"/>
        </w:rPr>
        <w:t>un</w:t>
      </w:r>
      <w:r>
        <w:rPr>
          <w:color w:val="231F20"/>
          <w:spacing w:val="-16"/>
        </w:rPr>
        <w:t> </w:t>
      </w:r>
      <w:r>
        <w:rPr>
          <w:color w:val="231F20"/>
        </w:rPr>
        <w:t>lado</w:t>
      </w:r>
      <w:r>
        <w:rPr>
          <w:color w:val="231F20"/>
          <w:spacing w:val="-16"/>
        </w:rPr>
        <w:t> </w:t>
      </w:r>
      <w:r>
        <w:rPr>
          <w:color w:val="231F20"/>
        </w:rPr>
        <w:t>se</w:t>
      </w:r>
      <w:r>
        <w:rPr>
          <w:color w:val="231F20"/>
          <w:spacing w:val="-16"/>
        </w:rPr>
        <w:t> </w:t>
      </w:r>
      <w:r>
        <w:rPr>
          <w:color w:val="231F20"/>
          <w:spacing w:val="-3"/>
        </w:rPr>
        <w:t>encuentra</w:t>
      </w:r>
      <w:r>
        <w:rPr>
          <w:color w:val="231F20"/>
          <w:spacing w:val="-16"/>
        </w:rPr>
        <w:t> </w:t>
      </w:r>
      <w:r>
        <w:rPr>
          <w:color w:val="231F20"/>
        </w:rPr>
        <w:t>la</w:t>
      </w:r>
      <w:r>
        <w:rPr>
          <w:color w:val="231F20"/>
          <w:spacing w:val="-16"/>
        </w:rPr>
        <w:t> </w:t>
      </w:r>
      <w:r>
        <w:rPr>
          <w:color w:val="231F20"/>
          <w:spacing w:val="-3"/>
        </w:rPr>
        <w:t>región</w:t>
      </w:r>
      <w:r>
        <w:rPr>
          <w:color w:val="231F20"/>
          <w:spacing w:val="-16"/>
        </w:rPr>
        <w:t> </w:t>
      </w:r>
      <w:r>
        <w:rPr>
          <w:color w:val="231F20"/>
          <w:spacing w:val="-4"/>
        </w:rPr>
        <w:t>centro</w:t>
      </w:r>
      <w:r>
        <w:rPr>
          <w:color w:val="231F20"/>
          <w:spacing w:val="-16"/>
        </w:rPr>
        <w:t> </w:t>
      </w:r>
      <w:r>
        <w:rPr>
          <w:color w:val="231F20"/>
        </w:rPr>
        <w:t>del</w:t>
      </w:r>
      <w:r>
        <w:rPr>
          <w:color w:val="231F20"/>
          <w:spacing w:val="-16"/>
        </w:rPr>
        <w:t> </w:t>
      </w:r>
      <w:r>
        <w:rPr>
          <w:color w:val="231F20"/>
          <w:spacing w:val="-3"/>
        </w:rPr>
        <w:t>país,</w:t>
      </w:r>
      <w:r>
        <w:rPr>
          <w:color w:val="231F20"/>
          <w:spacing w:val="-16"/>
        </w:rPr>
        <w:t> </w:t>
      </w:r>
      <w:r>
        <w:rPr>
          <w:color w:val="231F20"/>
          <w:spacing w:val="-3"/>
        </w:rPr>
        <w:t>específicamen- </w:t>
      </w:r>
      <w:r>
        <w:rPr>
          <w:color w:val="231F20"/>
        </w:rPr>
        <w:t>te el </w:t>
      </w:r>
      <w:r>
        <w:rPr>
          <w:color w:val="231F20"/>
          <w:spacing w:val="-3"/>
        </w:rPr>
        <w:t>Estado </w:t>
      </w:r>
      <w:r>
        <w:rPr>
          <w:color w:val="231F20"/>
        </w:rPr>
        <w:t>de </w:t>
      </w:r>
      <w:r>
        <w:rPr>
          <w:color w:val="231F20"/>
          <w:spacing w:val="-4"/>
        </w:rPr>
        <w:t>México </w:t>
      </w:r>
      <w:r>
        <w:rPr>
          <w:color w:val="231F20"/>
        </w:rPr>
        <w:t>y el </w:t>
      </w:r>
      <w:r>
        <w:rPr>
          <w:color w:val="231F20"/>
          <w:spacing w:val="-3"/>
        </w:rPr>
        <w:t>Distrito Federal,</w:t>
      </w:r>
      <w:r>
        <w:rPr>
          <w:color w:val="231F20"/>
          <w:spacing w:val="-3"/>
          <w:position w:val="7"/>
          <w:sz w:val="12"/>
        </w:rPr>
        <w:t>9 </w:t>
      </w:r>
      <w:r>
        <w:rPr>
          <w:color w:val="231F20"/>
          <w:spacing w:val="-3"/>
        </w:rPr>
        <w:t>entidades donde </w:t>
      </w:r>
      <w:r>
        <w:rPr>
          <w:color w:val="231F20"/>
        </w:rPr>
        <w:t>se </w:t>
      </w:r>
      <w:r>
        <w:rPr>
          <w:color w:val="231F20"/>
          <w:spacing w:val="-4"/>
        </w:rPr>
        <w:t>asentaron </w:t>
      </w:r>
      <w:r>
        <w:rPr>
          <w:color w:val="231F20"/>
        </w:rPr>
        <w:t>las </w:t>
      </w:r>
      <w:r>
        <w:rPr>
          <w:color w:val="231F20"/>
          <w:spacing w:val="-3"/>
        </w:rPr>
        <w:t>primeras armadoras que </w:t>
      </w:r>
      <w:r>
        <w:rPr>
          <w:color w:val="231F20"/>
        </w:rPr>
        <w:t>se </w:t>
      </w:r>
      <w:r>
        <w:rPr>
          <w:color w:val="231F20"/>
          <w:spacing w:val="-4"/>
        </w:rPr>
        <w:t>establecieron </w:t>
      </w:r>
      <w:r>
        <w:rPr>
          <w:color w:val="231F20"/>
        </w:rPr>
        <w:t>en </w:t>
      </w:r>
      <w:r>
        <w:rPr>
          <w:color w:val="231F20"/>
          <w:spacing w:val="-4"/>
        </w:rPr>
        <w:t>México </w:t>
      </w:r>
      <w:r>
        <w:rPr>
          <w:color w:val="231F20"/>
        </w:rPr>
        <w:t>y </w:t>
      </w:r>
      <w:r>
        <w:rPr>
          <w:color w:val="231F20"/>
          <w:spacing w:val="-3"/>
        </w:rPr>
        <w:t>cuyo </w:t>
      </w:r>
      <w:r>
        <w:rPr>
          <w:color w:val="231F20"/>
          <w:spacing w:val="-4"/>
        </w:rPr>
        <w:t>propósito </w:t>
      </w:r>
      <w:r>
        <w:rPr>
          <w:color w:val="231F20"/>
          <w:spacing w:val="-3"/>
        </w:rPr>
        <w:t>principal </w:t>
      </w:r>
      <w:r>
        <w:rPr>
          <w:color w:val="231F20"/>
        </w:rPr>
        <w:t>era </w:t>
      </w:r>
      <w:r>
        <w:rPr>
          <w:color w:val="231F20"/>
          <w:spacing w:val="-3"/>
        </w:rPr>
        <w:t>abastecer </w:t>
      </w:r>
      <w:r>
        <w:rPr>
          <w:color w:val="231F20"/>
        </w:rPr>
        <w:t>el </w:t>
      </w:r>
      <w:r>
        <w:rPr>
          <w:color w:val="231F20"/>
          <w:spacing w:val="-3"/>
        </w:rPr>
        <w:t>mercado interno </w:t>
      </w:r>
      <w:r>
        <w:rPr>
          <w:color w:val="231F20"/>
        </w:rPr>
        <w:t>en un periodo </w:t>
      </w:r>
      <w:r>
        <w:rPr>
          <w:color w:val="231F20"/>
          <w:spacing w:val="-3"/>
        </w:rPr>
        <w:t>caracterizado </w:t>
      </w:r>
      <w:r>
        <w:rPr>
          <w:color w:val="231F20"/>
        </w:rPr>
        <w:t>por una </w:t>
      </w:r>
      <w:r>
        <w:rPr>
          <w:color w:val="231F20"/>
          <w:spacing w:val="-3"/>
        </w:rPr>
        <w:t>economía cerrada; estas entida- </w:t>
      </w:r>
      <w:r>
        <w:rPr>
          <w:color w:val="231F20"/>
        </w:rPr>
        <w:t>des </w:t>
      </w:r>
      <w:r>
        <w:rPr>
          <w:color w:val="231F20"/>
          <w:spacing w:val="-4"/>
        </w:rPr>
        <w:t>representan </w:t>
      </w:r>
      <w:r>
        <w:rPr>
          <w:color w:val="231F20"/>
        </w:rPr>
        <w:t>la </w:t>
      </w:r>
      <w:r>
        <w:rPr>
          <w:color w:val="231F20"/>
          <w:spacing w:val="-3"/>
        </w:rPr>
        <w:t>parte donde </w:t>
      </w:r>
      <w:r>
        <w:rPr>
          <w:color w:val="231F20"/>
        </w:rPr>
        <w:t>el </w:t>
      </w:r>
      <w:r>
        <w:rPr>
          <w:color w:val="231F20"/>
          <w:spacing w:val="-3"/>
        </w:rPr>
        <w:t>sector </w:t>
      </w:r>
      <w:r>
        <w:rPr>
          <w:color w:val="231F20"/>
          <w:spacing w:val="-4"/>
        </w:rPr>
        <w:t>automotriz, </w:t>
      </w:r>
      <w:r>
        <w:rPr>
          <w:color w:val="231F20"/>
        </w:rPr>
        <w:t>sin </w:t>
      </w:r>
      <w:r>
        <w:rPr>
          <w:color w:val="231F20"/>
          <w:spacing w:val="-3"/>
        </w:rPr>
        <w:t>dejar </w:t>
      </w:r>
      <w:r>
        <w:rPr>
          <w:color w:val="231F20"/>
        </w:rPr>
        <w:t>de ser </w:t>
      </w:r>
      <w:r>
        <w:rPr>
          <w:color w:val="231F20"/>
          <w:spacing w:val="-4"/>
        </w:rPr>
        <w:t>importante </w:t>
      </w:r>
      <w:r>
        <w:rPr>
          <w:color w:val="231F20"/>
          <w:spacing w:val="-3"/>
        </w:rPr>
        <w:t>para </w:t>
      </w:r>
      <w:r>
        <w:rPr>
          <w:color w:val="231F20"/>
        </w:rPr>
        <w:t>la </w:t>
      </w:r>
      <w:r>
        <w:rPr>
          <w:color w:val="231F20"/>
          <w:spacing w:val="-3"/>
        </w:rPr>
        <w:t>economía </w:t>
      </w:r>
      <w:r>
        <w:rPr>
          <w:color w:val="231F20"/>
        </w:rPr>
        <w:t>de </w:t>
      </w:r>
      <w:r>
        <w:rPr>
          <w:color w:val="231F20"/>
          <w:spacing w:val="-3"/>
        </w:rPr>
        <w:t>estas regiones, </w:t>
      </w:r>
      <w:r>
        <w:rPr>
          <w:color w:val="231F20"/>
          <w:spacing w:val="-4"/>
        </w:rPr>
        <w:t>claramente </w:t>
      </w:r>
      <w:r>
        <w:rPr>
          <w:color w:val="231F20"/>
        </w:rPr>
        <w:t>ha </w:t>
      </w:r>
      <w:r>
        <w:rPr>
          <w:color w:val="231F20"/>
          <w:spacing w:val="-3"/>
        </w:rPr>
        <w:t>perdido dinamismo </w:t>
      </w:r>
      <w:r>
        <w:rPr>
          <w:color w:val="231F20"/>
        </w:rPr>
        <w:t>en las </w:t>
      </w:r>
      <w:r>
        <w:rPr>
          <w:color w:val="231F20"/>
          <w:spacing w:val="-3"/>
        </w:rPr>
        <w:t>últimas</w:t>
      </w:r>
      <w:r>
        <w:rPr>
          <w:color w:val="231F20"/>
          <w:spacing w:val="-24"/>
        </w:rPr>
        <w:t> </w:t>
      </w:r>
      <w:r>
        <w:rPr>
          <w:color w:val="231F20"/>
          <w:spacing w:val="-3"/>
        </w:rPr>
        <w:t>décadas.</w:t>
      </w:r>
    </w:p>
    <w:p>
      <w:pPr>
        <w:pStyle w:val="BodyText"/>
        <w:spacing w:line="278" w:lineRule="auto" w:before="1"/>
        <w:ind w:left="653" w:right="100" w:firstLine="396"/>
        <w:jc w:val="both"/>
      </w:pPr>
      <w:r>
        <w:rPr>
          <w:color w:val="010202"/>
          <w:spacing w:val="-4"/>
        </w:rPr>
        <w:t>Por </w:t>
      </w:r>
      <w:r>
        <w:rPr>
          <w:color w:val="010202"/>
        </w:rPr>
        <w:t>otro lado, se encuentra la región norte o fronteriza, conformada por los esta- dos de Sonora, Chihuahua, Coahuila y Nuevo León, principalmente, donde a partir</w:t>
      </w:r>
      <w:r>
        <w:rPr>
          <w:color w:val="010202"/>
          <w:spacing w:val="-34"/>
        </w:rPr>
        <w:t> </w:t>
      </w:r>
      <w:r>
        <w:rPr>
          <w:color w:val="010202"/>
        </w:rPr>
        <w:t>de finales</w:t>
      </w:r>
      <w:r>
        <w:rPr>
          <w:color w:val="010202"/>
          <w:spacing w:val="-11"/>
        </w:rPr>
        <w:t> </w:t>
      </w:r>
      <w:r>
        <w:rPr>
          <w:color w:val="010202"/>
        </w:rPr>
        <w:t>de</w:t>
      </w:r>
      <w:r>
        <w:rPr>
          <w:color w:val="010202"/>
          <w:spacing w:val="-11"/>
        </w:rPr>
        <w:t> </w:t>
      </w:r>
      <w:r>
        <w:rPr>
          <w:color w:val="010202"/>
        </w:rPr>
        <w:t>los</w:t>
      </w:r>
      <w:r>
        <w:rPr>
          <w:color w:val="010202"/>
          <w:spacing w:val="-11"/>
        </w:rPr>
        <w:t> </w:t>
      </w:r>
      <w:r>
        <w:rPr>
          <w:color w:val="010202"/>
        </w:rPr>
        <w:t>setenta</w:t>
      </w:r>
      <w:r>
        <w:rPr>
          <w:color w:val="010202"/>
          <w:spacing w:val="-11"/>
        </w:rPr>
        <w:t> </w:t>
      </w:r>
      <w:r>
        <w:rPr>
          <w:color w:val="010202"/>
        </w:rPr>
        <w:t>y</w:t>
      </w:r>
      <w:r>
        <w:rPr>
          <w:color w:val="010202"/>
          <w:spacing w:val="-11"/>
        </w:rPr>
        <w:t> </w:t>
      </w:r>
      <w:r>
        <w:rPr>
          <w:color w:val="010202"/>
        </w:rPr>
        <w:t>principios</w:t>
      </w:r>
      <w:r>
        <w:rPr>
          <w:color w:val="010202"/>
          <w:spacing w:val="-11"/>
        </w:rPr>
        <w:t> </w:t>
      </w:r>
      <w:r>
        <w:rPr>
          <w:color w:val="010202"/>
        </w:rPr>
        <w:t>de</w:t>
      </w:r>
      <w:r>
        <w:rPr>
          <w:color w:val="010202"/>
          <w:spacing w:val="-11"/>
        </w:rPr>
        <w:t> </w:t>
      </w:r>
      <w:r>
        <w:rPr>
          <w:color w:val="010202"/>
        </w:rPr>
        <w:t>los</w:t>
      </w:r>
      <w:r>
        <w:rPr>
          <w:color w:val="010202"/>
          <w:spacing w:val="-11"/>
        </w:rPr>
        <w:t> </w:t>
      </w:r>
      <w:r>
        <w:rPr>
          <w:color w:val="010202"/>
        </w:rPr>
        <w:t>ochenta</w:t>
      </w:r>
      <w:r>
        <w:rPr>
          <w:color w:val="010202"/>
          <w:spacing w:val="-11"/>
        </w:rPr>
        <w:t> </w:t>
      </w:r>
      <w:r>
        <w:rPr>
          <w:color w:val="010202"/>
        </w:rPr>
        <w:t>se</w:t>
      </w:r>
      <w:r>
        <w:rPr>
          <w:color w:val="010202"/>
          <w:spacing w:val="-11"/>
        </w:rPr>
        <w:t> </w:t>
      </w:r>
      <w:r>
        <w:rPr>
          <w:color w:val="010202"/>
        </w:rPr>
        <w:t>empezaron</w:t>
      </w:r>
      <w:r>
        <w:rPr>
          <w:color w:val="010202"/>
          <w:spacing w:val="-11"/>
        </w:rPr>
        <w:t> </w:t>
      </w:r>
      <w:r>
        <w:rPr>
          <w:color w:val="010202"/>
        </w:rPr>
        <w:t>a</w:t>
      </w:r>
      <w:r>
        <w:rPr>
          <w:color w:val="010202"/>
          <w:spacing w:val="-11"/>
        </w:rPr>
        <w:t> </w:t>
      </w:r>
      <w:r>
        <w:rPr>
          <w:color w:val="010202"/>
        </w:rPr>
        <w:t>establecer</w:t>
      </w:r>
      <w:r>
        <w:rPr>
          <w:color w:val="010202"/>
          <w:spacing w:val="-11"/>
        </w:rPr>
        <w:t> </w:t>
      </w:r>
      <w:r>
        <w:rPr>
          <w:color w:val="010202"/>
        </w:rPr>
        <w:t>importantes complejos automotrices, conformados por ensambladoras, y posteriormente empresas proveedoras</w:t>
      </w:r>
      <w:r>
        <w:rPr>
          <w:color w:val="010202"/>
          <w:spacing w:val="-8"/>
        </w:rPr>
        <w:t> </w:t>
      </w:r>
      <w:r>
        <w:rPr>
          <w:color w:val="010202"/>
        </w:rPr>
        <w:t>de</w:t>
      </w:r>
      <w:r>
        <w:rPr>
          <w:color w:val="010202"/>
          <w:spacing w:val="-8"/>
        </w:rPr>
        <w:t> </w:t>
      </w:r>
      <w:r>
        <w:rPr>
          <w:color w:val="010202"/>
        </w:rPr>
        <w:t>autopartes,</w:t>
      </w:r>
      <w:r>
        <w:rPr>
          <w:color w:val="010202"/>
          <w:spacing w:val="-8"/>
        </w:rPr>
        <w:t> </w:t>
      </w:r>
      <w:r>
        <w:rPr>
          <w:color w:val="010202"/>
        </w:rPr>
        <w:t>que</w:t>
      </w:r>
      <w:r>
        <w:rPr>
          <w:color w:val="010202"/>
          <w:spacing w:val="-8"/>
        </w:rPr>
        <w:t> </w:t>
      </w:r>
      <w:r>
        <w:rPr>
          <w:color w:val="010202"/>
        </w:rPr>
        <w:t>llegaron</w:t>
      </w:r>
      <w:r>
        <w:rPr>
          <w:color w:val="010202"/>
          <w:spacing w:val="-8"/>
        </w:rPr>
        <w:t> </w:t>
      </w:r>
      <w:r>
        <w:rPr>
          <w:color w:val="010202"/>
        </w:rPr>
        <w:t>para</w:t>
      </w:r>
      <w:r>
        <w:rPr>
          <w:color w:val="010202"/>
          <w:spacing w:val="-8"/>
        </w:rPr>
        <w:t> </w:t>
      </w:r>
      <w:r>
        <w:rPr>
          <w:color w:val="010202"/>
        </w:rPr>
        <w:t>abastecer</w:t>
      </w:r>
      <w:r>
        <w:rPr>
          <w:color w:val="010202"/>
          <w:spacing w:val="-8"/>
        </w:rPr>
        <w:t> </w:t>
      </w:r>
      <w:r>
        <w:rPr>
          <w:color w:val="010202"/>
        </w:rPr>
        <w:t>a</w:t>
      </w:r>
      <w:r>
        <w:rPr>
          <w:color w:val="010202"/>
          <w:spacing w:val="-8"/>
        </w:rPr>
        <w:t> </w:t>
      </w:r>
      <w:r>
        <w:rPr>
          <w:color w:val="010202"/>
        </w:rPr>
        <w:t>las</w:t>
      </w:r>
      <w:r>
        <w:rPr>
          <w:color w:val="010202"/>
          <w:spacing w:val="-8"/>
        </w:rPr>
        <w:t> </w:t>
      </w:r>
      <w:r>
        <w:rPr>
          <w:color w:val="010202"/>
        </w:rPr>
        <w:t>ensambladoras.</w:t>
      </w:r>
    </w:p>
    <w:p>
      <w:pPr>
        <w:pStyle w:val="BodyText"/>
        <w:spacing w:line="278" w:lineRule="auto" w:before="1"/>
        <w:ind w:left="653" w:right="100" w:firstLine="396"/>
        <w:jc w:val="both"/>
      </w:pPr>
      <w:r>
        <w:rPr>
          <w:color w:val="231F20"/>
        </w:rPr>
        <w:t>En las nuevas plantas la transferencia de tecnología jugó un papel </w:t>
      </w:r>
      <w:r>
        <w:rPr>
          <w:color w:val="231F20"/>
          <w:spacing w:val="-2"/>
        </w:rPr>
        <w:t>muy</w:t>
      </w:r>
      <w:r>
        <w:rPr>
          <w:color w:val="231F20"/>
          <w:spacing w:val="-33"/>
        </w:rPr>
        <w:t> </w:t>
      </w:r>
      <w:r>
        <w:rPr>
          <w:color w:val="231F20"/>
        </w:rPr>
        <w:t>relevante; esto se ha visto reflejado en el equipo, la maquinaria y las nuevas condiciones de tra- bajo</w:t>
      </w:r>
      <w:r>
        <w:rPr>
          <w:color w:val="231F20"/>
          <w:spacing w:val="-9"/>
        </w:rPr>
        <w:t> </w:t>
      </w:r>
      <w:r>
        <w:rPr>
          <w:color w:val="231F20"/>
        </w:rPr>
        <w:t>(Moreno</w:t>
      </w:r>
      <w:r>
        <w:rPr>
          <w:color w:val="231F20"/>
          <w:spacing w:val="-9"/>
        </w:rPr>
        <w:t> </w:t>
      </w:r>
      <w:r>
        <w:rPr>
          <w:color w:val="231F20"/>
        </w:rPr>
        <w:t>Brid,</w:t>
      </w:r>
      <w:r>
        <w:rPr>
          <w:color w:val="231F20"/>
          <w:spacing w:val="-9"/>
        </w:rPr>
        <w:t> </w:t>
      </w:r>
      <w:r>
        <w:rPr>
          <w:color w:val="231F20"/>
        </w:rPr>
        <w:t>1996),</w:t>
      </w:r>
      <w:r>
        <w:rPr>
          <w:color w:val="231F20"/>
          <w:spacing w:val="-9"/>
        </w:rPr>
        <w:t> </w:t>
      </w:r>
      <w:r>
        <w:rPr>
          <w:color w:val="231F20"/>
        </w:rPr>
        <w:t>que</w:t>
      </w:r>
      <w:r>
        <w:rPr>
          <w:color w:val="231F20"/>
          <w:spacing w:val="-9"/>
        </w:rPr>
        <w:t> </w:t>
      </w:r>
      <w:r>
        <w:rPr>
          <w:color w:val="231F20"/>
        </w:rPr>
        <w:t>contrastan</w:t>
      </w:r>
      <w:r>
        <w:rPr>
          <w:color w:val="231F20"/>
          <w:spacing w:val="-9"/>
        </w:rPr>
        <w:t> </w:t>
      </w:r>
      <w:r>
        <w:rPr>
          <w:color w:val="231F20"/>
        </w:rPr>
        <w:t>ampliamente</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viejas</w:t>
      </w:r>
      <w:r>
        <w:rPr>
          <w:color w:val="231F20"/>
          <w:spacing w:val="-9"/>
        </w:rPr>
        <w:t> </w:t>
      </w:r>
      <w:r>
        <w:rPr>
          <w:color w:val="231F20"/>
        </w:rPr>
        <w:t>armadoras</w:t>
      </w:r>
      <w:r>
        <w:rPr>
          <w:color w:val="231F20"/>
          <w:spacing w:val="-9"/>
        </w:rPr>
        <w:t> </w:t>
      </w:r>
      <w:r>
        <w:rPr>
          <w:color w:val="231F20"/>
        </w:rPr>
        <w:t>de</w:t>
      </w:r>
      <w:r>
        <w:rPr>
          <w:color w:val="231F20"/>
          <w:spacing w:val="-9"/>
        </w:rPr>
        <w:t> </w:t>
      </w:r>
      <w:r>
        <w:rPr>
          <w:color w:val="231F20"/>
        </w:rPr>
        <w:t>los años sesenta ubicadas en la zona centro del país. Otra diferencia importante es que en estas nuevas plantas la mayoría de los trabajadores son jóvenes, más calificados para realizar</w:t>
      </w:r>
      <w:r>
        <w:rPr>
          <w:color w:val="231F20"/>
          <w:spacing w:val="-4"/>
        </w:rPr>
        <w:t> </w:t>
      </w:r>
      <w:r>
        <w:rPr>
          <w:color w:val="231F20"/>
        </w:rPr>
        <w:t>una</w:t>
      </w:r>
      <w:r>
        <w:rPr>
          <w:color w:val="231F20"/>
          <w:spacing w:val="-4"/>
        </w:rPr>
        <w:t> </w:t>
      </w:r>
      <w:r>
        <w:rPr>
          <w:color w:val="231F20"/>
        </w:rPr>
        <w:t>gama</w:t>
      </w:r>
      <w:r>
        <w:rPr>
          <w:color w:val="231F20"/>
          <w:spacing w:val="-4"/>
        </w:rPr>
        <w:t> </w:t>
      </w:r>
      <w:r>
        <w:rPr>
          <w:color w:val="231F20"/>
        </w:rPr>
        <w:t>amplia</w:t>
      </w:r>
      <w:r>
        <w:rPr>
          <w:color w:val="231F20"/>
          <w:spacing w:val="-4"/>
        </w:rPr>
        <w:t> </w:t>
      </w:r>
      <w:r>
        <w:rPr>
          <w:color w:val="231F20"/>
        </w:rPr>
        <w:t>de</w:t>
      </w:r>
      <w:r>
        <w:rPr>
          <w:color w:val="231F20"/>
          <w:spacing w:val="-4"/>
        </w:rPr>
        <w:t> </w:t>
      </w:r>
      <w:r>
        <w:rPr>
          <w:color w:val="231F20"/>
        </w:rPr>
        <w:t>tareas,</w:t>
      </w:r>
      <w:r>
        <w:rPr>
          <w:color w:val="231F20"/>
          <w:spacing w:val="-4"/>
        </w:rPr>
        <w:t> </w:t>
      </w:r>
      <w:r>
        <w:rPr>
          <w:color w:val="231F20"/>
        </w:rPr>
        <w:t>en</w:t>
      </w:r>
      <w:r>
        <w:rPr>
          <w:color w:val="231F20"/>
          <w:spacing w:val="-4"/>
        </w:rPr>
        <w:t> </w:t>
      </w:r>
      <w:r>
        <w:rPr>
          <w:color w:val="231F20"/>
        </w:rPr>
        <w:t>contraste</w:t>
      </w:r>
      <w:r>
        <w:rPr>
          <w:color w:val="231F20"/>
          <w:spacing w:val="-4"/>
        </w:rPr>
        <w:t> </w:t>
      </w:r>
      <w:r>
        <w:rPr>
          <w:color w:val="231F20"/>
        </w:rPr>
        <w:t>con</w:t>
      </w:r>
      <w:r>
        <w:rPr>
          <w:color w:val="231F20"/>
          <w:spacing w:val="-4"/>
        </w:rPr>
        <w:t> </w:t>
      </w:r>
      <w:r>
        <w:rPr>
          <w:color w:val="231F20"/>
        </w:rPr>
        <w:t>la</w:t>
      </w:r>
      <w:r>
        <w:rPr>
          <w:color w:val="231F20"/>
          <w:spacing w:val="-4"/>
        </w:rPr>
        <w:t> </w:t>
      </w:r>
      <w:r>
        <w:rPr>
          <w:color w:val="231F20"/>
        </w:rPr>
        <w:t>fuerza</w:t>
      </w:r>
      <w:r>
        <w:rPr>
          <w:color w:val="231F20"/>
          <w:spacing w:val="-4"/>
        </w:rPr>
        <w:t> </w:t>
      </w:r>
      <w:r>
        <w:rPr>
          <w:color w:val="231F20"/>
        </w:rPr>
        <w:t>de</w:t>
      </w:r>
      <w:r>
        <w:rPr>
          <w:color w:val="231F20"/>
          <w:spacing w:val="-4"/>
        </w:rPr>
        <w:t> </w:t>
      </w:r>
      <w:r>
        <w:rPr>
          <w:color w:val="231F20"/>
        </w:rPr>
        <w:t>trabajo</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plantas </w:t>
      </w:r>
      <w:r>
        <w:rPr>
          <w:color w:val="231F20"/>
          <w:w w:val="95"/>
        </w:rPr>
        <w:t>existentes (Vicencio,</w:t>
      </w:r>
      <w:r>
        <w:rPr>
          <w:color w:val="231F20"/>
          <w:spacing w:val="41"/>
          <w:w w:val="95"/>
        </w:rPr>
        <w:t> </w:t>
      </w:r>
      <w:r>
        <w:rPr>
          <w:color w:val="231F20"/>
          <w:w w:val="95"/>
        </w:rPr>
        <w:t>2007).</w:t>
      </w:r>
    </w:p>
    <w:p>
      <w:pPr>
        <w:pStyle w:val="BodyText"/>
        <w:spacing w:line="278" w:lineRule="auto" w:before="1"/>
        <w:ind w:left="653" w:right="100" w:firstLine="396"/>
        <w:jc w:val="both"/>
      </w:pPr>
      <w:r>
        <w:rPr>
          <w:color w:val="231F20"/>
        </w:rPr>
        <w:t>Si bien en un primer momento se establecieron las armadoras, </w:t>
      </w:r>
      <w:r>
        <w:rPr>
          <w:color w:val="231F20"/>
          <w:spacing w:val="-3"/>
        </w:rPr>
        <w:t>pronto </w:t>
      </w:r>
      <w:r>
        <w:rPr>
          <w:color w:val="231F20"/>
        </w:rPr>
        <w:t>se empezó a instalar también un significativo número de empresas de autopartes; en la lógica de buscar</w:t>
      </w:r>
      <w:r>
        <w:rPr>
          <w:color w:val="231F20"/>
          <w:spacing w:val="-9"/>
        </w:rPr>
        <w:t> </w:t>
      </w:r>
      <w:r>
        <w:rPr>
          <w:color w:val="231F20"/>
        </w:rPr>
        <w:t>la</w:t>
      </w:r>
      <w:r>
        <w:rPr>
          <w:color w:val="231F20"/>
          <w:spacing w:val="-9"/>
        </w:rPr>
        <w:t> </w:t>
      </w:r>
      <w:r>
        <w:rPr>
          <w:color w:val="231F20"/>
        </w:rPr>
        <w:t>cercanía</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empresas</w:t>
      </w:r>
      <w:r>
        <w:rPr>
          <w:color w:val="231F20"/>
          <w:spacing w:val="-9"/>
        </w:rPr>
        <w:t> </w:t>
      </w:r>
      <w:r>
        <w:rPr>
          <w:color w:val="231F20"/>
        </w:rPr>
        <w:t>armadoras</w:t>
      </w:r>
      <w:r>
        <w:rPr>
          <w:color w:val="231F20"/>
          <w:spacing w:val="-9"/>
        </w:rPr>
        <w:t> </w:t>
      </w:r>
      <w:r>
        <w:rPr>
          <w:color w:val="231F20"/>
        </w:rPr>
        <w:t>a</w:t>
      </w:r>
      <w:r>
        <w:rPr>
          <w:color w:val="231F20"/>
          <w:spacing w:val="-9"/>
        </w:rPr>
        <w:t> </w:t>
      </w:r>
      <w:r>
        <w:rPr>
          <w:color w:val="231F20"/>
        </w:rPr>
        <w:t>las</w:t>
      </w:r>
      <w:r>
        <w:rPr>
          <w:color w:val="231F20"/>
          <w:spacing w:val="-9"/>
        </w:rPr>
        <w:t> </w:t>
      </w:r>
      <w:r>
        <w:rPr>
          <w:color w:val="231F20"/>
        </w:rPr>
        <w:t>que</w:t>
      </w:r>
      <w:r>
        <w:rPr>
          <w:color w:val="231F20"/>
          <w:spacing w:val="-9"/>
        </w:rPr>
        <w:t> </w:t>
      </w:r>
      <w:r>
        <w:rPr>
          <w:color w:val="231F20"/>
        </w:rPr>
        <w:t>proveen,</w:t>
      </w:r>
      <w:r>
        <w:rPr>
          <w:color w:val="231F20"/>
          <w:spacing w:val="-9"/>
        </w:rPr>
        <w:t> </w:t>
      </w:r>
      <w:r>
        <w:rPr>
          <w:color w:val="231F20"/>
        </w:rPr>
        <w:t>se</w:t>
      </w:r>
      <w:r>
        <w:rPr>
          <w:color w:val="231F20"/>
          <w:spacing w:val="-9"/>
        </w:rPr>
        <w:t> </w:t>
      </w:r>
      <w:r>
        <w:rPr>
          <w:color w:val="231F20"/>
        </w:rPr>
        <w:t>concentraron</w:t>
      </w:r>
      <w:r>
        <w:rPr>
          <w:color w:val="231F20"/>
          <w:spacing w:val="-9"/>
        </w:rPr>
        <w:t> </w:t>
      </w:r>
      <w:r>
        <w:rPr>
          <w:color w:val="231F20"/>
        </w:rPr>
        <w:t>tam- bién</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estados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frontera</w:t>
      </w:r>
      <w:r>
        <w:rPr>
          <w:color w:val="231F20"/>
          <w:spacing w:val="-6"/>
        </w:rPr>
        <w:t> </w:t>
      </w:r>
      <w:r>
        <w:rPr>
          <w:color w:val="231F20"/>
        </w:rPr>
        <w:t>norte</w:t>
      </w:r>
      <w:r>
        <w:rPr>
          <w:color w:val="231F20"/>
          <w:spacing w:val="-6"/>
        </w:rPr>
        <w:t> </w:t>
      </w:r>
      <w:r>
        <w:rPr>
          <w:color w:val="231F20"/>
        </w:rPr>
        <w:t>de</w:t>
      </w:r>
      <w:r>
        <w:rPr>
          <w:color w:val="231F20"/>
          <w:spacing w:val="-6"/>
        </w:rPr>
        <w:t> </w:t>
      </w:r>
      <w:r>
        <w:rPr>
          <w:color w:val="231F20"/>
        </w:rPr>
        <w:t>México.</w:t>
      </w:r>
    </w:p>
    <w:p>
      <w:pPr>
        <w:pStyle w:val="BodyText"/>
        <w:spacing w:line="271" w:lineRule="auto" w:before="1"/>
        <w:ind w:left="653" w:right="100" w:firstLine="396"/>
        <w:jc w:val="both"/>
      </w:pPr>
      <w:r>
        <w:rPr>
          <w:color w:val="231F20"/>
        </w:rPr>
        <w:t>En la figura III.2 se señalan las principales empresas de primer nivel que se lo- calizan en la zona norte. Entre los estados sobresalen Nuevo León, Baja California, Coahuila, Sonora, Chihuahua y </w:t>
      </w:r>
      <w:r>
        <w:rPr>
          <w:color w:val="231F20"/>
          <w:spacing w:val="-3"/>
        </w:rPr>
        <w:t>Tamaulipas; </w:t>
      </w:r>
      <w:r>
        <w:rPr>
          <w:color w:val="231F20"/>
        </w:rPr>
        <w:t>en ellos, además de las empresas de pri- mer</w:t>
      </w:r>
      <w:r>
        <w:rPr>
          <w:color w:val="231F20"/>
          <w:spacing w:val="-6"/>
        </w:rPr>
        <w:t> </w:t>
      </w:r>
      <w:r>
        <w:rPr>
          <w:color w:val="231F20"/>
        </w:rPr>
        <w:t>nivel,</w:t>
      </w:r>
      <w:r>
        <w:rPr>
          <w:color w:val="231F20"/>
          <w:spacing w:val="-6"/>
        </w:rPr>
        <w:t> </w:t>
      </w:r>
      <w:r>
        <w:rPr>
          <w:color w:val="231F20"/>
        </w:rPr>
        <w:t>también</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establecido</w:t>
      </w:r>
      <w:r>
        <w:rPr>
          <w:color w:val="231F20"/>
          <w:spacing w:val="-6"/>
        </w:rPr>
        <w:t> </w:t>
      </w:r>
      <w:r>
        <w:rPr>
          <w:color w:val="231F20"/>
        </w:rPr>
        <w:t>en</w:t>
      </w:r>
      <w:r>
        <w:rPr>
          <w:color w:val="231F20"/>
          <w:spacing w:val="-6"/>
        </w:rPr>
        <w:t> </w:t>
      </w:r>
      <w:r>
        <w:rPr>
          <w:color w:val="231F20"/>
        </w:rPr>
        <w:t>los</w:t>
      </w:r>
      <w:r>
        <w:rPr>
          <w:color w:val="231F20"/>
          <w:spacing w:val="-6"/>
        </w:rPr>
        <w:t> </w:t>
      </w:r>
      <w:r>
        <w:rPr>
          <w:color w:val="231F20"/>
        </w:rPr>
        <w:t>últimos</w:t>
      </w:r>
      <w:r>
        <w:rPr>
          <w:color w:val="231F20"/>
          <w:spacing w:val="-6"/>
        </w:rPr>
        <w:t> </w:t>
      </w:r>
      <w:r>
        <w:rPr>
          <w:color w:val="231F20"/>
        </w:rPr>
        <w:t>años</w:t>
      </w:r>
      <w:r>
        <w:rPr>
          <w:color w:val="231F20"/>
          <w:spacing w:val="-6"/>
        </w:rPr>
        <w:t> </w:t>
      </w:r>
      <w:r>
        <w:rPr>
          <w:color w:val="231F20"/>
        </w:rPr>
        <w:t>(a</w:t>
      </w:r>
      <w:r>
        <w:rPr>
          <w:color w:val="231F20"/>
          <w:spacing w:val="-6"/>
        </w:rPr>
        <w:t> </w:t>
      </w:r>
      <w:r>
        <w:rPr>
          <w:color w:val="231F20"/>
        </w:rPr>
        <w:t>partir</w:t>
      </w:r>
      <w:r>
        <w:rPr>
          <w:color w:val="231F20"/>
          <w:spacing w:val="-6"/>
        </w:rPr>
        <w:t> </w:t>
      </w:r>
      <w:r>
        <w:rPr>
          <w:color w:val="231F20"/>
        </w:rPr>
        <w:t>de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instalaron </w:t>
      </w:r>
      <w:r>
        <w:rPr>
          <w:color w:val="231F20"/>
          <w:spacing w:val="-3"/>
        </w:rPr>
        <w:t>Ford </w:t>
      </w:r>
      <w:r>
        <w:rPr>
          <w:color w:val="231F20"/>
        </w:rPr>
        <w:t>en Sonora y Chihuahua; Chrysler en Saltillo, Coahuila; General </w:t>
      </w:r>
      <w:r>
        <w:rPr>
          <w:color w:val="231F20"/>
          <w:spacing w:val="-3"/>
        </w:rPr>
        <w:t>Motors </w:t>
      </w:r>
      <w:r>
        <w:rPr>
          <w:color w:val="231F20"/>
        </w:rPr>
        <w:t>en Ra- mos</w:t>
      </w:r>
      <w:r>
        <w:rPr>
          <w:color w:val="231F20"/>
          <w:spacing w:val="-4"/>
        </w:rPr>
        <w:t> </w:t>
      </w:r>
      <w:r>
        <w:rPr>
          <w:color w:val="231F20"/>
        </w:rPr>
        <w:t>Arizpe,</w:t>
      </w:r>
      <w:r>
        <w:rPr>
          <w:color w:val="231F20"/>
          <w:spacing w:val="-4"/>
        </w:rPr>
        <w:t> </w:t>
      </w:r>
      <w:r>
        <w:rPr>
          <w:color w:val="231F20"/>
        </w:rPr>
        <w:t>Coahuila,</w:t>
      </w:r>
      <w:r>
        <w:rPr>
          <w:color w:val="231F20"/>
          <w:spacing w:val="-4"/>
        </w:rPr>
        <w:t> </w:t>
      </w:r>
      <w:r>
        <w:rPr>
          <w:color w:val="231F20"/>
        </w:rPr>
        <w:t>y</w:t>
      </w:r>
      <w:r>
        <w:rPr>
          <w:color w:val="231F20"/>
          <w:spacing w:val="-4"/>
        </w:rPr>
        <w:t> </w:t>
      </w:r>
      <w:r>
        <w:rPr>
          <w:color w:val="231F20"/>
        </w:rPr>
        <w:t>San</w:t>
      </w:r>
      <w:r>
        <w:rPr>
          <w:color w:val="231F20"/>
          <w:spacing w:val="-4"/>
        </w:rPr>
        <w:t> </w:t>
      </w:r>
      <w:r>
        <w:rPr>
          <w:color w:val="231F20"/>
        </w:rPr>
        <w:t>Luis</w:t>
      </w:r>
      <w:r>
        <w:rPr>
          <w:color w:val="231F20"/>
          <w:spacing w:val="-4"/>
        </w:rPr>
        <w:t> </w:t>
      </w:r>
      <w:r>
        <w:rPr>
          <w:color w:val="231F20"/>
        </w:rPr>
        <w:t>Potosí;</w:t>
      </w:r>
      <w:r>
        <w:rPr>
          <w:color w:val="231F20"/>
          <w:spacing w:val="-4"/>
        </w:rPr>
        <w:t> </w:t>
      </w:r>
      <w:r>
        <w:rPr>
          <w:color w:val="231F20"/>
        </w:rPr>
        <w:t>y</w:t>
      </w:r>
      <w:r>
        <w:rPr>
          <w:color w:val="231F20"/>
          <w:spacing w:val="-4"/>
        </w:rPr>
        <w:t> </w:t>
      </w:r>
      <w:r>
        <w:rPr>
          <w:color w:val="231F20"/>
        </w:rPr>
        <w:t>posteriormente</w:t>
      </w:r>
      <w:r>
        <w:rPr>
          <w:color w:val="231F20"/>
          <w:spacing w:val="-4"/>
        </w:rPr>
        <w:t> </w:t>
      </w:r>
      <w:r>
        <w:rPr>
          <w:color w:val="231F20"/>
          <w:spacing w:val="-5"/>
        </w:rPr>
        <w:t>Toyota</w:t>
      </w:r>
      <w:r>
        <w:rPr>
          <w:color w:val="231F20"/>
          <w:spacing w:val="-4"/>
        </w:rPr>
        <w:t> </w:t>
      </w:r>
      <w:r>
        <w:rPr>
          <w:color w:val="231F20"/>
        </w:rPr>
        <w:t>en</w:t>
      </w:r>
      <w:r>
        <w:rPr>
          <w:color w:val="231F20"/>
          <w:spacing w:val="-4"/>
        </w:rPr>
        <w:t> </w:t>
      </w:r>
      <w:r>
        <w:rPr>
          <w:color w:val="231F20"/>
        </w:rPr>
        <w:t>Baja</w:t>
      </w:r>
      <w:r>
        <w:rPr>
          <w:color w:val="231F20"/>
          <w:spacing w:val="-4"/>
        </w:rPr>
        <w:t> </w:t>
      </w:r>
      <w:r>
        <w:rPr>
          <w:color w:val="231F20"/>
        </w:rPr>
        <w:t>California) empresas de autopartes de segundo y tercer nivel, que a su vez son proveedoras de</w:t>
      </w:r>
      <w:r>
        <w:rPr>
          <w:color w:val="231F20"/>
          <w:spacing w:val="-34"/>
        </w:rPr>
        <w:t> </w:t>
      </w:r>
      <w:r>
        <w:rPr>
          <w:color w:val="231F20"/>
        </w:rPr>
        <w:t>las llamadas</w:t>
      </w:r>
      <w:r>
        <w:rPr>
          <w:color w:val="231F20"/>
          <w:spacing w:val="-14"/>
        </w:rPr>
        <w:t> </w:t>
      </w:r>
      <w:r>
        <w:rPr>
          <w:rFonts w:ascii="Palatino Linotype" w:hAnsi="Palatino Linotype"/>
          <w:i/>
          <w:color w:val="231F20"/>
          <w:spacing w:val="-4"/>
        </w:rPr>
        <w:t>Tier</w:t>
      </w:r>
      <w:r>
        <w:rPr>
          <w:rFonts w:ascii="Palatino Linotype" w:hAnsi="Palatino Linotype"/>
          <w:i/>
          <w:color w:val="231F20"/>
          <w:spacing w:val="-14"/>
        </w:rPr>
        <w:t> </w:t>
      </w:r>
      <w:r>
        <w:rPr>
          <w:rFonts w:ascii="Palatino Linotype" w:hAnsi="Palatino Linotype"/>
          <w:i/>
          <w:color w:val="231F20"/>
        </w:rPr>
        <w:t>1</w:t>
      </w:r>
      <w:r>
        <w:rPr>
          <w:color w:val="231F20"/>
        </w:rPr>
        <w:t>,</w:t>
      </w:r>
      <w:r>
        <w:rPr>
          <w:color w:val="231F20"/>
          <w:spacing w:val="-14"/>
        </w:rPr>
        <w:t> </w:t>
      </w:r>
      <w:r>
        <w:rPr>
          <w:color w:val="231F20"/>
        </w:rPr>
        <w:t>con</w:t>
      </w:r>
      <w:r>
        <w:rPr>
          <w:color w:val="231F20"/>
          <w:spacing w:val="-14"/>
        </w:rPr>
        <w:t> </w:t>
      </w:r>
      <w:r>
        <w:rPr>
          <w:color w:val="231F20"/>
        </w:rPr>
        <w:t>lo</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llegado</w:t>
      </w:r>
      <w:r>
        <w:rPr>
          <w:color w:val="231F20"/>
          <w:spacing w:val="-14"/>
        </w:rPr>
        <w:t> </w:t>
      </w:r>
      <w:r>
        <w:rPr>
          <w:color w:val="231F20"/>
        </w:rPr>
        <w:t>a</w:t>
      </w:r>
      <w:r>
        <w:rPr>
          <w:color w:val="231F20"/>
          <w:spacing w:val="-14"/>
        </w:rPr>
        <w:t> </w:t>
      </w:r>
      <w:r>
        <w:rPr>
          <w:color w:val="231F20"/>
        </w:rPr>
        <w:t>conformar</w:t>
      </w:r>
      <w:r>
        <w:rPr>
          <w:color w:val="231F20"/>
          <w:spacing w:val="-14"/>
        </w:rPr>
        <w:t> </w:t>
      </w:r>
      <w:r>
        <w:rPr>
          <w:color w:val="231F20"/>
        </w:rPr>
        <w:t>un</w:t>
      </w:r>
      <w:r>
        <w:rPr>
          <w:color w:val="231F20"/>
          <w:spacing w:val="-14"/>
        </w:rPr>
        <w:t> </w:t>
      </w:r>
      <w:r>
        <w:rPr>
          <w:color w:val="231F20"/>
        </w:rPr>
        <w:t>importante</w:t>
      </w:r>
      <w:r>
        <w:rPr>
          <w:color w:val="231F20"/>
          <w:spacing w:val="-14"/>
        </w:rPr>
        <w:t> </w:t>
      </w:r>
      <w:r>
        <w:rPr>
          <w:color w:val="231F20"/>
        </w:rPr>
        <w:t>clúster</w:t>
      </w:r>
      <w:r>
        <w:rPr>
          <w:color w:val="231F20"/>
          <w:spacing w:val="-14"/>
        </w:rPr>
        <w:t> </w:t>
      </w:r>
      <w:r>
        <w:rPr>
          <w:color w:val="231F20"/>
        </w:rPr>
        <w:t>regional</w:t>
      </w:r>
      <w:r>
        <w:rPr>
          <w:color w:val="231F20"/>
          <w:spacing w:val="-14"/>
        </w:rPr>
        <w:t> </w:t>
      </w:r>
      <w:r>
        <w:rPr>
          <w:color w:val="231F20"/>
        </w:rPr>
        <w:t>del sector</w:t>
      </w:r>
      <w:r>
        <w:rPr>
          <w:color w:val="231F20"/>
          <w:spacing w:val="-8"/>
        </w:rPr>
        <w:t> </w:t>
      </w:r>
      <w:r>
        <w:rPr>
          <w:color w:val="231F20"/>
        </w:rPr>
        <w:t>que</w:t>
      </w:r>
      <w:r>
        <w:rPr>
          <w:color w:val="231F20"/>
          <w:spacing w:val="-8"/>
        </w:rPr>
        <w:t> </w:t>
      </w:r>
      <w:r>
        <w:rPr>
          <w:color w:val="231F20"/>
        </w:rPr>
        <w:t>comprende</w:t>
      </w:r>
      <w:r>
        <w:rPr>
          <w:color w:val="231F20"/>
          <w:spacing w:val="-8"/>
        </w:rPr>
        <w:t> </w:t>
      </w:r>
      <w:r>
        <w:rPr>
          <w:color w:val="231F20"/>
        </w:rPr>
        <w:t>sobre</w:t>
      </w:r>
      <w:r>
        <w:rPr>
          <w:color w:val="231F20"/>
          <w:spacing w:val="-8"/>
        </w:rPr>
        <w:t> </w:t>
      </w:r>
      <w:r>
        <w:rPr>
          <w:color w:val="231F20"/>
        </w:rPr>
        <w:t>todo</w:t>
      </w:r>
      <w:r>
        <w:rPr>
          <w:color w:val="231F20"/>
          <w:spacing w:val="-8"/>
        </w:rPr>
        <w:t> </w:t>
      </w:r>
      <w:r>
        <w:rPr>
          <w:color w:val="231F20"/>
        </w:rPr>
        <w:t>Saltillo</w:t>
      </w:r>
      <w:r>
        <w:rPr>
          <w:color w:val="231F20"/>
          <w:spacing w:val="-8"/>
        </w:rPr>
        <w:t> </w:t>
      </w:r>
      <w:r>
        <w:rPr>
          <w:color w:val="231F20"/>
        </w:rPr>
        <w:t>y</w:t>
      </w:r>
      <w:r>
        <w:rPr>
          <w:color w:val="231F20"/>
          <w:spacing w:val="-8"/>
        </w:rPr>
        <w:t> </w:t>
      </w:r>
      <w:r>
        <w:rPr>
          <w:color w:val="231F20"/>
        </w:rPr>
        <w:t>Ramos</w:t>
      </w:r>
      <w:r>
        <w:rPr>
          <w:color w:val="231F20"/>
          <w:spacing w:val="-8"/>
        </w:rPr>
        <w:t> </w:t>
      </w:r>
      <w:r>
        <w:rPr>
          <w:color w:val="231F20"/>
        </w:rPr>
        <w:t>Arizpe</w:t>
      </w:r>
      <w:r>
        <w:rPr>
          <w:color w:val="231F20"/>
          <w:spacing w:val="-8"/>
        </w:rPr>
        <w:t> </w:t>
      </w:r>
      <w:r>
        <w:rPr>
          <w:color w:val="231F20"/>
          <w:spacing w:val="-4"/>
        </w:rPr>
        <w:t>(Unger,</w:t>
      </w:r>
      <w:r>
        <w:rPr>
          <w:color w:val="231F20"/>
          <w:spacing w:val="-8"/>
        </w:rPr>
        <w:t> </w:t>
      </w:r>
      <w:r>
        <w:rPr>
          <w:color w:val="231F20"/>
        </w:rPr>
        <w:t>2004).</w:t>
      </w:r>
    </w:p>
    <w:p>
      <w:pPr>
        <w:pStyle w:val="BodyText"/>
        <w:spacing w:before="7"/>
        <w:rPr>
          <w:sz w:val="27"/>
        </w:rPr>
      </w:pPr>
      <w:r>
        <w:rPr/>
        <w:pict>
          <v:line style="position:absolute;mso-position-horizontal-relative:page;mso-position-vertical-relative:paragraph;z-index:9016;mso-wrap-distance-left:0;mso-wrap-distance-right:0" from="56.692902pt,18.086834pt" to="198.424902pt,18.086834pt" stroked="true" strokeweight=".5pt" strokecolor="#231f20">
            <w10:wrap type="topAndBottom"/>
          </v:line>
        </w:pict>
      </w:r>
    </w:p>
    <w:p>
      <w:pPr>
        <w:spacing w:line="288" w:lineRule="auto" w:before="43"/>
        <w:ind w:left="823" w:right="101" w:hanging="171"/>
        <w:jc w:val="both"/>
        <w:rPr>
          <w:sz w:val="16"/>
        </w:rPr>
      </w:pPr>
      <w:r>
        <w:rPr>
          <w:color w:val="231F20"/>
          <w:position w:val="5"/>
          <w:sz w:val="9"/>
        </w:rPr>
        <w:t>9</w:t>
      </w:r>
      <w:r>
        <w:rPr>
          <w:color w:val="231F20"/>
          <w:spacing w:val="6"/>
          <w:position w:val="5"/>
          <w:sz w:val="9"/>
        </w:rPr>
        <w:t> </w:t>
      </w:r>
      <w:r>
        <w:rPr>
          <w:color w:val="231F20"/>
          <w:sz w:val="16"/>
        </w:rPr>
        <w:t>En esta región se localiza Puebla, que también tienen una importante presencia del sector automotriz, específi- camente</w:t>
      </w:r>
      <w:r>
        <w:rPr>
          <w:color w:val="231F20"/>
          <w:spacing w:val="-8"/>
          <w:sz w:val="16"/>
        </w:rPr>
        <w:t> </w:t>
      </w:r>
      <w:r>
        <w:rPr>
          <w:color w:val="231F20"/>
          <w:sz w:val="16"/>
        </w:rPr>
        <w:t>con</w:t>
      </w:r>
      <w:r>
        <w:rPr>
          <w:color w:val="231F20"/>
          <w:spacing w:val="-8"/>
          <w:sz w:val="16"/>
        </w:rPr>
        <w:t> </w:t>
      </w:r>
      <w:r>
        <w:rPr>
          <w:color w:val="231F20"/>
          <w:sz w:val="16"/>
        </w:rPr>
        <w:t>Volkswagen;</w:t>
      </w:r>
      <w:r>
        <w:rPr>
          <w:color w:val="231F20"/>
          <w:spacing w:val="-8"/>
          <w:sz w:val="16"/>
        </w:rPr>
        <w:t> </w:t>
      </w:r>
      <w:r>
        <w:rPr>
          <w:color w:val="231F20"/>
          <w:sz w:val="16"/>
        </w:rPr>
        <w:t>sin</w:t>
      </w:r>
      <w:r>
        <w:rPr>
          <w:color w:val="231F20"/>
          <w:spacing w:val="-8"/>
          <w:sz w:val="16"/>
        </w:rPr>
        <w:t> </w:t>
      </w:r>
      <w:r>
        <w:rPr>
          <w:color w:val="231F20"/>
          <w:sz w:val="16"/>
        </w:rPr>
        <w:t>embargo,</w:t>
      </w:r>
      <w:r>
        <w:rPr>
          <w:color w:val="231F20"/>
          <w:spacing w:val="-8"/>
          <w:sz w:val="16"/>
        </w:rPr>
        <w:t> </w:t>
      </w:r>
      <w:r>
        <w:rPr>
          <w:color w:val="231F20"/>
          <w:sz w:val="16"/>
        </w:rPr>
        <w:t>se</w:t>
      </w:r>
      <w:r>
        <w:rPr>
          <w:color w:val="231F20"/>
          <w:spacing w:val="-8"/>
          <w:sz w:val="16"/>
        </w:rPr>
        <w:t> </w:t>
      </w:r>
      <w:r>
        <w:rPr>
          <w:color w:val="231F20"/>
          <w:sz w:val="16"/>
        </w:rPr>
        <w:t>consideran</w:t>
      </w:r>
      <w:r>
        <w:rPr>
          <w:color w:val="231F20"/>
          <w:spacing w:val="-8"/>
          <w:sz w:val="16"/>
        </w:rPr>
        <w:t> </w:t>
      </w:r>
      <w:r>
        <w:rPr>
          <w:color w:val="231F20"/>
          <w:sz w:val="16"/>
        </w:rPr>
        <w:t>los</w:t>
      </w:r>
      <w:r>
        <w:rPr>
          <w:color w:val="231F20"/>
          <w:spacing w:val="-8"/>
          <w:sz w:val="16"/>
        </w:rPr>
        <w:t> </w:t>
      </w:r>
      <w:r>
        <w:rPr>
          <w:color w:val="231F20"/>
          <w:sz w:val="16"/>
        </w:rPr>
        <w:t>casos</w:t>
      </w:r>
      <w:r>
        <w:rPr>
          <w:color w:val="231F20"/>
          <w:spacing w:val="-8"/>
          <w:sz w:val="16"/>
        </w:rPr>
        <w:t> </w:t>
      </w:r>
      <w:r>
        <w:rPr>
          <w:color w:val="231F20"/>
          <w:sz w:val="16"/>
        </w:rPr>
        <w:t>del</w:t>
      </w:r>
      <w:r>
        <w:rPr>
          <w:color w:val="231F20"/>
          <w:spacing w:val="-8"/>
          <w:sz w:val="16"/>
        </w:rPr>
        <w:t> </w:t>
      </w:r>
      <w:r>
        <w:rPr>
          <w:color w:val="231F20"/>
          <w:sz w:val="16"/>
        </w:rPr>
        <w:t>Estado</w:t>
      </w:r>
      <w:r>
        <w:rPr>
          <w:color w:val="231F20"/>
          <w:spacing w:val="-8"/>
          <w:sz w:val="16"/>
        </w:rPr>
        <w:t> </w:t>
      </w:r>
      <w:r>
        <w:rPr>
          <w:color w:val="231F20"/>
          <w:sz w:val="16"/>
        </w:rPr>
        <w:t>de</w:t>
      </w:r>
      <w:r>
        <w:rPr>
          <w:color w:val="231F20"/>
          <w:spacing w:val="-8"/>
          <w:sz w:val="16"/>
        </w:rPr>
        <w:t> </w:t>
      </w:r>
      <w:r>
        <w:rPr>
          <w:color w:val="231F20"/>
          <w:sz w:val="16"/>
        </w:rPr>
        <w:t>México</w:t>
      </w:r>
      <w:r>
        <w:rPr>
          <w:color w:val="231F20"/>
          <w:spacing w:val="-8"/>
          <w:sz w:val="16"/>
        </w:rPr>
        <w:t> </w:t>
      </w:r>
      <w:r>
        <w:rPr>
          <w:color w:val="231F20"/>
          <w:sz w:val="16"/>
        </w:rPr>
        <w:t>y</w:t>
      </w:r>
      <w:r>
        <w:rPr>
          <w:color w:val="231F20"/>
          <w:spacing w:val="-8"/>
          <w:sz w:val="16"/>
        </w:rPr>
        <w:t> </w:t>
      </w:r>
      <w:r>
        <w:rPr>
          <w:color w:val="231F20"/>
          <w:sz w:val="16"/>
        </w:rPr>
        <w:t>el</w:t>
      </w:r>
      <w:r>
        <w:rPr>
          <w:color w:val="231F20"/>
          <w:spacing w:val="-8"/>
          <w:sz w:val="16"/>
        </w:rPr>
        <w:t> </w:t>
      </w:r>
      <w:r>
        <w:rPr>
          <w:color w:val="231F20"/>
          <w:sz w:val="16"/>
        </w:rPr>
        <w:t>Distrito</w:t>
      </w:r>
      <w:r>
        <w:rPr>
          <w:color w:val="231F20"/>
          <w:spacing w:val="-8"/>
          <w:sz w:val="16"/>
        </w:rPr>
        <w:t> </w:t>
      </w:r>
      <w:r>
        <w:rPr>
          <w:color w:val="231F20"/>
          <w:sz w:val="16"/>
        </w:rPr>
        <w:t>Federal</w:t>
      </w:r>
      <w:r>
        <w:rPr>
          <w:color w:val="231F20"/>
          <w:spacing w:val="-8"/>
          <w:sz w:val="16"/>
        </w:rPr>
        <w:t> </w:t>
      </w:r>
      <w:r>
        <w:rPr>
          <w:color w:val="231F20"/>
          <w:sz w:val="16"/>
        </w:rPr>
        <w:t>por- que</w:t>
      </w:r>
      <w:r>
        <w:rPr>
          <w:color w:val="231F20"/>
          <w:spacing w:val="-6"/>
          <w:sz w:val="16"/>
        </w:rPr>
        <w:t> </w:t>
      </w:r>
      <w:r>
        <w:rPr>
          <w:color w:val="231F20"/>
          <w:sz w:val="16"/>
        </w:rPr>
        <w:t>en</w:t>
      </w:r>
      <w:r>
        <w:rPr>
          <w:color w:val="231F20"/>
          <w:spacing w:val="-6"/>
          <w:sz w:val="16"/>
        </w:rPr>
        <w:t> </w:t>
      </w:r>
      <w:r>
        <w:rPr>
          <w:color w:val="231F20"/>
          <w:sz w:val="16"/>
        </w:rPr>
        <w:t>estas</w:t>
      </w:r>
      <w:r>
        <w:rPr>
          <w:color w:val="231F20"/>
          <w:spacing w:val="-6"/>
          <w:sz w:val="16"/>
        </w:rPr>
        <w:t> </w:t>
      </w:r>
      <w:r>
        <w:rPr>
          <w:color w:val="231F20"/>
          <w:sz w:val="16"/>
        </w:rPr>
        <w:t>entidades</w:t>
      </w:r>
      <w:r>
        <w:rPr>
          <w:color w:val="231F20"/>
          <w:spacing w:val="-6"/>
          <w:sz w:val="16"/>
        </w:rPr>
        <w:t> </w:t>
      </w:r>
      <w:r>
        <w:rPr>
          <w:color w:val="231F20"/>
          <w:sz w:val="16"/>
        </w:rPr>
        <w:t>se</w:t>
      </w:r>
      <w:r>
        <w:rPr>
          <w:color w:val="231F20"/>
          <w:spacing w:val="-6"/>
          <w:sz w:val="16"/>
        </w:rPr>
        <w:t> </w:t>
      </w:r>
      <w:r>
        <w:rPr>
          <w:color w:val="231F20"/>
          <w:sz w:val="16"/>
        </w:rPr>
        <w:t>iniciaron</w:t>
      </w:r>
      <w:r>
        <w:rPr>
          <w:color w:val="231F20"/>
          <w:spacing w:val="-6"/>
          <w:sz w:val="16"/>
        </w:rPr>
        <w:t> </w:t>
      </w:r>
      <w:r>
        <w:rPr>
          <w:color w:val="231F20"/>
          <w:sz w:val="16"/>
        </w:rPr>
        <w:t>las</w:t>
      </w:r>
      <w:r>
        <w:rPr>
          <w:color w:val="231F20"/>
          <w:spacing w:val="-6"/>
          <w:sz w:val="16"/>
        </w:rPr>
        <w:t> </w:t>
      </w:r>
      <w:r>
        <w:rPr>
          <w:color w:val="231F20"/>
          <w:sz w:val="16"/>
        </w:rPr>
        <w:t>actividades</w:t>
      </w:r>
      <w:r>
        <w:rPr>
          <w:color w:val="231F20"/>
          <w:spacing w:val="-6"/>
          <w:sz w:val="16"/>
        </w:rPr>
        <w:t> </w:t>
      </w:r>
      <w:r>
        <w:rPr>
          <w:color w:val="231F20"/>
          <w:sz w:val="16"/>
        </w:rPr>
        <w:t>del</w:t>
      </w:r>
      <w:r>
        <w:rPr>
          <w:color w:val="231F20"/>
          <w:spacing w:val="-6"/>
          <w:sz w:val="16"/>
        </w:rPr>
        <w:t> </w:t>
      </w:r>
      <w:r>
        <w:rPr>
          <w:color w:val="231F20"/>
          <w:sz w:val="16"/>
        </w:rPr>
        <w:t>sector</w:t>
      </w:r>
      <w:r>
        <w:rPr>
          <w:color w:val="231F20"/>
          <w:spacing w:val="-6"/>
          <w:sz w:val="16"/>
        </w:rPr>
        <w:t> </w:t>
      </w:r>
      <w:r>
        <w:rPr>
          <w:color w:val="231F20"/>
          <w:sz w:val="16"/>
        </w:rPr>
        <w:t>en</w:t>
      </w:r>
      <w:r>
        <w:rPr>
          <w:color w:val="231F20"/>
          <w:spacing w:val="-6"/>
          <w:sz w:val="16"/>
        </w:rPr>
        <w:t> </w:t>
      </w:r>
      <w:r>
        <w:rPr>
          <w:color w:val="231F20"/>
          <w:sz w:val="16"/>
        </w:rPr>
        <w:t>México,</w:t>
      </w:r>
      <w:r>
        <w:rPr>
          <w:color w:val="231F20"/>
          <w:spacing w:val="-6"/>
          <w:sz w:val="16"/>
        </w:rPr>
        <w:t> </w:t>
      </w:r>
      <w:r>
        <w:rPr>
          <w:color w:val="231F20"/>
          <w:sz w:val="16"/>
        </w:rPr>
        <w:t>además</w:t>
      </w:r>
      <w:r>
        <w:rPr>
          <w:color w:val="231F20"/>
          <w:spacing w:val="-6"/>
          <w:sz w:val="16"/>
        </w:rPr>
        <w:t> </w:t>
      </w:r>
      <w:r>
        <w:rPr>
          <w:color w:val="231F20"/>
          <w:sz w:val="16"/>
        </w:rPr>
        <w:t>de</w:t>
      </w:r>
      <w:r>
        <w:rPr>
          <w:color w:val="231F20"/>
          <w:spacing w:val="-6"/>
          <w:sz w:val="16"/>
        </w:rPr>
        <w:t> </w:t>
      </w:r>
      <w:r>
        <w:rPr>
          <w:color w:val="231F20"/>
          <w:sz w:val="16"/>
        </w:rPr>
        <w:t>considerar</w:t>
      </w:r>
      <w:r>
        <w:rPr>
          <w:color w:val="231F20"/>
          <w:spacing w:val="-6"/>
          <w:sz w:val="16"/>
        </w:rPr>
        <w:t> </w:t>
      </w:r>
      <w:r>
        <w:rPr>
          <w:color w:val="231F20"/>
          <w:sz w:val="16"/>
        </w:rPr>
        <w:t>que</w:t>
      </w:r>
      <w:r>
        <w:rPr>
          <w:color w:val="231F20"/>
          <w:spacing w:val="-6"/>
          <w:sz w:val="16"/>
        </w:rPr>
        <w:t> </w:t>
      </w:r>
      <w:r>
        <w:rPr>
          <w:color w:val="231F20"/>
          <w:spacing w:val="-3"/>
          <w:sz w:val="16"/>
        </w:rPr>
        <w:t>Volkswagen </w:t>
      </w:r>
      <w:r>
        <w:rPr>
          <w:color w:val="231F20"/>
          <w:sz w:val="16"/>
        </w:rPr>
        <w:t>antes</w:t>
      </w:r>
      <w:r>
        <w:rPr>
          <w:color w:val="231F20"/>
          <w:spacing w:val="-4"/>
          <w:sz w:val="16"/>
        </w:rPr>
        <w:t> </w:t>
      </w:r>
      <w:r>
        <w:rPr>
          <w:color w:val="231F20"/>
          <w:sz w:val="16"/>
        </w:rPr>
        <w:t>de</w:t>
      </w:r>
      <w:r>
        <w:rPr>
          <w:color w:val="231F20"/>
          <w:spacing w:val="-4"/>
          <w:sz w:val="16"/>
        </w:rPr>
        <w:t> </w:t>
      </w:r>
      <w:r>
        <w:rPr>
          <w:color w:val="231F20"/>
          <w:sz w:val="16"/>
        </w:rPr>
        <w:t>pasar</w:t>
      </w:r>
      <w:r>
        <w:rPr>
          <w:color w:val="231F20"/>
          <w:spacing w:val="-4"/>
          <w:sz w:val="16"/>
        </w:rPr>
        <w:t> </w:t>
      </w:r>
      <w:r>
        <w:rPr>
          <w:color w:val="231F20"/>
          <w:sz w:val="16"/>
        </w:rPr>
        <w:t>sus</w:t>
      </w:r>
      <w:r>
        <w:rPr>
          <w:color w:val="231F20"/>
          <w:spacing w:val="-4"/>
          <w:sz w:val="16"/>
        </w:rPr>
        <w:t> </w:t>
      </w:r>
      <w:r>
        <w:rPr>
          <w:color w:val="231F20"/>
          <w:sz w:val="16"/>
        </w:rPr>
        <w:t>instalaciones</w:t>
      </w:r>
      <w:r>
        <w:rPr>
          <w:color w:val="231F20"/>
          <w:spacing w:val="-4"/>
          <w:sz w:val="16"/>
        </w:rPr>
        <w:t> </w:t>
      </w:r>
      <w:r>
        <w:rPr>
          <w:color w:val="231F20"/>
          <w:sz w:val="16"/>
        </w:rPr>
        <w:t>a</w:t>
      </w:r>
      <w:r>
        <w:rPr>
          <w:color w:val="231F20"/>
          <w:spacing w:val="-4"/>
          <w:sz w:val="16"/>
        </w:rPr>
        <w:t> </w:t>
      </w:r>
      <w:r>
        <w:rPr>
          <w:color w:val="231F20"/>
          <w:sz w:val="16"/>
        </w:rPr>
        <w:t>la</w:t>
      </w:r>
      <w:r>
        <w:rPr>
          <w:color w:val="231F20"/>
          <w:spacing w:val="-4"/>
          <w:sz w:val="16"/>
        </w:rPr>
        <w:t> </w:t>
      </w:r>
      <w:r>
        <w:rPr>
          <w:color w:val="231F20"/>
          <w:sz w:val="16"/>
        </w:rPr>
        <w:t>ciudad</w:t>
      </w:r>
      <w:r>
        <w:rPr>
          <w:color w:val="231F20"/>
          <w:spacing w:val="-4"/>
          <w:sz w:val="16"/>
        </w:rPr>
        <w:t> </w:t>
      </w:r>
      <w:r>
        <w:rPr>
          <w:color w:val="231F20"/>
          <w:sz w:val="16"/>
        </w:rPr>
        <w:t>de</w:t>
      </w:r>
      <w:r>
        <w:rPr>
          <w:color w:val="231F20"/>
          <w:spacing w:val="-4"/>
          <w:sz w:val="16"/>
        </w:rPr>
        <w:t> </w:t>
      </w:r>
      <w:r>
        <w:rPr>
          <w:color w:val="231F20"/>
          <w:sz w:val="16"/>
        </w:rPr>
        <w:t>Puebla,</w:t>
      </w:r>
      <w:r>
        <w:rPr>
          <w:color w:val="231F20"/>
          <w:spacing w:val="-4"/>
          <w:sz w:val="16"/>
        </w:rPr>
        <w:t> </w:t>
      </w:r>
      <w:r>
        <w:rPr>
          <w:color w:val="231F20"/>
          <w:sz w:val="16"/>
        </w:rPr>
        <w:t>donde</w:t>
      </w:r>
      <w:r>
        <w:rPr>
          <w:color w:val="231F20"/>
          <w:spacing w:val="-4"/>
          <w:sz w:val="16"/>
        </w:rPr>
        <w:t> </w:t>
      </w:r>
      <w:r>
        <w:rPr>
          <w:color w:val="231F20"/>
          <w:sz w:val="16"/>
        </w:rPr>
        <w:t>hoy</w:t>
      </w:r>
      <w:r>
        <w:rPr>
          <w:color w:val="231F20"/>
          <w:spacing w:val="-4"/>
          <w:sz w:val="16"/>
        </w:rPr>
        <w:t> </w:t>
      </w:r>
      <w:r>
        <w:rPr>
          <w:color w:val="231F20"/>
          <w:sz w:val="16"/>
        </w:rPr>
        <w:t>concentra</w:t>
      </w:r>
      <w:r>
        <w:rPr>
          <w:color w:val="231F20"/>
          <w:spacing w:val="-4"/>
          <w:sz w:val="16"/>
        </w:rPr>
        <w:t> </w:t>
      </w:r>
      <w:r>
        <w:rPr>
          <w:color w:val="231F20"/>
          <w:sz w:val="16"/>
        </w:rPr>
        <w:t>toda</w:t>
      </w:r>
      <w:r>
        <w:rPr>
          <w:color w:val="231F20"/>
          <w:spacing w:val="-4"/>
          <w:sz w:val="16"/>
        </w:rPr>
        <w:t> </w:t>
      </w:r>
      <w:r>
        <w:rPr>
          <w:color w:val="231F20"/>
          <w:sz w:val="16"/>
        </w:rPr>
        <w:t>su</w:t>
      </w:r>
      <w:r>
        <w:rPr>
          <w:color w:val="231F20"/>
          <w:spacing w:val="-4"/>
          <w:sz w:val="16"/>
        </w:rPr>
        <w:t> </w:t>
      </w:r>
      <w:r>
        <w:rPr>
          <w:color w:val="231F20"/>
          <w:sz w:val="16"/>
        </w:rPr>
        <w:t>producción,</w:t>
      </w:r>
      <w:r>
        <w:rPr>
          <w:color w:val="231F20"/>
          <w:spacing w:val="-4"/>
          <w:sz w:val="16"/>
        </w:rPr>
        <w:t> </w:t>
      </w:r>
      <w:r>
        <w:rPr>
          <w:color w:val="231F20"/>
          <w:sz w:val="16"/>
        </w:rPr>
        <w:t>originalmente se</w:t>
      </w:r>
      <w:r>
        <w:rPr>
          <w:color w:val="231F20"/>
          <w:spacing w:val="-12"/>
          <w:sz w:val="16"/>
        </w:rPr>
        <w:t> </w:t>
      </w:r>
      <w:r>
        <w:rPr>
          <w:color w:val="231F20"/>
          <w:sz w:val="16"/>
        </w:rPr>
        <w:t>instaló</w:t>
      </w:r>
      <w:r>
        <w:rPr>
          <w:color w:val="231F20"/>
          <w:spacing w:val="-12"/>
          <w:sz w:val="16"/>
        </w:rPr>
        <w:t> </w:t>
      </w:r>
      <w:r>
        <w:rPr>
          <w:color w:val="231F20"/>
          <w:sz w:val="16"/>
        </w:rPr>
        <w:t>en</w:t>
      </w:r>
      <w:r>
        <w:rPr>
          <w:color w:val="231F20"/>
          <w:spacing w:val="-12"/>
          <w:sz w:val="16"/>
        </w:rPr>
        <w:t> </w:t>
      </w:r>
      <w:r>
        <w:rPr>
          <w:color w:val="231F20"/>
          <w:sz w:val="16"/>
        </w:rPr>
        <w:t>Xalostoc,</w:t>
      </w:r>
      <w:r>
        <w:rPr>
          <w:color w:val="231F20"/>
          <w:spacing w:val="-12"/>
          <w:sz w:val="16"/>
        </w:rPr>
        <w:t> </w:t>
      </w:r>
      <w:r>
        <w:rPr>
          <w:color w:val="231F20"/>
          <w:sz w:val="16"/>
        </w:rPr>
        <w:t>Estado</w:t>
      </w:r>
      <w:r>
        <w:rPr>
          <w:color w:val="231F20"/>
          <w:spacing w:val="-12"/>
          <w:sz w:val="16"/>
        </w:rPr>
        <w:t> </w:t>
      </w:r>
      <w:r>
        <w:rPr>
          <w:color w:val="231F20"/>
          <w:sz w:val="16"/>
        </w:rPr>
        <w:t>de</w:t>
      </w:r>
      <w:r>
        <w:rPr>
          <w:color w:val="231F20"/>
          <w:spacing w:val="-12"/>
          <w:sz w:val="16"/>
        </w:rPr>
        <w:t> </w:t>
      </w:r>
      <w:r>
        <w:rPr>
          <w:color w:val="231F20"/>
          <w:sz w:val="16"/>
        </w:rPr>
        <w:t>México.</w:t>
      </w:r>
    </w:p>
    <w:p>
      <w:pPr>
        <w:spacing w:after="0" w:line="288" w:lineRule="auto"/>
        <w:jc w:val="both"/>
        <w:rPr>
          <w:sz w:val="16"/>
        </w:rPr>
        <w:sectPr>
          <w:footerReference w:type="even" r:id="rId187"/>
          <w:pgSz w:w="9640" w:h="13040"/>
          <w:pgMar w:footer="654" w:header="581" w:top="780" w:bottom="840" w:left="480" w:right="1200"/>
        </w:sectPr>
      </w:pPr>
    </w:p>
    <w:p>
      <w:pPr>
        <w:pStyle w:val="BodyText"/>
        <w:rPr>
          <w:sz w:val="20"/>
        </w:rPr>
      </w:pPr>
      <w:r>
        <w:rPr/>
        <w:pict>
          <v:shape style="position:absolute;margin-left:606.909912pt;margin-top:109.614304pt;width:20.1pt;height:271.2pt;mso-position-horizontal-relative:page;mso-position-vertical-relative:page;z-index:9064"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2"/>
                      <w:sz w:val="16"/>
                    </w:rPr>
                    <w:t>III.</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r>
                    <w:rPr>
                      <w:rFonts w:ascii="Palatino Linotype" w:hAnsi="Palatino Linotype"/>
                      <w:color w:val="231F20"/>
                      <w:spacing w:val="-4"/>
                      <w:sz w:val="16"/>
                    </w:rPr>
                    <w:t> </w:t>
                  </w: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2"/>
                      <w:w w:val="100"/>
                      <w:sz w:val="16"/>
                    </w:rPr>
                    <w:t>e</w:t>
                  </w:r>
                  <w:r>
                    <w:rPr>
                      <w:rFonts w:ascii="Palatino Linotype" w:hAnsi="Palatino Linotype"/>
                      <w:color w:val="231F20"/>
                      <w:spacing w:val="-6"/>
                      <w:w w:val="100"/>
                      <w:sz w:val="16"/>
                    </w:rPr>
                    <w:t>v</w:t>
                  </w:r>
                  <w:r>
                    <w:rPr>
                      <w:rFonts w:ascii="Palatino Linotype" w:hAnsi="Palatino Linotype"/>
                      <w:color w:val="231F20"/>
                      <w:spacing w:val="-1"/>
                      <w:w w:val="106"/>
                      <w:sz w:val="16"/>
                    </w:rPr>
                    <w:t>o</w:t>
                  </w:r>
                  <w:r>
                    <w:rPr>
                      <w:rFonts w:ascii="Palatino Linotype" w:hAnsi="Palatino Linotype"/>
                      <w:color w:val="231F20"/>
                      <w:spacing w:val="-4"/>
                      <w:w w:val="158"/>
                      <w:sz w:val="16"/>
                    </w:rPr>
                    <w:t>l</w:t>
                  </w:r>
                  <w:r>
                    <w:rPr>
                      <w:rFonts w:ascii="Palatino Linotype" w:hAnsi="Palatino Linotype"/>
                      <w:color w:val="231F20"/>
                      <w:w w:val="106"/>
                      <w:sz w:val="16"/>
                    </w:rPr>
                    <w:t>uci</w:t>
                  </w:r>
                  <w:r>
                    <w:rPr>
                      <w:rFonts w:ascii="Palatino Linotype" w:hAnsi="Palatino Linotype"/>
                      <w:color w:val="231F20"/>
                      <w:spacing w:val="-1"/>
                      <w:w w:val="106"/>
                      <w:sz w:val="16"/>
                    </w:rPr>
                    <w:t>ó</w:t>
                  </w:r>
                  <w:r>
                    <w:rPr>
                      <w:rFonts w:ascii="Palatino Linotype" w:hAnsi="Palatino Linotype"/>
                      <w:color w:val="231F20"/>
                      <w:w w:val="97"/>
                      <w:sz w:val="16"/>
                    </w:rPr>
                    <w:t>n,</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w w:val="107"/>
                      <w:sz w:val="16"/>
                    </w:rPr>
                    <w:t>ten</w:t>
                  </w:r>
                  <w:r>
                    <w:rPr>
                      <w:rFonts w:ascii="Palatino Linotype" w:hAnsi="Palatino Linotype"/>
                      <w:color w:val="231F20"/>
                      <w:spacing w:val="-1"/>
                      <w:w w:val="107"/>
                      <w:sz w:val="16"/>
                    </w:rPr>
                    <w:t>d</w:t>
                  </w:r>
                  <w:r>
                    <w:rPr>
                      <w:rFonts w:ascii="Palatino Linotype" w:hAnsi="Palatino Linotype"/>
                      <w:color w:val="231F20"/>
                      <w:w w:val="105"/>
                      <w:sz w:val="16"/>
                    </w:rPr>
                    <w:t>enc</w:t>
                  </w:r>
                  <w:r>
                    <w:rPr>
                      <w:rFonts w:ascii="Palatino Linotype" w:hAnsi="Palatino Linotype"/>
                      <w:color w:val="231F20"/>
                      <w:spacing w:val="-3"/>
                      <w:w w:val="105"/>
                      <w:sz w:val="16"/>
                    </w:rPr>
                    <w:t>i</w:t>
                  </w:r>
                  <w:r>
                    <w:rPr>
                      <w:rFonts w:ascii="Palatino Linotype" w:hAnsi="Palatino Linotype"/>
                      <w:color w:val="231F20"/>
                      <w:spacing w:val="-2"/>
                      <w:w w:val="113"/>
                      <w:sz w:val="16"/>
                    </w:rPr>
                    <w:t>a</w:t>
                  </w:r>
                  <w:r>
                    <w:rPr>
                      <w:rFonts w:ascii="Palatino Linotype" w:hAnsi="Palatino Linotype"/>
                      <w:color w:val="231F20"/>
                      <w:w w:val="96"/>
                      <w:sz w:val="16"/>
                    </w:rPr>
                    <w:t>s</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w w:val="126"/>
                      <w:sz w:val="16"/>
                    </w:rPr>
                    <w:t>c</w:t>
                  </w:r>
                  <w:r>
                    <w:rPr>
                      <w:rFonts w:ascii="Palatino Linotype" w:hAnsi="Palatino Linotype"/>
                      <w:color w:val="231F20"/>
                      <w:spacing w:val="-2"/>
                      <w:w w:val="126"/>
                      <w:sz w:val="16"/>
                    </w:rPr>
                    <w:t>r</w:t>
                  </w:r>
                  <w:r>
                    <w:rPr>
                      <w:rFonts w:ascii="Palatino Linotype" w:hAnsi="Palatino Linotype"/>
                      <w:color w:val="231F20"/>
                      <w:w w:val="103"/>
                      <w:sz w:val="16"/>
                    </w:rPr>
                    <w:t>ecimien</w:t>
                  </w:r>
                  <w:r>
                    <w:rPr>
                      <w:rFonts w:ascii="Palatino Linotype" w:hAnsi="Palatino Linotype"/>
                      <w:color w:val="231F20"/>
                      <w:spacing w:val="-1"/>
                      <w:w w:val="103"/>
                      <w:sz w:val="16"/>
                    </w:rPr>
                    <w:t>t</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9.979095pt;width:14pt;height:13.7pt;mso-position-horizontal-relative:page;mso-position-vertical-relative:page;z-index:9088" type="#_x0000_t202" filled="false" stroked="false">
            <v:textbox inset="0,0,0,0" style="layout-flow:vertical">
              <w:txbxContent>
                <w:p>
                  <w:pPr>
                    <w:spacing w:line="248" w:lineRule="exact" w:before="0"/>
                    <w:ind w:left="20" w:right="-110" w:firstLine="0"/>
                    <w:jc w:val="left"/>
                    <w:rPr>
                      <w:sz w:val="24"/>
                    </w:rPr>
                  </w:pPr>
                  <w:r>
                    <w:rPr>
                      <w:color w:val="231F20"/>
                      <w:w w:val="97"/>
                      <w:sz w:val="24"/>
                    </w:rPr>
                    <w:t>91</w:t>
                  </w:r>
                </w:p>
              </w:txbxContent>
            </v:textbox>
            <w10:wrap type="none"/>
          </v:shape>
        </w:pict>
      </w:r>
    </w:p>
    <w:p>
      <w:pPr>
        <w:pStyle w:val="BodyText"/>
        <w:spacing w:before="7"/>
        <w:rPr>
          <w:sz w:val="24"/>
        </w:rPr>
      </w:pPr>
    </w:p>
    <w:p>
      <w:pPr>
        <w:pStyle w:val="Heading4"/>
        <w:spacing w:before="34"/>
        <w:ind w:left="4761" w:right="4258"/>
      </w:pPr>
      <w:r>
        <w:rPr>
          <w:color w:val="231F20"/>
          <w:w w:val="95"/>
        </w:rPr>
        <w:t>Figura III.2</w:t>
      </w:r>
    </w:p>
    <w:p>
      <w:pPr>
        <w:spacing w:line="282" w:lineRule="exact" w:before="0"/>
        <w:ind w:left="622" w:right="0" w:firstLine="0"/>
        <w:jc w:val="left"/>
        <w:rPr>
          <w:rFonts w:ascii="Palatino Linotype" w:hAnsi="Palatino Linotype"/>
          <w:b/>
          <w:sz w:val="21"/>
        </w:rPr>
      </w:pPr>
      <w:r>
        <w:rPr/>
        <w:drawing>
          <wp:anchor distT="0" distB="0" distL="0" distR="0" allowOverlap="1" layoutInCell="1" locked="0" behindDoc="0" simplePos="0" relativeHeight="9040">
            <wp:simplePos x="0" y="0"/>
            <wp:positionH relativeFrom="page">
              <wp:posOffset>1080008</wp:posOffset>
            </wp:positionH>
            <wp:positionV relativeFrom="paragraph">
              <wp:posOffset>266054</wp:posOffset>
            </wp:positionV>
            <wp:extent cx="5947412" cy="4407408"/>
            <wp:effectExtent l="0" t="0" r="0" b="0"/>
            <wp:wrapTopAndBottom/>
            <wp:docPr id="19" name="image122.png" descr=""/>
            <wp:cNvGraphicFramePr>
              <a:graphicFrameLocks noChangeAspect="1"/>
            </wp:cNvGraphicFramePr>
            <a:graphic>
              <a:graphicData uri="http://schemas.openxmlformats.org/drawingml/2006/picture">
                <pic:pic>
                  <pic:nvPicPr>
                    <pic:cNvPr id="20" name="image122.png"/>
                    <pic:cNvPicPr/>
                  </pic:nvPicPr>
                  <pic:blipFill>
                    <a:blip r:embed="rId190" cstate="print"/>
                    <a:stretch>
                      <a:fillRect/>
                    </a:stretch>
                  </pic:blipFill>
                  <pic:spPr>
                    <a:xfrm>
                      <a:off x="0" y="0"/>
                      <a:ext cx="5947412" cy="4407408"/>
                    </a:xfrm>
                    <a:prstGeom prst="rect">
                      <a:avLst/>
                    </a:prstGeom>
                  </pic:spPr>
                </pic:pic>
              </a:graphicData>
            </a:graphic>
          </wp:anchor>
        </w:drawing>
      </w:r>
      <w:r>
        <w:rPr>
          <w:rFonts w:ascii="Palatino Linotype" w:hAnsi="Palatino Linotype"/>
          <w:b/>
          <w:color w:val="231F20"/>
          <w:w w:val="90"/>
          <w:sz w:val="21"/>
        </w:rPr>
        <w:t>Distribución geográfica de las empresas de autopartes de primer nivel localizadas en la zona norte de México</w:t>
      </w:r>
    </w:p>
    <w:p>
      <w:pPr>
        <w:pStyle w:val="BodyText"/>
        <w:spacing w:before="7"/>
        <w:rPr>
          <w:rFonts w:ascii="Palatino Linotype"/>
          <w:b/>
          <w:sz w:val="18"/>
        </w:rPr>
      </w:pPr>
    </w:p>
    <w:p>
      <w:pPr>
        <w:spacing w:line="283" w:lineRule="auto" w:before="1"/>
        <w:ind w:left="103" w:right="0" w:firstLine="0"/>
        <w:jc w:val="left"/>
        <w:rPr>
          <w:sz w:val="19"/>
        </w:rPr>
      </w:pPr>
      <w:r>
        <w:rPr>
          <w:rFonts w:ascii="Palatino Linotype" w:hAnsi="Palatino Linotype"/>
          <w:i/>
          <w:color w:val="231F20"/>
          <w:sz w:val="19"/>
        </w:rPr>
        <w:t>Fuente:</w:t>
      </w:r>
      <w:r>
        <w:rPr>
          <w:rFonts w:ascii="Palatino Linotype" w:hAnsi="Palatino Linotype"/>
          <w:i/>
          <w:color w:val="231F20"/>
          <w:spacing w:val="-7"/>
          <w:sz w:val="19"/>
        </w:rPr>
        <w:t> </w:t>
      </w:r>
      <w:r>
        <w:rPr>
          <w:color w:val="231F20"/>
          <w:sz w:val="19"/>
        </w:rPr>
        <w:t>Elaboración</w:t>
      </w:r>
      <w:r>
        <w:rPr>
          <w:color w:val="231F20"/>
          <w:spacing w:val="-8"/>
          <w:sz w:val="19"/>
        </w:rPr>
        <w:t> </w:t>
      </w:r>
      <w:r>
        <w:rPr>
          <w:color w:val="231F20"/>
          <w:sz w:val="19"/>
        </w:rPr>
        <w:t>propia</w:t>
      </w:r>
      <w:r>
        <w:rPr>
          <w:color w:val="231F20"/>
          <w:spacing w:val="-8"/>
          <w:sz w:val="19"/>
        </w:rPr>
        <w:t> </w:t>
      </w:r>
      <w:r>
        <w:rPr>
          <w:color w:val="231F20"/>
          <w:sz w:val="19"/>
        </w:rPr>
        <w:t>con</w:t>
      </w:r>
      <w:r>
        <w:rPr>
          <w:color w:val="231F20"/>
          <w:spacing w:val="-8"/>
          <w:sz w:val="19"/>
        </w:rPr>
        <w:t> </w:t>
      </w:r>
      <w:r>
        <w:rPr>
          <w:color w:val="231F20"/>
          <w:spacing w:val="-2"/>
          <w:sz w:val="19"/>
        </w:rPr>
        <w:t>ArcMap</w:t>
      </w:r>
      <w:r>
        <w:rPr>
          <w:color w:val="231F20"/>
          <w:spacing w:val="-8"/>
          <w:sz w:val="19"/>
        </w:rPr>
        <w:t> </w:t>
      </w:r>
      <w:r>
        <w:rPr>
          <w:color w:val="231F20"/>
          <w:sz w:val="19"/>
        </w:rPr>
        <w:t>10.1</w:t>
      </w:r>
      <w:r>
        <w:rPr>
          <w:color w:val="231F20"/>
          <w:spacing w:val="-8"/>
          <w:sz w:val="19"/>
        </w:rPr>
        <w:t> </w:t>
      </w:r>
      <w:r>
        <w:rPr>
          <w:color w:val="231F20"/>
          <w:sz w:val="19"/>
        </w:rPr>
        <w:t>y</w:t>
      </w:r>
      <w:r>
        <w:rPr>
          <w:color w:val="231F20"/>
          <w:spacing w:val="-8"/>
          <w:sz w:val="19"/>
        </w:rPr>
        <w:t> </w:t>
      </w:r>
      <w:r>
        <w:rPr>
          <w:color w:val="231F20"/>
          <w:sz w:val="19"/>
        </w:rPr>
        <w:t>con</w:t>
      </w:r>
      <w:r>
        <w:rPr>
          <w:color w:val="231F20"/>
          <w:spacing w:val="-8"/>
          <w:sz w:val="19"/>
        </w:rPr>
        <w:t> </w:t>
      </w:r>
      <w:r>
        <w:rPr>
          <w:color w:val="231F20"/>
          <w:sz w:val="19"/>
        </w:rPr>
        <w:t>información</w:t>
      </w:r>
      <w:r>
        <w:rPr>
          <w:color w:val="231F20"/>
          <w:spacing w:val="-8"/>
          <w:sz w:val="19"/>
        </w:rPr>
        <w:t> </w:t>
      </w:r>
      <w:r>
        <w:rPr>
          <w:color w:val="231F20"/>
          <w:sz w:val="19"/>
        </w:rPr>
        <w:t>de</w:t>
      </w:r>
      <w:r>
        <w:rPr>
          <w:color w:val="231F20"/>
          <w:spacing w:val="-7"/>
          <w:sz w:val="19"/>
        </w:rPr>
        <w:t> </w:t>
      </w:r>
      <w:r>
        <w:rPr>
          <w:color w:val="231F20"/>
          <w:sz w:val="19"/>
        </w:rPr>
        <w:t>AMIA</w:t>
      </w:r>
      <w:r>
        <w:rPr>
          <w:color w:val="231F20"/>
          <w:spacing w:val="-8"/>
          <w:sz w:val="19"/>
        </w:rPr>
        <w:t> </w:t>
      </w:r>
      <w:r>
        <w:rPr>
          <w:color w:val="231F20"/>
          <w:sz w:val="19"/>
        </w:rPr>
        <w:t>/</w:t>
      </w:r>
      <w:r>
        <w:rPr>
          <w:color w:val="231F20"/>
          <w:spacing w:val="-8"/>
          <w:sz w:val="19"/>
        </w:rPr>
        <w:t> </w:t>
      </w:r>
      <w:r>
        <w:rPr>
          <w:color w:val="231F20"/>
          <w:sz w:val="19"/>
        </w:rPr>
        <w:t>Secretaría</w:t>
      </w:r>
      <w:r>
        <w:rPr>
          <w:color w:val="231F20"/>
          <w:spacing w:val="-8"/>
          <w:sz w:val="19"/>
        </w:rPr>
        <w:t> </w:t>
      </w:r>
      <w:r>
        <w:rPr>
          <w:color w:val="231F20"/>
          <w:sz w:val="19"/>
        </w:rPr>
        <w:t>de</w:t>
      </w:r>
      <w:r>
        <w:rPr>
          <w:color w:val="231F20"/>
          <w:spacing w:val="-8"/>
          <w:sz w:val="19"/>
        </w:rPr>
        <w:t> </w:t>
      </w:r>
      <w:r>
        <w:rPr>
          <w:color w:val="231F20"/>
          <w:sz w:val="19"/>
        </w:rPr>
        <w:t>Economía</w:t>
      </w:r>
      <w:r>
        <w:rPr>
          <w:color w:val="231F20"/>
          <w:spacing w:val="-8"/>
          <w:sz w:val="19"/>
        </w:rPr>
        <w:t> </w:t>
      </w:r>
      <w:r>
        <w:rPr>
          <w:color w:val="231F20"/>
          <w:sz w:val="19"/>
        </w:rPr>
        <w:t>/</w:t>
      </w:r>
      <w:r>
        <w:rPr>
          <w:color w:val="231F20"/>
          <w:spacing w:val="-8"/>
          <w:sz w:val="19"/>
        </w:rPr>
        <w:t> </w:t>
      </w:r>
      <w:r>
        <w:rPr>
          <w:color w:val="231F20"/>
          <w:sz w:val="19"/>
        </w:rPr>
        <w:t>Tecnológico</w:t>
      </w:r>
      <w:r>
        <w:rPr>
          <w:color w:val="231F20"/>
          <w:spacing w:val="-8"/>
          <w:sz w:val="19"/>
        </w:rPr>
        <w:t> </w:t>
      </w:r>
      <w:r>
        <w:rPr>
          <w:color w:val="231F20"/>
          <w:sz w:val="19"/>
        </w:rPr>
        <w:t>de</w:t>
      </w:r>
      <w:r>
        <w:rPr>
          <w:color w:val="231F20"/>
          <w:spacing w:val="-8"/>
          <w:sz w:val="19"/>
        </w:rPr>
        <w:t> </w:t>
      </w:r>
      <w:r>
        <w:rPr>
          <w:color w:val="231F20"/>
          <w:sz w:val="19"/>
        </w:rPr>
        <w:t>Monterrey</w:t>
      </w:r>
      <w:r>
        <w:rPr>
          <w:color w:val="231F20"/>
          <w:spacing w:val="-8"/>
          <w:sz w:val="19"/>
        </w:rPr>
        <w:t> </w:t>
      </w:r>
      <w:r>
        <w:rPr>
          <w:color w:val="231F20"/>
          <w:sz w:val="19"/>
        </w:rPr>
        <w:t>/ Desarrollo</w:t>
      </w:r>
      <w:r>
        <w:rPr>
          <w:color w:val="231F20"/>
          <w:spacing w:val="-11"/>
          <w:sz w:val="19"/>
        </w:rPr>
        <w:t> </w:t>
      </w:r>
      <w:r>
        <w:rPr>
          <w:color w:val="231F20"/>
          <w:sz w:val="19"/>
        </w:rPr>
        <w:t>Económico</w:t>
      </w:r>
      <w:r>
        <w:rPr>
          <w:color w:val="231F20"/>
          <w:spacing w:val="-11"/>
          <w:sz w:val="19"/>
        </w:rPr>
        <w:t> </w:t>
      </w:r>
      <w:r>
        <w:rPr>
          <w:color w:val="231F20"/>
          <w:sz w:val="19"/>
        </w:rPr>
        <w:t>/</w:t>
      </w:r>
      <w:r>
        <w:rPr>
          <w:color w:val="231F20"/>
          <w:spacing w:val="-11"/>
          <w:sz w:val="19"/>
        </w:rPr>
        <w:t> </w:t>
      </w:r>
      <w:r>
        <w:rPr>
          <w:color w:val="231F20"/>
          <w:sz w:val="19"/>
        </w:rPr>
        <w:t>Asociación</w:t>
      </w:r>
      <w:r>
        <w:rPr>
          <w:color w:val="231F20"/>
          <w:spacing w:val="-11"/>
          <w:sz w:val="19"/>
        </w:rPr>
        <w:t> </w:t>
      </w:r>
      <w:r>
        <w:rPr>
          <w:color w:val="231F20"/>
          <w:sz w:val="19"/>
        </w:rPr>
        <w:t>Mexicana</w:t>
      </w:r>
      <w:r>
        <w:rPr>
          <w:color w:val="231F20"/>
          <w:spacing w:val="-11"/>
          <w:sz w:val="19"/>
        </w:rPr>
        <w:t> </w:t>
      </w:r>
      <w:r>
        <w:rPr>
          <w:color w:val="231F20"/>
          <w:sz w:val="19"/>
        </w:rPr>
        <w:t>de</w:t>
      </w:r>
      <w:r>
        <w:rPr>
          <w:color w:val="231F20"/>
          <w:spacing w:val="-11"/>
          <w:sz w:val="19"/>
        </w:rPr>
        <w:t> </w:t>
      </w:r>
      <w:r>
        <w:rPr>
          <w:color w:val="231F20"/>
          <w:sz w:val="19"/>
        </w:rPr>
        <w:t>Secretarios</w:t>
      </w:r>
      <w:r>
        <w:rPr>
          <w:color w:val="231F20"/>
          <w:spacing w:val="-11"/>
          <w:sz w:val="19"/>
        </w:rPr>
        <w:t> </w:t>
      </w:r>
      <w:r>
        <w:rPr>
          <w:color w:val="231F20"/>
          <w:sz w:val="19"/>
        </w:rPr>
        <w:t>de</w:t>
      </w:r>
      <w:r>
        <w:rPr>
          <w:color w:val="231F20"/>
          <w:spacing w:val="-11"/>
          <w:sz w:val="19"/>
        </w:rPr>
        <w:t> </w:t>
      </w:r>
      <w:r>
        <w:rPr>
          <w:color w:val="231F20"/>
          <w:sz w:val="19"/>
        </w:rPr>
        <w:t>Desarrollo</w:t>
      </w:r>
      <w:r>
        <w:rPr>
          <w:color w:val="231F20"/>
          <w:spacing w:val="-11"/>
          <w:sz w:val="19"/>
        </w:rPr>
        <w:t> </w:t>
      </w:r>
      <w:r>
        <w:rPr>
          <w:color w:val="231F20"/>
          <w:sz w:val="19"/>
        </w:rPr>
        <w:t>Económico</w:t>
      </w:r>
      <w:r>
        <w:rPr>
          <w:color w:val="231F20"/>
          <w:spacing w:val="-11"/>
          <w:sz w:val="19"/>
        </w:rPr>
        <w:t> </w:t>
      </w:r>
      <w:r>
        <w:rPr>
          <w:color w:val="231F20"/>
          <w:sz w:val="19"/>
        </w:rPr>
        <w:t>(2006).</w:t>
      </w:r>
    </w:p>
    <w:p>
      <w:pPr>
        <w:spacing w:after="0" w:line="283" w:lineRule="auto"/>
        <w:jc w:val="left"/>
        <w:rPr>
          <w:sz w:val="19"/>
        </w:rPr>
        <w:sectPr>
          <w:headerReference w:type="default" r:id="rId188"/>
          <w:footerReference w:type="default" r:id="rId189"/>
          <w:pgSz w:w="13040" w:h="9640" w:orient="landscape"/>
          <w:pgMar w:header="0" w:footer="0" w:top="0" w:bottom="280" w:left="1200" w:right="1760"/>
        </w:sectPr>
      </w:pPr>
    </w:p>
    <w:p>
      <w:pPr>
        <w:pStyle w:val="BodyText"/>
        <w:spacing w:before="9"/>
      </w:pPr>
    </w:p>
    <w:p>
      <w:pPr>
        <w:pStyle w:val="BodyText"/>
        <w:spacing w:line="278" w:lineRule="auto" w:before="59"/>
        <w:ind w:left="653" w:right="99"/>
        <w:jc w:val="both"/>
      </w:pPr>
      <w:r>
        <w:rPr>
          <w:color w:val="231F20"/>
        </w:rPr>
        <w:t>No puede dejar de señalarse la importancia que ha tomado en años recientes el sec- tor automotriz en la región formada por San Luis Potosí, Querétaro y Guanajuato, estados que en los últimos años han presentado un importante crecimiento de esta industria, tanto por el lado de las armadoras como por el de las autopartes, y cuya ubicación, al igual que en la región norte, también se vincula con el proceso de aper- tura económica.</w:t>
      </w:r>
    </w:p>
    <w:p>
      <w:pPr>
        <w:pStyle w:val="BodyText"/>
        <w:spacing w:line="278" w:lineRule="auto" w:before="1"/>
        <w:ind w:left="653" w:right="100" w:firstLine="396"/>
        <w:jc w:val="both"/>
      </w:pPr>
      <w:r>
        <w:rPr>
          <w:color w:val="231F20"/>
        </w:rPr>
        <w:t>Se</w:t>
      </w:r>
      <w:r>
        <w:rPr>
          <w:color w:val="231F20"/>
          <w:spacing w:val="-6"/>
        </w:rPr>
        <w:t> </w:t>
      </w:r>
      <w:r>
        <w:rPr>
          <w:color w:val="231F20"/>
        </w:rPr>
        <w:t>destaca</w:t>
      </w:r>
      <w:r>
        <w:rPr>
          <w:color w:val="231F20"/>
          <w:spacing w:val="-6"/>
        </w:rPr>
        <w:t> </w:t>
      </w:r>
      <w:r>
        <w:rPr>
          <w:color w:val="231F20"/>
        </w:rPr>
        <w:t>Guanajuato</w:t>
      </w:r>
      <w:r>
        <w:rPr>
          <w:color w:val="231F20"/>
          <w:spacing w:val="-6"/>
        </w:rPr>
        <w:t> </w:t>
      </w:r>
      <w:r>
        <w:rPr>
          <w:color w:val="231F20"/>
        </w:rPr>
        <w:t>con</w:t>
      </w:r>
      <w:r>
        <w:rPr>
          <w:color w:val="231F20"/>
          <w:spacing w:val="-6"/>
        </w:rPr>
        <w:t> </w:t>
      </w:r>
      <w:r>
        <w:rPr>
          <w:color w:val="231F20"/>
        </w:rPr>
        <w:t>la</w:t>
      </w:r>
      <w:r>
        <w:rPr>
          <w:color w:val="231F20"/>
          <w:spacing w:val="-6"/>
        </w:rPr>
        <w:t> </w:t>
      </w:r>
      <w:r>
        <w:rPr>
          <w:color w:val="231F20"/>
        </w:rPr>
        <w:t>planta</w:t>
      </w:r>
      <w:r>
        <w:rPr>
          <w:color w:val="231F20"/>
          <w:spacing w:val="-6"/>
        </w:rPr>
        <w:t> </w:t>
      </w:r>
      <w:r>
        <w:rPr>
          <w:color w:val="231F20"/>
        </w:rPr>
        <w:t>de</w:t>
      </w:r>
      <w:r>
        <w:rPr>
          <w:color w:val="231F20"/>
          <w:spacing w:val="-6"/>
        </w:rPr>
        <w:t> </w:t>
      </w:r>
      <w:r>
        <w:rPr>
          <w:color w:val="231F20"/>
        </w:rPr>
        <w:t>General</w:t>
      </w:r>
      <w:r>
        <w:rPr>
          <w:color w:val="231F20"/>
          <w:spacing w:val="-6"/>
        </w:rPr>
        <w:t> </w:t>
      </w:r>
      <w:r>
        <w:rPr>
          <w:color w:val="231F20"/>
        </w:rPr>
        <w:t>Motors,</w:t>
      </w:r>
      <w:r>
        <w:rPr>
          <w:color w:val="231F20"/>
          <w:spacing w:val="-6"/>
        </w:rPr>
        <w:t> </w:t>
      </w:r>
      <w:r>
        <w:rPr>
          <w:color w:val="231F20"/>
        </w:rPr>
        <w:t>instalada</w:t>
      </w:r>
      <w:r>
        <w:rPr>
          <w:color w:val="231F20"/>
          <w:spacing w:val="-6"/>
        </w:rPr>
        <w:t> </w:t>
      </w:r>
      <w:r>
        <w:rPr>
          <w:color w:val="231F20"/>
        </w:rPr>
        <w:t>en</w:t>
      </w:r>
      <w:r>
        <w:rPr>
          <w:color w:val="231F20"/>
          <w:spacing w:val="-6"/>
        </w:rPr>
        <w:t> </w:t>
      </w:r>
      <w:r>
        <w:rPr>
          <w:color w:val="231F20"/>
        </w:rPr>
        <w:t>1994,</w:t>
      </w:r>
      <w:r>
        <w:rPr>
          <w:color w:val="231F20"/>
          <w:spacing w:val="-6"/>
        </w:rPr>
        <w:t> </w:t>
      </w:r>
      <w:r>
        <w:rPr>
          <w:color w:val="231F20"/>
        </w:rPr>
        <w:t>donde se manufacturan la Escalade </w:t>
      </w:r>
      <w:r>
        <w:rPr>
          <w:color w:val="231F20"/>
          <w:spacing w:val="-5"/>
        </w:rPr>
        <w:t>EXT, </w:t>
      </w:r>
      <w:r>
        <w:rPr>
          <w:color w:val="231F20"/>
        </w:rPr>
        <w:t>GMC Sierra, Avalanche, Pick </w:t>
      </w:r>
      <w:r>
        <w:rPr>
          <w:color w:val="231F20"/>
          <w:spacing w:val="-4"/>
        </w:rPr>
        <w:t>Up </w:t>
      </w:r>
      <w:r>
        <w:rPr>
          <w:color w:val="231F20"/>
        </w:rPr>
        <w:t>Silverado </w:t>
      </w:r>
      <w:r>
        <w:rPr>
          <w:color w:val="231F20"/>
          <w:spacing w:val="-8"/>
        </w:rPr>
        <w:t>y, </w:t>
      </w:r>
      <w:r>
        <w:rPr>
          <w:color w:val="231F20"/>
        </w:rPr>
        <w:t>para exportación, Silverado Híbrido y Sierra Híbrido; además de la planta de motores de alta tecnología de Volkswagen, que arrancó operaciones en enero de 2013. Estas dos plantas se ubican en Silao. </w:t>
      </w:r>
      <w:r>
        <w:rPr>
          <w:color w:val="231F20"/>
          <w:spacing w:val="-3"/>
        </w:rPr>
        <w:t>Por </w:t>
      </w:r>
      <w:r>
        <w:rPr>
          <w:color w:val="231F20"/>
        </w:rPr>
        <w:t>otro lado, están Mazda, localizada en Salamanca, y Honda, en</w:t>
      </w:r>
      <w:r>
        <w:rPr>
          <w:color w:val="231F20"/>
          <w:spacing w:val="-3"/>
        </w:rPr>
        <w:t> </w:t>
      </w:r>
      <w:r>
        <w:rPr>
          <w:color w:val="231F20"/>
        </w:rPr>
        <w:t>Celaya.</w:t>
      </w:r>
    </w:p>
    <w:p>
      <w:pPr>
        <w:pStyle w:val="BodyText"/>
        <w:spacing w:line="278" w:lineRule="auto" w:before="1"/>
        <w:ind w:left="653" w:right="101" w:firstLine="396"/>
        <w:jc w:val="both"/>
      </w:pPr>
      <w:r>
        <w:rPr>
          <w:color w:val="010202"/>
        </w:rPr>
        <w:t>En</w:t>
      </w:r>
      <w:r>
        <w:rPr>
          <w:color w:val="010202"/>
          <w:spacing w:val="-8"/>
        </w:rPr>
        <w:t> </w:t>
      </w:r>
      <w:r>
        <w:rPr>
          <w:color w:val="010202"/>
        </w:rPr>
        <w:t>San</w:t>
      </w:r>
      <w:r>
        <w:rPr>
          <w:color w:val="010202"/>
          <w:spacing w:val="-8"/>
        </w:rPr>
        <w:t> </w:t>
      </w:r>
      <w:r>
        <w:rPr>
          <w:color w:val="010202"/>
        </w:rPr>
        <w:t>Luis</w:t>
      </w:r>
      <w:r>
        <w:rPr>
          <w:color w:val="010202"/>
          <w:spacing w:val="-8"/>
        </w:rPr>
        <w:t> </w:t>
      </w:r>
      <w:r>
        <w:rPr>
          <w:color w:val="010202"/>
        </w:rPr>
        <w:t>Potosí,</w:t>
      </w:r>
      <w:r>
        <w:rPr>
          <w:color w:val="010202"/>
          <w:spacing w:val="-8"/>
        </w:rPr>
        <w:t> </w:t>
      </w:r>
      <w:r>
        <w:rPr>
          <w:color w:val="010202"/>
        </w:rPr>
        <w:t>la</w:t>
      </w:r>
      <w:r>
        <w:rPr>
          <w:color w:val="010202"/>
          <w:spacing w:val="-8"/>
        </w:rPr>
        <w:t> </w:t>
      </w:r>
      <w:r>
        <w:rPr>
          <w:color w:val="010202"/>
        </w:rPr>
        <w:t>planta</w:t>
      </w:r>
      <w:r>
        <w:rPr>
          <w:color w:val="010202"/>
          <w:spacing w:val="-8"/>
        </w:rPr>
        <w:t> </w:t>
      </w:r>
      <w:r>
        <w:rPr>
          <w:color w:val="010202"/>
        </w:rPr>
        <w:t>de</w:t>
      </w:r>
      <w:r>
        <w:rPr>
          <w:color w:val="010202"/>
          <w:spacing w:val="-8"/>
        </w:rPr>
        <w:t> </w:t>
      </w:r>
      <w:r>
        <w:rPr>
          <w:color w:val="010202"/>
        </w:rPr>
        <w:t>General</w:t>
      </w:r>
      <w:r>
        <w:rPr>
          <w:color w:val="010202"/>
          <w:spacing w:val="-8"/>
        </w:rPr>
        <w:t> </w:t>
      </w:r>
      <w:r>
        <w:rPr>
          <w:color w:val="010202"/>
          <w:spacing w:val="-3"/>
        </w:rPr>
        <w:t>Motors</w:t>
      </w:r>
      <w:r>
        <w:rPr>
          <w:color w:val="010202"/>
          <w:spacing w:val="-8"/>
        </w:rPr>
        <w:t> </w:t>
      </w:r>
      <w:r>
        <w:rPr>
          <w:color w:val="010202"/>
        </w:rPr>
        <w:t>inaugurada</w:t>
      </w:r>
      <w:r>
        <w:rPr>
          <w:color w:val="010202"/>
          <w:spacing w:val="-8"/>
        </w:rPr>
        <w:t> </w:t>
      </w:r>
      <w:r>
        <w:rPr>
          <w:color w:val="010202"/>
        </w:rPr>
        <w:t>en</w:t>
      </w:r>
      <w:r>
        <w:rPr>
          <w:color w:val="010202"/>
          <w:spacing w:val="-8"/>
        </w:rPr>
        <w:t> </w:t>
      </w:r>
      <w:r>
        <w:rPr>
          <w:color w:val="010202"/>
        </w:rPr>
        <w:t>2007,</w:t>
      </w:r>
      <w:r>
        <w:rPr>
          <w:color w:val="010202"/>
          <w:spacing w:val="-8"/>
        </w:rPr>
        <w:t> </w:t>
      </w:r>
      <w:r>
        <w:rPr>
          <w:color w:val="231F20"/>
        </w:rPr>
        <w:t>un</w:t>
      </w:r>
      <w:r>
        <w:rPr>
          <w:color w:val="231F20"/>
          <w:spacing w:val="-8"/>
        </w:rPr>
        <w:t> </w:t>
      </w:r>
      <w:r>
        <w:rPr>
          <w:color w:val="231F20"/>
        </w:rPr>
        <w:t>complejo </w:t>
      </w:r>
      <w:r>
        <w:rPr>
          <w:color w:val="231F20"/>
          <w:spacing w:val="-2"/>
        </w:rPr>
        <w:t>muy </w:t>
      </w:r>
      <w:r>
        <w:rPr>
          <w:color w:val="231F20"/>
        </w:rPr>
        <w:t>moderno, cuenta con planta de ensamble y transmisión y 2, 100 empleados. En ella se produce el </w:t>
      </w:r>
      <w:r>
        <w:rPr>
          <w:color w:val="231F20"/>
          <w:spacing w:val="-5"/>
        </w:rPr>
        <w:t>Aveo. </w:t>
      </w:r>
      <w:r>
        <w:rPr>
          <w:color w:val="231F20"/>
        </w:rPr>
        <w:t>El 40% de su producción es para exportación y crea 300, 000 trasmisiones cada </w:t>
      </w:r>
      <w:r>
        <w:rPr>
          <w:color w:val="231F20"/>
          <w:spacing w:val="-3"/>
        </w:rPr>
        <w:t>año, </w:t>
      </w:r>
      <w:r>
        <w:rPr>
          <w:color w:val="231F20"/>
        </w:rPr>
        <w:t>que se envían a Canadá, Estados Unidos, China y Corea. Que- rétaro se destaca por la gran cantidad de empresas productoras de autopartes (véase figura</w:t>
      </w:r>
      <w:r>
        <w:rPr>
          <w:color w:val="231F20"/>
          <w:spacing w:val="-20"/>
        </w:rPr>
        <w:t> </w:t>
      </w:r>
      <w:r>
        <w:rPr>
          <w:color w:val="231F20"/>
        </w:rPr>
        <w:t>III.3).</w:t>
      </w:r>
    </w:p>
    <w:p>
      <w:pPr>
        <w:spacing w:after="0" w:line="278" w:lineRule="auto"/>
        <w:jc w:val="both"/>
        <w:sectPr>
          <w:headerReference w:type="even" r:id="rId191"/>
          <w:footerReference w:type="even" r:id="rId192"/>
          <w:pgSz w:w="9640" w:h="13040"/>
          <w:pgMar w:header="581" w:footer="654" w:top="780" w:bottom="840" w:left="480" w:right="1200"/>
          <w:pgNumType w:start="92"/>
        </w:sectPr>
      </w:pPr>
    </w:p>
    <w:p>
      <w:pPr>
        <w:pStyle w:val="BodyText"/>
        <w:rPr>
          <w:sz w:val="20"/>
        </w:rPr>
      </w:pPr>
      <w:r>
        <w:rPr/>
        <w:pict>
          <v:shape style="position:absolute;margin-left:606.909912pt;margin-top:109.614304pt;width:20.1pt;height:271.2pt;mso-position-horizontal-relative:page;mso-position-vertical-relative:page;z-index:9136"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2"/>
                      <w:sz w:val="16"/>
                    </w:rPr>
                    <w:t>III.</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r>
                    <w:rPr>
                      <w:rFonts w:ascii="Palatino Linotype" w:hAnsi="Palatino Linotype"/>
                      <w:color w:val="231F20"/>
                      <w:spacing w:val="-4"/>
                      <w:sz w:val="16"/>
                    </w:rPr>
                    <w:t> </w:t>
                  </w: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2"/>
                      <w:w w:val="100"/>
                      <w:sz w:val="16"/>
                    </w:rPr>
                    <w:t>e</w:t>
                  </w:r>
                  <w:r>
                    <w:rPr>
                      <w:rFonts w:ascii="Palatino Linotype" w:hAnsi="Palatino Linotype"/>
                      <w:color w:val="231F20"/>
                      <w:spacing w:val="-6"/>
                      <w:w w:val="100"/>
                      <w:sz w:val="16"/>
                    </w:rPr>
                    <w:t>v</w:t>
                  </w:r>
                  <w:r>
                    <w:rPr>
                      <w:rFonts w:ascii="Palatino Linotype" w:hAnsi="Palatino Linotype"/>
                      <w:color w:val="231F20"/>
                      <w:spacing w:val="-1"/>
                      <w:w w:val="106"/>
                      <w:sz w:val="16"/>
                    </w:rPr>
                    <w:t>o</w:t>
                  </w:r>
                  <w:r>
                    <w:rPr>
                      <w:rFonts w:ascii="Palatino Linotype" w:hAnsi="Palatino Linotype"/>
                      <w:color w:val="231F20"/>
                      <w:spacing w:val="-4"/>
                      <w:w w:val="158"/>
                      <w:sz w:val="16"/>
                    </w:rPr>
                    <w:t>l</w:t>
                  </w:r>
                  <w:r>
                    <w:rPr>
                      <w:rFonts w:ascii="Palatino Linotype" w:hAnsi="Palatino Linotype"/>
                      <w:color w:val="231F20"/>
                      <w:w w:val="106"/>
                      <w:sz w:val="16"/>
                    </w:rPr>
                    <w:t>uci</w:t>
                  </w:r>
                  <w:r>
                    <w:rPr>
                      <w:rFonts w:ascii="Palatino Linotype" w:hAnsi="Palatino Linotype"/>
                      <w:color w:val="231F20"/>
                      <w:spacing w:val="-1"/>
                      <w:w w:val="106"/>
                      <w:sz w:val="16"/>
                    </w:rPr>
                    <w:t>ó</w:t>
                  </w:r>
                  <w:r>
                    <w:rPr>
                      <w:rFonts w:ascii="Palatino Linotype" w:hAnsi="Palatino Linotype"/>
                      <w:color w:val="231F20"/>
                      <w:w w:val="97"/>
                      <w:sz w:val="16"/>
                    </w:rPr>
                    <w:t>n,</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w w:val="107"/>
                      <w:sz w:val="16"/>
                    </w:rPr>
                    <w:t>ten</w:t>
                  </w:r>
                  <w:r>
                    <w:rPr>
                      <w:rFonts w:ascii="Palatino Linotype" w:hAnsi="Palatino Linotype"/>
                      <w:color w:val="231F20"/>
                      <w:spacing w:val="-1"/>
                      <w:w w:val="107"/>
                      <w:sz w:val="16"/>
                    </w:rPr>
                    <w:t>d</w:t>
                  </w:r>
                  <w:r>
                    <w:rPr>
                      <w:rFonts w:ascii="Palatino Linotype" w:hAnsi="Palatino Linotype"/>
                      <w:color w:val="231F20"/>
                      <w:w w:val="105"/>
                      <w:sz w:val="16"/>
                    </w:rPr>
                    <w:t>enc</w:t>
                  </w:r>
                  <w:r>
                    <w:rPr>
                      <w:rFonts w:ascii="Palatino Linotype" w:hAnsi="Palatino Linotype"/>
                      <w:color w:val="231F20"/>
                      <w:spacing w:val="-3"/>
                      <w:w w:val="105"/>
                      <w:sz w:val="16"/>
                    </w:rPr>
                    <w:t>i</w:t>
                  </w:r>
                  <w:r>
                    <w:rPr>
                      <w:rFonts w:ascii="Palatino Linotype" w:hAnsi="Palatino Linotype"/>
                      <w:color w:val="231F20"/>
                      <w:spacing w:val="-2"/>
                      <w:w w:val="113"/>
                      <w:sz w:val="16"/>
                    </w:rPr>
                    <w:t>a</w:t>
                  </w:r>
                  <w:r>
                    <w:rPr>
                      <w:rFonts w:ascii="Palatino Linotype" w:hAnsi="Palatino Linotype"/>
                      <w:color w:val="231F20"/>
                      <w:w w:val="96"/>
                      <w:sz w:val="16"/>
                    </w:rPr>
                    <w:t>s</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w w:val="126"/>
                      <w:sz w:val="16"/>
                    </w:rPr>
                    <w:t>c</w:t>
                  </w:r>
                  <w:r>
                    <w:rPr>
                      <w:rFonts w:ascii="Palatino Linotype" w:hAnsi="Palatino Linotype"/>
                      <w:color w:val="231F20"/>
                      <w:spacing w:val="-2"/>
                      <w:w w:val="126"/>
                      <w:sz w:val="16"/>
                    </w:rPr>
                    <w:t>r</w:t>
                  </w:r>
                  <w:r>
                    <w:rPr>
                      <w:rFonts w:ascii="Palatino Linotype" w:hAnsi="Palatino Linotype"/>
                      <w:color w:val="231F20"/>
                      <w:w w:val="103"/>
                      <w:sz w:val="16"/>
                    </w:rPr>
                    <w:t>ecimien</w:t>
                  </w:r>
                  <w:r>
                    <w:rPr>
                      <w:rFonts w:ascii="Palatino Linotype" w:hAnsi="Palatino Linotype"/>
                      <w:color w:val="231F20"/>
                      <w:spacing w:val="-1"/>
                      <w:w w:val="103"/>
                      <w:sz w:val="16"/>
                    </w:rPr>
                    <w:t>t</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9.979095pt;width:14pt;height:13.7pt;mso-position-horizontal-relative:page;mso-position-vertical-relative:page;z-index:9160" type="#_x0000_t202" filled="false" stroked="false">
            <v:textbox inset="0,0,0,0" style="layout-flow:vertical">
              <w:txbxContent>
                <w:p>
                  <w:pPr>
                    <w:spacing w:line="248" w:lineRule="exact" w:before="0"/>
                    <w:ind w:left="20" w:right="-110" w:firstLine="0"/>
                    <w:jc w:val="left"/>
                    <w:rPr>
                      <w:sz w:val="24"/>
                    </w:rPr>
                  </w:pPr>
                  <w:r>
                    <w:rPr>
                      <w:color w:val="231F20"/>
                      <w:w w:val="97"/>
                      <w:sz w:val="24"/>
                    </w:rPr>
                    <w:t>93</w:t>
                  </w:r>
                </w:p>
              </w:txbxContent>
            </v:textbox>
            <w10:wrap type="none"/>
          </v:shape>
        </w:pict>
      </w:r>
    </w:p>
    <w:p>
      <w:pPr>
        <w:pStyle w:val="BodyText"/>
        <w:spacing w:before="3"/>
        <w:rPr>
          <w:sz w:val="26"/>
        </w:rPr>
      </w:pPr>
    </w:p>
    <w:p>
      <w:pPr>
        <w:pStyle w:val="Heading4"/>
        <w:spacing w:before="35"/>
        <w:ind w:left="4853" w:right="4486"/>
      </w:pPr>
      <w:r>
        <w:rPr>
          <w:color w:val="231F20"/>
          <w:w w:val="95"/>
        </w:rPr>
        <w:t>Figura III.3</w:t>
      </w:r>
    </w:p>
    <w:p>
      <w:pPr>
        <w:spacing w:line="282" w:lineRule="exact" w:before="0"/>
        <w:ind w:left="520" w:right="0" w:firstLine="0"/>
        <w:jc w:val="left"/>
        <w:rPr>
          <w:rFonts w:ascii="Palatino Linotype" w:hAnsi="Palatino Linotype"/>
          <w:b/>
          <w:sz w:val="21"/>
        </w:rPr>
      </w:pPr>
      <w:r>
        <w:rPr/>
        <w:drawing>
          <wp:anchor distT="0" distB="0" distL="0" distR="0" allowOverlap="1" layoutInCell="1" locked="0" behindDoc="0" simplePos="0" relativeHeight="9112">
            <wp:simplePos x="0" y="0"/>
            <wp:positionH relativeFrom="page">
              <wp:posOffset>1139217</wp:posOffset>
            </wp:positionH>
            <wp:positionV relativeFrom="paragraph">
              <wp:posOffset>234447</wp:posOffset>
            </wp:positionV>
            <wp:extent cx="6084239" cy="4517136"/>
            <wp:effectExtent l="0" t="0" r="0" b="0"/>
            <wp:wrapTopAndBottom/>
            <wp:docPr id="21" name="image123.png" descr=""/>
            <wp:cNvGraphicFramePr>
              <a:graphicFrameLocks noChangeAspect="1"/>
            </wp:cNvGraphicFramePr>
            <a:graphic>
              <a:graphicData uri="http://schemas.openxmlformats.org/drawingml/2006/picture">
                <pic:pic>
                  <pic:nvPicPr>
                    <pic:cNvPr id="22" name="image123.png"/>
                    <pic:cNvPicPr/>
                  </pic:nvPicPr>
                  <pic:blipFill>
                    <a:blip r:embed="rId195" cstate="print"/>
                    <a:stretch>
                      <a:fillRect/>
                    </a:stretch>
                  </pic:blipFill>
                  <pic:spPr>
                    <a:xfrm>
                      <a:off x="0" y="0"/>
                      <a:ext cx="6084239" cy="4517136"/>
                    </a:xfrm>
                    <a:prstGeom prst="rect">
                      <a:avLst/>
                    </a:prstGeom>
                  </pic:spPr>
                </pic:pic>
              </a:graphicData>
            </a:graphic>
          </wp:anchor>
        </w:drawing>
      </w:r>
      <w:r>
        <w:rPr>
          <w:rFonts w:ascii="Palatino Linotype" w:hAnsi="Palatino Linotype"/>
          <w:b/>
          <w:color w:val="231F20"/>
          <w:w w:val="90"/>
          <w:sz w:val="21"/>
        </w:rPr>
        <w:t>Distribución geográfica de las empresas de autopartes de primer nivel localizadas en la zona centro-sur de México</w:t>
      </w:r>
    </w:p>
    <w:p>
      <w:pPr>
        <w:spacing w:line="283" w:lineRule="auto" w:before="127"/>
        <w:ind w:left="103" w:right="0" w:firstLine="0"/>
        <w:jc w:val="left"/>
        <w:rPr>
          <w:sz w:val="19"/>
        </w:rPr>
      </w:pPr>
      <w:r>
        <w:rPr>
          <w:rFonts w:ascii="Palatino Linotype" w:hAnsi="Palatino Linotype"/>
          <w:i/>
          <w:color w:val="231F20"/>
          <w:sz w:val="19"/>
        </w:rPr>
        <w:t>Fuente:</w:t>
      </w:r>
      <w:r>
        <w:rPr>
          <w:rFonts w:ascii="Palatino Linotype" w:hAnsi="Palatino Linotype"/>
          <w:i/>
          <w:color w:val="231F20"/>
          <w:spacing w:val="-7"/>
          <w:sz w:val="19"/>
        </w:rPr>
        <w:t> </w:t>
      </w:r>
      <w:r>
        <w:rPr>
          <w:color w:val="231F20"/>
          <w:sz w:val="19"/>
        </w:rPr>
        <w:t>Elaboración</w:t>
      </w:r>
      <w:r>
        <w:rPr>
          <w:color w:val="231F20"/>
          <w:spacing w:val="-8"/>
          <w:sz w:val="19"/>
        </w:rPr>
        <w:t> </w:t>
      </w:r>
      <w:r>
        <w:rPr>
          <w:color w:val="231F20"/>
          <w:sz w:val="19"/>
        </w:rPr>
        <w:t>propia</w:t>
      </w:r>
      <w:r>
        <w:rPr>
          <w:color w:val="231F20"/>
          <w:spacing w:val="-8"/>
          <w:sz w:val="19"/>
        </w:rPr>
        <w:t> </w:t>
      </w:r>
      <w:r>
        <w:rPr>
          <w:color w:val="231F20"/>
          <w:sz w:val="19"/>
        </w:rPr>
        <w:t>con</w:t>
      </w:r>
      <w:r>
        <w:rPr>
          <w:color w:val="231F20"/>
          <w:spacing w:val="-8"/>
          <w:sz w:val="19"/>
        </w:rPr>
        <w:t> </w:t>
      </w:r>
      <w:r>
        <w:rPr>
          <w:color w:val="231F20"/>
          <w:spacing w:val="-2"/>
          <w:sz w:val="19"/>
        </w:rPr>
        <w:t>ArcMap</w:t>
      </w:r>
      <w:r>
        <w:rPr>
          <w:color w:val="231F20"/>
          <w:spacing w:val="-8"/>
          <w:sz w:val="19"/>
        </w:rPr>
        <w:t> </w:t>
      </w:r>
      <w:r>
        <w:rPr>
          <w:color w:val="231F20"/>
          <w:sz w:val="19"/>
        </w:rPr>
        <w:t>10.1</w:t>
      </w:r>
      <w:r>
        <w:rPr>
          <w:color w:val="231F20"/>
          <w:spacing w:val="-8"/>
          <w:sz w:val="19"/>
        </w:rPr>
        <w:t> </w:t>
      </w:r>
      <w:r>
        <w:rPr>
          <w:color w:val="231F20"/>
          <w:sz w:val="19"/>
        </w:rPr>
        <w:t>y</w:t>
      </w:r>
      <w:r>
        <w:rPr>
          <w:color w:val="231F20"/>
          <w:spacing w:val="-8"/>
          <w:sz w:val="19"/>
        </w:rPr>
        <w:t> </w:t>
      </w:r>
      <w:r>
        <w:rPr>
          <w:color w:val="231F20"/>
          <w:sz w:val="19"/>
        </w:rPr>
        <w:t>con</w:t>
      </w:r>
      <w:r>
        <w:rPr>
          <w:color w:val="231F20"/>
          <w:spacing w:val="-8"/>
          <w:sz w:val="19"/>
        </w:rPr>
        <w:t> </w:t>
      </w:r>
      <w:r>
        <w:rPr>
          <w:color w:val="231F20"/>
          <w:sz w:val="19"/>
        </w:rPr>
        <w:t>información</w:t>
      </w:r>
      <w:r>
        <w:rPr>
          <w:color w:val="231F20"/>
          <w:spacing w:val="-8"/>
          <w:sz w:val="19"/>
        </w:rPr>
        <w:t> </w:t>
      </w:r>
      <w:r>
        <w:rPr>
          <w:color w:val="231F20"/>
          <w:sz w:val="19"/>
        </w:rPr>
        <w:t>de</w:t>
      </w:r>
      <w:r>
        <w:rPr>
          <w:color w:val="231F20"/>
          <w:spacing w:val="-7"/>
          <w:sz w:val="19"/>
        </w:rPr>
        <w:t> </w:t>
      </w:r>
      <w:r>
        <w:rPr>
          <w:color w:val="231F20"/>
          <w:sz w:val="19"/>
        </w:rPr>
        <w:t>AMIA</w:t>
      </w:r>
      <w:r>
        <w:rPr>
          <w:color w:val="231F20"/>
          <w:spacing w:val="-8"/>
          <w:sz w:val="19"/>
        </w:rPr>
        <w:t> </w:t>
      </w:r>
      <w:r>
        <w:rPr>
          <w:color w:val="231F20"/>
          <w:sz w:val="19"/>
        </w:rPr>
        <w:t>/</w:t>
      </w:r>
      <w:r>
        <w:rPr>
          <w:color w:val="231F20"/>
          <w:spacing w:val="-8"/>
          <w:sz w:val="19"/>
        </w:rPr>
        <w:t> </w:t>
      </w:r>
      <w:r>
        <w:rPr>
          <w:color w:val="231F20"/>
          <w:sz w:val="19"/>
        </w:rPr>
        <w:t>Secretaría</w:t>
      </w:r>
      <w:r>
        <w:rPr>
          <w:color w:val="231F20"/>
          <w:spacing w:val="-8"/>
          <w:sz w:val="19"/>
        </w:rPr>
        <w:t> </w:t>
      </w:r>
      <w:r>
        <w:rPr>
          <w:color w:val="231F20"/>
          <w:sz w:val="19"/>
        </w:rPr>
        <w:t>de</w:t>
      </w:r>
      <w:r>
        <w:rPr>
          <w:color w:val="231F20"/>
          <w:spacing w:val="-8"/>
          <w:sz w:val="19"/>
        </w:rPr>
        <w:t> </w:t>
      </w:r>
      <w:r>
        <w:rPr>
          <w:color w:val="231F20"/>
          <w:sz w:val="19"/>
        </w:rPr>
        <w:t>Economía</w:t>
      </w:r>
      <w:r>
        <w:rPr>
          <w:color w:val="231F20"/>
          <w:spacing w:val="-8"/>
          <w:sz w:val="19"/>
        </w:rPr>
        <w:t> </w:t>
      </w:r>
      <w:r>
        <w:rPr>
          <w:color w:val="231F20"/>
          <w:sz w:val="19"/>
        </w:rPr>
        <w:t>/</w:t>
      </w:r>
      <w:r>
        <w:rPr>
          <w:color w:val="231F20"/>
          <w:spacing w:val="-8"/>
          <w:sz w:val="19"/>
        </w:rPr>
        <w:t> </w:t>
      </w:r>
      <w:r>
        <w:rPr>
          <w:color w:val="231F20"/>
          <w:sz w:val="19"/>
        </w:rPr>
        <w:t>Tecnológico</w:t>
      </w:r>
      <w:r>
        <w:rPr>
          <w:color w:val="231F20"/>
          <w:spacing w:val="-8"/>
          <w:sz w:val="19"/>
        </w:rPr>
        <w:t> </w:t>
      </w:r>
      <w:r>
        <w:rPr>
          <w:color w:val="231F20"/>
          <w:sz w:val="19"/>
        </w:rPr>
        <w:t>de</w:t>
      </w:r>
      <w:r>
        <w:rPr>
          <w:color w:val="231F20"/>
          <w:spacing w:val="-8"/>
          <w:sz w:val="19"/>
        </w:rPr>
        <w:t> </w:t>
      </w:r>
      <w:r>
        <w:rPr>
          <w:color w:val="231F20"/>
          <w:sz w:val="19"/>
        </w:rPr>
        <w:t>Monterrey</w:t>
      </w:r>
      <w:r>
        <w:rPr>
          <w:color w:val="231F20"/>
          <w:spacing w:val="-8"/>
          <w:sz w:val="19"/>
        </w:rPr>
        <w:t> </w:t>
      </w:r>
      <w:r>
        <w:rPr>
          <w:color w:val="231F20"/>
          <w:sz w:val="19"/>
        </w:rPr>
        <w:t>/ Desarrollo</w:t>
      </w:r>
      <w:r>
        <w:rPr>
          <w:color w:val="231F20"/>
          <w:spacing w:val="-11"/>
          <w:sz w:val="19"/>
        </w:rPr>
        <w:t> </w:t>
      </w:r>
      <w:r>
        <w:rPr>
          <w:color w:val="231F20"/>
          <w:sz w:val="19"/>
        </w:rPr>
        <w:t>Económico</w:t>
      </w:r>
      <w:r>
        <w:rPr>
          <w:color w:val="231F20"/>
          <w:spacing w:val="-11"/>
          <w:sz w:val="19"/>
        </w:rPr>
        <w:t> </w:t>
      </w:r>
      <w:r>
        <w:rPr>
          <w:color w:val="231F20"/>
          <w:sz w:val="19"/>
        </w:rPr>
        <w:t>/</w:t>
      </w:r>
      <w:r>
        <w:rPr>
          <w:color w:val="231F20"/>
          <w:spacing w:val="-11"/>
          <w:sz w:val="19"/>
        </w:rPr>
        <w:t> </w:t>
      </w:r>
      <w:r>
        <w:rPr>
          <w:color w:val="231F20"/>
          <w:sz w:val="19"/>
        </w:rPr>
        <w:t>Asociación</w:t>
      </w:r>
      <w:r>
        <w:rPr>
          <w:color w:val="231F20"/>
          <w:spacing w:val="-11"/>
          <w:sz w:val="19"/>
        </w:rPr>
        <w:t> </w:t>
      </w:r>
      <w:r>
        <w:rPr>
          <w:color w:val="231F20"/>
          <w:sz w:val="19"/>
        </w:rPr>
        <w:t>Mexicana</w:t>
      </w:r>
      <w:r>
        <w:rPr>
          <w:color w:val="231F20"/>
          <w:spacing w:val="-11"/>
          <w:sz w:val="19"/>
        </w:rPr>
        <w:t> </w:t>
      </w:r>
      <w:r>
        <w:rPr>
          <w:color w:val="231F20"/>
          <w:sz w:val="19"/>
        </w:rPr>
        <w:t>de</w:t>
      </w:r>
      <w:r>
        <w:rPr>
          <w:color w:val="231F20"/>
          <w:spacing w:val="-11"/>
          <w:sz w:val="19"/>
        </w:rPr>
        <w:t> </w:t>
      </w:r>
      <w:r>
        <w:rPr>
          <w:color w:val="231F20"/>
          <w:sz w:val="19"/>
        </w:rPr>
        <w:t>Secretarios</w:t>
      </w:r>
      <w:r>
        <w:rPr>
          <w:color w:val="231F20"/>
          <w:spacing w:val="-11"/>
          <w:sz w:val="19"/>
        </w:rPr>
        <w:t> </w:t>
      </w:r>
      <w:r>
        <w:rPr>
          <w:color w:val="231F20"/>
          <w:sz w:val="19"/>
        </w:rPr>
        <w:t>de</w:t>
      </w:r>
      <w:r>
        <w:rPr>
          <w:color w:val="231F20"/>
          <w:spacing w:val="-11"/>
          <w:sz w:val="19"/>
        </w:rPr>
        <w:t> </w:t>
      </w:r>
      <w:r>
        <w:rPr>
          <w:color w:val="231F20"/>
          <w:sz w:val="19"/>
        </w:rPr>
        <w:t>Desarrollo</w:t>
      </w:r>
      <w:r>
        <w:rPr>
          <w:color w:val="231F20"/>
          <w:spacing w:val="-11"/>
          <w:sz w:val="19"/>
        </w:rPr>
        <w:t> </w:t>
      </w:r>
      <w:r>
        <w:rPr>
          <w:color w:val="231F20"/>
          <w:sz w:val="19"/>
        </w:rPr>
        <w:t>Económico</w:t>
      </w:r>
      <w:r>
        <w:rPr>
          <w:color w:val="231F20"/>
          <w:spacing w:val="-11"/>
          <w:sz w:val="19"/>
        </w:rPr>
        <w:t> </w:t>
      </w:r>
      <w:r>
        <w:rPr>
          <w:color w:val="231F20"/>
          <w:sz w:val="19"/>
        </w:rPr>
        <w:t>(2006).</w:t>
      </w:r>
    </w:p>
    <w:p>
      <w:pPr>
        <w:spacing w:after="0" w:line="283" w:lineRule="auto"/>
        <w:jc w:val="left"/>
        <w:rPr>
          <w:sz w:val="19"/>
        </w:rPr>
        <w:sectPr>
          <w:headerReference w:type="default" r:id="rId193"/>
          <w:footerReference w:type="default" r:id="rId194"/>
          <w:pgSz w:w="13040" w:h="9640" w:orient="landscape"/>
          <w:pgMar w:header="0" w:footer="0" w:top="0" w:bottom="280" w:left="1200" w:right="1440"/>
        </w:sectPr>
      </w:pPr>
    </w:p>
    <w:p>
      <w:pPr>
        <w:pStyle w:val="BodyText"/>
        <w:rPr>
          <w:sz w:val="20"/>
        </w:rPr>
      </w:pPr>
    </w:p>
    <w:p>
      <w:pPr>
        <w:pStyle w:val="BodyText"/>
        <w:spacing w:before="6"/>
      </w:pPr>
    </w:p>
    <w:p>
      <w:pPr>
        <w:pStyle w:val="BodyText"/>
        <w:spacing w:line="278" w:lineRule="auto" w:before="58"/>
        <w:ind w:left="653" w:right="100"/>
        <w:jc w:val="both"/>
      </w:pPr>
      <w:r>
        <w:rPr>
          <w:color w:val="231F20"/>
        </w:rPr>
        <w:t>Más hacia el occidente se destacan también los estados de Jalisco y Aguascalientes, donde el sector ha cobrado importancia con el establecimiento de Honda y su planta de fabricación de motores y autopartes, así como de ensamble de vehículos en Jalisco y</w:t>
      </w:r>
      <w:r>
        <w:rPr>
          <w:color w:val="231F20"/>
          <w:spacing w:val="-5"/>
        </w:rPr>
        <w:t> </w:t>
      </w:r>
      <w:r>
        <w:rPr>
          <w:color w:val="231F20"/>
        </w:rPr>
        <w:t>Aguascalientes</w:t>
      </w:r>
      <w:r>
        <w:rPr>
          <w:color w:val="231F20"/>
          <w:spacing w:val="-5"/>
        </w:rPr>
        <w:t> </w:t>
      </w:r>
      <w:r>
        <w:rPr>
          <w:color w:val="231F20"/>
        </w:rPr>
        <w:t>con</w:t>
      </w:r>
      <w:r>
        <w:rPr>
          <w:color w:val="231F20"/>
          <w:spacing w:val="-5"/>
        </w:rPr>
        <w:t> </w:t>
      </w:r>
      <w:r>
        <w:rPr>
          <w:color w:val="231F20"/>
        </w:rPr>
        <w:t>Nissan,</w:t>
      </w:r>
      <w:r>
        <w:rPr>
          <w:color w:val="231F20"/>
          <w:spacing w:val="-5"/>
        </w:rPr>
        <w:t> </w:t>
      </w:r>
      <w:r>
        <w:rPr>
          <w:color w:val="231F20"/>
        </w:rPr>
        <w:t>donde</w:t>
      </w:r>
      <w:r>
        <w:rPr>
          <w:color w:val="231F20"/>
          <w:spacing w:val="-5"/>
        </w:rPr>
        <w:t> </w:t>
      </w:r>
      <w:r>
        <w:rPr>
          <w:color w:val="231F20"/>
        </w:rPr>
        <w:t>se</w:t>
      </w:r>
      <w:r>
        <w:rPr>
          <w:color w:val="231F20"/>
          <w:spacing w:val="-5"/>
        </w:rPr>
        <w:t> </w:t>
      </w:r>
      <w:r>
        <w:rPr>
          <w:color w:val="231F20"/>
        </w:rPr>
        <w:t>manufactura</w:t>
      </w:r>
      <w:r>
        <w:rPr>
          <w:color w:val="231F20"/>
          <w:spacing w:val="-5"/>
        </w:rPr>
        <w:t> </w:t>
      </w:r>
      <w:r>
        <w:rPr>
          <w:color w:val="231F20"/>
        </w:rPr>
        <w:t>el</w:t>
      </w:r>
      <w:r>
        <w:rPr>
          <w:color w:val="231F20"/>
          <w:spacing w:val="-5"/>
        </w:rPr>
        <w:t> </w:t>
      </w:r>
      <w:r>
        <w:rPr>
          <w:color w:val="231F20"/>
        </w:rPr>
        <w:t>Sentra,</w:t>
      </w:r>
      <w:r>
        <w:rPr>
          <w:color w:val="231F20"/>
          <w:spacing w:val="-5"/>
        </w:rPr>
        <w:t> </w:t>
      </w:r>
      <w:r>
        <w:rPr>
          <w:color w:val="231F20"/>
        </w:rPr>
        <w:t>el</w:t>
      </w:r>
      <w:r>
        <w:rPr>
          <w:color w:val="231F20"/>
          <w:spacing w:val="-5"/>
        </w:rPr>
        <w:t> </w:t>
      </w:r>
      <w:r>
        <w:rPr>
          <w:color w:val="231F20"/>
        </w:rPr>
        <w:t>Tiida</w:t>
      </w:r>
      <w:r>
        <w:rPr>
          <w:color w:val="231F20"/>
          <w:spacing w:val="-5"/>
        </w:rPr>
        <w:t> </w:t>
      </w:r>
      <w:r>
        <w:rPr>
          <w:color w:val="231F20"/>
        </w:rPr>
        <w:t>HB,</w:t>
      </w:r>
      <w:r>
        <w:rPr>
          <w:color w:val="231F20"/>
          <w:spacing w:val="-5"/>
        </w:rPr>
        <w:t> </w:t>
      </w:r>
      <w:r>
        <w:rPr>
          <w:color w:val="231F20"/>
        </w:rPr>
        <w:t>el</w:t>
      </w:r>
      <w:r>
        <w:rPr>
          <w:color w:val="231F20"/>
          <w:spacing w:val="-5"/>
        </w:rPr>
        <w:t> </w:t>
      </w:r>
      <w:r>
        <w:rPr>
          <w:color w:val="231F20"/>
          <w:spacing w:val="-3"/>
        </w:rPr>
        <w:t>March</w:t>
      </w:r>
      <w:r>
        <w:rPr>
          <w:color w:val="231F20"/>
          <w:spacing w:val="-5"/>
        </w:rPr>
        <w:t> </w:t>
      </w:r>
      <w:r>
        <w:rPr>
          <w:color w:val="231F20"/>
        </w:rPr>
        <w:t>y motores de 4 cilindros; y donde recientemente se anunció que se construirá una</w:t>
      </w:r>
      <w:r>
        <w:rPr>
          <w:color w:val="231F20"/>
          <w:spacing w:val="-29"/>
        </w:rPr>
        <w:t> </w:t>
      </w:r>
      <w:r>
        <w:rPr>
          <w:color w:val="231F20"/>
        </w:rPr>
        <w:t>nueva planta de esta</w:t>
      </w:r>
      <w:r>
        <w:rPr>
          <w:color w:val="231F20"/>
          <w:spacing w:val="-18"/>
        </w:rPr>
        <w:t> </w:t>
      </w:r>
      <w:r>
        <w:rPr>
          <w:color w:val="231F20"/>
        </w:rPr>
        <w:t>empresa.</w:t>
      </w:r>
    </w:p>
    <w:p>
      <w:pPr>
        <w:pStyle w:val="BodyText"/>
        <w:spacing w:line="278" w:lineRule="auto" w:before="1"/>
        <w:ind w:left="653" w:right="101" w:firstLine="396"/>
        <w:jc w:val="both"/>
      </w:pPr>
      <w:r>
        <w:rPr>
          <w:color w:val="231F20"/>
        </w:rPr>
        <w:t>En</w:t>
      </w:r>
      <w:r>
        <w:rPr>
          <w:color w:val="231F20"/>
          <w:spacing w:val="-16"/>
        </w:rPr>
        <w:t> </w:t>
      </w:r>
      <w:r>
        <w:rPr>
          <w:color w:val="231F20"/>
        </w:rPr>
        <w:t>la</w:t>
      </w:r>
      <w:r>
        <w:rPr>
          <w:color w:val="231F20"/>
          <w:spacing w:val="-16"/>
        </w:rPr>
        <w:t> </w:t>
      </w:r>
      <w:r>
        <w:rPr>
          <w:color w:val="231F20"/>
        </w:rPr>
        <w:t>región</w:t>
      </w:r>
      <w:r>
        <w:rPr>
          <w:color w:val="231F20"/>
          <w:spacing w:val="-16"/>
        </w:rPr>
        <w:t> </w:t>
      </w:r>
      <w:r>
        <w:rPr>
          <w:color w:val="231F20"/>
        </w:rPr>
        <w:t>centro</w:t>
      </w:r>
      <w:r>
        <w:rPr>
          <w:color w:val="231F20"/>
          <w:spacing w:val="-16"/>
        </w:rPr>
        <w:t> </w:t>
      </w:r>
      <w:r>
        <w:rPr>
          <w:color w:val="231F20"/>
        </w:rPr>
        <w:t>destacan</w:t>
      </w:r>
      <w:r>
        <w:rPr>
          <w:color w:val="231F20"/>
          <w:spacing w:val="-16"/>
        </w:rPr>
        <w:t> </w:t>
      </w:r>
      <w:r>
        <w:rPr>
          <w:color w:val="231F20"/>
        </w:rPr>
        <w:t>Puebla,</w:t>
      </w:r>
      <w:r>
        <w:rPr>
          <w:color w:val="231F20"/>
          <w:spacing w:val="-16"/>
        </w:rPr>
        <w:t> </w:t>
      </w:r>
      <w:r>
        <w:rPr>
          <w:color w:val="231F20"/>
        </w:rPr>
        <w:t>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rPr>
        <w:t>México</w:t>
      </w:r>
      <w:r>
        <w:rPr>
          <w:color w:val="231F20"/>
          <w:spacing w:val="-16"/>
        </w:rPr>
        <w:t> </w:t>
      </w:r>
      <w:r>
        <w:rPr>
          <w:color w:val="231F20"/>
        </w:rPr>
        <w:t>y</w:t>
      </w:r>
      <w:r>
        <w:rPr>
          <w:color w:val="231F20"/>
          <w:spacing w:val="-16"/>
        </w:rPr>
        <w:t> </w:t>
      </w:r>
      <w:r>
        <w:rPr>
          <w:color w:val="231F20"/>
        </w:rPr>
        <w:t>el</w:t>
      </w:r>
      <w:r>
        <w:rPr>
          <w:color w:val="231F20"/>
          <w:spacing w:val="-16"/>
        </w:rPr>
        <w:t> </w:t>
      </w:r>
      <w:r>
        <w:rPr>
          <w:color w:val="231F20"/>
        </w:rPr>
        <w:t>Distrito</w:t>
      </w:r>
      <w:r>
        <w:rPr>
          <w:color w:val="231F20"/>
          <w:spacing w:val="-16"/>
        </w:rPr>
        <w:t> </w:t>
      </w:r>
      <w:r>
        <w:rPr>
          <w:color w:val="231F20"/>
        </w:rPr>
        <w:t>Federal.</w:t>
      </w:r>
      <w:r>
        <w:rPr>
          <w:color w:val="231F20"/>
          <w:spacing w:val="-16"/>
        </w:rPr>
        <w:t> </w:t>
      </w:r>
      <w:r>
        <w:rPr>
          <w:color w:val="231F20"/>
        </w:rPr>
        <w:t>Du- rante la década de los setenta, en estas dos últimas entidades se estableció un número importante</w:t>
      </w:r>
      <w:r>
        <w:rPr>
          <w:color w:val="231F20"/>
          <w:spacing w:val="-8"/>
        </w:rPr>
        <w:t> </w:t>
      </w:r>
      <w:r>
        <w:rPr>
          <w:color w:val="231F20"/>
        </w:rPr>
        <w:t>de</w:t>
      </w:r>
      <w:r>
        <w:rPr>
          <w:color w:val="231F20"/>
          <w:spacing w:val="-8"/>
        </w:rPr>
        <w:t> </w:t>
      </w:r>
      <w:r>
        <w:rPr>
          <w:color w:val="231F20"/>
        </w:rPr>
        <w:t>empresas</w:t>
      </w:r>
      <w:r>
        <w:rPr>
          <w:color w:val="231F20"/>
          <w:spacing w:val="-8"/>
        </w:rPr>
        <w:t> </w:t>
      </w:r>
      <w:r>
        <w:rPr>
          <w:color w:val="231F20"/>
        </w:rPr>
        <w:t>productoras</w:t>
      </w:r>
      <w:r>
        <w:rPr>
          <w:color w:val="231F20"/>
          <w:spacing w:val="-8"/>
        </w:rPr>
        <w:t> </w:t>
      </w:r>
      <w:r>
        <w:rPr>
          <w:color w:val="231F20"/>
        </w:rPr>
        <w:t>de</w:t>
      </w:r>
      <w:r>
        <w:rPr>
          <w:color w:val="231F20"/>
          <w:spacing w:val="-8"/>
        </w:rPr>
        <w:t> </w:t>
      </w:r>
      <w:r>
        <w:rPr>
          <w:color w:val="231F20"/>
        </w:rPr>
        <w:t>autopartes,</w:t>
      </w:r>
      <w:r>
        <w:rPr>
          <w:color w:val="231F20"/>
          <w:spacing w:val="-8"/>
        </w:rPr>
        <w:t> </w:t>
      </w:r>
      <w:r>
        <w:rPr>
          <w:color w:val="231F20"/>
        </w:rPr>
        <w:t>con</w:t>
      </w:r>
      <w:r>
        <w:rPr>
          <w:color w:val="231F20"/>
          <w:spacing w:val="-8"/>
        </w:rPr>
        <w:t> </w:t>
      </w:r>
      <w:r>
        <w:rPr>
          <w:color w:val="231F20"/>
        </w:rPr>
        <w:t>el</w:t>
      </w:r>
      <w:r>
        <w:rPr>
          <w:color w:val="231F20"/>
          <w:spacing w:val="-8"/>
        </w:rPr>
        <w:t> </w:t>
      </w:r>
      <w:r>
        <w:rPr>
          <w:color w:val="231F20"/>
        </w:rPr>
        <w:t>fin</w:t>
      </w:r>
      <w:r>
        <w:rPr>
          <w:color w:val="231F20"/>
          <w:spacing w:val="-8"/>
        </w:rPr>
        <w:t> </w:t>
      </w:r>
      <w:r>
        <w:rPr>
          <w:color w:val="231F20"/>
        </w:rPr>
        <w:t>de</w:t>
      </w:r>
      <w:r>
        <w:rPr>
          <w:color w:val="231F20"/>
          <w:spacing w:val="-8"/>
        </w:rPr>
        <w:t> </w:t>
      </w:r>
      <w:r>
        <w:rPr>
          <w:color w:val="231F20"/>
        </w:rPr>
        <w:t>abastecer</w:t>
      </w:r>
      <w:r>
        <w:rPr>
          <w:color w:val="231F20"/>
          <w:spacing w:val="-8"/>
        </w:rPr>
        <w:t> </w:t>
      </w:r>
      <w:r>
        <w:rPr>
          <w:color w:val="231F20"/>
        </w:rPr>
        <w:t>a</w:t>
      </w:r>
      <w:r>
        <w:rPr>
          <w:color w:val="231F20"/>
          <w:spacing w:val="-8"/>
        </w:rPr>
        <w:t> </w:t>
      </w:r>
      <w:r>
        <w:rPr>
          <w:color w:val="231F20"/>
        </w:rPr>
        <w:t>las</w:t>
      </w:r>
      <w:r>
        <w:rPr>
          <w:color w:val="231F20"/>
          <w:spacing w:val="-8"/>
        </w:rPr>
        <w:t> </w:t>
      </w:r>
      <w:r>
        <w:rPr>
          <w:color w:val="231F20"/>
        </w:rPr>
        <w:t>ensam- bladoras que en ese momento se concentraban en esta zona. Sin embargo, durante los últimos años han perdido dinamismo, a diferencia de la región norte, donde el sector se ha consolidado como uno de los más</w:t>
      </w:r>
      <w:r>
        <w:rPr>
          <w:color w:val="231F20"/>
          <w:spacing w:val="-3"/>
        </w:rPr>
        <w:t> </w:t>
      </w:r>
      <w:r>
        <w:rPr>
          <w:color w:val="231F20"/>
        </w:rPr>
        <w:t>importantes.</w:t>
      </w:r>
    </w:p>
    <w:p>
      <w:pPr>
        <w:pStyle w:val="BodyText"/>
        <w:spacing w:line="278" w:lineRule="auto" w:before="1"/>
        <w:ind w:left="653" w:right="102" w:firstLine="396"/>
        <w:jc w:val="both"/>
      </w:pPr>
      <w:r>
        <w:rPr>
          <w:color w:val="231F20"/>
        </w:rPr>
        <w:t>En</w:t>
      </w:r>
      <w:r>
        <w:rPr>
          <w:color w:val="231F20"/>
          <w:spacing w:val="-7"/>
        </w:rPr>
        <w:t> </w:t>
      </w:r>
      <w:r>
        <w:rPr>
          <w:color w:val="231F20"/>
        </w:rPr>
        <w:t>el</w:t>
      </w:r>
      <w:r>
        <w:rPr>
          <w:color w:val="231F20"/>
          <w:spacing w:val="-7"/>
        </w:rPr>
        <w:t> </w:t>
      </w:r>
      <w:r>
        <w:rPr>
          <w:color w:val="231F20"/>
        </w:rPr>
        <w:t>apartado</w:t>
      </w:r>
      <w:r>
        <w:rPr>
          <w:color w:val="231F20"/>
          <w:spacing w:val="-7"/>
        </w:rPr>
        <w:t> </w:t>
      </w:r>
      <w:r>
        <w:rPr>
          <w:color w:val="231F20"/>
        </w:rPr>
        <w:t>siguiente</w:t>
      </w:r>
      <w:r>
        <w:rPr>
          <w:color w:val="231F20"/>
          <w:spacing w:val="-7"/>
        </w:rPr>
        <w:t> </w:t>
      </w:r>
      <w:r>
        <w:rPr>
          <w:color w:val="231F20"/>
        </w:rPr>
        <w:t>se</w:t>
      </w:r>
      <w:r>
        <w:rPr>
          <w:color w:val="231F20"/>
          <w:spacing w:val="-7"/>
        </w:rPr>
        <w:t> </w:t>
      </w:r>
      <w:r>
        <w:rPr>
          <w:color w:val="231F20"/>
        </w:rPr>
        <w:t>presentan</w:t>
      </w:r>
      <w:r>
        <w:rPr>
          <w:color w:val="231F20"/>
          <w:spacing w:val="-7"/>
        </w:rPr>
        <w:t> </w:t>
      </w:r>
      <w:r>
        <w:rPr>
          <w:color w:val="231F20"/>
        </w:rPr>
        <w:t>algunos</w:t>
      </w:r>
      <w:r>
        <w:rPr>
          <w:color w:val="231F20"/>
          <w:spacing w:val="-7"/>
        </w:rPr>
        <w:t> </w:t>
      </w:r>
      <w:r>
        <w:rPr>
          <w:color w:val="231F20"/>
        </w:rPr>
        <w:t>datos</w:t>
      </w:r>
      <w:r>
        <w:rPr>
          <w:color w:val="231F20"/>
          <w:spacing w:val="-7"/>
        </w:rPr>
        <w:t> </w:t>
      </w:r>
      <w:r>
        <w:rPr>
          <w:color w:val="231F20"/>
        </w:rPr>
        <w:t>que</w:t>
      </w:r>
      <w:r>
        <w:rPr>
          <w:color w:val="231F20"/>
          <w:spacing w:val="-7"/>
        </w:rPr>
        <w:t> </w:t>
      </w:r>
      <w:r>
        <w:rPr>
          <w:color w:val="231F20"/>
        </w:rPr>
        <w:t>evidencian</w:t>
      </w:r>
      <w:r>
        <w:rPr>
          <w:color w:val="231F20"/>
          <w:spacing w:val="-7"/>
        </w:rPr>
        <w:t> </w:t>
      </w:r>
      <w:r>
        <w:rPr>
          <w:color w:val="231F20"/>
        </w:rPr>
        <w:t>estos</w:t>
      </w:r>
      <w:r>
        <w:rPr>
          <w:color w:val="231F20"/>
          <w:spacing w:val="-7"/>
        </w:rPr>
        <w:t> </w:t>
      </w:r>
      <w:r>
        <w:rPr>
          <w:color w:val="231F20"/>
        </w:rPr>
        <w:t>cambios en</w:t>
      </w:r>
      <w:r>
        <w:rPr>
          <w:color w:val="231F20"/>
          <w:spacing w:val="-10"/>
        </w:rPr>
        <w:t> </w:t>
      </w:r>
      <w:r>
        <w:rPr>
          <w:color w:val="231F20"/>
        </w:rPr>
        <w:t>la</w:t>
      </w:r>
      <w:r>
        <w:rPr>
          <w:color w:val="231F20"/>
          <w:spacing w:val="-10"/>
        </w:rPr>
        <w:t> </w:t>
      </w:r>
      <w:r>
        <w:rPr>
          <w:color w:val="231F20"/>
        </w:rPr>
        <w:t>lógica</w:t>
      </w:r>
      <w:r>
        <w:rPr>
          <w:color w:val="231F20"/>
          <w:spacing w:val="-10"/>
        </w:rPr>
        <w:t> </w:t>
      </w:r>
      <w:r>
        <w:rPr>
          <w:color w:val="231F20"/>
        </w:rPr>
        <w:t>de</w:t>
      </w:r>
      <w:r>
        <w:rPr>
          <w:color w:val="231F20"/>
          <w:spacing w:val="-10"/>
        </w:rPr>
        <w:t> </w:t>
      </w:r>
      <w:r>
        <w:rPr>
          <w:color w:val="231F20"/>
        </w:rPr>
        <w:t>crecimiento</w:t>
      </w:r>
      <w:r>
        <w:rPr>
          <w:color w:val="231F20"/>
          <w:spacing w:val="-10"/>
        </w:rPr>
        <w:t> </w:t>
      </w:r>
      <w:r>
        <w:rPr>
          <w:color w:val="231F20"/>
        </w:rPr>
        <w:t>y</w:t>
      </w:r>
      <w:r>
        <w:rPr>
          <w:color w:val="231F20"/>
          <w:spacing w:val="-10"/>
        </w:rPr>
        <w:t> </w:t>
      </w:r>
      <w:r>
        <w:rPr>
          <w:color w:val="231F20"/>
        </w:rPr>
        <w:t>de</w:t>
      </w:r>
      <w:r>
        <w:rPr>
          <w:color w:val="231F20"/>
          <w:spacing w:val="-10"/>
        </w:rPr>
        <w:t> </w:t>
      </w:r>
      <w:r>
        <w:rPr>
          <w:color w:val="231F20"/>
        </w:rPr>
        <w:t>localización</w:t>
      </w:r>
      <w:r>
        <w:rPr>
          <w:color w:val="231F20"/>
          <w:spacing w:val="-10"/>
        </w:rPr>
        <w:t> </w:t>
      </w:r>
      <w:r>
        <w:rPr>
          <w:color w:val="231F20"/>
        </w:rPr>
        <w:t>espacial</w:t>
      </w:r>
      <w:r>
        <w:rPr>
          <w:color w:val="231F20"/>
          <w:spacing w:val="-10"/>
        </w:rPr>
        <w:t> </w:t>
      </w:r>
      <w:r>
        <w:rPr>
          <w:color w:val="231F20"/>
        </w:rPr>
        <w:t>del</w:t>
      </w:r>
      <w:r>
        <w:rPr>
          <w:color w:val="231F20"/>
          <w:spacing w:val="-10"/>
        </w:rPr>
        <w:t> </w:t>
      </w:r>
      <w:r>
        <w:rPr>
          <w:color w:val="231F20"/>
        </w:rPr>
        <w:t>sector</w:t>
      </w:r>
      <w:r>
        <w:rPr>
          <w:color w:val="231F20"/>
          <w:spacing w:val="-10"/>
        </w:rPr>
        <w:t> </w:t>
      </w:r>
      <w:r>
        <w:rPr>
          <w:color w:val="231F20"/>
        </w:rPr>
        <w:t>automotriz</w:t>
      </w:r>
      <w:r>
        <w:rPr>
          <w:color w:val="231F20"/>
          <w:spacing w:val="-10"/>
        </w:rPr>
        <w:t> </w:t>
      </w:r>
      <w:r>
        <w:rPr>
          <w:color w:val="231F20"/>
        </w:rPr>
        <w:t>en</w:t>
      </w:r>
      <w:r>
        <w:rPr>
          <w:color w:val="231F20"/>
          <w:spacing w:val="-10"/>
        </w:rPr>
        <w:t> </w:t>
      </w:r>
      <w:r>
        <w:rPr>
          <w:color w:val="231F20"/>
        </w:rPr>
        <w:t>México.</w:t>
      </w:r>
    </w:p>
    <w:p>
      <w:pPr>
        <w:pStyle w:val="BodyText"/>
        <w:spacing w:before="5"/>
        <w:rPr>
          <w:sz w:val="17"/>
        </w:rPr>
      </w:pPr>
    </w:p>
    <w:p>
      <w:pPr>
        <w:pStyle w:val="Heading3"/>
        <w:numPr>
          <w:ilvl w:val="1"/>
          <w:numId w:val="18"/>
        </w:numPr>
        <w:tabs>
          <w:tab w:pos="1068" w:val="left" w:leader="none"/>
        </w:tabs>
        <w:spacing w:line="280" w:lineRule="exact" w:before="0" w:after="0"/>
        <w:ind w:left="653" w:right="733" w:firstLine="0"/>
        <w:jc w:val="left"/>
      </w:pPr>
      <w:r>
        <w:rPr>
          <w:color w:val="231F20"/>
          <w:spacing w:val="-3"/>
          <w:w w:val="95"/>
        </w:rPr>
        <w:t>Tendencias</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crecimiento</w:t>
      </w:r>
      <w:r>
        <w:rPr>
          <w:color w:val="231F20"/>
          <w:spacing w:val="-33"/>
          <w:w w:val="95"/>
        </w:rPr>
        <w:t> </w:t>
      </w:r>
      <w:r>
        <w:rPr>
          <w:color w:val="231F20"/>
          <w:w w:val="95"/>
        </w:rPr>
        <w:t>y</w:t>
      </w:r>
      <w:r>
        <w:rPr>
          <w:color w:val="231F20"/>
          <w:spacing w:val="-33"/>
          <w:w w:val="95"/>
        </w:rPr>
        <w:t> </w:t>
      </w:r>
      <w:r>
        <w:rPr>
          <w:color w:val="231F20"/>
          <w:w w:val="95"/>
        </w:rPr>
        <w:t>localización</w:t>
      </w:r>
      <w:r>
        <w:rPr>
          <w:color w:val="231F20"/>
          <w:spacing w:val="-33"/>
          <w:w w:val="95"/>
        </w:rPr>
        <w:t> </w:t>
      </w:r>
      <w:r>
        <w:rPr>
          <w:color w:val="231F20"/>
          <w:w w:val="95"/>
        </w:rPr>
        <w:t>espacial</w:t>
      </w:r>
      <w:r>
        <w:rPr>
          <w:color w:val="231F20"/>
          <w:spacing w:val="-33"/>
          <w:w w:val="95"/>
        </w:rPr>
        <w:t> </w:t>
      </w:r>
      <w:r>
        <w:rPr>
          <w:color w:val="231F20"/>
          <w:w w:val="95"/>
        </w:rPr>
        <w:t>del</w:t>
      </w:r>
      <w:r>
        <w:rPr>
          <w:color w:val="231F20"/>
          <w:spacing w:val="-33"/>
          <w:w w:val="95"/>
        </w:rPr>
        <w:t> </w:t>
      </w:r>
      <w:r>
        <w:rPr>
          <w:color w:val="231F20"/>
          <w:w w:val="95"/>
        </w:rPr>
        <w:t>sector automotriz</w:t>
      </w:r>
      <w:r>
        <w:rPr>
          <w:color w:val="231F20"/>
          <w:spacing w:val="-39"/>
          <w:w w:val="95"/>
        </w:rPr>
        <w:t> </w:t>
      </w:r>
      <w:r>
        <w:rPr>
          <w:color w:val="231F20"/>
          <w:w w:val="95"/>
        </w:rPr>
        <w:t>en</w:t>
      </w:r>
      <w:r>
        <w:rPr>
          <w:color w:val="231F20"/>
          <w:spacing w:val="-39"/>
          <w:w w:val="95"/>
        </w:rPr>
        <w:t> </w:t>
      </w:r>
      <w:r>
        <w:rPr>
          <w:color w:val="231F20"/>
          <w:w w:val="95"/>
        </w:rPr>
        <w:t>México</w:t>
      </w:r>
    </w:p>
    <w:p>
      <w:pPr>
        <w:pStyle w:val="BodyText"/>
        <w:spacing w:line="278" w:lineRule="auto" w:before="141"/>
        <w:ind w:left="653" w:right="100"/>
        <w:jc w:val="both"/>
      </w:pPr>
      <w:r>
        <w:rPr>
          <w:color w:val="231F20"/>
          <w:spacing w:val="-5"/>
        </w:rPr>
        <w:t>Un </w:t>
      </w:r>
      <w:r>
        <w:rPr>
          <w:color w:val="231F20"/>
        </w:rPr>
        <w:t>análisis de las principales variables del sector automotriz por entidad federativa deja</w:t>
      </w:r>
      <w:r>
        <w:rPr>
          <w:color w:val="231F20"/>
          <w:spacing w:val="-8"/>
        </w:rPr>
        <w:t> </w:t>
      </w:r>
      <w:r>
        <w:rPr>
          <w:color w:val="231F20"/>
        </w:rPr>
        <w:t>ver</w:t>
      </w:r>
      <w:r>
        <w:rPr>
          <w:color w:val="231F20"/>
          <w:spacing w:val="-8"/>
        </w:rPr>
        <w:t> </w:t>
      </w:r>
      <w:r>
        <w:rPr>
          <w:color w:val="231F20"/>
        </w:rPr>
        <w:t>que</w:t>
      </w:r>
      <w:r>
        <w:rPr>
          <w:color w:val="231F20"/>
          <w:spacing w:val="-8"/>
        </w:rPr>
        <w:t> </w:t>
      </w:r>
      <w:r>
        <w:rPr>
          <w:color w:val="231F20"/>
        </w:rPr>
        <w:t>la</w:t>
      </w:r>
      <w:r>
        <w:rPr>
          <w:color w:val="231F20"/>
          <w:spacing w:val="-8"/>
        </w:rPr>
        <w:t> </w:t>
      </w:r>
      <w:r>
        <w:rPr>
          <w:color w:val="231F20"/>
        </w:rPr>
        <w:t>tendencia</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seguido</w:t>
      </w:r>
      <w:r>
        <w:rPr>
          <w:color w:val="231F20"/>
          <w:spacing w:val="-8"/>
        </w:rPr>
        <w:t> </w:t>
      </w:r>
      <w:r>
        <w:rPr>
          <w:color w:val="231F20"/>
        </w:rPr>
        <w:t>el</w:t>
      </w:r>
      <w:r>
        <w:rPr>
          <w:color w:val="231F20"/>
          <w:spacing w:val="-8"/>
        </w:rPr>
        <w:t> </w:t>
      </w:r>
      <w:r>
        <w:rPr>
          <w:color w:val="231F20"/>
        </w:rPr>
        <w:t>desarrollo</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industria</w:t>
      </w:r>
      <w:r>
        <w:rPr>
          <w:color w:val="231F20"/>
          <w:spacing w:val="-8"/>
        </w:rPr>
        <w:t> </w:t>
      </w:r>
      <w:r>
        <w:rPr>
          <w:color w:val="231F20"/>
        </w:rPr>
        <w:t>a</w:t>
      </w:r>
      <w:r>
        <w:rPr>
          <w:color w:val="231F20"/>
          <w:spacing w:val="-8"/>
        </w:rPr>
        <w:t> </w:t>
      </w:r>
      <w:r>
        <w:rPr>
          <w:color w:val="231F20"/>
        </w:rPr>
        <w:t>nivel</w:t>
      </w:r>
      <w:r>
        <w:rPr>
          <w:color w:val="231F20"/>
          <w:spacing w:val="-8"/>
        </w:rPr>
        <w:t> </w:t>
      </w:r>
      <w:r>
        <w:rPr>
          <w:color w:val="231F20"/>
        </w:rPr>
        <w:t>nacional es la pérdida de dinamismo en la región centro del país, específicamente en el Estado de México y en el Distrito Federal, y el crecimiento significativo de estas variables</w:t>
      </w:r>
      <w:r>
        <w:rPr>
          <w:color w:val="231F20"/>
          <w:spacing w:val="-22"/>
        </w:rPr>
        <w:t> </w:t>
      </w:r>
      <w:r>
        <w:rPr>
          <w:color w:val="231F20"/>
        </w:rPr>
        <w:t>en otras entidades del</w:t>
      </w:r>
      <w:r>
        <w:rPr>
          <w:color w:val="231F20"/>
          <w:spacing w:val="-13"/>
        </w:rPr>
        <w:t> </w:t>
      </w:r>
      <w:r>
        <w:rPr>
          <w:color w:val="231F20"/>
        </w:rPr>
        <w:t>país.</w:t>
      </w:r>
    </w:p>
    <w:p>
      <w:pPr>
        <w:pStyle w:val="BodyText"/>
        <w:spacing w:line="278" w:lineRule="auto" w:before="1"/>
        <w:ind w:left="653" w:right="99" w:firstLine="396"/>
        <w:jc w:val="both"/>
      </w:pPr>
      <w:r>
        <w:rPr>
          <w:color w:val="231F20"/>
        </w:rPr>
        <w:t>En 1985 el Estado de México y el Distrito Federal concentraban todavía una par- te importante de la producción bruta total de la industria automotriz: 32.6 y 16.9%, respectivamente; mientras que para 2009 estos porcentajes bajaron significativamen- te a sólo 11.9 y 2.5%. Por el contrario, las entidades de la región norte, principal- mente, han incrementado de manera muy significativa su participación; por ejemplo: Coahuila, Sonora, Chihuahua y Nuevo León, que en 1985 participaron con 17.1% de producción bruta total de esta industria, incrementaron su producción a 36.5% en 2009 (véase cuadro III.7).</w:t>
      </w:r>
    </w:p>
    <w:p>
      <w:pPr>
        <w:pStyle w:val="BodyText"/>
        <w:spacing w:line="278" w:lineRule="auto" w:before="1"/>
        <w:ind w:left="653" w:right="101" w:firstLine="396"/>
        <w:jc w:val="both"/>
      </w:pPr>
      <w:r>
        <w:rPr>
          <w:color w:val="231F20"/>
        </w:rPr>
        <w:t>Otras entidades con crecimientos sustanciales en esta variable son </w:t>
      </w:r>
      <w:r>
        <w:rPr>
          <w:color w:val="231F20"/>
          <w:spacing w:val="-3"/>
        </w:rPr>
        <w:t>Guanajuato, </w:t>
      </w:r>
      <w:r>
        <w:rPr>
          <w:color w:val="231F20"/>
        </w:rPr>
        <w:t>San Luis Potosí y Querétaro, quienes han duplicado su participación en este mismo periodo, teniendo una participación porcentual en 2009 de 14.3%. Esto es resultado del incremento tan importante que se ha dado en la instalación tanto de empresas de la industria terminal y de autopartes en las dos primeras, como de la industria de au- topartes en</w:t>
      </w:r>
      <w:r>
        <w:rPr>
          <w:color w:val="231F20"/>
          <w:spacing w:val="15"/>
        </w:rPr>
        <w:t> </w:t>
      </w:r>
      <w:r>
        <w:rPr>
          <w:color w:val="231F20"/>
        </w:rPr>
        <w:t>Querétaro.</w:t>
      </w:r>
    </w:p>
    <w:p>
      <w:pPr>
        <w:spacing w:after="0" w:line="278" w:lineRule="auto"/>
        <w:jc w:val="both"/>
        <w:sectPr>
          <w:headerReference w:type="even" r:id="rId196"/>
          <w:headerReference w:type="default" r:id="rId197"/>
          <w:footerReference w:type="even" r:id="rId198"/>
          <w:footerReference w:type="default" r:id="rId199"/>
          <w:pgSz w:w="9640" w:h="13040"/>
          <w:pgMar w:header="581" w:footer="654" w:top="780" w:bottom="840" w:left="480" w:right="1200"/>
          <w:pgNumType w:start="94"/>
        </w:sectPr>
      </w:pPr>
    </w:p>
    <w:p>
      <w:pPr>
        <w:pStyle w:val="BodyText"/>
        <w:rPr>
          <w:sz w:val="20"/>
        </w:rPr>
      </w:pPr>
    </w:p>
    <w:p>
      <w:pPr>
        <w:pStyle w:val="BodyText"/>
        <w:spacing w:before="9"/>
        <w:rPr>
          <w:sz w:val="15"/>
        </w:rPr>
      </w:pPr>
    </w:p>
    <w:p>
      <w:pPr>
        <w:pStyle w:val="Heading4"/>
        <w:ind w:left="127" w:right="674"/>
      </w:pPr>
      <w:r>
        <w:rPr>
          <w:color w:val="231F20"/>
          <w:w w:val="95"/>
        </w:rPr>
        <w:t>Cuadro III.7</w:t>
      </w:r>
    </w:p>
    <w:p>
      <w:pPr>
        <w:spacing w:line="237" w:lineRule="auto" w:before="0"/>
        <w:ind w:left="365" w:right="867" w:firstLine="0"/>
        <w:jc w:val="center"/>
        <w:rPr>
          <w:rFonts w:ascii="Palatino Linotype" w:hAnsi="Palatino Linotype"/>
          <w:b/>
          <w:sz w:val="21"/>
        </w:rPr>
      </w:pPr>
      <w:r>
        <w:rPr>
          <w:rFonts w:ascii="Palatino Linotype" w:hAnsi="Palatino Linotype"/>
          <w:b/>
          <w:color w:val="231F20"/>
          <w:w w:val="95"/>
          <w:sz w:val="21"/>
        </w:rPr>
        <w:t>Sector</w:t>
      </w:r>
      <w:r>
        <w:rPr>
          <w:rFonts w:ascii="Palatino Linotype" w:hAnsi="Palatino Linotype"/>
          <w:b/>
          <w:color w:val="231F20"/>
          <w:spacing w:val="-34"/>
          <w:w w:val="95"/>
          <w:sz w:val="21"/>
        </w:rPr>
        <w:t> </w:t>
      </w:r>
      <w:r>
        <w:rPr>
          <w:rFonts w:ascii="Palatino Linotype" w:hAnsi="Palatino Linotype"/>
          <w:b/>
          <w:color w:val="231F20"/>
          <w:w w:val="95"/>
          <w:sz w:val="21"/>
        </w:rPr>
        <w:t>automotriz:</w:t>
      </w:r>
      <w:r>
        <w:rPr>
          <w:rFonts w:ascii="Palatino Linotype" w:hAnsi="Palatino Linotype"/>
          <w:b/>
          <w:color w:val="231F20"/>
          <w:spacing w:val="-34"/>
          <w:w w:val="95"/>
          <w:sz w:val="21"/>
        </w:rPr>
        <w:t> </w:t>
      </w:r>
      <w:r>
        <w:rPr>
          <w:rFonts w:ascii="Palatino Linotype" w:hAnsi="Palatino Linotype"/>
          <w:b/>
          <w:color w:val="231F20"/>
          <w:w w:val="95"/>
          <w:sz w:val="21"/>
        </w:rPr>
        <w:t>participación</w:t>
      </w:r>
      <w:r>
        <w:rPr>
          <w:rFonts w:ascii="Palatino Linotype" w:hAnsi="Palatino Linotype"/>
          <w:b/>
          <w:color w:val="231F20"/>
          <w:spacing w:val="-34"/>
          <w:w w:val="95"/>
          <w:sz w:val="21"/>
        </w:rPr>
        <w:t> </w:t>
      </w:r>
      <w:r>
        <w:rPr>
          <w:rFonts w:ascii="Palatino Linotype" w:hAnsi="Palatino Linotype"/>
          <w:b/>
          <w:color w:val="231F20"/>
          <w:w w:val="95"/>
          <w:sz w:val="21"/>
        </w:rPr>
        <w:t>porcentual</w:t>
      </w:r>
      <w:r>
        <w:rPr>
          <w:rFonts w:ascii="Palatino Linotype" w:hAnsi="Palatino Linotype"/>
          <w:b/>
          <w:color w:val="231F20"/>
          <w:spacing w:val="-34"/>
          <w:w w:val="95"/>
          <w:sz w:val="21"/>
        </w:rPr>
        <w:t> </w:t>
      </w:r>
      <w:r>
        <w:rPr>
          <w:rFonts w:ascii="Palatino Linotype" w:hAnsi="Palatino Linotype"/>
          <w:b/>
          <w:color w:val="231F20"/>
          <w:w w:val="95"/>
          <w:sz w:val="21"/>
        </w:rPr>
        <w:t>en</w:t>
      </w:r>
      <w:r>
        <w:rPr>
          <w:rFonts w:ascii="Palatino Linotype" w:hAnsi="Palatino Linotype"/>
          <w:b/>
          <w:color w:val="231F20"/>
          <w:spacing w:val="-34"/>
          <w:w w:val="95"/>
          <w:sz w:val="21"/>
        </w:rPr>
        <w:t> </w:t>
      </w:r>
      <w:r>
        <w:rPr>
          <w:rFonts w:ascii="Palatino Linotype" w:hAnsi="Palatino Linotype"/>
          <w:b/>
          <w:color w:val="231F20"/>
          <w:w w:val="95"/>
          <w:sz w:val="21"/>
        </w:rPr>
        <w:t>el</w:t>
      </w:r>
      <w:r>
        <w:rPr>
          <w:rFonts w:ascii="Palatino Linotype" w:hAnsi="Palatino Linotype"/>
          <w:b/>
          <w:color w:val="231F20"/>
          <w:spacing w:val="-34"/>
          <w:w w:val="95"/>
          <w:sz w:val="21"/>
        </w:rPr>
        <w:t> </w:t>
      </w:r>
      <w:r>
        <w:rPr>
          <w:rFonts w:ascii="Palatino Linotype" w:hAnsi="Palatino Linotype"/>
          <w:b/>
          <w:color w:val="231F20"/>
          <w:w w:val="95"/>
          <w:sz w:val="21"/>
        </w:rPr>
        <w:t>valor</w:t>
      </w:r>
      <w:r>
        <w:rPr>
          <w:rFonts w:ascii="Palatino Linotype" w:hAnsi="Palatino Linotype"/>
          <w:b/>
          <w:color w:val="231F20"/>
          <w:spacing w:val="-34"/>
          <w:w w:val="95"/>
          <w:sz w:val="21"/>
        </w:rPr>
        <w:t> </w:t>
      </w:r>
      <w:r>
        <w:rPr>
          <w:rFonts w:ascii="Palatino Linotype" w:hAnsi="Palatino Linotype"/>
          <w:b/>
          <w:color w:val="231F20"/>
          <w:w w:val="95"/>
          <w:sz w:val="21"/>
        </w:rPr>
        <w:t>de</w:t>
      </w:r>
      <w:r>
        <w:rPr>
          <w:rFonts w:ascii="Palatino Linotype" w:hAnsi="Palatino Linotype"/>
          <w:b/>
          <w:color w:val="231F20"/>
          <w:spacing w:val="-34"/>
          <w:w w:val="95"/>
          <w:sz w:val="21"/>
        </w:rPr>
        <w:t> </w:t>
      </w:r>
      <w:r>
        <w:rPr>
          <w:rFonts w:ascii="Palatino Linotype" w:hAnsi="Palatino Linotype"/>
          <w:b/>
          <w:color w:val="231F20"/>
          <w:w w:val="95"/>
          <w:sz w:val="21"/>
        </w:rPr>
        <w:t>la</w:t>
      </w:r>
      <w:r>
        <w:rPr>
          <w:rFonts w:ascii="Palatino Linotype" w:hAnsi="Palatino Linotype"/>
          <w:b/>
          <w:color w:val="231F20"/>
          <w:spacing w:val="-34"/>
          <w:w w:val="95"/>
          <w:sz w:val="21"/>
        </w:rPr>
        <w:t> </w:t>
      </w:r>
      <w:r>
        <w:rPr>
          <w:rFonts w:ascii="Palatino Linotype" w:hAnsi="Palatino Linotype"/>
          <w:b/>
          <w:color w:val="231F20"/>
          <w:w w:val="95"/>
          <w:sz w:val="21"/>
        </w:rPr>
        <w:t>producción</w:t>
      </w:r>
      <w:r>
        <w:rPr>
          <w:rFonts w:ascii="Palatino Linotype" w:hAnsi="Palatino Linotype"/>
          <w:b/>
          <w:color w:val="231F20"/>
          <w:spacing w:val="-34"/>
          <w:w w:val="95"/>
          <w:sz w:val="21"/>
        </w:rPr>
        <w:t> </w:t>
      </w:r>
      <w:r>
        <w:rPr>
          <w:rFonts w:ascii="Palatino Linotype" w:hAnsi="Palatino Linotype"/>
          <w:b/>
          <w:color w:val="231F20"/>
          <w:w w:val="95"/>
          <w:sz w:val="21"/>
        </w:rPr>
        <w:t>bruta total</w:t>
      </w:r>
      <w:r>
        <w:rPr>
          <w:rFonts w:ascii="Palatino Linotype" w:hAnsi="Palatino Linotype"/>
          <w:b/>
          <w:color w:val="231F20"/>
          <w:spacing w:val="-27"/>
          <w:w w:val="95"/>
          <w:sz w:val="21"/>
        </w:rPr>
        <w:t> </w:t>
      </w:r>
      <w:r>
        <w:rPr>
          <w:rFonts w:ascii="Palatino Linotype" w:hAnsi="Palatino Linotype"/>
          <w:b/>
          <w:color w:val="231F20"/>
          <w:w w:val="95"/>
          <w:sz w:val="21"/>
        </w:rPr>
        <w:t>por</w:t>
      </w:r>
      <w:r>
        <w:rPr>
          <w:rFonts w:ascii="Palatino Linotype" w:hAnsi="Palatino Linotype"/>
          <w:b/>
          <w:color w:val="231F20"/>
          <w:spacing w:val="-27"/>
          <w:w w:val="95"/>
          <w:sz w:val="21"/>
        </w:rPr>
        <w:t> </w:t>
      </w:r>
      <w:r>
        <w:rPr>
          <w:rFonts w:ascii="Palatino Linotype" w:hAnsi="Palatino Linotype"/>
          <w:b/>
          <w:color w:val="231F20"/>
          <w:w w:val="95"/>
          <w:sz w:val="21"/>
        </w:rPr>
        <w:t>entidad</w:t>
      </w:r>
      <w:r>
        <w:rPr>
          <w:rFonts w:ascii="Palatino Linotype" w:hAnsi="Palatino Linotype"/>
          <w:b/>
          <w:color w:val="231F20"/>
          <w:spacing w:val="-27"/>
          <w:w w:val="95"/>
          <w:sz w:val="21"/>
        </w:rPr>
        <w:t> </w:t>
      </w:r>
      <w:r>
        <w:rPr>
          <w:rFonts w:ascii="Palatino Linotype" w:hAnsi="Palatino Linotype"/>
          <w:b/>
          <w:color w:val="231F20"/>
          <w:w w:val="95"/>
          <w:sz w:val="21"/>
        </w:rPr>
        <w:t>federativa,</w:t>
      </w:r>
      <w:r>
        <w:rPr>
          <w:rFonts w:ascii="Palatino Linotype" w:hAnsi="Palatino Linotype"/>
          <w:b/>
          <w:color w:val="231F20"/>
          <w:spacing w:val="-27"/>
          <w:w w:val="95"/>
          <w:sz w:val="21"/>
        </w:rPr>
        <w:t> </w:t>
      </w:r>
      <w:r>
        <w:rPr>
          <w:rFonts w:ascii="Palatino Linotype" w:hAnsi="Palatino Linotype"/>
          <w:b/>
          <w:color w:val="231F20"/>
          <w:w w:val="95"/>
          <w:sz w:val="21"/>
        </w:rPr>
        <w:t>1985-2009</w:t>
      </w:r>
    </w:p>
    <w:p>
      <w:pPr>
        <w:pStyle w:val="BodyText"/>
        <w:spacing w:before="4"/>
        <w:rPr>
          <w:rFonts w:ascii="Palatino Linotype"/>
          <w:b/>
          <w:sz w:val="14"/>
        </w:rPr>
      </w:pPr>
    </w:p>
    <w:tbl>
      <w:tblPr>
        <w:tblW w:w="0" w:type="auto"/>
        <w:jc w:val="left"/>
        <w:tblInd w:w="14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2"/>
        <w:gridCol w:w="972"/>
        <w:gridCol w:w="776"/>
        <w:gridCol w:w="776"/>
        <w:gridCol w:w="776"/>
        <w:gridCol w:w="776"/>
        <w:gridCol w:w="847"/>
      </w:tblGrid>
      <w:tr>
        <w:trPr>
          <w:trHeight w:val="291" w:hRule="exact"/>
        </w:trPr>
        <w:tc>
          <w:tcPr>
            <w:tcW w:w="2192" w:type="dxa"/>
            <w:tcBorders>
              <w:top w:val="single" w:sz="4" w:space="0" w:color="231F20"/>
              <w:bottom w:val="single" w:sz="4" w:space="0" w:color="231F20"/>
            </w:tcBorders>
          </w:tcPr>
          <w:p>
            <w:pPr>
              <w:pStyle w:val="TableParagraph"/>
              <w:spacing w:before="17"/>
              <w:ind w:left="136"/>
              <w:jc w:val="left"/>
              <w:rPr>
                <w:rFonts w:ascii="Palatino Linotype"/>
                <w:b/>
                <w:sz w:val="18"/>
              </w:rPr>
            </w:pPr>
            <w:r>
              <w:rPr>
                <w:rFonts w:ascii="Palatino Linotype"/>
                <w:b/>
                <w:color w:val="010202"/>
                <w:w w:val="90"/>
                <w:sz w:val="18"/>
              </w:rPr>
              <w:t>Entidad Federativa</w:t>
            </w:r>
          </w:p>
        </w:tc>
        <w:tc>
          <w:tcPr>
            <w:tcW w:w="972" w:type="dxa"/>
            <w:tcBorders>
              <w:top w:val="single" w:sz="4" w:space="0" w:color="231F20"/>
              <w:bottom w:val="single" w:sz="4" w:space="0" w:color="231F20"/>
            </w:tcBorders>
          </w:tcPr>
          <w:p>
            <w:pPr>
              <w:pStyle w:val="TableParagraph"/>
              <w:spacing w:before="17"/>
              <w:ind w:left="403"/>
              <w:jc w:val="left"/>
              <w:rPr>
                <w:rFonts w:ascii="Palatino Linotype"/>
                <w:b/>
                <w:sz w:val="18"/>
              </w:rPr>
            </w:pPr>
            <w:r>
              <w:rPr>
                <w:rFonts w:ascii="Palatino Linotype"/>
                <w:b/>
                <w:color w:val="010202"/>
                <w:sz w:val="18"/>
              </w:rPr>
              <w:t>1985</w:t>
            </w:r>
          </w:p>
        </w:tc>
        <w:tc>
          <w:tcPr>
            <w:tcW w:w="776" w:type="dxa"/>
            <w:tcBorders>
              <w:top w:val="single" w:sz="4" w:space="0" w:color="231F20"/>
              <w:bottom w:val="single" w:sz="4" w:space="0" w:color="231F20"/>
            </w:tcBorders>
          </w:tcPr>
          <w:p>
            <w:pPr>
              <w:pStyle w:val="TableParagraph"/>
              <w:spacing w:before="17"/>
              <w:ind w:left="207"/>
              <w:jc w:val="left"/>
              <w:rPr>
                <w:rFonts w:ascii="Palatino Linotype"/>
                <w:b/>
                <w:sz w:val="18"/>
              </w:rPr>
            </w:pPr>
            <w:r>
              <w:rPr>
                <w:rFonts w:ascii="Palatino Linotype"/>
                <w:b/>
                <w:color w:val="010202"/>
                <w:sz w:val="18"/>
              </w:rPr>
              <w:t>1988</w:t>
            </w:r>
          </w:p>
        </w:tc>
        <w:tc>
          <w:tcPr>
            <w:tcW w:w="776" w:type="dxa"/>
            <w:tcBorders>
              <w:top w:val="single" w:sz="4" w:space="0" w:color="231F20"/>
              <w:bottom w:val="single" w:sz="4" w:space="0" w:color="231F20"/>
            </w:tcBorders>
          </w:tcPr>
          <w:p>
            <w:pPr>
              <w:pStyle w:val="TableParagraph"/>
              <w:spacing w:before="17"/>
              <w:ind w:left="182" w:right="182"/>
              <w:rPr>
                <w:rFonts w:ascii="Palatino Linotype"/>
                <w:b/>
                <w:sz w:val="18"/>
              </w:rPr>
            </w:pPr>
            <w:r>
              <w:rPr>
                <w:rFonts w:ascii="Palatino Linotype"/>
                <w:b/>
                <w:color w:val="010202"/>
                <w:sz w:val="18"/>
              </w:rPr>
              <w:t>1993</w:t>
            </w:r>
          </w:p>
        </w:tc>
        <w:tc>
          <w:tcPr>
            <w:tcW w:w="776" w:type="dxa"/>
            <w:tcBorders>
              <w:top w:val="single" w:sz="4" w:space="0" w:color="231F20"/>
              <w:bottom w:val="single" w:sz="4" w:space="0" w:color="231F20"/>
            </w:tcBorders>
          </w:tcPr>
          <w:p>
            <w:pPr>
              <w:pStyle w:val="TableParagraph"/>
              <w:spacing w:before="17"/>
              <w:ind w:left="207"/>
              <w:jc w:val="left"/>
              <w:rPr>
                <w:rFonts w:ascii="Palatino Linotype"/>
                <w:b/>
                <w:sz w:val="18"/>
              </w:rPr>
            </w:pPr>
            <w:r>
              <w:rPr>
                <w:rFonts w:ascii="Palatino Linotype"/>
                <w:b/>
                <w:color w:val="010202"/>
                <w:sz w:val="18"/>
              </w:rPr>
              <w:t>1998</w:t>
            </w:r>
          </w:p>
        </w:tc>
        <w:tc>
          <w:tcPr>
            <w:tcW w:w="776" w:type="dxa"/>
            <w:tcBorders>
              <w:top w:val="single" w:sz="4" w:space="0" w:color="231F20"/>
              <w:bottom w:val="single" w:sz="4" w:space="0" w:color="231F20"/>
            </w:tcBorders>
          </w:tcPr>
          <w:p>
            <w:pPr>
              <w:pStyle w:val="TableParagraph"/>
              <w:spacing w:before="17"/>
              <w:ind w:left="207"/>
              <w:jc w:val="left"/>
              <w:rPr>
                <w:rFonts w:ascii="Palatino Linotype"/>
                <w:b/>
                <w:sz w:val="18"/>
              </w:rPr>
            </w:pPr>
            <w:r>
              <w:rPr>
                <w:rFonts w:ascii="Palatino Linotype"/>
                <w:b/>
                <w:color w:val="010202"/>
                <w:sz w:val="18"/>
              </w:rPr>
              <w:t>2003</w:t>
            </w:r>
          </w:p>
        </w:tc>
        <w:tc>
          <w:tcPr>
            <w:tcW w:w="847" w:type="dxa"/>
            <w:tcBorders>
              <w:top w:val="single" w:sz="4" w:space="0" w:color="231F20"/>
              <w:bottom w:val="single" w:sz="4" w:space="0" w:color="231F20"/>
            </w:tcBorders>
          </w:tcPr>
          <w:p>
            <w:pPr>
              <w:pStyle w:val="TableParagraph"/>
              <w:spacing w:before="17"/>
              <w:ind w:left="207"/>
              <w:jc w:val="left"/>
              <w:rPr>
                <w:rFonts w:ascii="Palatino Linotype"/>
                <w:b/>
                <w:sz w:val="18"/>
              </w:rPr>
            </w:pPr>
            <w:r>
              <w:rPr>
                <w:rFonts w:ascii="Palatino Linotype"/>
                <w:b/>
                <w:color w:val="010202"/>
                <w:sz w:val="18"/>
              </w:rPr>
              <w:t>2009</w:t>
            </w:r>
          </w:p>
        </w:tc>
      </w:tr>
      <w:tr>
        <w:trPr>
          <w:trHeight w:val="582" w:hRule="exact"/>
        </w:trPr>
        <w:tc>
          <w:tcPr>
            <w:tcW w:w="2192" w:type="dxa"/>
            <w:tcBorders>
              <w:top w:val="single" w:sz="4" w:space="0" w:color="231F20"/>
            </w:tcBorders>
          </w:tcPr>
          <w:p>
            <w:pPr>
              <w:pStyle w:val="TableParagraph"/>
              <w:spacing w:before="5"/>
              <w:jc w:val="left"/>
              <w:rPr>
                <w:rFonts w:ascii="Palatino Linotype"/>
                <w:b/>
                <w:sz w:val="15"/>
              </w:rPr>
            </w:pPr>
          </w:p>
          <w:p>
            <w:pPr>
              <w:pStyle w:val="TableParagraph"/>
              <w:ind w:left="136"/>
              <w:jc w:val="left"/>
              <w:rPr>
                <w:sz w:val="18"/>
              </w:rPr>
            </w:pPr>
            <w:r>
              <w:rPr>
                <w:color w:val="231F20"/>
                <w:sz w:val="18"/>
              </w:rPr>
              <w:t>Total</w:t>
            </w:r>
          </w:p>
        </w:tc>
        <w:tc>
          <w:tcPr>
            <w:tcW w:w="972" w:type="dxa"/>
            <w:tcBorders>
              <w:top w:val="single" w:sz="4" w:space="0" w:color="231F20"/>
            </w:tcBorders>
          </w:tcPr>
          <w:p>
            <w:pPr>
              <w:pStyle w:val="TableParagraph"/>
              <w:spacing w:before="5"/>
              <w:jc w:val="left"/>
              <w:rPr>
                <w:rFonts w:ascii="Palatino Linotype"/>
                <w:b/>
                <w:sz w:val="15"/>
              </w:rPr>
            </w:pPr>
          </w:p>
          <w:p>
            <w:pPr>
              <w:pStyle w:val="TableParagraph"/>
              <w:ind w:left="403"/>
              <w:jc w:val="left"/>
              <w:rPr>
                <w:sz w:val="18"/>
              </w:rPr>
            </w:pPr>
            <w:r>
              <w:rPr>
                <w:color w:val="010202"/>
                <w:sz w:val="18"/>
              </w:rPr>
              <w:t>100</w:t>
            </w:r>
          </w:p>
        </w:tc>
        <w:tc>
          <w:tcPr>
            <w:tcW w:w="776" w:type="dxa"/>
            <w:tcBorders>
              <w:top w:val="single" w:sz="4" w:space="0" w:color="231F20"/>
            </w:tcBorders>
          </w:tcPr>
          <w:p>
            <w:pPr>
              <w:pStyle w:val="TableParagraph"/>
              <w:spacing w:before="5"/>
              <w:jc w:val="left"/>
              <w:rPr>
                <w:rFonts w:ascii="Palatino Linotype"/>
                <w:b/>
                <w:sz w:val="15"/>
              </w:rPr>
            </w:pPr>
          </w:p>
          <w:p>
            <w:pPr>
              <w:pStyle w:val="TableParagraph"/>
              <w:ind w:left="207"/>
              <w:jc w:val="left"/>
              <w:rPr>
                <w:sz w:val="18"/>
              </w:rPr>
            </w:pPr>
            <w:r>
              <w:rPr>
                <w:color w:val="010202"/>
                <w:sz w:val="18"/>
              </w:rPr>
              <w:t>100</w:t>
            </w:r>
          </w:p>
        </w:tc>
        <w:tc>
          <w:tcPr>
            <w:tcW w:w="776" w:type="dxa"/>
            <w:tcBorders>
              <w:top w:val="single" w:sz="4" w:space="0" w:color="231F20"/>
            </w:tcBorders>
          </w:tcPr>
          <w:p>
            <w:pPr>
              <w:pStyle w:val="TableParagraph"/>
              <w:spacing w:before="5"/>
              <w:jc w:val="left"/>
              <w:rPr>
                <w:rFonts w:ascii="Palatino Linotype"/>
                <w:b/>
                <w:sz w:val="15"/>
              </w:rPr>
            </w:pPr>
          </w:p>
          <w:p>
            <w:pPr>
              <w:pStyle w:val="TableParagraph"/>
              <w:ind w:left="90" w:right="188"/>
              <w:rPr>
                <w:sz w:val="18"/>
              </w:rPr>
            </w:pPr>
            <w:r>
              <w:rPr>
                <w:color w:val="010202"/>
                <w:sz w:val="18"/>
              </w:rPr>
              <w:t>100</w:t>
            </w:r>
          </w:p>
        </w:tc>
        <w:tc>
          <w:tcPr>
            <w:tcW w:w="776" w:type="dxa"/>
            <w:tcBorders>
              <w:top w:val="single" w:sz="4" w:space="0" w:color="231F20"/>
            </w:tcBorders>
          </w:tcPr>
          <w:p>
            <w:pPr>
              <w:pStyle w:val="TableParagraph"/>
              <w:spacing w:before="5"/>
              <w:jc w:val="left"/>
              <w:rPr>
                <w:rFonts w:ascii="Palatino Linotype"/>
                <w:b/>
                <w:sz w:val="15"/>
              </w:rPr>
            </w:pPr>
          </w:p>
          <w:p>
            <w:pPr>
              <w:pStyle w:val="TableParagraph"/>
              <w:ind w:left="207"/>
              <w:jc w:val="left"/>
              <w:rPr>
                <w:sz w:val="18"/>
              </w:rPr>
            </w:pPr>
            <w:r>
              <w:rPr>
                <w:color w:val="010202"/>
                <w:sz w:val="18"/>
              </w:rPr>
              <w:t>100</w:t>
            </w:r>
          </w:p>
        </w:tc>
        <w:tc>
          <w:tcPr>
            <w:tcW w:w="776" w:type="dxa"/>
            <w:tcBorders>
              <w:top w:val="single" w:sz="4" w:space="0" w:color="231F20"/>
            </w:tcBorders>
          </w:tcPr>
          <w:p>
            <w:pPr>
              <w:pStyle w:val="TableParagraph"/>
              <w:spacing w:before="5"/>
              <w:jc w:val="left"/>
              <w:rPr>
                <w:rFonts w:ascii="Palatino Linotype"/>
                <w:b/>
                <w:sz w:val="15"/>
              </w:rPr>
            </w:pPr>
          </w:p>
          <w:p>
            <w:pPr>
              <w:pStyle w:val="TableParagraph"/>
              <w:ind w:left="207"/>
              <w:jc w:val="left"/>
              <w:rPr>
                <w:sz w:val="18"/>
              </w:rPr>
            </w:pPr>
            <w:r>
              <w:rPr>
                <w:color w:val="010202"/>
                <w:sz w:val="18"/>
              </w:rPr>
              <w:t>100</w:t>
            </w:r>
          </w:p>
        </w:tc>
        <w:tc>
          <w:tcPr>
            <w:tcW w:w="847" w:type="dxa"/>
            <w:tcBorders>
              <w:top w:val="single" w:sz="4" w:space="0" w:color="231F20"/>
            </w:tcBorders>
          </w:tcPr>
          <w:p>
            <w:pPr>
              <w:pStyle w:val="TableParagraph"/>
              <w:spacing w:before="5"/>
              <w:jc w:val="left"/>
              <w:rPr>
                <w:rFonts w:ascii="Palatino Linotype"/>
                <w:b/>
                <w:sz w:val="15"/>
              </w:rPr>
            </w:pPr>
          </w:p>
          <w:p>
            <w:pPr>
              <w:pStyle w:val="TableParagraph"/>
              <w:ind w:left="207"/>
              <w:jc w:val="left"/>
              <w:rPr>
                <w:sz w:val="18"/>
              </w:rPr>
            </w:pPr>
            <w:r>
              <w:rPr>
                <w:color w:val="010202"/>
                <w:sz w:val="18"/>
              </w:rPr>
              <w:t>100</w:t>
            </w:r>
          </w:p>
        </w:tc>
      </w:tr>
      <w:tr>
        <w:trPr>
          <w:trHeight w:val="413" w:hRule="exact"/>
        </w:trPr>
        <w:tc>
          <w:tcPr>
            <w:tcW w:w="2192" w:type="dxa"/>
          </w:tcPr>
          <w:p>
            <w:pPr>
              <w:pStyle w:val="TableParagraph"/>
              <w:spacing w:before="116"/>
              <w:ind w:left="136"/>
              <w:jc w:val="left"/>
              <w:rPr>
                <w:sz w:val="18"/>
              </w:rPr>
            </w:pPr>
            <w:r>
              <w:rPr>
                <w:color w:val="231F20"/>
                <w:sz w:val="18"/>
              </w:rPr>
              <w:t>Aguascalientes</w:t>
            </w:r>
          </w:p>
        </w:tc>
        <w:tc>
          <w:tcPr>
            <w:tcW w:w="972" w:type="dxa"/>
          </w:tcPr>
          <w:p>
            <w:pPr>
              <w:pStyle w:val="TableParagraph"/>
              <w:spacing w:before="116"/>
              <w:ind w:left="403"/>
              <w:jc w:val="left"/>
              <w:rPr>
                <w:sz w:val="18"/>
              </w:rPr>
            </w:pPr>
            <w:r>
              <w:rPr>
                <w:color w:val="231F20"/>
                <w:sz w:val="18"/>
              </w:rPr>
              <w:t>1.2</w:t>
            </w:r>
          </w:p>
        </w:tc>
        <w:tc>
          <w:tcPr>
            <w:tcW w:w="776" w:type="dxa"/>
          </w:tcPr>
          <w:p>
            <w:pPr>
              <w:pStyle w:val="TableParagraph"/>
              <w:spacing w:before="116"/>
              <w:ind w:left="207"/>
              <w:jc w:val="left"/>
              <w:rPr>
                <w:sz w:val="18"/>
              </w:rPr>
            </w:pPr>
            <w:r>
              <w:rPr>
                <w:color w:val="231F20"/>
                <w:sz w:val="18"/>
              </w:rPr>
              <w:t>0.9</w:t>
            </w:r>
          </w:p>
        </w:tc>
        <w:tc>
          <w:tcPr>
            <w:tcW w:w="776" w:type="dxa"/>
          </w:tcPr>
          <w:p>
            <w:pPr>
              <w:pStyle w:val="TableParagraph"/>
              <w:spacing w:before="116"/>
              <w:ind w:left="44" w:right="188"/>
              <w:rPr>
                <w:sz w:val="18"/>
              </w:rPr>
            </w:pPr>
            <w:r>
              <w:rPr>
                <w:color w:val="231F20"/>
                <w:sz w:val="18"/>
              </w:rPr>
              <w:t>2.9</w:t>
            </w:r>
          </w:p>
        </w:tc>
        <w:tc>
          <w:tcPr>
            <w:tcW w:w="776" w:type="dxa"/>
          </w:tcPr>
          <w:p>
            <w:pPr>
              <w:pStyle w:val="TableParagraph"/>
              <w:spacing w:before="116"/>
              <w:ind w:left="207"/>
              <w:jc w:val="left"/>
              <w:rPr>
                <w:sz w:val="18"/>
              </w:rPr>
            </w:pPr>
            <w:r>
              <w:rPr>
                <w:color w:val="231F20"/>
                <w:sz w:val="18"/>
              </w:rPr>
              <w:t>3.9</w:t>
            </w:r>
          </w:p>
        </w:tc>
        <w:tc>
          <w:tcPr>
            <w:tcW w:w="776" w:type="dxa"/>
          </w:tcPr>
          <w:p>
            <w:pPr>
              <w:pStyle w:val="TableParagraph"/>
              <w:spacing w:before="116"/>
              <w:ind w:left="207"/>
              <w:jc w:val="left"/>
              <w:rPr>
                <w:sz w:val="18"/>
              </w:rPr>
            </w:pPr>
            <w:r>
              <w:rPr>
                <w:color w:val="231F20"/>
                <w:sz w:val="18"/>
              </w:rPr>
              <w:t>4.9</w:t>
            </w:r>
          </w:p>
        </w:tc>
        <w:tc>
          <w:tcPr>
            <w:tcW w:w="847" w:type="dxa"/>
          </w:tcPr>
          <w:p>
            <w:pPr>
              <w:pStyle w:val="TableParagraph"/>
              <w:spacing w:before="116"/>
              <w:ind w:left="207"/>
              <w:jc w:val="left"/>
              <w:rPr>
                <w:sz w:val="18"/>
              </w:rPr>
            </w:pPr>
            <w:r>
              <w:rPr>
                <w:color w:val="231F20"/>
                <w:sz w:val="18"/>
              </w:rPr>
              <w:t>7.4</w:t>
            </w:r>
          </w:p>
        </w:tc>
      </w:tr>
      <w:tr>
        <w:trPr>
          <w:trHeight w:val="340" w:hRule="exact"/>
        </w:trPr>
        <w:tc>
          <w:tcPr>
            <w:tcW w:w="2192" w:type="dxa"/>
          </w:tcPr>
          <w:p>
            <w:pPr>
              <w:pStyle w:val="TableParagraph"/>
              <w:spacing w:before="44"/>
              <w:ind w:left="136"/>
              <w:jc w:val="left"/>
              <w:rPr>
                <w:sz w:val="18"/>
              </w:rPr>
            </w:pPr>
            <w:r>
              <w:rPr>
                <w:color w:val="010202"/>
                <w:sz w:val="18"/>
              </w:rPr>
              <w:t>Baja California</w:t>
            </w:r>
          </w:p>
        </w:tc>
        <w:tc>
          <w:tcPr>
            <w:tcW w:w="972" w:type="dxa"/>
          </w:tcPr>
          <w:p>
            <w:pPr>
              <w:pStyle w:val="TableParagraph"/>
              <w:spacing w:before="44"/>
              <w:ind w:left="403"/>
              <w:jc w:val="left"/>
              <w:rPr>
                <w:sz w:val="18"/>
              </w:rPr>
            </w:pPr>
            <w:r>
              <w:rPr>
                <w:color w:val="010202"/>
                <w:sz w:val="18"/>
              </w:rPr>
              <w:t>1.3</w:t>
            </w:r>
          </w:p>
        </w:tc>
        <w:tc>
          <w:tcPr>
            <w:tcW w:w="776" w:type="dxa"/>
          </w:tcPr>
          <w:p>
            <w:pPr>
              <w:pStyle w:val="TableParagraph"/>
              <w:spacing w:before="44"/>
              <w:ind w:left="207"/>
              <w:jc w:val="left"/>
              <w:rPr>
                <w:sz w:val="18"/>
              </w:rPr>
            </w:pPr>
            <w:r>
              <w:rPr>
                <w:color w:val="010202"/>
                <w:sz w:val="18"/>
              </w:rPr>
              <w:t>1.3</w:t>
            </w:r>
          </w:p>
        </w:tc>
        <w:tc>
          <w:tcPr>
            <w:tcW w:w="776" w:type="dxa"/>
          </w:tcPr>
          <w:p>
            <w:pPr>
              <w:pStyle w:val="TableParagraph"/>
              <w:spacing w:before="44"/>
              <w:ind w:left="44" w:right="188"/>
              <w:rPr>
                <w:sz w:val="18"/>
              </w:rPr>
            </w:pPr>
            <w:r>
              <w:rPr>
                <w:color w:val="010202"/>
                <w:sz w:val="18"/>
              </w:rPr>
              <w:t>1.1</w:t>
            </w:r>
          </w:p>
        </w:tc>
        <w:tc>
          <w:tcPr>
            <w:tcW w:w="776" w:type="dxa"/>
          </w:tcPr>
          <w:p>
            <w:pPr>
              <w:pStyle w:val="TableParagraph"/>
              <w:spacing w:before="44"/>
              <w:ind w:left="207"/>
              <w:jc w:val="left"/>
              <w:rPr>
                <w:sz w:val="18"/>
              </w:rPr>
            </w:pPr>
            <w:r>
              <w:rPr>
                <w:color w:val="010202"/>
                <w:sz w:val="18"/>
              </w:rPr>
              <w:t>2.0</w:t>
            </w:r>
          </w:p>
        </w:tc>
        <w:tc>
          <w:tcPr>
            <w:tcW w:w="776" w:type="dxa"/>
          </w:tcPr>
          <w:p>
            <w:pPr>
              <w:pStyle w:val="TableParagraph"/>
              <w:spacing w:before="44"/>
              <w:ind w:left="207"/>
              <w:jc w:val="left"/>
              <w:rPr>
                <w:sz w:val="18"/>
              </w:rPr>
            </w:pPr>
            <w:r>
              <w:rPr>
                <w:color w:val="010202"/>
                <w:sz w:val="18"/>
              </w:rPr>
              <w:t>1.5</w:t>
            </w:r>
          </w:p>
        </w:tc>
        <w:tc>
          <w:tcPr>
            <w:tcW w:w="847" w:type="dxa"/>
          </w:tcPr>
          <w:p>
            <w:pPr>
              <w:pStyle w:val="TableParagraph"/>
              <w:spacing w:before="44"/>
              <w:ind w:left="207"/>
              <w:jc w:val="left"/>
              <w:rPr>
                <w:sz w:val="18"/>
              </w:rPr>
            </w:pPr>
            <w:r>
              <w:rPr>
                <w:color w:val="010202"/>
                <w:sz w:val="18"/>
              </w:rPr>
              <w:t>3.6</w:t>
            </w:r>
          </w:p>
        </w:tc>
      </w:tr>
      <w:tr>
        <w:trPr>
          <w:trHeight w:val="340" w:hRule="exact"/>
        </w:trPr>
        <w:tc>
          <w:tcPr>
            <w:tcW w:w="2192" w:type="dxa"/>
          </w:tcPr>
          <w:p>
            <w:pPr>
              <w:pStyle w:val="TableParagraph"/>
              <w:spacing w:before="23"/>
              <w:ind w:left="136"/>
              <w:jc w:val="left"/>
              <w:rPr>
                <w:rFonts w:ascii="Palatino Linotype"/>
                <w:b/>
                <w:sz w:val="18"/>
              </w:rPr>
            </w:pPr>
            <w:r>
              <w:rPr>
                <w:rFonts w:ascii="Palatino Linotype"/>
                <w:b/>
                <w:color w:val="231F20"/>
                <w:w w:val="95"/>
                <w:sz w:val="18"/>
              </w:rPr>
              <w:t>Coahuila de Zaragoza</w:t>
            </w:r>
          </w:p>
        </w:tc>
        <w:tc>
          <w:tcPr>
            <w:tcW w:w="972" w:type="dxa"/>
          </w:tcPr>
          <w:p>
            <w:pPr>
              <w:pStyle w:val="TableParagraph"/>
              <w:spacing w:before="23"/>
              <w:ind w:left="403"/>
              <w:jc w:val="left"/>
              <w:rPr>
                <w:rFonts w:ascii="Palatino Linotype"/>
                <w:b/>
                <w:sz w:val="18"/>
              </w:rPr>
            </w:pPr>
            <w:r>
              <w:rPr>
                <w:rFonts w:ascii="Palatino Linotype"/>
                <w:b/>
                <w:color w:val="231F20"/>
                <w:sz w:val="18"/>
              </w:rPr>
              <w:t>12.1</w:t>
            </w:r>
          </w:p>
        </w:tc>
        <w:tc>
          <w:tcPr>
            <w:tcW w:w="776" w:type="dxa"/>
          </w:tcPr>
          <w:p>
            <w:pPr>
              <w:pStyle w:val="TableParagraph"/>
              <w:spacing w:before="23"/>
              <w:ind w:left="207"/>
              <w:jc w:val="left"/>
              <w:rPr>
                <w:rFonts w:ascii="Palatino Linotype"/>
                <w:b/>
                <w:sz w:val="18"/>
              </w:rPr>
            </w:pPr>
            <w:r>
              <w:rPr>
                <w:rFonts w:ascii="Palatino Linotype"/>
                <w:b/>
                <w:color w:val="231F20"/>
                <w:sz w:val="18"/>
              </w:rPr>
              <w:t>17.6</w:t>
            </w:r>
          </w:p>
        </w:tc>
        <w:tc>
          <w:tcPr>
            <w:tcW w:w="776" w:type="dxa"/>
          </w:tcPr>
          <w:p>
            <w:pPr>
              <w:pStyle w:val="TableParagraph"/>
              <w:spacing w:before="23"/>
              <w:ind w:left="146" w:right="188"/>
              <w:rPr>
                <w:rFonts w:ascii="Palatino Linotype"/>
                <w:b/>
                <w:sz w:val="18"/>
              </w:rPr>
            </w:pPr>
            <w:r>
              <w:rPr>
                <w:rFonts w:ascii="Palatino Linotype"/>
                <w:b/>
                <w:color w:val="231F20"/>
                <w:sz w:val="18"/>
              </w:rPr>
              <w:t>11.3</w:t>
            </w:r>
          </w:p>
        </w:tc>
        <w:tc>
          <w:tcPr>
            <w:tcW w:w="776" w:type="dxa"/>
          </w:tcPr>
          <w:p>
            <w:pPr>
              <w:pStyle w:val="TableParagraph"/>
              <w:spacing w:before="23"/>
              <w:ind w:left="207"/>
              <w:jc w:val="left"/>
              <w:rPr>
                <w:rFonts w:ascii="Palatino Linotype"/>
                <w:b/>
                <w:sz w:val="18"/>
              </w:rPr>
            </w:pPr>
            <w:r>
              <w:rPr>
                <w:rFonts w:ascii="Palatino Linotype"/>
                <w:b/>
                <w:color w:val="231F20"/>
                <w:sz w:val="18"/>
              </w:rPr>
              <w:t>15.9</w:t>
            </w:r>
          </w:p>
        </w:tc>
        <w:tc>
          <w:tcPr>
            <w:tcW w:w="776" w:type="dxa"/>
          </w:tcPr>
          <w:p>
            <w:pPr>
              <w:pStyle w:val="TableParagraph"/>
              <w:spacing w:before="23"/>
              <w:ind w:left="207"/>
              <w:jc w:val="left"/>
              <w:rPr>
                <w:rFonts w:ascii="Palatino Linotype"/>
                <w:b/>
                <w:sz w:val="18"/>
              </w:rPr>
            </w:pPr>
            <w:r>
              <w:rPr>
                <w:rFonts w:ascii="Palatino Linotype"/>
                <w:b/>
                <w:color w:val="231F20"/>
                <w:sz w:val="18"/>
              </w:rPr>
              <w:t>19.2</w:t>
            </w:r>
          </w:p>
        </w:tc>
        <w:tc>
          <w:tcPr>
            <w:tcW w:w="847" w:type="dxa"/>
          </w:tcPr>
          <w:p>
            <w:pPr>
              <w:pStyle w:val="TableParagraph"/>
              <w:spacing w:before="23"/>
              <w:ind w:left="207"/>
              <w:jc w:val="left"/>
              <w:rPr>
                <w:rFonts w:ascii="Palatino Linotype"/>
                <w:b/>
                <w:sz w:val="18"/>
              </w:rPr>
            </w:pPr>
            <w:r>
              <w:rPr>
                <w:rFonts w:ascii="Palatino Linotype"/>
                <w:b/>
                <w:color w:val="231F20"/>
                <w:sz w:val="18"/>
              </w:rPr>
              <w:t>17.8</w:t>
            </w:r>
          </w:p>
        </w:tc>
      </w:tr>
      <w:tr>
        <w:trPr>
          <w:trHeight w:val="341" w:hRule="exact"/>
        </w:trPr>
        <w:tc>
          <w:tcPr>
            <w:tcW w:w="2192" w:type="dxa"/>
          </w:tcPr>
          <w:p>
            <w:pPr>
              <w:pStyle w:val="TableParagraph"/>
              <w:spacing w:before="24"/>
              <w:ind w:left="136"/>
              <w:jc w:val="left"/>
              <w:rPr>
                <w:rFonts w:ascii="Palatino Linotype"/>
                <w:b/>
                <w:sz w:val="18"/>
              </w:rPr>
            </w:pPr>
            <w:r>
              <w:rPr>
                <w:rFonts w:ascii="Palatino Linotype"/>
                <w:b/>
                <w:color w:val="010202"/>
                <w:sz w:val="18"/>
              </w:rPr>
              <w:t>Chihuahua</w:t>
            </w:r>
          </w:p>
        </w:tc>
        <w:tc>
          <w:tcPr>
            <w:tcW w:w="972" w:type="dxa"/>
          </w:tcPr>
          <w:p>
            <w:pPr>
              <w:pStyle w:val="TableParagraph"/>
              <w:spacing w:before="24"/>
              <w:ind w:left="403"/>
              <w:jc w:val="left"/>
              <w:rPr>
                <w:rFonts w:ascii="Palatino Linotype"/>
                <w:b/>
                <w:sz w:val="18"/>
              </w:rPr>
            </w:pPr>
            <w:r>
              <w:rPr>
                <w:rFonts w:ascii="Palatino Linotype"/>
                <w:b/>
                <w:color w:val="010202"/>
                <w:sz w:val="18"/>
              </w:rPr>
              <w:t>1.4</w:t>
            </w:r>
          </w:p>
        </w:tc>
        <w:tc>
          <w:tcPr>
            <w:tcW w:w="776" w:type="dxa"/>
          </w:tcPr>
          <w:p>
            <w:pPr>
              <w:pStyle w:val="TableParagraph"/>
              <w:spacing w:before="24"/>
              <w:ind w:left="207"/>
              <w:jc w:val="left"/>
              <w:rPr>
                <w:rFonts w:ascii="Palatino Linotype"/>
                <w:b/>
                <w:sz w:val="18"/>
              </w:rPr>
            </w:pPr>
            <w:r>
              <w:rPr>
                <w:rFonts w:ascii="Palatino Linotype"/>
                <w:b/>
                <w:color w:val="010202"/>
                <w:sz w:val="18"/>
              </w:rPr>
              <w:t>3.4</w:t>
            </w:r>
          </w:p>
        </w:tc>
        <w:tc>
          <w:tcPr>
            <w:tcW w:w="776" w:type="dxa"/>
          </w:tcPr>
          <w:p>
            <w:pPr>
              <w:pStyle w:val="TableParagraph"/>
              <w:spacing w:before="24"/>
              <w:ind w:left="56" w:right="188"/>
              <w:rPr>
                <w:rFonts w:ascii="Palatino Linotype"/>
                <w:b/>
                <w:sz w:val="18"/>
              </w:rPr>
            </w:pPr>
            <w:r>
              <w:rPr>
                <w:rFonts w:ascii="Palatino Linotype"/>
                <w:b/>
                <w:color w:val="010202"/>
                <w:sz w:val="18"/>
              </w:rPr>
              <w:t>0.6</w:t>
            </w:r>
          </w:p>
        </w:tc>
        <w:tc>
          <w:tcPr>
            <w:tcW w:w="776" w:type="dxa"/>
          </w:tcPr>
          <w:p>
            <w:pPr>
              <w:pStyle w:val="TableParagraph"/>
              <w:spacing w:before="24"/>
              <w:ind w:left="207"/>
              <w:jc w:val="left"/>
              <w:rPr>
                <w:rFonts w:ascii="Palatino Linotype"/>
                <w:b/>
                <w:sz w:val="18"/>
              </w:rPr>
            </w:pPr>
            <w:r>
              <w:rPr>
                <w:rFonts w:ascii="Palatino Linotype"/>
                <w:b/>
                <w:color w:val="010202"/>
                <w:sz w:val="18"/>
              </w:rPr>
              <w:t>1.7</w:t>
            </w:r>
          </w:p>
        </w:tc>
        <w:tc>
          <w:tcPr>
            <w:tcW w:w="776" w:type="dxa"/>
          </w:tcPr>
          <w:p>
            <w:pPr>
              <w:pStyle w:val="TableParagraph"/>
              <w:spacing w:before="24"/>
              <w:ind w:left="207"/>
              <w:jc w:val="left"/>
              <w:rPr>
                <w:rFonts w:ascii="Palatino Linotype"/>
                <w:b/>
                <w:sz w:val="18"/>
              </w:rPr>
            </w:pPr>
            <w:r>
              <w:rPr>
                <w:rFonts w:ascii="Palatino Linotype"/>
                <w:b/>
                <w:color w:val="010202"/>
                <w:sz w:val="18"/>
              </w:rPr>
              <w:t>9.6</w:t>
            </w:r>
          </w:p>
        </w:tc>
        <w:tc>
          <w:tcPr>
            <w:tcW w:w="847" w:type="dxa"/>
          </w:tcPr>
          <w:p>
            <w:pPr>
              <w:pStyle w:val="TableParagraph"/>
              <w:spacing w:before="24"/>
              <w:ind w:left="207"/>
              <w:jc w:val="left"/>
              <w:rPr>
                <w:rFonts w:ascii="Palatino Linotype"/>
                <w:b/>
                <w:sz w:val="18"/>
              </w:rPr>
            </w:pPr>
            <w:r>
              <w:rPr>
                <w:rFonts w:ascii="Palatino Linotype"/>
                <w:b/>
                <w:color w:val="010202"/>
                <w:sz w:val="18"/>
              </w:rPr>
              <w:t>5.3</w:t>
            </w:r>
          </w:p>
        </w:tc>
      </w:tr>
      <w:tr>
        <w:trPr>
          <w:trHeight w:val="341" w:hRule="exact"/>
        </w:trPr>
        <w:tc>
          <w:tcPr>
            <w:tcW w:w="2192" w:type="dxa"/>
          </w:tcPr>
          <w:p>
            <w:pPr>
              <w:pStyle w:val="TableParagraph"/>
              <w:spacing w:before="44"/>
              <w:ind w:left="136"/>
              <w:jc w:val="left"/>
              <w:rPr>
                <w:sz w:val="18"/>
              </w:rPr>
            </w:pPr>
            <w:r>
              <w:rPr>
                <w:color w:val="231F20"/>
                <w:sz w:val="18"/>
              </w:rPr>
              <w:t>Distrito Federal</w:t>
            </w:r>
          </w:p>
        </w:tc>
        <w:tc>
          <w:tcPr>
            <w:tcW w:w="972" w:type="dxa"/>
          </w:tcPr>
          <w:p>
            <w:pPr>
              <w:pStyle w:val="TableParagraph"/>
              <w:spacing w:before="44"/>
              <w:ind w:left="403"/>
              <w:jc w:val="left"/>
              <w:rPr>
                <w:sz w:val="18"/>
              </w:rPr>
            </w:pPr>
            <w:r>
              <w:rPr>
                <w:color w:val="231F20"/>
                <w:sz w:val="18"/>
              </w:rPr>
              <w:t>16.9</w:t>
            </w:r>
          </w:p>
        </w:tc>
        <w:tc>
          <w:tcPr>
            <w:tcW w:w="776" w:type="dxa"/>
          </w:tcPr>
          <w:p>
            <w:pPr>
              <w:pStyle w:val="TableParagraph"/>
              <w:spacing w:before="44"/>
              <w:ind w:left="207"/>
              <w:jc w:val="left"/>
              <w:rPr>
                <w:sz w:val="18"/>
              </w:rPr>
            </w:pPr>
            <w:r>
              <w:rPr>
                <w:color w:val="231F20"/>
                <w:sz w:val="18"/>
              </w:rPr>
              <w:t>13.6</w:t>
            </w:r>
          </w:p>
        </w:tc>
        <w:tc>
          <w:tcPr>
            <w:tcW w:w="776" w:type="dxa"/>
          </w:tcPr>
          <w:p>
            <w:pPr>
              <w:pStyle w:val="TableParagraph"/>
              <w:spacing w:before="44"/>
              <w:ind w:left="131" w:right="188"/>
              <w:rPr>
                <w:sz w:val="18"/>
              </w:rPr>
            </w:pPr>
            <w:r>
              <w:rPr>
                <w:color w:val="231F20"/>
                <w:sz w:val="18"/>
              </w:rPr>
              <w:t>12.5</w:t>
            </w:r>
          </w:p>
        </w:tc>
        <w:tc>
          <w:tcPr>
            <w:tcW w:w="776" w:type="dxa"/>
          </w:tcPr>
          <w:p>
            <w:pPr>
              <w:pStyle w:val="TableParagraph"/>
              <w:spacing w:before="44"/>
              <w:ind w:left="207"/>
              <w:jc w:val="left"/>
              <w:rPr>
                <w:sz w:val="18"/>
              </w:rPr>
            </w:pPr>
            <w:r>
              <w:rPr>
                <w:color w:val="231F20"/>
                <w:sz w:val="18"/>
              </w:rPr>
              <w:t>7.1</w:t>
            </w:r>
          </w:p>
        </w:tc>
        <w:tc>
          <w:tcPr>
            <w:tcW w:w="776" w:type="dxa"/>
          </w:tcPr>
          <w:p>
            <w:pPr>
              <w:pStyle w:val="TableParagraph"/>
              <w:spacing w:before="44"/>
              <w:ind w:left="207"/>
              <w:jc w:val="left"/>
              <w:rPr>
                <w:sz w:val="18"/>
              </w:rPr>
            </w:pPr>
            <w:r>
              <w:rPr>
                <w:color w:val="231F20"/>
                <w:sz w:val="18"/>
              </w:rPr>
              <w:t>1.4</w:t>
            </w:r>
          </w:p>
        </w:tc>
        <w:tc>
          <w:tcPr>
            <w:tcW w:w="847" w:type="dxa"/>
          </w:tcPr>
          <w:p>
            <w:pPr>
              <w:pStyle w:val="TableParagraph"/>
              <w:spacing w:before="44"/>
              <w:ind w:left="207"/>
              <w:jc w:val="left"/>
              <w:rPr>
                <w:sz w:val="18"/>
              </w:rPr>
            </w:pPr>
            <w:r>
              <w:rPr>
                <w:color w:val="231F20"/>
                <w:sz w:val="18"/>
              </w:rPr>
              <w:t>2.5</w:t>
            </w:r>
          </w:p>
        </w:tc>
      </w:tr>
      <w:tr>
        <w:trPr>
          <w:trHeight w:val="340" w:hRule="exact"/>
        </w:trPr>
        <w:tc>
          <w:tcPr>
            <w:tcW w:w="2192" w:type="dxa"/>
          </w:tcPr>
          <w:p>
            <w:pPr>
              <w:pStyle w:val="TableParagraph"/>
              <w:spacing w:before="44"/>
              <w:ind w:left="136"/>
              <w:jc w:val="left"/>
              <w:rPr>
                <w:sz w:val="18"/>
              </w:rPr>
            </w:pPr>
            <w:r>
              <w:rPr>
                <w:color w:val="010202"/>
                <w:w w:val="105"/>
                <w:sz w:val="18"/>
              </w:rPr>
              <w:t>Durango</w:t>
            </w:r>
          </w:p>
        </w:tc>
        <w:tc>
          <w:tcPr>
            <w:tcW w:w="972" w:type="dxa"/>
          </w:tcPr>
          <w:p>
            <w:pPr>
              <w:pStyle w:val="TableParagraph"/>
              <w:spacing w:before="44"/>
              <w:ind w:left="403"/>
              <w:jc w:val="left"/>
              <w:rPr>
                <w:sz w:val="18"/>
              </w:rPr>
            </w:pPr>
            <w:r>
              <w:rPr>
                <w:color w:val="231F20"/>
                <w:sz w:val="18"/>
              </w:rPr>
              <w:t>0.0</w:t>
            </w:r>
          </w:p>
        </w:tc>
        <w:tc>
          <w:tcPr>
            <w:tcW w:w="776" w:type="dxa"/>
          </w:tcPr>
          <w:p>
            <w:pPr>
              <w:pStyle w:val="TableParagraph"/>
              <w:spacing w:before="44"/>
              <w:ind w:left="207"/>
              <w:jc w:val="left"/>
              <w:rPr>
                <w:sz w:val="18"/>
              </w:rPr>
            </w:pPr>
            <w:r>
              <w:rPr>
                <w:color w:val="231F20"/>
                <w:sz w:val="18"/>
              </w:rPr>
              <w:t>1.5</w:t>
            </w:r>
          </w:p>
        </w:tc>
        <w:tc>
          <w:tcPr>
            <w:tcW w:w="776" w:type="dxa"/>
          </w:tcPr>
          <w:p>
            <w:pPr>
              <w:pStyle w:val="TableParagraph"/>
              <w:spacing w:before="44"/>
              <w:ind w:left="44" w:right="188"/>
              <w:rPr>
                <w:sz w:val="18"/>
              </w:rPr>
            </w:pPr>
            <w:r>
              <w:rPr>
                <w:color w:val="231F20"/>
                <w:sz w:val="18"/>
              </w:rPr>
              <w:t>0.8</w:t>
            </w:r>
          </w:p>
        </w:tc>
        <w:tc>
          <w:tcPr>
            <w:tcW w:w="776" w:type="dxa"/>
          </w:tcPr>
          <w:p>
            <w:pPr>
              <w:pStyle w:val="TableParagraph"/>
              <w:spacing w:before="44"/>
              <w:ind w:left="207"/>
              <w:jc w:val="left"/>
              <w:rPr>
                <w:sz w:val="18"/>
              </w:rPr>
            </w:pPr>
            <w:r>
              <w:rPr>
                <w:color w:val="231F20"/>
                <w:sz w:val="18"/>
              </w:rPr>
              <w:t>0.2</w:t>
            </w:r>
          </w:p>
        </w:tc>
        <w:tc>
          <w:tcPr>
            <w:tcW w:w="776" w:type="dxa"/>
          </w:tcPr>
          <w:p>
            <w:pPr>
              <w:pStyle w:val="TableParagraph"/>
              <w:spacing w:before="44"/>
              <w:ind w:left="207"/>
              <w:jc w:val="left"/>
              <w:rPr>
                <w:sz w:val="18"/>
              </w:rPr>
            </w:pPr>
            <w:r>
              <w:rPr>
                <w:color w:val="231F20"/>
                <w:sz w:val="18"/>
              </w:rPr>
              <w:t>0.2</w:t>
            </w:r>
          </w:p>
        </w:tc>
        <w:tc>
          <w:tcPr>
            <w:tcW w:w="847" w:type="dxa"/>
          </w:tcPr>
          <w:p>
            <w:pPr>
              <w:pStyle w:val="TableParagraph"/>
              <w:spacing w:before="44"/>
              <w:ind w:left="207"/>
              <w:jc w:val="left"/>
              <w:rPr>
                <w:sz w:val="18"/>
              </w:rPr>
            </w:pPr>
            <w:r>
              <w:rPr>
                <w:color w:val="010202"/>
                <w:sz w:val="18"/>
              </w:rPr>
              <w:t>0.2</w:t>
            </w:r>
          </w:p>
        </w:tc>
      </w:tr>
      <w:tr>
        <w:trPr>
          <w:trHeight w:val="340" w:hRule="exact"/>
        </w:trPr>
        <w:tc>
          <w:tcPr>
            <w:tcW w:w="2192" w:type="dxa"/>
          </w:tcPr>
          <w:p>
            <w:pPr>
              <w:pStyle w:val="TableParagraph"/>
              <w:spacing w:before="23"/>
              <w:ind w:left="136"/>
              <w:jc w:val="left"/>
              <w:rPr>
                <w:rFonts w:ascii="Palatino Linotype"/>
                <w:b/>
                <w:sz w:val="18"/>
              </w:rPr>
            </w:pPr>
            <w:r>
              <w:rPr>
                <w:rFonts w:ascii="Palatino Linotype"/>
                <w:b/>
                <w:color w:val="231F20"/>
                <w:sz w:val="18"/>
              </w:rPr>
              <w:t>Guanajuato</w:t>
            </w:r>
          </w:p>
        </w:tc>
        <w:tc>
          <w:tcPr>
            <w:tcW w:w="972" w:type="dxa"/>
          </w:tcPr>
          <w:p>
            <w:pPr>
              <w:pStyle w:val="TableParagraph"/>
              <w:spacing w:before="23"/>
              <w:ind w:left="403"/>
              <w:jc w:val="left"/>
              <w:rPr>
                <w:rFonts w:ascii="Palatino Linotype"/>
                <w:b/>
                <w:sz w:val="18"/>
              </w:rPr>
            </w:pPr>
            <w:r>
              <w:rPr>
                <w:rFonts w:ascii="Palatino Linotype"/>
                <w:b/>
                <w:color w:val="010202"/>
                <w:sz w:val="18"/>
              </w:rPr>
              <w:t>1.3</w:t>
            </w:r>
          </w:p>
        </w:tc>
        <w:tc>
          <w:tcPr>
            <w:tcW w:w="776" w:type="dxa"/>
          </w:tcPr>
          <w:p>
            <w:pPr>
              <w:pStyle w:val="TableParagraph"/>
              <w:spacing w:before="23"/>
              <w:ind w:left="207"/>
              <w:jc w:val="left"/>
              <w:rPr>
                <w:rFonts w:ascii="Palatino Linotype"/>
                <w:b/>
                <w:sz w:val="18"/>
              </w:rPr>
            </w:pPr>
            <w:r>
              <w:rPr>
                <w:rFonts w:ascii="Palatino Linotype"/>
                <w:b/>
                <w:color w:val="010202"/>
                <w:sz w:val="18"/>
              </w:rPr>
              <w:t>2.1</w:t>
            </w:r>
          </w:p>
        </w:tc>
        <w:tc>
          <w:tcPr>
            <w:tcW w:w="776" w:type="dxa"/>
          </w:tcPr>
          <w:p>
            <w:pPr>
              <w:pStyle w:val="TableParagraph"/>
              <w:spacing w:before="23"/>
              <w:ind w:left="56" w:right="188"/>
              <w:rPr>
                <w:rFonts w:ascii="Palatino Linotype"/>
                <w:b/>
                <w:sz w:val="18"/>
              </w:rPr>
            </w:pPr>
            <w:r>
              <w:rPr>
                <w:rFonts w:ascii="Palatino Linotype"/>
                <w:b/>
                <w:color w:val="010202"/>
                <w:sz w:val="18"/>
              </w:rPr>
              <w:t>1.1</w:t>
            </w:r>
          </w:p>
        </w:tc>
        <w:tc>
          <w:tcPr>
            <w:tcW w:w="776" w:type="dxa"/>
          </w:tcPr>
          <w:p>
            <w:pPr>
              <w:pStyle w:val="TableParagraph"/>
              <w:spacing w:before="23"/>
              <w:ind w:left="207"/>
              <w:jc w:val="left"/>
              <w:rPr>
                <w:rFonts w:ascii="Palatino Linotype"/>
                <w:b/>
                <w:sz w:val="18"/>
              </w:rPr>
            </w:pPr>
            <w:r>
              <w:rPr>
                <w:rFonts w:ascii="Palatino Linotype"/>
                <w:b/>
                <w:color w:val="010202"/>
                <w:sz w:val="18"/>
              </w:rPr>
              <w:t>12.7</w:t>
            </w:r>
          </w:p>
        </w:tc>
        <w:tc>
          <w:tcPr>
            <w:tcW w:w="776" w:type="dxa"/>
          </w:tcPr>
          <w:p>
            <w:pPr>
              <w:pStyle w:val="TableParagraph"/>
              <w:spacing w:before="23"/>
              <w:ind w:left="207"/>
              <w:jc w:val="left"/>
              <w:rPr>
                <w:rFonts w:ascii="Palatino Linotype"/>
                <w:b/>
                <w:sz w:val="18"/>
              </w:rPr>
            </w:pPr>
            <w:r>
              <w:rPr>
                <w:rFonts w:ascii="Palatino Linotype"/>
                <w:b/>
                <w:color w:val="010202"/>
                <w:sz w:val="18"/>
              </w:rPr>
              <w:t>13.8</w:t>
            </w:r>
          </w:p>
        </w:tc>
        <w:tc>
          <w:tcPr>
            <w:tcW w:w="847" w:type="dxa"/>
          </w:tcPr>
          <w:p>
            <w:pPr>
              <w:pStyle w:val="TableParagraph"/>
              <w:spacing w:before="23"/>
              <w:ind w:left="207"/>
              <w:jc w:val="left"/>
              <w:rPr>
                <w:rFonts w:ascii="Palatino Linotype"/>
                <w:b/>
                <w:sz w:val="18"/>
              </w:rPr>
            </w:pPr>
            <w:r>
              <w:rPr>
                <w:rFonts w:ascii="Palatino Linotype"/>
                <w:b/>
                <w:color w:val="010202"/>
                <w:sz w:val="18"/>
              </w:rPr>
              <w:t>7.3</w:t>
            </w:r>
          </w:p>
        </w:tc>
      </w:tr>
      <w:tr>
        <w:trPr>
          <w:trHeight w:val="341" w:hRule="exact"/>
        </w:trPr>
        <w:tc>
          <w:tcPr>
            <w:tcW w:w="2192" w:type="dxa"/>
          </w:tcPr>
          <w:p>
            <w:pPr>
              <w:pStyle w:val="TableParagraph"/>
              <w:spacing w:before="44"/>
              <w:ind w:left="136"/>
              <w:jc w:val="left"/>
              <w:rPr>
                <w:sz w:val="18"/>
              </w:rPr>
            </w:pPr>
            <w:r>
              <w:rPr>
                <w:color w:val="231F20"/>
                <w:sz w:val="18"/>
              </w:rPr>
              <w:t>Hidalgo</w:t>
            </w:r>
          </w:p>
        </w:tc>
        <w:tc>
          <w:tcPr>
            <w:tcW w:w="972" w:type="dxa"/>
          </w:tcPr>
          <w:p>
            <w:pPr>
              <w:pStyle w:val="TableParagraph"/>
              <w:spacing w:before="44"/>
              <w:ind w:left="403"/>
              <w:jc w:val="left"/>
              <w:rPr>
                <w:sz w:val="18"/>
              </w:rPr>
            </w:pPr>
            <w:r>
              <w:rPr>
                <w:color w:val="231F20"/>
                <w:sz w:val="18"/>
              </w:rPr>
              <w:t>5.5</w:t>
            </w:r>
          </w:p>
        </w:tc>
        <w:tc>
          <w:tcPr>
            <w:tcW w:w="776" w:type="dxa"/>
          </w:tcPr>
          <w:p>
            <w:pPr>
              <w:pStyle w:val="TableParagraph"/>
              <w:spacing w:before="44"/>
              <w:ind w:left="207"/>
              <w:jc w:val="left"/>
              <w:rPr>
                <w:sz w:val="18"/>
              </w:rPr>
            </w:pPr>
            <w:r>
              <w:rPr>
                <w:color w:val="231F20"/>
                <w:sz w:val="18"/>
              </w:rPr>
              <w:t>2.7</w:t>
            </w:r>
          </w:p>
        </w:tc>
        <w:tc>
          <w:tcPr>
            <w:tcW w:w="776" w:type="dxa"/>
          </w:tcPr>
          <w:p>
            <w:pPr>
              <w:pStyle w:val="TableParagraph"/>
              <w:spacing w:before="44"/>
              <w:ind w:left="44" w:right="188"/>
              <w:rPr>
                <w:sz w:val="18"/>
              </w:rPr>
            </w:pPr>
            <w:r>
              <w:rPr>
                <w:color w:val="231F20"/>
                <w:sz w:val="18"/>
              </w:rPr>
              <w:t>3.8</w:t>
            </w:r>
          </w:p>
        </w:tc>
        <w:tc>
          <w:tcPr>
            <w:tcW w:w="776" w:type="dxa"/>
          </w:tcPr>
          <w:p>
            <w:pPr>
              <w:pStyle w:val="TableParagraph"/>
              <w:spacing w:before="44"/>
              <w:ind w:left="207"/>
              <w:jc w:val="left"/>
              <w:rPr>
                <w:sz w:val="18"/>
              </w:rPr>
            </w:pPr>
            <w:r>
              <w:rPr>
                <w:color w:val="231F20"/>
                <w:sz w:val="18"/>
              </w:rPr>
              <w:t>1.0</w:t>
            </w:r>
          </w:p>
        </w:tc>
        <w:tc>
          <w:tcPr>
            <w:tcW w:w="776" w:type="dxa"/>
          </w:tcPr>
          <w:p>
            <w:pPr>
              <w:pStyle w:val="TableParagraph"/>
              <w:spacing w:before="44"/>
              <w:ind w:left="207"/>
              <w:jc w:val="left"/>
              <w:rPr>
                <w:sz w:val="18"/>
              </w:rPr>
            </w:pPr>
            <w:r>
              <w:rPr>
                <w:color w:val="231F20"/>
                <w:sz w:val="18"/>
              </w:rPr>
              <w:t>0.1</w:t>
            </w:r>
          </w:p>
        </w:tc>
        <w:tc>
          <w:tcPr>
            <w:tcW w:w="847" w:type="dxa"/>
          </w:tcPr>
          <w:p>
            <w:pPr>
              <w:pStyle w:val="TableParagraph"/>
              <w:spacing w:before="44"/>
              <w:ind w:left="207"/>
              <w:jc w:val="left"/>
              <w:rPr>
                <w:sz w:val="18"/>
              </w:rPr>
            </w:pPr>
            <w:r>
              <w:rPr>
                <w:color w:val="231F20"/>
                <w:sz w:val="18"/>
              </w:rPr>
              <w:t>0.6</w:t>
            </w:r>
          </w:p>
        </w:tc>
      </w:tr>
      <w:tr>
        <w:trPr>
          <w:trHeight w:val="340" w:hRule="exact"/>
        </w:trPr>
        <w:tc>
          <w:tcPr>
            <w:tcW w:w="2192" w:type="dxa"/>
          </w:tcPr>
          <w:p>
            <w:pPr>
              <w:pStyle w:val="TableParagraph"/>
              <w:spacing w:before="44"/>
              <w:ind w:left="136"/>
              <w:jc w:val="left"/>
              <w:rPr>
                <w:sz w:val="18"/>
              </w:rPr>
            </w:pPr>
            <w:r>
              <w:rPr>
                <w:color w:val="010202"/>
                <w:sz w:val="18"/>
              </w:rPr>
              <w:t>Jalisco</w:t>
            </w:r>
          </w:p>
        </w:tc>
        <w:tc>
          <w:tcPr>
            <w:tcW w:w="972" w:type="dxa"/>
          </w:tcPr>
          <w:p>
            <w:pPr>
              <w:pStyle w:val="TableParagraph"/>
              <w:spacing w:before="44"/>
              <w:ind w:left="403"/>
              <w:jc w:val="left"/>
              <w:rPr>
                <w:sz w:val="18"/>
              </w:rPr>
            </w:pPr>
            <w:r>
              <w:rPr>
                <w:color w:val="231F20"/>
                <w:sz w:val="18"/>
              </w:rPr>
              <w:t>0.8</w:t>
            </w:r>
          </w:p>
        </w:tc>
        <w:tc>
          <w:tcPr>
            <w:tcW w:w="776" w:type="dxa"/>
          </w:tcPr>
          <w:p>
            <w:pPr>
              <w:pStyle w:val="TableParagraph"/>
              <w:spacing w:before="44"/>
              <w:ind w:left="207"/>
              <w:jc w:val="left"/>
              <w:rPr>
                <w:sz w:val="18"/>
              </w:rPr>
            </w:pPr>
            <w:r>
              <w:rPr>
                <w:color w:val="231F20"/>
                <w:sz w:val="18"/>
              </w:rPr>
              <w:t>2.6</w:t>
            </w:r>
          </w:p>
        </w:tc>
        <w:tc>
          <w:tcPr>
            <w:tcW w:w="776" w:type="dxa"/>
          </w:tcPr>
          <w:p>
            <w:pPr>
              <w:pStyle w:val="TableParagraph"/>
              <w:spacing w:before="44"/>
              <w:ind w:left="44" w:right="188"/>
              <w:rPr>
                <w:sz w:val="18"/>
              </w:rPr>
            </w:pPr>
            <w:r>
              <w:rPr>
                <w:color w:val="231F20"/>
                <w:sz w:val="18"/>
              </w:rPr>
              <w:t>3.7</w:t>
            </w:r>
          </w:p>
        </w:tc>
        <w:tc>
          <w:tcPr>
            <w:tcW w:w="776" w:type="dxa"/>
          </w:tcPr>
          <w:p>
            <w:pPr>
              <w:pStyle w:val="TableParagraph"/>
              <w:spacing w:before="44"/>
              <w:ind w:left="207"/>
              <w:jc w:val="left"/>
              <w:rPr>
                <w:sz w:val="18"/>
              </w:rPr>
            </w:pPr>
            <w:r>
              <w:rPr>
                <w:color w:val="231F20"/>
                <w:sz w:val="18"/>
              </w:rPr>
              <w:t>2.7</w:t>
            </w:r>
          </w:p>
        </w:tc>
        <w:tc>
          <w:tcPr>
            <w:tcW w:w="776" w:type="dxa"/>
          </w:tcPr>
          <w:p>
            <w:pPr>
              <w:pStyle w:val="TableParagraph"/>
              <w:spacing w:before="44"/>
              <w:ind w:left="207"/>
              <w:jc w:val="left"/>
              <w:rPr>
                <w:sz w:val="18"/>
              </w:rPr>
            </w:pPr>
            <w:r>
              <w:rPr>
                <w:color w:val="010202"/>
                <w:sz w:val="18"/>
              </w:rPr>
              <w:t>2.0</w:t>
            </w:r>
          </w:p>
        </w:tc>
        <w:tc>
          <w:tcPr>
            <w:tcW w:w="847" w:type="dxa"/>
          </w:tcPr>
          <w:p>
            <w:pPr>
              <w:pStyle w:val="TableParagraph"/>
              <w:spacing w:before="44"/>
              <w:ind w:left="207"/>
              <w:jc w:val="left"/>
              <w:rPr>
                <w:sz w:val="18"/>
              </w:rPr>
            </w:pPr>
            <w:r>
              <w:rPr>
                <w:color w:val="010202"/>
                <w:sz w:val="18"/>
              </w:rPr>
              <w:t>2.4</w:t>
            </w:r>
          </w:p>
        </w:tc>
      </w:tr>
      <w:tr>
        <w:trPr>
          <w:trHeight w:val="340" w:hRule="exact"/>
        </w:trPr>
        <w:tc>
          <w:tcPr>
            <w:tcW w:w="2192" w:type="dxa"/>
          </w:tcPr>
          <w:p>
            <w:pPr>
              <w:pStyle w:val="TableParagraph"/>
              <w:spacing w:before="23"/>
              <w:ind w:left="136"/>
              <w:jc w:val="left"/>
              <w:rPr>
                <w:rFonts w:ascii="Palatino Linotype" w:hAnsi="Palatino Linotype"/>
                <w:b/>
                <w:sz w:val="18"/>
              </w:rPr>
            </w:pPr>
            <w:r>
              <w:rPr>
                <w:rFonts w:ascii="Palatino Linotype" w:hAnsi="Palatino Linotype"/>
                <w:b/>
                <w:color w:val="231F20"/>
                <w:sz w:val="18"/>
              </w:rPr>
              <w:t>México</w:t>
            </w:r>
          </w:p>
        </w:tc>
        <w:tc>
          <w:tcPr>
            <w:tcW w:w="972" w:type="dxa"/>
          </w:tcPr>
          <w:p>
            <w:pPr>
              <w:pStyle w:val="TableParagraph"/>
              <w:spacing w:before="23"/>
              <w:ind w:left="403"/>
              <w:jc w:val="left"/>
              <w:rPr>
                <w:rFonts w:ascii="Palatino Linotype"/>
                <w:b/>
                <w:sz w:val="18"/>
              </w:rPr>
            </w:pPr>
            <w:r>
              <w:rPr>
                <w:rFonts w:ascii="Palatino Linotype"/>
                <w:b/>
                <w:color w:val="010202"/>
                <w:sz w:val="18"/>
              </w:rPr>
              <w:t>32.6</w:t>
            </w:r>
          </w:p>
        </w:tc>
        <w:tc>
          <w:tcPr>
            <w:tcW w:w="776" w:type="dxa"/>
          </w:tcPr>
          <w:p>
            <w:pPr>
              <w:pStyle w:val="TableParagraph"/>
              <w:spacing w:before="23"/>
              <w:ind w:left="207"/>
              <w:jc w:val="left"/>
              <w:rPr>
                <w:rFonts w:ascii="Palatino Linotype"/>
                <w:b/>
                <w:sz w:val="18"/>
              </w:rPr>
            </w:pPr>
            <w:r>
              <w:rPr>
                <w:rFonts w:ascii="Palatino Linotype"/>
                <w:b/>
                <w:color w:val="010202"/>
                <w:sz w:val="18"/>
              </w:rPr>
              <w:t>23.6</w:t>
            </w:r>
          </w:p>
        </w:tc>
        <w:tc>
          <w:tcPr>
            <w:tcW w:w="776" w:type="dxa"/>
          </w:tcPr>
          <w:p>
            <w:pPr>
              <w:pStyle w:val="TableParagraph"/>
              <w:spacing w:before="23"/>
              <w:ind w:left="146" w:right="188"/>
              <w:rPr>
                <w:rFonts w:ascii="Palatino Linotype"/>
                <w:b/>
                <w:sz w:val="18"/>
              </w:rPr>
            </w:pPr>
            <w:r>
              <w:rPr>
                <w:rFonts w:ascii="Palatino Linotype"/>
                <w:b/>
                <w:color w:val="010202"/>
                <w:sz w:val="18"/>
              </w:rPr>
              <w:t>29.1</w:t>
            </w:r>
          </w:p>
        </w:tc>
        <w:tc>
          <w:tcPr>
            <w:tcW w:w="776" w:type="dxa"/>
          </w:tcPr>
          <w:p>
            <w:pPr>
              <w:pStyle w:val="TableParagraph"/>
              <w:spacing w:before="23"/>
              <w:ind w:left="207"/>
              <w:jc w:val="left"/>
              <w:rPr>
                <w:rFonts w:ascii="Palatino Linotype"/>
                <w:b/>
                <w:sz w:val="18"/>
              </w:rPr>
            </w:pPr>
            <w:r>
              <w:rPr>
                <w:rFonts w:ascii="Palatino Linotype"/>
                <w:b/>
                <w:color w:val="010202"/>
                <w:sz w:val="18"/>
              </w:rPr>
              <w:t>19.3</w:t>
            </w:r>
          </w:p>
        </w:tc>
        <w:tc>
          <w:tcPr>
            <w:tcW w:w="776" w:type="dxa"/>
          </w:tcPr>
          <w:p>
            <w:pPr>
              <w:pStyle w:val="TableParagraph"/>
              <w:spacing w:before="23"/>
              <w:ind w:left="207"/>
              <w:jc w:val="left"/>
              <w:rPr>
                <w:rFonts w:ascii="Palatino Linotype"/>
                <w:b/>
                <w:sz w:val="18"/>
              </w:rPr>
            </w:pPr>
            <w:r>
              <w:rPr>
                <w:rFonts w:ascii="Palatino Linotype"/>
                <w:b/>
                <w:color w:val="010202"/>
                <w:sz w:val="18"/>
              </w:rPr>
              <w:t>12.8</w:t>
            </w:r>
          </w:p>
        </w:tc>
        <w:tc>
          <w:tcPr>
            <w:tcW w:w="847" w:type="dxa"/>
          </w:tcPr>
          <w:p>
            <w:pPr>
              <w:pStyle w:val="TableParagraph"/>
              <w:spacing w:before="23"/>
              <w:ind w:left="207"/>
              <w:jc w:val="left"/>
              <w:rPr>
                <w:rFonts w:ascii="Palatino Linotype"/>
                <w:b/>
                <w:sz w:val="18"/>
              </w:rPr>
            </w:pPr>
            <w:r>
              <w:rPr>
                <w:rFonts w:ascii="Palatino Linotype"/>
                <w:b/>
                <w:color w:val="010202"/>
                <w:sz w:val="18"/>
              </w:rPr>
              <w:t>11.9</w:t>
            </w:r>
          </w:p>
        </w:tc>
      </w:tr>
      <w:tr>
        <w:trPr>
          <w:trHeight w:val="341" w:hRule="exact"/>
        </w:trPr>
        <w:tc>
          <w:tcPr>
            <w:tcW w:w="2192" w:type="dxa"/>
          </w:tcPr>
          <w:p>
            <w:pPr>
              <w:pStyle w:val="TableParagraph"/>
              <w:spacing w:before="44"/>
              <w:ind w:left="136"/>
              <w:jc w:val="left"/>
              <w:rPr>
                <w:sz w:val="18"/>
              </w:rPr>
            </w:pPr>
            <w:r>
              <w:rPr>
                <w:color w:val="231F20"/>
                <w:sz w:val="18"/>
              </w:rPr>
              <w:t>Morelos</w:t>
            </w:r>
          </w:p>
        </w:tc>
        <w:tc>
          <w:tcPr>
            <w:tcW w:w="972" w:type="dxa"/>
          </w:tcPr>
          <w:p>
            <w:pPr>
              <w:pStyle w:val="TableParagraph"/>
              <w:spacing w:before="44"/>
              <w:ind w:left="403"/>
              <w:jc w:val="left"/>
              <w:rPr>
                <w:sz w:val="18"/>
              </w:rPr>
            </w:pPr>
            <w:r>
              <w:rPr>
                <w:color w:val="231F20"/>
                <w:sz w:val="18"/>
              </w:rPr>
              <w:t>4.0</w:t>
            </w:r>
          </w:p>
        </w:tc>
        <w:tc>
          <w:tcPr>
            <w:tcW w:w="776" w:type="dxa"/>
          </w:tcPr>
          <w:p>
            <w:pPr>
              <w:pStyle w:val="TableParagraph"/>
              <w:spacing w:before="44"/>
              <w:ind w:left="207"/>
              <w:jc w:val="left"/>
              <w:rPr>
                <w:sz w:val="18"/>
              </w:rPr>
            </w:pPr>
            <w:r>
              <w:rPr>
                <w:color w:val="231F20"/>
                <w:sz w:val="18"/>
              </w:rPr>
              <w:t>8.2</w:t>
            </w:r>
          </w:p>
        </w:tc>
        <w:tc>
          <w:tcPr>
            <w:tcW w:w="776" w:type="dxa"/>
          </w:tcPr>
          <w:p>
            <w:pPr>
              <w:pStyle w:val="TableParagraph"/>
              <w:spacing w:before="44"/>
              <w:ind w:left="44" w:right="188"/>
              <w:rPr>
                <w:sz w:val="18"/>
              </w:rPr>
            </w:pPr>
            <w:r>
              <w:rPr>
                <w:color w:val="231F20"/>
                <w:sz w:val="18"/>
              </w:rPr>
              <w:t>6.5</w:t>
            </w:r>
          </w:p>
        </w:tc>
        <w:tc>
          <w:tcPr>
            <w:tcW w:w="776" w:type="dxa"/>
          </w:tcPr>
          <w:p>
            <w:pPr>
              <w:pStyle w:val="TableParagraph"/>
              <w:spacing w:before="44"/>
              <w:ind w:left="207"/>
              <w:jc w:val="left"/>
              <w:rPr>
                <w:sz w:val="18"/>
              </w:rPr>
            </w:pPr>
            <w:r>
              <w:rPr>
                <w:color w:val="231F20"/>
                <w:sz w:val="18"/>
              </w:rPr>
              <w:t>3.1</w:t>
            </w:r>
          </w:p>
        </w:tc>
        <w:tc>
          <w:tcPr>
            <w:tcW w:w="776" w:type="dxa"/>
          </w:tcPr>
          <w:p>
            <w:pPr>
              <w:pStyle w:val="TableParagraph"/>
              <w:spacing w:before="44"/>
              <w:ind w:left="207"/>
              <w:jc w:val="left"/>
              <w:rPr>
                <w:sz w:val="18"/>
              </w:rPr>
            </w:pPr>
            <w:r>
              <w:rPr>
                <w:color w:val="231F20"/>
                <w:sz w:val="18"/>
              </w:rPr>
              <w:t>2.7</w:t>
            </w:r>
          </w:p>
        </w:tc>
        <w:tc>
          <w:tcPr>
            <w:tcW w:w="847" w:type="dxa"/>
          </w:tcPr>
          <w:p>
            <w:pPr>
              <w:pStyle w:val="TableParagraph"/>
              <w:spacing w:before="44"/>
              <w:ind w:left="207"/>
              <w:jc w:val="left"/>
              <w:rPr>
                <w:sz w:val="18"/>
              </w:rPr>
            </w:pPr>
            <w:r>
              <w:rPr>
                <w:color w:val="231F20"/>
                <w:sz w:val="18"/>
              </w:rPr>
              <w:t>2.3</w:t>
            </w:r>
          </w:p>
        </w:tc>
      </w:tr>
      <w:tr>
        <w:trPr>
          <w:trHeight w:val="340" w:hRule="exact"/>
        </w:trPr>
        <w:tc>
          <w:tcPr>
            <w:tcW w:w="2192" w:type="dxa"/>
          </w:tcPr>
          <w:p>
            <w:pPr>
              <w:pStyle w:val="TableParagraph"/>
              <w:spacing w:before="44"/>
              <w:ind w:left="136"/>
              <w:jc w:val="left"/>
              <w:rPr>
                <w:sz w:val="18"/>
              </w:rPr>
            </w:pPr>
            <w:r>
              <w:rPr>
                <w:color w:val="010202"/>
                <w:sz w:val="18"/>
              </w:rPr>
              <w:t>Nuevo León</w:t>
            </w:r>
          </w:p>
        </w:tc>
        <w:tc>
          <w:tcPr>
            <w:tcW w:w="972" w:type="dxa"/>
          </w:tcPr>
          <w:p>
            <w:pPr>
              <w:pStyle w:val="TableParagraph"/>
              <w:spacing w:before="44"/>
              <w:ind w:left="403"/>
              <w:jc w:val="left"/>
              <w:rPr>
                <w:sz w:val="18"/>
              </w:rPr>
            </w:pPr>
            <w:r>
              <w:rPr>
                <w:color w:val="231F20"/>
                <w:sz w:val="18"/>
              </w:rPr>
              <w:t>3.5</w:t>
            </w:r>
          </w:p>
        </w:tc>
        <w:tc>
          <w:tcPr>
            <w:tcW w:w="776" w:type="dxa"/>
          </w:tcPr>
          <w:p>
            <w:pPr>
              <w:pStyle w:val="TableParagraph"/>
              <w:spacing w:before="44"/>
              <w:ind w:left="207"/>
              <w:jc w:val="left"/>
              <w:rPr>
                <w:sz w:val="18"/>
              </w:rPr>
            </w:pPr>
            <w:r>
              <w:rPr>
                <w:color w:val="231F20"/>
                <w:sz w:val="18"/>
              </w:rPr>
              <w:t>3.7</w:t>
            </w:r>
          </w:p>
        </w:tc>
        <w:tc>
          <w:tcPr>
            <w:tcW w:w="776" w:type="dxa"/>
          </w:tcPr>
          <w:p>
            <w:pPr>
              <w:pStyle w:val="TableParagraph"/>
              <w:spacing w:before="44"/>
              <w:ind w:left="44" w:right="188"/>
              <w:rPr>
                <w:sz w:val="18"/>
              </w:rPr>
            </w:pPr>
            <w:r>
              <w:rPr>
                <w:color w:val="231F20"/>
                <w:sz w:val="18"/>
              </w:rPr>
              <w:t>2.3</w:t>
            </w:r>
          </w:p>
        </w:tc>
        <w:tc>
          <w:tcPr>
            <w:tcW w:w="776" w:type="dxa"/>
          </w:tcPr>
          <w:p>
            <w:pPr>
              <w:pStyle w:val="TableParagraph"/>
              <w:spacing w:before="44"/>
              <w:ind w:left="207"/>
              <w:jc w:val="left"/>
              <w:rPr>
                <w:sz w:val="18"/>
              </w:rPr>
            </w:pPr>
            <w:r>
              <w:rPr>
                <w:color w:val="010202"/>
                <w:sz w:val="18"/>
              </w:rPr>
              <w:t>3.7</w:t>
            </w:r>
          </w:p>
        </w:tc>
        <w:tc>
          <w:tcPr>
            <w:tcW w:w="776" w:type="dxa"/>
          </w:tcPr>
          <w:p>
            <w:pPr>
              <w:pStyle w:val="TableParagraph"/>
              <w:spacing w:before="44"/>
              <w:ind w:left="207"/>
              <w:jc w:val="left"/>
              <w:rPr>
                <w:sz w:val="18"/>
              </w:rPr>
            </w:pPr>
            <w:r>
              <w:rPr>
                <w:color w:val="010202"/>
                <w:sz w:val="18"/>
              </w:rPr>
              <w:t>6.0</w:t>
            </w:r>
          </w:p>
        </w:tc>
        <w:tc>
          <w:tcPr>
            <w:tcW w:w="847" w:type="dxa"/>
          </w:tcPr>
          <w:p>
            <w:pPr>
              <w:pStyle w:val="TableParagraph"/>
              <w:spacing w:before="44"/>
              <w:ind w:left="207"/>
              <w:jc w:val="left"/>
              <w:rPr>
                <w:sz w:val="18"/>
              </w:rPr>
            </w:pPr>
            <w:r>
              <w:rPr>
                <w:color w:val="010202"/>
                <w:sz w:val="18"/>
              </w:rPr>
              <w:t>6.1</w:t>
            </w:r>
          </w:p>
        </w:tc>
      </w:tr>
      <w:tr>
        <w:trPr>
          <w:trHeight w:val="340" w:hRule="exact"/>
        </w:trPr>
        <w:tc>
          <w:tcPr>
            <w:tcW w:w="2192" w:type="dxa"/>
          </w:tcPr>
          <w:p>
            <w:pPr>
              <w:pStyle w:val="TableParagraph"/>
              <w:spacing w:before="23"/>
              <w:ind w:left="136"/>
              <w:jc w:val="left"/>
              <w:rPr>
                <w:rFonts w:ascii="Palatino Linotype"/>
                <w:b/>
                <w:sz w:val="18"/>
              </w:rPr>
            </w:pPr>
            <w:r>
              <w:rPr>
                <w:rFonts w:ascii="Palatino Linotype"/>
                <w:b/>
                <w:color w:val="231F20"/>
                <w:sz w:val="18"/>
              </w:rPr>
              <w:t>Puebla</w:t>
            </w:r>
          </w:p>
        </w:tc>
        <w:tc>
          <w:tcPr>
            <w:tcW w:w="972" w:type="dxa"/>
          </w:tcPr>
          <w:p>
            <w:pPr>
              <w:pStyle w:val="TableParagraph"/>
              <w:spacing w:before="23"/>
              <w:ind w:left="403"/>
              <w:jc w:val="left"/>
              <w:rPr>
                <w:rFonts w:ascii="Palatino Linotype"/>
                <w:b/>
                <w:sz w:val="18"/>
              </w:rPr>
            </w:pPr>
            <w:r>
              <w:rPr>
                <w:rFonts w:ascii="Palatino Linotype"/>
                <w:b/>
                <w:color w:val="010202"/>
                <w:sz w:val="18"/>
              </w:rPr>
              <w:t>12.9</w:t>
            </w:r>
          </w:p>
        </w:tc>
        <w:tc>
          <w:tcPr>
            <w:tcW w:w="776" w:type="dxa"/>
          </w:tcPr>
          <w:p>
            <w:pPr>
              <w:pStyle w:val="TableParagraph"/>
              <w:spacing w:before="23"/>
              <w:ind w:left="207"/>
              <w:jc w:val="left"/>
              <w:rPr>
                <w:rFonts w:ascii="Palatino Linotype"/>
                <w:b/>
                <w:sz w:val="18"/>
              </w:rPr>
            </w:pPr>
            <w:r>
              <w:rPr>
                <w:rFonts w:ascii="Palatino Linotype"/>
                <w:b/>
                <w:color w:val="010202"/>
                <w:sz w:val="18"/>
              </w:rPr>
              <w:t>7.9</w:t>
            </w:r>
          </w:p>
        </w:tc>
        <w:tc>
          <w:tcPr>
            <w:tcW w:w="776" w:type="dxa"/>
          </w:tcPr>
          <w:p>
            <w:pPr>
              <w:pStyle w:val="TableParagraph"/>
              <w:spacing w:before="23"/>
              <w:ind w:left="146" w:right="188"/>
              <w:rPr>
                <w:rFonts w:ascii="Palatino Linotype"/>
                <w:b/>
                <w:sz w:val="18"/>
              </w:rPr>
            </w:pPr>
            <w:r>
              <w:rPr>
                <w:rFonts w:ascii="Palatino Linotype"/>
                <w:b/>
                <w:color w:val="010202"/>
                <w:sz w:val="18"/>
              </w:rPr>
              <w:t>12.4</w:t>
            </w:r>
          </w:p>
        </w:tc>
        <w:tc>
          <w:tcPr>
            <w:tcW w:w="776" w:type="dxa"/>
          </w:tcPr>
          <w:p>
            <w:pPr>
              <w:pStyle w:val="TableParagraph"/>
              <w:spacing w:before="23"/>
              <w:ind w:left="207"/>
              <w:jc w:val="left"/>
              <w:rPr>
                <w:rFonts w:ascii="Palatino Linotype"/>
                <w:b/>
                <w:sz w:val="18"/>
              </w:rPr>
            </w:pPr>
            <w:r>
              <w:rPr>
                <w:rFonts w:ascii="Palatino Linotype"/>
                <w:b/>
                <w:color w:val="010202"/>
                <w:sz w:val="18"/>
              </w:rPr>
              <w:t>14.9</w:t>
            </w:r>
          </w:p>
        </w:tc>
        <w:tc>
          <w:tcPr>
            <w:tcW w:w="776" w:type="dxa"/>
          </w:tcPr>
          <w:p>
            <w:pPr>
              <w:pStyle w:val="TableParagraph"/>
              <w:spacing w:before="23"/>
              <w:ind w:left="207"/>
              <w:jc w:val="left"/>
              <w:rPr>
                <w:rFonts w:ascii="Palatino Linotype"/>
                <w:b/>
                <w:sz w:val="18"/>
              </w:rPr>
            </w:pPr>
            <w:r>
              <w:rPr>
                <w:rFonts w:ascii="Palatino Linotype"/>
                <w:b/>
                <w:color w:val="010202"/>
                <w:sz w:val="18"/>
              </w:rPr>
              <w:t>14.5</w:t>
            </w:r>
          </w:p>
        </w:tc>
        <w:tc>
          <w:tcPr>
            <w:tcW w:w="847" w:type="dxa"/>
          </w:tcPr>
          <w:p>
            <w:pPr>
              <w:pStyle w:val="TableParagraph"/>
              <w:spacing w:before="23"/>
              <w:ind w:left="207"/>
              <w:jc w:val="left"/>
              <w:rPr>
                <w:rFonts w:ascii="Palatino Linotype"/>
                <w:b/>
                <w:sz w:val="18"/>
              </w:rPr>
            </w:pPr>
            <w:r>
              <w:rPr>
                <w:rFonts w:ascii="Palatino Linotype"/>
                <w:b/>
                <w:color w:val="010202"/>
                <w:sz w:val="18"/>
              </w:rPr>
              <w:t>14.9</w:t>
            </w:r>
          </w:p>
        </w:tc>
      </w:tr>
      <w:tr>
        <w:trPr>
          <w:trHeight w:val="341" w:hRule="exact"/>
        </w:trPr>
        <w:tc>
          <w:tcPr>
            <w:tcW w:w="2192" w:type="dxa"/>
          </w:tcPr>
          <w:p>
            <w:pPr>
              <w:pStyle w:val="TableParagraph"/>
              <w:spacing w:before="44"/>
              <w:ind w:left="136"/>
              <w:jc w:val="left"/>
              <w:rPr>
                <w:sz w:val="18"/>
              </w:rPr>
            </w:pPr>
            <w:r>
              <w:rPr>
                <w:color w:val="231F20"/>
                <w:sz w:val="18"/>
              </w:rPr>
              <w:t>Querétaro Arteaga</w:t>
            </w:r>
          </w:p>
        </w:tc>
        <w:tc>
          <w:tcPr>
            <w:tcW w:w="972" w:type="dxa"/>
          </w:tcPr>
          <w:p>
            <w:pPr>
              <w:pStyle w:val="TableParagraph"/>
              <w:spacing w:before="44"/>
              <w:ind w:left="403"/>
              <w:jc w:val="left"/>
              <w:rPr>
                <w:sz w:val="18"/>
              </w:rPr>
            </w:pPr>
            <w:r>
              <w:rPr>
                <w:color w:val="231F20"/>
                <w:sz w:val="18"/>
              </w:rPr>
              <w:t>3.0</w:t>
            </w:r>
          </w:p>
        </w:tc>
        <w:tc>
          <w:tcPr>
            <w:tcW w:w="776" w:type="dxa"/>
          </w:tcPr>
          <w:p>
            <w:pPr>
              <w:pStyle w:val="TableParagraph"/>
              <w:spacing w:before="44"/>
              <w:ind w:left="207"/>
              <w:jc w:val="left"/>
              <w:rPr>
                <w:sz w:val="18"/>
              </w:rPr>
            </w:pPr>
            <w:r>
              <w:rPr>
                <w:color w:val="231F20"/>
                <w:sz w:val="18"/>
              </w:rPr>
              <w:t>2.5</w:t>
            </w:r>
          </w:p>
        </w:tc>
        <w:tc>
          <w:tcPr>
            <w:tcW w:w="776" w:type="dxa"/>
          </w:tcPr>
          <w:p>
            <w:pPr>
              <w:pStyle w:val="TableParagraph"/>
              <w:spacing w:before="44"/>
              <w:ind w:left="44" w:right="188"/>
              <w:rPr>
                <w:sz w:val="18"/>
              </w:rPr>
            </w:pPr>
            <w:r>
              <w:rPr>
                <w:color w:val="231F20"/>
                <w:sz w:val="18"/>
              </w:rPr>
              <w:t>1.8</w:t>
            </w:r>
          </w:p>
        </w:tc>
        <w:tc>
          <w:tcPr>
            <w:tcW w:w="776" w:type="dxa"/>
          </w:tcPr>
          <w:p>
            <w:pPr>
              <w:pStyle w:val="TableParagraph"/>
              <w:spacing w:before="44"/>
              <w:ind w:left="207"/>
              <w:jc w:val="left"/>
              <w:rPr>
                <w:sz w:val="18"/>
              </w:rPr>
            </w:pPr>
            <w:r>
              <w:rPr>
                <w:color w:val="231F20"/>
                <w:sz w:val="18"/>
              </w:rPr>
              <w:t>3.2</w:t>
            </w:r>
          </w:p>
        </w:tc>
        <w:tc>
          <w:tcPr>
            <w:tcW w:w="776" w:type="dxa"/>
          </w:tcPr>
          <w:p>
            <w:pPr>
              <w:pStyle w:val="TableParagraph"/>
              <w:spacing w:before="44"/>
              <w:ind w:left="207"/>
              <w:jc w:val="left"/>
              <w:rPr>
                <w:sz w:val="18"/>
              </w:rPr>
            </w:pPr>
            <w:r>
              <w:rPr>
                <w:color w:val="231F20"/>
                <w:sz w:val="18"/>
              </w:rPr>
              <w:t>3.9</w:t>
            </w:r>
          </w:p>
        </w:tc>
        <w:tc>
          <w:tcPr>
            <w:tcW w:w="847" w:type="dxa"/>
          </w:tcPr>
          <w:p>
            <w:pPr>
              <w:pStyle w:val="TableParagraph"/>
              <w:spacing w:before="44"/>
              <w:ind w:left="207"/>
              <w:jc w:val="left"/>
              <w:rPr>
                <w:sz w:val="18"/>
              </w:rPr>
            </w:pPr>
            <w:r>
              <w:rPr>
                <w:color w:val="231F20"/>
                <w:sz w:val="18"/>
              </w:rPr>
              <w:t>4.1</w:t>
            </w:r>
          </w:p>
        </w:tc>
      </w:tr>
      <w:tr>
        <w:trPr>
          <w:trHeight w:val="340" w:hRule="exact"/>
        </w:trPr>
        <w:tc>
          <w:tcPr>
            <w:tcW w:w="2192" w:type="dxa"/>
          </w:tcPr>
          <w:p>
            <w:pPr>
              <w:pStyle w:val="TableParagraph"/>
              <w:spacing w:before="44"/>
              <w:ind w:left="136"/>
              <w:jc w:val="left"/>
              <w:rPr>
                <w:sz w:val="18"/>
              </w:rPr>
            </w:pPr>
            <w:r>
              <w:rPr>
                <w:color w:val="010202"/>
                <w:sz w:val="18"/>
              </w:rPr>
              <w:t>San Luis Potosí</w:t>
            </w:r>
          </w:p>
        </w:tc>
        <w:tc>
          <w:tcPr>
            <w:tcW w:w="972" w:type="dxa"/>
          </w:tcPr>
          <w:p>
            <w:pPr>
              <w:pStyle w:val="TableParagraph"/>
              <w:spacing w:before="44"/>
              <w:ind w:left="403"/>
              <w:jc w:val="left"/>
              <w:rPr>
                <w:sz w:val="18"/>
              </w:rPr>
            </w:pPr>
            <w:r>
              <w:rPr>
                <w:color w:val="231F20"/>
                <w:sz w:val="18"/>
              </w:rPr>
              <w:t>1.5</w:t>
            </w:r>
          </w:p>
        </w:tc>
        <w:tc>
          <w:tcPr>
            <w:tcW w:w="776" w:type="dxa"/>
          </w:tcPr>
          <w:p>
            <w:pPr>
              <w:pStyle w:val="TableParagraph"/>
              <w:spacing w:before="44"/>
              <w:ind w:left="207"/>
              <w:jc w:val="left"/>
              <w:rPr>
                <w:sz w:val="18"/>
              </w:rPr>
            </w:pPr>
            <w:r>
              <w:rPr>
                <w:color w:val="231F20"/>
                <w:sz w:val="18"/>
              </w:rPr>
              <w:t>1.6</w:t>
            </w:r>
          </w:p>
        </w:tc>
        <w:tc>
          <w:tcPr>
            <w:tcW w:w="776" w:type="dxa"/>
          </w:tcPr>
          <w:p>
            <w:pPr>
              <w:pStyle w:val="TableParagraph"/>
              <w:spacing w:before="44"/>
              <w:ind w:left="44" w:right="188"/>
              <w:rPr>
                <w:sz w:val="18"/>
              </w:rPr>
            </w:pPr>
            <w:r>
              <w:rPr>
                <w:color w:val="231F20"/>
                <w:sz w:val="18"/>
              </w:rPr>
              <w:t>1.4</w:t>
            </w:r>
          </w:p>
        </w:tc>
        <w:tc>
          <w:tcPr>
            <w:tcW w:w="776" w:type="dxa"/>
          </w:tcPr>
          <w:p>
            <w:pPr>
              <w:pStyle w:val="TableParagraph"/>
              <w:spacing w:before="44"/>
              <w:ind w:left="207"/>
              <w:jc w:val="left"/>
              <w:rPr>
                <w:sz w:val="18"/>
              </w:rPr>
            </w:pPr>
            <w:r>
              <w:rPr>
                <w:color w:val="231F20"/>
                <w:sz w:val="18"/>
              </w:rPr>
              <w:t>1.9</w:t>
            </w:r>
          </w:p>
        </w:tc>
        <w:tc>
          <w:tcPr>
            <w:tcW w:w="776" w:type="dxa"/>
          </w:tcPr>
          <w:p>
            <w:pPr>
              <w:pStyle w:val="TableParagraph"/>
              <w:spacing w:before="44"/>
              <w:ind w:left="207"/>
              <w:jc w:val="left"/>
              <w:rPr>
                <w:sz w:val="18"/>
              </w:rPr>
            </w:pPr>
            <w:r>
              <w:rPr>
                <w:color w:val="231F20"/>
                <w:sz w:val="18"/>
              </w:rPr>
              <w:t>2.3</w:t>
            </w:r>
          </w:p>
        </w:tc>
        <w:tc>
          <w:tcPr>
            <w:tcW w:w="847" w:type="dxa"/>
          </w:tcPr>
          <w:p>
            <w:pPr>
              <w:pStyle w:val="TableParagraph"/>
              <w:spacing w:before="44"/>
              <w:ind w:left="207"/>
              <w:jc w:val="left"/>
              <w:rPr>
                <w:sz w:val="18"/>
              </w:rPr>
            </w:pPr>
            <w:r>
              <w:rPr>
                <w:color w:val="231F20"/>
                <w:sz w:val="18"/>
              </w:rPr>
              <w:t>2.9</w:t>
            </w:r>
          </w:p>
        </w:tc>
      </w:tr>
      <w:tr>
        <w:trPr>
          <w:trHeight w:val="340" w:hRule="exact"/>
        </w:trPr>
        <w:tc>
          <w:tcPr>
            <w:tcW w:w="2192" w:type="dxa"/>
          </w:tcPr>
          <w:p>
            <w:pPr>
              <w:pStyle w:val="TableParagraph"/>
              <w:spacing w:before="44"/>
              <w:ind w:left="136"/>
              <w:jc w:val="left"/>
              <w:rPr>
                <w:sz w:val="18"/>
              </w:rPr>
            </w:pPr>
            <w:r>
              <w:rPr>
                <w:color w:val="010202"/>
                <w:sz w:val="18"/>
              </w:rPr>
              <w:t>Sonora</w:t>
            </w:r>
          </w:p>
        </w:tc>
        <w:tc>
          <w:tcPr>
            <w:tcW w:w="972" w:type="dxa"/>
          </w:tcPr>
          <w:p>
            <w:pPr>
              <w:pStyle w:val="TableParagraph"/>
              <w:spacing w:before="44"/>
              <w:ind w:left="403"/>
              <w:jc w:val="left"/>
              <w:rPr>
                <w:sz w:val="18"/>
              </w:rPr>
            </w:pPr>
            <w:r>
              <w:rPr>
                <w:color w:val="231F20"/>
                <w:sz w:val="18"/>
              </w:rPr>
              <w:t>0.1</w:t>
            </w:r>
          </w:p>
        </w:tc>
        <w:tc>
          <w:tcPr>
            <w:tcW w:w="776" w:type="dxa"/>
          </w:tcPr>
          <w:p>
            <w:pPr>
              <w:pStyle w:val="TableParagraph"/>
              <w:spacing w:before="44"/>
              <w:ind w:left="207"/>
              <w:jc w:val="left"/>
              <w:rPr>
                <w:sz w:val="18"/>
              </w:rPr>
            </w:pPr>
            <w:r>
              <w:rPr>
                <w:color w:val="231F20"/>
                <w:sz w:val="18"/>
              </w:rPr>
              <w:t>5.3</w:t>
            </w:r>
          </w:p>
        </w:tc>
        <w:tc>
          <w:tcPr>
            <w:tcW w:w="776" w:type="dxa"/>
          </w:tcPr>
          <w:p>
            <w:pPr>
              <w:pStyle w:val="TableParagraph"/>
              <w:spacing w:before="44"/>
              <w:ind w:left="44" w:right="188"/>
              <w:rPr>
                <w:sz w:val="18"/>
              </w:rPr>
            </w:pPr>
            <w:r>
              <w:rPr>
                <w:color w:val="231F20"/>
                <w:sz w:val="18"/>
              </w:rPr>
              <w:t>6.5</w:t>
            </w:r>
          </w:p>
        </w:tc>
        <w:tc>
          <w:tcPr>
            <w:tcW w:w="776" w:type="dxa"/>
          </w:tcPr>
          <w:p>
            <w:pPr>
              <w:pStyle w:val="TableParagraph"/>
              <w:spacing w:before="44"/>
              <w:ind w:left="207"/>
              <w:jc w:val="left"/>
              <w:rPr>
                <w:sz w:val="18"/>
              </w:rPr>
            </w:pPr>
            <w:r>
              <w:rPr>
                <w:color w:val="231F20"/>
                <w:sz w:val="18"/>
              </w:rPr>
              <w:t>5.2</w:t>
            </w:r>
          </w:p>
        </w:tc>
        <w:tc>
          <w:tcPr>
            <w:tcW w:w="776" w:type="dxa"/>
          </w:tcPr>
          <w:p>
            <w:pPr>
              <w:pStyle w:val="TableParagraph"/>
              <w:spacing w:before="44"/>
              <w:ind w:left="207"/>
              <w:jc w:val="left"/>
              <w:rPr>
                <w:sz w:val="18"/>
              </w:rPr>
            </w:pPr>
            <w:r>
              <w:rPr>
                <w:color w:val="231F20"/>
                <w:sz w:val="18"/>
              </w:rPr>
              <w:t>2.5</w:t>
            </w:r>
          </w:p>
        </w:tc>
        <w:tc>
          <w:tcPr>
            <w:tcW w:w="847" w:type="dxa"/>
          </w:tcPr>
          <w:p>
            <w:pPr>
              <w:pStyle w:val="TableParagraph"/>
              <w:spacing w:before="44"/>
              <w:ind w:left="207"/>
              <w:jc w:val="left"/>
              <w:rPr>
                <w:sz w:val="18"/>
              </w:rPr>
            </w:pPr>
            <w:r>
              <w:rPr>
                <w:color w:val="231F20"/>
                <w:sz w:val="18"/>
              </w:rPr>
              <w:t>7.3</w:t>
            </w:r>
          </w:p>
        </w:tc>
      </w:tr>
      <w:tr>
        <w:trPr>
          <w:trHeight w:val="316" w:hRule="exact"/>
        </w:trPr>
        <w:tc>
          <w:tcPr>
            <w:tcW w:w="2192" w:type="dxa"/>
            <w:tcBorders>
              <w:bottom w:val="single" w:sz="4" w:space="0" w:color="231F20"/>
            </w:tcBorders>
          </w:tcPr>
          <w:p>
            <w:pPr>
              <w:pStyle w:val="TableParagraph"/>
              <w:spacing w:before="44"/>
              <w:ind w:left="136"/>
              <w:jc w:val="left"/>
              <w:rPr>
                <w:sz w:val="18"/>
              </w:rPr>
            </w:pPr>
            <w:r>
              <w:rPr>
                <w:color w:val="010202"/>
                <w:sz w:val="18"/>
              </w:rPr>
              <w:t>Tamaulipas</w:t>
            </w:r>
          </w:p>
        </w:tc>
        <w:tc>
          <w:tcPr>
            <w:tcW w:w="972" w:type="dxa"/>
            <w:tcBorders>
              <w:bottom w:val="single" w:sz="4" w:space="0" w:color="231F20"/>
            </w:tcBorders>
          </w:tcPr>
          <w:p>
            <w:pPr>
              <w:pStyle w:val="TableParagraph"/>
              <w:spacing w:before="44"/>
              <w:ind w:left="403"/>
              <w:jc w:val="left"/>
              <w:rPr>
                <w:sz w:val="18"/>
              </w:rPr>
            </w:pPr>
            <w:r>
              <w:rPr>
                <w:color w:val="010202"/>
                <w:sz w:val="18"/>
              </w:rPr>
              <w:t>0.6</w:t>
            </w:r>
          </w:p>
        </w:tc>
        <w:tc>
          <w:tcPr>
            <w:tcW w:w="776" w:type="dxa"/>
            <w:tcBorders>
              <w:bottom w:val="single" w:sz="4" w:space="0" w:color="231F20"/>
            </w:tcBorders>
          </w:tcPr>
          <w:p>
            <w:pPr>
              <w:pStyle w:val="TableParagraph"/>
              <w:spacing w:before="44"/>
              <w:ind w:left="207"/>
              <w:jc w:val="left"/>
              <w:rPr>
                <w:sz w:val="18"/>
              </w:rPr>
            </w:pPr>
            <w:r>
              <w:rPr>
                <w:color w:val="010202"/>
                <w:sz w:val="18"/>
              </w:rPr>
              <w:t>1.1</w:t>
            </w:r>
          </w:p>
        </w:tc>
        <w:tc>
          <w:tcPr>
            <w:tcW w:w="776" w:type="dxa"/>
            <w:tcBorders>
              <w:bottom w:val="single" w:sz="4" w:space="0" w:color="231F20"/>
            </w:tcBorders>
          </w:tcPr>
          <w:p>
            <w:pPr>
              <w:pStyle w:val="TableParagraph"/>
              <w:spacing w:before="44"/>
              <w:ind w:left="44" w:right="188"/>
              <w:rPr>
                <w:sz w:val="18"/>
              </w:rPr>
            </w:pPr>
            <w:r>
              <w:rPr>
                <w:color w:val="010202"/>
                <w:sz w:val="18"/>
              </w:rPr>
              <w:t>1.4</w:t>
            </w:r>
          </w:p>
        </w:tc>
        <w:tc>
          <w:tcPr>
            <w:tcW w:w="776" w:type="dxa"/>
            <w:tcBorders>
              <w:bottom w:val="single" w:sz="4" w:space="0" w:color="231F20"/>
            </w:tcBorders>
          </w:tcPr>
          <w:p>
            <w:pPr>
              <w:pStyle w:val="TableParagraph"/>
              <w:spacing w:before="44"/>
              <w:ind w:left="207"/>
              <w:jc w:val="left"/>
              <w:rPr>
                <w:sz w:val="18"/>
              </w:rPr>
            </w:pPr>
            <w:r>
              <w:rPr>
                <w:color w:val="010202"/>
                <w:sz w:val="18"/>
              </w:rPr>
              <w:t>0.9</w:t>
            </w:r>
          </w:p>
        </w:tc>
        <w:tc>
          <w:tcPr>
            <w:tcW w:w="776" w:type="dxa"/>
            <w:tcBorders>
              <w:bottom w:val="single" w:sz="4" w:space="0" w:color="231F20"/>
            </w:tcBorders>
          </w:tcPr>
          <w:p>
            <w:pPr>
              <w:pStyle w:val="TableParagraph"/>
              <w:spacing w:before="44"/>
              <w:ind w:left="207"/>
              <w:jc w:val="left"/>
              <w:rPr>
                <w:sz w:val="18"/>
              </w:rPr>
            </w:pPr>
            <w:r>
              <w:rPr>
                <w:color w:val="010202"/>
                <w:sz w:val="18"/>
              </w:rPr>
              <w:t>1.9</w:t>
            </w:r>
          </w:p>
        </w:tc>
        <w:tc>
          <w:tcPr>
            <w:tcW w:w="847" w:type="dxa"/>
            <w:tcBorders>
              <w:bottom w:val="single" w:sz="4" w:space="0" w:color="231F20"/>
            </w:tcBorders>
          </w:tcPr>
          <w:p>
            <w:pPr>
              <w:pStyle w:val="TableParagraph"/>
              <w:spacing w:before="44"/>
              <w:ind w:left="207"/>
              <w:jc w:val="left"/>
              <w:rPr>
                <w:sz w:val="18"/>
              </w:rPr>
            </w:pPr>
            <w:r>
              <w:rPr>
                <w:color w:val="010202"/>
                <w:sz w:val="18"/>
              </w:rPr>
              <w:t>1.9</w:t>
            </w:r>
          </w:p>
        </w:tc>
      </w:tr>
    </w:tbl>
    <w:p>
      <w:pPr>
        <w:pStyle w:val="BodyText"/>
        <w:spacing w:before="4"/>
        <w:rPr>
          <w:rFonts w:ascii="Palatino Linotype"/>
          <w:b/>
          <w:sz w:val="9"/>
        </w:rPr>
      </w:pPr>
    </w:p>
    <w:p>
      <w:pPr>
        <w:spacing w:before="62"/>
        <w:ind w:left="103" w:right="0" w:firstLine="0"/>
        <w:jc w:val="both"/>
        <w:rPr>
          <w:sz w:val="19"/>
        </w:rPr>
      </w:pPr>
      <w:r>
        <w:rPr>
          <w:color w:val="231F20"/>
          <w:sz w:val="19"/>
        </w:rPr>
        <w:t>Nota: Sólo se incluyen las entidades que tienen alguna participación.</w:t>
      </w:r>
    </w:p>
    <w:p>
      <w:pPr>
        <w:spacing w:before="39"/>
        <w:ind w:left="103" w:right="0" w:firstLine="0"/>
        <w:jc w:val="both"/>
        <w:rPr>
          <w:sz w:val="19"/>
        </w:rPr>
      </w:pPr>
      <w:r>
        <w:rPr>
          <w:rFonts w:ascii="Palatino Linotype" w:hAnsi="Palatino Linotype"/>
          <w:i/>
          <w:color w:val="231F20"/>
          <w:sz w:val="19"/>
        </w:rPr>
        <w:t>Fuente: </w:t>
      </w:r>
      <w:r>
        <w:rPr>
          <w:color w:val="231F20"/>
          <w:sz w:val="19"/>
        </w:rPr>
        <w:t>Elaboración propia con datos de INEGI (1998, 2002, 2006, 2008 y 2010).</w:t>
      </w:r>
    </w:p>
    <w:p>
      <w:pPr>
        <w:pStyle w:val="BodyText"/>
        <w:rPr>
          <w:sz w:val="22"/>
        </w:rPr>
      </w:pPr>
    </w:p>
    <w:p>
      <w:pPr>
        <w:pStyle w:val="BodyText"/>
        <w:spacing w:line="278" w:lineRule="auto" w:before="1"/>
        <w:ind w:left="103" w:right="650"/>
        <w:jc w:val="both"/>
      </w:pPr>
      <w:r>
        <w:rPr>
          <w:color w:val="231F20"/>
          <w:spacing w:val="-4"/>
        </w:rPr>
        <w:t>Una </w:t>
      </w:r>
      <w:r>
        <w:rPr>
          <w:color w:val="231F20"/>
        </w:rPr>
        <w:t>situación </w:t>
      </w:r>
      <w:r>
        <w:rPr>
          <w:color w:val="231F20"/>
          <w:spacing w:val="-2"/>
        </w:rPr>
        <w:t>muy </w:t>
      </w:r>
      <w:r>
        <w:rPr>
          <w:color w:val="231F20"/>
        </w:rPr>
        <w:t>parecida, aunque con algunas variaciones, se presenta con el valor agregado,</w:t>
      </w:r>
      <w:r>
        <w:rPr>
          <w:color w:val="231F20"/>
          <w:spacing w:val="-13"/>
        </w:rPr>
        <w:t> </w:t>
      </w:r>
      <w:r>
        <w:rPr>
          <w:color w:val="231F20"/>
        </w:rPr>
        <w:t>pues</w:t>
      </w:r>
      <w:r>
        <w:rPr>
          <w:color w:val="231F20"/>
          <w:spacing w:val="-13"/>
        </w:rPr>
        <w:t> </w:t>
      </w:r>
      <w:r>
        <w:rPr>
          <w:color w:val="231F20"/>
        </w:rPr>
        <w:t>de</w:t>
      </w:r>
      <w:r>
        <w:rPr>
          <w:color w:val="231F20"/>
          <w:spacing w:val="-13"/>
        </w:rPr>
        <w:t> </w:t>
      </w:r>
      <w:r>
        <w:rPr>
          <w:color w:val="231F20"/>
        </w:rPr>
        <w:t>igual</w:t>
      </w:r>
      <w:r>
        <w:rPr>
          <w:color w:val="231F20"/>
          <w:spacing w:val="-13"/>
        </w:rPr>
        <w:t> </w:t>
      </w:r>
      <w:r>
        <w:rPr>
          <w:color w:val="231F20"/>
        </w:rPr>
        <w:t>forma</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y</w:t>
      </w:r>
      <w:r>
        <w:rPr>
          <w:color w:val="231F20"/>
          <w:spacing w:val="-13"/>
        </w:rPr>
        <w:t> </w:t>
      </w:r>
      <w:r>
        <w:rPr>
          <w:color w:val="231F20"/>
        </w:rPr>
        <w:t>el</w:t>
      </w:r>
      <w:r>
        <w:rPr>
          <w:color w:val="231F20"/>
          <w:spacing w:val="-13"/>
        </w:rPr>
        <w:t> </w:t>
      </w:r>
      <w:r>
        <w:rPr>
          <w:color w:val="231F20"/>
        </w:rPr>
        <w:t>Distrito</w:t>
      </w:r>
      <w:r>
        <w:rPr>
          <w:color w:val="231F20"/>
          <w:spacing w:val="-13"/>
        </w:rPr>
        <w:t> </w:t>
      </w:r>
      <w:r>
        <w:rPr>
          <w:color w:val="231F20"/>
        </w:rPr>
        <w:t>Federal</w:t>
      </w:r>
      <w:r>
        <w:rPr>
          <w:color w:val="231F20"/>
          <w:spacing w:val="-13"/>
        </w:rPr>
        <w:t> </w:t>
      </w:r>
      <w:r>
        <w:rPr>
          <w:color w:val="231F20"/>
        </w:rPr>
        <w:t>han</w:t>
      </w:r>
      <w:r>
        <w:rPr>
          <w:color w:val="231F20"/>
          <w:spacing w:val="-13"/>
        </w:rPr>
        <w:t> </w:t>
      </w:r>
      <w:r>
        <w:rPr>
          <w:color w:val="231F20"/>
        </w:rPr>
        <w:t>visto</w:t>
      </w:r>
      <w:r>
        <w:rPr>
          <w:color w:val="231F20"/>
          <w:spacing w:val="-13"/>
        </w:rPr>
        <w:t> </w:t>
      </w:r>
      <w:r>
        <w:rPr>
          <w:color w:val="231F20"/>
        </w:rPr>
        <w:t>redu- cida</w:t>
      </w:r>
      <w:r>
        <w:rPr>
          <w:color w:val="231F20"/>
          <w:spacing w:val="-12"/>
        </w:rPr>
        <w:t> </w:t>
      </w:r>
      <w:r>
        <w:rPr>
          <w:color w:val="231F20"/>
        </w:rPr>
        <w:t>su</w:t>
      </w:r>
      <w:r>
        <w:rPr>
          <w:color w:val="231F20"/>
          <w:spacing w:val="-12"/>
        </w:rPr>
        <w:t> </w:t>
      </w:r>
      <w:r>
        <w:rPr>
          <w:color w:val="231F20"/>
        </w:rPr>
        <w:t>participación</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generación</w:t>
      </w:r>
      <w:r>
        <w:rPr>
          <w:color w:val="231F20"/>
          <w:spacing w:val="-12"/>
        </w:rPr>
        <w:t> </w:t>
      </w:r>
      <w:r>
        <w:rPr>
          <w:color w:val="231F20"/>
        </w:rPr>
        <w:t>de</w:t>
      </w:r>
      <w:r>
        <w:rPr>
          <w:color w:val="231F20"/>
          <w:spacing w:val="-12"/>
        </w:rPr>
        <w:t> </w:t>
      </w:r>
      <w:r>
        <w:rPr>
          <w:color w:val="231F20"/>
        </w:rPr>
        <w:t>esta</w:t>
      </w:r>
      <w:r>
        <w:rPr>
          <w:color w:val="231F20"/>
          <w:spacing w:val="-12"/>
        </w:rPr>
        <w:t> </w:t>
      </w:r>
      <w:r>
        <w:rPr>
          <w:color w:val="231F20"/>
        </w:rPr>
        <w:t>variable,</w:t>
      </w:r>
      <w:r>
        <w:rPr>
          <w:color w:val="231F20"/>
          <w:spacing w:val="-12"/>
        </w:rPr>
        <w:t> </w:t>
      </w:r>
      <w:r>
        <w:rPr>
          <w:color w:val="231F20"/>
        </w:rPr>
        <w:t>a</w:t>
      </w:r>
      <w:r>
        <w:rPr>
          <w:color w:val="231F20"/>
          <w:spacing w:val="-12"/>
        </w:rPr>
        <w:t> </w:t>
      </w:r>
      <w:r>
        <w:rPr>
          <w:color w:val="231F20"/>
        </w:rPr>
        <w:t>diferencia</w:t>
      </w:r>
      <w:r>
        <w:rPr>
          <w:color w:val="231F20"/>
          <w:spacing w:val="-12"/>
        </w:rPr>
        <w:t> </w:t>
      </w:r>
      <w:r>
        <w:rPr>
          <w:color w:val="231F20"/>
        </w:rPr>
        <w:t>de</w:t>
      </w:r>
      <w:r>
        <w:rPr>
          <w:color w:val="231F20"/>
          <w:spacing w:val="-12"/>
        </w:rPr>
        <w:t> </w:t>
      </w:r>
      <w:r>
        <w:rPr>
          <w:color w:val="231F20"/>
        </w:rPr>
        <w:t>otros</w:t>
      </w:r>
      <w:r>
        <w:rPr>
          <w:color w:val="231F20"/>
          <w:spacing w:val="-12"/>
        </w:rPr>
        <w:t> </w:t>
      </w:r>
      <w:r>
        <w:rPr>
          <w:color w:val="231F20"/>
        </w:rPr>
        <w:t>estados.</w:t>
      </w:r>
      <w:r>
        <w:rPr>
          <w:color w:val="231F20"/>
          <w:spacing w:val="-12"/>
        </w:rPr>
        <w:t> </w:t>
      </w:r>
      <w:r>
        <w:rPr>
          <w:color w:val="231F20"/>
        </w:rPr>
        <w:t>En 1985</w:t>
      </w:r>
      <w:r>
        <w:rPr>
          <w:color w:val="231F20"/>
          <w:spacing w:val="-16"/>
        </w:rPr>
        <w:t> </w:t>
      </w:r>
      <w:r>
        <w:rPr>
          <w:color w:val="231F20"/>
        </w:rPr>
        <w:t>participaban</w:t>
      </w:r>
      <w:r>
        <w:rPr>
          <w:color w:val="231F20"/>
          <w:spacing w:val="-16"/>
        </w:rPr>
        <w:t> </w:t>
      </w:r>
      <w:r>
        <w:rPr>
          <w:color w:val="231F20"/>
        </w:rPr>
        <w:t>con</w:t>
      </w:r>
      <w:r>
        <w:rPr>
          <w:color w:val="231F20"/>
          <w:spacing w:val="-16"/>
        </w:rPr>
        <w:t> </w:t>
      </w:r>
      <w:r>
        <w:rPr>
          <w:color w:val="231F20"/>
        </w:rPr>
        <w:t>18.6</w:t>
      </w:r>
      <w:r>
        <w:rPr>
          <w:color w:val="231F20"/>
          <w:spacing w:val="-16"/>
        </w:rPr>
        <w:t> </w:t>
      </w:r>
      <w:r>
        <w:rPr>
          <w:color w:val="231F20"/>
        </w:rPr>
        <w:t>y</w:t>
      </w:r>
      <w:r>
        <w:rPr>
          <w:color w:val="231F20"/>
          <w:spacing w:val="-16"/>
        </w:rPr>
        <w:t> </w:t>
      </w:r>
      <w:r>
        <w:rPr>
          <w:color w:val="231F20"/>
        </w:rPr>
        <w:t>12.2%,</w:t>
      </w:r>
      <w:r>
        <w:rPr>
          <w:color w:val="231F20"/>
          <w:spacing w:val="-16"/>
        </w:rPr>
        <w:t> </w:t>
      </w:r>
      <w:r>
        <w:rPr>
          <w:color w:val="231F20"/>
        </w:rPr>
        <w:t>respectivamente;</w:t>
      </w:r>
      <w:r>
        <w:rPr>
          <w:color w:val="231F20"/>
          <w:spacing w:val="-16"/>
        </w:rPr>
        <w:t> </w:t>
      </w:r>
      <w:r>
        <w:rPr>
          <w:color w:val="231F20"/>
        </w:rPr>
        <w:t>mientras</w:t>
      </w:r>
      <w:r>
        <w:rPr>
          <w:color w:val="231F20"/>
          <w:spacing w:val="-16"/>
        </w:rPr>
        <w:t> </w:t>
      </w:r>
      <w:r>
        <w:rPr>
          <w:color w:val="231F20"/>
        </w:rPr>
        <w:t>que</w:t>
      </w:r>
      <w:r>
        <w:rPr>
          <w:color w:val="231F20"/>
          <w:spacing w:val="-16"/>
        </w:rPr>
        <w:t> </w:t>
      </w:r>
      <w:r>
        <w:rPr>
          <w:color w:val="231F20"/>
        </w:rPr>
        <w:t>en</w:t>
      </w:r>
      <w:r>
        <w:rPr>
          <w:color w:val="231F20"/>
          <w:spacing w:val="-16"/>
        </w:rPr>
        <w:t> </w:t>
      </w:r>
      <w:r>
        <w:rPr>
          <w:color w:val="231F20"/>
        </w:rPr>
        <w:t>2009</w:t>
      </w:r>
      <w:r>
        <w:rPr>
          <w:color w:val="231F20"/>
          <w:spacing w:val="-16"/>
        </w:rPr>
        <w:t> </w:t>
      </w:r>
      <w:r>
        <w:rPr>
          <w:color w:val="231F20"/>
        </w:rPr>
        <w:t>lo</w:t>
      </w:r>
      <w:r>
        <w:rPr>
          <w:color w:val="231F20"/>
          <w:spacing w:val="-16"/>
        </w:rPr>
        <w:t> </w:t>
      </w:r>
      <w:r>
        <w:rPr>
          <w:color w:val="231F20"/>
        </w:rPr>
        <w:t>hicieron con</w:t>
      </w:r>
      <w:r>
        <w:rPr>
          <w:color w:val="231F20"/>
          <w:spacing w:val="-14"/>
        </w:rPr>
        <w:t> </w:t>
      </w:r>
      <w:r>
        <w:rPr>
          <w:color w:val="231F20"/>
        </w:rPr>
        <w:t>sólo</w:t>
      </w:r>
      <w:r>
        <w:rPr>
          <w:color w:val="231F20"/>
          <w:spacing w:val="-14"/>
        </w:rPr>
        <w:t> </w:t>
      </w:r>
      <w:r>
        <w:rPr>
          <w:color w:val="231F20"/>
        </w:rPr>
        <w:t>10</w:t>
      </w:r>
      <w:r>
        <w:rPr>
          <w:color w:val="231F20"/>
          <w:spacing w:val="-14"/>
        </w:rPr>
        <w:t> </w:t>
      </w:r>
      <w:r>
        <w:rPr>
          <w:color w:val="231F20"/>
        </w:rPr>
        <w:t>y</w:t>
      </w:r>
      <w:r>
        <w:rPr>
          <w:color w:val="231F20"/>
          <w:spacing w:val="-14"/>
        </w:rPr>
        <w:t> </w:t>
      </w:r>
      <w:r>
        <w:rPr>
          <w:color w:val="231F20"/>
        </w:rPr>
        <w:t>0.1%</w:t>
      </w:r>
      <w:r>
        <w:rPr>
          <w:color w:val="231F20"/>
          <w:spacing w:val="-14"/>
        </w:rPr>
        <w:t> </w:t>
      </w:r>
      <w:r>
        <w:rPr>
          <w:color w:val="231F20"/>
        </w:rPr>
        <w:t>(véase</w:t>
      </w:r>
      <w:r>
        <w:rPr>
          <w:color w:val="231F20"/>
          <w:spacing w:val="-14"/>
        </w:rPr>
        <w:t> </w:t>
      </w:r>
      <w:r>
        <w:rPr>
          <w:color w:val="231F20"/>
        </w:rPr>
        <w:t>cuadro</w:t>
      </w:r>
      <w:r>
        <w:rPr>
          <w:color w:val="231F20"/>
          <w:spacing w:val="-14"/>
        </w:rPr>
        <w:t> </w:t>
      </w:r>
      <w:r>
        <w:rPr>
          <w:color w:val="231F20"/>
        </w:rPr>
        <w:t>III.8).</w:t>
      </w:r>
    </w:p>
    <w:p>
      <w:pPr>
        <w:spacing w:after="0" w:line="278" w:lineRule="auto"/>
        <w:jc w:val="both"/>
        <w:sectPr>
          <w:pgSz w:w="9640" w:h="13040"/>
          <w:pgMar w:header="520" w:footer="654" w:top="880" w:bottom="840" w:left="1200" w:right="480"/>
        </w:sectPr>
      </w:pPr>
    </w:p>
    <w:p>
      <w:pPr>
        <w:pStyle w:val="BodyText"/>
        <w:rPr>
          <w:sz w:val="20"/>
        </w:rPr>
      </w:pPr>
    </w:p>
    <w:p>
      <w:pPr>
        <w:pStyle w:val="BodyText"/>
        <w:spacing w:before="5"/>
      </w:pPr>
    </w:p>
    <w:p>
      <w:pPr>
        <w:pStyle w:val="Heading4"/>
        <w:spacing w:before="35"/>
        <w:ind w:right="12"/>
      </w:pPr>
      <w:r>
        <w:rPr>
          <w:color w:val="231F20"/>
          <w:w w:val="95"/>
        </w:rPr>
        <w:t>Cuadro III.8</w:t>
      </w:r>
    </w:p>
    <w:p>
      <w:pPr>
        <w:spacing w:line="237" w:lineRule="auto" w:before="0"/>
        <w:ind w:left="1419" w:right="867" w:firstLine="0"/>
        <w:jc w:val="center"/>
        <w:rPr>
          <w:rFonts w:ascii="Palatino Linotype" w:hAnsi="Palatino Linotype"/>
          <w:b/>
          <w:sz w:val="21"/>
        </w:rPr>
      </w:pPr>
      <w:r>
        <w:rPr>
          <w:rFonts w:ascii="Palatino Linotype" w:hAnsi="Palatino Linotype"/>
          <w:b/>
          <w:color w:val="231F20"/>
          <w:w w:val="90"/>
          <w:sz w:val="21"/>
        </w:rPr>
        <w:t>Sector automotriz: participación porcentual en el valor agregado </w:t>
      </w:r>
      <w:r>
        <w:rPr>
          <w:rFonts w:ascii="Palatino Linotype" w:hAnsi="Palatino Linotype"/>
          <w:b/>
          <w:color w:val="231F20"/>
          <w:w w:val="95"/>
          <w:sz w:val="21"/>
        </w:rPr>
        <w:t>censal bruto por entidad federativa, 1985-2009</w:t>
      </w:r>
    </w:p>
    <w:p>
      <w:pPr>
        <w:pStyle w:val="BodyText"/>
        <w:spacing w:before="4"/>
        <w:rPr>
          <w:rFonts w:ascii="Palatino Linotype"/>
          <w:b/>
          <w:sz w:val="14"/>
        </w:rPr>
      </w:pPr>
    </w:p>
    <w:tbl>
      <w:tblPr>
        <w:tblW w:w="0" w:type="auto"/>
        <w:jc w:val="left"/>
        <w:tblInd w:w="68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07"/>
        <w:gridCol w:w="923"/>
        <w:gridCol w:w="794"/>
        <w:gridCol w:w="794"/>
        <w:gridCol w:w="794"/>
        <w:gridCol w:w="794"/>
        <w:gridCol w:w="839"/>
      </w:tblGrid>
      <w:tr>
        <w:trPr>
          <w:trHeight w:val="314" w:hRule="exact"/>
        </w:trPr>
        <w:tc>
          <w:tcPr>
            <w:tcW w:w="2207" w:type="dxa"/>
            <w:tcBorders>
              <w:top w:val="single" w:sz="4" w:space="0" w:color="231F20"/>
              <w:bottom w:val="single" w:sz="4" w:space="0" w:color="231F20"/>
            </w:tcBorders>
          </w:tcPr>
          <w:p>
            <w:pPr>
              <w:pStyle w:val="TableParagraph"/>
              <w:spacing w:before="28"/>
              <w:ind w:left="474"/>
              <w:jc w:val="left"/>
              <w:rPr>
                <w:rFonts w:ascii="Palatino Linotype"/>
                <w:b/>
                <w:sz w:val="18"/>
              </w:rPr>
            </w:pPr>
            <w:r>
              <w:rPr>
                <w:rFonts w:ascii="Palatino Linotype"/>
                <w:b/>
                <w:color w:val="231F20"/>
                <w:w w:val="90"/>
                <w:sz w:val="18"/>
              </w:rPr>
              <w:t>Entidad Federativa</w:t>
            </w:r>
          </w:p>
        </w:tc>
        <w:tc>
          <w:tcPr>
            <w:tcW w:w="923" w:type="dxa"/>
            <w:tcBorders>
              <w:top w:val="single" w:sz="4" w:space="0" w:color="231F20"/>
              <w:bottom w:val="single" w:sz="4" w:space="0" w:color="231F20"/>
            </w:tcBorders>
          </w:tcPr>
          <w:p>
            <w:pPr>
              <w:pStyle w:val="TableParagraph"/>
              <w:spacing w:before="28"/>
              <w:ind w:left="390"/>
              <w:jc w:val="left"/>
              <w:rPr>
                <w:rFonts w:ascii="Palatino Linotype"/>
                <w:b/>
                <w:sz w:val="18"/>
              </w:rPr>
            </w:pPr>
            <w:r>
              <w:rPr>
                <w:rFonts w:ascii="Palatino Linotype"/>
                <w:b/>
                <w:color w:val="231F20"/>
                <w:sz w:val="18"/>
              </w:rPr>
              <w:t>1985</w:t>
            </w:r>
          </w:p>
        </w:tc>
        <w:tc>
          <w:tcPr>
            <w:tcW w:w="794" w:type="dxa"/>
            <w:tcBorders>
              <w:top w:val="single" w:sz="4" w:space="0" w:color="231F20"/>
              <w:bottom w:val="single" w:sz="4" w:space="0" w:color="231F20"/>
            </w:tcBorders>
          </w:tcPr>
          <w:p>
            <w:pPr>
              <w:pStyle w:val="TableParagraph"/>
              <w:spacing w:before="28"/>
              <w:ind w:left="261"/>
              <w:jc w:val="left"/>
              <w:rPr>
                <w:rFonts w:ascii="Palatino Linotype"/>
                <w:b/>
                <w:sz w:val="18"/>
              </w:rPr>
            </w:pPr>
            <w:r>
              <w:rPr>
                <w:rFonts w:ascii="Palatino Linotype"/>
                <w:b/>
                <w:color w:val="010202"/>
                <w:sz w:val="18"/>
              </w:rPr>
              <w:t>1988</w:t>
            </w:r>
          </w:p>
        </w:tc>
        <w:tc>
          <w:tcPr>
            <w:tcW w:w="794" w:type="dxa"/>
            <w:tcBorders>
              <w:top w:val="single" w:sz="4" w:space="0" w:color="231F20"/>
              <w:bottom w:val="single" w:sz="4" w:space="0" w:color="231F20"/>
            </w:tcBorders>
          </w:tcPr>
          <w:p>
            <w:pPr>
              <w:pStyle w:val="TableParagraph"/>
              <w:spacing w:before="28"/>
              <w:ind w:left="261"/>
              <w:jc w:val="left"/>
              <w:rPr>
                <w:rFonts w:ascii="Palatino Linotype"/>
                <w:b/>
                <w:sz w:val="18"/>
              </w:rPr>
            </w:pPr>
            <w:r>
              <w:rPr>
                <w:rFonts w:ascii="Palatino Linotype"/>
                <w:b/>
                <w:color w:val="010202"/>
                <w:sz w:val="18"/>
              </w:rPr>
              <w:t>1993</w:t>
            </w:r>
          </w:p>
        </w:tc>
        <w:tc>
          <w:tcPr>
            <w:tcW w:w="794" w:type="dxa"/>
            <w:tcBorders>
              <w:top w:val="single" w:sz="4" w:space="0" w:color="231F20"/>
              <w:bottom w:val="single" w:sz="4" w:space="0" w:color="231F20"/>
            </w:tcBorders>
          </w:tcPr>
          <w:p>
            <w:pPr>
              <w:pStyle w:val="TableParagraph"/>
              <w:spacing w:before="28"/>
              <w:ind w:left="261"/>
              <w:jc w:val="left"/>
              <w:rPr>
                <w:rFonts w:ascii="Palatino Linotype"/>
                <w:b/>
                <w:sz w:val="18"/>
              </w:rPr>
            </w:pPr>
            <w:r>
              <w:rPr>
                <w:rFonts w:ascii="Palatino Linotype"/>
                <w:b/>
                <w:color w:val="010202"/>
                <w:sz w:val="18"/>
              </w:rPr>
              <w:t>1998</w:t>
            </w:r>
          </w:p>
        </w:tc>
        <w:tc>
          <w:tcPr>
            <w:tcW w:w="794" w:type="dxa"/>
            <w:tcBorders>
              <w:top w:val="single" w:sz="4" w:space="0" w:color="231F20"/>
              <w:bottom w:val="single" w:sz="4" w:space="0" w:color="231F20"/>
            </w:tcBorders>
          </w:tcPr>
          <w:p>
            <w:pPr>
              <w:pStyle w:val="TableParagraph"/>
              <w:spacing w:before="28"/>
              <w:ind w:left="261"/>
              <w:jc w:val="left"/>
              <w:rPr>
                <w:rFonts w:ascii="Palatino Linotype"/>
                <w:b/>
                <w:sz w:val="18"/>
              </w:rPr>
            </w:pPr>
            <w:r>
              <w:rPr>
                <w:rFonts w:ascii="Palatino Linotype"/>
                <w:b/>
                <w:color w:val="010202"/>
                <w:sz w:val="18"/>
              </w:rPr>
              <w:t>2003</w:t>
            </w:r>
          </w:p>
        </w:tc>
        <w:tc>
          <w:tcPr>
            <w:tcW w:w="839" w:type="dxa"/>
            <w:tcBorders>
              <w:top w:val="single" w:sz="4" w:space="0" w:color="231F20"/>
              <w:bottom w:val="single" w:sz="4" w:space="0" w:color="231F20"/>
            </w:tcBorders>
          </w:tcPr>
          <w:p>
            <w:pPr>
              <w:pStyle w:val="TableParagraph"/>
              <w:spacing w:before="28"/>
              <w:ind w:left="261"/>
              <w:jc w:val="left"/>
              <w:rPr>
                <w:rFonts w:ascii="Palatino Linotype"/>
                <w:b/>
                <w:sz w:val="18"/>
              </w:rPr>
            </w:pPr>
            <w:r>
              <w:rPr>
                <w:rFonts w:ascii="Palatino Linotype"/>
                <w:b/>
                <w:color w:val="010202"/>
                <w:sz w:val="18"/>
              </w:rPr>
              <w:t>2009</w:t>
            </w:r>
          </w:p>
        </w:tc>
      </w:tr>
      <w:tr>
        <w:trPr>
          <w:trHeight w:val="566" w:hRule="exact"/>
        </w:trPr>
        <w:tc>
          <w:tcPr>
            <w:tcW w:w="2207" w:type="dxa"/>
            <w:tcBorders>
              <w:top w:val="single" w:sz="4" w:space="0" w:color="231F20"/>
            </w:tcBorders>
          </w:tcPr>
          <w:p>
            <w:pPr>
              <w:pStyle w:val="TableParagraph"/>
              <w:spacing w:before="1"/>
              <w:jc w:val="left"/>
              <w:rPr>
                <w:rFonts w:ascii="Palatino Linotype"/>
                <w:b/>
                <w:sz w:val="15"/>
              </w:rPr>
            </w:pPr>
          </w:p>
          <w:p>
            <w:pPr>
              <w:pStyle w:val="TableParagraph"/>
              <w:ind w:left="135"/>
              <w:jc w:val="left"/>
              <w:rPr>
                <w:sz w:val="18"/>
              </w:rPr>
            </w:pPr>
            <w:r>
              <w:rPr>
                <w:color w:val="231F20"/>
                <w:sz w:val="18"/>
              </w:rPr>
              <w:t>Total</w:t>
            </w:r>
          </w:p>
        </w:tc>
        <w:tc>
          <w:tcPr>
            <w:tcW w:w="923" w:type="dxa"/>
            <w:tcBorders>
              <w:top w:val="single" w:sz="4" w:space="0" w:color="231F20"/>
            </w:tcBorders>
          </w:tcPr>
          <w:p>
            <w:pPr>
              <w:pStyle w:val="TableParagraph"/>
              <w:spacing w:before="1"/>
              <w:jc w:val="left"/>
              <w:rPr>
                <w:rFonts w:ascii="Palatino Linotype"/>
                <w:b/>
                <w:sz w:val="15"/>
              </w:rPr>
            </w:pPr>
          </w:p>
          <w:p>
            <w:pPr>
              <w:pStyle w:val="TableParagraph"/>
              <w:ind w:left="309"/>
              <w:jc w:val="left"/>
              <w:rPr>
                <w:sz w:val="18"/>
              </w:rPr>
            </w:pPr>
            <w:r>
              <w:rPr>
                <w:color w:val="010202"/>
                <w:sz w:val="18"/>
              </w:rPr>
              <w:t>100</w:t>
            </w:r>
          </w:p>
        </w:tc>
        <w:tc>
          <w:tcPr>
            <w:tcW w:w="794" w:type="dxa"/>
            <w:tcBorders>
              <w:top w:val="single" w:sz="4" w:space="0" w:color="231F20"/>
            </w:tcBorders>
          </w:tcPr>
          <w:p>
            <w:pPr>
              <w:pStyle w:val="TableParagraph"/>
              <w:spacing w:before="1"/>
              <w:jc w:val="left"/>
              <w:rPr>
                <w:rFonts w:ascii="Palatino Linotype"/>
                <w:b/>
                <w:sz w:val="15"/>
              </w:rPr>
            </w:pPr>
          </w:p>
          <w:p>
            <w:pPr>
              <w:pStyle w:val="TableParagraph"/>
              <w:ind w:left="180"/>
              <w:jc w:val="left"/>
              <w:rPr>
                <w:sz w:val="18"/>
              </w:rPr>
            </w:pPr>
            <w:r>
              <w:rPr>
                <w:color w:val="010202"/>
                <w:sz w:val="18"/>
              </w:rPr>
              <w:t>100</w:t>
            </w:r>
          </w:p>
        </w:tc>
        <w:tc>
          <w:tcPr>
            <w:tcW w:w="794" w:type="dxa"/>
            <w:tcBorders>
              <w:top w:val="single" w:sz="4" w:space="0" w:color="231F20"/>
            </w:tcBorders>
          </w:tcPr>
          <w:p>
            <w:pPr>
              <w:pStyle w:val="TableParagraph"/>
              <w:spacing w:before="1"/>
              <w:jc w:val="left"/>
              <w:rPr>
                <w:rFonts w:ascii="Palatino Linotype"/>
                <w:b/>
                <w:sz w:val="15"/>
              </w:rPr>
            </w:pPr>
          </w:p>
          <w:p>
            <w:pPr>
              <w:pStyle w:val="TableParagraph"/>
              <w:ind w:left="180"/>
              <w:jc w:val="left"/>
              <w:rPr>
                <w:sz w:val="18"/>
              </w:rPr>
            </w:pPr>
            <w:r>
              <w:rPr>
                <w:color w:val="010202"/>
                <w:sz w:val="18"/>
              </w:rPr>
              <w:t>100</w:t>
            </w:r>
          </w:p>
        </w:tc>
        <w:tc>
          <w:tcPr>
            <w:tcW w:w="794" w:type="dxa"/>
            <w:tcBorders>
              <w:top w:val="single" w:sz="4" w:space="0" w:color="231F20"/>
            </w:tcBorders>
          </w:tcPr>
          <w:p>
            <w:pPr>
              <w:pStyle w:val="TableParagraph"/>
              <w:spacing w:before="1"/>
              <w:jc w:val="left"/>
              <w:rPr>
                <w:rFonts w:ascii="Palatino Linotype"/>
                <w:b/>
                <w:sz w:val="15"/>
              </w:rPr>
            </w:pPr>
          </w:p>
          <w:p>
            <w:pPr>
              <w:pStyle w:val="TableParagraph"/>
              <w:ind w:left="180"/>
              <w:jc w:val="left"/>
              <w:rPr>
                <w:sz w:val="18"/>
              </w:rPr>
            </w:pPr>
            <w:r>
              <w:rPr>
                <w:color w:val="010202"/>
                <w:sz w:val="18"/>
              </w:rPr>
              <w:t>100</w:t>
            </w:r>
          </w:p>
        </w:tc>
        <w:tc>
          <w:tcPr>
            <w:tcW w:w="794" w:type="dxa"/>
            <w:tcBorders>
              <w:top w:val="single" w:sz="4" w:space="0" w:color="231F20"/>
            </w:tcBorders>
          </w:tcPr>
          <w:p>
            <w:pPr>
              <w:pStyle w:val="TableParagraph"/>
              <w:spacing w:before="1"/>
              <w:jc w:val="left"/>
              <w:rPr>
                <w:rFonts w:ascii="Palatino Linotype"/>
                <w:b/>
                <w:sz w:val="15"/>
              </w:rPr>
            </w:pPr>
          </w:p>
          <w:p>
            <w:pPr>
              <w:pStyle w:val="TableParagraph"/>
              <w:ind w:left="180"/>
              <w:jc w:val="left"/>
              <w:rPr>
                <w:sz w:val="18"/>
              </w:rPr>
            </w:pPr>
            <w:r>
              <w:rPr>
                <w:color w:val="010202"/>
                <w:sz w:val="18"/>
              </w:rPr>
              <w:t>100</w:t>
            </w:r>
          </w:p>
        </w:tc>
        <w:tc>
          <w:tcPr>
            <w:tcW w:w="839" w:type="dxa"/>
            <w:tcBorders>
              <w:top w:val="single" w:sz="4" w:space="0" w:color="231F20"/>
            </w:tcBorders>
          </w:tcPr>
          <w:p>
            <w:pPr>
              <w:pStyle w:val="TableParagraph"/>
              <w:spacing w:before="1"/>
              <w:jc w:val="left"/>
              <w:rPr>
                <w:rFonts w:ascii="Palatino Linotype"/>
                <w:b/>
                <w:sz w:val="15"/>
              </w:rPr>
            </w:pPr>
          </w:p>
          <w:p>
            <w:pPr>
              <w:pStyle w:val="TableParagraph"/>
              <w:ind w:left="180"/>
              <w:jc w:val="left"/>
              <w:rPr>
                <w:sz w:val="18"/>
              </w:rPr>
            </w:pPr>
            <w:r>
              <w:rPr>
                <w:color w:val="010202"/>
                <w:sz w:val="18"/>
              </w:rPr>
              <w:t>100</w:t>
            </w:r>
          </w:p>
        </w:tc>
      </w:tr>
      <w:tr>
        <w:trPr>
          <w:trHeight w:val="381" w:hRule="exact"/>
        </w:trPr>
        <w:tc>
          <w:tcPr>
            <w:tcW w:w="2207" w:type="dxa"/>
          </w:tcPr>
          <w:p>
            <w:pPr>
              <w:pStyle w:val="TableParagraph"/>
              <w:spacing w:before="105"/>
              <w:ind w:left="134"/>
              <w:jc w:val="left"/>
              <w:rPr>
                <w:sz w:val="18"/>
              </w:rPr>
            </w:pPr>
            <w:r>
              <w:rPr>
                <w:color w:val="231F20"/>
                <w:sz w:val="18"/>
              </w:rPr>
              <w:t>Aguascalientes</w:t>
            </w:r>
          </w:p>
        </w:tc>
        <w:tc>
          <w:tcPr>
            <w:tcW w:w="923" w:type="dxa"/>
          </w:tcPr>
          <w:p>
            <w:pPr>
              <w:pStyle w:val="TableParagraph"/>
              <w:spacing w:before="105"/>
              <w:ind w:left="308"/>
              <w:jc w:val="left"/>
              <w:rPr>
                <w:sz w:val="18"/>
              </w:rPr>
            </w:pPr>
            <w:r>
              <w:rPr>
                <w:color w:val="231F20"/>
                <w:sz w:val="18"/>
              </w:rPr>
              <w:t>1.9</w:t>
            </w:r>
          </w:p>
        </w:tc>
        <w:tc>
          <w:tcPr>
            <w:tcW w:w="794" w:type="dxa"/>
          </w:tcPr>
          <w:p>
            <w:pPr>
              <w:pStyle w:val="TableParagraph"/>
              <w:spacing w:before="105"/>
              <w:ind w:left="179"/>
              <w:jc w:val="left"/>
              <w:rPr>
                <w:sz w:val="18"/>
              </w:rPr>
            </w:pPr>
            <w:r>
              <w:rPr>
                <w:color w:val="231F20"/>
                <w:sz w:val="18"/>
              </w:rPr>
              <w:t>0.9</w:t>
            </w:r>
          </w:p>
        </w:tc>
        <w:tc>
          <w:tcPr>
            <w:tcW w:w="794" w:type="dxa"/>
          </w:tcPr>
          <w:p>
            <w:pPr>
              <w:pStyle w:val="TableParagraph"/>
              <w:spacing w:before="105"/>
              <w:ind w:left="179"/>
              <w:jc w:val="left"/>
              <w:rPr>
                <w:sz w:val="18"/>
              </w:rPr>
            </w:pPr>
            <w:r>
              <w:rPr>
                <w:color w:val="231F20"/>
                <w:sz w:val="18"/>
              </w:rPr>
              <w:t>4.4</w:t>
            </w:r>
          </w:p>
        </w:tc>
        <w:tc>
          <w:tcPr>
            <w:tcW w:w="794" w:type="dxa"/>
          </w:tcPr>
          <w:p>
            <w:pPr>
              <w:pStyle w:val="TableParagraph"/>
              <w:spacing w:before="105"/>
              <w:ind w:left="179"/>
              <w:jc w:val="left"/>
              <w:rPr>
                <w:sz w:val="18"/>
              </w:rPr>
            </w:pPr>
            <w:r>
              <w:rPr>
                <w:color w:val="231F20"/>
                <w:sz w:val="18"/>
              </w:rPr>
              <w:t>5.5</w:t>
            </w:r>
          </w:p>
        </w:tc>
        <w:tc>
          <w:tcPr>
            <w:tcW w:w="794" w:type="dxa"/>
          </w:tcPr>
          <w:p>
            <w:pPr>
              <w:pStyle w:val="TableParagraph"/>
              <w:spacing w:before="105"/>
              <w:ind w:left="179"/>
              <w:jc w:val="left"/>
              <w:rPr>
                <w:sz w:val="18"/>
              </w:rPr>
            </w:pPr>
            <w:r>
              <w:rPr>
                <w:color w:val="231F20"/>
                <w:sz w:val="18"/>
              </w:rPr>
              <w:t>4.1</w:t>
            </w:r>
          </w:p>
        </w:tc>
        <w:tc>
          <w:tcPr>
            <w:tcW w:w="839" w:type="dxa"/>
          </w:tcPr>
          <w:p>
            <w:pPr>
              <w:pStyle w:val="TableParagraph"/>
              <w:spacing w:before="105"/>
              <w:ind w:left="179"/>
              <w:jc w:val="left"/>
              <w:rPr>
                <w:sz w:val="18"/>
              </w:rPr>
            </w:pPr>
            <w:r>
              <w:rPr>
                <w:color w:val="231F20"/>
                <w:sz w:val="18"/>
              </w:rPr>
              <w:t>7.4</w:t>
            </w:r>
          </w:p>
        </w:tc>
      </w:tr>
      <w:tr>
        <w:trPr>
          <w:trHeight w:val="300" w:hRule="exact"/>
        </w:trPr>
        <w:tc>
          <w:tcPr>
            <w:tcW w:w="2207" w:type="dxa"/>
          </w:tcPr>
          <w:p>
            <w:pPr>
              <w:pStyle w:val="TableParagraph"/>
              <w:spacing w:before="24"/>
              <w:ind w:left="134"/>
              <w:jc w:val="left"/>
              <w:rPr>
                <w:sz w:val="18"/>
              </w:rPr>
            </w:pPr>
            <w:r>
              <w:rPr>
                <w:color w:val="010202"/>
                <w:sz w:val="18"/>
              </w:rPr>
              <w:t>Baja California</w:t>
            </w:r>
          </w:p>
        </w:tc>
        <w:tc>
          <w:tcPr>
            <w:tcW w:w="923" w:type="dxa"/>
          </w:tcPr>
          <w:p>
            <w:pPr>
              <w:pStyle w:val="TableParagraph"/>
              <w:spacing w:before="24"/>
              <w:ind w:left="307"/>
              <w:jc w:val="left"/>
              <w:rPr>
                <w:sz w:val="18"/>
              </w:rPr>
            </w:pPr>
            <w:r>
              <w:rPr>
                <w:color w:val="231F20"/>
                <w:sz w:val="18"/>
              </w:rPr>
              <w:t>1.2</w:t>
            </w:r>
          </w:p>
        </w:tc>
        <w:tc>
          <w:tcPr>
            <w:tcW w:w="794" w:type="dxa"/>
          </w:tcPr>
          <w:p>
            <w:pPr>
              <w:pStyle w:val="TableParagraph"/>
              <w:spacing w:before="24"/>
              <w:ind w:left="178"/>
              <w:jc w:val="left"/>
              <w:rPr>
                <w:sz w:val="18"/>
              </w:rPr>
            </w:pPr>
            <w:r>
              <w:rPr>
                <w:color w:val="231F20"/>
                <w:sz w:val="18"/>
              </w:rPr>
              <w:t>0.7</w:t>
            </w:r>
          </w:p>
        </w:tc>
        <w:tc>
          <w:tcPr>
            <w:tcW w:w="794" w:type="dxa"/>
          </w:tcPr>
          <w:p>
            <w:pPr>
              <w:pStyle w:val="TableParagraph"/>
              <w:spacing w:before="24"/>
              <w:ind w:left="178"/>
              <w:jc w:val="left"/>
              <w:rPr>
                <w:sz w:val="18"/>
              </w:rPr>
            </w:pPr>
            <w:r>
              <w:rPr>
                <w:color w:val="231F20"/>
                <w:sz w:val="18"/>
              </w:rPr>
              <w:t>1.3</w:t>
            </w:r>
          </w:p>
        </w:tc>
        <w:tc>
          <w:tcPr>
            <w:tcW w:w="794" w:type="dxa"/>
          </w:tcPr>
          <w:p>
            <w:pPr>
              <w:pStyle w:val="TableParagraph"/>
              <w:spacing w:before="24"/>
              <w:ind w:left="178"/>
              <w:jc w:val="left"/>
              <w:rPr>
                <w:sz w:val="18"/>
              </w:rPr>
            </w:pPr>
            <w:r>
              <w:rPr>
                <w:color w:val="231F20"/>
                <w:sz w:val="18"/>
              </w:rPr>
              <w:t>1.9</w:t>
            </w:r>
          </w:p>
        </w:tc>
        <w:tc>
          <w:tcPr>
            <w:tcW w:w="794" w:type="dxa"/>
          </w:tcPr>
          <w:p>
            <w:pPr>
              <w:pStyle w:val="TableParagraph"/>
              <w:spacing w:before="24"/>
              <w:ind w:left="178"/>
              <w:jc w:val="left"/>
              <w:rPr>
                <w:sz w:val="18"/>
              </w:rPr>
            </w:pPr>
            <w:r>
              <w:rPr>
                <w:color w:val="231F20"/>
                <w:sz w:val="18"/>
              </w:rPr>
              <w:t>1.6</w:t>
            </w:r>
          </w:p>
        </w:tc>
        <w:tc>
          <w:tcPr>
            <w:tcW w:w="839" w:type="dxa"/>
          </w:tcPr>
          <w:p>
            <w:pPr>
              <w:pStyle w:val="TableParagraph"/>
              <w:spacing w:before="24"/>
              <w:ind w:left="178"/>
              <w:jc w:val="left"/>
              <w:rPr>
                <w:sz w:val="18"/>
              </w:rPr>
            </w:pPr>
            <w:r>
              <w:rPr>
                <w:color w:val="231F20"/>
                <w:sz w:val="18"/>
              </w:rPr>
              <w:t>2.7</w:t>
            </w:r>
          </w:p>
        </w:tc>
      </w:tr>
      <w:tr>
        <w:trPr>
          <w:trHeight w:val="300" w:hRule="exact"/>
        </w:trPr>
        <w:tc>
          <w:tcPr>
            <w:tcW w:w="2207" w:type="dxa"/>
          </w:tcPr>
          <w:p>
            <w:pPr>
              <w:pStyle w:val="TableParagraph"/>
              <w:spacing w:before="24"/>
              <w:ind w:left="133"/>
              <w:jc w:val="left"/>
              <w:rPr>
                <w:sz w:val="18"/>
              </w:rPr>
            </w:pPr>
            <w:r>
              <w:rPr>
                <w:color w:val="010202"/>
                <w:sz w:val="18"/>
              </w:rPr>
              <w:t>Coahuila de Zaragoza</w:t>
            </w:r>
          </w:p>
        </w:tc>
        <w:tc>
          <w:tcPr>
            <w:tcW w:w="923" w:type="dxa"/>
          </w:tcPr>
          <w:p>
            <w:pPr>
              <w:pStyle w:val="TableParagraph"/>
              <w:spacing w:before="24"/>
              <w:ind w:left="307"/>
              <w:jc w:val="left"/>
              <w:rPr>
                <w:sz w:val="18"/>
              </w:rPr>
            </w:pPr>
            <w:r>
              <w:rPr>
                <w:color w:val="231F20"/>
                <w:sz w:val="18"/>
              </w:rPr>
              <w:t>16.4</w:t>
            </w:r>
          </w:p>
        </w:tc>
        <w:tc>
          <w:tcPr>
            <w:tcW w:w="794" w:type="dxa"/>
          </w:tcPr>
          <w:p>
            <w:pPr>
              <w:pStyle w:val="TableParagraph"/>
              <w:spacing w:before="24"/>
              <w:ind w:left="178"/>
              <w:jc w:val="left"/>
              <w:rPr>
                <w:sz w:val="18"/>
              </w:rPr>
            </w:pPr>
            <w:r>
              <w:rPr>
                <w:color w:val="231F20"/>
                <w:sz w:val="18"/>
              </w:rPr>
              <w:t>24.2</w:t>
            </w:r>
          </w:p>
        </w:tc>
        <w:tc>
          <w:tcPr>
            <w:tcW w:w="794" w:type="dxa"/>
          </w:tcPr>
          <w:p>
            <w:pPr>
              <w:pStyle w:val="TableParagraph"/>
              <w:spacing w:before="24"/>
              <w:ind w:left="178"/>
              <w:jc w:val="left"/>
              <w:rPr>
                <w:sz w:val="18"/>
              </w:rPr>
            </w:pPr>
            <w:r>
              <w:rPr>
                <w:color w:val="231F20"/>
                <w:sz w:val="18"/>
              </w:rPr>
              <w:t>8.3</w:t>
            </w:r>
          </w:p>
        </w:tc>
        <w:tc>
          <w:tcPr>
            <w:tcW w:w="794" w:type="dxa"/>
          </w:tcPr>
          <w:p>
            <w:pPr>
              <w:pStyle w:val="TableParagraph"/>
              <w:spacing w:before="24"/>
              <w:ind w:left="178"/>
              <w:jc w:val="left"/>
              <w:rPr>
                <w:sz w:val="18"/>
              </w:rPr>
            </w:pPr>
            <w:r>
              <w:rPr>
                <w:color w:val="231F20"/>
                <w:sz w:val="18"/>
              </w:rPr>
              <w:t>11.4</w:t>
            </w:r>
          </w:p>
        </w:tc>
        <w:tc>
          <w:tcPr>
            <w:tcW w:w="794" w:type="dxa"/>
          </w:tcPr>
          <w:p>
            <w:pPr>
              <w:pStyle w:val="TableParagraph"/>
              <w:spacing w:before="24"/>
              <w:ind w:left="178"/>
              <w:jc w:val="left"/>
              <w:rPr>
                <w:sz w:val="18"/>
              </w:rPr>
            </w:pPr>
            <w:r>
              <w:rPr>
                <w:color w:val="231F20"/>
                <w:sz w:val="18"/>
              </w:rPr>
              <w:t>10.9</w:t>
            </w:r>
          </w:p>
        </w:tc>
        <w:tc>
          <w:tcPr>
            <w:tcW w:w="839" w:type="dxa"/>
          </w:tcPr>
          <w:p>
            <w:pPr>
              <w:pStyle w:val="TableParagraph"/>
              <w:spacing w:before="24"/>
              <w:ind w:left="178"/>
              <w:jc w:val="left"/>
              <w:rPr>
                <w:sz w:val="18"/>
              </w:rPr>
            </w:pPr>
            <w:r>
              <w:rPr>
                <w:color w:val="231F20"/>
                <w:sz w:val="18"/>
              </w:rPr>
              <w:t>16.4</w:t>
            </w:r>
          </w:p>
        </w:tc>
      </w:tr>
      <w:tr>
        <w:trPr>
          <w:trHeight w:val="300" w:hRule="exact"/>
        </w:trPr>
        <w:tc>
          <w:tcPr>
            <w:tcW w:w="2207" w:type="dxa"/>
          </w:tcPr>
          <w:p>
            <w:pPr>
              <w:pStyle w:val="TableParagraph"/>
              <w:spacing w:before="24"/>
              <w:ind w:left="132"/>
              <w:jc w:val="left"/>
              <w:rPr>
                <w:sz w:val="18"/>
              </w:rPr>
            </w:pPr>
            <w:r>
              <w:rPr>
                <w:color w:val="010202"/>
                <w:w w:val="105"/>
                <w:sz w:val="18"/>
              </w:rPr>
              <w:t>Chihuahua</w:t>
            </w:r>
          </w:p>
        </w:tc>
        <w:tc>
          <w:tcPr>
            <w:tcW w:w="923" w:type="dxa"/>
          </w:tcPr>
          <w:p>
            <w:pPr>
              <w:pStyle w:val="TableParagraph"/>
              <w:spacing w:before="24"/>
              <w:ind w:left="306"/>
              <w:jc w:val="left"/>
              <w:rPr>
                <w:sz w:val="18"/>
              </w:rPr>
            </w:pPr>
            <w:r>
              <w:rPr>
                <w:color w:val="231F20"/>
                <w:sz w:val="18"/>
              </w:rPr>
              <w:t>-1.2</w:t>
            </w:r>
          </w:p>
        </w:tc>
        <w:tc>
          <w:tcPr>
            <w:tcW w:w="794" w:type="dxa"/>
          </w:tcPr>
          <w:p>
            <w:pPr>
              <w:pStyle w:val="TableParagraph"/>
              <w:spacing w:before="24"/>
              <w:ind w:left="177"/>
              <w:jc w:val="left"/>
              <w:rPr>
                <w:sz w:val="18"/>
              </w:rPr>
            </w:pPr>
            <w:r>
              <w:rPr>
                <w:color w:val="231F20"/>
                <w:sz w:val="18"/>
              </w:rPr>
              <w:t>4.5</w:t>
            </w:r>
          </w:p>
        </w:tc>
        <w:tc>
          <w:tcPr>
            <w:tcW w:w="794" w:type="dxa"/>
          </w:tcPr>
          <w:p>
            <w:pPr>
              <w:pStyle w:val="TableParagraph"/>
              <w:spacing w:before="24"/>
              <w:ind w:left="177"/>
              <w:jc w:val="left"/>
              <w:rPr>
                <w:sz w:val="18"/>
              </w:rPr>
            </w:pPr>
            <w:r>
              <w:rPr>
                <w:color w:val="231F20"/>
                <w:sz w:val="18"/>
              </w:rPr>
              <w:t>1.1</w:t>
            </w:r>
          </w:p>
        </w:tc>
        <w:tc>
          <w:tcPr>
            <w:tcW w:w="794" w:type="dxa"/>
          </w:tcPr>
          <w:p>
            <w:pPr>
              <w:pStyle w:val="TableParagraph"/>
              <w:spacing w:before="24"/>
              <w:ind w:left="177"/>
              <w:jc w:val="left"/>
              <w:rPr>
                <w:sz w:val="18"/>
              </w:rPr>
            </w:pPr>
            <w:r>
              <w:rPr>
                <w:color w:val="231F20"/>
                <w:sz w:val="18"/>
              </w:rPr>
              <w:t>2.8</w:t>
            </w:r>
          </w:p>
        </w:tc>
        <w:tc>
          <w:tcPr>
            <w:tcW w:w="794" w:type="dxa"/>
          </w:tcPr>
          <w:p>
            <w:pPr>
              <w:pStyle w:val="TableParagraph"/>
              <w:spacing w:before="24"/>
              <w:ind w:left="177"/>
              <w:jc w:val="left"/>
              <w:rPr>
                <w:sz w:val="18"/>
              </w:rPr>
            </w:pPr>
            <w:r>
              <w:rPr>
                <w:color w:val="231F20"/>
                <w:sz w:val="18"/>
              </w:rPr>
              <w:t>18.7</w:t>
            </w:r>
          </w:p>
        </w:tc>
        <w:tc>
          <w:tcPr>
            <w:tcW w:w="839" w:type="dxa"/>
          </w:tcPr>
          <w:p>
            <w:pPr>
              <w:pStyle w:val="TableParagraph"/>
              <w:spacing w:before="24"/>
              <w:ind w:left="177"/>
              <w:jc w:val="left"/>
              <w:rPr>
                <w:sz w:val="18"/>
              </w:rPr>
            </w:pPr>
            <w:r>
              <w:rPr>
                <w:color w:val="231F20"/>
                <w:sz w:val="18"/>
              </w:rPr>
              <w:t>10.5</w:t>
            </w:r>
          </w:p>
        </w:tc>
      </w:tr>
      <w:tr>
        <w:trPr>
          <w:trHeight w:val="300" w:hRule="exact"/>
        </w:trPr>
        <w:tc>
          <w:tcPr>
            <w:tcW w:w="2207" w:type="dxa"/>
          </w:tcPr>
          <w:p>
            <w:pPr>
              <w:pStyle w:val="TableParagraph"/>
              <w:spacing w:before="24"/>
              <w:ind w:left="132"/>
              <w:jc w:val="left"/>
              <w:rPr>
                <w:sz w:val="18"/>
              </w:rPr>
            </w:pPr>
            <w:r>
              <w:rPr>
                <w:color w:val="010202"/>
                <w:sz w:val="18"/>
              </w:rPr>
              <w:t>Distrito Federal</w:t>
            </w:r>
          </w:p>
        </w:tc>
        <w:tc>
          <w:tcPr>
            <w:tcW w:w="923" w:type="dxa"/>
          </w:tcPr>
          <w:p>
            <w:pPr>
              <w:pStyle w:val="TableParagraph"/>
              <w:spacing w:before="24"/>
              <w:ind w:left="306"/>
              <w:jc w:val="left"/>
              <w:rPr>
                <w:sz w:val="18"/>
              </w:rPr>
            </w:pPr>
            <w:r>
              <w:rPr>
                <w:color w:val="231F20"/>
                <w:sz w:val="18"/>
              </w:rPr>
              <w:t>12.2</w:t>
            </w:r>
          </w:p>
        </w:tc>
        <w:tc>
          <w:tcPr>
            <w:tcW w:w="794" w:type="dxa"/>
          </w:tcPr>
          <w:p>
            <w:pPr>
              <w:pStyle w:val="TableParagraph"/>
              <w:spacing w:before="24"/>
              <w:ind w:left="177"/>
              <w:jc w:val="left"/>
              <w:rPr>
                <w:sz w:val="18"/>
              </w:rPr>
            </w:pPr>
            <w:r>
              <w:rPr>
                <w:color w:val="231F20"/>
                <w:sz w:val="18"/>
              </w:rPr>
              <w:t>9.4</w:t>
            </w:r>
          </w:p>
        </w:tc>
        <w:tc>
          <w:tcPr>
            <w:tcW w:w="794" w:type="dxa"/>
          </w:tcPr>
          <w:p>
            <w:pPr>
              <w:pStyle w:val="TableParagraph"/>
              <w:spacing w:before="24"/>
              <w:ind w:left="177"/>
              <w:jc w:val="left"/>
              <w:rPr>
                <w:sz w:val="18"/>
              </w:rPr>
            </w:pPr>
            <w:r>
              <w:rPr>
                <w:color w:val="231F20"/>
                <w:sz w:val="18"/>
              </w:rPr>
              <w:t>17.4</w:t>
            </w:r>
          </w:p>
        </w:tc>
        <w:tc>
          <w:tcPr>
            <w:tcW w:w="794" w:type="dxa"/>
          </w:tcPr>
          <w:p>
            <w:pPr>
              <w:pStyle w:val="TableParagraph"/>
              <w:spacing w:before="24"/>
              <w:ind w:left="177"/>
              <w:jc w:val="left"/>
              <w:rPr>
                <w:sz w:val="18"/>
              </w:rPr>
            </w:pPr>
            <w:r>
              <w:rPr>
                <w:color w:val="231F20"/>
                <w:sz w:val="18"/>
              </w:rPr>
              <w:t>-4.1</w:t>
            </w:r>
          </w:p>
        </w:tc>
        <w:tc>
          <w:tcPr>
            <w:tcW w:w="794" w:type="dxa"/>
          </w:tcPr>
          <w:p>
            <w:pPr>
              <w:pStyle w:val="TableParagraph"/>
              <w:spacing w:before="24"/>
              <w:ind w:left="177"/>
              <w:jc w:val="left"/>
              <w:rPr>
                <w:sz w:val="18"/>
              </w:rPr>
            </w:pPr>
            <w:r>
              <w:rPr>
                <w:color w:val="231F20"/>
                <w:sz w:val="18"/>
              </w:rPr>
              <w:t>-0.1</w:t>
            </w:r>
          </w:p>
        </w:tc>
        <w:tc>
          <w:tcPr>
            <w:tcW w:w="839" w:type="dxa"/>
          </w:tcPr>
          <w:p>
            <w:pPr>
              <w:pStyle w:val="TableParagraph"/>
              <w:spacing w:before="24"/>
              <w:ind w:left="177"/>
              <w:jc w:val="left"/>
              <w:rPr>
                <w:sz w:val="18"/>
              </w:rPr>
            </w:pPr>
            <w:r>
              <w:rPr>
                <w:color w:val="231F20"/>
                <w:sz w:val="18"/>
              </w:rPr>
              <w:t>1.0</w:t>
            </w:r>
          </w:p>
        </w:tc>
      </w:tr>
      <w:tr>
        <w:trPr>
          <w:trHeight w:val="300" w:hRule="exact"/>
        </w:trPr>
        <w:tc>
          <w:tcPr>
            <w:tcW w:w="2207" w:type="dxa"/>
          </w:tcPr>
          <w:p>
            <w:pPr>
              <w:pStyle w:val="TableParagraph"/>
              <w:spacing w:before="24"/>
              <w:ind w:left="131"/>
              <w:jc w:val="left"/>
              <w:rPr>
                <w:sz w:val="18"/>
              </w:rPr>
            </w:pPr>
            <w:r>
              <w:rPr>
                <w:color w:val="010202"/>
                <w:sz w:val="18"/>
              </w:rPr>
              <w:t>Guanajuato</w:t>
            </w:r>
          </w:p>
        </w:tc>
        <w:tc>
          <w:tcPr>
            <w:tcW w:w="923" w:type="dxa"/>
          </w:tcPr>
          <w:p>
            <w:pPr>
              <w:pStyle w:val="TableParagraph"/>
              <w:spacing w:before="24"/>
              <w:ind w:left="305"/>
              <w:jc w:val="left"/>
              <w:rPr>
                <w:sz w:val="18"/>
              </w:rPr>
            </w:pPr>
            <w:r>
              <w:rPr>
                <w:color w:val="231F20"/>
                <w:sz w:val="18"/>
              </w:rPr>
              <w:t>2.3</w:t>
            </w:r>
          </w:p>
        </w:tc>
        <w:tc>
          <w:tcPr>
            <w:tcW w:w="794" w:type="dxa"/>
          </w:tcPr>
          <w:p>
            <w:pPr>
              <w:pStyle w:val="TableParagraph"/>
              <w:spacing w:before="24"/>
              <w:ind w:left="176"/>
              <w:jc w:val="left"/>
              <w:rPr>
                <w:sz w:val="18"/>
              </w:rPr>
            </w:pPr>
            <w:r>
              <w:rPr>
                <w:color w:val="231F20"/>
                <w:sz w:val="18"/>
              </w:rPr>
              <w:t>2.5</w:t>
            </w:r>
          </w:p>
        </w:tc>
        <w:tc>
          <w:tcPr>
            <w:tcW w:w="794" w:type="dxa"/>
          </w:tcPr>
          <w:p>
            <w:pPr>
              <w:pStyle w:val="TableParagraph"/>
              <w:spacing w:before="24"/>
              <w:ind w:left="176"/>
              <w:jc w:val="left"/>
              <w:rPr>
                <w:sz w:val="18"/>
              </w:rPr>
            </w:pPr>
            <w:r>
              <w:rPr>
                <w:color w:val="231F20"/>
                <w:sz w:val="18"/>
              </w:rPr>
              <w:t>1.4</w:t>
            </w:r>
          </w:p>
        </w:tc>
        <w:tc>
          <w:tcPr>
            <w:tcW w:w="794" w:type="dxa"/>
          </w:tcPr>
          <w:p>
            <w:pPr>
              <w:pStyle w:val="TableParagraph"/>
              <w:spacing w:before="24"/>
              <w:ind w:left="176"/>
              <w:jc w:val="left"/>
              <w:rPr>
                <w:sz w:val="18"/>
              </w:rPr>
            </w:pPr>
            <w:r>
              <w:rPr>
                <w:color w:val="231F20"/>
                <w:sz w:val="18"/>
              </w:rPr>
              <w:t>19.9</w:t>
            </w:r>
          </w:p>
        </w:tc>
        <w:tc>
          <w:tcPr>
            <w:tcW w:w="794" w:type="dxa"/>
          </w:tcPr>
          <w:p>
            <w:pPr>
              <w:pStyle w:val="TableParagraph"/>
              <w:spacing w:before="24"/>
              <w:ind w:left="176"/>
              <w:jc w:val="left"/>
              <w:rPr>
                <w:sz w:val="18"/>
              </w:rPr>
            </w:pPr>
            <w:r>
              <w:rPr>
                <w:color w:val="231F20"/>
                <w:sz w:val="18"/>
              </w:rPr>
              <w:t>12.6</w:t>
            </w:r>
          </w:p>
        </w:tc>
        <w:tc>
          <w:tcPr>
            <w:tcW w:w="839" w:type="dxa"/>
          </w:tcPr>
          <w:p>
            <w:pPr>
              <w:pStyle w:val="TableParagraph"/>
              <w:spacing w:before="24"/>
              <w:ind w:left="176"/>
              <w:jc w:val="left"/>
              <w:rPr>
                <w:sz w:val="18"/>
              </w:rPr>
            </w:pPr>
            <w:r>
              <w:rPr>
                <w:color w:val="231F20"/>
                <w:sz w:val="18"/>
              </w:rPr>
              <w:t>6.1</w:t>
            </w:r>
          </w:p>
        </w:tc>
      </w:tr>
      <w:tr>
        <w:trPr>
          <w:trHeight w:val="300" w:hRule="exact"/>
        </w:trPr>
        <w:tc>
          <w:tcPr>
            <w:tcW w:w="2207" w:type="dxa"/>
          </w:tcPr>
          <w:p>
            <w:pPr>
              <w:pStyle w:val="TableParagraph"/>
              <w:spacing w:before="24"/>
              <w:ind w:left="131"/>
              <w:jc w:val="left"/>
              <w:rPr>
                <w:sz w:val="18"/>
              </w:rPr>
            </w:pPr>
            <w:r>
              <w:rPr>
                <w:color w:val="010202"/>
                <w:sz w:val="18"/>
              </w:rPr>
              <w:t>Jalisco</w:t>
            </w:r>
          </w:p>
        </w:tc>
        <w:tc>
          <w:tcPr>
            <w:tcW w:w="923" w:type="dxa"/>
          </w:tcPr>
          <w:p>
            <w:pPr>
              <w:pStyle w:val="TableParagraph"/>
              <w:spacing w:before="24"/>
              <w:ind w:left="304"/>
              <w:jc w:val="left"/>
              <w:rPr>
                <w:sz w:val="18"/>
              </w:rPr>
            </w:pPr>
            <w:r>
              <w:rPr>
                <w:color w:val="010202"/>
                <w:sz w:val="18"/>
              </w:rPr>
              <w:t>1.6</w:t>
            </w:r>
          </w:p>
        </w:tc>
        <w:tc>
          <w:tcPr>
            <w:tcW w:w="794" w:type="dxa"/>
          </w:tcPr>
          <w:p>
            <w:pPr>
              <w:pStyle w:val="TableParagraph"/>
              <w:spacing w:before="24"/>
              <w:ind w:left="175"/>
              <w:jc w:val="left"/>
              <w:rPr>
                <w:sz w:val="18"/>
              </w:rPr>
            </w:pPr>
            <w:r>
              <w:rPr>
                <w:color w:val="010202"/>
                <w:sz w:val="18"/>
              </w:rPr>
              <w:t>2.4</w:t>
            </w:r>
          </w:p>
        </w:tc>
        <w:tc>
          <w:tcPr>
            <w:tcW w:w="794" w:type="dxa"/>
          </w:tcPr>
          <w:p>
            <w:pPr>
              <w:pStyle w:val="TableParagraph"/>
              <w:spacing w:before="24"/>
              <w:ind w:left="175"/>
              <w:jc w:val="left"/>
              <w:rPr>
                <w:sz w:val="18"/>
              </w:rPr>
            </w:pPr>
            <w:r>
              <w:rPr>
                <w:color w:val="010202"/>
                <w:sz w:val="18"/>
              </w:rPr>
              <w:t>5.9</w:t>
            </w:r>
          </w:p>
        </w:tc>
        <w:tc>
          <w:tcPr>
            <w:tcW w:w="794" w:type="dxa"/>
          </w:tcPr>
          <w:p>
            <w:pPr>
              <w:pStyle w:val="TableParagraph"/>
              <w:spacing w:before="24"/>
              <w:ind w:left="175"/>
              <w:jc w:val="left"/>
              <w:rPr>
                <w:sz w:val="18"/>
              </w:rPr>
            </w:pPr>
            <w:r>
              <w:rPr>
                <w:color w:val="010202"/>
                <w:sz w:val="18"/>
              </w:rPr>
              <w:t>3.8</w:t>
            </w:r>
          </w:p>
        </w:tc>
        <w:tc>
          <w:tcPr>
            <w:tcW w:w="794" w:type="dxa"/>
          </w:tcPr>
          <w:p>
            <w:pPr>
              <w:pStyle w:val="TableParagraph"/>
              <w:spacing w:before="24"/>
              <w:ind w:left="175"/>
              <w:jc w:val="left"/>
              <w:rPr>
                <w:sz w:val="18"/>
              </w:rPr>
            </w:pPr>
            <w:r>
              <w:rPr>
                <w:color w:val="010202"/>
                <w:sz w:val="18"/>
              </w:rPr>
              <w:t>1.6</w:t>
            </w:r>
          </w:p>
        </w:tc>
        <w:tc>
          <w:tcPr>
            <w:tcW w:w="839" w:type="dxa"/>
          </w:tcPr>
          <w:p>
            <w:pPr>
              <w:pStyle w:val="TableParagraph"/>
              <w:spacing w:before="24"/>
              <w:ind w:left="175"/>
              <w:jc w:val="left"/>
              <w:rPr>
                <w:sz w:val="18"/>
              </w:rPr>
            </w:pPr>
            <w:r>
              <w:rPr>
                <w:color w:val="010202"/>
                <w:sz w:val="18"/>
              </w:rPr>
              <w:t>1.9</w:t>
            </w:r>
          </w:p>
        </w:tc>
      </w:tr>
      <w:tr>
        <w:trPr>
          <w:trHeight w:val="300" w:hRule="exact"/>
        </w:trPr>
        <w:tc>
          <w:tcPr>
            <w:tcW w:w="2207" w:type="dxa"/>
          </w:tcPr>
          <w:p>
            <w:pPr>
              <w:pStyle w:val="TableParagraph"/>
              <w:spacing w:before="4"/>
              <w:ind w:left="130"/>
              <w:jc w:val="left"/>
              <w:rPr>
                <w:rFonts w:ascii="Palatino Linotype" w:hAnsi="Palatino Linotype"/>
                <w:b/>
                <w:sz w:val="18"/>
              </w:rPr>
            </w:pPr>
            <w:r>
              <w:rPr>
                <w:rFonts w:ascii="Palatino Linotype" w:hAnsi="Palatino Linotype"/>
                <w:b/>
                <w:color w:val="231F20"/>
                <w:sz w:val="18"/>
              </w:rPr>
              <w:t>México</w:t>
            </w:r>
          </w:p>
        </w:tc>
        <w:tc>
          <w:tcPr>
            <w:tcW w:w="923" w:type="dxa"/>
          </w:tcPr>
          <w:p>
            <w:pPr>
              <w:pStyle w:val="TableParagraph"/>
              <w:spacing w:before="4"/>
              <w:ind w:left="304"/>
              <w:jc w:val="left"/>
              <w:rPr>
                <w:rFonts w:ascii="Palatino Linotype"/>
                <w:b/>
                <w:sz w:val="18"/>
              </w:rPr>
            </w:pPr>
            <w:r>
              <w:rPr>
                <w:rFonts w:ascii="Palatino Linotype"/>
                <w:b/>
                <w:color w:val="231F20"/>
                <w:sz w:val="18"/>
              </w:rPr>
              <w:t>18.6</w:t>
            </w:r>
          </w:p>
        </w:tc>
        <w:tc>
          <w:tcPr>
            <w:tcW w:w="794" w:type="dxa"/>
          </w:tcPr>
          <w:p>
            <w:pPr>
              <w:pStyle w:val="TableParagraph"/>
              <w:spacing w:before="4"/>
              <w:ind w:left="175"/>
              <w:jc w:val="left"/>
              <w:rPr>
                <w:rFonts w:ascii="Palatino Linotype"/>
                <w:b/>
                <w:sz w:val="18"/>
              </w:rPr>
            </w:pPr>
            <w:r>
              <w:rPr>
                <w:rFonts w:ascii="Palatino Linotype"/>
                <w:b/>
                <w:color w:val="231F20"/>
                <w:sz w:val="18"/>
              </w:rPr>
              <w:t>19.7</w:t>
            </w:r>
          </w:p>
        </w:tc>
        <w:tc>
          <w:tcPr>
            <w:tcW w:w="794" w:type="dxa"/>
          </w:tcPr>
          <w:p>
            <w:pPr>
              <w:pStyle w:val="TableParagraph"/>
              <w:spacing w:before="4"/>
              <w:ind w:left="175"/>
              <w:jc w:val="left"/>
              <w:rPr>
                <w:rFonts w:ascii="Palatino Linotype"/>
                <w:b/>
                <w:sz w:val="18"/>
              </w:rPr>
            </w:pPr>
            <w:r>
              <w:rPr>
                <w:rFonts w:ascii="Palatino Linotype"/>
                <w:b/>
                <w:color w:val="231F20"/>
                <w:sz w:val="18"/>
              </w:rPr>
              <w:t>25.4</w:t>
            </w:r>
          </w:p>
        </w:tc>
        <w:tc>
          <w:tcPr>
            <w:tcW w:w="794" w:type="dxa"/>
          </w:tcPr>
          <w:p>
            <w:pPr>
              <w:pStyle w:val="TableParagraph"/>
              <w:spacing w:before="4"/>
              <w:ind w:left="175"/>
              <w:jc w:val="left"/>
              <w:rPr>
                <w:rFonts w:ascii="Palatino Linotype"/>
                <w:b/>
                <w:sz w:val="18"/>
              </w:rPr>
            </w:pPr>
            <w:r>
              <w:rPr>
                <w:rFonts w:ascii="Palatino Linotype"/>
                <w:b/>
                <w:color w:val="231F20"/>
                <w:sz w:val="18"/>
              </w:rPr>
              <w:t>20.2</w:t>
            </w:r>
          </w:p>
        </w:tc>
        <w:tc>
          <w:tcPr>
            <w:tcW w:w="794" w:type="dxa"/>
          </w:tcPr>
          <w:p>
            <w:pPr>
              <w:pStyle w:val="TableParagraph"/>
              <w:spacing w:before="4"/>
              <w:ind w:left="175"/>
              <w:jc w:val="left"/>
              <w:rPr>
                <w:rFonts w:ascii="Palatino Linotype"/>
                <w:b/>
                <w:sz w:val="18"/>
              </w:rPr>
            </w:pPr>
            <w:r>
              <w:rPr>
                <w:rFonts w:ascii="Palatino Linotype"/>
                <w:b/>
                <w:color w:val="010202"/>
                <w:sz w:val="18"/>
              </w:rPr>
              <w:t>10.1</w:t>
            </w:r>
          </w:p>
        </w:tc>
        <w:tc>
          <w:tcPr>
            <w:tcW w:w="839" w:type="dxa"/>
          </w:tcPr>
          <w:p>
            <w:pPr>
              <w:pStyle w:val="TableParagraph"/>
              <w:spacing w:before="4"/>
              <w:ind w:left="175"/>
              <w:jc w:val="left"/>
              <w:rPr>
                <w:rFonts w:ascii="Palatino Linotype"/>
                <w:b/>
                <w:sz w:val="18"/>
              </w:rPr>
            </w:pPr>
            <w:r>
              <w:rPr>
                <w:rFonts w:ascii="Palatino Linotype"/>
                <w:b/>
                <w:color w:val="010202"/>
                <w:sz w:val="18"/>
              </w:rPr>
              <w:t>10.0</w:t>
            </w:r>
          </w:p>
        </w:tc>
      </w:tr>
      <w:tr>
        <w:trPr>
          <w:trHeight w:val="301" w:hRule="exact"/>
        </w:trPr>
        <w:tc>
          <w:tcPr>
            <w:tcW w:w="2207" w:type="dxa"/>
          </w:tcPr>
          <w:p>
            <w:pPr>
              <w:pStyle w:val="TableParagraph"/>
              <w:spacing w:before="24"/>
              <w:ind w:left="130"/>
              <w:jc w:val="left"/>
              <w:rPr>
                <w:sz w:val="18"/>
              </w:rPr>
            </w:pPr>
            <w:r>
              <w:rPr>
                <w:color w:val="231F20"/>
                <w:sz w:val="18"/>
              </w:rPr>
              <w:t>Morelos</w:t>
            </w:r>
          </w:p>
        </w:tc>
        <w:tc>
          <w:tcPr>
            <w:tcW w:w="923" w:type="dxa"/>
          </w:tcPr>
          <w:p>
            <w:pPr>
              <w:pStyle w:val="TableParagraph"/>
              <w:spacing w:before="24"/>
              <w:ind w:left="303"/>
              <w:jc w:val="left"/>
              <w:rPr>
                <w:sz w:val="18"/>
              </w:rPr>
            </w:pPr>
            <w:r>
              <w:rPr>
                <w:color w:val="231F20"/>
                <w:sz w:val="18"/>
              </w:rPr>
              <w:t>6.4</w:t>
            </w:r>
          </w:p>
        </w:tc>
        <w:tc>
          <w:tcPr>
            <w:tcW w:w="794" w:type="dxa"/>
          </w:tcPr>
          <w:p>
            <w:pPr>
              <w:pStyle w:val="TableParagraph"/>
              <w:spacing w:before="24"/>
              <w:ind w:left="174"/>
              <w:jc w:val="left"/>
              <w:rPr>
                <w:sz w:val="18"/>
              </w:rPr>
            </w:pPr>
            <w:r>
              <w:rPr>
                <w:color w:val="231F20"/>
                <w:sz w:val="18"/>
              </w:rPr>
              <w:t>16.1</w:t>
            </w:r>
          </w:p>
        </w:tc>
        <w:tc>
          <w:tcPr>
            <w:tcW w:w="794" w:type="dxa"/>
          </w:tcPr>
          <w:p>
            <w:pPr>
              <w:pStyle w:val="TableParagraph"/>
              <w:spacing w:before="24"/>
              <w:ind w:left="174"/>
              <w:jc w:val="left"/>
              <w:rPr>
                <w:sz w:val="18"/>
              </w:rPr>
            </w:pPr>
            <w:r>
              <w:rPr>
                <w:color w:val="231F20"/>
                <w:sz w:val="18"/>
              </w:rPr>
              <w:t>11.7</w:t>
            </w:r>
          </w:p>
        </w:tc>
        <w:tc>
          <w:tcPr>
            <w:tcW w:w="794" w:type="dxa"/>
          </w:tcPr>
          <w:p>
            <w:pPr>
              <w:pStyle w:val="TableParagraph"/>
              <w:spacing w:before="24"/>
              <w:ind w:left="174"/>
              <w:jc w:val="left"/>
              <w:rPr>
                <w:sz w:val="18"/>
              </w:rPr>
            </w:pPr>
            <w:r>
              <w:rPr>
                <w:color w:val="231F20"/>
                <w:sz w:val="18"/>
              </w:rPr>
              <w:t>3.4</w:t>
            </w:r>
          </w:p>
        </w:tc>
        <w:tc>
          <w:tcPr>
            <w:tcW w:w="794" w:type="dxa"/>
          </w:tcPr>
          <w:p>
            <w:pPr>
              <w:pStyle w:val="TableParagraph"/>
              <w:spacing w:before="24"/>
              <w:ind w:left="174"/>
              <w:jc w:val="left"/>
              <w:rPr>
                <w:sz w:val="18"/>
              </w:rPr>
            </w:pPr>
            <w:r>
              <w:rPr>
                <w:color w:val="231F20"/>
                <w:sz w:val="18"/>
              </w:rPr>
              <w:t>1.9</w:t>
            </w:r>
          </w:p>
        </w:tc>
        <w:tc>
          <w:tcPr>
            <w:tcW w:w="839" w:type="dxa"/>
          </w:tcPr>
          <w:p>
            <w:pPr>
              <w:pStyle w:val="TableParagraph"/>
              <w:spacing w:before="24"/>
              <w:ind w:left="174"/>
              <w:jc w:val="left"/>
              <w:rPr>
                <w:sz w:val="18"/>
              </w:rPr>
            </w:pPr>
            <w:r>
              <w:rPr>
                <w:color w:val="231F20"/>
                <w:sz w:val="18"/>
              </w:rPr>
              <w:t>1.4</w:t>
            </w:r>
          </w:p>
        </w:tc>
      </w:tr>
      <w:tr>
        <w:trPr>
          <w:trHeight w:val="300" w:hRule="exact"/>
        </w:trPr>
        <w:tc>
          <w:tcPr>
            <w:tcW w:w="2207" w:type="dxa"/>
          </w:tcPr>
          <w:p>
            <w:pPr>
              <w:pStyle w:val="TableParagraph"/>
              <w:spacing w:before="24"/>
              <w:ind w:left="129"/>
              <w:jc w:val="left"/>
              <w:rPr>
                <w:sz w:val="18"/>
              </w:rPr>
            </w:pPr>
            <w:r>
              <w:rPr>
                <w:color w:val="010202"/>
                <w:sz w:val="18"/>
              </w:rPr>
              <w:t>Nuevo León</w:t>
            </w:r>
          </w:p>
        </w:tc>
        <w:tc>
          <w:tcPr>
            <w:tcW w:w="923" w:type="dxa"/>
          </w:tcPr>
          <w:p>
            <w:pPr>
              <w:pStyle w:val="TableParagraph"/>
              <w:spacing w:before="24"/>
              <w:ind w:left="303"/>
              <w:jc w:val="left"/>
              <w:rPr>
                <w:sz w:val="18"/>
              </w:rPr>
            </w:pPr>
            <w:r>
              <w:rPr>
                <w:color w:val="231F20"/>
                <w:sz w:val="18"/>
              </w:rPr>
              <w:t>4.2</w:t>
            </w:r>
          </w:p>
        </w:tc>
        <w:tc>
          <w:tcPr>
            <w:tcW w:w="794" w:type="dxa"/>
          </w:tcPr>
          <w:p>
            <w:pPr>
              <w:pStyle w:val="TableParagraph"/>
              <w:spacing w:before="24"/>
              <w:ind w:left="174"/>
              <w:jc w:val="left"/>
              <w:rPr>
                <w:sz w:val="18"/>
              </w:rPr>
            </w:pPr>
            <w:r>
              <w:rPr>
                <w:color w:val="231F20"/>
                <w:sz w:val="18"/>
              </w:rPr>
              <w:t>2.9</w:t>
            </w:r>
          </w:p>
        </w:tc>
        <w:tc>
          <w:tcPr>
            <w:tcW w:w="794" w:type="dxa"/>
          </w:tcPr>
          <w:p>
            <w:pPr>
              <w:pStyle w:val="TableParagraph"/>
              <w:spacing w:before="24"/>
              <w:ind w:left="174"/>
              <w:jc w:val="left"/>
              <w:rPr>
                <w:sz w:val="18"/>
              </w:rPr>
            </w:pPr>
            <w:r>
              <w:rPr>
                <w:color w:val="231F20"/>
                <w:sz w:val="18"/>
              </w:rPr>
              <w:t>3.9</w:t>
            </w:r>
          </w:p>
        </w:tc>
        <w:tc>
          <w:tcPr>
            <w:tcW w:w="794" w:type="dxa"/>
          </w:tcPr>
          <w:p>
            <w:pPr>
              <w:pStyle w:val="TableParagraph"/>
              <w:spacing w:before="24"/>
              <w:ind w:left="174"/>
              <w:jc w:val="left"/>
              <w:rPr>
                <w:sz w:val="18"/>
              </w:rPr>
            </w:pPr>
            <w:r>
              <w:rPr>
                <w:color w:val="231F20"/>
                <w:sz w:val="18"/>
              </w:rPr>
              <w:t>5.8</w:t>
            </w:r>
          </w:p>
        </w:tc>
        <w:tc>
          <w:tcPr>
            <w:tcW w:w="794" w:type="dxa"/>
          </w:tcPr>
          <w:p>
            <w:pPr>
              <w:pStyle w:val="TableParagraph"/>
              <w:spacing w:before="24"/>
              <w:ind w:left="174"/>
              <w:jc w:val="left"/>
              <w:rPr>
                <w:sz w:val="18"/>
              </w:rPr>
            </w:pPr>
            <w:r>
              <w:rPr>
                <w:color w:val="231F20"/>
                <w:sz w:val="18"/>
              </w:rPr>
              <w:t>7.3</w:t>
            </w:r>
          </w:p>
        </w:tc>
        <w:tc>
          <w:tcPr>
            <w:tcW w:w="839" w:type="dxa"/>
          </w:tcPr>
          <w:p>
            <w:pPr>
              <w:pStyle w:val="TableParagraph"/>
              <w:spacing w:before="24"/>
              <w:ind w:left="174"/>
              <w:jc w:val="left"/>
              <w:rPr>
                <w:sz w:val="18"/>
              </w:rPr>
            </w:pPr>
            <w:r>
              <w:rPr>
                <w:color w:val="231F20"/>
                <w:sz w:val="18"/>
              </w:rPr>
              <w:t>7.3</w:t>
            </w:r>
          </w:p>
        </w:tc>
      </w:tr>
      <w:tr>
        <w:trPr>
          <w:trHeight w:val="300" w:hRule="exact"/>
        </w:trPr>
        <w:tc>
          <w:tcPr>
            <w:tcW w:w="2207" w:type="dxa"/>
          </w:tcPr>
          <w:p>
            <w:pPr>
              <w:pStyle w:val="TableParagraph"/>
              <w:spacing w:before="24"/>
              <w:ind w:left="129"/>
              <w:jc w:val="left"/>
              <w:rPr>
                <w:sz w:val="18"/>
              </w:rPr>
            </w:pPr>
            <w:r>
              <w:rPr>
                <w:color w:val="010202"/>
                <w:sz w:val="18"/>
              </w:rPr>
              <w:t>Puebla</w:t>
            </w:r>
          </w:p>
        </w:tc>
        <w:tc>
          <w:tcPr>
            <w:tcW w:w="923" w:type="dxa"/>
          </w:tcPr>
          <w:p>
            <w:pPr>
              <w:pStyle w:val="TableParagraph"/>
              <w:spacing w:before="24"/>
              <w:ind w:left="302"/>
              <w:jc w:val="left"/>
              <w:rPr>
                <w:sz w:val="18"/>
              </w:rPr>
            </w:pPr>
            <w:r>
              <w:rPr>
                <w:color w:val="231F20"/>
                <w:sz w:val="18"/>
              </w:rPr>
              <w:t>19.3</w:t>
            </w:r>
          </w:p>
        </w:tc>
        <w:tc>
          <w:tcPr>
            <w:tcW w:w="794" w:type="dxa"/>
          </w:tcPr>
          <w:p>
            <w:pPr>
              <w:pStyle w:val="TableParagraph"/>
              <w:spacing w:before="24"/>
              <w:ind w:left="173"/>
              <w:jc w:val="left"/>
              <w:rPr>
                <w:sz w:val="18"/>
              </w:rPr>
            </w:pPr>
            <w:r>
              <w:rPr>
                <w:color w:val="231F20"/>
                <w:sz w:val="18"/>
              </w:rPr>
              <w:t>6.1</w:t>
            </w:r>
          </w:p>
        </w:tc>
        <w:tc>
          <w:tcPr>
            <w:tcW w:w="794" w:type="dxa"/>
          </w:tcPr>
          <w:p>
            <w:pPr>
              <w:pStyle w:val="TableParagraph"/>
              <w:spacing w:before="24"/>
              <w:ind w:left="173"/>
              <w:jc w:val="left"/>
              <w:rPr>
                <w:sz w:val="18"/>
              </w:rPr>
            </w:pPr>
            <w:r>
              <w:rPr>
                <w:color w:val="231F20"/>
                <w:sz w:val="18"/>
              </w:rPr>
              <w:t>5.1</w:t>
            </w:r>
          </w:p>
        </w:tc>
        <w:tc>
          <w:tcPr>
            <w:tcW w:w="794" w:type="dxa"/>
          </w:tcPr>
          <w:p>
            <w:pPr>
              <w:pStyle w:val="TableParagraph"/>
              <w:spacing w:before="24"/>
              <w:ind w:left="173"/>
              <w:jc w:val="left"/>
              <w:rPr>
                <w:sz w:val="18"/>
              </w:rPr>
            </w:pPr>
            <w:r>
              <w:rPr>
                <w:color w:val="231F20"/>
                <w:sz w:val="18"/>
              </w:rPr>
              <w:t>11.6</w:t>
            </w:r>
          </w:p>
        </w:tc>
        <w:tc>
          <w:tcPr>
            <w:tcW w:w="794" w:type="dxa"/>
          </w:tcPr>
          <w:p>
            <w:pPr>
              <w:pStyle w:val="TableParagraph"/>
              <w:spacing w:before="24"/>
              <w:ind w:left="173"/>
              <w:jc w:val="left"/>
              <w:rPr>
                <w:sz w:val="18"/>
              </w:rPr>
            </w:pPr>
            <w:r>
              <w:rPr>
                <w:color w:val="231F20"/>
                <w:sz w:val="18"/>
              </w:rPr>
              <w:t>17.1</w:t>
            </w:r>
          </w:p>
        </w:tc>
        <w:tc>
          <w:tcPr>
            <w:tcW w:w="839" w:type="dxa"/>
          </w:tcPr>
          <w:p>
            <w:pPr>
              <w:pStyle w:val="TableParagraph"/>
              <w:spacing w:before="24"/>
              <w:ind w:left="173"/>
              <w:jc w:val="left"/>
              <w:rPr>
                <w:sz w:val="18"/>
              </w:rPr>
            </w:pPr>
            <w:r>
              <w:rPr>
                <w:color w:val="231F20"/>
                <w:sz w:val="18"/>
              </w:rPr>
              <w:t>14.1</w:t>
            </w:r>
          </w:p>
        </w:tc>
      </w:tr>
      <w:tr>
        <w:trPr>
          <w:trHeight w:val="300" w:hRule="exact"/>
        </w:trPr>
        <w:tc>
          <w:tcPr>
            <w:tcW w:w="2207" w:type="dxa"/>
          </w:tcPr>
          <w:p>
            <w:pPr>
              <w:pStyle w:val="TableParagraph"/>
              <w:spacing w:before="24"/>
              <w:ind w:left="128"/>
              <w:jc w:val="left"/>
              <w:rPr>
                <w:sz w:val="18"/>
              </w:rPr>
            </w:pPr>
            <w:r>
              <w:rPr>
                <w:color w:val="010202"/>
                <w:sz w:val="18"/>
              </w:rPr>
              <w:t>Querétaro Arteaga</w:t>
            </w:r>
          </w:p>
        </w:tc>
        <w:tc>
          <w:tcPr>
            <w:tcW w:w="923" w:type="dxa"/>
          </w:tcPr>
          <w:p>
            <w:pPr>
              <w:pStyle w:val="TableParagraph"/>
              <w:spacing w:before="24"/>
              <w:ind w:left="302"/>
              <w:jc w:val="left"/>
              <w:rPr>
                <w:sz w:val="18"/>
              </w:rPr>
            </w:pPr>
            <w:r>
              <w:rPr>
                <w:color w:val="231F20"/>
                <w:sz w:val="18"/>
              </w:rPr>
              <w:t>6.0</w:t>
            </w:r>
          </w:p>
        </w:tc>
        <w:tc>
          <w:tcPr>
            <w:tcW w:w="794" w:type="dxa"/>
          </w:tcPr>
          <w:p>
            <w:pPr>
              <w:pStyle w:val="TableParagraph"/>
              <w:spacing w:before="24"/>
              <w:ind w:left="173"/>
              <w:jc w:val="left"/>
              <w:rPr>
                <w:sz w:val="18"/>
              </w:rPr>
            </w:pPr>
            <w:r>
              <w:rPr>
                <w:color w:val="231F20"/>
                <w:sz w:val="18"/>
              </w:rPr>
              <w:t>2.9</w:t>
            </w:r>
          </w:p>
        </w:tc>
        <w:tc>
          <w:tcPr>
            <w:tcW w:w="794" w:type="dxa"/>
          </w:tcPr>
          <w:p>
            <w:pPr>
              <w:pStyle w:val="TableParagraph"/>
              <w:spacing w:before="24"/>
              <w:ind w:left="173"/>
              <w:jc w:val="left"/>
              <w:rPr>
                <w:sz w:val="18"/>
              </w:rPr>
            </w:pPr>
            <w:r>
              <w:rPr>
                <w:color w:val="231F20"/>
                <w:sz w:val="18"/>
              </w:rPr>
              <w:t>2.9</w:t>
            </w:r>
          </w:p>
        </w:tc>
        <w:tc>
          <w:tcPr>
            <w:tcW w:w="794" w:type="dxa"/>
          </w:tcPr>
          <w:p>
            <w:pPr>
              <w:pStyle w:val="TableParagraph"/>
              <w:spacing w:before="24"/>
              <w:ind w:left="173"/>
              <w:jc w:val="left"/>
              <w:rPr>
                <w:sz w:val="18"/>
              </w:rPr>
            </w:pPr>
            <w:r>
              <w:rPr>
                <w:color w:val="231F20"/>
                <w:sz w:val="18"/>
              </w:rPr>
              <w:t>4.9</w:t>
            </w:r>
          </w:p>
        </w:tc>
        <w:tc>
          <w:tcPr>
            <w:tcW w:w="794" w:type="dxa"/>
          </w:tcPr>
          <w:p>
            <w:pPr>
              <w:pStyle w:val="TableParagraph"/>
              <w:spacing w:before="24"/>
              <w:ind w:left="173"/>
              <w:jc w:val="left"/>
              <w:rPr>
                <w:sz w:val="18"/>
              </w:rPr>
            </w:pPr>
            <w:r>
              <w:rPr>
                <w:color w:val="231F20"/>
                <w:sz w:val="18"/>
              </w:rPr>
              <w:t>4.3</w:t>
            </w:r>
          </w:p>
        </w:tc>
        <w:tc>
          <w:tcPr>
            <w:tcW w:w="839" w:type="dxa"/>
          </w:tcPr>
          <w:p>
            <w:pPr>
              <w:pStyle w:val="TableParagraph"/>
              <w:spacing w:before="24"/>
              <w:ind w:left="173"/>
              <w:jc w:val="left"/>
              <w:rPr>
                <w:sz w:val="18"/>
              </w:rPr>
            </w:pPr>
            <w:r>
              <w:rPr>
                <w:color w:val="231F20"/>
                <w:sz w:val="18"/>
              </w:rPr>
              <w:t>4.8</w:t>
            </w:r>
          </w:p>
        </w:tc>
      </w:tr>
      <w:tr>
        <w:trPr>
          <w:trHeight w:val="300" w:hRule="exact"/>
        </w:trPr>
        <w:tc>
          <w:tcPr>
            <w:tcW w:w="2207" w:type="dxa"/>
          </w:tcPr>
          <w:p>
            <w:pPr>
              <w:pStyle w:val="TableParagraph"/>
              <w:spacing w:before="24"/>
              <w:ind w:left="128"/>
              <w:jc w:val="left"/>
              <w:rPr>
                <w:sz w:val="18"/>
              </w:rPr>
            </w:pPr>
            <w:r>
              <w:rPr>
                <w:color w:val="010202"/>
                <w:sz w:val="18"/>
              </w:rPr>
              <w:t>San Luis Potosí</w:t>
            </w:r>
          </w:p>
        </w:tc>
        <w:tc>
          <w:tcPr>
            <w:tcW w:w="923" w:type="dxa"/>
          </w:tcPr>
          <w:p>
            <w:pPr>
              <w:pStyle w:val="TableParagraph"/>
              <w:spacing w:before="24"/>
              <w:ind w:left="301"/>
              <w:jc w:val="left"/>
              <w:rPr>
                <w:sz w:val="18"/>
              </w:rPr>
            </w:pPr>
            <w:r>
              <w:rPr>
                <w:color w:val="231F20"/>
                <w:sz w:val="18"/>
              </w:rPr>
              <w:t>2.6</w:t>
            </w:r>
          </w:p>
        </w:tc>
        <w:tc>
          <w:tcPr>
            <w:tcW w:w="794" w:type="dxa"/>
          </w:tcPr>
          <w:p>
            <w:pPr>
              <w:pStyle w:val="TableParagraph"/>
              <w:spacing w:before="24"/>
              <w:ind w:left="172"/>
              <w:jc w:val="left"/>
              <w:rPr>
                <w:sz w:val="18"/>
              </w:rPr>
            </w:pPr>
            <w:r>
              <w:rPr>
                <w:color w:val="231F20"/>
                <w:sz w:val="18"/>
              </w:rPr>
              <w:t>1.3</w:t>
            </w:r>
          </w:p>
        </w:tc>
        <w:tc>
          <w:tcPr>
            <w:tcW w:w="794" w:type="dxa"/>
          </w:tcPr>
          <w:p>
            <w:pPr>
              <w:pStyle w:val="TableParagraph"/>
              <w:spacing w:before="24"/>
              <w:ind w:left="172"/>
              <w:jc w:val="left"/>
              <w:rPr>
                <w:sz w:val="18"/>
              </w:rPr>
            </w:pPr>
            <w:r>
              <w:rPr>
                <w:color w:val="231F20"/>
                <w:sz w:val="18"/>
              </w:rPr>
              <w:t>1.2</w:t>
            </w:r>
          </w:p>
        </w:tc>
        <w:tc>
          <w:tcPr>
            <w:tcW w:w="794" w:type="dxa"/>
          </w:tcPr>
          <w:p>
            <w:pPr>
              <w:pStyle w:val="TableParagraph"/>
              <w:spacing w:before="24"/>
              <w:ind w:left="172"/>
              <w:jc w:val="left"/>
              <w:rPr>
                <w:sz w:val="18"/>
              </w:rPr>
            </w:pPr>
            <w:r>
              <w:rPr>
                <w:color w:val="231F20"/>
                <w:sz w:val="18"/>
              </w:rPr>
              <w:t>1.8</w:t>
            </w:r>
          </w:p>
        </w:tc>
        <w:tc>
          <w:tcPr>
            <w:tcW w:w="794" w:type="dxa"/>
          </w:tcPr>
          <w:p>
            <w:pPr>
              <w:pStyle w:val="TableParagraph"/>
              <w:spacing w:before="24"/>
              <w:ind w:left="172"/>
              <w:jc w:val="left"/>
              <w:rPr>
                <w:sz w:val="18"/>
              </w:rPr>
            </w:pPr>
            <w:r>
              <w:rPr>
                <w:color w:val="231F20"/>
                <w:sz w:val="18"/>
              </w:rPr>
              <w:t>2.4</w:t>
            </w:r>
          </w:p>
        </w:tc>
        <w:tc>
          <w:tcPr>
            <w:tcW w:w="839" w:type="dxa"/>
          </w:tcPr>
          <w:p>
            <w:pPr>
              <w:pStyle w:val="TableParagraph"/>
              <w:spacing w:before="24"/>
              <w:ind w:left="172"/>
              <w:jc w:val="left"/>
              <w:rPr>
                <w:sz w:val="18"/>
              </w:rPr>
            </w:pPr>
            <w:r>
              <w:rPr>
                <w:color w:val="231F20"/>
                <w:sz w:val="18"/>
              </w:rPr>
              <w:t>2.6</w:t>
            </w:r>
          </w:p>
        </w:tc>
      </w:tr>
      <w:tr>
        <w:trPr>
          <w:trHeight w:val="278" w:hRule="exact"/>
        </w:trPr>
        <w:tc>
          <w:tcPr>
            <w:tcW w:w="2207" w:type="dxa"/>
            <w:tcBorders>
              <w:bottom w:val="single" w:sz="4" w:space="0" w:color="231F20"/>
            </w:tcBorders>
          </w:tcPr>
          <w:p>
            <w:pPr>
              <w:pStyle w:val="TableParagraph"/>
              <w:spacing w:before="24"/>
              <w:ind w:left="127"/>
              <w:jc w:val="left"/>
              <w:rPr>
                <w:sz w:val="18"/>
              </w:rPr>
            </w:pPr>
            <w:r>
              <w:rPr>
                <w:color w:val="010202"/>
                <w:sz w:val="18"/>
              </w:rPr>
              <w:t>Sinaloa</w:t>
            </w:r>
          </w:p>
        </w:tc>
        <w:tc>
          <w:tcPr>
            <w:tcW w:w="923" w:type="dxa"/>
            <w:tcBorders>
              <w:bottom w:val="single" w:sz="4" w:space="0" w:color="231F20"/>
            </w:tcBorders>
          </w:tcPr>
          <w:p>
            <w:pPr>
              <w:pStyle w:val="TableParagraph"/>
              <w:spacing w:before="24"/>
              <w:ind w:left="301"/>
              <w:jc w:val="left"/>
              <w:rPr>
                <w:sz w:val="18"/>
              </w:rPr>
            </w:pPr>
            <w:r>
              <w:rPr>
                <w:color w:val="231F20"/>
                <w:sz w:val="18"/>
              </w:rPr>
              <w:t>0.1</w:t>
            </w:r>
          </w:p>
        </w:tc>
        <w:tc>
          <w:tcPr>
            <w:tcW w:w="794" w:type="dxa"/>
            <w:tcBorders>
              <w:bottom w:val="single" w:sz="4" w:space="0" w:color="231F20"/>
            </w:tcBorders>
          </w:tcPr>
          <w:p>
            <w:pPr>
              <w:pStyle w:val="TableParagraph"/>
              <w:spacing w:before="24"/>
              <w:ind w:left="172"/>
              <w:jc w:val="left"/>
              <w:rPr>
                <w:sz w:val="18"/>
              </w:rPr>
            </w:pPr>
            <w:r>
              <w:rPr>
                <w:color w:val="231F20"/>
                <w:sz w:val="18"/>
              </w:rPr>
              <w:t>0.1</w:t>
            </w:r>
          </w:p>
        </w:tc>
        <w:tc>
          <w:tcPr>
            <w:tcW w:w="794" w:type="dxa"/>
            <w:tcBorders>
              <w:bottom w:val="single" w:sz="4" w:space="0" w:color="231F20"/>
            </w:tcBorders>
          </w:tcPr>
          <w:p>
            <w:pPr>
              <w:pStyle w:val="TableParagraph"/>
              <w:spacing w:before="24"/>
              <w:ind w:left="172"/>
              <w:jc w:val="left"/>
              <w:rPr>
                <w:sz w:val="18"/>
              </w:rPr>
            </w:pPr>
            <w:r>
              <w:rPr>
                <w:color w:val="010202"/>
                <w:sz w:val="18"/>
              </w:rPr>
              <w:t>0.1</w:t>
            </w:r>
          </w:p>
        </w:tc>
        <w:tc>
          <w:tcPr>
            <w:tcW w:w="794" w:type="dxa"/>
            <w:tcBorders>
              <w:bottom w:val="single" w:sz="4" w:space="0" w:color="231F20"/>
            </w:tcBorders>
          </w:tcPr>
          <w:p>
            <w:pPr>
              <w:pStyle w:val="TableParagraph"/>
              <w:spacing w:before="24"/>
              <w:ind w:left="172"/>
              <w:jc w:val="left"/>
              <w:rPr>
                <w:sz w:val="18"/>
              </w:rPr>
            </w:pPr>
            <w:r>
              <w:rPr>
                <w:color w:val="010202"/>
                <w:sz w:val="18"/>
              </w:rPr>
              <w:t>0.0</w:t>
            </w:r>
          </w:p>
        </w:tc>
        <w:tc>
          <w:tcPr>
            <w:tcW w:w="794" w:type="dxa"/>
            <w:tcBorders>
              <w:bottom w:val="single" w:sz="4" w:space="0" w:color="231F20"/>
            </w:tcBorders>
          </w:tcPr>
          <w:p>
            <w:pPr>
              <w:pStyle w:val="TableParagraph"/>
              <w:spacing w:before="24"/>
              <w:ind w:left="172"/>
              <w:jc w:val="left"/>
              <w:rPr>
                <w:sz w:val="18"/>
              </w:rPr>
            </w:pPr>
            <w:r>
              <w:rPr>
                <w:color w:val="010202"/>
                <w:sz w:val="18"/>
              </w:rPr>
              <w:t>0.2</w:t>
            </w:r>
          </w:p>
        </w:tc>
        <w:tc>
          <w:tcPr>
            <w:tcW w:w="839" w:type="dxa"/>
            <w:tcBorders>
              <w:bottom w:val="single" w:sz="4" w:space="0" w:color="231F20"/>
            </w:tcBorders>
          </w:tcPr>
          <w:p>
            <w:pPr>
              <w:pStyle w:val="TableParagraph"/>
              <w:spacing w:before="24"/>
              <w:ind w:left="172"/>
              <w:jc w:val="left"/>
              <w:rPr>
                <w:sz w:val="18"/>
              </w:rPr>
            </w:pPr>
            <w:r>
              <w:rPr>
                <w:color w:val="010202"/>
                <w:sz w:val="18"/>
              </w:rPr>
              <w:t>0.2</w:t>
            </w:r>
          </w:p>
        </w:tc>
      </w:tr>
    </w:tbl>
    <w:p>
      <w:pPr>
        <w:pStyle w:val="BodyText"/>
        <w:spacing w:before="4"/>
        <w:rPr>
          <w:rFonts w:ascii="Palatino Linotype"/>
          <w:b/>
          <w:sz w:val="9"/>
        </w:rPr>
      </w:pPr>
    </w:p>
    <w:p>
      <w:pPr>
        <w:spacing w:before="62"/>
        <w:ind w:left="653" w:right="0" w:firstLine="0"/>
        <w:jc w:val="both"/>
        <w:rPr>
          <w:sz w:val="19"/>
        </w:rPr>
      </w:pPr>
      <w:r>
        <w:rPr>
          <w:color w:val="231F20"/>
          <w:sz w:val="19"/>
        </w:rPr>
        <w:t>Nota: Sólo se incluyen las entidades que tienen la participación más importante.</w:t>
      </w:r>
    </w:p>
    <w:p>
      <w:pPr>
        <w:spacing w:before="39"/>
        <w:ind w:left="653" w:right="0" w:firstLine="0"/>
        <w:jc w:val="both"/>
        <w:rPr>
          <w:sz w:val="19"/>
        </w:rPr>
      </w:pPr>
      <w:r>
        <w:rPr>
          <w:rFonts w:ascii="Palatino Linotype" w:hAnsi="Palatino Linotype"/>
          <w:i/>
          <w:color w:val="231F20"/>
          <w:sz w:val="19"/>
        </w:rPr>
        <w:t>Fuente: </w:t>
      </w:r>
      <w:r>
        <w:rPr>
          <w:color w:val="231F20"/>
          <w:sz w:val="19"/>
        </w:rPr>
        <w:t>Elaboración propia con datos de INEGI (1998, 2002, 2006, 2008 y 2010).</w:t>
      </w:r>
    </w:p>
    <w:p>
      <w:pPr>
        <w:pStyle w:val="BodyText"/>
        <w:rPr>
          <w:sz w:val="22"/>
        </w:rPr>
      </w:pPr>
    </w:p>
    <w:p>
      <w:pPr>
        <w:pStyle w:val="BodyText"/>
        <w:spacing w:line="278" w:lineRule="auto" w:before="1"/>
        <w:ind w:left="653" w:right="100"/>
        <w:jc w:val="both"/>
      </w:pPr>
      <w:r>
        <w:rPr>
          <w:color w:val="231F20"/>
        </w:rPr>
        <w:t>Otra variable que da cuenta de las tendencias en el crecimiento del sector automotriz en México es el personal ocupado, pues representa la generación de empleo formal. Mucho</w:t>
      </w:r>
      <w:r>
        <w:rPr>
          <w:color w:val="231F20"/>
          <w:spacing w:val="-3"/>
        </w:rPr>
        <w:t> </w:t>
      </w:r>
      <w:r>
        <w:rPr>
          <w:color w:val="231F20"/>
        </w:rPr>
        <w:t>se</w:t>
      </w:r>
      <w:r>
        <w:rPr>
          <w:color w:val="231F20"/>
          <w:spacing w:val="-3"/>
        </w:rPr>
        <w:t> </w:t>
      </w:r>
      <w:r>
        <w:rPr>
          <w:color w:val="231F20"/>
        </w:rPr>
        <w:t>ha</w:t>
      </w:r>
      <w:r>
        <w:rPr>
          <w:color w:val="231F20"/>
          <w:spacing w:val="-3"/>
        </w:rPr>
        <w:t> </w:t>
      </w:r>
      <w:r>
        <w:rPr>
          <w:color w:val="231F20"/>
        </w:rPr>
        <w:t>argumentado</w:t>
      </w:r>
      <w:r>
        <w:rPr>
          <w:color w:val="231F20"/>
          <w:spacing w:val="-3"/>
        </w:rPr>
        <w:t> </w:t>
      </w:r>
      <w:r>
        <w:rPr>
          <w:color w:val="231F20"/>
        </w:rPr>
        <w:t>en</w:t>
      </w:r>
      <w:r>
        <w:rPr>
          <w:color w:val="231F20"/>
          <w:spacing w:val="-3"/>
        </w:rPr>
        <w:t> </w:t>
      </w:r>
      <w:r>
        <w:rPr>
          <w:color w:val="231F20"/>
        </w:rPr>
        <w:t>el</w:t>
      </w:r>
      <w:r>
        <w:rPr>
          <w:color w:val="231F20"/>
          <w:spacing w:val="-3"/>
        </w:rPr>
        <w:t> </w:t>
      </w:r>
      <w:r>
        <w:rPr>
          <w:color w:val="231F20"/>
        </w:rPr>
        <w:t>sentido</w:t>
      </w:r>
      <w:r>
        <w:rPr>
          <w:color w:val="231F20"/>
          <w:spacing w:val="-3"/>
        </w:rPr>
        <w:t> </w:t>
      </w:r>
      <w:r>
        <w:rPr>
          <w:color w:val="231F20"/>
        </w:rPr>
        <w:t>de</w:t>
      </w:r>
      <w:r>
        <w:rPr>
          <w:color w:val="231F20"/>
          <w:spacing w:val="-3"/>
        </w:rPr>
        <w:t> </w:t>
      </w:r>
      <w:r>
        <w:rPr>
          <w:color w:val="231F20"/>
        </w:rPr>
        <w:t>que</w:t>
      </w:r>
      <w:r>
        <w:rPr>
          <w:color w:val="231F20"/>
          <w:spacing w:val="-3"/>
        </w:rPr>
        <w:t> </w:t>
      </w:r>
      <w:r>
        <w:rPr>
          <w:color w:val="231F20"/>
        </w:rPr>
        <w:t>este</w:t>
      </w:r>
      <w:r>
        <w:rPr>
          <w:color w:val="231F20"/>
          <w:spacing w:val="-3"/>
        </w:rPr>
        <w:t> </w:t>
      </w:r>
      <w:r>
        <w:rPr>
          <w:color w:val="231F20"/>
        </w:rPr>
        <w:t>sector</w:t>
      </w:r>
      <w:r>
        <w:rPr>
          <w:color w:val="231F20"/>
          <w:spacing w:val="-3"/>
        </w:rPr>
        <w:t> </w:t>
      </w:r>
      <w:r>
        <w:rPr>
          <w:color w:val="231F20"/>
        </w:rPr>
        <w:t>es</w:t>
      </w:r>
      <w:r>
        <w:rPr>
          <w:color w:val="231F20"/>
          <w:spacing w:val="-3"/>
        </w:rPr>
        <w:t> </w:t>
      </w:r>
      <w:r>
        <w:rPr>
          <w:color w:val="231F20"/>
        </w:rPr>
        <w:t>un</w:t>
      </w:r>
      <w:r>
        <w:rPr>
          <w:color w:val="231F20"/>
          <w:spacing w:val="-3"/>
        </w:rPr>
        <w:t> </w:t>
      </w:r>
      <w:r>
        <w:rPr>
          <w:color w:val="231F20"/>
        </w:rPr>
        <w:t>importante</w:t>
      </w:r>
      <w:r>
        <w:rPr>
          <w:color w:val="231F20"/>
          <w:spacing w:val="-3"/>
        </w:rPr>
        <w:t> </w:t>
      </w:r>
      <w:r>
        <w:rPr>
          <w:color w:val="231F20"/>
        </w:rPr>
        <w:t>generador de puestos de</w:t>
      </w:r>
      <w:r>
        <w:rPr>
          <w:color w:val="231F20"/>
          <w:spacing w:val="-16"/>
        </w:rPr>
        <w:t> </w:t>
      </w:r>
      <w:r>
        <w:rPr>
          <w:color w:val="231F20"/>
        </w:rPr>
        <w:t>trabajo.</w:t>
      </w:r>
    </w:p>
    <w:p>
      <w:pPr>
        <w:pStyle w:val="BodyText"/>
        <w:spacing w:line="278" w:lineRule="auto" w:before="1"/>
        <w:ind w:left="653" w:right="101" w:firstLine="396"/>
        <w:jc w:val="both"/>
      </w:pPr>
      <w:r>
        <w:rPr>
          <w:color w:val="231F20"/>
        </w:rPr>
        <w:t>En el Estado de México, el crecimiento del empleo en la industria automotriz ha sido mínimo, comparado con el que ha habido en otros estados. En 1985 se emplea- ban 42, 361 personas en esta industria; este índice creció sólo a 45, 449 en 2009. El caso del Distrito Federal es aún más dramático, pues de emplearse a 27, 604 personas en 1985 se disminuyó a 13, 969 en 2009; lo cual se explica porque en esa entidad han desaparecido</w:t>
      </w:r>
      <w:r>
        <w:rPr>
          <w:color w:val="231F20"/>
          <w:spacing w:val="-9"/>
        </w:rPr>
        <w:t> </w:t>
      </w:r>
      <w:r>
        <w:rPr>
          <w:color w:val="231F20"/>
        </w:rPr>
        <w:t>las</w:t>
      </w:r>
      <w:r>
        <w:rPr>
          <w:color w:val="231F20"/>
          <w:spacing w:val="-9"/>
        </w:rPr>
        <w:t> </w:t>
      </w:r>
      <w:r>
        <w:rPr>
          <w:color w:val="231F20"/>
        </w:rPr>
        <w:t>actividades</w:t>
      </w:r>
      <w:r>
        <w:rPr>
          <w:color w:val="231F20"/>
          <w:spacing w:val="-9"/>
        </w:rPr>
        <w:t> </w:t>
      </w:r>
      <w:r>
        <w:rPr>
          <w:color w:val="231F20"/>
        </w:rPr>
        <w:t>relacionadas</w:t>
      </w:r>
      <w:r>
        <w:rPr>
          <w:color w:val="231F20"/>
          <w:spacing w:val="-9"/>
        </w:rPr>
        <w:t> </w:t>
      </w:r>
      <w:r>
        <w:rPr>
          <w:color w:val="231F20"/>
        </w:rPr>
        <w:t>con</w:t>
      </w:r>
      <w:r>
        <w:rPr>
          <w:color w:val="231F20"/>
          <w:spacing w:val="-9"/>
        </w:rPr>
        <w:t> </w:t>
      </w:r>
      <w:r>
        <w:rPr>
          <w:color w:val="231F20"/>
        </w:rPr>
        <w:t>la</w:t>
      </w:r>
      <w:r>
        <w:rPr>
          <w:color w:val="231F20"/>
          <w:spacing w:val="-9"/>
        </w:rPr>
        <w:t> </w:t>
      </w:r>
      <w:r>
        <w:rPr>
          <w:color w:val="231F20"/>
        </w:rPr>
        <w:t>industria</w:t>
      </w:r>
      <w:r>
        <w:rPr>
          <w:color w:val="231F20"/>
          <w:spacing w:val="-9"/>
        </w:rPr>
        <w:t> </w:t>
      </w:r>
      <w:r>
        <w:rPr>
          <w:color w:val="231F20"/>
        </w:rPr>
        <w:t>terminal</w:t>
      </w:r>
      <w:r>
        <w:rPr>
          <w:color w:val="231F20"/>
          <w:spacing w:val="-9"/>
        </w:rPr>
        <w:t> </w:t>
      </w:r>
      <w:r>
        <w:rPr>
          <w:color w:val="231F20"/>
        </w:rPr>
        <w:t>y</w:t>
      </w:r>
      <w:r>
        <w:rPr>
          <w:color w:val="231F20"/>
          <w:spacing w:val="-9"/>
        </w:rPr>
        <w:t> </w:t>
      </w:r>
      <w:r>
        <w:rPr>
          <w:color w:val="231F20"/>
        </w:rPr>
        <w:t>sólo</w:t>
      </w:r>
      <w:r>
        <w:rPr>
          <w:color w:val="231F20"/>
          <w:spacing w:val="-9"/>
        </w:rPr>
        <w:t> </w:t>
      </w:r>
      <w:r>
        <w:rPr>
          <w:color w:val="231F20"/>
        </w:rPr>
        <w:t>existen</w:t>
      </w:r>
      <w:r>
        <w:rPr>
          <w:color w:val="231F20"/>
          <w:spacing w:val="-9"/>
        </w:rPr>
        <w:t> </w:t>
      </w:r>
      <w:r>
        <w:rPr>
          <w:color w:val="231F20"/>
        </w:rPr>
        <w:t>algu- nas </w:t>
      </w:r>
      <w:r>
        <w:rPr>
          <w:color w:val="231F20"/>
          <w:spacing w:val="-4"/>
        </w:rPr>
        <w:t>empresas productoras </w:t>
      </w:r>
      <w:r>
        <w:rPr>
          <w:color w:val="231F20"/>
        </w:rPr>
        <w:t>de </w:t>
      </w:r>
      <w:r>
        <w:rPr>
          <w:color w:val="231F20"/>
          <w:spacing w:val="-3"/>
        </w:rPr>
        <w:t>partes </w:t>
      </w:r>
      <w:r>
        <w:rPr>
          <w:color w:val="231F20"/>
          <w:spacing w:val="-9"/>
        </w:rPr>
        <w:t>y, </w:t>
      </w:r>
      <w:r>
        <w:rPr>
          <w:color w:val="231F20"/>
        </w:rPr>
        <w:t>desde </w:t>
      </w:r>
      <w:r>
        <w:rPr>
          <w:color w:val="231F20"/>
          <w:spacing w:val="-4"/>
        </w:rPr>
        <w:t>luego, </w:t>
      </w:r>
      <w:r>
        <w:rPr>
          <w:color w:val="231F20"/>
        </w:rPr>
        <w:t>los </w:t>
      </w:r>
      <w:r>
        <w:rPr>
          <w:color w:val="231F20"/>
          <w:spacing w:val="-4"/>
        </w:rPr>
        <w:t>corporativos </w:t>
      </w:r>
      <w:r>
        <w:rPr>
          <w:color w:val="231F20"/>
          <w:spacing w:val="-3"/>
        </w:rPr>
        <w:t>que </w:t>
      </w:r>
      <w:r>
        <w:rPr>
          <w:color w:val="231F20"/>
        </w:rPr>
        <w:t>se </w:t>
      </w:r>
      <w:r>
        <w:rPr>
          <w:color w:val="231F20"/>
          <w:spacing w:val="-3"/>
        </w:rPr>
        <w:t>han instalado </w:t>
      </w:r>
      <w:r>
        <w:rPr>
          <w:color w:val="231F20"/>
        </w:rPr>
        <w:t>de </w:t>
      </w:r>
      <w:r>
        <w:rPr>
          <w:color w:val="231F20"/>
          <w:spacing w:val="-3"/>
        </w:rPr>
        <w:t>manera</w:t>
      </w:r>
      <w:r>
        <w:rPr>
          <w:color w:val="231F20"/>
          <w:spacing w:val="7"/>
        </w:rPr>
        <w:t> </w:t>
      </w:r>
      <w:r>
        <w:rPr>
          <w:color w:val="231F20"/>
          <w:spacing w:val="-4"/>
        </w:rPr>
        <w:t>reciente.</w:t>
      </w:r>
    </w:p>
    <w:p>
      <w:pPr>
        <w:spacing w:after="0" w:line="278" w:lineRule="auto"/>
        <w:jc w:val="both"/>
        <w:sectPr>
          <w:pgSz w:w="9640" w:h="13040"/>
          <w:pgMar w:header="581" w:footer="654" w:top="780" w:bottom="840" w:left="480" w:right="1200"/>
        </w:sectPr>
      </w:pPr>
    </w:p>
    <w:p>
      <w:pPr>
        <w:pStyle w:val="BodyText"/>
        <w:rPr>
          <w:sz w:val="20"/>
        </w:rPr>
      </w:pPr>
    </w:p>
    <w:p>
      <w:pPr>
        <w:pStyle w:val="BodyText"/>
        <w:spacing w:before="10"/>
        <w:rPr>
          <w:sz w:val="17"/>
        </w:rPr>
      </w:pPr>
    </w:p>
    <w:p>
      <w:pPr>
        <w:pStyle w:val="BodyText"/>
        <w:spacing w:line="278" w:lineRule="auto"/>
        <w:ind w:left="123" w:right="650" w:firstLine="396"/>
        <w:jc w:val="both"/>
      </w:pPr>
      <w:r>
        <w:rPr>
          <w:color w:val="231F20"/>
        </w:rPr>
        <w:t>El</w:t>
      </w:r>
      <w:r>
        <w:rPr>
          <w:color w:val="231F20"/>
          <w:spacing w:val="-9"/>
        </w:rPr>
        <w:t> </w:t>
      </w:r>
      <w:r>
        <w:rPr>
          <w:color w:val="231F20"/>
        </w:rPr>
        <w:t>crecimiento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población</w:t>
      </w:r>
      <w:r>
        <w:rPr>
          <w:color w:val="231F20"/>
          <w:spacing w:val="-9"/>
        </w:rPr>
        <w:t> </w:t>
      </w:r>
      <w:r>
        <w:rPr>
          <w:color w:val="231F20"/>
        </w:rPr>
        <w:t>ocupada</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mismo</w:t>
      </w:r>
      <w:r>
        <w:rPr>
          <w:color w:val="231F20"/>
          <w:spacing w:val="-9"/>
        </w:rPr>
        <w:t> </w:t>
      </w:r>
      <w:r>
        <w:rPr>
          <w:color w:val="231F20"/>
        </w:rPr>
        <w:t>periodo</w:t>
      </w:r>
      <w:r>
        <w:rPr>
          <w:color w:val="231F20"/>
          <w:spacing w:val="-9"/>
        </w:rPr>
        <w:t> </w:t>
      </w:r>
      <w:r>
        <w:rPr>
          <w:color w:val="231F20"/>
        </w:rPr>
        <w:t>en</w:t>
      </w:r>
      <w:r>
        <w:rPr>
          <w:color w:val="231F20"/>
          <w:spacing w:val="-9"/>
        </w:rPr>
        <w:t> </w:t>
      </w:r>
      <w:r>
        <w:rPr>
          <w:color w:val="231F20"/>
        </w:rPr>
        <w:t>otras</w:t>
      </w:r>
      <w:r>
        <w:rPr>
          <w:color w:val="231F20"/>
          <w:spacing w:val="-9"/>
        </w:rPr>
        <w:t> </w:t>
      </w:r>
      <w:r>
        <w:rPr>
          <w:color w:val="231F20"/>
        </w:rPr>
        <w:t>entidades</w:t>
      </w:r>
      <w:r>
        <w:rPr>
          <w:color w:val="231F20"/>
          <w:spacing w:val="-9"/>
        </w:rPr>
        <w:t> </w:t>
      </w:r>
      <w:r>
        <w:rPr>
          <w:color w:val="231F20"/>
        </w:rPr>
        <w:t>ha sido espectacular, sobre todo en aquellas situadas en la región fronteriza con Estados Unidos. Es el caso de Coahuila, Chihuahua, Sonora, Nuevo León, </w:t>
      </w:r>
      <w:r>
        <w:rPr>
          <w:color w:val="231F20"/>
          <w:spacing w:val="-3"/>
        </w:rPr>
        <w:t>Tamaulipas </w:t>
      </w:r>
      <w:r>
        <w:rPr>
          <w:color w:val="231F20"/>
        </w:rPr>
        <w:t>y Baja California.</w:t>
      </w:r>
      <w:r>
        <w:rPr>
          <w:color w:val="231F20"/>
          <w:spacing w:val="-17"/>
        </w:rPr>
        <w:t> </w:t>
      </w:r>
      <w:r>
        <w:rPr>
          <w:color w:val="231F20"/>
          <w:spacing w:val="-4"/>
        </w:rPr>
        <w:t>También</w:t>
      </w:r>
      <w:r>
        <w:rPr>
          <w:color w:val="231F20"/>
          <w:spacing w:val="-17"/>
        </w:rPr>
        <w:t> </w:t>
      </w:r>
      <w:r>
        <w:rPr>
          <w:color w:val="231F20"/>
        </w:rPr>
        <w:t>ha</w:t>
      </w:r>
      <w:r>
        <w:rPr>
          <w:color w:val="231F20"/>
          <w:spacing w:val="-17"/>
        </w:rPr>
        <w:t> </w:t>
      </w:r>
      <w:r>
        <w:rPr>
          <w:color w:val="231F20"/>
        </w:rPr>
        <w:t>sido</w:t>
      </w:r>
      <w:r>
        <w:rPr>
          <w:color w:val="231F20"/>
          <w:spacing w:val="-17"/>
        </w:rPr>
        <w:t> </w:t>
      </w:r>
      <w:r>
        <w:rPr>
          <w:color w:val="231F20"/>
        </w:rPr>
        <w:t>el</w:t>
      </w:r>
      <w:r>
        <w:rPr>
          <w:color w:val="231F20"/>
          <w:spacing w:val="-17"/>
        </w:rPr>
        <w:t> </w:t>
      </w:r>
      <w:r>
        <w:rPr>
          <w:color w:val="231F20"/>
        </w:rPr>
        <w:t>caso</w:t>
      </w:r>
      <w:r>
        <w:rPr>
          <w:color w:val="231F20"/>
          <w:spacing w:val="-17"/>
        </w:rPr>
        <w:t> </w:t>
      </w:r>
      <w:r>
        <w:rPr>
          <w:color w:val="231F20"/>
        </w:rPr>
        <w:t>de</w:t>
      </w:r>
      <w:r>
        <w:rPr>
          <w:color w:val="231F20"/>
          <w:spacing w:val="-17"/>
        </w:rPr>
        <w:t> </w:t>
      </w:r>
      <w:r>
        <w:rPr>
          <w:color w:val="231F20"/>
        </w:rPr>
        <w:t>Aguascalientes,</w:t>
      </w:r>
      <w:r>
        <w:rPr>
          <w:color w:val="231F20"/>
          <w:spacing w:val="-17"/>
        </w:rPr>
        <w:t> </w:t>
      </w:r>
      <w:r>
        <w:rPr>
          <w:color w:val="231F20"/>
        </w:rPr>
        <w:t>Querétaro,</w:t>
      </w:r>
      <w:r>
        <w:rPr>
          <w:color w:val="231F20"/>
          <w:spacing w:val="-17"/>
        </w:rPr>
        <w:t> </w:t>
      </w:r>
      <w:r>
        <w:rPr>
          <w:color w:val="231F20"/>
          <w:spacing w:val="-3"/>
        </w:rPr>
        <w:t>Guanajuato,</w:t>
      </w:r>
      <w:r>
        <w:rPr>
          <w:color w:val="231F20"/>
          <w:spacing w:val="-17"/>
        </w:rPr>
        <w:t> </w:t>
      </w:r>
      <w:r>
        <w:rPr>
          <w:color w:val="231F20"/>
        </w:rPr>
        <w:t>San</w:t>
      </w:r>
      <w:r>
        <w:rPr>
          <w:color w:val="231F20"/>
          <w:spacing w:val="-17"/>
        </w:rPr>
        <w:t> </w:t>
      </w:r>
      <w:r>
        <w:rPr>
          <w:color w:val="231F20"/>
        </w:rPr>
        <w:t>Luis Potosí,</w:t>
      </w:r>
      <w:r>
        <w:rPr>
          <w:color w:val="231F20"/>
          <w:spacing w:val="-11"/>
        </w:rPr>
        <w:t> </w:t>
      </w:r>
      <w:r>
        <w:rPr>
          <w:color w:val="231F20"/>
        </w:rPr>
        <w:t>Puebla</w:t>
      </w:r>
      <w:r>
        <w:rPr>
          <w:color w:val="231F20"/>
          <w:spacing w:val="-11"/>
        </w:rPr>
        <w:t> </w:t>
      </w:r>
      <w:r>
        <w:rPr>
          <w:color w:val="231F20"/>
        </w:rPr>
        <w:t>y</w:t>
      </w:r>
      <w:r>
        <w:rPr>
          <w:color w:val="231F20"/>
          <w:spacing w:val="-11"/>
        </w:rPr>
        <w:t> </w:t>
      </w:r>
      <w:r>
        <w:rPr>
          <w:color w:val="231F20"/>
        </w:rPr>
        <w:t>Jalisco,</w:t>
      </w:r>
      <w:r>
        <w:rPr>
          <w:color w:val="231F20"/>
          <w:spacing w:val="-11"/>
        </w:rPr>
        <w:t> </w:t>
      </w:r>
      <w:r>
        <w:rPr>
          <w:color w:val="231F20"/>
        </w:rPr>
        <w:t>aunque</w:t>
      </w:r>
      <w:r>
        <w:rPr>
          <w:color w:val="231F20"/>
          <w:spacing w:val="-11"/>
        </w:rPr>
        <w:t> </w:t>
      </w:r>
      <w:r>
        <w:rPr>
          <w:color w:val="231F20"/>
        </w:rPr>
        <w:t>con</w:t>
      </w:r>
      <w:r>
        <w:rPr>
          <w:color w:val="231F20"/>
          <w:spacing w:val="-11"/>
        </w:rPr>
        <w:t> </w:t>
      </w:r>
      <w:r>
        <w:rPr>
          <w:color w:val="231F20"/>
        </w:rPr>
        <w:t>crecimientos</w:t>
      </w:r>
      <w:r>
        <w:rPr>
          <w:color w:val="231F20"/>
          <w:spacing w:val="-11"/>
        </w:rPr>
        <w:t> </w:t>
      </w:r>
      <w:r>
        <w:rPr>
          <w:color w:val="231F20"/>
        </w:rPr>
        <w:t>más</w:t>
      </w:r>
      <w:r>
        <w:rPr>
          <w:color w:val="231F20"/>
          <w:spacing w:val="-11"/>
        </w:rPr>
        <w:t> </w:t>
      </w:r>
      <w:r>
        <w:rPr>
          <w:color w:val="231F20"/>
        </w:rPr>
        <w:t>moderados</w:t>
      </w:r>
      <w:r>
        <w:rPr>
          <w:color w:val="231F20"/>
          <w:spacing w:val="-11"/>
        </w:rPr>
        <w:t> </w:t>
      </w:r>
      <w:r>
        <w:rPr>
          <w:color w:val="231F20"/>
        </w:rPr>
        <w:t>(véase</w:t>
      </w:r>
      <w:r>
        <w:rPr>
          <w:color w:val="231F20"/>
          <w:spacing w:val="-11"/>
        </w:rPr>
        <w:t> </w:t>
      </w:r>
      <w:r>
        <w:rPr>
          <w:color w:val="231F20"/>
        </w:rPr>
        <w:t>cuadro</w:t>
      </w:r>
      <w:r>
        <w:rPr>
          <w:color w:val="231F20"/>
          <w:spacing w:val="-11"/>
        </w:rPr>
        <w:t> </w:t>
      </w:r>
      <w:r>
        <w:rPr>
          <w:color w:val="231F20"/>
        </w:rPr>
        <w:t>III.9).</w:t>
      </w:r>
    </w:p>
    <w:p>
      <w:pPr>
        <w:pStyle w:val="BodyText"/>
        <w:spacing w:before="8"/>
        <w:rPr>
          <w:sz w:val="17"/>
        </w:rPr>
      </w:pPr>
    </w:p>
    <w:p>
      <w:pPr>
        <w:pStyle w:val="Heading4"/>
        <w:ind w:left="159" w:right="686"/>
      </w:pPr>
      <w:r>
        <w:rPr>
          <w:color w:val="231F20"/>
          <w:w w:val="95"/>
        </w:rPr>
        <w:t>Cuadro III.9</w:t>
      </w:r>
    </w:p>
    <w:p>
      <w:pPr>
        <w:spacing w:line="237" w:lineRule="auto" w:before="0"/>
        <w:ind w:left="1275" w:right="1803" w:firstLine="0"/>
        <w:jc w:val="center"/>
        <w:rPr>
          <w:rFonts w:ascii="Palatino Linotype"/>
          <w:b/>
          <w:sz w:val="21"/>
        </w:rPr>
      </w:pPr>
      <w:r>
        <w:rPr>
          <w:rFonts w:ascii="Palatino Linotype"/>
          <w:b/>
          <w:color w:val="231F20"/>
          <w:w w:val="90"/>
          <w:sz w:val="21"/>
        </w:rPr>
        <w:t>Industria automotriz: personal ocupado total (promedio) </w:t>
      </w:r>
      <w:r>
        <w:rPr>
          <w:rFonts w:ascii="Palatino Linotype"/>
          <w:b/>
          <w:color w:val="231F20"/>
          <w:w w:val="95"/>
          <w:sz w:val="21"/>
        </w:rPr>
        <w:t>por entidad federativa, 1985-2009</w:t>
      </w:r>
    </w:p>
    <w:p>
      <w:pPr>
        <w:pStyle w:val="BodyText"/>
        <w:rPr>
          <w:rFonts w:ascii="Palatino Linotype"/>
          <w:b/>
          <w:sz w:val="11"/>
        </w:rPr>
      </w:pPr>
      <w:r>
        <w:rPr/>
        <w:pict>
          <v:group style="position:absolute;margin-left:64.946899pt;margin-top:9.415604pt;width:359.95pt;height:.5pt;mso-position-horizontal-relative:page;mso-position-vertical-relative:paragraph;z-index:9184;mso-wrap-distance-left:0;mso-wrap-distance-right:0" coordorigin="1299,188" coordsize="7199,10">
            <v:line style="position:absolute" from="1304,193" to="3016,193" stroked="true" strokeweight=".5pt" strokecolor="#231f20"/>
            <v:line style="position:absolute" from="3016,193" to="3878,193" stroked="true" strokeweight=".5pt" strokecolor="#231f20"/>
            <v:line style="position:absolute" from="3878,193" to="4785,193" stroked="true" strokeweight=".5pt" strokecolor="#231f20"/>
            <v:line style="position:absolute" from="4785,193" to="5703,193" stroked="true" strokeweight=".5pt" strokecolor="#231f20"/>
            <v:line style="position:absolute" from="5703,193" to="6678,193" stroked="true" strokeweight=".5pt" strokecolor="#231f20"/>
            <v:line style="position:absolute" from="6678,193" to="7608,193" stroked="true" strokeweight=".5pt" strokecolor="#231f20"/>
            <v:line style="position:absolute" from="7608,193" to="8493,193" stroked="true" strokeweight=".5pt" strokecolor="#231f20"/>
            <w10:wrap type="topAndBottom"/>
          </v:group>
        </w:pict>
      </w:r>
    </w:p>
    <w:p>
      <w:pPr>
        <w:tabs>
          <w:tab w:pos="2106" w:val="left" w:leader="none"/>
          <w:tab w:pos="2991" w:val="left" w:leader="none"/>
          <w:tab w:pos="3904" w:val="left" w:leader="none"/>
          <w:tab w:pos="4850" w:val="left" w:leader="none"/>
          <w:tab w:pos="5803" w:val="left" w:leader="none"/>
          <w:tab w:pos="6710" w:val="left" w:leader="none"/>
        </w:tabs>
        <w:spacing w:line="187" w:lineRule="exact" w:before="0" w:after="9"/>
        <w:ind w:left="343" w:right="646" w:firstLine="0"/>
        <w:jc w:val="left"/>
        <w:rPr>
          <w:rFonts w:ascii="Palatino Linotype"/>
          <w:b/>
          <w:sz w:val="16"/>
        </w:rPr>
      </w:pPr>
      <w:r>
        <w:rPr>
          <w:rFonts w:ascii="Palatino Linotype"/>
          <w:b/>
          <w:color w:val="231F20"/>
          <w:w w:val="95"/>
          <w:sz w:val="16"/>
        </w:rPr>
        <w:t>Entidad</w:t>
      </w:r>
      <w:r>
        <w:rPr>
          <w:rFonts w:ascii="Palatino Linotype"/>
          <w:b/>
          <w:color w:val="231F20"/>
          <w:spacing w:val="-15"/>
          <w:w w:val="95"/>
          <w:sz w:val="16"/>
        </w:rPr>
        <w:t> </w:t>
      </w:r>
      <w:r>
        <w:rPr>
          <w:rFonts w:ascii="Palatino Linotype"/>
          <w:b/>
          <w:color w:val="231F20"/>
          <w:w w:val="95"/>
          <w:sz w:val="16"/>
        </w:rPr>
        <w:t>Federativa</w:t>
        <w:tab/>
      </w:r>
      <w:r>
        <w:rPr>
          <w:rFonts w:ascii="Palatino Linotype"/>
          <w:b/>
          <w:color w:val="231F20"/>
          <w:sz w:val="16"/>
        </w:rPr>
        <w:t>1985</w:t>
        <w:tab/>
        <w:t>1988</w:t>
        <w:tab/>
        <w:t>1993</w:t>
        <w:tab/>
        <w:t>1998</w:t>
        <w:tab/>
        <w:t>2003</w:t>
        <w:tab/>
        <w:t>2009</w:t>
      </w:r>
    </w:p>
    <w:tbl>
      <w:tblPr>
        <w:tblW w:w="0" w:type="auto"/>
        <w:jc w:val="left"/>
        <w:tblInd w:w="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605"/>
        <w:gridCol w:w="980"/>
        <w:gridCol w:w="899"/>
        <w:gridCol w:w="930"/>
        <w:gridCol w:w="950"/>
        <w:gridCol w:w="896"/>
        <w:gridCol w:w="930"/>
      </w:tblGrid>
      <w:tr>
        <w:trPr>
          <w:trHeight w:val="357" w:hRule="exact"/>
        </w:trPr>
        <w:tc>
          <w:tcPr>
            <w:tcW w:w="1605" w:type="dxa"/>
            <w:tcBorders>
              <w:top w:val="single" w:sz="4" w:space="0" w:color="231F20"/>
            </w:tcBorders>
          </w:tcPr>
          <w:p>
            <w:pPr>
              <w:pStyle w:val="TableParagraph"/>
              <w:spacing w:before="114"/>
              <w:ind w:left="113"/>
              <w:jc w:val="left"/>
              <w:rPr>
                <w:rFonts w:ascii="Palatino Linotype"/>
                <w:b/>
                <w:sz w:val="16"/>
              </w:rPr>
            </w:pPr>
            <w:r>
              <w:rPr>
                <w:rFonts w:ascii="Palatino Linotype"/>
                <w:b/>
                <w:color w:val="231F20"/>
                <w:sz w:val="16"/>
              </w:rPr>
              <w:t>Total</w:t>
            </w:r>
          </w:p>
        </w:tc>
        <w:tc>
          <w:tcPr>
            <w:tcW w:w="980" w:type="dxa"/>
            <w:tcBorders>
              <w:top w:val="single" w:sz="4" w:space="0" w:color="231F20"/>
            </w:tcBorders>
          </w:tcPr>
          <w:p>
            <w:pPr>
              <w:pStyle w:val="TableParagraph"/>
              <w:spacing w:before="114"/>
              <w:ind w:left="277"/>
              <w:jc w:val="left"/>
              <w:rPr>
                <w:rFonts w:ascii="Palatino Linotype"/>
                <w:b/>
                <w:sz w:val="16"/>
              </w:rPr>
            </w:pPr>
            <w:r>
              <w:rPr>
                <w:rFonts w:ascii="Palatino Linotype"/>
                <w:b/>
                <w:color w:val="231F20"/>
                <w:sz w:val="16"/>
              </w:rPr>
              <w:t>145,933</w:t>
            </w:r>
          </w:p>
        </w:tc>
        <w:tc>
          <w:tcPr>
            <w:tcW w:w="899" w:type="dxa"/>
            <w:tcBorders>
              <w:top w:val="single" w:sz="4" w:space="0" w:color="231F20"/>
            </w:tcBorders>
          </w:tcPr>
          <w:p>
            <w:pPr>
              <w:pStyle w:val="TableParagraph"/>
              <w:spacing w:before="114"/>
              <w:ind w:left="181"/>
              <w:jc w:val="left"/>
              <w:rPr>
                <w:rFonts w:ascii="Palatino Linotype"/>
                <w:b/>
                <w:sz w:val="16"/>
              </w:rPr>
            </w:pPr>
            <w:r>
              <w:rPr>
                <w:rFonts w:ascii="Palatino Linotype"/>
                <w:b/>
                <w:color w:val="231F20"/>
                <w:sz w:val="16"/>
              </w:rPr>
              <w:t>186,885</w:t>
            </w:r>
          </w:p>
        </w:tc>
        <w:tc>
          <w:tcPr>
            <w:tcW w:w="930" w:type="dxa"/>
            <w:tcBorders>
              <w:top w:val="single" w:sz="4" w:space="0" w:color="231F20"/>
            </w:tcBorders>
          </w:tcPr>
          <w:p>
            <w:pPr>
              <w:pStyle w:val="TableParagraph"/>
              <w:spacing w:before="114"/>
              <w:ind w:right="211"/>
              <w:jc w:val="right"/>
              <w:rPr>
                <w:rFonts w:ascii="Palatino Linotype"/>
                <w:b/>
                <w:sz w:val="16"/>
              </w:rPr>
            </w:pPr>
            <w:r>
              <w:rPr>
                <w:rFonts w:ascii="Palatino Linotype"/>
                <w:b/>
                <w:color w:val="231F20"/>
                <w:sz w:val="16"/>
              </w:rPr>
              <w:t>200,486</w:t>
            </w:r>
          </w:p>
        </w:tc>
        <w:tc>
          <w:tcPr>
            <w:tcW w:w="950" w:type="dxa"/>
            <w:tcBorders>
              <w:top w:val="single" w:sz="4" w:space="0" w:color="231F20"/>
            </w:tcBorders>
          </w:tcPr>
          <w:p>
            <w:pPr>
              <w:pStyle w:val="TableParagraph"/>
              <w:spacing w:before="114"/>
              <w:ind w:left="194" w:right="194"/>
              <w:rPr>
                <w:rFonts w:ascii="Palatino Linotype"/>
                <w:b/>
                <w:sz w:val="16"/>
              </w:rPr>
            </w:pPr>
            <w:r>
              <w:rPr>
                <w:rFonts w:ascii="Palatino Linotype"/>
                <w:b/>
                <w:color w:val="231F20"/>
                <w:sz w:val="16"/>
              </w:rPr>
              <w:t>230,712</w:t>
            </w:r>
          </w:p>
        </w:tc>
        <w:tc>
          <w:tcPr>
            <w:tcW w:w="896" w:type="dxa"/>
            <w:tcBorders>
              <w:top w:val="single" w:sz="4" w:space="0" w:color="231F20"/>
            </w:tcBorders>
          </w:tcPr>
          <w:p>
            <w:pPr>
              <w:pStyle w:val="TableParagraph"/>
              <w:spacing w:before="114"/>
              <w:ind w:left="195" w:right="139"/>
              <w:rPr>
                <w:rFonts w:ascii="Palatino Linotype"/>
                <w:b/>
                <w:sz w:val="16"/>
              </w:rPr>
            </w:pPr>
            <w:r>
              <w:rPr>
                <w:rFonts w:ascii="Palatino Linotype"/>
                <w:b/>
                <w:color w:val="231F20"/>
                <w:sz w:val="16"/>
              </w:rPr>
              <w:t>535,193</w:t>
            </w:r>
          </w:p>
        </w:tc>
        <w:tc>
          <w:tcPr>
            <w:tcW w:w="930" w:type="dxa"/>
            <w:tcBorders>
              <w:top w:val="single" w:sz="4" w:space="0" w:color="231F20"/>
            </w:tcBorders>
          </w:tcPr>
          <w:p>
            <w:pPr>
              <w:pStyle w:val="TableParagraph"/>
              <w:spacing w:before="114"/>
              <w:ind w:left="158"/>
              <w:jc w:val="left"/>
              <w:rPr>
                <w:rFonts w:ascii="Palatino Linotype"/>
                <w:b/>
                <w:sz w:val="16"/>
              </w:rPr>
            </w:pPr>
            <w:r>
              <w:rPr>
                <w:rFonts w:ascii="Palatino Linotype"/>
                <w:b/>
                <w:color w:val="231F20"/>
                <w:sz w:val="16"/>
              </w:rPr>
              <w:t>540,436</w:t>
            </w:r>
          </w:p>
        </w:tc>
      </w:tr>
      <w:tr>
        <w:trPr>
          <w:trHeight w:val="216" w:hRule="exact"/>
        </w:trPr>
        <w:tc>
          <w:tcPr>
            <w:tcW w:w="1605" w:type="dxa"/>
          </w:tcPr>
          <w:p>
            <w:pPr>
              <w:pStyle w:val="TableParagraph"/>
              <w:spacing w:line="180" w:lineRule="exact"/>
              <w:ind w:left="113"/>
              <w:jc w:val="left"/>
              <w:rPr>
                <w:sz w:val="16"/>
              </w:rPr>
            </w:pPr>
            <w:r>
              <w:rPr>
                <w:color w:val="231F20"/>
                <w:sz w:val="16"/>
              </w:rPr>
              <w:t>Aguascalientes</w:t>
            </w:r>
          </w:p>
        </w:tc>
        <w:tc>
          <w:tcPr>
            <w:tcW w:w="980" w:type="dxa"/>
          </w:tcPr>
          <w:p>
            <w:pPr>
              <w:pStyle w:val="TableParagraph"/>
              <w:spacing w:line="180" w:lineRule="exact"/>
              <w:ind w:left="366"/>
              <w:jc w:val="left"/>
              <w:rPr>
                <w:sz w:val="16"/>
              </w:rPr>
            </w:pPr>
            <w:r>
              <w:rPr>
                <w:color w:val="231F20"/>
                <w:sz w:val="16"/>
              </w:rPr>
              <w:t>2,492</w:t>
            </w:r>
          </w:p>
        </w:tc>
        <w:tc>
          <w:tcPr>
            <w:tcW w:w="899" w:type="dxa"/>
          </w:tcPr>
          <w:p>
            <w:pPr>
              <w:pStyle w:val="TableParagraph"/>
              <w:spacing w:line="180" w:lineRule="exact"/>
              <w:ind w:left="270"/>
              <w:jc w:val="left"/>
              <w:rPr>
                <w:sz w:val="16"/>
              </w:rPr>
            </w:pPr>
            <w:r>
              <w:rPr>
                <w:color w:val="231F20"/>
                <w:sz w:val="16"/>
              </w:rPr>
              <w:t>3,339</w:t>
            </w:r>
          </w:p>
        </w:tc>
        <w:tc>
          <w:tcPr>
            <w:tcW w:w="930" w:type="dxa"/>
          </w:tcPr>
          <w:p>
            <w:pPr>
              <w:pStyle w:val="TableParagraph"/>
              <w:spacing w:line="180" w:lineRule="exact"/>
              <w:ind w:right="299"/>
              <w:jc w:val="right"/>
              <w:rPr>
                <w:sz w:val="16"/>
              </w:rPr>
            </w:pPr>
            <w:r>
              <w:rPr>
                <w:color w:val="231F20"/>
                <w:w w:val="95"/>
                <w:sz w:val="16"/>
              </w:rPr>
              <w:t>7,527</w:t>
            </w:r>
          </w:p>
        </w:tc>
        <w:tc>
          <w:tcPr>
            <w:tcW w:w="950" w:type="dxa"/>
          </w:tcPr>
          <w:p>
            <w:pPr>
              <w:pStyle w:val="TableParagraph"/>
              <w:spacing w:line="180" w:lineRule="exact"/>
              <w:ind w:left="194" w:right="194"/>
              <w:rPr>
                <w:sz w:val="16"/>
              </w:rPr>
            </w:pPr>
            <w:r>
              <w:rPr>
                <w:color w:val="231F20"/>
                <w:sz w:val="16"/>
              </w:rPr>
              <w:t>8,086</w:t>
            </w:r>
          </w:p>
        </w:tc>
        <w:tc>
          <w:tcPr>
            <w:tcW w:w="896" w:type="dxa"/>
          </w:tcPr>
          <w:p>
            <w:pPr>
              <w:pStyle w:val="TableParagraph"/>
              <w:spacing w:line="180" w:lineRule="exact"/>
              <w:ind w:left="195" w:right="139"/>
              <w:rPr>
                <w:sz w:val="16"/>
              </w:rPr>
            </w:pPr>
            <w:r>
              <w:rPr>
                <w:color w:val="231F20"/>
                <w:sz w:val="16"/>
              </w:rPr>
              <w:t>10,706</w:t>
            </w:r>
          </w:p>
        </w:tc>
        <w:tc>
          <w:tcPr>
            <w:tcW w:w="930" w:type="dxa"/>
          </w:tcPr>
          <w:p>
            <w:pPr>
              <w:pStyle w:val="TableParagraph"/>
              <w:spacing w:line="180" w:lineRule="exact"/>
              <w:ind w:left="158"/>
              <w:jc w:val="left"/>
              <w:rPr>
                <w:sz w:val="16"/>
              </w:rPr>
            </w:pPr>
            <w:r>
              <w:rPr>
                <w:color w:val="231F20"/>
                <w:sz w:val="16"/>
              </w:rPr>
              <w:t>15,608</w:t>
            </w:r>
          </w:p>
        </w:tc>
      </w:tr>
      <w:tr>
        <w:trPr>
          <w:trHeight w:val="215" w:hRule="exact"/>
        </w:trPr>
        <w:tc>
          <w:tcPr>
            <w:tcW w:w="1605" w:type="dxa"/>
          </w:tcPr>
          <w:p>
            <w:pPr>
              <w:pStyle w:val="TableParagraph"/>
              <w:spacing w:line="180" w:lineRule="exact"/>
              <w:ind w:left="113"/>
              <w:jc w:val="left"/>
              <w:rPr>
                <w:sz w:val="16"/>
              </w:rPr>
            </w:pPr>
            <w:r>
              <w:rPr>
                <w:color w:val="231F20"/>
                <w:sz w:val="16"/>
              </w:rPr>
              <w:t>Baja California</w:t>
            </w:r>
          </w:p>
        </w:tc>
        <w:tc>
          <w:tcPr>
            <w:tcW w:w="980" w:type="dxa"/>
          </w:tcPr>
          <w:p>
            <w:pPr>
              <w:pStyle w:val="TableParagraph"/>
              <w:spacing w:line="180" w:lineRule="exact"/>
              <w:ind w:left="366"/>
              <w:jc w:val="left"/>
              <w:rPr>
                <w:sz w:val="16"/>
              </w:rPr>
            </w:pPr>
            <w:r>
              <w:rPr>
                <w:color w:val="231F20"/>
                <w:sz w:val="16"/>
              </w:rPr>
              <w:t>1,659</w:t>
            </w:r>
          </w:p>
        </w:tc>
        <w:tc>
          <w:tcPr>
            <w:tcW w:w="899" w:type="dxa"/>
          </w:tcPr>
          <w:p>
            <w:pPr>
              <w:pStyle w:val="TableParagraph"/>
              <w:spacing w:line="180" w:lineRule="exact"/>
              <w:ind w:left="270"/>
              <w:jc w:val="left"/>
              <w:rPr>
                <w:sz w:val="16"/>
              </w:rPr>
            </w:pPr>
            <w:r>
              <w:rPr>
                <w:color w:val="231F20"/>
                <w:sz w:val="16"/>
              </w:rPr>
              <w:t>5,682</w:t>
            </w:r>
          </w:p>
        </w:tc>
        <w:tc>
          <w:tcPr>
            <w:tcW w:w="930" w:type="dxa"/>
          </w:tcPr>
          <w:p>
            <w:pPr>
              <w:pStyle w:val="TableParagraph"/>
              <w:spacing w:line="180" w:lineRule="exact"/>
              <w:ind w:right="299"/>
              <w:jc w:val="right"/>
              <w:rPr>
                <w:sz w:val="16"/>
              </w:rPr>
            </w:pPr>
            <w:r>
              <w:rPr>
                <w:color w:val="231F20"/>
                <w:w w:val="95"/>
                <w:sz w:val="16"/>
              </w:rPr>
              <w:t>4,875</w:t>
            </w:r>
          </w:p>
        </w:tc>
        <w:tc>
          <w:tcPr>
            <w:tcW w:w="950" w:type="dxa"/>
          </w:tcPr>
          <w:p>
            <w:pPr>
              <w:pStyle w:val="TableParagraph"/>
              <w:spacing w:line="180" w:lineRule="exact"/>
              <w:ind w:left="194" w:right="194"/>
              <w:rPr>
                <w:sz w:val="16"/>
              </w:rPr>
            </w:pPr>
            <w:r>
              <w:rPr>
                <w:color w:val="231F20"/>
                <w:sz w:val="16"/>
              </w:rPr>
              <w:t>8,878</w:t>
            </w:r>
          </w:p>
        </w:tc>
        <w:tc>
          <w:tcPr>
            <w:tcW w:w="896" w:type="dxa"/>
          </w:tcPr>
          <w:p>
            <w:pPr>
              <w:pStyle w:val="TableParagraph"/>
              <w:spacing w:line="180" w:lineRule="exact"/>
              <w:ind w:left="195" w:right="139"/>
              <w:rPr>
                <w:sz w:val="16"/>
              </w:rPr>
            </w:pPr>
            <w:r>
              <w:rPr>
                <w:color w:val="231F20"/>
                <w:sz w:val="16"/>
              </w:rPr>
              <w:t>16,150</w:t>
            </w:r>
          </w:p>
        </w:tc>
        <w:tc>
          <w:tcPr>
            <w:tcW w:w="930" w:type="dxa"/>
          </w:tcPr>
          <w:p>
            <w:pPr>
              <w:pStyle w:val="TableParagraph"/>
              <w:spacing w:line="180" w:lineRule="exact"/>
              <w:ind w:left="158"/>
              <w:jc w:val="left"/>
              <w:rPr>
                <w:sz w:val="16"/>
              </w:rPr>
            </w:pPr>
            <w:r>
              <w:rPr>
                <w:color w:val="231F20"/>
                <w:sz w:val="16"/>
              </w:rPr>
              <w:t>14,569</w:t>
            </w:r>
          </w:p>
        </w:tc>
      </w:tr>
      <w:tr>
        <w:trPr>
          <w:trHeight w:val="215" w:hRule="exact"/>
        </w:trPr>
        <w:tc>
          <w:tcPr>
            <w:tcW w:w="1605" w:type="dxa"/>
          </w:tcPr>
          <w:p>
            <w:pPr>
              <w:pStyle w:val="TableParagraph"/>
              <w:spacing w:line="180" w:lineRule="exact"/>
              <w:ind w:left="113"/>
              <w:jc w:val="left"/>
              <w:rPr>
                <w:sz w:val="16"/>
              </w:rPr>
            </w:pPr>
            <w:r>
              <w:rPr>
                <w:color w:val="231F20"/>
                <w:sz w:val="16"/>
              </w:rPr>
              <w:t>Baja California Sur</w:t>
            </w:r>
          </w:p>
        </w:tc>
        <w:tc>
          <w:tcPr>
            <w:tcW w:w="980" w:type="dxa"/>
          </w:tcPr>
          <w:p>
            <w:pPr>
              <w:pStyle w:val="TableParagraph"/>
              <w:spacing w:line="180" w:lineRule="exact"/>
              <w:ind w:left="397" w:right="302"/>
              <w:rPr>
                <w:sz w:val="16"/>
              </w:rPr>
            </w:pPr>
            <w:r>
              <w:rPr>
                <w:color w:val="231F20"/>
                <w:sz w:val="16"/>
              </w:rPr>
              <w:t>24</w:t>
            </w:r>
          </w:p>
        </w:tc>
        <w:tc>
          <w:tcPr>
            <w:tcW w:w="899" w:type="dxa"/>
          </w:tcPr>
          <w:p>
            <w:pPr>
              <w:pStyle w:val="TableParagraph"/>
              <w:spacing w:line="180" w:lineRule="exact"/>
              <w:ind w:left="303" w:right="315"/>
              <w:rPr>
                <w:sz w:val="16"/>
              </w:rPr>
            </w:pPr>
            <w:r>
              <w:rPr>
                <w:color w:val="231F20"/>
                <w:sz w:val="16"/>
              </w:rPr>
              <w:t>56</w:t>
            </w:r>
          </w:p>
        </w:tc>
        <w:tc>
          <w:tcPr>
            <w:tcW w:w="930" w:type="dxa"/>
          </w:tcPr>
          <w:p>
            <w:pPr>
              <w:pStyle w:val="TableParagraph"/>
              <w:spacing w:line="180" w:lineRule="exact"/>
              <w:ind w:left="317" w:right="331"/>
              <w:rPr>
                <w:sz w:val="16"/>
              </w:rPr>
            </w:pPr>
            <w:r>
              <w:rPr>
                <w:color w:val="231F20"/>
                <w:sz w:val="16"/>
              </w:rPr>
              <w:t>17</w:t>
            </w:r>
          </w:p>
        </w:tc>
        <w:tc>
          <w:tcPr>
            <w:tcW w:w="950" w:type="dxa"/>
          </w:tcPr>
          <w:p>
            <w:pPr>
              <w:pStyle w:val="TableParagraph"/>
              <w:spacing w:line="180" w:lineRule="exact"/>
              <w:rPr>
                <w:sz w:val="16"/>
              </w:rPr>
            </w:pPr>
            <w:r>
              <w:rPr>
                <w:color w:val="231F20"/>
                <w:w w:val="96"/>
                <w:sz w:val="16"/>
              </w:rPr>
              <w:t>7</w:t>
            </w:r>
          </w:p>
        </w:tc>
        <w:tc>
          <w:tcPr>
            <w:tcW w:w="896" w:type="dxa"/>
          </w:tcPr>
          <w:p>
            <w:pPr>
              <w:pStyle w:val="TableParagraph"/>
              <w:spacing w:line="180" w:lineRule="exact"/>
              <w:ind w:left="56"/>
              <w:rPr>
                <w:sz w:val="16"/>
              </w:rPr>
            </w:pPr>
            <w:r>
              <w:rPr>
                <w:color w:val="231F20"/>
                <w:w w:val="96"/>
                <w:sz w:val="16"/>
              </w:rPr>
              <w:t>7</w:t>
            </w:r>
          </w:p>
        </w:tc>
        <w:tc>
          <w:tcPr>
            <w:tcW w:w="930" w:type="dxa"/>
          </w:tcPr>
          <w:p>
            <w:pPr>
              <w:pStyle w:val="TableParagraph"/>
              <w:spacing w:line="180" w:lineRule="exact"/>
              <w:ind w:left="158"/>
              <w:jc w:val="left"/>
              <w:rPr>
                <w:sz w:val="16"/>
              </w:rPr>
            </w:pPr>
            <w:r>
              <w:rPr>
                <w:color w:val="231F20"/>
                <w:sz w:val="16"/>
              </w:rPr>
              <w:t>43</w:t>
            </w:r>
          </w:p>
        </w:tc>
      </w:tr>
      <w:tr>
        <w:trPr>
          <w:trHeight w:val="215" w:hRule="exact"/>
        </w:trPr>
        <w:tc>
          <w:tcPr>
            <w:tcW w:w="1605" w:type="dxa"/>
          </w:tcPr>
          <w:p>
            <w:pPr>
              <w:pStyle w:val="TableParagraph"/>
              <w:spacing w:line="180" w:lineRule="exact"/>
              <w:ind w:left="113"/>
              <w:jc w:val="left"/>
              <w:rPr>
                <w:sz w:val="16"/>
              </w:rPr>
            </w:pPr>
            <w:r>
              <w:rPr>
                <w:color w:val="231F20"/>
                <w:sz w:val="16"/>
              </w:rPr>
              <w:t>Campeche</w:t>
            </w:r>
          </w:p>
        </w:tc>
        <w:tc>
          <w:tcPr>
            <w:tcW w:w="980" w:type="dxa"/>
          </w:tcPr>
          <w:p>
            <w:pPr>
              <w:pStyle w:val="TableParagraph"/>
              <w:spacing w:line="180" w:lineRule="exact"/>
              <w:ind w:left="95"/>
              <w:rPr>
                <w:sz w:val="16"/>
              </w:rPr>
            </w:pPr>
            <w:r>
              <w:rPr>
                <w:color w:val="231F20"/>
                <w:w w:val="96"/>
                <w:sz w:val="16"/>
              </w:rPr>
              <w:t>0</w:t>
            </w:r>
          </w:p>
        </w:tc>
        <w:tc>
          <w:tcPr>
            <w:tcW w:w="899" w:type="dxa"/>
          </w:tcPr>
          <w:p>
            <w:pPr>
              <w:pStyle w:val="TableParagraph"/>
              <w:spacing w:line="180" w:lineRule="exact"/>
              <w:ind w:left="303" w:right="315"/>
              <w:rPr>
                <w:sz w:val="16"/>
              </w:rPr>
            </w:pPr>
            <w:r>
              <w:rPr>
                <w:color w:val="231F20"/>
                <w:sz w:val="16"/>
              </w:rPr>
              <w:t>168</w:t>
            </w:r>
          </w:p>
        </w:tc>
        <w:tc>
          <w:tcPr>
            <w:tcW w:w="930" w:type="dxa"/>
          </w:tcPr>
          <w:p>
            <w:pPr>
              <w:pStyle w:val="TableParagraph"/>
              <w:spacing w:line="180" w:lineRule="exact"/>
              <w:ind w:right="14"/>
              <w:rPr>
                <w:sz w:val="16"/>
              </w:rPr>
            </w:pPr>
            <w:r>
              <w:rPr>
                <w:color w:val="231F20"/>
                <w:w w:val="96"/>
                <w:sz w:val="16"/>
              </w:rPr>
              <w:t>0</w:t>
            </w:r>
          </w:p>
        </w:tc>
        <w:tc>
          <w:tcPr>
            <w:tcW w:w="950" w:type="dxa"/>
          </w:tcPr>
          <w:p>
            <w:pPr>
              <w:pStyle w:val="TableParagraph"/>
              <w:spacing w:line="180" w:lineRule="exact"/>
              <w:rPr>
                <w:sz w:val="16"/>
              </w:rPr>
            </w:pPr>
            <w:r>
              <w:rPr>
                <w:color w:val="231F20"/>
                <w:w w:val="96"/>
                <w:sz w:val="16"/>
              </w:rPr>
              <w:t>6</w:t>
            </w:r>
          </w:p>
        </w:tc>
        <w:tc>
          <w:tcPr>
            <w:tcW w:w="896" w:type="dxa"/>
          </w:tcPr>
          <w:p>
            <w:pPr>
              <w:pStyle w:val="TableParagraph"/>
              <w:spacing w:line="180" w:lineRule="exact"/>
              <w:ind w:left="56"/>
              <w:rPr>
                <w:sz w:val="16"/>
              </w:rPr>
            </w:pPr>
            <w:r>
              <w:rPr>
                <w:color w:val="231F20"/>
                <w:w w:val="96"/>
                <w:sz w:val="16"/>
              </w:rPr>
              <w:t>3</w:t>
            </w:r>
          </w:p>
        </w:tc>
        <w:tc>
          <w:tcPr>
            <w:tcW w:w="930" w:type="dxa"/>
          </w:tcPr>
          <w:p>
            <w:pPr>
              <w:pStyle w:val="TableParagraph"/>
              <w:spacing w:line="180" w:lineRule="exact"/>
              <w:ind w:left="158"/>
              <w:jc w:val="left"/>
              <w:rPr>
                <w:sz w:val="16"/>
              </w:rPr>
            </w:pPr>
            <w:r>
              <w:rPr>
                <w:color w:val="231F20"/>
                <w:w w:val="96"/>
                <w:sz w:val="16"/>
              </w:rPr>
              <w:t>9</w:t>
            </w:r>
          </w:p>
        </w:tc>
      </w:tr>
      <w:tr>
        <w:trPr>
          <w:trHeight w:val="215" w:hRule="exact"/>
        </w:trPr>
        <w:tc>
          <w:tcPr>
            <w:tcW w:w="1605" w:type="dxa"/>
          </w:tcPr>
          <w:p>
            <w:pPr>
              <w:pStyle w:val="TableParagraph"/>
              <w:spacing w:line="193" w:lineRule="exact"/>
              <w:ind w:left="113"/>
              <w:jc w:val="left"/>
              <w:rPr>
                <w:rFonts w:ascii="Palatino Linotype"/>
                <w:b/>
                <w:sz w:val="16"/>
              </w:rPr>
            </w:pPr>
            <w:r>
              <w:rPr>
                <w:rFonts w:ascii="Palatino Linotype"/>
                <w:b/>
                <w:color w:val="231F20"/>
                <w:sz w:val="16"/>
              </w:rPr>
              <w:t>Coahuila</w:t>
            </w:r>
          </w:p>
        </w:tc>
        <w:tc>
          <w:tcPr>
            <w:tcW w:w="980" w:type="dxa"/>
          </w:tcPr>
          <w:p>
            <w:pPr>
              <w:pStyle w:val="TableParagraph"/>
              <w:spacing w:line="193" w:lineRule="exact"/>
              <w:ind w:left="317"/>
              <w:jc w:val="left"/>
              <w:rPr>
                <w:rFonts w:ascii="Palatino Linotype"/>
                <w:b/>
                <w:sz w:val="16"/>
              </w:rPr>
            </w:pPr>
            <w:r>
              <w:rPr>
                <w:rFonts w:ascii="Palatino Linotype"/>
                <w:b/>
                <w:color w:val="231F20"/>
                <w:sz w:val="16"/>
              </w:rPr>
              <w:t>12,270</w:t>
            </w:r>
          </w:p>
        </w:tc>
        <w:tc>
          <w:tcPr>
            <w:tcW w:w="899" w:type="dxa"/>
          </w:tcPr>
          <w:p>
            <w:pPr>
              <w:pStyle w:val="TableParagraph"/>
              <w:spacing w:line="193" w:lineRule="exact"/>
              <w:ind w:left="221"/>
              <w:jc w:val="left"/>
              <w:rPr>
                <w:rFonts w:ascii="Palatino Linotype"/>
                <w:b/>
                <w:sz w:val="16"/>
              </w:rPr>
            </w:pPr>
            <w:r>
              <w:rPr>
                <w:rFonts w:ascii="Palatino Linotype"/>
                <w:b/>
                <w:color w:val="231F20"/>
                <w:sz w:val="16"/>
              </w:rPr>
              <w:t>11,875</w:t>
            </w:r>
          </w:p>
        </w:tc>
        <w:tc>
          <w:tcPr>
            <w:tcW w:w="930" w:type="dxa"/>
          </w:tcPr>
          <w:p>
            <w:pPr>
              <w:pStyle w:val="TableParagraph"/>
              <w:spacing w:line="193" w:lineRule="exact"/>
              <w:ind w:right="251"/>
              <w:jc w:val="right"/>
              <w:rPr>
                <w:rFonts w:ascii="Palatino Linotype"/>
                <w:b/>
                <w:sz w:val="16"/>
              </w:rPr>
            </w:pPr>
            <w:r>
              <w:rPr>
                <w:rFonts w:ascii="Palatino Linotype"/>
                <w:b/>
                <w:color w:val="231F20"/>
                <w:sz w:val="16"/>
              </w:rPr>
              <w:t>15,437</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17,951</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71,574</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65,499</w:t>
            </w:r>
          </w:p>
        </w:tc>
      </w:tr>
      <w:tr>
        <w:trPr>
          <w:trHeight w:val="216" w:hRule="exact"/>
        </w:trPr>
        <w:tc>
          <w:tcPr>
            <w:tcW w:w="1605" w:type="dxa"/>
          </w:tcPr>
          <w:p>
            <w:pPr>
              <w:pStyle w:val="TableParagraph"/>
              <w:spacing w:line="180" w:lineRule="exact"/>
              <w:ind w:left="113"/>
              <w:jc w:val="left"/>
              <w:rPr>
                <w:sz w:val="16"/>
              </w:rPr>
            </w:pPr>
            <w:r>
              <w:rPr>
                <w:color w:val="231F20"/>
                <w:sz w:val="16"/>
              </w:rPr>
              <w:t>Colima</w:t>
            </w:r>
          </w:p>
        </w:tc>
        <w:tc>
          <w:tcPr>
            <w:tcW w:w="980" w:type="dxa"/>
          </w:tcPr>
          <w:p>
            <w:pPr>
              <w:pStyle w:val="TableParagraph"/>
              <w:spacing w:line="180" w:lineRule="exact"/>
              <w:ind w:left="397" w:right="302"/>
              <w:rPr>
                <w:sz w:val="16"/>
              </w:rPr>
            </w:pPr>
            <w:r>
              <w:rPr>
                <w:color w:val="231F20"/>
                <w:sz w:val="16"/>
              </w:rPr>
              <w:t>15</w:t>
            </w:r>
          </w:p>
        </w:tc>
        <w:tc>
          <w:tcPr>
            <w:tcW w:w="899" w:type="dxa"/>
          </w:tcPr>
          <w:p>
            <w:pPr>
              <w:pStyle w:val="TableParagraph"/>
              <w:spacing w:line="180" w:lineRule="exact"/>
              <w:ind w:left="303" w:right="315"/>
              <w:rPr>
                <w:sz w:val="16"/>
              </w:rPr>
            </w:pPr>
            <w:r>
              <w:rPr>
                <w:color w:val="231F20"/>
                <w:sz w:val="16"/>
              </w:rPr>
              <w:t>30</w:t>
            </w:r>
          </w:p>
        </w:tc>
        <w:tc>
          <w:tcPr>
            <w:tcW w:w="930" w:type="dxa"/>
          </w:tcPr>
          <w:p>
            <w:pPr>
              <w:pStyle w:val="TableParagraph"/>
              <w:spacing w:line="180" w:lineRule="exact"/>
              <w:ind w:left="317" w:right="331"/>
              <w:rPr>
                <w:sz w:val="16"/>
              </w:rPr>
            </w:pPr>
            <w:r>
              <w:rPr>
                <w:color w:val="231F20"/>
                <w:sz w:val="16"/>
              </w:rPr>
              <w:t>51</w:t>
            </w:r>
          </w:p>
        </w:tc>
        <w:tc>
          <w:tcPr>
            <w:tcW w:w="950" w:type="dxa"/>
          </w:tcPr>
          <w:p>
            <w:pPr>
              <w:pStyle w:val="TableParagraph"/>
              <w:spacing w:line="180" w:lineRule="exact"/>
              <w:ind w:left="194" w:right="194"/>
              <w:rPr>
                <w:sz w:val="16"/>
              </w:rPr>
            </w:pPr>
            <w:r>
              <w:rPr>
                <w:color w:val="231F20"/>
                <w:sz w:val="16"/>
              </w:rPr>
              <w:t>59</w:t>
            </w:r>
          </w:p>
        </w:tc>
        <w:tc>
          <w:tcPr>
            <w:tcW w:w="896" w:type="dxa"/>
          </w:tcPr>
          <w:p>
            <w:pPr>
              <w:pStyle w:val="TableParagraph"/>
              <w:spacing w:line="180" w:lineRule="exact"/>
              <w:ind w:left="195" w:right="139"/>
              <w:rPr>
                <w:sz w:val="16"/>
              </w:rPr>
            </w:pPr>
            <w:r>
              <w:rPr>
                <w:color w:val="231F20"/>
                <w:sz w:val="16"/>
              </w:rPr>
              <w:t>162</w:t>
            </w:r>
          </w:p>
        </w:tc>
        <w:tc>
          <w:tcPr>
            <w:tcW w:w="930" w:type="dxa"/>
          </w:tcPr>
          <w:p>
            <w:pPr>
              <w:pStyle w:val="TableParagraph"/>
              <w:spacing w:line="180" w:lineRule="exact"/>
              <w:ind w:left="158"/>
              <w:jc w:val="left"/>
              <w:rPr>
                <w:sz w:val="16"/>
              </w:rPr>
            </w:pPr>
            <w:r>
              <w:rPr>
                <w:color w:val="231F20"/>
                <w:sz w:val="16"/>
              </w:rPr>
              <w:t>1,737</w:t>
            </w:r>
          </w:p>
        </w:tc>
      </w:tr>
      <w:tr>
        <w:trPr>
          <w:trHeight w:val="215" w:hRule="exact"/>
        </w:trPr>
        <w:tc>
          <w:tcPr>
            <w:tcW w:w="1605" w:type="dxa"/>
          </w:tcPr>
          <w:p>
            <w:pPr>
              <w:pStyle w:val="TableParagraph"/>
              <w:spacing w:line="180" w:lineRule="exact"/>
              <w:ind w:left="113"/>
              <w:jc w:val="left"/>
              <w:rPr>
                <w:sz w:val="16"/>
              </w:rPr>
            </w:pPr>
            <w:r>
              <w:rPr>
                <w:color w:val="231F20"/>
                <w:sz w:val="16"/>
              </w:rPr>
              <w:t>Chiapas</w:t>
            </w:r>
          </w:p>
        </w:tc>
        <w:tc>
          <w:tcPr>
            <w:tcW w:w="980" w:type="dxa"/>
          </w:tcPr>
          <w:p>
            <w:pPr>
              <w:pStyle w:val="TableParagraph"/>
              <w:spacing w:line="180" w:lineRule="exact"/>
              <w:ind w:left="397" w:right="302"/>
              <w:rPr>
                <w:sz w:val="16"/>
              </w:rPr>
            </w:pPr>
            <w:r>
              <w:rPr>
                <w:color w:val="231F20"/>
                <w:sz w:val="16"/>
              </w:rPr>
              <w:t>47</w:t>
            </w:r>
          </w:p>
        </w:tc>
        <w:tc>
          <w:tcPr>
            <w:tcW w:w="899" w:type="dxa"/>
          </w:tcPr>
          <w:p>
            <w:pPr>
              <w:pStyle w:val="TableParagraph"/>
              <w:spacing w:line="180" w:lineRule="exact"/>
              <w:ind w:left="303" w:right="315"/>
              <w:rPr>
                <w:sz w:val="16"/>
              </w:rPr>
            </w:pPr>
            <w:r>
              <w:rPr>
                <w:color w:val="231F20"/>
                <w:sz w:val="16"/>
              </w:rPr>
              <w:t>179</w:t>
            </w:r>
          </w:p>
        </w:tc>
        <w:tc>
          <w:tcPr>
            <w:tcW w:w="930" w:type="dxa"/>
          </w:tcPr>
          <w:p>
            <w:pPr>
              <w:pStyle w:val="TableParagraph"/>
              <w:spacing w:line="180" w:lineRule="exact"/>
              <w:ind w:left="317" w:right="331"/>
              <w:rPr>
                <w:sz w:val="16"/>
              </w:rPr>
            </w:pPr>
            <w:r>
              <w:rPr>
                <w:color w:val="231F20"/>
                <w:sz w:val="16"/>
              </w:rPr>
              <w:t>138</w:t>
            </w:r>
          </w:p>
        </w:tc>
        <w:tc>
          <w:tcPr>
            <w:tcW w:w="950" w:type="dxa"/>
          </w:tcPr>
          <w:p>
            <w:pPr>
              <w:pStyle w:val="TableParagraph"/>
              <w:spacing w:line="180" w:lineRule="exact"/>
              <w:ind w:left="194" w:right="194"/>
              <w:rPr>
                <w:sz w:val="16"/>
              </w:rPr>
            </w:pPr>
            <w:r>
              <w:rPr>
                <w:color w:val="231F20"/>
                <w:sz w:val="16"/>
              </w:rPr>
              <w:t>237</w:t>
            </w:r>
          </w:p>
        </w:tc>
        <w:tc>
          <w:tcPr>
            <w:tcW w:w="896" w:type="dxa"/>
          </w:tcPr>
          <w:p>
            <w:pPr>
              <w:pStyle w:val="TableParagraph"/>
              <w:spacing w:line="180" w:lineRule="exact"/>
              <w:ind w:left="195" w:right="139"/>
              <w:rPr>
                <w:sz w:val="16"/>
              </w:rPr>
            </w:pPr>
            <w:r>
              <w:rPr>
                <w:color w:val="231F20"/>
                <w:sz w:val="16"/>
              </w:rPr>
              <w:t>1,749</w:t>
            </w:r>
          </w:p>
        </w:tc>
        <w:tc>
          <w:tcPr>
            <w:tcW w:w="930" w:type="dxa"/>
          </w:tcPr>
          <w:p>
            <w:pPr>
              <w:pStyle w:val="TableParagraph"/>
              <w:spacing w:line="180" w:lineRule="exact"/>
              <w:ind w:left="158"/>
              <w:jc w:val="left"/>
              <w:rPr>
                <w:sz w:val="16"/>
              </w:rPr>
            </w:pPr>
            <w:r>
              <w:rPr>
                <w:color w:val="231F20"/>
                <w:sz w:val="16"/>
              </w:rPr>
              <w:t>4,294</w:t>
            </w:r>
          </w:p>
        </w:tc>
      </w:tr>
      <w:tr>
        <w:trPr>
          <w:trHeight w:val="215" w:hRule="exact"/>
        </w:trPr>
        <w:tc>
          <w:tcPr>
            <w:tcW w:w="1605" w:type="dxa"/>
          </w:tcPr>
          <w:p>
            <w:pPr>
              <w:pStyle w:val="TableParagraph"/>
              <w:spacing w:line="193" w:lineRule="exact"/>
              <w:ind w:left="113"/>
              <w:jc w:val="left"/>
              <w:rPr>
                <w:rFonts w:ascii="Palatino Linotype"/>
                <w:b/>
                <w:sz w:val="16"/>
              </w:rPr>
            </w:pPr>
            <w:r>
              <w:rPr>
                <w:rFonts w:ascii="Palatino Linotype"/>
                <w:b/>
                <w:color w:val="231F20"/>
                <w:sz w:val="16"/>
              </w:rPr>
              <w:t>Chihuahua</w:t>
            </w:r>
          </w:p>
        </w:tc>
        <w:tc>
          <w:tcPr>
            <w:tcW w:w="980" w:type="dxa"/>
          </w:tcPr>
          <w:p>
            <w:pPr>
              <w:pStyle w:val="TableParagraph"/>
              <w:spacing w:line="193" w:lineRule="exact"/>
              <w:ind w:left="357"/>
              <w:jc w:val="left"/>
              <w:rPr>
                <w:rFonts w:ascii="Palatino Linotype"/>
                <w:b/>
                <w:sz w:val="16"/>
              </w:rPr>
            </w:pPr>
            <w:r>
              <w:rPr>
                <w:rFonts w:ascii="Palatino Linotype"/>
                <w:b/>
                <w:color w:val="231F20"/>
                <w:sz w:val="16"/>
              </w:rPr>
              <w:t>1,454</w:t>
            </w:r>
          </w:p>
        </w:tc>
        <w:tc>
          <w:tcPr>
            <w:tcW w:w="899" w:type="dxa"/>
          </w:tcPr>
          <w:p>
            <w:pPr>
              <w:pStyle w:val="TableParagraph"/>
              <w:spacing w:line="193" w:lineRule="exact"/>
              <w:ind w:left="261"/>
              <w:jc w:val="left"/>
              <w:rPr>
                <w:rFonts w:ascii="Palatino Linotype"/>
                <w:b/>
                <w:sz w:val="16"/>
              </w:rPr>
            </w:pPr>
            <w:r>
              <w:rPr>
                <w:rFonts w:ascii="Palatino Linotype"/>
                <w:b/>
                <w:color w:val="231F20"/>
                <w:sz w:val="16"/>
              </w:rPr>
              <w:t>5,107</w:t>
            </w:r>
          </w:p>
        </w:tc>
        <w:tc>
          <w:tcPr>
            <w:tcW w:w="930" w:type="dxa"/>
          </w:tcPr>
          <w:p>
            <w:pPr>
              <w:pStyle w:val="TableParagraph"/>
              <w:spacing w:line="193" w:lineRule="exact"/>
              <w:ind w:right="291"/>
              <w:jc w:val="right"/>
              <w:rPr>
                <w:rFonts w:ascii="Palatino Linotype"/>
                <w:b/>
                <w:sz w:val="16"/>
              </w:rPr>
            </w:pPr>
            <w:r>
              <w:rPr>
                <w:rFonts w:ascii="Palatino Linotype"/>
                <w:b/>
                <w:color w:val="231F20"/>
                <w:sz w:val="16"/>
              </w:rPr>
              <w:t>7,979</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13,147</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161,461</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110,838</w:t>
            </w:r>
          </w:p>
        </w:tc>
      </w:tr>
      <w:tr>
        <w:trPr>
          <w:trHeight w:val="216" w:hRule="exact"/>
        </w:trPr>
        <w:tc>
          <w:tcPr>
            <w:tcW w:w="1605" w:type="dxa"/>
          </w:tcPr>
          <w:p>
            <w:pPr>
              <w:pStyle w:val="TableParagraph"/>
              <w:spacing w:line="180" w:lineRule="exact"/>
              <w:ind w:left="113"/>
              <w:jc w:val="left"/>
              <w:rPr>
                <w:sz w:val="16"/>
              </w:rPr>
            </w:pPr>
            <w:r>
              <w:rPr>
                <w:color w:val="231F20"/>
                <w:sz w:val="16"/>
              </w:rPr>
              <w:t>Distrito Federal</w:t>
            </w:r>
          </w:p>
        </w:tc>
        <w:tc>
          <w:tcPr>
            <w:tcW w:w="980" w:type="dxa"/>
          </w:tcPr>
          <w:p>
            <w:pPr>
              <w:pStyle w:val="TableParagraph"/>
              <w:spacing w:line="180" w:lineRule="exact"/>
              <w:ind w:left="327"/>
              <w:jc w:val="left"/>
              <w:rPr>
                <w:sz w:val="16"/>
              </w:rPr>
            </w:pPr>
            <w:r>
              <w:rPr>
                <w:color w:val="231F20"/>
                <w:sz w:val="16"/>
              </w:rPr>
              <w:t>27,604</w:t>
            </w:r>
          </w:p>
        </w:tc>
        <w:tc>
          <w:tcPr>
            <w:tcW w:w="899" w:type="dxa"/>
          </w:tcPr>
          <w:p>
            <w:pPr>
              <w:pStyle w:val="TableParagraph"/>
              <w:spacing w:line="180" w:lineRule="exact"/>
              <w:ind w:left="231"/>
              <w:jc w:val="left"/>
              <w:rPr>
                <w:sz w:val="16"/>
              </w:rPr>
            </w:pPr>
            <w:r>
              <w:rPr>
                <w:color w:val="231F20"/>
                <w:sz w:val="16"/>
              </w:rPr>
              <w:t>28,898</w:t>
            </w:r>
          </w:p>
        </w:tc>
        <w:tc>
          <w:tcPr>
            <w:tcW w:w="930" w:type="dxa"/>
          </w:tcPr>
          <w:p>
            <w:pPr>
              <w:pStyle w:val="TableParagraph"/>
              <w:spacing w:line="180" w:lineRule="exact"/>
              <w:ind w:right="261"/>
              <w:jc w:val="right"/>
              <w:rPr>
                <w:sz w:val="16"/>
              </w:rPr>
            </w:pPr>
            <w:r>
              <w:rPr>
                <w:color w:val="231F20"/>
                <w:w w:val="95"/>
                <w:sz w:val="16"/>
              </w:rPr>
              <w:t>27,330</w:t>
            </w:r>
          </w:p>
        </w:tc>
        <w:tc>
          <w:tcPr>
            <w:tcW w:w="950" w:type="dxa"/>
          </w:tcPr>
          <w:p>
            <w:pPr>
              <w:pStyle w:val="TableParagraph"/>
              <w:spacing w:line="180" w:lineRule="exact"/>
              <w:ind w:left="194" w:right="194"/>
              <w:rPr>
                <w:sz w:val="16"/>
              </w:rPr>
            </w:pPr>
            <w:r>
              <w:rPr>
                <w:color w:val="231F20"/>
                <w:sz w:val="16"/>
              </w:rPr>
              <w:t>18,590</w:t>
            </w:r>
          </w:p>
        </w:tc>
        <w:tc>
          <w:tcPr>
            <w:tcW w:w="896" w:type="dxa"/>
          </w:tcPr>
          <w:p>
            <w:pPr>
              <w:pStyle w:val="TableParagraph"/>
              <w:spacing w:line="180" w:lineRule="exact"/>
              <w:ind w:left="195" w:right="139"/>
              <w:rPr>
                <w:sz w:val="16"/>
              </w:rPr>
            </w:pPr>
            <w:r>
              <w:rPr>
                <w:color w:val="231F20"/>
                <w:sz w:val="16"/>
              </w:rPr>
              <w:t>15,158</w:t>
            </w:r>
          </w:p>
        </w:tc>
        <w:tc>
          <w:tcPr>
            <w:tcW w:w="930" w:type="dxa"/>
          </w:tcPr>
          <w:p>
            <w:pPr>
              <w:pStyle w:val="TableParagraph"/>
              <w:spacing w:line="180" w:lineRule="exact"/>
              <w:ind w:left="158"/>
              <w:jc w:val="left"/>
              <w:rPr>
                <w:sz w:val="16"/>
              </w:rPr>
            </w:pPr>
            <w:r>
              <w:rPr>
                <w:color w:val="231F20"/>
                <w:sz w:val="16"/>
              </w:rPr>
              <w:t>13,969</w:t>
            </w:r>
          </w:p>
        </w:tc>
      </w:tr>
      <w:tr>
        <w:trPr>
          <w:trHeight w:val="215" w:hRule="exact"/>
        </w:trPr>
        <w:tc>
          <w:tcPr>
            <w:tcW w:w="1605" w:type="dxa"/>
          </w:tcPr>
          <w:p>
            <w:pPr>
              <w:pStyle w:val="TableParagraph"/>
              <w:spacing w:line="180" w:lineRule="exact"/>
              <w:ind w:left="113"/>
              <w:jc w:val="left"/>
              <w:rPr>
                <w:sz w:val="16"/>
              </w:rPr>
            </w:pPr>
            <w:r>
              <w:rPr>
                <w:color w:val="231F20"/>
                <w:w w:val="105"/>
                <w:sz w:val="16"/>
              </w:rPr>
              <w:t>Durango</w:t>
            </w:r>
          </w:p>
        </w:tc>
        <w:tc>
          <w:tcPr>
            <w:tcW w:w="980" w:type="dxa"/>
          </w:tcPr>
          <w:p>
            <w:pPr>
              <w:pStyle w:val="TableParagraph"/>
              <w:spacing w:line="180" w:lineRule="exact"/>
              <w:ind w:left="95"/>
              <w:rPr>
                <w:sz w:val="16"/>
              </w:rPr>
            </w:pPr>
            <w:r>
              <w:rPr>
                <w:color w:val="231F20"/>
                <w:w w:val="96"/>
                <w:sz w:val="16"/>
              </w:rPr>
              <w:t>0</w:t>
            </w:r>
          </w:p>
        </w:tc>
        <w:tc>
          <w:tcPr>
            <w:tcW w:w="899" w:type="dxa"/>
          </w:tcPr>
          <w:p>
            <w:pPr>
              <w:pStyle w:val="TableParagraph"/>
              <w:spacing w:line="180" w:lineRule="exact"/>
              <w:ind w:left="270"/>
              <w:jc w:val="left"/>
              <w:rPr>
                <w:sz w:val="16"/>
              </w:rPr>
            </w:pPr>
            <w:r>
              <w:rPr>
                <w:color w:val="231F20"/>
                <w:sz w:val="16"/>
              </w:rPr>
              <w:t>1,090</w:t>
            </w:r>
          </w:p>
        </w:tc>
        <w:tc>
          <w:tcPr>
            <w:tcW w:w="930" w:type="dxa"/>
          </w:tcPr>
          <w:p>
            <w:pPr>
              <w:pStyle w:val="TableParagraph"/>
              <w:spacing w:line="180" w:lineRule="exact"/>
              <w:ind w:right="299"/>
              <w:jc w:val="right"/>
              <w:rPr>
                <w:sz w:val="16"/>
              </w:rPr>
            </w:pPr>
            <w:r>
              <w:rPr>
                <w:color w:val="231F20"/>
                <w:w w:val="95"/>
                <w:sz w:val="16"/>
              </w:rPr>
              <w:t>1,113</w:t>
            </w:r>
          </w:p>
        </w:tc>
        <w:tc>
          <w:tcPr>
            <w:tcW w:w="950" w:type="dxa"/>
          </w:tcPr>
          <w:p>
            <w:pPr>
              <w:pStyle w:val="TableParagraph"/>
              <w:spacing w:line="180" w:lineRule="exact"/>
              <w:ind w:left="194" w:right="194"/>
              <w:rPr>
                <w:sz w:val="16"/>
              </w:rPr>
            </w:pPr>
            <w:r>
              <w:rPr>
                <w:color w:val="231F20"/>
                <w:sz w:val="16"/>
              </w:rPr>
              <w:t>1,132</w:t>
            </w:r>
          </w:p>
        </w:tc>
        <w:tc>
          <w:tcPr>
            <w:tcW w:w="896" w:type="dxa"/>
          </w:tcPr>
          <w:p>
            <w:pPr>
              <w:pStyle w:val="TableParagraph"/>
              <w:spacing w:line="180" w:lineRule="exact"/>
              <w:ind w:left="195" w:right="139"/>
              <w:rPr>
                <w:sz w:val="16"/>
              </w:rPr>
            </w:pPr>
            <w:r>
              <w:rPr>
                <w:color w:val="231F20"/>
                <w:sz w:val="16"/>
              </w:rPr>
              <w:t>2,264</w:t>
            </w:r>
          </w:p>
        </w:tc>
        <w:tc>
          <w:tcPr>
            <w:tcW w:w="930" w:type="dxa"/>
          </w:tcPr>
          <w:p>
            <w:pPr>
              <w:pStyle w:val="TableParagraph"/>
              <w:spacing w:line="180" w:lineRule="exact"/>
              <w:ind w:left="158"/>
              <w:jc w:val="left"/>
              <w:rPr>
                <w:sz w:val="16"/>
              </w:rPr>
            </w:pPr>
            <w:r>
              <w:rPr>
                <w:color w:val="231F20"/>
                <w:sz w:val="16"/>
              </w:rPr>
              <w:t>5,870</w:t>
            </w:r>
          </w:p>
        </w:tc>
      </w:tr>
      <w:tr>
        <w:trPr>
          <w:trHeight w:val="215" w:hRule="exact"/>
        </w:trPr>
        <w:tc>
          <w:tcPr>
            <w:tcW w:w="1605" w:type="dxa"/>
          </w:tcPr>
          <w:p>
            <w:pPr>
              <w:pStyle w:val="TableParagraph"/>
              <w:spacing w:line="193" w:lineRule="exact"/>
              <w:ind w:left="113"/>
              <w:jc w:val="left"/>
              <w:rPr>
                <w:rFonts w:ascii="Palatino Linotype"/>
                <w:b/>
                <w:sz w:val="16"/>
              </w:rPr>
            </w:pPr>
            <w:r>
              <w:rPr>
                <w:rFonts w:ascii="Palatino Linotype"/>
                <w:b/>
                <w:color w:val="231F20"/>
                <w:sz w:val="16"/>
              </w:rPr>
              <w:t>Guanajuato</w:t>
            </w:r>
          </w:p>
        </w:tc>
        <w:tc>
          <w:tcPr>
            <w:tcW w:w="980" w:type="dxa"/>
          </w:tcPr>
          <w:p>
            <w:pPr>
              <w:pStyle w:val="TableParagraph"/>
              <w:spacing w:line="193" w:lineRule="exact"/>
              <w:ind w:left="357"/>
              <w:jc w:val="left"/>
              <w:rPr>
                <w:rFonts w:ascii="Palatino Linotype"/>
                <w:b/>
                <w:sz w:val="16"/>
              </w:rPr>
            </w:pPr>
            <w:r>
              <w:rPr>
                <w:rFonts w:ascii="Palatino Linotype"/>
                <w:b/>
                <w:color w:val="231F20"/>
                <w:sz w:val="16"/>
              </w:rPr>
              <w:t>3,998</w:t>
            </w:r>
          </w:p>
        </w:tc>
        <w:tc>
          <w:tcPr>
            <w:tcW w:w="899" w:type="dxa"/>
          </w:tcPr>
          <w:p>
            <w:pPr>
              <w:pStyle w:val="TableParagraph"/>
              <w:spacing w:line="193" w:lineRule="exact"/>
              <w:ind w:left="261"/>
              <w:jc w:val="left"/>
              <w:rPr>
                <w:rFonts w:ascii="Palatino Linotype"/>
                <w:b/>
                <w:sz w:val="16"/>
              </w:rPr>
            </w:pPr>
            <w:r>
              <w:rPr>
                <w:rFonts w:ascii="Palatino Linotype"/>
                <w:b/>
                <w:color w:val="231F20"/>
                <w:sz w:val="16"/>
              </w:rPr>
              <w:t>6,129</w:t>
            </w:r>
          </w:p>
        </w:tc>
        <w:tc>
          <w:tcPr>
            <w:tcW w:w="930" w:type="dxa"/>
          </w:tcPr>
          <w:p>
            <w:pPr>
              <w:pStyle w:val="TableParagraph"/>
              <w:spacing w:line="193" w:lineRule="exact"/>
              <w:ind w:right="291"/>
              <w:jc w:val="right"/>
              <w:rPr>
                <w:rFonts w:ascii="Palatino Linotype"/>
                <w:b/>
                <w:sz w:val="16"/>
              </w:rPr>
            </w:pPr>
            <w:r>
              <w:rPr>
                <w:rFonts w:ascii="Palatino Linotype"/>
                <w:b/>
                <w:color w:val="231F20"/>
                <w:sz w:val="16"/>
              </w:rPr>
              <w:t>7,238</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16,286</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20,077</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19,619</w:t>
            </w:r>
          </w:p>
        </w:tc>
      </w:tr>
      <w:tr>
        <w:trPr>
          <w:trHeight w:val="216" w:hRule="exact"/>
        </w:trPr>
        <w:tc>
          <w:tcPr>
            <w:tcW w:w="1605" w:type="dxa"/>
          </w:tcPr>
          <w:p>
            <w:pPr>
              <w:pStyle w:val="TableParagraph"/>
              <w:spacing w:line="180" w:lineRule="exact"/>
              <w:ind w:left="113"/>
              <w:jc w:val="left"/>
              <w:rPr>
                <w:sz w:val="16"/>
              </w:rPr>
            </w:pPr>
            <w:r>
              <w:rPr>
                <w:color w:val="231F20"/>
                <w:w w:val="105"/>
                <w:sz w:val="16"/>
              </w:rPr>
              <w:t>Guerrero</w:t>
            </w:r>
          </w:p>
        </w:tc>
        <w:tc>
          <w:tcPr>
            <w:tcW w:w="980" w:type="dxa"/>
          </w:tcPr>
          <w:p>
            <w:pPr>
              <w:pStyle w:val="TableParagraph"/>
              <w:spacing w:line="180" w:lineRule="exact"/>
              <w:ind w:left="397" w:right="302"/>
              <w:rPr>
                <w:sz w:val="16"/>
              </w:rPr>
            </w:pPr>
            <w:r>
              <w:rPr>
                <w:color w:val="231F20"/>
                <w:sz w:val="16"/>
              </w:rPr>
              <w:t>29</w:t>
            </w:r>
          </w:p>
        </w:tc>
        <w:tc>
          <w:tcPr>
            <w:tcW w:w="899" w:type="dxa"/>
          </w:tcPr>
          <w:p>
            <w:pPr>
              <w:pStyle w:val="TableParagraph"/>
              <w:spacing w:line="180" w:lineRule="exact"/>
              <w:ind w:left="303" w:right="315"/>
              <w:rPr>
                <w:sz w:val="16"/>
              </w:rPr>
            </w:pPr>
            <w:r>
              <w:rPr>
                <w:color w:val="231F20"/>
                <w:sz w:val="16"/>
              </w:rPr>
              <w:t>23</w:t>
            </w:r>
          </w:p>
        </w:tc>
        <w:tc>
          <w:tcPr>
            <w:tcW w:w="930" w:type="dxa"/>
          </w:tcPr>
          <w:p>
            <w:pPr>
              <w:pStyle w:val="TableParagraph"/>
              <w:spacing w:line="180" w:lineRule="exact"/>
              <w:ind w:left="317" w:right="331"/>
              <w:rPr>
                <w:sz w:val="16"/>
              </w:rPr>
            </w:pPr>
            <w:r>
              <w:rPr>
                <w:color w:val="231F20"/>
                <w:sz w:val="16"/>
              </w:rPr>
              <w:t>33</w:t>
            </w:r>
          </w:p>
        </w:tc>
        <w:tc>
          <w:tcPr>
            <w:tcW w:w="950" w:type="dxa"/>
          </w:tcPr>
          <w:p>
            <w:pPr>
              <w:pStyle w:val="TableParagraph"/>
              <w:spacing w:line="180" w:lineRule="exact"/>
              <w:ind w:left="194" w:right="194"/>
              <w:rPr>
                <w:sz w:val="16"/>
              </w:rPr>
            </w:pPr>
            <w:r>
              <w:rPr>
                <w:color w:val="231F20"/>
                <w:sz w:val="16"/>
              </w:rPr>
              <w:t>73</w:t>
            </w:r>
          </w:p>
        </w:tc>
        <w:tc>
          <w:tcPr>
            <w:tcW w:w="896" w:type="dxa"/>
          </w:tcPr>
          <w:p>
            <w:pPr>
              <w:pStyle w:val="TableParagraph"/>
              <w:spacing w:line="180" w:lineRule="exact"/>
              <w:ind w:left="195" w:right="139"/>
              <w:rPr>
                <w:sz w:val="16"/>
              </w:rPr>
            </w:pPr>
            <w:r>
              <w:rPr>
                <w:color w:val="231F20"/>
                <w:sz w:val="16"/>
              </w:rPr>
              <w:t>130</w:t>
            </w:r>
          </w:p>
        </w:tc>
        <w:tc>
          <w:tcPr>
            <w:tcW w:w="930" w:type="dxa"/>
          </w:tcPr>
          <w:p>
            <w:pPr>
              <w:pStyle w:val="TableParagraph"/>
              <w:spacing w:line="180" w:lineRule="exact"/>
              <w:ind w:left="158"/>
              <w:jc w:val="left"/>
              <w:rPr>
                <w:sz w:val="16"/>
              </w:rPr>
            </w:pPr>
            <w:r>
              <w:rPr>
                <w:color w:val="231F20"/>
                <w:sz w:val="16"/>
              </w:rPr>
              <w:t>38</w:t>
            </w:r>
          </w:p>
        </w:tc>
      </w:tr>
      <w:tr>
        <w:trPr>
          <w:trHeight w:val="215" w:hRule="exact"/>
        </w:trPr>
        <w:tc>
          <w:tcPr>
            <w:tcW w:w="1605" w:type="dxa"/>
          </w:tcPr>
          <w:p>
            <w:pPr>
              <w:pStyle w:val="TableParagraph"/>
              <w:spacing w:line="180" w:lineRule="exact"/>
              <w:ind w:left="113"/>
              <w:jc w:val="left"/>
              <w:rPr>
                <w:sz w:val="16"/>
              </w:rPr>
            </w:pPr>
            <w:r>
              <w:rPr>
                <w:color w:val="231F20"/>
                <w:sz w:val="16"/>
              </w:rPr>
              <w:t>Hidalgo</w:t>
            </w:r>
          </w:p>
        </w:tc>
        <w:tc>
          <w:tcPr>
            <w:tcW w:w="980" w:type="dxa"/>
          </w:tcPr>
          <w:p>
            <w:pPr>
              <w:pStyle w:val="TableParagraph"/>
              <w:spacing w:line="180" w:lineRule="exact"/>
              <w:ind w:left="366"/>
              <w:jc w:val="left"/>
              <w:rPr>
                <w:sz w:val="16"/>
              </w:rPr>
            </w:pPr>
            <w:r>
              <w:rPr>
                <w:color w:val="231F20"/>
                <w:sz w:val="16"/>
              </w:rPr>
              <w:t>6,747</w:t>
            </w:r>
          </w:p>
        </w:tc>
        <w:tc>
          <w:tcPr>
            <w:tcW w:w="899" w:type="dxa"/>
          </w:tcPr>
          <w:p>
            <w:pPr>
              <w:pStyle w:val="TableParagraph"/>
              <w:spacing w:line="180" w:lineRule="exact"/>
              <w:ind w:left="270"/>
              <w:jc w:val="left"/>
              <w:rPr>
                <w:sz w:val="16"/>
              </w:rPr>
            </w:pPr>
            <w:r>
              <w:rPr>
                <w:color w:val="231F20"/>
                <w:sz w:val="16"/>
              </w:rPr>
              <w:t>9,106</w:t>
            </w:r>
          </w:p>
        </w:tc>
        <w:tc>
          <w:tcPr>
            <w:tcW w:w="930" w:type="dxa"/>
          </w:tcPr>
          <w:p>
            <w:pPr>
              <w:pStyle w:val="TableParagraph"/>
              <w:spacing w:line="180" w:lineRule="exact"/>
              <w:ind w:right="299"/>
              <w:jc w:val="right"/>
              <w:rPr>
                <w:sz w:val="16"/>
              </w:rPr>
            </w:pPr>
            <w:r>
              <w:rPr>
                <w:color w:val="231F20"/>
                <w:w w:val="95"/>
                <w:sz w:val="16"/>
              </w:rPr>
              <w:t>5,217</w:t>
            </w:r>
          </w:p>
        </w:tc>
        <w:tc>
          <w:tcPr>
            <w:tcW w:w="950" w:type="dxa"/>
          </w:tcPr>
          <w:p>
            <w:pPr>
              <w:pStyle w:val="TableParagraph"/>
              <w:spacing w:line="180" w:lineRule="exact"/>
              <w:ind w:left="194" w:right="194"/>
              <w:rPr>
                <w:sz w:val="16"/>
              </w:rPr>
            </w:pPr>
            <w:r>
              <w:rPr>
                <w:color w:val="231F20"/>
                <w:sz w:val="16"/>
              </w:rPr>
              <w:t>2,895</w:t>
            </w:r>
          </w:p>
        </w:tc>
        <w:tc>
          <w:tcPr>
            <w:tcW w:w="896" w:type="dxa"/>
          </w:tcPr>
          <w:p>
            <w:pPr>
              <w:pStyle w:val="TableParagraph"/>
              <w:spacing w:line="180" w:lineRule="exact"/>
              <w:ind w:left="195" w:right="139"/>
              <w:rPr>
                <w:sz w:val="16"/>
              </w:rPr>
            </w:pPr>
            <w:r>
              <w:rPr>
                <w:color w:val="231F20"/>
                <w:sz w:val="16"/>
              </w:rPr>
              <w:t>1,329</w:t>
            </w:r>
          </w:p>
        </w:tc>
        <w:tc>
          <w:tcPr>
            <w:tcW w:w="930" w:type="dxa"/>
          </w:tcPr>
          <w:p>
            <w:pPr>
              <w:pStyle w:val="TableParagraph"/>
              <w:spacing w:line="180" w:lineRule="exact"/>
              <w:ind w:left="158"/>
              <w:jc w:val="left"/>
              <w:rPr>
                <w:sz w:val="16"/>
              </w:rPr>
            </w:pPr>
            <w:r>
              <w:rPr>
                <w:color w:val="231F20"/>
                <w:sz w:val="16"/>
              </w:rPr>
              <w:t>3,538</w:t>
            </w:r>
          </w:p>
        </w:tc>
      </w:tr>
      <w:tr>
        <w:trPr>
          <w:trHeight w:val="215" w:hRule="exact"/>
        </w:trPr>
        <w:tc>
          <w:tcPr>
            <w:tcW w:w="1605" w:type="dxa"/>
          </w:tcPr>
          <w:p>
            <w:pPr>
              <w:pStyle w:val="TableParagraph"/>
              <w:spacing w:line="180" w:lineRule="exact"/>
              <w:ind w:left="113"/>
              <w:jc w:val="left"/>
              <w:rPr>
                <w:sz w:val="16"/>
              </w:rPr>
            </w:pPr>
            <w:r>
              <w:rPr>
                <w:color w:val="231F20"/>
                <w:sz w:val="16"/>
              </w:rPr>
              <w:t>Jalisco</w:t>
            </w:r>
          </w:p>
        </w:tc>
        <w:tc>
          <w:tcPr>
            <w:tcW w:w="980" w:type="dxa"/>
          </w:tcPr>
          <w:p>
            <w:pPr>
              <w:pStyle w:val="TableParagraph"/>
              <w:spacing w:line="180" w:lineRule="exact"/>
              <w:ind w:left="366"/>
              <w:jc w:val="left"/>
              <w:rPr>
                <w:sz w:val="16"/>
              </w:rPr>
            </w:pPr>
            <w:r>
              <w:rPr>
                <w:color w:val="231F20"/>
                <w:sz w:val="16"/>
              </w:rPr>
              <w:t>3,605</w:t>
            </w:r>
          </w:p>
        </w:tc>
        <w:tc>
          <w:tcPr>
            <w:tcW w:w="899" w:type="dxa"/>
          </w:tcPr>
          <w:p>
            <w:pPr>
              <w:pStyle w:val="TableParagraph"/>
              <w:spacing w:line="180" w:lineRule="exact"/>
              <w:ind w:left="270"/>
              <w:jc w:val="left"/>
              <w:rPr>
                <w:sz w:val="16"/>
              </w:rPr>
            </w:pPr>
            <w:r>
              <w:rPr>
                <w:color w:val="231F20"/>
                <w:sz w:val="16"/>
              </w:rPr>
              <w:t>9,132</w:t>
            </w:r>
          </w:p>
        </w:tc>
        <w:tc>
          <w:tcPr>
            <w:tcW w:w="930" w:type="dxa"/>
          </w:tcPr>
          <w:p>
            <w:pPr>
              <w:pStyle w:val="TableParagraph"/>
              <w:spacing w:line="180" w:lineRule="exact"/>
              <w:ind w:right="261"/>
              <w:jc w:val="right"/>
              <w:rPr>
                <w:sz w:val="16"/>
              </w:rPr>
            </w:pPr>
            <w:r>
              <w:rPr>
                <w:color w:val="231F20"/>
                <w:w w:val="95"/>
                <w:sz w:val="16"/>
              </w:rPr>
              <w:t>10,276</w:t>
            </w:r>
          </w:p>
        </w:tc>
        <w:tc>
          <w:tcPr>
            <w:tcW w:w="950" w:type="dxa"/>
          </w:tcPr>
          <w:p>
            <w:pPr>
              <w:pStyle w:val="TableParagraph"/>
              <w:spacing w:line="180" w:lineRule="exact"/>
              <w:ind w:left="194" w:right="194"/>
              <w:rPr>
                <w:sz w:val="16"/>
              </w:rPr>
            </w:pPr>
            <w:r>
              <w:rPr>
                <w:color w:val="231F20"/>
                <w:sz w:val="16"/>
              </w:rPr>
              <w:t>15,241</w:t>
            </w:r>
          </w:p>
        </w:tc>
        <w:tc>
          <w:tcPr>
            <w:tcW w:w="896" w:type="dxa"/>
          </w:tcPr>
          <w:p>
            <w:pPr>
              <w:pStyle w:val="TableParagraph"/>
              <w:spacing w:line="180" w:lineRule="exact"/>
              <w:ind w:left="195" w:right="139"/>
              <w:rPr>
                <w:sz w:val="16"/>
              </w:rPr>
            </w:pPr>
            <w:r>
              <w:rPr>
                <w:color w:val="231F20"/>
                <w:sz w:val="16"/>
              </w:rPr>
              <w:t>15,267</w:t>
            </w:r>
          </w:p>
        </w:tc>
        <w:tc>
          <w:tcPr>
            <w:tcW w:w="930" w:type="dxa"/>
          </w:tcPr>
          <w:p>
            <w:pPr>
              <w:pStyle w:val="TableParagraph"/>
              <w:spacing w:line="180" w:lineRule="exact"/>
              <w:ind w:left="158"/>
              <w:jc w:val="left"/>
              <w:rPr>
                <w:sz w:val="16"/>
              </w:rPr>
            </w:pPr>
            <w:r>
              <w:rPr>
                <w:color w:val="231F20"/>
                <w:sz w:val="16"/>
              </w:rPr>
              <w:t>11,773</w:t>
            </w:r>
          </w:p>
        </w:tc>
      </w:tr>
      <w:tr>
        <w:trPr>
          <w:trHeight w:val="215" w:hRule="exact"/>
        </w:trPr>
        <w:tc>
          <w:tcPr>
            <w:tcW w:w="1605" w:type="dxa"/>
          </w:tcPr>
          <w:p>
            <w:pPr>
              <w:pStyle w:val="TableParagraph"/>
              <w:spacing w:line="193" w:lineRule="exact"/>
              <w:ind w:left="113"/>
              <w:jc w:val="left"/>
              <w:rPr>
                <w:rFonts w:ascii="Palatino Linotype" w:hAnsi="Palatino Linotype"/>
                <w:b/>
                <w:sz w:val="16"/>
              </w:rPr>
            </w:pPr>
            <w:r>
              <w:rPr>
                <w:rFonts w:ascii="Palatino Linotype" w:hAnsi="Palatino Linotype"/>
                <w:b/>
                <w:color w:val="231F20"/>
                <w:sz w:val="16"/>
              </w:rPr>
              <w:t>México</w:t>
            </w:r>
          </w:p>
        </w:tc>
        <w:tc>
          <w:tcPr>
            <w:tcW w:w="980" w:type="dxa"/>
          </w:tcPr>
          <w:p>
            <w:pPr>
              <w:pStyle w:val="TableParagraph"/>
              <w:spacing w:line="193" w:lineRule="exact"/>
              <w:ind w:left="317"/>
              <w:jc w:val="left"/>
              <w:rPr>
                <w:rFonts w:ascii="Palatino Linotype"/>
                <w:b/>
                <w:sz w:val="16"/>
              </w:rPr>
            </w:pPr>
            <w:r>
              <w:rPr>
                <w:rFonts w:ascii="Palatino Linotype"/>
                <w:b/>
                <w:color w:val="231F20"/>
                <w:sz w:val="16"/>
              </w:rPr>
              <w:t>42,361</w:t>
            </w:r>
          </w:p>
        </w:tc>
        <w:tc>
          <w:tcPr>
            <w:tcW w:w="899" w:type="dxa"/>
          </w:tcPr>
          <w:p>
            <w:pPr>
              <w:pStyle w:val="TableParagraph"/>
              <w:spacing w:line="193" w:lineRule="exact"/>
              <w:ind w:left="221"/>
              <w:jc w:val="left"/>
              <w:rPr>
                <w:rFonts w:ascii="Palatino Linotype"/>
                <w:b/>
                <w:sz w:val="16"/>
              </w:rPr>
            </w:pPr>
            <w:r>
              <w:rPr>
                <w:rFonts w:ascii="Palatino Linotype"/>
                <w:b/>
                <w:color w:val="231F20"/>
                <w:sz w:val="16"/>
              </w:rPr>
              <w:t>44,206</w:t>
            </w:r>
          </w:p>
        </w:tc>
        <w:tc>
          <w:tcPr>
            <w:tcW w:w="930" w:type="dxa"/>
          </w:tcPr>
          <w:p>
            <w:pPr>
              <w:pStyle w:val="TableParagraph"/>
              <w:spacing w:line="193" w:lineRule="exact"/>
              <w:ind w:right="251"/>
              <w:jc w:val="right"/>
              <w:rPr>
                <w:rFonts w:ascii="Palatino Linotype"/>
                <w:b/>
                <w:sz w:val="16"/>
              </w:rPr>
            </w:pPr>
            <w:r>
              <w:rPr>
                <w:rFonts w:ascii="Palatino Linotype"/>
                <w:b/>
                <w:color w:val="231F20"/>
                <w:sz w:val="16"/>
              </w:rPr>
              <w:t>48,042</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47,170</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44,291</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45,449</w:t>
            </w:r>
          </w:p>
        </w:tc>
      </w:tr>
      <w:tr>
        <w:trPr>
          <w:trHeight w:val="216" w:hRule="exact"/>
        </w:trPr>
        <w:tc>
          <w:tcPr>
            <w:tcW w:w="1605" w:type="dxa"/>
          </w:tcPr>
          <w:p>
            <w:pPr>
              <w:pStyle w:val="TableParagraph"/>
              <w:spacing w:line="180" w:lineRule="exact"/>
              <w:ind w:left="113"/>
              <w:jc w:val="left"/>
              <w:rPr>
                <w:sz w:val="16"/>
              </w:rPr>
            </w:pPr>
            <w:r>
              <w:rPr>
                <w:color w:val="231F20"/>
                <w:sz w:val="16"/>
              </w:rPr>
              <w:t>Michoacán</w:t>
            </w:r>
          </w:p>
        </w:tc>
        <w:tc>
          <w:tcPr>
            <w:tcW w:w="980" w:type="dxa"/>
          </w:tcPr>
          <w:p>
            <w:pPr>
              <w:pStyle w:val="TableParagraph"/>
              <w:spacing w:line="180" w:lineRule="exact"/>
              <w:ind w:left="397" w:right="302"/>
              <w:rPr>
                <w:sz w:val="16"/>
              </w:rPr>
            </w:pPr>
            <w:r>
              <w:rPr>
                <w:color w:val="231F20"/>
                <w:sz w:val="16"/>
              </w:rPr>
              <w:t>237</w:t>
            </w:r>
          </w:p>
        </w:tc>
        <w:tc>
          <w:tcPr>
            <w:tcW w:w="899" w:type="dxa"/>
          </w:tcPr>
          <w:p>
            <w:pPr>
              <w:pStyle w:val="TableParagraph"/>
              <w:spacing w:line="180" w:lineRule="exact"/>
              <w:ind w:left="303" w:right="315"/>
              <w:rPr>
                <w:sz w:val="16"/>
              </w:rPr>
            </w:pPr>
            <w:r>
              <w:rPr>
                <w:color w:val="231F20"/>
                <w:sz w:val="16"/>
              </w:rPr>
              <w:t>495</w:t>
            </w:r>
          </w:p>
        </w:tc>
        <w:tc>
          <w:tcPr>
            <w:tcW w:w="930" w:type="dxa"/>
          </w:tcPr>
          <w:p>
            <w:pPr>
              <w:pStyle w:val="TableParagraph"/>
              <w:spacing w:line="180" w:lineRule="exact"/>
              <w:ind w:left="317" w:right="331"/>
              <w:rPr>
                <w:sz w:val="16"/>
              </w:rPr>
            </w:pPr>
            <w:r>
              <w:rPr>
                <w:color w:val="231F20"/>
                <w:sz w:val="16"/>
              </w:rPr>
              <w:t>422</w:t>
            </w:r>
          </w:p>
        </w:tc>
        <w:tc>
          <w:tcPr>
            <w:tcW w:w="950" w:type="dxa"/>
          </w:tcPr>
          <w:p>
            <w:pPr>
              <w:pStyle w:val="TableParagraph"/>
              <w:spacing w:line="180" w:lineRule="exact"/>
              <w:ind w:left="194" w:right="194"/>
              <w:rPr>
                <w:sz w:val="16"/>
              </w:rPr>
            </w:pPr>
            <w:r>
              <w:rPr>
                <w:color w:val="231F20"/>
                <w:sz w:val="16"/>
              </w:rPr>
              <w:t>499</w:t>
            </w:r>
          </w:p>
        </w:tc>
        <w:tc>
          <w:tcPr>
            <w:tcW w:w="896" w:type="dxa"/>
          </w:tcPr>
          <w:p>
            <w:pPr>
              <w:pStyle w:val="TableParagraph"/>
              <w:spacing w:line="180" w:lineRule="exact"/>
              <w:ind w:left="195" w:right="139"/>
              <w:rPr>
                <w:sz w:val="16"/>
              </w:rPr>
            </w:pPr>
            <w:r>
              <w:rPr>
                <w:color w:val="231F20"/>
                <w:sz w:val="16"/>
              </w:rPr>
              <w:t>589</w:t>
            </w:r>
          </w:p>
        </w:tc>
        <w:tc>
          <w:tcPr>
            <w:tcW w:w="930" w:type="dxa"/>
          </w:tcPr>
          <w:p>
            <w:pPr>
              <w:pStyle w:val="TableParagraph"/>
              <w:spacing w:line="180" w:lineRule="exact"/>
              <w:ind w:left="158"/>
              <w:jc w:val="left"/>
              <w:rPr>
                <w:sz w:val="16"/>
              </w:rPr>
            </w:pPr>
            <w:r>
              <w:rPr>
                <w:color w:val="231F20"/>
                <w:sz w:val="16"/>
              </w:rPr>
              <w:t>372</w:t>
            </w:r>
          </w:p>
        </w:tc>
      </w:tr>
      <w:tr>
        <w:trPr>
          <w:trHeight w:val="215" w:hRule="exact"/>
        </w:trPr>
        <w:tc>
          <w:tcPr>
            <w:tcW w:w="1605" w:type="dxa"/>
          </w:tcPr>
          <w:p>
            <w:pPr>
              <w:pStyle w:val="TableParagraph"/>
              <w:spacing w:line="180" w:lineRule="exact"/>
              <w:ind w:left="113"/>
              <w:jc w:val="left"/>
              <w:rPr>
                <w:sz w:val="16"/>
              </w:rPr>
            </w:pPr>
            <w:r>
              <w:rPr>
                <w:color w:val="231F20"/>
                <w:sz w:val="16"/>
              </w:rPr>
              <w:t>Morelos</w:t>
            </w:r>
          </w:p>
        </w:tc>
        <w:tc>
          <w:tcPr>
            <w:tcW w:w="980" w:type="dxa"/>
          </w:tcPr>
          <w:p>
            <w:pPr>
              <w:pStyle w:val="TableParagraph"/>
              <w:spacing w:line="180" w:lineRule="exact"/>
              <w:ind w:left="366"/>
              <w:jc w:val="left"/>
              <w:rPr>
                <w:sz w:val="16"/>
              </w:rPr>
            </w:pPr>
            <w:r>
              <w:rPr>
                <w:color w:val="231F20"/>
                <w:sz w:val="16"/>
              </w:rPr>
              <w:t>4,049</w:t>
            </w:r>
          </w:p>
        </w:tc>
        <w:tc>
          <w:tcPr>
            <w:tcW w:w="899" w:type="dxa"/>
          </w:tcPr>
          <w:p>
            <w:pPr>
              <w:pStyle w:val="TableParagraph"/>
              <w:spacing w:line="180" w:lineRule="exact"/>
              <w:ind w:left="270"/>
              <w:jc w:val="left"/>
              <w:rPr>
                <w:sz w:val="16"/>
              </w:rPr>
            </w:pPr>
            <w:r>
              <w:rPr>
                <w:color w:val="231F20"/>
                <w:sz w:val="16"/>
              </w:rPr>
              <w:t>4,951</w:t>
            </w:r>
          </w:p>
        </w:tc>
        <w:tc>
          <w:tcPr>
            <w:tcW w:w="930" w:type="dxa"/>
          </w:tcPr>
          <w:p>
            <w:pPr>
              <w:pStyle w:val="TableParagraph"/>
              <w:spacing w:line="180" w:lineRule="exact"/>
              <w:ind w:right="299"/>
              <w:jc w:val="right"/>
              <w:rPr>
                <w:sz w:val="16"/>
              </w:rPr>
            </w:pPr>
            <w:r>
              <w:rPr>
                <w:color w:val="231F20"/>
                <w:w w:val="95"/>
                <w:sz w:val="16"/>
              </w:rPr>
              <w:t>6,781</w:t>
            </w:r>
          </w:p>
        </w:tc>
        <w:tc>
          <w:tcPr>
            <w:tcW w:w="950" w:type="dxa"/>
          </w:tcPr>
          <w:p>
            <w:pPr>
              <w:pStyle w:val="TableParagraph"/>
              <w:spacing w:line="180" w:lineRule="exact"/>
              <w:ind w:left="194" w:right="194"/>
              <w:rPr>
                <w:sz w:val="16"/>
              </w:rPr>
            </w:pPr>
            <w:r>
              <w:rPr>
                <w:color w:val="231F20"/>
                <w:sz w:val="16"/>
              </w:rPr>
              <w:t>3,929</w:t>
            </w:r>
          </w:p>
        </w:tc>
        <w:tc>
          <w:tcPr>
            <w:tcW w:w="896" w:type="dxa"/>
          </w:tcPr>
          <w:p>
            <w:pPr>
              <w:pStyle w:val="TableParagraph"/>
              <w:spacing w:line="180" w:lineRule="exact"/>
              <w:ind w:left="195" w:right="139"/>
              <w:rPr>
                <w:sz w:val="16"/>
              </w:rPr>
            </w:pPr>
            <w:r>
              <w:rPr>
                <w:color w:val="231F20"/>
                <w:sz w:val="16"/>
              </w:rPr>
              <w:t>4,869</w:t>
            </w:r>
          </w:p>
        </w:tc>
        <w:tc>
          <w:tcPr>
            <w:tcW w:w="930" w:type="dxa"/>
          </w:tcPr>
          <w:p>
            <w:pPr>
              <w:pStyle w:val="TableParagraph"/>
              <w:spacing w:line="180" w:lineRule="exact"/>
              <w:ind w:left="158"/>
              <w:jc w:val="left"/>
              <w:rPr>
                <w:sz w:val="16"/>
              </w:rPr>
            </w:pPr>
            <w:r>
              <w:rPr>
                <w:color w:val="231F20"/>
                <w:sz w:val="16"/>
              </w:rPr>
              <w:t>4,054</w:t>
            </w:r>
          </w:p>
        </w:tc>
      </w:tr>
      <w:tr>
        <w:trPr>
          <w:trHeight w:val="215" w:hRule="exact"/>
        </w:trPr>
        <w:tc>
          <w:tcPr>
            <w:tcW w:w="1605" w:type="dxa"/>
          </w:tcPr>
          <w:p>
            <w:pPr>
              <w:pStyle w:val="TableParagraph"/>
              <w:spacing w:line="180" w:lineRule="exact"/>
              <w:ind w:left="113"/>
              <w:jc w:val="left"/>
              <w:rPr>
                <w:sz w:val="16"/>
              </w:rPr>
            </w:pPr>
            <w:r>
              <w:rPr>
                <w:color w:val="231F20"/>
                <w:sz w:val="16"/>
              </w:rPr>
              <w:t>Nayarit</w:t>
            </w:r>
          </w:p>
        </w:tc>
        <w:tc>
          <w:tcPr>
            <w:tcW w:w="980" w:type="dxa"/>
          </w:tcPr>
          <w:p>
            <w:pPr>
              <w:pStyle w:val="TableParagraph"/>
              <w:spacing w:line="180" w:lineRule="exact"/>
              <w:ind w:left="397" w:right="302"/>
              <w:rPr>
                <w:sz w:val="16"/>
              </w:rPr>
            </w:pPr>
            <w:r>
              <w:rPr>
                <w:color w:val="231F20"/>
                <w:sz w:val="16"/>
              </w:rPr>
              <w:t>31</w:t>
            </w:r>
          </w:p>
        </w:tc>
        <w:tc>
          <w:tcPr>
            <w:tcW w:w="899" w:type="dxa"/>
          </w:tcPr>
          <w:p>
            <w:pPr>
              <w:pStyle w:val="TableParagraph"/>
              <w:spacing w:line="180" w:lineRule="exact"/>
              <w:ind w:left="303" w:right="315"/>
              <w:rPr>
                <w:sz w:val="16"/>
              </w:rPr>
            </w:pPr>
            <w:r>
              <w:rPr>
                <w:color w:val="231F20"/>
                <w:sz w:val="16"/>
              </w:rPr>
              <w:t>24</w:t>
            </w:r>
          </w:p>
        </w:tc>
        <w:tc>
          <w:tcPr>
            <w:tcW w:w="930" w:type="dxa"/>
          </w:tcPr>
          <w:p>
            <w:pPr>
              <w:pStyle w:val="TableParagraph"/>
              <w:spacing w:line="180" w:lineRule="exact"/>
              <w:ind w:left="317" w:right="331"/>
              <w:rPr>
                <w:sz w:val="16"/>
              </w:rPr>
            </w:pPr>
            <w:r>
              <w:rPr>
                <w:color w:val="231F20"/>
                <w:sz w:val="16"/>
              </w:rPr>
              <w:t>55</w:t>
            </w:r>
          </w:p>
        </w:tc>
        <w:tc>
          <w:tcPr>
            <w:tcW w:w="950" w:type="dxa"/>
          </w:tcPr>
          <w:p>
            <w:pPr>
              <w:pStyle w:val="TableParagraph"/>
              <w:spacing w:line="180" w:lineRule="exact"/>
              <w:ind w:left="194" w:right="194"/>
              <w:rPr>
                <w:sz w:val="16"/>
              </w:rPr>
            </w:pPr>
            <w:r>
              <w:rPr>
                <w:color w:val="231F20"/>
                <w:sz w:val="16"/>
              </w:rPr>
              <w:t>50</w:t>
            </w:r>
          </w:p>
        </w:tc>
        <w:tc>
          <w:tcPr>
            <w:tcW w:w="896" w:type="dxa"/>
          </w:tcPr>
          <w:p>
            <w:pPr>
              <w:pStyle w:val="TableParagraph"/>
              <w:spacing w:line="180" w:lineRule="exact"/>
              <w:ind w:left="195" w:right="139"/>
              <w:rPr>
                <w:sz w:val="16"/>
              </w:rPr>
            </w:pPr>
            <w:r>
              <w:rPr>
                <w:color w:val="231F20"/>
                <w:sz w:val="16"/>
              </w:rPr>
              <w:t>37</w:t>
            </w:r>
          </w:p>
        </w:tc>
        <w:tc>
          <w:tcPr>
            <w:tcW w:w="930" w:type="dxa"/>
          </w:tcPr>
          <w:p>
            <w:pPr>
              <w:pStyle w:val="TableParagraph"/>
              <w:spacing w:line="180" w:lineRule="exact"/>
              <w:ind w:left="158"/>
              <w:jc w:val="left"/>
              <w:rPr>
                <w:sz w:val="16"/>
              </w:rPr>
            </w:pPr>
            <w:r>
              <w:rPr>
                <w:color w:val="231F20"/>
                <w:sz w:val="16"/>
              </w:rPr>
              <w:t>19</w:t>
            </w:r>
          </w:p>
        </w:tc>
      </w:tr>
      <w:tr>
        <w:trPr>
          <w:trHeight w:val="215" w:hRule="exact"/>
        </w:trPr>
        <w:tc>
          <w:tcPr>
            <w:tcW w:w="1605" w:type="dxa"/>
          </w:tcPr>
          <w:p>
            <w:pPr>
              <w:pStyle w:val="TableParagraph"/>
              <w:spacing w:line="193" w:lineRule="exact"/>
              <w:ind w:left="113"/>
              <w:jc w:val="left"/>
              <w:rPr>
                <w:rFonts w:ascii="Palatino Linotype" w:hAnsi="Palatino Linotype"/>
                <w:b/>
                <w:sz w:val="16"/>
              </w:rPr>
            </w:pPr>
            <w:r>
              <w:rPr>
                <w:rFonts w:ascii="Palatino Linotype" w:hAnsi="Palatino Linotype"/>
                <w:b/>
                <w:color w:val="231F20"/>
                <w:w w:val="90"/>
                <w:sz w:val="16"/>
              </w:rPr>
              <w:t>Nuevo León</w:t>
            </w:r>
          </w:p>
        </w:tc>
        <w:tc>
          <w:tcPr>
            <w:tcW w:w="980" w:type="dxa"/>
          </w:tcPr>
          <w:p>
            <w:pPr>
              <w:pStyle w:val="TableParagraph"/>
              <w:spacing w:line="193" w:lineRule="exact"/>
              <w:ind w:left="357"/>
              <w:jc w:val="left"/>
              <w:rPr>
                <w:rFonts w:ascii="Palatino Linotype"/>
                <w:b/>
                <w:sz w:val="16"/>
              </w:rPr>
            </w:pPr>
            <w:r>
              <w:rPr>
                <w:rFonts w:ascii="Palatino Linotype"/>
                <w:b/>
                <w:color w:val="231F20"/>
                <w:sz w:val="16"/>
              </w:rPr>
              <w:t>8,765</w:t>
            </w:r>
          </w:p>
        </w:tc>
        <w:tc>
          <w:tcPr>
            <w:tcW w:w="899" w:type="dxa"/>
          </w:tcPr>
          <w:p>
            <w:pPr>
              <w:pStyle w:val="TableParagraph"/>
              <w:spacing w:line="193" w:lineRule="exact"/>
              <w:ind w:left="221"/>
              <w:jc w:val="left"/>
              <w:rPr>
                <w:rFonts w:ascii="Palatino Linotype"/>
                <w:b/>
                <w:sz w:val="16"/>
              </w:rPr>
            </w:pPr>
            <w:r>
              <w:rPr>
                <w:rFonts w:ascii="Palatino Linotype"/>
                <w:b/>
                <w:color w:val="231F20"/>
                <w:sz w:val="16"/>
              </w:rPr>
              <w:t>11,700</w:t>
            </w:r>
          </w:p>
        </w:tc>
        <w:tc>
          <w:tcPr>
            <w:tcW w:w="930" w:type="dxa"/>
          </w:tcPr>
          <w:p>
            <w:pPr>
              <w:pStyle w:val="TableParagraph"/>
              <w:spacing w:line="193" w:lineRule="exact"/>
              <w:ind w:right="251"/>
              <w:jc w:val="right"/>
              <w:rPr>
                <w:rFonts w:ascii="Palatino Linotype"/>
                <w:b/>
                <w:sz w:val="16"/>
              </w:rPr>
            </w:pPr>
            <w:r>
              <w:rPr>
                <w:rFonts w:ascii="Palatino Linotype"/>
                <w:b/>
                <w:color w:val="231F20"/>
                <w:sz w:val="16"/>
              </w:rPr>
              <w:t>11,796</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16,833</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40,864</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42,134</w:t>
            </w:r>
          </w:p>
        </w:tc>
      </w:tr>
      <w:tr>
        <w:trPr>
          <w:trHeight w:val="216" w:hRule="exact"/>
        </w:trPr>
        <w:tc>
          <w:tcPr>
            <w:tcW w:w="1605" w:type="dxa"/>
          </w:tcPr>
          <w:p>
            <w:pPr>
              <w:pStyle w:val="TableParagraph"/>
              <w:spacing w:line="180" w:lineRule="exact"/>
              <w:ind w:left="113"/>
              <w:jc w:val="left"/>
              <w:rPr>
                <w:sz w:val="16"/>
              </w:rPr>
            </w:pPr>
            <w:r>
              <w:rPr>
                <w:color w:val="231F20"/>
                <w:sz w:val="16"/>
              </w:rPr>
              <w:t>Oaxaca</w:t>
            </w:r>
          </w:p>
        </w:tc>
        <w:tc>
          <w:tcPr>
            <w:tcW w:w="980" w:type="dxa"/>
          </w:tcPr>
          <w:p>
            <w:pPr>
              <w:pStyle w:val="TableParagraph"/>
              <w:spacing w:line="180" w:lineRule="exact"/>
              <w:ind w:left="397" w:right="302"/>
              <w:rPr>
                <w:sz w:val="16"/>
              </w:rPr>
            </w:pPr>
            <w:r>
              <w:rPr>
                <w:color w:val="231F20"/>
                <w:sz w:val="16"/>
              </w:rPr>
              <w:t>366</w:t>
            </w:r>
          </w:p>
        </w:tc>
        <w:tc>
          <w:tcPr>
            <w:tcW w:w="899" w:type="dxa"/>
          </w:tcPr>
          <w:p>
            <w:pPr>
              <w:pStyle w:val="TableParagraph"/>
              <w:spacing w:line="180" w:lineRule="exact"/>
              <w:ind w:left="303" w:right="315"/>
              <w:rPr>
                <w:sz w:val="16"/>
              </w:rPr>
            </w:pPr>
            <w:r>
              <w:rPr>
                <w:color w:val="231F20"/>
                <w:sz w:val="16"/>
              </w:rPr>
              <w:t>538</w:t>
            </w:r>
          </w:p>
        </w:tc>
        <w:tc>
          <w:tcPr>
            <w:tcW w:w="930" w:type="dxa"/>
          </w:tcPr>
          <w:p>
            <w:pPr>
              <w:pStyle w:val="TableParagraph"/>
              <w:spacing w:line="180" w:lineRule="exact"/>
              <w:ind w:left="317" w:right="331"/>
              <w:rPr>
                <w:sz w:val="16"/>
              </w:rPr>
            </w:pPr>
            <w:r>
              <w:rPr>
                <w:color w:val="231F20"/>
                <w:sz w:val="16"/>
              </w:rPr>
              <w:t>964</w:t>
            </w:r>
          </w:p>
        </w:tc>
        <w:tc>
          <w:tcPr>
            <w:tcW w:w="950" w:type="dxa"/>
          </w:tcPr>
          <w:p>
            <w:pPr>
              <w:pStyle w:val="TableParagraph"/>
              <w:spacing w:line="180" w:lineRule="exact"/>
              <w:ind w:left="194" w:right="194"/>
              <w:rPr>
                <w:sz w:val="16"/>
              </w:rPr>
            </w:pPr>
            <w:r>
              <w:rPr>
                <w:color w:val="231F20"/>
                <w:sz w:val="16"/>
              </w:rPr>
              <w:t>336</w:t>
            </w:r>
          </w:p>
        </w:tc>
        <w:tc>
          <w:tcPr>
            <w:tcW w:w="896" w:type="dxa"/>
          </w:tcPr>
          <w:p>
            <w:pPr>
              <w:pStyle w:val="TableParagraph"/>
              <w:spacing w:line="180" w:lineRule="exact"/>
              <w:ind w:left="195" w:right="139"/>
              <w:rPr>
                <w:sz w:val="16"/>
              </w:rPr>
            </w:pPr>
            <w:r>
              <w:rPr>
                <w:color w:val="231F20"/>
                <w:sz w:val="16"/>
              </w:rPr>
              <w:t>91</w:t>
            </w:r>
          </w:p>
        </w:tc>
        <w:tc>
          <w:tcPr>
            <w:tcW w:w="930" w:type="dxa"/>
          </w:tcPr>
          <w:p>
            <w:pPr>
              <w:pStyle w:val="TableParagraph"/>
              <w:spacing w:line="180" w:lineRule="exact"/>
              <w:ind w:left="158"/>
              <w:jc w:val="left"/>
              <w:rPr>
                <w:sz w:val="16"/>
              </w:rPr>
            </w:pPr>
            <w:r>
              <w:rPr>
                <w:color w:val="231F20"/>
                <w:sz w:val="16"/>
              </w:rPr>
              <w:t>62</w:t>
            </w:r>
          </w:p>
        </w:tc>
      </w:tr>
      <w:tr>
        <w:trPr>
          <w:trHeight w:val="215" w:hRule="exact"/>
        </w:trPr>
        <w:tc>
          <w:tcPr>
            <w:tcW w:w="1605" w:type="dxa"/>
          </w:tcPr>
          <w:p>
            <w:pPr>
              <w:pStyle w:val="TableParagraph"/>
              <w:spacing w:line="180" w:lineRule="exact"/>
              <w:ind w:left="113"/>
              <w:jc w:val="left"/>
              <w:rPr>
                <w:sz w:val="16"/>
              </w:rPr>
            </w:pPr>
            <w:r>
              <w:rPr>
                <w:color w:val="231F20"/>
                <w:sz w:val="16"/>
              </w:rPr>
              <w:t>Puebla</w:t>
            </w:r>
          </w:p>
        </w:tc>
        <w:tc>
          <w:tcPr>
            <w:tcW w:w="980" w:type="dxa"/>
          </w:tcPr>
          <w:p>
            <w:pPr>
              <w:pStyle w:val="TableParagraph"/>
              <w:spacing w:line="180" w:lineRule="exact"/>
              <w:ind w:left="327"/>
              <w:jc w:val="left"/>
              <w:rPr>
                <w:sz w:val="16"/>
              </w:rPr>
            </w:pPr>
            <w:r>
              <w:rPr>
                <w:color w:val="231F20"/>
                <w:sz w:val="16"/>
              </w:rPr>
              <w:t>16,028</w:t>
            </w:r>
          </w:p>
        </w:tc>
        <w:tc>
          <w:tcPr>
            <w:tcW w:w="899" w:type="dxa"/>
          </w:tcPr>
          <w:p>
            <w:pPr>
              <w:pStyle w:val="TableParagraph"/>
              <w:spacing w:line="180" w:lineRule="exact"/>
              <w:ind w:left="231"/>
              <w:jc w:val="left"/>
              <w:rPr>
                <w:sz w:val="16"/>
              </w:rPr>
            </w:pPr>
            <w:r>
              <w:rPr>
                <w:color w:val="231F20"/>
                <w:sz w:val="16"/>
              </w:rPr>
              <w:t>13,424</w:t>
            </w:r>
          </w:p>
        </w:tc>
        <w:tc>
          <w:tcPr>
            <w:tcW w:w="930" w:type="dxa"/>
          </w:tcPr>
          <w:p>
            <w:pPr>
              <w:pStyle w:val="TableParagraph"/>
              <w:spacing w:line="180" w:lineRule="exact"/>
              <w:ind w:right="261"/>
              <w:jc w:val="right"/>
              <w:rPr>
                <w:sz w:val="16"/>
              </w:rPr>
            </w:pPr>
            <w:r>
              <w:rPr>
                <w:color w:val="231F20"/>
                <w:w w:val="95"/>
                <w:sz w:val="16"/>
              </w:rPr>
              <w:t>18,710</w:t>
            </w:r>
          </w:p>
        </w:tc>
        <w:tc>
          <w:tcPr>
            <w:tcW w:w="950" w:type="dxa"/>
          </w:tcPr>
          <w:p>
            <w:pPr>
              <w:pStyle w:val="TableParagraph"/>
              <w:spacing w:line="180" w:lineRule="exact"/>
              <w:ind w:left="194" w:right="194"/>
              <w:rPr>
                <w:sz w:val="16"/>
              </w:rPr>
            </w:pPr>
            <w:r>
              <w:rPr>
                <w:color w:val="231F20"/>
                <w:sz w:val="16"/>
              </w:rPr>
              <w:t>24,379</w:t>
            </w:r>
          </w:p>
        </w:tc>
        <w:tc>
          <w:tcPr>
            <w:tcW w:w="896" w:type="dxa"/>
          </w:tcPr>
          <w:p>
            <w:pPr>
              <w:pStyle w:val="TableParagraph"/>
              <w:spacing w:line="180" w:lineRule="exact"/>
              <w:ind w:left="195" w:right="139"/>
              <w:rPr>
                <w:sz w:val="16"/>
              </w:rPr>
            </w:pPr>
            <w:r>
              <w:rPr>
                <w:color w:val="231F20"/>
                <w:sz w:val="16"/>
              </w:rPr>
              <w:t>25,721</w:t>
            </w:r>
          </w:p>
        </w:tc>
        <w:tc>
          <w:tcPr>
            <w:tcW w:w="930" w:type="dxa"/>
          </w:tcPr>
          <w:p>
            <w:pPr>
              <w:pStyle w:val="TableParagraph"/>
              <w:spacing w:line="180" w:lineRule="exact"/>
              <w:ind w:left="158"/>
              <w:jc w:val="left"/>
              <w:rPr>
                <w:sz w:val="16"/>
              </w:rPr>
            </w:pPr>
            <w:r>
              <w:rPr>
                <w:color w:val="231F20"/>
                <w:sz w:val="16"/>
              </w:rPr>
              <w:t>36,774</w:t>
            </w:r>
          </w:p>
        </w:tc>
      </w:tr>
      <w:tr>
        <w:trPr>
          <w:trHeight w:val="215" w:hRule="exact"/>
        </w:trPr>
        <w:tc>
          <w:tcPr>
            <w:tcW w:w="1605" w:type="dxa"/>
          </w:tcPr>
          <w:p>
            <w:pPr>
              <w:pStyle w:val="TableParagraph"/>
              <w:spacing w:line="193" w:lineRule="exact"/>
              <w:ind w:left="113"/>
              <w:jc w:val="left"/>
              <w:rPr>
                <w:rFonts w:ascii="Palatino Linotype" w:hAnsi="Palatino Linotype"/>
                <w:b/>
                <w:sz w:val="16"/>
              </w:rPr>
            </w:pPr>
            <w:r>
              <w:rPr>
                <w:rFonts w:ascii="Palatino Linotype" w:hAnsi="Palatino Linotype"/>
                <w:b/>
                <w:color w:val="231F20"/>
                <w:sz w:val="16"/>
              </w:rPr>
              <w:t>Querétaro</w:t>
            </w:r>
          </w:p>
        </w:tc>
        <w:tc>
          <w:tcPr>
            <w:tcW w:w="980" w:type="dxa"/>
          </w:tcPr>
          <w:p>
            <w:pPr>
              <w:pStyle w:val="TableParagraph"/>
              <w:spacing w:line="193" w:lineRule="exact"/>
              <w:ind w:left="357"/>
              <w:jc w:val="left"/>
              <w:rPr>
                <w:rFonts w:ascii="Palatino Linotype"/>
                <w:b/>
                <w:sz w:val="16"/>
              </w:rPr>
            </w:pPr>
            <w:r>
              <w:rPr>
                <w:rFonts w:ascii="Palatino Linotype"/>
                <w:b/>
                <w:color w:val="231F20"/>
                <w:sz w:val="16"/>
              </w:rPr>
              <w:t>5,683</w:t>
            </w:r>
          </w:p>
        </w:tc>
        <w:tc>
          <w:tcPr>
            <w:tcW w:w="899" w:type="dxa"/>
          </w:tcPr>
          <w:p>
            <w:pPr>
              <w:pStyle w:val="TableParagraph"/>
              <w:spacing w:line="193" w:lineRule="exact"/>
              <w:ind w:left="261"/>
              <w:jc w:val="left"/>
              <w:rPr>
                <w:rFonts w:ascii="Palatino Linotype"/>
                <w:b/>
                <w:sz w:val="16"/>
              </w:rPr>
            </w:pPr>
            <w:r>
              <w:rPr>
                <w:rFonts w:ascii="Palatino Linotype"/>
                <w:b/>
                <w:color w:val="231F20"/>
                <w:sz w:val="16"/>
              </w:rPr>
              <w:t>6,393</w:t>
            </w:r>
          </w:p>
        </w:tc>
        <w:tc>
          <w:tcPr>
            <w:tcW w:w="930" w:type="dxa"/>
          </w:tcPr>
          <w:p>
            <w:pPr>
              <w:pStyle w:val="TableParagraph"/>
              <w:spacing w:line="193" w:lineRule="exact"/>
              <w:ind w:right="291"/>
              <w:jc w:val="right"/>
              <w:rPr>
                <w:rFonts w:ascii="Palatino Linotype"/>
                <w:b/>
                <w:sz w:val="16"/>
              </w:rPr>
            </w:pPr>
            <w:r>
              <w:rPr>
                <w:rFonts w:ascii="Palatino Linotype"/>
                <w:b/>
                <w:color w:val="231F20"/>
                <w:sz w:val="16"/>
              </w:rPr>
              <w:t>6,510</w:t>
            </w:r>
          </w:p>
        </w:tc>
        <w:tc>
          <w:tcPr>
            <w:tcW w:w="950" w:type="dxa"/>
          </w:tcPr>
          <w:p>
            <w:pPr>
              <w:pStyle w:val="TableParagraph"/>
              <w:spacing w:line="193" w:lineRule="exact"/>
              <w:ind w:left="194" w:right="194"/>
              <w:rPr>
                <w:rFonts w:ascii="Palatino Linotype"/>
                <w:b/>
                <w:sz w:val="16"/>
              </w:rPr>
            </w:pPr>
            <w:r>
              <w:rPr>
                <w:rFonts w:ascii="Palatino Linotype"/>
                <w:b/>
                <w:color w:val="231F20"/>
                <w:sz w:val="16"/>
              </w:rPr>
              <w:t>8,526</w:t>
            </w:r>
          </w:p>
        </w:tc>
        <w:tc>
          <w:tcPr>
            <w:tcW w:w="896" w:type="dxa"/>
          </w:tcPr>
          <w:p>
            <w:pPr>
              <w:pStyle w:val="TableParagraph"/>
              <w:spacing w:line="193" w:lineRule="exact"/>
              <w:ind w:left="195" w:right="139"/>
              <w:rPr>
                <w:rFonts w:ascii="Palatino Linotype"/>
                <w:b/>
                <w:sz w:val="16"/>
              </w:rPr>
            </w:pPr>
            <w:r>
              <w:rPr>
                <w:rFonts w:ascii="Palatino Linotype"/>
                <w:b/>
                <w:color w:val="231F20"/>
                <w:sz w:val="16"/>
              </w:rPr>
              <w:t>16,270</w:t>
            </w:r>
          </w:p>
        </w:tc>
        <w:tc>
          <w:tcPr>
            <w:tcW w:w="930" w:type="dxa"/>
          </w:tcPr>
          <w:p>
            <w:pPr>
              <w:pStyle w:val="TableParagraph"/>
              <w:spacing w:line="193" w:lineRule="exact"/>
              <w:ind w:left="158"/>
              <w:jc w:val="left"/>
              <w:rPr>
                <w:rFonts w:ascii="Palatino Linotype"/>
                <w:b/>
                <w:sz w:val="16"/>
              </w:rPr>
            </w:pPr>
            <w:r>
              <w:rPr>
                <w:rFonts w:ascii="Palatino Linotype"/>
                <w:b/>
                <w:color w:val="231F20"/>
                <w:sz w:val="16"/>
              </w:rPr>
              <w:t>24,265</w:t>
            </w:r>
          </w:p>
        </w:tc>
      </w:tr>
      <w:tr>
        <w:trPr>
          <w:trHeight w:val="216" w:hRule="exact"/>
        </w:trPr>
        <w:tc>
          <w:tcPr>
            <w:tcW w:w="1605" w:type="dxa"/>
          </w:tcPr>
          <w:p>
            <w:pPr>
              <w:pStyle w:val="TableParagraph"/>
              <w:spacing w:line="180" w:lineRule="exact"/>
              <w:ind w:left="113"/>
              <w:jc w:val="left"/>
              <w:rPr>
                <w:sz w:val="16"/>
              </w:rPr>
            </w:pPr>
            <w:r>
              <w:rPr>
                <w:color w:val="231F20"/>
                <w:sz w:val="16"/>
              </w:rPr>
              <w:t>Quintana Roo</w:t>
            </w:r>
          </w:p>
        </w:tc>
        <w:tc>
          <w:tcPr>
            <w:tcW w:w="980" w:type="dxa"/>
          </w:tcPr>
          <w:p>
            <w:pPr>
              <w:pStyle w:val="TableParagraph"/>
              <w:spacing w:line="180" w:lineRule="exact"/>
              <w:ind w:left="95"/>
              <w:rPr>
                <w:sz w:val="16"/>
              </w:rPr>
            </w:pPr>
            <w:r>
              <w:rPr>
                <w:color w:val="231F20"/>
                <w:w w:val="96"/>
                <w:sz w:val="16"/>
              </w:rPr>
              <w:t>0</w:t>
            </w:r>
          </w:p>
        </w:tc>
        <w:tc>
          <w:tcPr>
            <w:tcW w:w="899" w:type="dxa"/>
          </w:tcPr>
          <w:p>
            <w:pPr>
              <w:pStyle w:val="TableParagraph"/>
              <w:spacing w:line="180" w:lineRule="exact"/>
              <w:ind w:left="303" w:right="315"/>
              <w:rPr>
                <w:sz w:val="16"/>
              </w:rPr>
            </w:pPr>
            <w:r>
              <w:rPr>
                <w:color w:val="231F20"/>
                <w:sz w:val="16"/>
              </w:rPr>
              <w:t>11</w:t>
            </w:r>
          </w:p>
        </w:tc>
        <w:tc>
          <w:tcPr>
            <w:tcW w:w="930" w:type="dxa"/>
          </w:tcPr>
          <w:p>
            <w:pPr>
              <w:pStyle w:val="TableParagraph"/>
              <w:spacing w:line="180" w:lineRule="exact"/>
              <w:ind w:right="14"/>
              <w:rPr>
                <w:sz w:val="16"/>
              </w:rPr>
            </w:pPr>
            <w:r>
              <w:rPr>
                <w:color w:val="231F20"/>
                <w:w w:val="96"/>
                <w:sz w:val="16"/>
              </w:rPr>
              <w:t>2</w:t>
            </w:r>
          </w:p>
        </w:tc>
        <w:tc>
          <w:tcPr>
            <w:tcW w:w="950" w:type="dxa"/>
          </w:tcPr>
          <w:p>
            <w:pPr>
              <w:pStyle w:val="TableParagraph"/>
              <w:spacing w:line="180" w:lineRule="exact"/>
              <w:ind w:left="194" w:right="194"/>
              <w:rPr>
                <w:sz w:val="16"/>
              </w:rPr>
            </w:pPr>
            <w:r>
              <w:rPr>
                <w:color w:val="231F20"/>
                <w:sz w:val="16"/>
              </w:rPr>
              <w:t>39</w:t>
            </w:r>
          </w:p>
        </w:tc>
        <w:tc>
          <w:tcPr>
            <w:tcW w:w="896" w:type="dxa"/>
          </w:tcPr>
          <w:p>
            <w:pPr>
              <w:pStyle w:val="TableParagraph"/>
              <w:spacing w:line="180" w:lineRule="exact"/>
              <w:ind w:left="56"/>
              <w:rPr>
                <w:sz w:val="16"/>
              </w:rPr>
            </w:pPr>
            <w:r>
              <w:rPr>
                <w:color w:val="231F20"/>
                <w:w w:val="96"/>
                <w:sz w:val="16"/>
              </w:rPr>
              <w:t>8</w:t>
            </w:r>
          </w:p>
        </w:tc>
        <w:tc>
          <w:tcPr>
            <w:tcW w:w="930" w:type="dxa"/>
          </w:tcPr>
          <w:p>
            <w:pPr>
              <w:pStyle w:val="TableParagraph"/>
              <w:spacing w:line="180" w:lineRule="exact"/>
              <w:ind w:left="158"/>
              <w:jc w:val="left"/>
              <w:rPr>
                <w:sz w:val="16"/>
              </w:rPr>
            </w:pPr>
            <w:r>
              <w:rPr>
                <w:color w:val="231F20"/>
                <w:w w:val="96"/>
                <w:sz w:val="16"/>
              </w:rPr>
              <w:t>5</w:t>
            </w:r>
          </w:p>
        </w:tc>
      </w:tr>
      <w:tr>
        <w:trPr>
          <w:trHeight w:val="215" w:hRule="exact"/>
        </w:trPr>
        <w:tc>
          <w:tcPr>
            <w:tcW w:w="1605" w:type="dxa"/>
          </w:tcPr>
          <w:p>
            <w:pPr>
              <w:pStyle w:val="TableParagraph"/>
              <w:spacing w:line="180" w:lineRule="exact"/>
              <w:ind w:left="113"/>
              <w:jc w:val="left"/>
              <w:rPr>
                <w:sz w:val="16"/>
              </w:rPr>
            </w:pPr>
            <w:r>
              <w:rPr>
                <w:color w:val="231F20"/>
                <w:sz w:val="16"/>
              </w:rPr>
              <w:t>San Luis Potosí</w:t>
            </w:r>
          </w:p>
        </w:tc>
        <w:tc>
          <w:tcPr>
            <w:tcW w:w="980" w:type="dxa"/>
          </w:tcPr>
          <w:p>
            <w:pPr>
              <w:pStyle w:val="TableParagraph"/>
              <w:spacing w:line="180" w:lineRule="exact"/>
              <w:ind w:left="366"/>
              <w:jc w:val="left"/>
              <w:rPr>
                <w:sz w:val="16"/>
              </w:rPr>
            </w:pPr>
            <w:r>
              <w:rPr>
                <w:color w:val="231F20"/>
                <w:sz w:val="16"/>
              </w:rPr>
              <w:t>1,618</w:t>
            </w:r>
          </w:p>
        </w:tc>
        <w:tc>
          <w:tcPr>
            <w:tcW w:w="899" w:type="dxa"/>
          </w:tcPr>
          <w:p>
            <w:pPr>
              <w:pStyle w:val="TableParagraph"/>
              <w:spacing w:line="180" w:lineRule="exact"/>
              <w:ind w:left="270"/>
              <w:jc w:val="left"/>
              <w:rPr>
                <w:sz w:val="16"/>
              </w:rPr>
            </w:pPr>
            <w:r>
              <w:rPr>
                <w:color w:val="231F20"/>
                <w:sz w:val="16"/>
              </w:rPr>
              <w:t>4,130</w:t>
            </w:r>
          </w:p>
        </w:tc>
        <w:tc>
          <w:tcPr>
            <w:tcW w:w="930" w:type="dxa"/>
          </w:tcPr>
          <w:p>
            <w:pPr>
              <w:pStyle w:val="TableParagraph"/>
              <w:spacing w:line="180" w:lineRule="exact"/>
              <w:ind w:right="299"/>
              <w:jc w:val="right"/>
              <w:rPr>
                <w:sz w:val="16"/>
              </w:rPr>
            </w:pPr>
            <w:r>
              <w:rPr>
                <w:color w:val="231F20"/>
                <w:w w:val="95"/>
                <w:sz w:val="16"/>
              </w:rPr>
              <w:t>3,199</w:t>
            </w:r>
          </w:p>
        </w:tc>
        <w:tc>
          <w:tcPr>
            <w:tcW w:w="950" w:type="dxa"/>
          </w:tcPr>
          <w:p>
            <w:pPr>
              <w:pStyle w:val="TableParagraph"/>
              <w:spacing w:line="180" w:lineRule="exact"/>
              <w:ind w:left="194" w:right="194"/>
              <w:rPr>
                <w:sz w:val="16"/>
              </w:rPr>
            </w:pPr>
            <w:r>
              <w:rPr>
                <w:color w:val="231F20"/>
                <w:sz w:val="16"/>
              </w:rPr>
              <w:t>5,667</w:t>
            </w:r>
          </w:p>
        </w:tc>
        <w:tc>
          <w:tcPr>
            <w:tcW w:w="896" w:type="dxa"/>
          </w:tcPr>
          <w:p>
            <w:pPr>
              <w:pStyle w:val="TableParagraph"/>
              <w:spacing w:line="180" w:lineRule="exact"/>
              <w:ind w:left="195" w:right="139"/>
              <w:rPr>
                <w:sz w:val="16"/>
              </w:rPr>
            </w:pPr>
            <w:r>
              <w:rPr>
                <w:color w:val="231F20"/>
                <w:sz w:val="16"/>
              </w:rPr>
              <w:t>13,771</w:t>
            </w:r>
          </w:p>
        </w:tc>
        <w:tc>
          <w:tcPr>
            <w:tcW w:w="930" w:type="dxa"/>
          </w:tcPr>
          <w:p>
            <w:pPr>
              <w:pStyle w:val="TableParagraph"/>
              <w:spacing w:line="180" w:lineRule="exact"/>
              <w:ind w:left="158"/>
              <w:jc w:val="left"/>
              <w:rPr>
                <w:sz w:val="16"/>
              </w:rPr>
            </w:pPr>
            <w:r>
              <w:rPr>
                <w:color w:val="231F20"/>
                <w:sz w:val="16"/>
              </w:rPr>
              <w:t>22,594</w:t>
            </w:r>
          </w:p>
        </w:tc>
      </w:tr>
      <w:tr>
        <w:trPr>
          <w:trHeight w:val="215" w:hRule="exact"/>
        </w:trPr>
        <w:tc>
          <w:tcPr>
            <w:tcW w:w="1605" w:type="dxa"/>
          </w:tcPr>
          <w:p>
            <w:pPr>
              <w:pStyle w:val="TableParagraph"/>
              <w:spacing w:line="180" w:lineRule="exact"/>
              <w:ind w:left="113"/>
              <w:jc w:val="left"/>
              <w:rPr>
                <w:sz w:val="16"/>
              </w:rPr>
            </w:pPr>
            <w:r>
              <w:rPr>
                <w:color w:val="231F20"/>
                <w:sz w:val="16"/>
              </w:rPr>
              <w:t>Sinaloa</w:t>
            </w:r>
          </w:p>
        </w:tc>
        <w:tc>
          <w:tcPr>
            <w:tcW w:w="980" w:type="dxa"/>
          </w:tcPr>
          <w:p>
            <w:pPr>
              <w:pStyle w:val="TableParagraph"/>
              <w:spacing w:line="180" w:lineRule="exact"/>
              <w:ind w:left="397" w:right="302"/>
              <w:rPr>
                <w:sz w:val="16"/>
              </w:rPr>
            </w:pPr>
            <w:r>
              <w:rPr>
                <w:color w:val="231F20"/>
                <w:sz w:val="16"/>
              </w:rPr>
              <w:t>169</w:t>
            </w:r>
          </w:p>
        </w:tc>
        <w:tc>
          <w:tcPr>
            <w:tcW w:w="899" w:type="dxa"/>
          </w:tcPr>
          <w:p>
            <w:pPr>
              <w:pStyle w:val="TableParagraph"/>
              <w:spacing w:line="180" w:lineRule="exact"/>
              <w:ind w:left="303" w:right="315"/>
              <w:rPr>
                <w:sz w:val="16"/>
              </w:rPr>
            </w:pPr>
            <w:r>
              <w:rPr>
                <w:color w:val="231F20"/>
                <w:sz w:val="16"/>
              </w:rPr>
              <w:t>875</w:t>
            </w:r>
          </w:p>
        </w:tc>
        <w:tc>
          <w:tcPr>
            <w:tcW w:w="930" w:type="dxa"/>
          </w:tcPr>
          <w:p>
            <w:pPr>
              <w:pStyle w:val="TableParagraph"/>
              <w:spacing w:line="180" w:lineRule="exact"/>
              <w:ind w:left="317" w:right="331"/>
              <w:rPr>
                <w:sz w:val="16"/>
              </w:rPr>
            </w:pPr>
            <w:r>
              <w:rPr>
                <w:color w:val="231F20"/>
                <w:sz w:val="16"/>
              </w:rPr>
              <w:t>230</w:t>
            </w:r>
          </w:p>
        </w:tc>
        <w:tc>
          <w:tcPr>
            <w:tcW w:w="950" w:type="dxa"/>
          </w:tcPr>
          <w:p>
            <w:pPr>
              <w:pStyle w:val="TableParagraph"/>
              <w:spacing w:line="180" w:lineRule="exact"/>
              <w:ind w:left="194" w:right="194"/>
              <w:rPr>
                <w:sz w:val="16"/>
              </w:rPr>
            </w:pPr>
            <w:r>
              <w:rPr>
                <w:color w:val="231F20"/>
                <w:sz w:val="16"/>
              </w:rPr>
              <w:t>148</w:t>
            </w:r>
          </w:p>
        </w:tc>
        <w:tc>
          <w:tcPr>
            <w:tcW w:w="896" w:type="dxa"/>
          </w:tcPr>
          <w:p>
            <w:pPr>
              <w:pStyle w:val="TableParagraph"/>
              <w:spacing w:line="180" w:lineRule="exact"/>
              <w:ind w:left="195" w:right="139"/>
              <w:rPr>
                <w:sz w:val="16"/>
              </w:rPr>
            </w:pPr>
            <w:r>
              <w:rPr>
                <w:color w:val="231F20"/>
                <w:sz w:val="16"/>
              </w:rPr>
              <w:t>2,300</w:t>
            </w:r>
          </w:p>
        </w:tc>
        <w:tc>
          <w:tcPr>
            <w:tcW w:w="930" w:type="dxa"/>
          </w:tcPr>
          <w:p>
            <w:pPr>
              <w:pStyle w:val="TableParagraph"/>
              <w:spacing w:line="180" w:lineRule="exact"/>
              <w:ind w:left="158"/>
              <w:jc w:val="left"/>
              <w:rPr>
                <w:sz w:val="16"/>
              </w:rPr>
            </w:pPr>
            <w:r>
              <w:rPr>
                <w:color w:val="231F20"/>
                <w:sz w:val="16"/>
              </w:rPr>
              <w:t>4,694</w:t>
            </w:r>
          </w:p>
        </w:tc>
      </w:tr>
      <w:tr>
        <w:trPr>
          <w:trHeight w:val="215" w:hRule="exact"/>
        </w:trPr>
        <w:tc>
          <w:tcPr>
            <w:tcW w:w="1605" w:type="dxa"/>
          </w:tcPr>
          <w:p>
            <w:pPr>
              <w:pStyle w:val="TableParagraph"/>
              <w:spacing w:line="180" w:lineRule="exact"/>
              <w:ind w:left="113"/>
              <w:jc w:val="left"/>
              <w:rPr>
                <w:sz w:val="16"/>
              </w:rPr>
            </w:pPr>
            <w:r>
              <w:rPr>
                <w:color w:val="231F20"/>
                <w:sz w:val="16"/>
              </w:rPr>
              <w:t>Sonora</w:t>
            </w:r>
          </w:p>
        </w:tc>
        <w:tc>
          <w:tcPr>
            <w:tcW w:w="980" w:type="dxa"/>
          </w:tcPr>
          <w:p>
            <w:pPr>
              <w:pStyle w:val="TableParagraph"/>
              <w:spacing w:line="180" w:lineRule="exact"/>
              <w:ind w:left="366"/>
              <w:jc w:val="left"/>
              <w:rPr>
                <w:sz w:val="16"/>
              </w:rPr>
            </w:pPr>
            <w:r>
              <w:rPr>
                <w:color w:val="231F20"/>
                <w:sz w:val="16"/>
              </w:rPr>
              <w:t>1,227</w:t>
            </w:r>
          </w:p>
        </w:tc>
        <w:tc>
          <w:tcPr>
            <w:tcW w:w="899" w:type="dxa"/>
          </w:tcPr>
          <w:p>
            <w:pPr>
              <w:pStyle w:val="TableParagraph"/>
              <w:spacing w:line="180" w:lineRule="exact"/>
              <w:ind w:left="270"/>
              <w:jc w:val="left"/>
              <w:rPr>
                <w:sz w:val="16"/>
              </w:rPr>
            </w:pPr>
            <w:r>
              <w:rPr>
                <w:color w:val="231F20"/>
                <w:sz w:val="16"/>
              </w:rPr>
              <w:t>5,281</w:t>
            </w:r>
          </w:p>
        </w:tc>
        <w:tc>
          <w:tcPr>
            <w:tcW w:w="930" w:type="dxa"/>
          </w:tcPr>
          <w:p>
            <w:pPr>
              <w:pStyle w:val="TableParagraph"/>
              <w:spacing w:line="180" w:lineRule="exact"/>
              <w:ind w:right="299"/>
              <w:jc w:val="right"/>
              <w:rPr>
                <w:sz w:val="16"/>
              </w:rPr>
            </w:pPr>
            <w:r>
              <w:rPr>
                <w:color w:val="231F20"/>
                <w:w w:val="95"/>
                <w:sz w:val="16"/>
              </w:rPr>
              <w:t>3,260</w:t>
            </w:r>
          </w:p>
        </w:tc>
        <w:tc>
          <w:tcPr>
            <w:tcW w:w="950" w:type="dxa"/>
          </w:tcPr>
          <w:p>
            <w:pPr>
              <w:pStyle w:val="TableParagraph"/>
              <w:spacing w:line="180" w:lineRule="exact"/>
              <w:ind w:left="194" w:right="194"/>
              <w:rPr>
                <w:sz w:val="16"/>
              </w:rPr>
            </w:pPr>
            <w:r>
              <w:rPr>
                <w:color w:val="231F20"/>
                <w:sz w:val="16"/>
              </w:rPr>
              <w:t>3,748</w:t>
            </w:r>
          </w:p>
        </w:tc>
        <w:tc>
          <w:tcPr>
            <w:tcW w:w="896" w:type="dxa"/>
          </w:tcPr>
          <w:p>
            <w:pPr>
              <w:pStyle w:val="TableParagraph"/>
              <w:spacing w:line="180" w:lineRule="exact"/>
              <w:ind w:left="195" w:right="139"/>
              <w:rPr>
                <w:sz w:val="16"/>
              </w:rPr>
            </w:pPr>
            <w:r>
              <w:rPr>
                <w:color w:val="231F20"/>
                <w:sz w:val="16"/>
              </w:rPr>
              <w:t>18,825</w:t>
            </w:r>
          </w:p>
        </w:tc>
        <w:tc>
          <w:tcPr>
            <w:tcW w:w="930" w:type="dxa"/>
          </w:tcPr>
          <w:p>
            <w:pPr>
              <w:pStyle w:val="TableParagraph"/>
              <w:spacing w:line="180" w:lineRule="exact"/>
              <w:ind w:left="158"/>
              <w:jc w:val="left"/>
              <w:rPr>
                <w:sz w:val="16"/>
              </w:rPr>
            </w:pPr>
            <w:r>
              <w:rPr>
                <w:color w:val="231F20"/>
                <w:sz w:val="16"/>
              </w:rPr>
              <w:t>35,024</w:t>
            </w:r>
          </w:p>
        </w:tc>
      </w:tr>
      <w:tr>
        <w:trPr>
          <w:trHeight w:val="215" w:hRule="exact"/>
        </w:trPr>
        <w:tc>
          <w:tcPr>
            <w:tcW w:w="1605" w:type="dxa"/>
          </w:tcPr>
          <w:p>
            <w:pPr>
              <w:pStyle w:val="TableParagraph"/>
              <w:spacing w:line="180" w:lineRule="exact"/>
              <w:ind w:left="113"/>
              <w:jc w:val="left"/>
              <w:rPr>
                <w:sz w:val="16"/>
              </w:rPr>
            </w:pPr>
            <w:r>
              <w:rPr>
                <w:color w:val="231F20"/>
                <w:sz w:val="16"/>
              </w:rPr>
              <w:t>Tabasco</w:t>
            </w:r>
          </w:p>
        </w:tc>
        <w:tc>
          <w:tcPr>
            <w:tcW w:w="980" w:type="dxa"/>
          </w:tcPr>
          <w:p>
            <w:pPr>
              <w:pStyle w:val="TableParagraph"/>
              <w:spacing w:line="180" w:lineRule="exact"/>
              <w:ind w:left="397" w:right="302"/>
              <w:rPr>
                <w:sz w:val="16"/>
              </w:rPr>
            </w:pPr>
            <w:r>
              <w:rPr>
                <w:color w:val="231F20"/>
                <w:sz w:val="16"/>
              </w:rPr>
              <w:t>63</w:t>
            </w:r>
          </w:p>
        </w:tc>
        <w:tc>
          <w:tcPr>
            <w:tcW w:w="899" w:type="dxa"/>
          </w:tcPr>
          <w:p>
            <w:pPr>
              <w:pStyle w:val="TableParagraph"/>
              <w:spacing w:line="180" w:lineRule="exact"/>
              <w:ind w:left="303" w:right="315"/>
              <w:rPr>
                <w:sz w:val="16"/>
              </w:rPr>
            </w:pPr>
            <w:r>
              <w:rPr>
                <w:color w:val="231F20"/>
                <w:sz w:val="16"/>
              </w:rPr>
              <w:t>49</w:t>
            </w:r>
          </w:p>
        </w:tc>
        <w:tc>
          <w:tcPr>
            <w:tcW w:w="930" w:type="dxa"/>
          </w:tcPr>
          <w:p>
            <w:pPr>
              <w:pStyle w:val="TableParagraph"/>
              <w:spacing w:line="180" w:lineRule="exact"/>
              <w:ind w:left="317" w:right="331"/>
              <w:rPr>
                <w:sz w:val="16"/>
              </w:rPr>
            </w:pPr>
            <w:r>
              <w:rPr>
                <w:color w:val="231F20"/>
                <w:sz w:val="16"/>
              </w:rPr>
              <w:t>106</w:t>
            </w:r>
          </w:p>
        </w:tc>
        <w:tc>
          <w:tcPr>
            <w:tcW w:w="950" w:type="dxa"/>
          </w:tcPr>
          <w:p>
            <w:pPr>
              <w:pStyle w:val="TableParagraph"/>
              <w:spacing w:line="180" w:lineRule="exact"/>
              <w:ind w:left="194" w:right="194"/>
              <w:rPr>
                <w:sz w:val="16"/>
              </w:rPr>
            </w:pPr>
            <w:r>
              <w:rPr>
                <w:color w:val="231F20"/>
                <w:sz w:val="16"/>
              </w:rPr>
              <w:t>93</w:t>
            </w:r>
          </w:p>
        </w:tc>
        <w:tc>
          <w:tcPr>
            <w:tcW w:w="896" w:type="dxa"/>
          </w:tcPr>
          <w:p>
            <w:pPr>
              <w:pStyle w:val="TableParagraph"/>
              <w:spacing w:line="180" w:lineRule="exact"/>
              <w:ind w:left="195" w:right="139"/>
              <w:rPr>
                <w:sz w:val="16"/>
              </w:rPr>
            </w:pPr>
            <w:r>
              <w:rPr>
                <w:color w:val="231F20"/>
                <w:sz w:val="16"/>
              </w:rPr>
              <w:t>77</w:t>
            </w:r>
          </w:p>
        </w:tc>
        <w:tc>
          <w:tcPr>
            <w:tcW w:w="930" w:type="dxa"/>
          </w:tcPr>
          <w:p>
            <w:pPr>
              <w:pStyle w:val="TableParagraph"/>
              <w:spacing w:line="180" w:lineRule="exact"/>
              <w:ind w:left="158"/>
              <w:jc w:val="left"/>
              <w:rPr>
                <w:sz w:val="16"/>
              </w:rPr>
            </w:pPr>
            <w:r>
              <w:rPr>
                <w:color w:val="231F20"/>
                <w:sz w:val="16"/>
              </w:rPr>
              <w:t>71</w:t>
            </w:r>
          </w:p>
        </w:tc>
      </w:tr>
      <w:tr>
        <w:trPr>
          <w:trHeight w:val="215" w:hRule="exact"/>
        </w:trPr>
        <w:tc>
          <w:tcPr>
            <w:tcW w:w="1605" w:type="dxa"/>
          </w:tcPr>
          <w:p>
            <w:pPr>
              <w:pStyle w:val="TableParagraph"/>
              <w:spacing w:line="180" w:lineRule="exact"/>
              <w:ind w:left="113"/>
              <w:jc w:val="left"/>
              <w:rPr>
                <w:sz w:val="16"/>
              </w:rPr>
            </w:pPr>
            <w:r>
              <w:rPr>
                <w:color w:val="231F20"/>
                <w:sz w:val="16"/>
              </w:rPr>
              <w:t>Tamaulipas</w:t>
            </w:r>
          </w:p>
        </w:tc>
        <w:tc>
          <w:tcPr>
            <w:tcW w:w="980" w:type="dxa"/>
          </w:tcPr>
          <w:p>
            <w:pPr>
              <w:pStyle w:val="TableParagraph"/>
              <w:spacing w:line="180" w:lineRule="exact"/>
              <w:ind w:left="366"/>
              <w:jc w:val="left"/>
              <w:rPr>
                <w:sz w:val="16"/>
              </w:rPr>
            </w:pPr>
            <w:r>
              <w:rPr>
                <w:color w:val="231F20"/>
                <w:sz w:val="16"/>
              </w:rPr>
              <w:t>3,559</w:t>
            </w:r>
          </w:p>
        </w:tc>
        <w:tc>
          <w:tcPr>
            <w:tcW w:w="899" w:type="dxa"/>
          </w:tcPr>
          <w:p>
            <w:pPr>
              <w:pStyle w:val="TableParagraph"/>
              <w:spacing w:line="180" w:lineRule="exact"/>
              <w:ind w:left="231"/>
              <w:jc w:val="left"/>
              <w:rPr>
                <w:sz w:val="16"/>
              </w:rPr>
            </w:pPr>
            <w:r>
              <w:rPr>
                <w:color w:val="231F20"/>
                <w:sz w:val="16"/>
              </w:rPr>
              <w:t>10,073</w:t>
            </w:r>
          </w:p>
        </w:tc>
        <w:tc>
          <w:tcPr>
            <w:tcW w:w="930" w:type="dxa"/>
          </w:tcPr>
          <w:p>
            <w:pPr>
              <w:pStyle w:val="TableParagraph"/>
              <w:spacing w:line="180" w:lineRule="exact"/>
              <w:ind w:right="261"/>
              <w:jc w:val="right"/>
              <w:rPr>
                <w:sz w:val="16"/>
              </w:rPr>
            </w:pPr>
            <w:r>
              <w:rPr>
                <w:color w:val="231F20"/>
                <w:w w:val="95"/>
                <w:sz w:val="16"/>
              </w:rPr>
              <w:t>11,251</w:t>
            </w:r>
          </w:p>
        </w:tc>
        <w:tc>
          <w:tcPr>
            <w:tcW w:w="950" w:type="dxa"/>
          </w:tcPr>
          <w:p>
            <w:pPr>
              <w:pStyle w:val="TableParagraph"/>
              <w:spacing w:line="180" w:lineRule="exact"/>
              <w:ind w:left="194" w:right="194"/>
              <w:rPr>
                <w:sz w:val="16"/>
              </w:rPr>
            </w:pPr>
            <w:r>
              <w:rPr>
                <w:color w:val="231F20"/>
                <w:sz w:val="16"/>
              </w:rPr>
              <w:t>13,620</w:t>
            </w:r>
          </w:p>
        </w:tc>
        <w:tc>
          <w:tcPr>
            <w:tcW w:w="896" w:type="dxa"/>
          </w:tcPr>
          <w:p>
            <w:pPr>
              <w:pStyle w:val="TableParagraph"/>
              <w:spacing w:line="180" w:lineRule="exact"/>
              <w:ind w:left="195" w:right="139"/>
              <w:rPr>
                <w:sz w:val="16"/>
              </w:rPr>
            </w:pPr>
            <w:r>
              <w:rPr>
                <w:color w:val="231F20"/>
                <w:sz w:val="16"/>
              </w:rPr>
              <w:t>44,756</w:t>
            </w:r>
          </w:p>
        </w:tc>
        <w:tc>
          <w:tcPr>
            <w:tcW w:w="930" w:type="dxa"/>
          </w:tcPr>
          <w:p>
            <w:pPr>
              <w:pStyle w:val="TableParagraph"/>
              <w:spacing w:line="180" w:lineRule="exact"/>
              <w:ind w:left="158"/>
              <w:jc w:val="left"/>
              <w:rPr>
                <w:sz w:val="16"/>
              </w:rPr>
            </w:pPr>
            <w:r>
              <w:rPr>
                <w:color w:val="231F20"/>
                <w:sz w:val="16"/>
              </w:rPr>
              <w:t>45,003</w:t>
            </w:r>
          </w:p>
        </w:tc>
      </w:tr>
      <w:tr>
        <w:trPr>
          <w:trHeight w:val="215" w:hRule="exact"/>
        </w:trPr>
        <w:tc>
          <w:tcPr>
            <w:tcW w:w="1605" w:type="dxa"/>
          </w:tcPr>
          <w:p>
            <w:pPr>
              <w:pStyle w:val="TableParagraph"/>
              <w:spacing w:line="180" w:lineRule="exact"/>
              <w:ind w:left="113"/>
              <w:jc w:val="left"/>
              <w:rPr>
                <w:sz w:val="16"/>
              </w:rPr>
            </w:pPr>
            <w:r>
              <w:rPr>
                <w:color w:val="231F20"/>
                <w:sz w:val="16"/>
              </w:rPr>
              <w:t>Tlaxcala</w:t>
            </w:r>
          </w:p>
        </w:tc>
        <w:tc>
          <w:tcPr>
            <w:tcW w:w="980" w:type="dxa"/>
          </w:tcPr>
          <w:p>
            <w:pPr>
              <w:pStyle w:val="TableParagraph"/>
              <w:spacing w:line="180" w:lineRule="exact"/>
              <w:ind w:left="397" w:right="302"/>
              <w:rPr>
                <w:sz w:val="16"/>
              </w:rPr>
            </w:pPr>
            <w:r>
              <w:rPr>
                <w:color w:val="231F20"/>
                <w:sz w:val="16"/>
              </w:rPr>
              <w:t>363</w:t>
            </w:r>
          </w:p>
        </w:tc>
        <w:tc>
          <w:tcPr>
            <w:tcW w:w="899" w:type="dxa"/>
          </w:tcPr>
          <w:p>
            <w:pPr>
              <w:pStyle w:val="TableParagraph"/>
              <w:spacing w:line="180" w:lineRule="exact"/>
              <w:ind w:left="303" w:right="315"/>
              <w:rPr>
                <w:sz w:val="16"/>
              </w:rPr>
            </w:pPr>
            <w:r>
              <w:rPr>
                <w:color w:val="231F20"/>
                <w:sz w:val="16"/>
              </w:rPr>
              <w:t>593</w:t>
            </w:r>
          </w:p>
        </w:tc>
        <w:tc>
          <w:tcPr>
            <w:tcW w:w="930" w:type="dxa"/>
          </w:tcPr>
          <w:p>
            <w:pPr>
              <w:pStyle w:val="TableParagraph"/>
              <w:spacing w:line="180" w:lineRule="exact"/>
              <w:ind w:right="299"/>
              <w:jc w:val="right"/>
              <w:rPr>
                <w:sz w:val="16"/>
              </w:rPr>
            </w:pPr>
            <w:r>
              <w:rPr>
                <w:color w:val="231F20"/>
                <w:w w:val="95"/>
                <w:sz w:val="16"/>
              </w:rPr>
              <w:t>1,197</w:t>
            </w:r>
          </w:p>
        </w:tc>
        <w:tc>
          <w:tcPr>
            <w:tcW w:w="950" w:type="dxa"/>
          </w:tcPr>
          <w:p>
            <w:pPr>
              <w:pStyle w:val="TableParagraph"/>
              <w:spacing w:line="180" w:lineRule="exact"/>
              <w:ind w:left="194" w:right="194"/>
              <w:rPr>
                <w:sz w:val="16"/>
              </w:rPr>
            </w:pPr>
            <w:r>
              <w:rPr>
                <w:color w:val="231F20"/>
                <w:sz w:val="16"/>
              </w:rPr>
              <w:t>1,816</w:t>
            </w:r>
          </w:p>
        </w:tc>
        <w:tc>
          <w:tcPr>
            <w:tcW w:w="896" w:type="dxa"/>
          </w:tcPr>
          <w:p>
            <w:pPr>
              <w:pStyle w:val="TableParagraph"/>
              <w:spacing w:line="180" w:lineRule="exact"/>
              <w:ind w:left="195" w:right="139"/>
              <w:rPr>
                <w:sz w:val="16"/>
              </w:rPr>
            </w:pPr>
            <w:r>
              <w:rPr>
                <w:color w:val="231F20"/>
                <w:sz w:val="16"/>
              </w:rPr>
              <w:t>1,753</w:t>
            </w:r>
          </w:p>
        </w:tc>
        <w:tc>
          <w:tcPr>
            <w:tcW w:w="930" w:type="dxa"/>
          </w:tcPr>
          <w:p>
            <w:pPr>
              <w:pStyle w:val="TableParagraph"/>
              <w:spacing w:line="180" w:lineRule="exact"/>
              <w:ind w:left="158"/>
              <w:jc w:val="left"/>
              <w:rPr>
                <w:sz w:val="16"/>
              </w:rPr>
            </w:pPr>
            <w:r>
              <w:rPr>
                <w:color w:val="231F20"/>
                <w:sz w:val="16"/>
              </w:rPr>
              <w:t>4,050</w:t>
            </w:r>
          </w:p>
        </w:tc>
      </w:tr>
      <w:tr>
        <w:trPr>
          <w:trHeight w:val="215" w:hRule="exact"/>
        </w:trPr>
        <w:tc>
          <w:tcPr>
            <w:tcW w:w="1605" w:type="dxa"/>
          </w:tcPr>
          <w:p>
            <w:pPr>
              <w:pStyle w:val="TableParagraph"/>
              <w:spacing w:line="180" w:lineRule="exact"/>
              <w:ind w:left="113"/>
              <w:jc w:val="left"/>
              <w:rPr>
                <w:sz w:val="16"/>
              </w:rPr>
            </w:pPr>
            <w:r>
              <w:rPr>
                <w:color w:val="231F20"/>
                <w:sz w:val="16"/>
              </w:rPr>
              <w:t>Veracruz</w:t>
            </w:r>
          </w:p>
        </w:tc>
        <w:tc>
          <w:tcPr>
            <w:tcW w:w="980" w:type="dxa"/>
          </w:tcPr>
          <w:p>
            <w:pPr>
              <w:pStyle w:val="TableParagraph"/>
              <w:spacing w:line="180" w:lineRule="exact"/>
              <w:ind w:left="397" w:right="302"/>
              <w:rPr>
                <w:sz w:val="16"/>
              </w:rPr>
            </w:pPr>
            <w:r>
              <w:rPr>
                <w:color w:val="231F20"/>
                <w:sz w:val="16"/>
              </w:rPr>
              <w:t>383</w:t>
            </w:r>
          </w:p>
        </w:tc>
        <w:tc>
          <w:tcPr>
            <w:tcW w:w="899" w:type="dxa"/>
          </w:tcPr>
          <w:p>
            <w:pPr>
              <w:pStyle w:val="TableParagraph"/>
              <w:spacing w:line="180" w:lineRule="exact"/>
              <w:ind w:left="270"/>
              <w:jc w:val="left"/>
              <w:rPr>
                <w:sz w:val="16"/>
              </w:rPr>
            </w:pPr>
            <w:r>
              <w:rPr>
                <w:color w:val="231F20"/>
                <w:sz w:val="16"/>
              </w:rPr>
              <w:t>3,094</w:t>
            </w:r>
          </w:p>
        </w:tc>
        <w:tc>
          <w:tcPr>
            <w:tcW w:w="930" w:type="dxa"/>
          </w:tcPr>
          <w:p>
            <w:pPr>
              <w:pStyle w:val="TableParagraph"/>
              <w:spacing w:line="180" w:lineRule="exact"/>
              <w:ind w:left="317" w:right="331"/>
              <w:rPr>
                <w:sz w:val="16"/>
              </w:rPr>
            </w:pPr>
            <w:r>
              <w:rPr>
                <w:color w:val="231F20"/>
                <w:sz w:val="16"/>
              </w:rPr>
              <w:t>627</w:t>
            </w:r>
          </w:p>
        </w:tc>
        <w:tc>
          <w:tcPr>
            <w:tcW w:w="950" w:type="dxa"/>
          </w:tcPr>
          <w:p>
            <w:pPr>
              <w:pStyle w:val="TableParagraph"/>
              <w:spacing w:line="180" w:lineRule="exact"/>
              <w:ind w:left="194" w:right="194"/>
              <w:rPr>
                <w:sz w:val="16"/>
              </w:rPr>
            </w:pPr>
            <w:r>
              <w:rPr>
                <w:color w:val="231F20"/>
                <w:sz w:val="16"/>
              </w:rPr>
              <w:t>1,098</w:t>
            </w:r>
          </w:p>
        </w:tc>
        <w:tc>
          <w:tcPr>
            <w:tcW w:w="896" w:type="dxa"/>
          </w:tcPr>
          <w:p>
            <w:pPr>
              <w:pStyle w:val="TableParagraph"/>
              <w:spacing w:line="180" w:lineRule="exact"/>
              <w:ind w:left="195" w:right="139"/>
              <w:rPr>
                <w:sz w:val="16"/>
              </w:rPr>
            </w:pPr>
            <w:r>
              <w:rPr>
                <w:color w:val="231F20"/>
                <w:sz w:val="16"/>
              </w:rPr>
              <w:t>1,012</w:t>
            </w:r>
          </w:p>
        </w:tc>
        <w:tc>
          <w:tcPr>
            <w:tcW w:w="930" w:type="dxa"/>
          </w:tcPr>
          <w:p>
            <w:pPr>
              <w:pStyle w:val="TableParagraph"/>
              <w:spacing w:line="180" w:lineRule="exact"/>
              <w:ind w:left="158"/>
              <w:jc w:val="left"/>
              <w:rPr>
                <w:sz w:val="16"/>
              </w:rPr>
            </w:pPr>
            <w:r>
              <w:rPr>
                <w:color w:val="231F20"/>
                <w:sz w:val="16"/>
              </w:rPr>
              <w:t>1,764</w:t>
            </w:r>
          </w:p>
        </w:tc>
      </w:tr>
      <w:tr>
        <w:trPr>
          <w:trHeight w:val="220" w:hRule="exact"/>
        </w:trPr>
        <w:tc>
          <w:tcPr>
            <w:tcW w:w="1605" w:type="dxa"/>
          </w:tcPr>
          <w:p>
            <w:pPr>
              <w:pStyle w:val="TableParagraph"/>
              <w:spacing w:line="180" w:lineRule="exact"/>
              <w:ind w:left="113"/>
              <w:jc w:val="left"/>
              <w:rPr>
                <w:sz w:val="16"/>
              </w:rPr>
            </w:pPr>
            <w:r>
              <w:rPr>
                <w:color w:val="231F20"/>
                <w:sz w:val="16"/>
              </w:rPr>
              <w:t>Yucatán</w:t>
            </w:r>
          </w:p>
        </w:tc>
        <w:tc>
          <w:tcPr>
            <w:tcW w:w="980" w:type="dxa"/>
          </w:tcPr>
          <w:p>
            <w:pPr>
              <w:pStyle w:val="TableParagraph"/>
              <w:spacing w:line="180" w:lineRule="exact"/>
              <w:ind w:left="397" w:right="302"/>
              <w:rPr>
                <w:sz w:val="16"/>
              </w:rPr>
            </w:pPr>
            <w:r>
              <w:rPr>
                <w:color w:val="231F20"/>
                <w:sz w:val="16"/>
              </w:rPr>
              <w:t>100</w:t>
            </w:r>
          </w:p>
        </w:tc>
        <w:tc>
          <w:tcPr>
            <w:tcW w:w="899" w:type="dxa"/>
          </w:tcPr>
          <w:p>
            <w:pPr>
              <w:pStyle w:val="TableParagraph"/>
              <w:spacing w:line="180" w:lineRule="exact"/>
              <w:ind w:left="303" w:right="315"/>
              <w:rPr>
                <w:sz w:val="16"/>
              </w:rPr>
            </w:pPr>
            <w:r>
              <w:rPr>
                <w:color w:val="231F20"/>
                <w:sz w:val="16"/>
              </w:rPr>
              <w:t>197</w:t>
            </w:r>
          </w:p>
        </w:tc>
        <w:tc>
          <w:tcPr>
            <w:tcW w:w="930" w:type="dxa"/>
          </w:tcPr>
          <w:p>
            <w:pPr>
              <w:pStyle w:val="TableParagraph"/>
              <w:spacing w:line="180" w:lineRule="exact"/>
              <w:ind w:left="317" w:right="331"/>
              <w:rPr>
                <w:sz w:val="16"/>
              </w:rPr>
            </w:pPr>
            <w:r>
              <w:rPr>
                <w:color w:val="231F20"/>
                <w:sz w:val="16"/>
              </w:rPr>
              <w:t>103</w:t>
            </w:r>
          </w:p>
        </w:tc>
        <w:tc>
          <w:tcPr>
            <w:tcW w:w="950" w:type="dxa"/>
          </w:tcPr>
          <w:p>
            <w:pPr>
              <w:pStyle w:val="TableParagraph"/>
              <w:spacing w:line="180" w:lineRule="exact"/>
              <w:ind w:left="194" w:right="194"/>
              <w:rPr>
                <w:sz w:val="16"/>
              </w:rPr>
            </w:pPr>
            <w:r>
              <w:rPr>
                <w:color w:val="231F20"/>
                <w:sz w:val="16"/>
              </w:rPr>
              <w:t>148</w:t>
            </w:r>
          </w:p>
        </w:tc>
        <w:tc>
          <w:tcPr>
            <w:tcW w:w="896" w:type="dxa"/>
          </w:tcPr>
          <w:p>
            <w:pPr>
              <w:pStyle w:val="TableParagraph"/>
              <w:spacing w:line="180" w:lineRule="exact"/>
              <w:ind w:left="195" w:right="139"/>
              <w:rPr>
                <w:sz w:val="16"/>
              </w:rPr>
            </w:pPr>
            <w:r>
              <w:rPr>
                <w:color w:val="231F20"/>
                <w:sz w:val="16"/>
              </w:rPr>
              <w:t>266</w:t>
            </w:r>
          </w:p>
        </w:tc>
        <w:tc>
          <w:tcPr>
            <w:tcW w:w="930" w:type="dxa"/>
          </w:tcPr>
          <w:p>
            <w:pPr>
              <w:pStyle w:val="TableParagraph"/>
              <w:spacing w:line="180" w:lineRule="exact"/>
              <w:ind w:left="158"/>
              <w:jc w:val="left"/>
              <w:rPr>
                <w:sz w:val="16"/>
              </w:rPr>
            </w:pPr>
            <w:r>
              <w:rPr>
                <w:color w:val="231F20"/>
                <w:sz w:val="16"/>
              </w:rPr>
              <w:t>1,273</w:t>
            </w:r>
          </w:p>
        </w:tc>
      </w:tr>
      <w:tr>
        <w:trPr>
          <w:trHeight w:val="214" w:hRule="exact"/>
        </w:trPr>
        <w:tc>
          <w:tcPr>
            <w:tcW w:w="1605" w:type="dxa"/>
            <w:tcBorders>
              <w:bottom w:val="single" w:sz="4" w:space="0" w:color="231F20"/>
            </w:tcBorders>
          </w:tcPr>
          <w:p>
            <w:pPr>
              <w:pStyle w:val="TableParagraph"/>
              <w:ind w:left="113"/>
              <w:jc w:val="left"/>
              <w:rPr>
                <w:sz w:val="16"/>
              </w:rPr>
            </w:pPr>
            <w:r>
              <w:rPr>
                <w:color w:val="231F20"/>
                <w:sz w:val="16"/>
              </w:rPr>
              <w:t>Zacatecas</w:t>
            </w:r>
          </w:p>
        </w:tc>
        <w:tc>
          <w:tcPr>
            <w:tcW w:w="980" w:type="dxa"/>
            <w:tcBorders>
              <w:bottom w:val="single" w:sz="4" w:space="0" w:color="231F20"/>
            </w:tcBorders>
          </w:tcPr>
          <w:p>
            <w:pPr>
              <w:pStyle w:val="TableParagraph"/>
              <w:ind w:left="397" w:right="302"/>
              <w:rPr>
                <w:sz w:val="16"/>
              </w:rPr>
            </w:pPr>
            <w:r>
              <w:rPr>
                <w:color w:val="231F20"/>
                <w:sz w:val="16"/>
              </w:rPr>
              <w:t>987</w:t>
            </w:r>
          </w:p>
        </w:tc>
        <w:tc>
          <w:tcPr>
            <w:tcW w:w="899" w:type="dxa"/>
            <w:tcBorders>
              <w:bottom w:val="single" w:sz="4" w:space="0" w:color="231F20"/>
            </w:tcBorders>
          </w:tcPr>
          <w:p>
            <w:pPr>
              <w:pStyle w:val="TableParagraph"/>
              <w:ind w:left="303" w:right="315"/>
              <w:rPr>
                <w:sz w:val="16"/>
              </w:rPr>
            </w:pPr>
            <w:r>
              <w:rPr>
                <w:color w:val="231F20"/>
                <w:sz w:val="16"/>
              </w:rPr>
              <w:t>37</w:t>
            </w:r>
          </w:p>
        </w:tc>
        <w:tc>
          <w:tcPr>
            <w:tcW w:w="930" w:type="dxa"/>
            <w:tcBorders>
              <w:bottom w:val="single" w:sz="4" w:space="0" w:color="231F20"/>
            </w:tcBorders>
          </w:tcPr>
          <w:p>
            <w:pPr>
              <w:pStyle w:val="TableParagraph"/>
              <w:ind w:right="14"/>
              <w:rPr>
                <w:sz w:val="16"/>
              </w:rPr>
            </w:pPr>
            <w:r>
              <w:rPr>
                <w:color w:val="231F20"/>
                <w:w w:val="96"/>
                <w:sz w:val="16"/>
              </w:rPr>
              <w:t>0</w:t>
            </w:r>
          </w:p>
        </w:tc>
        <w:tc>
          <w:tcPr>
            <w:tcW w:w="950" w:type="dxa"/>
            <w:tcBorders>
              <w:bottom w:val="single" w:sz="4" w:space="0" w:color="231F20"/>
            </w:tcBorders>
          </w:tcPr>
          <w:p>
            <w:pPr>
              <w:pStyle w:val="TableParagraph"/>
              <w:ind w:left="194" w:right="194"/>
              <w:rPr>
                <w:sz w:val="16"/>
              </w:rPr>
            </w:pPr>
            <w:r>
              <w:rPr>
                <w:color w:val="231F20"/>
                <w:sz w:val="16"/>
              </w:rPr>
              <w:t>25</w:t>
            </w:r>
          </w:p>
        </w:tc>
        <w:tc>
          <w:tcPr>
            <w:tcW w:w="896" w:type="dxa"/>
            <w:tcBorders>
              <w:bottom w:val="single" w:sz="4" w:space="0" w:color="231F20"/>
            </w:tcBorders>
          </w:tcPr>
          <w:p>
            <w:pPr>
              <w:pStyle w:val="TableParagraph"/>
              <w:ind w:left="195" w:right="139"/>
              <w:rPr>
                <w:sz w:val="16"/>
              </w:rPr>
            </w:pPr>
            <w:r>
              <w:rPr>
                <w:color w:val="231F20"/>
                <w:sz w:val="16"/>
              </w:rPr>
              <w:t>3,656</w:t>
            </w:r>
          </w:p>
        </w:tc>
        <w:tc>
          <w:tcPr>
            <w:tcW w:w="930" w:type="dxa"/>
            <w:tcBorders>
              <w:bottom w:val="single" w:sz="4" w:space="0" w:color="231F20"/>
            </w:tcBorders>
          </w:tcPr>
          <w:p>
            <w:pPr>
              <w:pStyle w:val="TableParagraph"/>
              <w:ind w:left="158"/>
              <w:jc w:val="left"/>
              <w:rPr>
                <w:sz w:val="16"/>
              </w:rPr>
            </w:pPr>
            <w:r>
              <w:rPr>
                <w:color w:val="231F20"/>
                <w:sz w:val="16"/>
              </w:rPr>
              <w:t>5,425</w:t>
            </w:r>
          </w:p>
        </w:tc>
      </w:tr>
    </w:tbl>
    <w:p>
      <w:pPr>
        <w:pStyle w:val="BodyText"/>
        <w:spacing w:before="3"/>
        <w:rPr>
          <w:rFonts w:ascii="Palatino Linotype"/>
          <w:b/>
          <w:sz w:val="9"/>
        </w:rPr>
      </w:pPr>
    </w:p>
    <w:p>
      <w:pPr>
        <w:spacing w:before="41"/>
        <w:ind w:left="123" w:right="646" w:firstLine="0"/>
        <w:jc w:val="left"/>
        <w:rPr>
          <w:sz w:val="19"/>
        </w:rPr>
      </w:pPr>
      <w:r>
        <w:rPr>
          <w:rFonts w:ascii="Palatino Linotype" w:hAnsi="Palatino Linotype"/>
          <w:i/>
          <w:color w:val="231F20"/>
          <w:sz w:val="19"/>
        </w:rPr>
        <w:t>Fuente: </w:t>
      </w:r>
      <w:r>
        <w:rPr>
          <w:color w:val="231F20"/>
          <w:sz w:val="19"/>
        </w:rPr>
        <w:t>Elaboración propia con datos de INEGI (1998, 2002, 2006, 2008 y 2010).</w:t>
      </w:r>
    </w:p>
    <w:p>
      <w:pPr>
        <w:spacing w:after="0"/>
        <w:jc w:val="left"/>
        <w:rPr>
          <w:sz w:val="19"/>
        </w:rPr>
        <w:sectPr>
          <w:pgSz w:w="9640" w:h="13040"/>
          <w:pgMar w:header="520" w:footer="654" w:top="880" w:bottom="840" w:left="1180" w:right="480"/>
        </w:sectPr>
      </w:pPr>
    </w:p>
    <w:p>
      <w:pPr>
        <w:pStyle w:val="BodyText"/>
        <w:rPr>
          <w:sz w:val="20"/>
        </w:rPr>
      </w:pPr>
    </w:p>
    <w:p>
      <w:pPr>
        <w:pStyle w:val="BodyText"/>
        <w:spacing w:before="6"/>
      </w:pPr>
    </w:p>
    <w:p>
      <w:pPr>
        <w:pStyle w:val="BodyText"/>
        <w:spacing w:line="278" w:lineRule="auto" w:before="58"/>
        <w:ind w:left="653" w:right="101"/>
        <w:jc w:val="both"/>
      </w:pPr>
      <w:r>
        <w:rPr>
          <w:color w:val="231F20"/>
        </w:rPr>
        <w:t>Es de notarse la disminución que se presenta de 2003 a 2009 en muchas de las</w:t>
      </w:r>
      <w:r>
        <w:rPr>
          <w:color w:val="231F20"/>
          <w:spacing w:val="-35"/>
        </w:rPr>
        <w:t> </w:t>
      </w:r>
      <w:r>
        <w:rPr>
          <w:color w:val="231F20"/>
        </w:rPr>
        <w:t>entida- des;</w:t>
      </w:r>
      <w:r>
        <w:rPr>
          <w:color w:val="231F20"/>
          <w:spacing w:val="-13"/>
        </w:rPr>
        <w:t> </w:t>
      </w:r>
      <w:r>
        <w:rPr>
          <w:color w:val="231F20"/>
        </w:rPr>
        <w:t>sin</w:t>
      </w:r>
      <w:r>
        <w:rPr>
          <w:color w:val="231F20"/>
          <w:spacing w:val="-13"/>
        </w:rPr>
        <w:t> </w:t>
      </w:r>
      <w:r>
        <w:rPr>
          <w:color w:val="231F20"/>
        </w:rPr>
        <w:t>embargo,</w:t>
      </w:r>
      <w:r>
        <w:rPr>
          <w:color w:val="231F20"/>
          <w:spacing w:val="-13"/>
        </w:rPr>
        <w:t> </w:t>
      </w:r>
      <w:r>
        <w:rPr>
          <w:color w:val="231F20"/>
        </w:rPr>
        <w:t>el</w:t>
      </w:r>
      <w:r>
        <w:rPr>
          <w:color w:val="231F20"/>
          <w:spacing w:val="-13"/>
        </w:rPr>
        <w:t> </w:t>
      </w:r>
      <w:r>
        <w:rPr>
          <w:color w:val="231F20"/>
        </w:rPr>
        <w:t>dato</w:t>
      </w:r>
      <w:r>
        <w:rPr>
          <w:color w:val="231F20"/>
          <w:spacing w:val="-13"/>
        </w:rPr>
        <w:t> </w:t>
      </w:r>
      <w:r>
        <w:rPr>
          <w:color w:val="231F20"/>
        </w:rPr>
        <w:t>del</w:t>
      </w:r>
      <w:r>
        <w:rPr>
          <w:color w:val="231F20"/>
          <w:spacing w:val="-13"/>
        </w:rPr>
        <w:t> </w:t>
      </w:r>
      <w:r>
        <w:rPr>
          <w:color w:val="231F20"/>
        </w:rPr>
        <w:t>Censo</w:t>
      </w:r>
      <w:r>
        <w:rPr>
          <w:color w:val="231F20"/>
          <w:spacing w:val="-13"/>
        </w:rPr>
        <w:t> </w:t>
      </w:r>
      <w:r>
        <w:rPr>
          <w:color w:val="231F20"/>
        </w:rPr>
        <w:t>Económico</w:t>
      </w:r>
      <w:r>
        <w:rPr>
          <w:color w:val="231F20"/>
          <w:spacing w:val="-13"/>
        </w:rPr>
        <w:t> </w:t>
      </w:r>
      <w:r>
        <w:rPr>
          <w:color w:val="231F20"/>
        </w:rPr>
        <w:t>de</w:t>
      </w:r>
      <w:r>
        <w:rPr>
          <w:color w:val="231F20"/>
          <w:spacing w:val="-13"/>
        </w:rPr>
        <w:t> </w:t>
      </w:r>
      <w:r>
        <w:rPr>
          <w:color w:val="231F20"/>
        </w:rPr>
        <w:t>2009</w:t>
      </w:r>
      <w:r>
        <w:rPr>
          <w:color w:val="231F20"/>
          <w:spacing w:val="-13"/>
        </w:rPr>
        <w:t> </w:t>
      </w:r>
      <w:r>
        <w:rPr>
          <w:color w:val="231F20"/>
        </w:rPr>
        <w:t>debe</w:t>
      </w:r>
      <w:r>
        <w:rPr>
          <w:color w:val="231F20"/>
          <w:spacing w:val="-13"/>
        </w:rPr>
        <w:t> </w:t>
      </w:r>
      <w:r>
        <w:rPr>
          <w:color w:val="231F20"/>
        </w:rPr>
        <w:t>reflejar</w:t>
      </w:r>
      <w:r>
        <w:rPr>
          <w:color w:val="231F20"/>
          <w:spacing w:val="-13"/>
        </w:rPr>
        <w:t> </w:t>
      </w:r>
      <w:r>
        <w:rPr>
          <w:color w:val="231F20"/>
        </w:rPr>
        <w:t>ya</w:t>
      </w:r>
      <w:r>
        <w:rPr>
          <w:color w:val="231F20"/>
          <w:spacing w:val="-13"/>
        </w:rPr>
        <w:t> </w:t>
      </w:r>
      <w:r>
        <w:rPr>
          <w:color w:val="231F20"/>
        </w:rPr>
        <w:t>los</w:t>
      </w:r>
      <w:r>
        <w:rPr>
          <w:color w:val="231F20"/>
          <w:spacing w:val="-13"/>
        </w:rPr>
        <w:t> </w:t>
      </w:r>
      <w:r>
        <w:rPr>
          <w:color w:val="231F20"/>
        </w:rPr>
        <w:t>efectos</w:t>
      </w:r>
      <w:r>
        <w:rPr>
          <w:color w:val="231F20"/>
          <w:spacing w:val="-13"/>
        </w:rPr>
        <w:t> </w:t>
      </w:r>
      <w:r>
        <w:rPr>
          <w:color w:val="231F20"/>
        </w:rPr>
        <w:t>que la crisis económica del 2008 tuvo en el </w:t>
      </w:r>
      <w:r>
        <w:rPr>
          <w:color w:val="231F20"/>
          <w:spacing w:val="-3"/>
        </w:rPr>
        <w:t>sector. </w:t>
      </w:r>
      <w:r>
        <w:rPr>
          <w:color w:val="231F20"/>
        </w:rPr>
        <w:t>Sólo algunas entidades como Aguasca- lientes, Querétaro, Puebla, San Luis Potosí y Sonora presentaron en este periodo un incremento importante dentro del personal ocupado (véase cuadro</w:t>
      </w:r>
      <w:r>
        <w:rPr>
          <w:color w:val="231F20"/>
          <w:spacing w:val="36"/>
        </w:rPr>
        <w:t> </w:t>
      </w:r>
      <w:r>
        <w:rPr>
          <w:color w:val="231F20"/>
        </w:rPr>
        <w:t>III.9).</w:t>
      </w:r>
    </w:p>
    <w:p>
      <w:pPr>
        <w:pStyle w:val="BodyText"/>
        <w:spacing w:line="278" w:lineRule="auto" w:before="1"/>
        <w:ind w:left="653" w:right="101" w:firstLine="396"/>
        <w:jc w:val="both"/>
      </w:pPr>
      <w:r>
        <w:rPr>
          <w:color w:val="231F20"/>
        </w:rPr>
        <w:t>Finalmente,</w:t>
      </w:r>
      <w:r>
        <w:rPr>
          <w:color w:val="231F20"/>
          <w:spacing w:val="-9"/>
        </w:rPr>
        <w:t> </w:t>
      </w:r>
      <w:r>
        <w:rPr>
          <w:color w:val="231F20"/>
        </w:rPr>
        <w:t>en</w:t>
      </w:r>
      <w:r>
        <w:rPr>
          <w:color w:val="231F20"/>
          <w:spacing w:val="-9"/>
        </w:rPr>
        <w:t> </w:t>
      </w:r>
      <w:r>
        <w:rPr>
          <w:color w:val="231F20"/>
        </w:rPr>
        <w:t>este</w:t>
      </w:r>
      <w:r>
        <w:rPr>
          <w:color w:val="231F20"/>
          <w:spacing w:val="-9"/>
        </w:rPr>
        <w:t> </w:t>
      </w:r>
      <w:r>
        <w:rPr>
          <w:color w:val="231F20"/>
        </w:rPr>
        <w:t>apartado</w:t>
      </w:r>
      <w:r>
        <w:rPr>
          <w:color w:val="231F20"/>
          <w:spacing w:val="-9"/>
        </w:rPr>
        <w:t> </w:t>
      </w:r>
      <w:r>
        <w:rPr>
          <w:color w:val="231F20"/>
        </w:rPr>
        <w:t>se</w:t>
      </w:r>
      <w:r>
        <w:rPr>
          <w:color w:val="231F20"/>
          <w:spacing w:val="-9"/>
        </w:rPr>
        <w:t> </w:t>
      </w:r>
      <w:r>
        <w:rPr>
          <w:color w:val="231F20"/>
        </w:rPr>
        <w:t>destaca</w:t>
      </w:r>
      <w:r>
        <w:rPr>
          <w:color w:val="231F20"/>
          <w:spacing w:val="-9"/>
        </w:rPr>
        <w:t> </w:t>
      </w:r>
      <w:r>
        <w:rPr>
          <w:color w:val="231F20"/>
        </w:rPr>
        <w:t>cuál</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el</w:t>
      </w:r>
      <w:r>
        <w:rPr>
          <w:color w:val="231F20"/>
          <w:spacing w:val="-9"/>
        </w:rPr>
        <w:t> </w:t>
      </w:r>
      <w:r>
        <w:rPr>
          <w:color w:val="231F20"/>
        </w:rPr>
        <w:t>destino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IED</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 dado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sector</w:t>
      </w:r>
      <w:r>
        <w:rPr>
          <w:color w:val="231F20"/>
          <w:spacing w:val="-9"/>
        </w:rPr>
        <w:t> </w:t>
      </w:r>
      <w:r>
        <w:rPr>
          <w:color w:val="231F20"/>
        </w:rPr>
        <w:t>automotriz;</w:t>
      </w:r>
      <w:r>
        <w:rPr>
          <w:color w:val="231F20"/>
          <w:spacing w:val="-9"/>
        </w:rPr>
        <w:t> </w:t>
      </w:r>
      <w:r>
        <w:rPr>
          <w:color w:val="231F20"/>
        </w:rPr>
        <w:t>pues</w:t>
      </w:r>
      <w:r>
        <w:rPr>
          <w:color w:val="231F20"/>
          <w:spacing w:val="-9"/>
        </w:rPr>
        <w:t> </w:t>
      </w:r>
      <w:r>
        <w:rPr>
          <w:color w:val="231F20"/>
        </w:rPr>
        <w:t>esta</w:t>
      </w:r>
      <w:r>
        <w:rPr>
          <w:color w:val="231F20"/>
          <w:spacing w:val="-9"/>
        </w:rPr>
        <w:t> </w:t>
      </w:r>
      <w:r>
        <w:rPr>
          <w:color w:val="231F20"/>
        </w:rPr>
        <w:t>variable</w:t>
      </w:r>
      <w:r>
        <w:rPr>
          <w:color w:val="231F20"/>
          <w:spacing w:val="-9"/>
        </w:rPr>
        <w:t> </w:t>
      </w:r>
      <w:r>
        <w:rPr>
          <w:color w:val="231F20"/>
        </w:rPr>
        <w:t>tiene</w:t>
      </w:r>
      <w:r>
        <w:rPr>
          <w:color w:val="231F20"/>
          <w:spacing w:val="-9"/>
        </w:rPr>
        <w:t> </w:t>
      </w:r>
      <w:r>
        <w:rPr>
          <w:color w:val="231F20"/>
        </w:rPr>
        <w:t>una</w:t>
      </w:r>
      <w:r>
        <w:rPr>
          <w:color w:val="231F20"/>
          <w:spacing w:val="-9"/>
        </w:rPr>
        <w:t> </w:t>
      </w:r>
      <w:r>
        <w:rPr>
          <w:color w:val="231F20"/>
        </w:rPr>
        <w:t>correlación</w:t>
      </w:r>
      <w:r>
        <w:rPr>
          <w:color w:val="231F20"/>
          <w:spacing w:val="-9"/>
        </w:rPr>
        <w:t> </w:t>
      </w:r>
      <w:r>
        <w:rPr>
          <w:color w:val="231F20"/>
        </w:rPr>
        <w:t>directa</w:t>
      </w:r>
      <w:r>
        <w:rPr>
          <w:color w:val="231F20"/>
          <w:spacing w:val="-9"/>
        </w:rPr>
        <w:t> </w:t>
      </w:r>
      <w:r>
        <w:rPr>
          <w:color w:val="231F20"/>
        </w:rPr>
        <w:t>y</w:t>
      </w:r>
      <w:r>
        <w:rPr>
          <w:color w:val="231F20"/>
          <w:spacing w:val="-9"/>
        </w:rPr>
        <w:t> </w:t>
      </w:r>
      <w:r>
        <w:rPr>
          <w:color w:val="231F20"/>
        </w:rPr>
        <w:t>positiva con</w:t>
      </w:r>
      <w:r>
        <w:rPr>
          <w:color w:val="231F20"/>
          <w:spacing w:val="-13"/>
        </w:rPr>
        <w:t> </w:t>
      </w:r>
      <w:r>
        <w:rPr>
          <w:color w:val="231F20"/>
        </w:rPr>
        <w:t>el</w:t>
      </w:r>
      <w:r>
        <w:rPr>
          <w:color w:val="231F20"/>
          <w:spacing w:val="-13"/>
        </w:rPr>
        <w:t> </w:t>
      </w:r>
      <w:r>
        <w:rPr>
          <w:color w:val="231F20"/>
        </w:rPr>
        <w:t>crecimiento</w:t>
      </w:r>
      <w:r>
        <w:rPr>
          <w:color w:val="231F20"/>
          <w:spacing w:val="-13"/>
        </w:rPr>
        <w:t> </w:t>
      </w:r>
      <w:r>
        <w:rPr>
          <w:color w:val="231F20"/>
        </w:rPr>
        <w:t>del</w:t>
      </w:r>
      <w:r>
        <w:rPr>
          <w:color w:val="231F20"/>
          <w:spacing w:val="-13"/>
        </w:rPr>
        <w:t> </w:t>
      </w:r>
      <w:r>
        <w:rPr>
          <w:color w:val="231F20"/>
        </w:rPr>
        <w:t>producto</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este</w:t>
      </w:r>
      <w:r>
        <w:rPr>
          <w:color w:val="231F20"/>
          <w:spacing w:val="-13"/>
        </w:rPr>
        <w:t> </w:t>
      </w:r>
      <w:r>
        <w:rPr>
          <w:color w:val="231F20"/>
        </w:rPr>
        <w:t>caso</w:t>
      </w:r>
      <w:r>
        <w:rPr>
          <w:color w:val="231F20"/>
          <w:spacing w:val="-13"/>
        </w:rPr>
        <w:t> </w:t>
      </w:r>
      <w:r>
        <w:rPr>
          <w:color w:val="231F20"/>
        </w:rPr>
        <w:t>con</w:t>
      </w:r>
      <w:r>
        <w:rPr>
          <w:color w:val="231F20"/>
          <w:spacing w:val="-13"/>
        </w:rPr>
        <w:t> </w:t>
      </w:r>
      <w:r>
        <w:rPr>
          <w:color w:val="231F20"/>
        </w:rPr>
        <w:t>el</w:t>
      </w:r>
      <w:r>
        <w:rPr>
          <w:color w:val="231F20"/>
          <w:spacing w:val="-13"/>
        </w:rPr>
        <w:t> </w:t>
      </w:r>
      <w:r>
        <w:rPr>
          <w:color w:val="231F20"/>
        </w:rPr>
        <w:t>crecimiento</w:t>
      </w:r>
      <w:r>
        <w:rPr>
          <w:color w:val="231F20"/>
          <w:spacing w:val="-13"/>
        </w:rPr>
        <w:t> </w:t>
      </w:r>
      <w:r>
        <w:rPr>
          <w:color w:val="231F20"/>
        </w:rPr>
        <w:t>del</w:t>
      </w:r>
      <w:r>
        <w:rPr>
          <w:color w:val="231F20"/>
          <w:spacing w:val="-13"/>
        </w:rPr>
        <w:t> </w:t>
      </w:r>
      <w:r>
        <w:rPr>
          <w:color w:val="231F20"/>
        </w:rPr>
        <w:t>sector</w:t>
      </w:r>
      <w:r>
        <w:rPr>
          <w:color w:val="231F20"/>
          <w:spacing w:val="-13"/>
        </w:rPr>
        <w:t> </w:t>
      </w:r>
      <w:r>
        <w:rPr>
          <w:color w:val="231F20"/>
        </w:rPr>
        <w:t>automotriz. Los principales factores que señala la literatura económica como determinantes de la IED son el tamaño y el dinamismo del mercado; los costos generales de producción y distribución</w:t>
      </w:r>
      <w:r>
        <w:rPr>
          <w:color w:val="231F20"/>
          <w:spacing w:val="-16"/>
        </w:rPr>
        <w:t> </w:t>
      </w:r>
      <w:r>
        <w:rPr>
          <w:color w:val="231F20"/>
        </w:rPr>
        <w:t>(en</w:t>
      </w:r>
      <w:r>
        <w:rPr>
          <w:color w:val="231F20"/>
          <w:spacing w:val="-16"/>
        </w:rPr>
        <w:t> </w:t>
      </w:r>
      <w:r>
        <w:rPr>
          <w:color w:val="231F20"/>
        </w:rPr>
        <w:t>particular</w:t>
      </w:r>
      <w:r>
        <w:rPr>
          <w:color w:val="231F20"/>
          <w:spacing w:val="-16"/>
        </w:rPr>
        <w:t> </w:t>
      </w:r>
      <w:r>
        <w:rPr>
          <w:color w:val="231F20"/>
        </w:rPr>
        <w:t>los</w:t>
      </w:r>
      <w:r>
        <w:rPr>
          <w:color w:val="231F20"/>
          <w:spacing w:val="-16"/>
        </w:rPr>
        <w:t> </w:t>
      </w:r>
      <w:r>
        <w:rPr>
          <w:color w:val="231F20"/>
        </w:rPr>
        <w:t>costos</w:t>
      </w:r>
      <w:r>
        <w:rPr>
          <w:color w:val="231F20"/>
          <w:spacing w:val="-16"/>
        </w:rPr>
        <w:t> </w:t>
      </w:r>
      <w:r>
        <w:rPr>
          <w:color w:val="231F20"/>
        </w:rPr>
        <w:t>laborales</w:t>
      </w:r>
      <w:r>
        <w:rPr>
          <w:color w:val="231F20"/>
          <w:spacing w:val="-16"/>
        </w:rPr>
        <w:t> </w:t>
      </w:r>
      <w:r>
        <w:rPr>
          <w:color w:val="231F20"/>
        </w:rPr>
        <w:t>o</w:t>
      </w:r>
      <w:r>
        <w:rPr>
          <w:color w:val="231F20"/>
          <w:spacing w:val="-16"/>
        </w:rPr>
        <w:t> </w:t>
      </w:r>
      <w:r>
        <w:rPr>
          <w:color w:val="231F20"/>
        </w:rPr>
        <w:t>impositivos);</w:t>
      </w:r>
      <w:r>
        <w:rPr>
          <w:color w:val="231F20"/>
          <w:spacing w:val="-16"/>
        </w:rPr>
        <w:t> </w:t>
      </w:r>
      <w:r>
        <w:rPr>
          <w:color w:val="231F20"/>
        </w:rPr>
        <w:t>la</w:t>
      </w:r>
      <w:r>
        <w:rPr>
          <w:color w:val="231F20"/>
          <w:spacing w:val="-16"/>
        </w:rPr>
        <w:t> </w:t>
      </w:r>
      <w:r>
        <w:rPr>
          <w:color w:val="231F20"/>
        </w:rPr>
        <w:t>ubicación</w:t>
      </w:r>
      <w:r>
        <w:rPr>
          <w:color w:val="231F20"/>
          <w:spacing w:val="-16"/>
        </w:rPr>
        <w:t> </w:t>
      </w:r>
      <w:r>
        <w:rPr>
          <w:color w:val="231F20"/>
        </w:rPr>
        <w:t>geográfica</w:t>
      </w:r>
      <w:r>
        <w:rPr>
          <w:color w:val="231F20"/>
          <w:spacing w:val="-16"/>
        </w:rPr>
        <w:t> </w:t>
      </w:r>
      <w:r>
        <w:rPr>
          <w:color w:val="231F20"/>
        </w:rPr>
        <w:t>y el</w:t>
      </w:r>
      <w:r>
        <w:rPr>
          <w:color w:val="231F20"/>
          <w:spacing w:val="-9"/>
        </w:rPr>
        <w:t> </w:t>
      </w:r>
      <w:r>
        <w:rPr>
          <w:color w:val="231F20"/>
        </w:rPr>
        <w:t>entorno</w:t>
      </w:r>
      <w:r>
        <w:rPr>
          <w:color w:val="231F20"/>
          <w:spacing w:val="-9"/>
        </w:rPr>
        <w:t> </w:t>
      </w:r>
      <w:r>
        <w:rPr>
          <w:color w:val="231F20"/>
        </w:rPr>
        <w:t>macroeconómico</w:t>
      </w:r>
      <w:r>
        <w:rPr>
          <w:color w:val="231F20"/>
          <w:spacing w:val="-9"/>
        </w:rPr>
        <w:t> </w:t>
      </w:r>
      <w:r>
        <w:rPr>
          <w:color w:val="231F20"/>
        </w:rPr>
        <w:t>general</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receptor;</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grado</w:t>
      </w:r>
      <w:r>
        <w:rPr>
          <w:color w:val="231F20"/>
          <w:spacing w:val="-9"/>
        </w:rPr>
        <w:t> </w:t>
      </w:r>
      <w:r>
        <w:rPr>
          <w:color w:val="231F20"/>
        </w:rPr>
        <w:t>de</w:t>
      </w:r>
      <w:r>
        <w:rPr>
          <w:color w:val="231F20"/>
          <w:spacing w:val="-9"/>
        </w:rPr>
        <w:t> </w:t>
      </w:r>
      <w:r>
        <w:rPr>
          <w:color w:val="231F20"/>
        </w:rPr>
        <w:t>apertura</w:t>
      </w:r>
      <w:r>
        <w:rPr>
          <w:color w:val="231F20"/>
          <w:spacing w:val="-9"/>
        </w:rPr>
        <w:t> </w:t>
      </w:r>
      <w:r>
        <w:rPr>
          <w:color w:val="231F20"/>
        </w:rPr>
        <w:t>comercial o</w:t>
      </w:r>
      <w:r>
        <w:rPr>
          <w:color w:val="231F20"/>
          <w:spacing w:val="-11"/>
        </w:rPr>
        <w:t> </w:t>
      </w:r>
      <w:r>
        <w:rPr>
          <w:color w:val="231F20"/>
        </w:rPr>
        <w:t>el</w:t>
      </w:r>
      <w:r>
        <w:rPr>
          <w:color w:val="231F20"/>
          <w:spacing w:val="-11"/>
        </w:rPr>
        <w:t> </w:t>
      </w:r>
      <w:r>
        <w:rPr>
          <w:color w:val="231F20"/>
        </w:rPr>
        <w:t>nivel</w:t>
      </w:r>
      <w:r>
        <w:rPr>
          <w:color w:val="231F20"/>
          <w:spacing w:val="-11"/>
        </w:rPr>
        <w:t> </w:t>
      </w:r>
      <w:r>
        <w:rPr>
          <w:color w:val="231F20"/>
        </w:rPr>
        <w:t>de</w:t>
      </w:r>
      <w:r>
        <w:rPr>
          <w:color w:val="231F20"/>
          <w:spacing w:val="-11"/>
        </w:rPr>
        <w:t> </w:t>
      </w:r>
      <w:r>
        <w:rPr>
          <w:color w:val="231F20"/>
        </w:rPr>
        <w:t>exportaciones.</w:t>
      </w:r>
    </w:p>
    <w:p>
      <w:pPr>
        <w:pStyle w:val="BodyText"/>
        <w:spacing w:line="278" w:lineRule="auto" w:before="1"/>
        <w:ind w:left="653" w:right="100" w:firstLine="396"/>
        <w:jc w:val="both"/>
      </w:pPr>
      <w:r>
        <w:rPr>
          <w:color w:val="231F20"/>
        </w:rPr>
        <w:t>A nivel de entidad federativa los flujos de la IED dependen de factores como la apertura comercial y financiera. La innovación tecnológica en las comunicaciones ha estimulado</w:t>
      </w:r>
      <w:r>
        <w:rPr>
          <w:color w:val="231F20"/>
          <w:spacing w:val="-10"/>
        </w:rPr>
        <w:t> </w:t>
      </w:r>
      <w:r>
        <w:rPr>
          <w:color w:val="231F20"/>
        </w:rPr>
        <w:t>a</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transnacionales</w:t>
      </w:r>
      <w:r>
        <w:rPr>
          <w:color w:val="231F20"/>
          <w:spacing w:val="-10"/>
        </w:rPr>
        <w:t> </w:t>
      </w:r>
      <w:r>
        <w:rPr>
          <w:color w:val="231F20"/>
        </w:rPr>
        <w:t>a</w:t>
      </w:r>
      <w:r>
        <w:rPr>
          <w:color w:val="231F20"/>
          <w:spacing w:val="-10"/>
        </w:rPr>
        <w:t> </w:t>
      </w:r>
      <w:r>
        <w:rPr>
          <w:color w:val="231F20"/>
        </w:rPr>
        <w:t>ubicarse</w:t>
      </w:r>
      <w:r>
        <w:rPr>
          <w:color w:val="231F20"/>
          <w:spacing w:val="-10"/>
        </w:rPr>
        <w:t> </w:t>
      </w:r>
      <w:r>
        <w:rPr>
          <w:color w:val="231F20"/>
        </w:rPr>
        <w:t>en</w:t>
      </w:r>
      <w:r>
        <w:rPr>
          <w:color w:val="231F20"/>
          <w:spacing w:val="-10"/>
        </w:rPr>
        <w:t> </w:t>
      </w:r>
      <w:r>
        <w:rPr>
          <w:color w:val="231F20"/>
        </w:rPr>
        <w:t>ciertos</w:t>
      </w:r>
      <w:r>
        <w:rPr>
          <w:color w:val="231F20"/>
          <w:spacing w:val="-10"/>
        </w:rPr>
        <w:t> </w:t>
      </w:r>
      <w:r>
        <w:rPr>
          <w:color w:val="231F20"/>
        </w:rPr>
        <w:t>territorios</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países receptores, con el fin de aprovechar la presencia de ciertas ventajas de localización, de infraestructura, incluso de disponibilidad de capital </w:t>
      </w:r>
      <w:r>
        <w:rPr>
          <w:color w:val="231F20"/>
          <w:spacing w:val="-3"/>
        </w:rPr>
        <w:t>humano, </w:t>
      </w:r>
      <w:r>
        <w:rPr>
          <w:color w:val="231F20"/>
        </w:rPr>
        <w:t>así como de cercanía con</w:t>
      </w:r>
      <w:r>
        <w:rPr>
          <w:color w:val="231F20"/>
          <w:spacing w:val="-13"/>
        </w:rPr>
        <w:t> </w:t>
      </w:r>
      <w:r>
        <w:rPr>
          <w:color w:val="231F20"/>
        </w:rPr>
        <w:t>los</w:t>
      </w:r>
      <w:r>
        <w:rPr>
          <w:color w:val="231F20"/>
          <w:spacing w:val="-13"/>
        </w:rPr>
        <w:t> </w:t>
      </w:r>
      <w:r>
        <w:rPr>
          <w:color w:val="231F20"/>
        </w:rPr>
        <w:t>mercados</w:t>
      </w:r>
      <w:r>
        <w:rPr>
          <w:color w:val="231F20"/>
          <w:spacing w:val="-13"/>
        </w:rPr>
        <w:t> </w:t>
      </w:r>
      <w:r>
        <w:rPr>
          <w:color w:val="231F20"/>
        </w:rPr>
        <w:t>o</w:t>
      </w:r>
      <w:r>
        <w:rPr>
          <w:color w:val="231F20"/>
          <w:spacing w:val="-13"/>
        </w:rPr>
        <w:t> </w:t>
      </w:r>
      <w:r>
        <w:rPr>
          <w:color w:val="231F20"/>
        </w:rPr>
        <w:t>facilidades</w:t>
      </w:r>
      <w:r>
        <w:rPr>
          <w:color w:val="231F20"/>
          <w:spacing w:val="-13"/>
        </w:rPr>
        <w:t> </w:t>
      </w:r>
      <w:r>
        <w:rPr>
          <w:color w:val="231F20"/>
        </w:rPr>
        <w:t>fiscales</w:t>
      </w:r>
      <w:r>
        <w:rPr>
          <w:color w:val="231F20"/>
          <w:spacing w:val="-13"/>
        </w:rPr>
        <w:t> </w:t>
      </w:r>
      <w:r>
        <w:rPr>
          <w:color w:val="231F20"/>
        </w:rPr>
        <w:t>por</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gobiernos</w:t>
      </w:r>
      <w:r>
        <w:rPr>
          <w:color w:val="231F20"/>
          <w:spacing w:val="-13"/>
        </w:rPr>
        <w:t> </w:t>
      </w:r>
      <w:r>
        <w:rPr>
          <w:color w:val="231F20"/>
        </w:rPr>
        <w:t>locales</w:t>
      </w:r>
      <w:r>
        <w:rPr>
          <w:color w:val="231F20"/>
          <w:spacing w:val="-13"/>
        </w:rPr>
        <w:t> </w:t>
      </w:r>
      <w:r>
        <w:rPr>
          <w:color w:val="010202"/>
        </w:rPr>
        <w:t>(véase</w:t>
      </w:r>
      <w:r>
        <w:rPr>
          <w:color w:val="010202"/>
          <w:spacing w:val="-13"/>
        </w:rPr>
        <w:t> </w:t>
      </w:r>
      <w:r>
        <w:rPr>
          <w:color w:val="010202"/>
        </w:rPr>
        <w:t>Dussel </w:t>
      </w:r>
      <w:r>
        <w:rPr>
          <w:color w:val="010202"/>
          <w:w w:val="95"/>
        </w:rPr>
        <w:t>Peters,</w:t>
      </w:r>
      <w:r>
        <w:rPr>
          <w:color w:val="010202"/>
          <w:spacing w:val="21"/>
          <w:w w:val="95"/>
        </w:rPr>
        <w:t> </w:t>
      </w:r>
      <w:r>
        <w:rPr>
          <w:color w:val="010202"/>
          <w:w w:val="95"/>
        </w:rPr>
        <w:t>2007).</w:t>
      </w:r>
    </w:p>
    <w:p>
      <w:pPr>
        <w:pStyle w:val="BodyText"/>
        <w:spacing w:line="278" w:lineRule="auto" w:before="1"/>
        <w:ind w:left="653" w:right="101" w:firstLine="396"/>
        <w:jc w:val="both"/>
      </w:pPr>
      <w:r>
        <w:rPr>
          <w:color w:val="231F20"/>
        </w:rPr>
        <w:t>En</w:t>
      </w:r>
      <w:r>
        <w:rPr>
          <w:color w:val="231F20"/>
          <w:spacing w:val="-13"/>
        </w:rPr>
        <w:t> </w:t>
      </w:r>
      <w:r>
        <w:rPr>
          <w:color w:val="231F20"/>
        </w:rPr>
        <w:t>este</w:t>
      </w:r>
      <w:r>
        <w:rPr>
          <w:color w:val="231F20"/>
          <w:spacing w:val="-13"/>
        </w:rPr>
        <w:t> </w:t>
      </w:r>
      <w:r>
        <w:rPr>
          <w:color w:val="231F20"/>
        </w:rPr>
        <w:t>contexto,</w:t>
      </w:r>
      <w:r>
        <w:rPr>
          <w:color w:val="231F20"/>
          <w:spacing w:val="-13"/>
        </w:rPr>
        <w:t> </w:t>
      </w:r>
      <w:r>
        <w:rPr>
          <w:color w:val="231F20"/>
        </w:rPr>
        <w:t>los</w:t>
      </w:r>
      <w:r>
        <w:rPr>
          <w:color w:val="231F20"/>
          <w:spacing w:val="-13"/>
        </w:rPr>
        <w:t> </w:t>
      </w:r>
      <w:r>
        <w:rPr>
          <w:color w:val="231F20"/>
        </w:rPr>
        <w:t>datos</w:t>
      </w:r>
      <w:r>
        <w:rPr>
          <w:color w:val="231F20"/>
          <w:spacing w:val="-13"/>
        </w:rPr>
        <w:t> </w:t>
      </w:r>
      <w:r>
        <w:rPr>
          <w:color w:val="231F20"/>
        </w:rPr>
        <w:t>muestran</w:t>
      </w:r>
      <w:r>
        <w:rPr>
          <w:color w:val="231F20"/>
          <w:spacing w:val="-13"/>
        </w:rPr>
        <w:t> </w:t>
      </w:r>
      <w:r>
        <w:rPr>
          <w:color w:val="231F20"/>
        </w:rPr>
        <w:t>que</w:t>
      </w:r>
      <w:r>
        <w:rPr>
          <w:color w:val="231F20"/>
          <w:spacing w:val="-13"/>
        </w:rPr>
        <w:t> </w:t>
      </w:r>
      <w:r>
        <w:rPr>
          <w:color w:val="231F20"/>
        </w:rPr>
        <w:t>gran</w:t>
      </w:r>
      <w:r>
        <w:rPr>
          <w:color w:val="231F20"/>
          <w:spacing w:val="-13"/>
        </w:rPr>
        <w:t> </w:t>
      </w:r>
      <w:r>
        <w:rPr>
          <w:color w:val="231F20"/>
        </w:rPr>
        <w:t>parte</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IED</w:t>
      </w:r>
      <w:r>
        <w:rPr>
          <w:color w:val="231F20"/>
          <w:spacing w:val="-13"/>
        </w:rPr>
        <w:t> </w:t>
      </w:r>
      <w:r>
        <w:rPr>
          <w:color w:val="231F20"/>
        </w:rPr>
        <w:t>realizada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sector automotriz durante los últimos años se ha canalizado hacia los estados del norte del país, principalmente Nuevo León y Chihuahua. </w:t>
      </w:r>
      <w:r>
        <w:rPr>
          <w:color w:val="231F20"/>
          <w:spacing w:val="-4"/>
        </w:rPr>
        <w:t>También </w:t>
      </w:r>
      <w:r>
        <w:rPr>
          <w:color w:val="231F20"/>
        </w:rPr>
        <w:t>se han hecho importantes inversiones dentro del sector en </w:t>
      </w:r>
      <w:r>
        <w:rPr>
          <w:color w:val="231F20"/>
          <w:spacing w:val="-3"/>
        </w:rPr>
        <w:t>Guanajuato, </w:t>
      </w:r>
      <w:r>
        <w:rPr>
          <w:color w:val="231F20"/>
        </w:rPr>
        <w:t>Querétaro y Puebla, tanto en la industria terminal como de autopartes, sobre todo en las dos primeras entidades. Si bien el Es- tado de México ha recibido inversiones, éstas han sido en menor proporción que las recibidas por otros estados (véase cuadro</w:t>
      </w:r>
      <w:r>
        <w:rPr>
          <w:color w:val="231F20"/>
          <w:spacing w:val="-35"/>
        </w:rPr>
        <w:t> </w:t>
      </w:r>
      <w:r>
        <w:rPr>
          <w:color w:val="231F20"/>
        </w:rPr>
        <w:t>III.10).</w:t>
      </w:r>
    </w:p>
    <w:p>
      <w:pPr>
        <w:spacing w:after="0" w:line="278" w:lineRule="auto"/>
        <w:jc w:val="both"/>
        <w:sectPr>
          <w:pgSz w:w="9640" w:h="13040"/>
          <w:pgMar w:header="581" w:footer="654" w:top="780" w:bottom="840" w:left="480" w:right="1200"/>
        </w:sectPr>
      </w:pPr>
    </w:p>
    <w:p>
      <w:pPr>
        <w:pStyle w:val="BodyText"/>
        <w:rPr>
          <w:sz w:val="20"/>
        </w:rPr>
      </w:pPr>
      <w:r>
        <w:rPr/>
        <w:pict>
          <v:shape style="position:absolute;margin-left:606.909912pt;margin-top:109.614304pt;width:20.1pt;height:271.2pt;mso-position-horizontal-relative:page;mso-position-vertical-relative:page;z-index:9280"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2"/>
                      <w:sz w:val="16"/>
                    </w:rPr>
                    <w:t>III.</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r>
                    <w:rPr>
                      <w:rFonts w:ascii="Palatino Linotype" w:hAnsi="Palatino Linotype"/>
                      <w:color w:val="231F20"/>
                      <w:spacing w:val="-4"/>
                      <w:sz w:val="16"/>
                    </w:rPr>
                    <w:t> </w:t>
                  </w: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2"/>
                      <w:w w:val="100"/>
                      <w:sz w:val="16"/>
                    </w:rPr>
                    <w:t>e</w:t>
                  </w:r>
                  <w:r>
                    <w:rPr>
                      <w:rFonts w:ascii="Palatino Linotype" w:hAnsi="Palatino Linotype"/>
                      <w:color w:val="231F20"/>
                      <w:spacing w:val="-6"/>
                      <w:w w:val="100"/>
                      <w:sz w:val="16"/>
                    </w:rPr>
                    <w:t>v</w:t>
                  </w:r>
                  <w:r>
                    <w:rPr>
                      <w:rFonts w:ascii="Palatino Linotype" w:hAnsi="Palatino Linotype"/>
                      <w:color w:val="231F20"/>
                      <w:spacing w:val="-1"/>
                      <w:w w:val="106"/>
                      <w:sz w:val="16"/>
                    </w:rPr>
                    <w:t>o</w:t>
                  </w:r>
                  <w:r>
                    <w:rPr>
                      <w:rFonts w:ascii="Palatino Linotype" w:hAnsi="Palatino Linotype"/>
                      <w:color w:val="231F20"/>
                      <w:spacing w:val="-4"/>
                      <w:w w:val="158"/>
                      <w:sz w:val="16"/>
                    </w:rPr>
                    <w:t>l</w:t>
                  </w:r>
                  <w:r>
                    <w:rPr>
                      <w:rFonts w:ascii="Palatino Linotype" w:hAnsi="Palatino Linotype"/>
                      <w:color w:val="231F20"/>
                      <w:w w:val="106"/>
                      <w:sz w:val="16"/>
                    </w:rPr>
                    <w:t>uci</w:t>
                  </w:r>
                  <w:r>
                    <w:rPr>
                      <w:rFonts w:ascii="Palatino Linotype" w:hAnsi="Palatino Linotype"/>
                      <w:color w:val="231F20"/>
                      <w:spacing w:val="-1"/>
                      <w:w w:val="106"/>
                      <w:sz w:val="16"/>
                    </w:rPr>
                    <w:t>ó</w:t>
                  </w:r>
                  <w:r>
                    <w:rPr>
                      <w:rFonts w:ascii="Palatino Linotype" w:hAnsi="Palatino Linotype"/>
                      <w:color w:val="231F20"/>
                      <w:w w:val="97"/>
                      <w:sz w:val="16"/>
                    </w:rPr>
                    <w:t>n,</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w w:val="107"/>
                      <w:sz w:val="16"/>
                    </w:rPr>
                    <w:t>ten</w:t>
                  </w:r>
                  <w:r>
                    <w:rPr>
                      <w:rFonts w:ascii="Palatino Linotype" w:hAnsi="Palatino Linotype"/>
                      <w:color w:val="231F20"/>
                      <w:spacing w:val="-1"/>
                      <w:w w:val="107"/>
                      <w:sz w:val="16"/>
                    </w:rPr>
                    <w:t>d</w:t>
                  </w:r>
                  <w:r>
                    <w:rPr>
                      <w:rFonts w:ascii="Palatino Linotype" w:hAnsi="Palatino Linotype"/>
                      <w:color w:val="231F20"/>
                      <w:w w:val="105"/>
                      <w:sz w:val="16"/>
                    </w:rPr>
                    <w:t>enc</w:t>
                  </w:r>
                  <w:r>
                    <w:rPr>
                      <w:rFonts w:ascii="Palatino Linotype" w:hAnsi="Palatino Linotype"/>
                      <w:color w:val="231F20"/>
                      <w:spacing w:val="-3"/>
                      <w:w w:val="105"/>
                      <w:sz w:val="16"/>
                    </w:rPr>
                    <w:t>i</w:t>
                  </w:r>
                  <w:r>
                    <w:rPr>
                      <w:rFonts w:ascii="Palatino Linotype" w:hAnsi="Palatino Linotype"/>
                      <w:color w:val="231F20"/>
                      <w:spacing w:val="-2"/>
                      <w:w w:val="113"/>
                      <w:sz w:val="16"/>
                    </w:rPr>
                    <w:t>a</w:t>
                  </w:r>
                  <w:r>
                    <w:rPr>
                      <w:rFonts w:ascii="Palatino Linotype" w:hAnsi="Palatino Linotype"/>
                      <w:color w:val="231F20"/>
                      <w:w w:val="96"/>
                      <w:sz w:val="16"/>
                    </w:rPr>
                    <w:t>s</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w w:val="126"/>
                      <w:sz w:val="16"/>
                    </w:rPr>
                    <w:t>c</w:t>
                  </w:r>
                  <w:r>
                    <w:rPr>
                      <w:rFonts w:ascii="Palatino Linotype" w:hAnsi="Palatino Linotype"/>
                      <w:color w:val="231F20"/>
                      <w:spacing w:val="-2"/>
                      <w:w w:val="126"/>
                      <w:sz w:val="16"/>
                    </w:rPr>
                    <w:t>r</w:t>
                  </w:r>
                  <w:r>
                    <w:rPr>
                      <w:rFonts w:ascii="Palatino Linotype" w:hAnsi="Palatino Linotype"/>
                      <w:color w:val="231F20"/>
                      <w:w w:val="103"/>
                      <w:sz w:val="16"/>
                    </w:rPr>
                    <w:t>ecimien</w:t>
                  </w:r>
                  <w:r>
                    <w:rPr>
                      <w:rFonts w:ascii="Palatino Linotype" w:hAnsi="Palatino Linotype"/>
                      <w:color w:val="231F20"/>
                      <w:spacing w:val="-1"/>
                      <w:w w:val="103"/>
                      <w:sz w:val="16"/>
                    </w:rPr>
                    <w:t>t</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9.979095pt;width:14pt;height:13.7pt;mso-position-horizontal-relative:page;mso-position-vertical-relative:page;z-index:9304" type="#_x0000_t202" filled="false" stroked="false">
            <v:textbox inset="0,0,0,0" style="layout-flow:vertical">
              <w:txbxContent>
                <w:p>
                  <w:pPr>
                    <w:spacing w:line="248" w:lineRule="exact" w:before="0"/>
                    <w:ind w:left="20" w:right="-110" w:firstLine="0"/>
                    <w:jc w:val="left"/>
                    <w:rPr>
                      <w:sz w:val="24"/>
                    </w:rPr>
                  </w:pPr>
                  <w:r>
                    <w:rPr>
                      <w:color w:val="231F20"/>
                      <w:w w:val="97"/>
                      <w:sz w:val="24"/>
                    </w:rPr>
                    <w:t>99</w:t>
                  </w:r>
                </w:p>
              </w:txbxContent>
            </v:textbox>
            <w10:wrap type="none"/>
          </v:shape>
        </w:pict>
      </w: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4"/>
        <w:spacing w:before="34"/>
        <w:ind w:left="228" w:right="225"/>
      </w:pPr>
      <w:r>
        <w:rPr>
          <w:color w:val="231F20"/>
          <w:w w:val="95"/>
        </w:rPr>
        <w:t>Cuadro III.10</w:t>
      </w:r>
    </w:p>
    <w:p>
      <w:pPr>
        <w:spacing w:line="282" w:lineRule="exact" w:before="0"/>
        <w:ind w:left="228" w:right="225" w:firstLine="0"/>
        <w:jc w:val="center"/>
        <w:rPr>
          <w:rFonts w:ascii="Palatino Linotype" w:hAnsi="Palatino Linotype"/>
          <w:b/>
          <w:sz w:val="21"/>
        </w:rPr>
      </w:pPr>
      <w:r>
        <w:rPr>
          <w:rFonts w:ascii="Palatino Linotype" w:hAnsi="Palatino Linotype"/>
          <w:b/>
          <w:color w:val="231F20"/>
          <w:w w:val="95"/>
          <w:sz w:val="21"/>
        </w:rPr>
        <w:t>Destino de la inversión extranjera directa del sector automotriz, 1997-2013</w:t>
      </w:r>
    </w:p>
    <w:p>
      <w:pPr>
        <w:spacing w:before="17"/>
        <w:ind w:left="228" w:right="225" w:firstLine="0"/>
        <w:jc w:val="center"/>
        <w:rPr>
          <w:rFonts w:ascii="Palatino Linotype"/>
          <w:b/>
          <w:sz w:val="19"/>
        </w:rPr>
      </w:pPr>
      <w:r>
        <w:rPr>
          <w:rFonts w:ascii="Palatino Linotype"/>
          <w:b/>
          <w:color w:val="231F20"/>
          <w:sz w:val="19"/>
        </w:rPr>
        <w:t>(Porcentaje)</w:t>
      </w:r>
    </w:p>
    <w:p>
      <w:pPr>
        <w:pStyle w:val="BodyText"/>
        <w:spacing w:before="5"/>
        <w:rPr>
          <w:rFonts w:ascii="Palatino Linotype"/>
          <w:b/>
          <w:sz w:val="11"/>
        </w:rPr>
      </w:pPr>
      <w:r>
        <w:rPr/>
        <w:pict>
          <v:group style="position:absolute;margin-left:64.9468pt;margin-top:9.660494pt;width:519.5500pt;height:.5pt;mso-position-horizontal-relative:page;mso-position-vertical-relative:paragraph;z-index:9208;mso-wrap-distance-left:0;mso-wrap-distance-right:0" coordorigin="1299,193" coordsize="10391,10">
            <v:line style="position:absolute" from="1304,198" to="2806,198" stroked="true" strokeweight=".5pt" strokecolor="#231f20"/>
            <v:line style="position:absolute" from="2806,198" to="3300,198" stroked="true" strokeweight=".5pt" strokecolor="#231f20"/>
            <v:line style="position:absolute" from="3300,198" to="3793,198" stroked="true" strokeweight=".5pt" strokecolor="#231f20"/>
            <v:line style="position:absolute" from="3793,198" to="4286,198" stroked="true" strokeweight=".5pt" strokecolor="#231f20"/>
            <v:line style="position:absolute" from="4286,198" to="4779,198" stroked="true" strokeweight=".5pt" strokecolor="#231f20"/>
            <v:line style="position:absolute" from="4779,198" to="5272,198" stroked="true" strokeweight=".5pt" strokecolor="#231f20"/>
            <v:line style="position:absolute" from="5272,198" to="5766,198" stroked="true" strokeweight=".5pt" strokecolor="#231f20"/>
            <v:line style="position:absolute" from="5766,198" to="6259,198" stroked="true" strokeweight=".5pt" strokecolor="#231f20"/>
            <v:line style="position:absolute" from="6259,198" to="6752,198" stroked="true" strokeweight=".5pt" strokecolor="#231f20"/>
            <v:line style="position:absolute" from="6752,198" to="7245,198" stroked="true" strokeweight=".5pt" strokecolor="#231f20"/>
            <v:line style="position:absolute" from="7245,198" to="7739,198" stroked="true" strokeweight=".5pt" strokecolor="#231f20"/>
            <v:line style="position:absolute" from="7739,198" to="8232,198" stroked="true" strokeweight=".5pt" strokecolor="#231f20"/>
            <v:line style="position:absolute" from="8232,198" to="8725,198" stroked="true" strokeweight=".5pt" strokecolor="#231f20"/>
            <v:line style="position:absolute" from="8725,198" to="9218,198" stroked="true" strokeweight=".5pt" strokecolor="#231f20"/>
            <v:line style="position:absolute" from="9218,198" to="9711,198" stroked="true" strokeweight=".5pt" strokecolor="#231f20"/>
            <v:line style="position:absolute" from="9711,198" to="10205,198" stroked="true" strokeweight=".5pt" strokecolor="#231f20"/>
            <v:line style="position:absolute" from="10205,198" to="10698,198" stroked="true" strokeweight=".5pt" strokecolor="#231f20"/>
            <v:line style="position:absolute" from="10698,198" to="11191,198" stroked="true" strokeweight=".5pt" strokecolor="#231f20"/>
            <v:line style="position:absolute" from="11191,198" to="11684,198" stroked="true" strokeweight=".5pt" strokecolor="#231f20"/>
            <w10:wrap type="topAndBottom"/>
          </v:group>
        </w:pict>
      </w:r>
    </w:p>
    <w:p>
      <w:pPr>
        <w:tabs>
          <w:tab w:pos="1712" w:val="left" w:leader="none"/>
        </w:tabs>
        <w:spacing w:before="12" w:after="45"/>
        <w:ind w:left="238" w:right="0" w:firstLine="0"/>
        <w:jc w:val="left"/>
        <w:rPr>
          <w:rFonts w:ascii="Palatino Linotype"/>
          <w:b/>
          <w:sz w:val="16"/>
        </w:rPr>
      </w:pPr>
      <w:r>
        <w:rPr>
          <w:rFonts w:ascii="Palatino Linotype"/>
          <w:b/>
          <w:color w:val="231F20"/>
          <w:w w:val="95"/>
          <w:sz w:val="16"/>
        </w:rPr>
        <w:t>Entidad</w:t>
      </w:r>
      <w:r>
        <w:rPr>
          <w:rFonts w:ascii="Palatino Linotype"/>
          <w:b/>
          <w:color w:val="231F20"/>
          <w:spacing w:val="-15"/>
          <w:w w:val="95"/>
          <w:sz w:val="16"/>
        </w:rPr>
        <w:t> </w:t>
      </w:r>
      <w:r>
        <w:rPr>
          <w:rFonts w:ascii="Palatino Linotype"/>
          <w:b/>
          <w:color w:val="231F20"/>
          <w:w w:val="95"/>
          <w:sz w:val="16"/>
        </w:rPr>
        <w:t>Federativa</w:t>
        <w:tab/>
      </w:r>
      <w:r>
        <w:rPr>
          <w:rFonts w:ascii="Palatino Linotype"/>
          <w:b/>
          <w:color w:val="231F20"/>
          <w:sz w:val="16"/>
        </w:rPr>
        <w:t>1996    1997    1998    1999    2000    2001    2002    2003    2004    2005    2006    2007    2008    2009    2010    2011    2012        </w:t>
      </w:r>
      <w:r>
        <w:rPr>
          <w:rFonts w:ascii="Palatino Linotype"/>
          <w:b/>
          <w:color w:val="231F20"/>
          <w:spacing w:val="20"/>
          <w:sz w:val="16"/>
        </w:rPr>
        <w:t> </w:t>
      </w:r>
      <w:r>
        <w:rPr>
          <w:rFonts w:ascii="Palatino Linotype"/>
          <w:b/>
          <w:color w:val="231F20"/>
          <w:sz w:val="16"/>
        </w:rPr>
        <w:t>2013</w:t>
      </w:r>
    </w:p>
    <w:p>
      <w:pPr>
        <w:pStyle w:val="BodyText"/>
        <w:spacing w:line="20" w:lineRule="exact"/>
        <w:ind w:left="118"/>
        <w:rPr>
          <w:rFonts w:ascii="Palatino Linotype"/>
          <w:sz w:val="2"/>
        </w:rPr>
      </w:pPr>
      <w:r>
        <w:rPr>
          <w:rFonts w:ascii="Palatino Linotype"/>
          <w:sz w:val="2"/>
        </w:rPr>
        <w:pict>
          <v:group style="width:519.5500pt;height:.5pt;mso-position-horizontal-relative:char;mso-position-vertical-relative:line" coordorigin="0,0" coordsize="10391,10">
            <v:line style="position:absolute" from="5,5" to="1507,5" stroked="true" strokeweight=".5pt" strokecolor="#231f20"/>
            <v:line style="position:absolute" from="1507,5" to="2001,5" stroked="true" strokeweight=".5pt" strokecolor="#231f20"/>
            <v:line style="position:absolute" from="2001,5" to="2494,5" stroked="true" strokeweight=".5pt" strokecolor="#231f20"/>
            <v:line style="position:absolute" from="2494,5" to="2987,5" stroked="true" strokeweight=".5pt" strokecolor="#231f20"/>
            <v:line style="position:absolute" from="2987,5" to="3480,5" stroked="true" strokeweight=".5pt" strokecolor="#231f20"/>
            <v:line style="position:absolute" from="3480,5" to="3973,5" stroked="true" strokeweight=".5pt" strokecolor="#231f20"/>
            <v:line style="position:absolute" from="3974,5" to="4467,5" stroked="true" strokeweight=".5pt" strokecolor="#231f20"/>
            <v:line style="position:absolute" from="4467,5" to="4960,5" stroked="true" strokeweight=".5pt" strokecolor="#231f20"/>
            <v:line style="position:absolute" from="4960,5" to="5453,5" stroked="true" strokeweight=".5pt" strokecolor="#231f20"/>
            <v:line style="position:absolute" from="5453,5" to="5946,5" stroked="true" strokeweight=".5pt" strokecolor="#231f20"/>
            <v:line style="position:absolute" from="5946,5" to="6440,5" stroked="true" strokeweight=".5pt" strokecolor="#231f20"/>
            <v:line style="position:absolute" from="6440,5" to="6933,5" stroked="true" strokeweight=".5pt" strokecolor="#231f20"/>
            <v:line style="position:absolute" from="6933,5" to="7426,5" stroked="true" strokeweight=".5pt" strokecolor="#231f20"/>
            <v:line style="position:absolute" from="7426,5" to="7919,5" stroked="true" strokeweight=".5pt" strokecolor="#231f20"/>
            <v:line style="position:absolute" from="7919,5" to="8413,5" stroked="true" strokeweight=".5pt" strokecolor="#231f20"/>
            <v:line style="position:absolute" from="8413,5" to="8906,5" stroked="true" strokeweight=".5pt" strokecolor="#231f20"/>
            <v:line style="position:absolute" from="8906,5" to="9399,5" stroked="true" strokeweight=".5pt" strokecolor="#231f20"/>
            <v:line style="position:absolute" from="9399,5" to="9892,5" stroked="true" strokeweight=".5pt" strokecolor="#231f20"/>
            <v:line style="position:absolute" from="9892,5" to="10385,5" stroked="true" strokeweight=".5pt" strokecolor="#231f20"/>
          </v:group>
        </w:pict>
      </w:r>
      <w:r>
        <w:rPr>
          <w:rFonts w:ascii="Palatino Linotype"/>
          <w:sz w:val="2"/>
        </w:rPr>
      </w:r>
    </w:p>
    <w:p>
      <w:pPr>
        <w:tabs>
          <w:tab w:pos="1773" w:val="left" w:leader="none"/>
          <w:tab w:pos="2266" w:val="left" w:leader="none"/>
          <w:tab w:pos="2760" w:val="left" w:leader="none"/>
          <w:tab w:pos="3253" w:val="left" w:leader="none"/>
          <w:tab w:pos="3746" w:val="left" w:leader="none"/>
          <w:tab w:pos="4239" w:val="left" w:leader="none"/>
          <w:tab w:pos="4705" w:val="left" w:leader="none"/>
          <w:tab w:pos="5226" w:val="left" w:leader="none"/>
          <w:tab w:pos="5719" w:val="left" w:leader="none"/>
          <w:tab w:pos="6213" w:val="left" w:leader="none"/>
          <w:tab w:pos="6706" w:val="left" w:leader="none"/>
          <w:tab w:pos="7159" w:val="left" w:leader="none"/>
          <w:tab w:pos="7692" w:val="left" w:leader="none"/>
          <w:tab w:pos="8146" w:val="left" w:leader="none"/>
          <w:tab w:pos="8639" w:val="left" w:leader="none"/>
          <w:tab w:pos="9132" w:val="left" w:leader="none"/>
          <w:tab w:pos="9626" w:val="left" w:leader="none"/>
          <w:tab w:pos="10119" w:val="left" w:leader="none"/>
        </w:tabs>
        <w:spacing w:before="31"/>
        <w:ind w:left="181" w:right="0" w:firstLine="0"/>
        <w:jc w:val="left"/>
        <w:rPr>
          <w:rFonts w:ascii="Palatino Linotype"/>
          <w:b/>
          <w:sz w:val="16"/>
        </w:rPr>
      </w:pPr>
      <w:r>
        <w:rPr>
          <w:rFonts w:ascii="Palatino Linotype"/>
          <w:b/>
          <w:color w:val="231F20"/>
          <w:w w:val="95"/>
          <w:sz w:val="16"/>
        </w:rPr>
        <w:t>Aguascalientes</w:t>
        <w:tab/>
      </w:r>
      <w:r>
        <w:rPr>
          <w:rFonts w:ascii="Palatino Linotype"/>
          <w:b/>
          <w:color w:val="231F20"/>
          <w:sz w:val="16"/>
        </w:rPr>
        <w:t>2.5</w:t>
        <w:tab/>
        <w:t>0.8</w:t>
        <w:tab/>
        <w:t>3.9</w:t>
        <w:tab/>
        <w:t>0.5</w:t>
        <w:tab/>
        <w:t>1.9</w:t>
        <w:tab/>
        <w:t>6.4</w:t>
        <w:tab/>
        <w:t>-0.1</w:t>
        <w:tab/>
        <w:t>0.6</w:t>
        <w:tab/>
        <w:t>9.1</w:t>
        <w:tab/>
        <w:t>4.0</w:t>
        <w:tab/>
        <w:t>3.0</w:t>
        <w:tab/>
        <w:t>10.9</w:t>
        <w:tab/>
        <w:t>1.2</w:t>
        <w:tab/>
        <w:t>16.6</w:t>
        <w:tab/>
        <w:t>21.8</w:t>
        <w:tab/>
        <w:t>11.9</w:t>
        <w:tab/>
        <w:t>15.4</w:t>
        <w:tab/>
        <w:t>15.1</w:t>
      </w:r>
    </w:p>
    <w:p>
      <w:pPr>
        <w:tabs>
          <w:tab w:pos="1779" w:val="left" w:leader="none"/>
          <w:tab w:pos="2273" w:val="left" w:leader="none"/>
          <w:tab w:pos="2766" w:val="left" w:leader="none"/>
          <w:tab w:pos="3259" w:val="left" w:leader="none"/>
          <w:tab w:pos="3752" w:val="left" w:leader="none"/>
          <w:tab w:pos="4246" w:val="left" w:leader="none"/>
          <w:tab w:pos="4739" w:val="left" w:leader="none"/>
          <w:tab w:pos="5232" w:val="left" w:leader="none"/>
          <w:tab w:pos="5726" w:val="left" w:leader="none"/>
          <w:tab w:pos="6219" w:val="left" w:leader="none"/>
          <w:tab w:pos="6684" w:val="left" w:leader="none"/>
          <w:tab w:pos="7205" w:val="left" w:leader="none"/>
          <w:tab w:pos="7699" w:val="left" w:leader="none"/>
          <w:tab w:pos="8163" w:val="left" w:leader="none"/>
          <w:tab w:pos="8685" w:val="left" w:leader="none"/>
          <w:tab w:pos="9178" w:val="left" w:leader="none"/>
          <w:tab w:pos="9672" w:val="left" w:leader="none"/>
          <w:tab w:pos="10165" w:val="left" w:leader="none"/>
        </w:tabs>
        <w:spacing w:before="114"/>
        <w:ind w:left="182" w:right="0" w:firstLine="0"/>
        <w:jc w:val="left"/>
        <w:rPr>
          <w:sz w:val="16"/>
        </w:rPr>
      </w:pPr>
      <w:r>
        <w:rPr>
          <w:color w:val="231F20"/>
          <w:sz w:val="16"/>
        </w:rPr>
        <w:t>Baja</w:t>
      </w:r>
      <w:r>
        <w:rPr>
          <w:color w:val="231F20"/>
          <w:spacing w:val="-11"/>
          <w:sz w:val="16"/>
        </w:rPr>
        <w:t> </w:t>
      </w:r>
      <w:r>
        <w:rPr>
          <w:color w:val="231F20"/>
          <w:sz w:val="16"/>
        </w:rPr>
        <w:t>California</w:t>
        <w:tab/>
        <w:t>0.9</w:t>
        <w:tab/>
        <w:t>0.3</w:t>
        <w:tab/>
        <w:t>1.5</w:t>
        <w:tab/>
        <w:t>0.5</w:t>
        <w:tab/>
        <w:t>0.5</w:t>
        <w:tab/>
        <w:t>0.4</w:t>
        <w:tab/>
        <w:t>0.4</w:t>
        <w:tab/>
        <w:t>0.6</w:t>
        <w:tab/>
        <w:t>4.0</w:t>
        <w:tab/>
        <w:t>1.4</w:t>
        <w:tab/>
        <w:t>-0.4</w:t>
        <w:tab/>
        <w:t>1.2</w:t>
        <w:tab/>
        <w:t>1.5</w:t>
        <w:tab/>
        <w:t>-5.8</w:t>
        <w:tab/>
        <w:t>3.2</w:t>
        <w:tab/>
        <w:t>3.9</w:t>
        <w:tab/>
        <w:t>0.5</w:t>
        <w:tab/>
        <w:t>0.3</w:t>
      </w:r>
    </w:p>
    <w:p>
      <w:pPr>
        <w:spacing w:line="136" w:lineRule="exact" w:before="110"/>
        <w:ind w:left="183" w:right="0" w:firstLine="0"/>
        <w:jc w:val="left"/>
        <w:rPr>
          <w:sz w:val="16"/>
        </w:rPr>
      </w:pPr>
      <w:r>
        <w:rPr>
          <w:color w:val="231F20"/>
          <w:sz w:val="16"/>
        </w:rPr>
        <w:t>Coahuila de</w:t>
      </w:r>
    </w:p>
    <w:p>
      <w:pPr>
        <w:tabs>
          <w:tab w:pos="1780" w:val="left" w:leader="none"/>
          <w:tab w:pos="2274" w:val="left" w:leader="none"/>
          <w:tab w:pos="2767" w:val="left" w:leader="none"/>
          <w:tab w:pos="3260" w:val="left" w:leader="none"/>
          <w:tab w:pos="3753" w:val="left" w:leader="none"/>
          <w:tab w:pos="4247" w:val="left" w:leader="none"/>
          <w:tab w:pos="4740" w:val="left" w:leader="none"/>
          <w:tab w:pos="5233" w:val="left" w:leader="none"/>
          <w:tab w:pos="5726" w:val="left" w:leader="none"/>
          <w:tab w:pos="6191" w:val="left" w:leader="none"/>
          <w:tab w:pos="6713" w:val="left" w:leader="none"/>
          <w:tab w:pos="7206" w:val="left" w:leader="none"/>
          <w:tab w:pos="7661" w:val="left" w:leader="none"/>
          <w:tab w:pos="8193" w:val="left" w:leader="none"/>
          <w:tab w:pos="8686" w:val="left" w:leader="none"/>
          <w:tab w:pos="9179" w:val="left" w:leader="none"/>
          <w:tab w:pos="9673" w:val="left" w:leader="none"/>
          <w:tab w:pos="10166" w:val="left" w:leader="none"/>
        </w:tabs>
        <w:spacing w:line="226" w:lineRule="exact" w:before="0"/>
        <w:ind w:left="183" w:right="0" w:firstLine="0"/>
        <w:jc w:val="left"/>
        <w:rPr>
          <w:sz w:val="16"/>
        </w:rPr>
      </w:pPr>
      <w:r>
        <w:rPr>
          <w:color w:val="231F20"/>
          <w:position w:val="-8"/>
          <w:sz w:val="16"/>
        </w:rPr>
        <w:t>Zaragoza</w:t>
        <w:tab/>
      </w:r>
      <w:r>
        <w:rPr>
          <w:color w:val="231F20"/>
          <w:sz w:val="16"/>
        </w:rPr>
        <w:t>7.6</w:t>
        <w:tab/>
        <w:t>1.5</w:t>
        <w:tab/>
        <w:t>6.1</w:t>
        <w:tab/>
        <w:t>1.3</w:t>
        <w:tab/>
        <w:t>7.2</w:t>
        <w:tab/>
        <w:t>2.4</w:t>
        <w:tab/>
        <w:t>1.8</w:t>
        <w:tab/>
        <w:t>2.1</w:t>
        <w:tab/>
        <w:t>3.0</w:t>
        <w:tab/>
        <w:t>-0.4</w:t>
        <w:tab/>
        <w:t>8.4</w:t>
        <w:tab/>
        <w:t>3.2</w:t>
        <w:tab/>
        <w:t>10.1</w:t>
        <w:tab/>
        <w:t>3.4</w:t>
        <w:tab/>
        <w:t>3.7</w:t>
        <w:tab/>
        <w:t>0.6</w:t>
        <w:tab/>
        <w:t>0.7</w:t>
        <w:tab/>
        <w:t>1.2</w:t>
      </w:r>
    </w:p>
    <w:p>
      <w:pPr>
        <w:tabs>
          <w:tab w:pos="1736" w:val="left" w:leader="none"/>
          <w:tab w:pos="2229" w:val="left" w:leader="none"/>
          <w:tab w:pos="2722" w:val="left" w:leader="none"/>
          <w:tab w:pos="3256" w:val="left" w:leader="none"/>
          <w:tab w:pos="3749" w:val="left" w:leader="none"/>
          <w:tab w:pos="4242" w:val="left" w:leader="none"/>
          <w:tab w:pos="4696" w:val="left" w:leader="none"/>
          <w:tab w:pos="5189" w:val="left" w:leader="none"/>
          <w:tab w:pos="5722" w:val="left" w:leader="none"/>
          <w:tab w:pos="6175" w:val="left" w:leader="none"/>
          <w:tab w:pos="6669" w:val="left" w:leader="none"/>
          <w:tab w:pos="7162" w:val="left" w:leader="none"/>
          <w:tab w:pos="7655" w:val="left" w:leader="none"/>
          <w:tab w:pos="8149" w:val="left" w:leader="none"/>
          <w:tab w:pos="8642" w:val="left" w:leader="none"/>
          <w:tab w:pos="9135" w:val="left" w:leader="none"/>
          <w:tab w:pos="9628" w:val="left" w:leader="none"/>
          <w:tab w:pos="10122" w:val="left" w:leader="none"/>
        </w:tabs>
        <w:spacing w:before="89"/>
        <w:ind w:left="184" w:right="0" w:firstLine="0"/>
        <w:jc w:val="left"/>
        <w:rPr>
          <w:rFonts w:ascii="Palatino Linotype"/>
          <w:b/>
          <w:sz w:val="16"/>
        </w:rPr>
      </w:pPr>
      <w:r>
        <w:rPr>
          <w:rFonts w:ascii="Palatino Linotype"/>
          <w:b/>
          <w:color w:val="231F20"/>
          <w:w w:val="95"/>
          <w:sz w:val="16"/>
        </w:rPr>
        <w:t>Chihuahua</w:t>
        <w:tab/>
      </w:r>
      <w:r>
        <w:rPr>
          <w:rFonts w:ascii="Palatino Linotype"/>
          <w:b/>
          <w:color w:val="231F20"/>
          <w:sz w:val="16"/>
        </w:rPr>
        <w:t>18.8</w:t>
        <w:tab/>
        <w:t>10.6</w:t>
        <w:tab/>
        <w:t>27.1</w:t>
        <w:tab/>
        <w:t>6.4</w:t>
        <w:tab/>
        <w:t>8.1</w:t>
        <w:tab/>
        <w:t>7.7</w:t>
        <w:tab/>
        <w:t>11.7</w:t>
        <w:tab/>
        <w:t>13.0</w:t>
        <w:tab/>
        <w:t>6.9</w:t>
        <w:tab/>
        <w:t>23.9</w:t>
        <w:tab/>
        <w:t>34.0</w:t>
        <w:tab/>
        <w:t>26.3</w:t>
        <w:tab/>
        <w:t>22.3</w:t>
        <w:tab/>
        <w:t>21.3</w:t>
        <w:tab/>
        <w:t>31.7</w:t>
        <w:tab/>
        <w:t>19.7</w:t>
        <w:tab/>
        <w:t>17.5</w:t>
        <w:tab/>
        <w:t>30.7</w:t>
      </w:r>
    </w:p>
    <w:p>
      <w:pPr>
        <w:tabs>
          <w:tab w:pos="1737" w:val="left" w:leader="none"/>
          <w:tab w:pos="2230" w:val="left" w:leader="none"/>
          <w:tab w:pos="2763" w:val="left" w:leader="none"/>
          <w:tab w:pos="3217" w:val="left" w:leader="none"/>
          <w:tab w:pos="3710" w:val="left" w:leader="none"/>
          <w:tab w:pos="4203" w:val="left" w:leader="none"/>
          <w:tab w:pos="4697" w:val="left" w:leader="none"/>
          <w:tab w:pos="5190" w:val="left" w:leader="none"/>
          <w:tab w:pos="5683" w:val="left" w:leader="none"/>
          <w:tab w:pos="6176" w:val="left" w:leader="none"/>
          <w:tab w:pos="6670" w:val="left" w:leader="none"/>
          <w:tab w:pos="7163" w:val="left" w:leader="none"/>
          <w:tab w:pos="7696" w:val="left" w:leader="none"/>
          <w:tab w:pos="8190" w:val="left" w:leader="none"/>
          <w:tab w:pos="8615" w:val="left" w:leader="none"/>
          <w:tab w:pos="9629" w:val="left" w:leader="none"/>
          <w:tab w:pos="10135" w:val="left" w:leader="none"/>
        </w:tabs>
        <w:spacing w:before="96"/>
        <w:ind w:left="185" w:right="0" w:firstLine="0"/>
        <w:jc w:val="left"/>
        <w:rPr>
          <w:rFonts w:ascii="Palatino Linotype"/>
          <w:b/>
          <w:sz w:val="16"/>
        </w:rPr>
      </w:pPr>
      <w:r>
        <w:rPr>
          <w:rFonts w:ascii="Palatino Linotype"/>
          <w:b/>
          <w:color w:val="231F20"/>
          <w:sz w:val="16"/>
        </w:rPr>
        <w:t>Distrito</w:t>
      </w:r>
      <w:r>
        <w:rPr>
          <w:rFonts w:ascii="Palatino Linotype"/>
          <w:b/>
          <w:color w:val="231F20"/>
          <w:spacing w:val="-26"/>
          <w:sz w:val="16"/>
        </w:rPr>
        <w:t> </w:t>
      </w:r>
      <w:r>
        <w:rPr>
          <w:rFonts w:ascii="Palatino Linotype"/>
          <w:b/>
          <w:color w:val="231F20"/>
          <w:sz w:val="16"/>
        </w:rPr>
        <w:t>Federal</w:t>
        <w:tab/>
        <w:t>42.3</w:t>
        <w:tab/>
        <w:t>36.3</w:t>
        <w:tab/>
        <w:t>8.7</w:t>
        <w:tab/>
        <w:t>73.6</w:t>
        <w:tab/>
        <w:t>29.3</w:t>
        <w:tab/>
        <w:t>40.0</w:t>
        <w:tab/>
        <w:t>39.1</w:t>
        <w:tab/>
        <w:t>19.8</w:t>
        <w:tab/>
        <w:t>48.6</w:t>
        <w:tab/>
        <w:t>22.1</w:t>
        <w:tab/>
        <w:t>10.5</w:t>
        <w:tab/>
        <w:t>20.3</w:t>
        <w:tab/>
        <w:t>2.7</w:t>
        <w:tab/>
        <w:t>3.0</w:t>
        <w:tab/>
        <w:t>-21.8   </w:t>
      </w:r>
      <w:r>
        <w:rPr>
          <w:rFonts w:ascii="Palatino Linotype"/>
          <w:b/>
          <w:color w:val="231F20"/>
          <w:spacing w:val="26"/>
          <w:sz w:val="16"/>
        </w:rPr>
        <w:t> </w:t>
      </w:r>
      <w:r>
        <w:rPr>
          <w:rFonts w:ascii="Palatino Linotype"/>
          <w:b/>
          <w:color w:val="231F20"/>
          <w:sz w:val="16"/>
        </w:rPr>
        <w:t>34.6</w:t>
        <w:tab/>
        <w:t>13.2</w:t>
        <w:tab/>
        <w:t>-0.7</w:t>
      </w:r>
    </w:p>
    <w:p>
      <w:pPr>
        <w:tabs>
          <w:tab w:pos="1840" w:val="left" w:leader="none"/>
          <w:tab w:pos="2276" w:val="left" w:leader="none"/>
          <w:tab w:pos="2770" w:val="left" w:leader="none"/>
          <w:tab w:pos="3263" w:val="left" w:leader="none"/>
          <w:tab w:pos="3756" w:val="left" w:leader="none"/>
          <w:tab w:pos="4250" w:val="left" w:leader="none"/>
          <w:tab w:pos="4743" w:val="left" w:leader="none"/>
          <w:tab w:pos="5236" w:val="left" w:leader="none"/>
          <w:tab w:pos="5729" w:val="left" w:leader="none"/>
          <w:tab w:pos="6223" w:val="left" w:leader="none"/>
          <w:tab w:pos="6716" w:val="left" w:leader="none"/>
          <w:tab w:pos="7209" w:val="left" w:leader="none"/>
          <w:tab w:pos="7702" w:val="left" w:leader="none"/>
          <w:tab w:pos="8196" w:val="left" w:leader="none"/>
          <w:tab w:pos="8689" w:val="left" w:leader="none"/>
          <w:tab w:pos="9182" w:val="left" w:leader="none"/>
          <w:tab w:pos="9676" w:val="left" w:leader="none"/>
          <w:tab w:pos="10169" w:val="left" w:leader="none"/>
        </w:tabs>
        <w:spacing w:before="114"/>
        <w:ind w:left="186" w:right="0" w:firstLine="0"/>
        <w:jc w:val="left"/>
        <w:rPr>
          <w:sz w:val="16"/>
        </w:rPr>
      </w:pPr>
      <w:r>
        <w:rPr>
          <w:color w:val="231F20"/>
          <w:sz w:val="16"/>
        </w:rPr>
        <w:t>Durango</w:t>
        <w:tab/>
        <w:t>0</w:t>
        <w:tab/>
        <w:t>0.0</w:t>
        <w:tab/>
        <w:t>0.0</w:t>
        <w:tab/>
        <w:t>0.0</w:t>
        <w:tab/>
        <w:t>0.0</w:t>
        <w:tab/>
        <w:t>0.0</w:t>
        <w:tab/>
        <w:t>0.0</w:t>
        <w:tab/>
        <w:t>0.3</w:t>
        <w:tab/>
        <w:t>0.0</w:t>
        <w:tab/>
        <w:t>0.0</w:t>
        <w:tab/>
        <w:t>0.1</w:t>
        <w:tab/>
        <w:t>0.7</w:t>
        <w:tab/>
        <w:t>0.2</w:t>
        <w:tab/>
        <w:t>0.0</w:t>
        <w:tab/>
        <w:t>0.3</w:t>
        <w:tab/>
        <w:t>0.3</w:t>
        <w:tab/>
        <w:t>0.0</w:t>
        <w:tab/>
        <w:t>0.1</w:t>
      </w:r>
    </w:p>
    <w:p>
      <w:pPr>
        <w:tabs>
          <w:tab w:pos="1779" w:val="left" w:leader="none"/>
          <w:tab w:pos="2245" w:val="left" w:leader="none"/>
          <w:tab w:pos="2765" w:val="left" w:leader="none"/>
          <w:tab w:pos="3259" w:val="left" w:leader="none"/>
          <w:tab w:pos="3752" w:val="left" w:leader="none"/>
          <w:tab w:pos="4205" w:val="left" w:leader="none"/>
          <w:tab w:pos="4738" w:val="left" w:leader="none"/>
          <w:tab w:pos="5192" w:val="left" w:leader="none"/>
          <w:tab w:pos="5725" w:val="left" w:leader="none"/>
          <w:tab w:pos="6178" w:val="left" w:leader="none"/>
          <w:tab w:pos="7205" w:val="left" w:leader="none"/>
          <w:tab w:pos="7698" w:val="left" w:leader="none"/>
          <w:tab w:pos="8191" w:val="left" w:leader="none"/>
          <w:tab w:pos="8685" w:val="left" w:leader="none"/>
          <w:tab w:pos="9178" w:val="left" w:leader="none"/>
          <w:tab w:pos="9631" w:val="left" w:leader="none"/>
          <w:tab w:pos="10125" w:val="left" w:leader="none"/>
        </w:tabs>
        <w:spacing w:before="109"/>
        <w:ind w:left="187" w:right="0" w:firstLine="0"/>
        <w:jc w:val="left"/>
        <w:rPr>
          <w:rFonts w:ascii="Palatino Linotype"/>
          <w:b/>
          <w:sz w:val="16"/>
        </w:rPr>
      </w:pPr>
      <w:r>
        <w:rPr>
          <w:rFonts w:ascii="Palatino Linotype"/>
          <w:b/>
          <w:color w:val="231F20"/>
          <w:w w:val="95"/>
          <w:sz w:val="16"/>
        </w:rPr>
        <w:t>Guanajuato</w:t>
        <w:tab/>
      </w:r>
      <w:r>
        <w:rPr>
          <w:rFonts w:ascii="Palatino Linotype"/>
          <w:b/>
          <w:color w:val="231F20"/>
          <w:sz w:val="16"/>
        </w:rPr>
        <w:t>0.2</w:t>
        <w:tab/>
        <w:t>-0.1</w:t>
        <w:tab/>
        <w:t>2.3</w:t>
        <w:tab/>
        <w:t>3.0</w:t>
        <w:tab/>
        <w:t>1.3</w:t>
        <w:tab/>
        <w:t>12.4</w:t>
        <w:tab/>
        <w:t>0.6</w:t>
        <w:tab/>
        <w:t>16.1</w:t>
        <w:tab/>
        <w:t>0.3</w:t>
        <w:tab/>
        <w:t>13.9   </w:t>
      </w:r>
      <w:r>
        <w:rPr>
          <w:rFonts w:ascii="Palatino Linotype"/>
          <w:b/>
          <w:color w:val="231F20"/>
          <w:spacing w:val="26"/>
          <w:sz w:val="16"/>
        </w:rPr>
        <w:t> </w:t>
      </w:r>
      <w:r>
        <w:rPr>
          <w:rFonts w:ascii="Palatino Linotype"/>
          <w:b/>
          <w:color w:val="231F20"/>
          <w:sz w:val="16"/>
        </w:rPr>
        <w:t>-10.2</w:t>
        <w:tab/>
        <w:t>6.6</w:t>
        <w:tab/>
        <w:t>3.5</w:t>
        <w:tab/>
        <w:t>2.7</w:t>
        <w:tab/>
        <w:t>3.6</w:t>
        <w:tab/>
        <w:t>4.5</w:t>
        <w:tab/>
        <w:t>14.3</w:t>
        <w:tab/>
        <w:t>10.4</w:t>
      </w:r>
    </w:p>
    <w:p>
      <w:pPr>
        <w:tabs>
          <w:tab w:pos="1842" w:val="left" w:leader="none"/>
          <w:tab w:pos="2278" w:val="left" w:leader="none"/>
          <w:tab w:pos="2772" w:val="left" w:leader="none"/>
          <w:tab w:pos="3265" w:val="left" w:leader="none"/>
          <w:tab w:pos="3758" w:val="left" w:leader="none"/>
          <w:tab w:pos="4251" w:val="left" w:leader="none"/>
          <w:tab w:pos="4745" w:val="left" w:leader="none"/>
          <w:tab w:pos="5238" w:val="left" w:leader="none"/>
          <w:tab w:pos="5731" w:val="left" w:leader="none"/>
          <w:tab w:pos="6225" w:val="left" w:leader="none"/>
          <w:tab w:pos="6718" w:val="left" w:leader="none"/>
          <w:tab w:pos="7211" w:val="left" w:leader="none"/>
          <w:tab w:pos="7704" w:val="left" w:leader="none"/>
          <w:tab w:pos="8198" w:val="left" w:leader="none"/>
          <w:tab w:pos="8691" w:val="left" w:leader="none"/>
          <w:tab w:pos="9156" w:val="left" w:leader="none"/>
          <w:tab w:pos="9678" w:val="left" w:leader="none"/>
          <w:tab w:pos="10171" w:val="left" w:leader="none"/>
        </w:tabs>
        <w:spacing w:before="114"/>
        <w:ind w:left="188" w:right="0" w:firstLine="0"/>
        <w:jc w:val="left"/>
        <w:rPr>
          <w:sz w:val="16"/>
        </w:rPr>
      </w:pPr>
      <w:r>
        <w:rPr>
          <w:color w:val="231F20"/>
          <w:sz w:val="16"/>
        </w:rPr>
        <w:t>Hidalgo</w:t>
        <w:tab/>
        <w:t>0</w:t>
        <w:tab/>
        <w:t>0.1</w:t>
        <w:tab/>
        <w:t>0.0</w:t>
        <w:tab/>
        <w:t>0.0</w:t>
        <w:tab/>
        <w:t>0.0</w:t>
        <w:tab/>
        <w:t>4.8</w:t>
        <w:tab/>
        <w:t>0.0</w:t>
        <w:tab/>
        <w:t>0.0</w:t>
        <w:tab/>
        <w:t>0.0</w:t>
        <w:tab/>
        <w:t>0.0</w:t>
        <w:tab/>
        <w:t>0.0</w:t>
        <w:tab/>
        <w:t>0.0</w:t>
        <w:tab/>
        <w:t>0.0</w:t>
        <w:tab/>
        <w:t>0.0</w:t>
        <w:tab/>
        <w:t>0.0</w:t>
        <w:tab/>
        <w:t>-0.1</w:t>
        <w:tab/>
        <w:t>0.1</w:t>
        <w:tab/>
        <w:t>0.6</w:t>
      </w:r>
    </w:p>
    <w:p>
      <w:pPr>
        <w:tabs>
          <w:tab w:pos="1786" w:val="left" w:leader="none"/>
          <w:tab w:pos="2279" w:val="left" w:leader="none"/>
          <w:tab w:pos="2734" w:val="left" w:leader="none"/>
          <w:tab w:pos="3237" w:val="left" w:leader="none"/>
          <w:tab w:pos="3759" w:val="left" w:leader="none"/>
          <w:tab w:pos="4252" w:val="left" w:leader="none"/>
          <w:tab w:pos="4746" w:val="left" w:leader="none"/>
          <w:tab w:pos="5239" w:val="left" w:leader="none"/>
          <w:tab w:pos="5732" w:val="left" w:leader="none"/>
          <w:tab w:pos="6226" w:val="left" w:leader="none"/>
          <w:tab w:pos="6719" w:val="left" w:leader="none"/>
          <w:tab w:pos="7212" w:val="left" w:leader="none"/>
          <w:tab w:pos="7705" w:val="left" w:leader="none"/>
          <w:tab w:pos="8199" w:val="left" w:leader="none"/>
          <w:tab w:pos="8692" w:val="left" w:leader="none"/>
          <w:tab w:pos="9185" w:val="left" w:leader="none"/>
          <w:tab w:pos="9678" w:val="left" w:leader="none"/>
          <w:tab w:pos="10143" w:val="left" w:leader="none"/>
        </w:tabs>
        <w:spacing w:before="128"/>
        <w:ind w:left="189" w:right="0" w:firstLine="0"/>
        <w:jc w:val="left"/>
        <w:rPr>
          <w:sz w:val="16"/>
        </w:rPr>
      </w:pPr>
      <w:r>
        <w:rPr>
          <w:color w:val="231F20"/>
          <w:sz w:val="16"/>
        </w:rPr>
        <w:t>Jalisco</w:t>
        <w:tab/>
        <w:t>0.6</w:t>
        <w:tab/>
        <w:t>3.5</w:t>
        <w:tab/>
        <w:t>14.7</w:t>
        <w:tab/>
        <w:t>-0.2</w:t>
        <w:tab/>
        <w:t>4.2</w:t>
        <w:tab/>
        <w:t>0.3</w:t>
        <w:tab/>
        <w:t>1.5</w:t>
        <w:tab/>
        <w:t>4.0</w:t>
        <w:tab/>
        <w:t>2.3</w:t>
        <w:tab/>
        <w:t>1.5</w:t>
        <w:tab/>
        <w:t>2.7</w:t>
        <w:tab/>
        <w:t>0.9</w:t>
        <w:tab/>
        <w:t>0.6</w:t>
        <w:tab/>
        <w:t>2.9</w:t>
        <w:tab/>
        <w:t>4.7</w:t>
        <w:tab/>
        <w:t>6.6</w:t>
        <w:tab/>
        <w:t>7.9</w:t>
        <w:tab/>
        <w:t>-3.4</w:t>
      </w:r>
    </w:p>
    <w:p>
      <w:pPr>
        <w:tabs>
          <w:tab w:pos="1782" w:val="left" w:leader="none"/>
          <w:tab w:pos="2275" w:val="left" w:leader="none"/>
          <w:tab w:pos="2768" w:val="left" w:leader="none"/>
          <w:tab w:pos="3262" w:val="left" w:leader="none"/>
          <w:tab w:pos="3715" w:val="left" w:leader="none"/>
          <w:tab w:pos="4248" w:val="left" w:leader="none"/>
          <w:tab w:pos="4741" w:val="left" w:leader="none"/>
          <w:tab w:pos="5195" w:val="left" w:leader="none"/>
          <w:tab w:pos="5728" w:val="left" w:leader="none"/>
          <w:tab w:pos="6221" w:val="left" w:leader="none"/>
          <w:tab w:pos="6674" w:val="left" w:leader="none"/>
          <w:tab w:pos="7208" w:val="left" w:leader="none"/>
          <w:tab w:pos="7674" w:val="left" w:leader="none"/>
          <w:tab w:pos="8154" w:val="left" w:leader="none"/>
          <w:tab w:pos="8648" w:val="left" w:leader="none"/>
          <w:tab w:pos="9181" w:val="left" w:leader="none"/>
          <w:tab w:pos="9674" w:val="left" w:leader="none"/>
          <w:tab w:pos="10167" w:val="left" w:leader="none"/>
        </w:tabs>
        <w:spacing w:before="109"/>
        <w:ind w:left="190" w:right="0" w:firstLine="0"/>
        <w:jc w:val="left"/>
        <w:rPr>
          <w:rFonts w:ascii="Palatino Linotype" w:hAnsi="Palatino Linotype"/>
          <w:b/>
          <w:sz w:val="16"/>
        </w:rPr>
      </w:pPr>
      <w:r>
        <w:rPr>
          <w:rFonts w:ascii="Palatino Linotype" w:hAnsi="Palatino Linotype"/>
          <w:b/>
          <w:color w:val="231F20"/>
          <w:sz w:val="16"/>
        </w:rPr>
        <w:t>México</w:t>
        <w:tab/>
        <w:t>3.8</w:t>
        <w:tab/>
        <w:t>4.3</w:t>
        <w:tab/>
        <w:t>6.7</w:t>
        <w:tab/>
        <w:t>4.4</w:t>
        <w:tab/>
        <w:t>18.5</w:t>
        <w:tab/>
        <w:t>1.7</w:t>
        <w:tab/>
        <w:t>9.9</w:t>
        <w:tab/>
        <w:t>13.2</w:t>
        <w:tab/>
        <w:t>6.4</w:t>
        <w:tab/>
        <w:t>3.3</w:t>
        <w:tab/>
        <w:t>10.7</w:t>
        <w:tab/>
        <w:t>2.8</w:t>
        <w:tab/>
        <w:t>-2.2</w:t>
        <w:tab/>
        <w:t>38.4</w:t>
        <w:tab/>
        <w:t>46.6</w:t>
        <w:tab/>
        <w:t>4.7</w:t>
        <w:tab/>
        <w:t>1.1</w:t>
        <w:tab/>
        <w:t>2.2</w:t>
      </w:r>
    </w:p>
    <w:p>
      <w:pPr>
        <w:tabs>
          <w:tab w:pos="1788" w:val="left" w:leader="none"/>
          <w:tab w:pos="2281" w:val="left" w:leader="none"/>
          <w:tab w:pos="2774" w:val="left" w:leader="none"/>
          <w:tab w:pos="3268" w:val="left" w:leader="none"/>
          <w:tab w:pos="3761" w:val="left" w:leader="none"/>
          <w:tab w:pos="4254" w:val="left" w:leader="none"/>
          <w:tab w:pos="4748" w:val="left" w:leader="none"/>
          <w:tab w:pos="5241" w:val="left" w:leader="none"/>
          <w:tab w:pos="5734" w:val="left" w:leader="none"/>
          <w:tab w:pos="6227" w:val="left" w:leader="none"/>
          <w:tab w:pos="6721" w:val="left" w:leader="none"/>
          <w:tab w:pos="7214" w:val="left" w:leader="none"/>
          <w:tab w:pos="7707" w:val="left" w:leader="none"/>
          <w:tab w:pos="8201" w:val="left" w:leader="none"/>
          <w:tab w:pos="8694" w:val="left" w:leader="none"/>
          <w:tab w:pos="9187" w:val="left" w:leader="none"/>
          <w:tab w:pos="9680" w:val="left" w:leader="none"/>
          <w:tab w:pos="10174" w:val="left" w:leader="none"/>
        </w:tabs>
        <w:spacing w:before="114"/>
        <w:ind w:left="191" w:right="0" w:firstLine="0"/>
        <w:jc w:val="left"/>
        <w:rPr>
          <w:sz w:val="16"/>
        </w:rPr>
      </w:pPr>
      <w:r>
        <w:rPr>
          <w:color w:val="231F20"/>
          <w:sz w:val="16"/>
        </w:rPr>
        <w:t>Morelos</w:t>
        <w:tab/>
        <w:t>0.1</w:t>
        <w:tab/>
        <w:t>0.1</w:t>
        <w:tab/>
        <w:t>0.1</w:t>
        <w:tab/>
        <w:t>0.0</w:t>
        <w:tab/>
        <w:t>0.0</w:t>
        <w:tab/>
        <w:t>1.1</w:t>
        <w:tab/>
        <w:t>0.0</w:t>
        <w:tab/>
        <w:t>0.0</w:t>
        <w:tab/>
        <w:t>0.0</w:t>
        <w:tab/>
        <w:t>0.0</w:t>
        <w:tab/>
        <w:t>0.0</w:t>
        <w:tab/>
        <w:t>3.4</w:t>
        <w:tab/>
        <w:t>0.0</w:t>
        <w:tab/>
        <w:t>0.0</w:t>
        <w:tab/>
        <w:t>0.0</w:t>
        <w:tab/>
        <w:t>0.0</w:t>
        <w:tab/>
        <w:t>0.0</w:t>
        <w:tab/>
        <w:t>0.0</w:t>
      </w:r>
    </w:p>
    <w:p>
      <w:pPr>
        <w:tabs>
          <w:tab w:pos="1844" w:val="left" w:leader="none"/>
          <w:tab w:pos="2237" w:val="left" w:leader="none"/>
          <w:tab w:pos="2770" w:val="left" w:leader="none"/>
          <w:tab w:pos="3263" w:val="left" w:leader="none"/>
          <w:tab w:pos="3717" w:val="left" w:leader="none"/>
          <w:tab w:pos="4210" w:val="left" w:leader="none"/>
          <w:tab w:pos="4703" w:val="left" w:leader="none"/>
          <w:tab w:pos="5237" w:val="left" w:leader="none"/>
          <w:tab w:pos="5730" w:val="left" w:leader="none"/>
          <w:tab w:pos="6183" w:val="left" w:leader="none"/>
          <w:tab w:pos="6716" w:val="left" w:leader="none"/>
          <w:tab w:pos="7210" w:val="left" w:leader="none"/>
          <w:tab w:pos="7703" w:val="left" w:leader="none"/>
          <w:tab w:pos="8196" w:val="left" w:leader="none"/>
          <w:tab w:pos="8622" w:val="left" w:leader="none"/>
          <w:tab w:pos="9676" w:val="left" w:leader="none"/>
          <w:tab w:pos="10169" w:val="left" w:leader="none"/>
        </w:tabs>
        <w:spacing w:before="109"/>
        <w:ind w:left="192" w:right="0" w:firstLine="0"/>
        <w:jc w:val="left"/>
        <w:rPr>
          <w:rFonts w:ascii="Palatino Linotype" w:hAnsi="Palatino Linotype"/>
          <w:b/>
          <w:sz w:val="16"/>
        </w:rPr>
      </w:pPr>
      <w:r>
        <w:rPr>
          <w:rFonts w:ascii="Palatino Linotype" w:hAnsi="Palatino Linotype"/>
          <w:b/>
          <w:color w:val="231F20"/>
          <w:sz w:val="16"/>
        </w:rPr>
        <w:t>Nuevo</w:t>
      </w:r>
      <w:r>
        <w:rPr>
          <w:rFonts w:ascii="Palatino Linotype" w:hAnsi="Palatino Linotype"/>
          <w:b/>
          <w:color w:val="231F20"/>
          <w:spacing w:val="-27"/>
          <w:sz w:val="16"/>
        </w:rPr>
        <w:t> </w:t>
      </w:r>
      <w:r>
        <w:rPr>
          <w:rFonts w:ascii="Palatino Linotype" w:hAnsi="Palatino Linotype"/>
          <w:b/>
          <w:color w:val="231F20"/>
          <w:sz w:val="16"/>
        </w:rPr>
        <w:t>León</w:t>
        <w:tab/>
        <w:t>3</w:t>
        <w:tab/>
        <w:t>11.5</w:t>
        <w:tab/>
        <w:t>1.3</w:t>
        <w:tab/>
        <w:t>2.6</w:t>
        <w:tab/>
        <w:t>10.3</w:t>
        <w:tab/>
        <w:t>16.1</w:t>
        <w:tab/>
        <w:t>14.9</w:t>
        <w:tab/>
        <w:t>5.0</w:t>
        <w:tab/>
        <w:t>3.5</w:t>
        <w:tab/>
        <w:t>12.4</w:t>
        <w:tab/>
        <w:t>6.8</w:t>
        <w:tab/>
        <w:t>4.7</w:t>
        <w:tab/>
        <w:t>3.3</w:t>
        <w:tab/>
        <w:t>4.8</w:t>
        <w:tab/>
        <w:t>-12.5   </w:t>
      </w:r>
      <w:r>
        <w:rPr>
          <w:rFonts w:ascii="Palatino Linotype" w:hAnsi="Palatino Linotype"/>
          <w:b/>
          <w:color w:val="231F20"/>
          <w:spacing w:val="39"/>
          <w:sz w:val="16"/>
        </w:rPr>
        <w:t> </w:t>
      </w:r>
      <w:r>
        <w:rPr>
          <w:rFonts w:ascii="Palatino Linotype" w:hAnsi="Palatino Linotype"/>
          <w:b/>
          <w:color w:val="231F20"/>
          <w:sz w:val="16"/>
        </w:rPr>
        <w:t>-5.7</w:t>
        <w:tab/>
        <w:t>7.7</w:t>
        <w:tab/>
        <w:t>3.3</w:t>
      </w:r>
    </w:p>
    <w:p>
      <w:pPr>
        <w:tabs>
          <w:tab w:pos="1785" w:val="left" w:leader="none"/>
          <w:tab w:pos="2238" w:val="left" w:leader="none"/>
          <w:tab w:pos="2771" w:val="left" w:leader="none"/>
          <w:tab w:pos="3237" w:val="left" w:leader="none"/>
          <w:tab w:pos="3758" w:val="left" w:leader="none"/>
          <w:tab w:pos="4224" w:val="left" w:leader="none"/>
          <w:tab w:pos="4704" w:val="left" w:leader="none"/>
          <w:tab w:pos="5198" w:val="left" w:leader="none"/>
          <w:tab w:pos="5691" w:val="left" w:leader="none"/>
          <w:tab w:pos="6184" w:val="left" w:leader="none"/>
          <w:tab w:pos="6677" w:val="left" w:leader="none"/>
          <w:tab w:pos="7211" w:val="left" w:leader="none"/>
          <w:tab w:pos="7704" w:val="left" w:leader="none"/>
          <w:tab w:pos="8197" w:val="left" w:leader="none"/>
          <w:tab w:pos="8690" w:val="left" w:leader="none"/>
          <w:tab w:pos="9184" w:val="left" w:leader="none"/>
          <w:tab w:pos="9677" w:val="left" w:leader="none"/>
          <w:tab w:pos="10130" w:val="left" w:leader="none"/>
        </w:tabs>
        <w:spacing w:before="96"/>
        <w:ind w:left="193" w:right="0" w:firstLine="0"/>
        <w:jc w:val="left"/>
        <w:rPr>
          <w:rFonts w:ascii="Palatino Linotype"/>
          <w:b/>
          <w:sz w:val="16"/>
        </w:rPr>
      </w:pPr>
      <w:r>
        <w:rPr>
          <w:rFonts w:ascii="Palatino Linotype"/>
          <w:b/>
          <w:color w:val="231F20"/>
          <w:sz w:val="16"/>
        </w:rPr>
        <w:t>Puebla</w:t>
        <w:tab/>
        <w:t>2.9</w:t>
        <w:tab/>
        <w:t>22.4</w:t>
        <w:tab/>
        <w:t>3.2</w:t>
        <w:tab/>
        <w:t>-0.9</w:t>
        <w:tab/>
        <w:t>9.9</w:t>
        <w:tab/>
        <w:t>-0.1</w:t>
        <w:tab/>
        <w:t>23.0</w:t>
        <w:tab/>
        <w:t>17.5</w:t>
        <w:tab/>
        <w:t>11.3</w:t>
        <w:tab/>
        <w:t>13.8</w:t>
        <w:tab/>
        <w:t>18.0</w:t>
        <w:tab/>
        <w:t>8.2</w:t>
        <w:tab/>
        <w:t>6.4</w:t>
        <w:tab/>
        <w:t>1.2</w:t>
        <w:tab/>
        <w:t>1.9</w:t>
        <w:tab/>
        <w:t>1.5</w:t>
        <w:tab/>
        <w:t>8.1</w:t>
        <w:tab/>
        <w:t>22.5</w:t>
      </w:r>
    </w:p>
    <w:p>
      <w:pPr>
        <w:tabs>
          <w:tab w:pos="1847" w:val="left" w:leader="none"/>
          <w:tab w:pos="2284" w:val="left" w:leader="none"/>
          <w:tab w:pos="2777" w:val="left" w:leader="none"/>
          <w:tab w:pos="3271" w:val="left" w:leader="none"/>
          <w:tab w:pos="3764" w:val="left" w:leader="none"/>
          <w:tab w:pos="4257" w:val="left" w:leader="none"/>
          <w:tab w:pos="4750" w:val="left" w:leader="none"/>
          <w:tab w:pos="5244" w:val="left" w:leader="none"/>
          <w:tab w:pos="5737" w:val="left" w:leader="none"/>
          <w:tab w:pos="6230" w:val="left" w:leader="none"/>
          <w:tab w:pos="6724" w:val="left" w:leader="none"/>
          <w:tab w:pos="7217" w:val="left" w:leader="none"/>
          <w:tab w:pos="7710" w:val="left" w:leader="none"/>
          <w:tab w:pos="8203" w:val="left" w:leader="none"/>
          <w:tab w:pos="8658" w:val="left" w:leader="none"/>
          <w:tab w:pos="9152" w:val="left" w:leader="none"/>
          <w:tab w:pos="9683" w:val="left" w:leader="none"/>
          <w:tab w:pos="10177" w:val="left" w:leader="none"/>
        </w:tabs>
        <w:spacing w:before="114"/>
        <w:ind w:left="194" w:right="0" w:firstLine="0"/>
        <w:jc w:val="left"/>
        <w:rPr>
          <w:sz w:val="16"/>
        </w:rPr>
      </w:pPr>
      <w:r>
        <w:rPr>
          <w:color w:val="231F20"/>
          <w:sz w:val="16"/>
        </w:rPr>
        <w:t>Querétaro</w:t>
      </w:r>
      <w:r>
        <w:rPr>
          <w:color w:val="231F20"/>
          <w:spacing w:val="-3"/>
          <w:sz w:val="16"/>
        </w:rPr>
        <w:t> </w:t>
      </w:r>
      <w:r>
        <w:rPr>
          <w:color w:val="231F20"/>
          <w:sz w:val="16"/>
        </w:rPr>
        <w:t>Arteaga</w:t>
        <w:tab/>
        <w:t>4</w:t>
        <w:tab/>
        <w:t>0.5</w:t>
        <w:tab/>
        <w:t>6.3</w:t>
        <w:tab/>
        <w:t>0.2</w:t>
        <w:tab/>
        <w:t>1.8</w:t>
        <w:tab/>
        <w:t>3.9</w:t>
        <w:tab/>
        <w:t>3.8</w:t>
        <w:tab/>
        <w:t>1.9</w:t>
        <w:tab/>
        <w:t>0.2</w:t>
        <w:tab/>
        <w:t>0.8</w:t>
        <w:tab/>
        <w:t>7.2</w:t>
        <w:tab/>
        <w:t>3.4</w:t>
        <w:tab/>
        <w:t>5.8</w:t>
        <w:tab/>
        <w:t>7.7</w:t>
        <w:tab/>
        <w:t>11.3</w:t>
        <w:tab/>
        <w:t>13.5</w:t>
        <w:tab/>
        <w:t>9.8</w:t>
        <w:tab/>
        <w:t>4.1</w:t>
      </w:r>
    </w:p>
    <w:p>
      <w:pPr>
        <w:tabs>
          <w:tab w:pos="1848" w:val="left" w:leader="none"/>
          <w:tab w:pos="2285" w:val="left" w:leader="none"/>
          <w:tab w:pos="2778" w:val="left" w:leader="none"/>
          <w:tab w:pos="3272" w:val="left" w:leader="none"/>
          <w:tab w:pos="3765" w:val="left" w:leader="none"/>
          <w:tab w:pos="4230" w:val="left" w:leader="none"/>
          <w:tab w:pos="4723" w:val="left" w:leader="none"/>
          <w:tab w:pos="5245" w:val="left" w:leader="none"/>
          <w:tab w:pos="5738" w:val="left" w:leader="none"/>
          <w:tab w:pos="6231" w:val="left" w:leader="none"/>
          <w:tab w:pos="6725" w:val="left" w:leader="none"/>
          <w:tab w:pos="7218" w:val="left" w:leader="none"/>
          <w:tab w:pos="7711" w:val="left" w:leader="none"/>
          <w:tab w:pos="8204" w:val="left" w:leader="none"/>
          <w:tab w:pos="8669" w:val="left" w:leader="none"/>
          <w:tab w:pos="9191" w:val="left" w:leader="none"/>
          <w:tab w:pos="9684" w:val="left" w:leader="none"/>
          <w:tab w:pos="10178" w:val="left" w:leader="none"/>
        </w:tabs>
        <w:spacing w:before="128"/>
        <w:ind w:left="195" w:right="0" w:firstLine="0"/>
        <w:jc w:val="left"/>
        <w:rPr>
          <w:sz w:val="16"/>
        </w:rPr>
      </w:pPr>
      <w:r>
        <w:rPr>
          <w:color w:val="231F20"/>
          <w:sz w:val="16"/>
        </w:rPr>
        <w:t>San</w:t>
      </w:r>
      <w:r>
        <w:rPr>
          <w:color w:val="231F20"/>
          <w:spacing w:val="-11"/>
          <w:sz w:val="16"/>
        </w:rPr>
        <w:t> </w:t>
      </w:r>
      <w:r>
        <w:rPr>
          <w:color w:val="231F20"/>
          <w:sz w:val="16"/>
        </w:rPr>
        <w:t>Luis</w:t>
      </w:r>
      <w:r>
        <w:rPr>
          <w:color w:val="231F20"/>
          <w:spacing w:val="-11"/>
          <w:sz w:val="16"/>
        </w:rPr>
        <w:t> </w:t>
      </w:r>
      <w:r>
        <w:rPr>
          <w:color w:val="231F20"/>
          <w:sz w:val="16"/>
        </w:rPr>
        <w:t>Potosí</w:t>
        <w:tab/>
        <w:t>0</w:t>
        <w:tab/>
        <w:t>0.6</w:t>
        <w:tab/>
        <w:t>0.9</w:t>
        <w:tab/>
        <w:t>0.5</w:t>
        <w:tab/>
        <w:t>1.7</w:t>
        <w:tab/>
        <w:t>-1.4</w:t>
        <w:tab/>
        <w:t>-6.7</w:t>
        <w:tab/>
        <w:t>0.0</w:t>
        <w:tab/>
        <w:t>1.0</w:t>
        <w:tab/>
        <w:t>0.5</w:t>
        <w:tab/>
        <w:t>4.1</w:t>
        <w:tab/>
        <w:t>3.9</w:t>
        <w:tab/>
        <w:t>0.1</w:t>
        <w:tab/>
        <w:t>0.7</w:t>
        <w:tab/>
        <w:t>-0.6</w:t>
        <w:tab/>
        <w:t>1.1</w:t>
        <w:tab/>
        <w:t>1.3</w:t>
        <w:tab/>
        <w:t>2.5</w:t>
      </w:r>
    </w:p>
    <w:p>
      <w:pPr>
        <w:tabs>
          <w:tab w:pos="1793" w:val="left" w:leader="none"/>
          <w:tab w:pos="2286" w:val="left" w:leader="none"/>
          <w:tab w:pos="2779" w:val="left" w:leader="none"/>
          <w:tab w:pos="3273" w:val="left" w:leader="none"/>
          <w:tab w:pos="3766" w:val="left" w:leader="none"/>
          <w:tab w:pos="4259" w:val="left" w:leader="none"/>
          <w:tab w:pos="4752" w:val="left" w:leader="none"/>
          <w:tab w:pos="5246" w:val="left" w:leader="none"/>
          <w:tab w:pos="5739" w:val="left" w:leader="none"/>
          <w:tab w:pos="6232" w:val="left" w:leader="none"/>
          <w:tab w:pos="6726" w:val="left" w:leader="none"/>
          <w:tab w:pos="7219" w:val="left" w:leader="none"/>
          <w:tab w:pos="7712" w:val="left" w:leader="none"/>
          <w:tab w:pos="8205" w:val="left" w:leader="none"/>
          <w:tab w:pos="8699" w:val="left" w:leader="none"/>
          <w:tab w:pos="9192" w:val="left" w:leader="none"/>
          <w:tab w:pos="9685" w:val="left" w:leader="none"/>
          <w:tab w:pos="10178" w:val="left" w:leader="none"/>
        </w:tabs>
        <w:spacing w:before="128"/>
        <w:ind w:left="196" w:right="0" w:firstLine="0"/>
        <w:jc w:val="left"/>
        <w:rPr>
          <w:sz w:val="16"/>
        </w:rPr>
      </w:pPr>
      <w:r>
        <w:rPr>
          <w:color w:val="231F20"/>
          <w:sz w:val="16"/>
        </w:rPr>
        <w:t>Sonora</w:t>
        <w:tab/>
        <w:t>0.7</w:t>
        <w:tab/>
        <w:t>0.7</w:t>
        <w:tab/>
        <w:t>3.2</w:t>
        <w:tab/>
        <w:t>0.6</w:t>
        <w:tab/>
        <w:t>0.8</w:t>
        <w:tab/>
        <w:t>0.6</w:t>
        <w:tab/>
        <w:t>2.9</w:t>
        <w:tab/>
        <w:t>1.4</w:t>
        <w:tab/>
        <w:t>0.6</w:t>
        <w:tab/>
        <w:t>1.0</w:t>
        <w:tab/>
        <w:t>1.9</w:t>
        <w:tab/>
        <w:t>0.4</w:t>
        <w:tab/>
        <w:t>0.2</w:t>
        <w:tab/>
        <w:t>0.1</w:t>
        <w:tab/>
        <w:t>0.1</w:t>
        <w:tab/>
        <w:t>0.0</w:t>
        <w:tab/>
        <w:t>0.3</w:t>
        <w:tab/>
        <w:t>0.0</w:t>
      </w:r>
    </w:p>
    <w:p>
      <w:pPr>
        <w:tabs>
          <w:tab w:pos="1748" w:val="left" w:leader="none"/>
          <w:tab w:pos="2282" w:val="left" w:leader="none"/>
          <w:tab w:pos="2735" w:val="left" w:leader="none"/>
          <w:tab w:pos="3268" w:val="left" w:leader="none"/>
          <w:tab w:pos="3762" w:val="left" w:leader="none"/>
          <w:tab w:pos="4255" w:val="left" w:leader="none"/>
          <w:tab w:pos="4748" w:val="left" w:leader="none"/>
          <w:tab w:pos="5241" w:val="left" w:leader="none"/>
          <w:tab w:pos="5735" w:val="left" w:leader="none"/>
          <w:tab w:pos="6228" w:val="left" w:leader="none"/>
          <w:tab w:pos="6721" w:val="left" w:leader="none"/>
          <w:tab w:pos="7214" w:val="left" w:leader="none"/>
          <w:tab w:pos="7708" w:val="left" w:leader="none"/>
          <w:tab w:pos="8201" w:val="left" w:leader="none"/>
          <w:tab w:pos="8694" w:val="left" w:leader="none"/>
          <w:tab w:pos="9188" w:val="left" w:leader="none"/>
          <w:tab w:pos="9681" w:val="left" w:leader="none"/>
          <w:tab w:pos="10174" w:val="left" w:leader="none"/>
        </w:tabs>
        <w:spacing w:before="109"/>
        <w:ind w:left="196" w:right="0" w:firstLine="0"/>
        <w:jc w:val="left"/>
        <w:rPr>
          <w:rFonts w:ascii="Palatino Linotype"/>
          <w:b/>
          <w:sz w:val="16"/>
        </w:rPr>
      </w:pPr>
      <w:r>
        <w:rPr/>
        <w:pict>
          <v:group style="position:absolute;margin-left:64.9468pt;margin-top:18.46244pt;width:519.5500pt;height:.5pt;mso-position-horizontal-relative:page;mso-position-vertical-relative:paragraph;z-index:9256;mso-wrap-distance-left:0;mso-wrap-distance-right:0" coordorigin="1299,369" coordsize="10391,10">
            <v:line style="position:absolute" from="1304,374" to="2806,374" stroked="true" strokeweight=".5pt" strokecolor="#231f20"/>
            <v:line style="position:absolute" from="2806,374" to="3300,374" stroked="true" strokeweight=".5pt" strokecolor="#231f20"/>
            <v:line style="position:absolute" from="3300,374" to="3793,374" stroked="true" strokeweight=".5pt" strokecolor="#231f20"/>
            <v:line style="position:absolute" from="3793,374" to="4286,374" stroked="true" strokeweight=".5pt" strokecolor="#231f20"/>
            <v:line style="position:absolute" from="4286,374" to="4779,374" stroked="true" strokeweight=".5pt" strokecolor="#231f20"/>
            <v:line style="position:absolute" from="4779,374" to="5272,374" stroked="true" strokeweight=".5pt" strokecolor="#231f20"/>
            <v:line style="position:absolute" from="5272,374" to="5766,374" stroked="true" strokeweight=".5pt" strokecolor="#231f20"/>
            <v:line style="position:absolute" from="5766,374" to="6259,374" stroked="true" strokeweight=".5pt" strokecolor="#231f20"/>
            <v:line style="position:absolute" from="6259,374" to="6752,374" stroked="true" strokeweight=".5pt" strokecolor="#231f20"/>
            <v:line style="position:absolute" from="6752,374" to="7245,374" stroked="true" strokeweight=".5pt" strokecolor="#231f20"/>
            <v:line style="position:absolute" from="7245,374" to="7739,374" stroked="true" strokeweight=".5pt" strokecolor="#231f20"/>
            <v:line style="position:absolute" from="7739,374" to="8232,374" stroked="true" strokeweight=".5pt" strokecolor="#231f20"/>
            <v:line style="position:absolute" from="8232,374" to="8725,374" stroked="true" strokeweight=".5pt" strokecolor="#231f20"/>
            <v:line style="position:absolute" from="8725,374" to="9218,374" stroked="true" strokeweight=".5pt" strokecolor="#231f20"/>
            <v:line style="position:absolute" from="9218,374" to="9711,374" stroked="true" strokeweight=".5pt" strokecolor="#231f20"/>
            <v:line style="position:absolute" from="9711,374" to="10205,374" stroked="true" strokeweight=".5pt" strokecolor="#231f20"/>
            <v:line style="position:absolute" from="10205,374" to="10698,374" stroked="true" strokeweight=".5pt" strokecolor="#231f20"/>
            <v:line style="position:absolute" from="10698,374" to="11191,374" stroked="true" strokeweight=".5pt" strokecolor="#231f20"/>
            <v:line style="position:absolute" from="11191,374" to="11684,374" stroked="true" strokeweight=".5pt" strokecolor="#231f20"/>
            <w10:wrap type="topAndBottom"/>
          </v:group>
        </w:pict>
      </w:r>
      <w:r>
        <w:rPr>
          <w:rFonts w:ascii="Palatino Linotype"/>
          <w:b/>
          <w:color w:val="231F20"/>
          <w:w w:val="95"/>
          <w:sz w:val="16"/>
        </w:rPr>
        <w:t>Tamaulipas</w:t>
        <w:tab/>
      </w:r>
      <w:r>
        <w:rPr>
          <w:rFonts w:ascii="Palatino Linotype"/>
          <w:b/>
          <w:color w:val="231F20"/>
          <w:sz w:val="16"/>
        </w:rPr>
        <w:t>11.4</w:t>
        <w:tab/>
        <w:t>6.9</w:t>
        <w:tab/>
        <w:t>14.0</w:t>
        <w:tab/>
        <w:t>5.8</w:t>
        <w:tab/>
        <w:t>4.5</w:t>
        <w:tab/>
        <w:t>3.6</w:t>
        <w:tab/>
        <w:t>4.9</w:t>
        <w:tab/>
        <w:t>4.1</w:t>
        <w:tab/>
        <w:t>2.8</w:t>
        <w:tab/>
        <w:t>2.8</w:t>
        <w:tab/>
        <w:t>3.2</w:t>
        <w:tab/>
        <w:t>2.9</w:t>
        <w:tab/>
        <w:t>4.3</w:t>
        <w:tab/>
        <w:t>3.0</w:t>
        <w:tab/>
        <w:t>3.4</w:t>
        <w:tab/>
        <w:t>2.0</w:t>
        <w:tab/>
        <w:t>1.2</w:t>
        <w:tab/>
        <w:t>0.9</w:t>
      </w:r>
    </w:p>
    <w:p>
      <w:pPr>
        <w:spacing w:before="141"/>
        <w:ind w:left="123" w:right="0" w:firstLine="0"/>
        <w:jc w:val="left"/>
        <w:rPr>
          <w:sz w:val="19"/>
        </w:rPr>
      </w:pPr>
      <w:r>
        <w:rPr>
          <w:rFonts w:ascii="Palatino Linotype" w:hAnsi="Palatino Linotype"/>
          <w:i/>
          <w:color w:val="231F20"/>
          <w:sz w:val="19"/>
        </w:rPr>
        <w:t>Fuente: </w:t>
      </w:r>
      <w:r>
        <w:rPr>
          <w:color w:val="231F20"/>
          <w:sz w:val="19"/>
        </w:rPr>
        <w:t>Elaboración propia con datos del INEGI (1998, 2002, 2006 y 2008). 2008 a 2013, Secretaría de Economía (2013).</w:t>
      </w:r>
    </w:p>
    <w:p>
      <w:pPr>
        <w:spacing w:after="0"/>
        <w:jc w:val="left"/>
        <w:rPr>
          <w:sz w:val="19"/>
        </w:rPr>
        <w:sectPr>
          <w:headerReference w:type="default" r:id="rId200"/>
          <w:footerReference w:type="default" r:id="rId201"/>
          <w:pgSz w:w="13040" w:h="9640" w:orient="landscape"/>
          <w:pgMar w:header="0" w:footer="0" w:top="0" w:bottom="280" w:left="1180" w:right="1240"/>
        </w:sectPr>
      </w:pPr>
    </w:p>
    <w:p>
      <w:pPr>
        <w:pStyle w:val="BodyText"/>
        <w:rPr>
          <w:sz w:val="20"/>
        </w:rPr>
      </w:pPr>
    </w:p>
    <w:p>
      <w:pPr>
        <w:pStyle w:val="BodyText"/>
        <w:spacing w:before="6"/>
      </w:pPr>
    </w:p>
    <w:p>
      <w:pPr>
        <w:pStyle w:val="BodyText"/>
        <w:spacing w:line="278" w:lineRule="auto" w:before="58"/>
        <w:ind w:left="713" w:right="101"/>
        <w:jc w:val="both"/>
      </w:pPr>
      <w:r>
        <w:rPr>
          <w:color w:val="231F20"/>
        </w:rPr>
        <w:t>La indiscutible pérdida de dinamismo del sector automotriz localizado en la región centro</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específicamente</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Distrito</w:t>
      </w:r>
      <w:r>
        <w:rPr>
          <w:color w:val="231F20"/>
          <w:spacing w:val="-9"/>
        </w:rPr>
        <w:t> </w:t>
      </w:r>
      <w:r>
        <w:rPr>
          <w:color w:val="231F20"/>
        </w:rPr>
        <w:t>Federal,</w:t>
      </w:r>
      <w:r>
        <w:rPr>
          <w:color w:val="231F20"/>
          <w:spacing w:val="-9"/>
        </w:rPr>
        <w:t> </w:t>
      </w:r>
      <w:r>
        <w:rPr>
          <w:color w:val="231F20"/>
        </w:rPr>
        <w:t>queda claramente evidenciada con los datos mostrados a lo largo de este apartado; lo cual es resultado,</w:t>
      </w:r>
      <w:r>
        <w:rPr>
          <w:color w:val="231F20"/>
          <w:spacing w:val="-10"/>
        </w:rPr>
        <w:t> </w:t>
      </w:r>
      <w:r>
        <w:rPr>
          <w:color w:val="231F20"/>
        </w:rPr>
        <w:t>en</w:t>
      </w:r>
      <w:r>
        <w:rPr>
          <w:color w:val="231F20"/>
          <w:spacing w:val="-10"/>
        </w:rPr>
        <w:t> </w:t>
      </w:r>
      <w:r>
        <w:rPr>
          <w:color w:val="231F20"/>
        </w:rPr>
        <w:t>buena</w:t>
      </w:r>
      <w:r>
        <w:rPr>
          <w:color w:val="231F20"/>
          <w:spacing w:val="-10"/>
        </w:rPr>
        <w:t> </w:t>
      </w:r>
      <w:r>
        <w:rPr>
          <w:color w:val="231F20"/>
        </w:rPr>
        <w:t>medida,</w:t>
      </w:r>
      <w:r>
        <w:rPr>
          <w:color w:val="231F20"/>
          <w:spacing w:val="-10"/>
        </w:rPr>
        <w:t> </w:t>
      </w:r>
      <w:r>
        <w:rPr>
          <w:color w:val="231F20"/>
        </w:rPr>
        <w:t>del</w:t>
      </w:r>
      <w:r>
        <w:rPr>
          <w:color w:val="231F20"/>
          <w:spacing w:val="-10"/>
        </w:rPr>
        <w:t> </w:t>
      </w:r>
      <w:r>
        <w:rPr>
          <w:color w:val="231F20"/>
        </w:rPr>
        <w:t>gran</w:t>
      </w:r>
      <w:r>
        <w:rPr>
          <w:color w:val="231F20"/>
          <w:spacing w:val="-10"/>
        </w:rPr>
        <w:t> </w:t>
      </w:r>
      <w:r>
        <w:rPr>
          <w:color w:val="231F20"/>
        </w:rPr>
        <w:t>impulso</w:t>
      </w:r>
      <w:r>
        <w:rPr>
          <w:color w:val="231F20"/>
          <w:spacing w:val="-10"/>
        </w:rPr>
        <w:t> </w:t>
      </w:r>
      <w:r>
        <w:rPr>
          <w:color w:val="231F20"/>
        </w:rPr>
        <w:t>que</w:t>
      </w:r>
      <w:r>
        <w:rPr>
          <w:color w:val="231F20"/>
          <w:spacing w:val="-10"/>
        </w:rPr>
        <w:t> </w:t>
      </w:r>
      <w:r>
        <w:rPr>
          <w:color w:val="231F20"/>
        </w:rPr>
        <w:t>han</w:t>
      </w:r>
      <w:r>
        <w:rPr>
          <w:color w:val="231F20"/>
          <w:spacing w:val="-10"/>
        </w:rPr>
        <w:t> </w:t>
      </w:r>
      <w:r>
        <w:rPr>
          <w:color w:val="231F20"/>
        </w:rPr>
        <w:t>tenido</w:t>
      </w:r>
      <w:r>
        <w:rPr>
          <w:color w:val="231F20"/>
          <w:spacing w:val="-10"/>
        </w:rPr>
        <w:t> </w:t>
      </w:r>
      <w:r>
        <w:rPr>
          <w:color w:val="231F20"/>
        </w:rPr>
        <w:t>las</w:t>
      </w:r>
      <w:r>
        <w:rPr>
          <w:color w:val="231F20"/>
          <w:spacing w:val="-10"/>
        </w:rPr>
        <w:t> </w:t>
      </w:r>
      <w:r>
        <w:rPr>
          <w:color w:val="231F20"/>
        </w:rPr>
        <w:t>empresas</w:t>
      </w:r>
      <w:r>
        <w:rPr>
          <w:color w:val="231F20"/>
          <w:spacing w:val="-10"/>
        </w:rPr>
        <w:t> </w:t>
      </w:r>
      <w:r>
        <w:rPr>
          <w:color w:val="231F20"/>
        </w:rPr>
        <w:t>establecidas en</w:t>
      </w:r>
      <w:r>
        <w:rPr>
          <w:color w:val="231F20"/>
          <w:spacing w:val="-4"/>
        </w:rPr>
        <w:t> </w:t>
      </w:r>
      <w:r>
        <w:rPr>
          <w:color w:val="231F20"/>
        </w:rPr>
        <w:t>el</w:t>
      </w:r>
      <w:r>
        <w:rPr>
          <w:color w:val="231F20"/>
          <w:spacing w:val="-4"/>
        </w:rPr>
        <w:t> </w:t>
      </w:r>
      <w:r>
        <w:rPr>
          <w:color w:val="231F20"/>
        </w:rPr>
        <w:t>norte</w:t>
      </w:r>
      <w:r>
        <w:rPr>
          <w:color w:val="231F20"/>
          <w:spacing w:val="-4"/>
        </w:rPr>
        <w:t> </w:t>
      </w:r>
      <w:r>
        <w:rPr>
          <w:color w:val="231F20"/>
        </w:rPr>
        <w:t>y</w:t>
      </w:r>
      <w:r>
        <w:rPr>
          <w:color w:val="231F20"/>
          <w:spacing w:val="-4"/>
        </w:rPr>
        <w:t> </w:t>
      </w:r>
      <w:r>
        <w:rPr>
          <w:color w:val="231F20"/>
        </w:rPr>
        <w:t>en</w:t>
      </w:r>
      <w:r>
        <w:rPr>
          <w:color w:val="231F20"/>
          <w:spacing w:val="-4"/>
        </w:rPr>
        <w:t> </w:t>
      </w:r>
      <w:r>
        <w:rPr>
          <w:color w:val="231F20"/>
        </w:rPr>
        <w:t>otros</w:t>
      </w:r>
      <w:r>
        <w:rPr>
          <w:color w:val="231F20"/>
          <w:spacing w:val="-4"/>
        </w:rPr>
        <w:t> </w:t>
      </w:r>
      <w:r>
        <w:rPr>
          <w:color w:val="231F20"/>
        </w:rPr>
        <w:t>estados</w:t>
      </w:r>
      <w:r>
        <w:rPr>
          <w:color w:val="231F20"/>
          <w:spacing w:val="-4"/>
        </w:rPr>
        <w:t> </w:t>
      </w:r>
      <w:r>
        <w:rPr>
          <w:color w:val="231F20"/>
        </w:rPr>
        <w:t>del</w:t>
      </w:r>
      <w:r>
        <w:rPr>
          <w:color w:val="231F20"/>
          <w:spacing w:val="-4"/>
        </w:rPr>
        <w:t> </w:t>
      </w:r>
      <w:r>
        <w:rPr>
          <w:color w:val="231F20"/>
        </w:rPr>
        <w:t>centro</w:t>
      </w:r>
      <w:r>
        <w:rPr>
          <w:color w:val="231F20"/>
          <w:spacing w:val="-4"/>
        </w:rPr>
        <w:t> </w:t>
      </w:r>
      <w:r>
        <w:rPr>
          <w:color w:val="231F20"/>
        </w:rPr>
        <w:t>del</w:t>
      </w:r>
      <w:r>
        <w:rPr>
          <w:color w:val="231F20"/>
          <w:spacing w:val="-4"/>
        </w:rPr>
        <w:t> </w:t>
      </w:r>
      <w:r>
        <w:rPr>
          <w:color w:val="231F20"/>
        </w:rPr>
        <w:t>país.</w:t>
      </w:r>
    </w:p>
    <w:p>
      <w:pPr>
        <w:pStyle w:val="Heading3"/>
        <w:numPr>
          <w:ilvl w:val="1"/>
          <w:numId w:val="18"/>
        </w:numPr>
        <w:tabs>
          <w:tab w:pos="1128" w:val="left" w:leader="none"/>
        </w:tabs>
        <w:spacing w:line="240" w:lineRule="auto" w:before="172" w:after="0"/>
        <w:ind w:left="1127" w:right="0" w:hanging="414"/>
        <w:jc w:val="both"/>
      </w:pPr>
      <w:r>
        <w:rPr>
          <w:color w:val="231F20"/>
          <w:w w:val="90"/>
        </w:rPr>
        <w:t>Conclusiones del</w:t>
      </w:r>
      <w:r>
        <w:rPr>
          <w:color w:val="231F20"/>
          <w:spacing w:val="9"/>
          <w:w w:val="90"/>
        </w:rPr>
        <w:t> </w:t>
      </w:r>
      <w:r>
        <w:rPr>
          <w:color w:val="231F20"/>
          <w:w w:val="90"/>
        </w:rPr>
        <w:t>capítulo</w:t>
      </w:r>
    </w:p>
    <w:p>
      <w:pPr>
        <w:pStyle w:val="BodyText"/>
        <w:spacing w:line="278" w:lineRule="auto" w:before="125"/>
        <w:ind w:left="674" w:right="98"/>
        <w:jc w:val="right"/>
      </w:pPr>
      <w:r>
        <w:rPr>
          <w:color w:val="231F20"/>
        </w:rPr>
        <w:t>Las</w:t>
      </w:r>
      <w:r>
        <w:rPr>
          <w:color w:val="231F20"/>
          <w:spacing w:val="-19"/>
        </w:rPr>
        <w:t> </w:t>
      </w:r>
      <w:r>
        <w:rPr>
          <w:color w:val="231F20"/>
          <w:spacing w:val="-4"/>
        </w:rPr>
        <w:t>conclusiones</w:t>
      </w:r>
      <w:r>
        <w:rPr>
          <w:color w:val="231F20"/>
          <w:spacing w:val="-19"/>
        </w:rPr>
        <w:t> </w:t>
      </w:r>
      <w:r>
        <w:rPr>
          <w:color w:val="231F20"/>
          <w:spacing w:val="-3"/>
        </w:rPr>
        <w:t>particulares</w:t>
      </w:r>
      <w:r>
        <w:rPr>
          <w:color w:val="231F20"/>
          <w:spacing w:val="-19"/>
        </w:rPr>
        <w:t> </w:t>
      </w:r>
      <w:r>
        <w:rPr>
          <w:color w:val="231F20"/>
        </w:rPr>
        <w:t>a</w:t>
      </w:r>
      <w:r>
        <w:rPr>
          <w:color w:val="231F20"/>
          <w:spacing w:val="-19"/>
        </w:rPr>
        <w:t> </w:t>
      </w:r>
      <w:r>
        <w:rPr>
          <w:color w:val="231F20"/>
        </w:rPr>
        <w:t>las</w:t>
      </w:r>
      <w:r>
        <w:rPr>
          <w:color w:val="231F20"/>
          <w:spacing w:val="-19"/>
        </w:rPr>
        <w:t> </w:t>
      </w:r>
      <w:r>
        <w:rPr>
          <w:color w:val="231F20"/>
          <w:spacing w:val="-3"/>
        </w:rPr>
        <w:t>que</w:t>
      </w:r>
      <w:r>
        <w:rPr>
          <w:color w:val="231F20"/>
          <w:spacing w:val="-19"/>
        </w:rPr>
        <w:t> </w:t>
      </w:r>
      <w:r>
        <w:rPr>
          <w:color w:val="231F20"/>
        </w:rPr>
        <w:t>se</w:t>
      </w:r>
      <w:r>
        <w:rPr>
          <w:color w:val="231F20"/>
          <w:spacing w:val="-19"/>
        </w:rPr>
        <w:t> </w:t>
      </w:r>
      <w:r>
        <w:rPr>
          <w:color w:val="231F20"/>
          <w:spacing w:val="-3"/>
        </w:rPr>
        <w:t>llega</w:t>
      </w:r>
      <w:r>
        <w:rPr>
          <w:color w:val="231F20"/>
          <w:spacing w:val="-19"/>
        </w:rPr>
        <w:t> </w:t>
      </w:r>
      <w:r>
        <w:rPr>
          <w:color w:val="231F20"/>
        </w:rPr>
        <w:t>en</w:t>
      </w:r>
      <w:r>
        <w:rPr>
          <w:color w:val="231F20"/>
          <w:spacing w:val="-19"/>
        </w:rPr>
        <w:t> </w:t>
      </w:r>
      <w:r>
        <w:rPr>
          <w:color w:val="231F20"/>
          <w:spacing w:val="-3"/>
        </w:rPr>
        <w:t>este</w:t>
      </w:r>
      <w:r>
        <w:rPr>
          <w:color w:val="231F20"/>
          <w:spacing w:val="-19"/>
        </w:rPr>
        <w:t> </w:t>
      </w:r>
      <w:r>
        <w:rPr>
          <w:color w:val="231F20"/>
          <w:spacing w:val="-4"/>
        </w:rPr>
        <w:t>capítulo</w:t>
      </w:r>
      <w:r>
        <w:rPr>
          <w:color w:val="231F20"/>
          <w:spacing w:val="-19"/>
        </w:rPr>
        <w:t> </w:t>
      </w:r>
      <w:r>
        <w:rPr>
          <w:color w:val="231F20"/>
        </w:rPr>
        <w:t>se</w:t>
      </w:r>
      <w:r>
        <w:rPr>
          <w:color w:val="231F20"/>
          <w:spacing w:val="-19"/>
        </w:rPr>
        <w:t> </w:t>
      </w:r>
      <w:r>
        <w:rPr>
          <w:color w:val="231F20"/>
          <w:spacing w:val="-3"/>
        </w:rPr>
        <w:t>exponen</w:t>
      </w:r>
      <w:r>
        <w:rPr>
          <w:color w:val="231F20"/>
          <w:spacing w:val="-19"/>
        </w:rPr>
        <w:t> </w:t>
      </w:r>
      <w:r>
        <w:rPr>
          <w:color w:val="231F20"/>
        </w:rPr>
        <w:t>a</w:t>
      </w:r>
      <w:r>
        <w:rPr>
          <w:color w:val="231F20"/>
          <w:spacing w:val="-19"/>
        </w:rPr>
        <w:t> </w:t>
      </w:r>
      <w:r>
        <w:rPr>
          <w:color w:val="231F20"/>
          <w:spacing w:val="-4"/>
        </w:rPr>
        <w:t>continuación.</w:t>
      </w:r>
      <w:r>
        <w:rPr>
          <w:color w:val="231F20"/>
          <w:spacing w:val="-3"/>
          <w:w w:val="103"/>
        </w:rPr>
        <w:t> </w:t>
      </w:r>
      <w:r>
        <w:rPr>
          <w:color w:val="231F20"/>
          <w:spacing w:val="3"/>
        </w:rPr>
        <w:t>La </w:t>
      </w:r>
      <w:r>
        <w:rPr>
          <w:color w:val="231F20"/>
          <w:spacing w:val="2"/>
        </w:rPr>
        <w:t>entrada </w:t>
      </w:r>
      <w:r>
        <w:rPr>
          <w:color w:val="231F20"/>
        </w:rPr>
        <w:t>en vigor del </w:t>
      </w:r>
      <w:r>
        <w:rPr>
          <w:color w:val="231F20"/>
          <w:spacing w:val="2"/>
        </w:rPr>
        <w:t>TLCAN, además </w:t>
      </w:r>
      <w:r>
        <w:rPr>
          <w:color w:val="231F20"/>
        </w:rPr>
        <w:t>de consolidar la etapa</w:t>
      </w:r>
      <w:r>
        <w:rPr>
          <w:color w:val="231F20"/>
          <w:spacing w:val="23"/>
        </w:rPr>
        <w:t> </w:t>
      </w:r>
      <w:r>
        <w:rPr>
          <w:color w:val="231F20"/>
          <w:spacing w:val="2"/>
        </w:rPr>
        <w:t>exportadora </w:t>
      </w:r>
      <w:r>
        <w:rPr>
          <w:color w:val="231F20"/>
        </w:rPr>
        <w:t>del</w:t>
      </w:r>
      <w:r>
        <w:rPr>
          <w:color w:val="231F20"/>
          <w:w w:val="91"/>
        </w:rPr>
        <w:t> </w:t>
      </w:r>
      <w:r>
        <w:rPr>
          <w:color w:val="231F20"/>
          <w:spacing w:val="2"/>
        </w:rPr>
        <w:t>sector</w:t>
      </w:r>
      <w:r>
        <w:rPr>
          <w:color w:val="231F20"/>
          <w:spacing w:val="30"/>
        </w:rPr>
        <w:t> </w:t>
      </w:r>
      <w:r>
        <w:rPr>
          <w:color w:val="231F20"/>
        </w:rPr>
        <w:t>y</w:t>
      </w:r>
      <w:r>
        <w:rPr>
          <w:color w:val="231F20"/>
          <w:spacing w:val="30"/>
        </w:rPr>
        <w:t> </w:t>
      </w:r>
      <w:r>
        <w:rPr>
          <w:color w:val="231F20"/>
        </w:rPr>
        <w:t>propiciar</w:t>
      </w:r>
      <w:r>
        <w:rPr>
          <w:color w:val="231F20"/>
          <w:spacing w:val="30"/>
        </w:rPr>
        <w:t> </w:t>
      </w:r>
      <w:r>
        <w:rPr>
          <w:color w:val="231F20"/>
        </w:rPr>
        <w:t>su</w:t>
      </w:r>
      <w:r>
        <w:rPr>
          <w:color w:val="231F20"/>
          <w:spacing w:val="30"/>
        </w:rPr>
        <w:t> </w:t>
      </w:r>
      <w:r>
        <w:rPr>
          <w:color w:val="231F20"/>
          <w:spacing w:val="2"/>
        </w:rPr>
        <w:t>gradual</w:t>
      </w:r>
      <w:r>
        <w:rPr>
          <w:color w:val="231F20"/>
          <w:spacing w:val="30"/>
        </w:rPr>
        <w:t> </w:t>
      </w:r>
      <w:r>
        <w:rPr>
          <w:color w:val="231F20"/>
          <w:spacing w:val="2"/>
        </w:rPr>
        <w:t>desregulación,</w:t>
      </w:r>
      <w:r>
        <w:rPr>
          <w:color w:val="231F20"/>
          <w:spacing w:val="30"/>
        </w:rPr>
        <w:t> </w:t>
      </w:r>
      <w:r>
        <w:rPr>
          <w:color w:val="231F20"/>
        </w:rPr>
        <w:t>también</w:t>
      </w:r>
      <w:r>
        <w:rPr>
          <w:color w:val="231F20"/>
          <w:spacing w:val="30"/>
        </w:rPr>
        <w:t> </w:t>
      </w:r>
      <w:r>
        <w:rPr>
          <w:color w:val="231F20"/>
          <w:spacing w:val="2"/>
        </w:rPr>
        <w:t>hizo</w:t>
      </w:r>
      <w:r>
        <w:rPr>
          <w:color w:val="231F20"/>
          <w:spacing w:val="30"/>
        </w:rPr>
        <w:t> </w:t>
      </w:r>
      <w:r>
        <w:rPr>
          <w:color w:val="231F20"/>
        </w:rPr>
        <w:t>inminente</w:t>
      </w:r>
      <w:r>
        <w:rPr>
          <w:color w:val="231F20"/>
          <w:spacing w:val="30"/>
        </w:rPr>
        <w:t> </w:t>
      </w:r>
      <w:r>
        <w:rPr>
          <w:color w:val="231F20"/>
        </w:rPr>
        <w:t>la</w:t>
      </w:r>
      <w:r>
        <w:rPr>
          <w:color w:val="231F20"/>
          <w:spacing w:val="30"/>
        </w:rPr>
        <w:t> </w:t>
      </w:r>
      <w:r>
        <w:rPr>
          <w:color w:val="231F20"/>
          <w:spacing w:val="3"/>
        </w:rPr>
        <w:t>necesidad</w:t>
      </w:r>
      <w:r>
        <w:rPr>
          <w:color w:val="231F20"/>
          <w:spacing w:val="3"/>
          <w:w w:val="102"/>
        </w:rPr>
        <w:t> </w:t>
      </w:r>
      <w:r>
        <w:rPr>
          <w:color w:val="231F20"/>
        </w:rPr>
        <w:t>del</w:t>
      </w:r>
      <w:r>
        <w:rPr>
          <w:color w:val="231F20"/>
          <w:spacing w:val="35"/>
        </w:rPr>
        <w:t> </w:t>
      </w:r>
      <w:r>
        <w:rPr>
          <w:color w:val="231F20"/>
          <w:spacing w:val="2"/>
        </w:rPr>
        <w:t>sector</w:t>
      </w:r>
      <w:r>
        <w:rPr>
          <w:color w:val="231F20"/>
          <w:spacing w:val="35"/>
        </w:rPr>
        <w:t> </w:t>
      </w:r>
      <w:r>
        <w:rPr>
          <w:color w:val="231F20"/>
        </w:rPr>
        <w:t>de</w:t>
      </w:r>
      <w:r>
        <w:rPr>
          <w:color w:val="231F20"/>
          <w:spacing w:val="35"/>
        </w:rPr>
        <w:t> </w:t>
      </w:r>
      <w:r>
        <w:rPr>
          <w:color w:val="231F20"/>
        </w:rPr>
        <w:t>transformarse</w:t>
      </w:r>
      <w:r>
        <w:rPr>
          <w:color w:val="231F20"/>
          <w:spacing w:val="35"/>
        </w:rPr>
        <w:t> </w:t>
      </w:r>
      <w:r>
        <w:rPr>
          <w:color w:val="231F20"/>
        </w:rPr>
        <w:t>para</w:t>
      </w:r>
      <w:r>
        <w:rPr>
          <w:color w:val="231F20"/>
          <w:spacing w:val="35"/>
        </w:rPr>
        <w:t> </w:t>
      </w:r>
      <w:r>
        <w:rPr>
          <w:color w:val="231F20"/>
          <w:spacing w:val="3"/>
        </w:rPr>
        <w:t>poder</w:t>
      </w:r>
      <w:r>
        <w:rPr>
          <w:color w:val="231F20"/>
          <w:spacing w:val="35"/>
        </w:rPr>
        <w:t> </w:t>
      </w:r>
      <w:r>
        <w:rPr>
          <w:color w:val="231F20"/>
          <w:spacing w:val="2"/>
        </w:rPr>
        <w:t>competir</w:t>
      </w:r>
      <w:r>
        <w:rPr>
          <w:color w:val="231F20"/>
          <w:spacing w:val="35"/>
        </w:rPr>
        <w:t> </w:t>
      </w:r>
      <w:r>
        <w:rPr>
          <w:color w:val="231F20"/>
        </w:rPr>
        <w:t>en</w:t>
      </w:r>
      <w:r>
        <w:rPr>
          <w:color w:val="231F20"/>
          <w:spacing w:val="35"/>
        </w:rPr>
        <w:t> </w:t>
      </w:r>
      <w:r>
        <w:rPr>
          <w:color w:val="231F20"/>
        </w:rPr>
        <w:t>los</w:t>
      </w:r>
      <w:r>
        <w:rPr>
          <w:color w:val="231F20"/>
          <w:spacing w:val="35"/>
        </w:rPr>
        <w:t> </w:t>
      </w:r>
      <w:r>
        <w:rPr>
          <w:color w:val="231F20"/>
          <w:spacing w:val="2"/>
        </w:rPr>
        <w:t>mercados</w:t>
      </w:r>
      <w:r>
        <w:rPr>
          <w:color w:val="231F20"/>
          <w:spacing w:val="35"/>
        </w:rPr>
        <w:t> </w:t>
      </w:r>
      <w:r>
        <w:rPr>
          <w:color w:val="231F20"/>
          <w:spacing w:val="2"/>
        </w:rPr>
        <w:t>internacionales</w:t>
      </w:r>
      <w:r>
        <w:rPr>
          <w:color w:val="231F20"/>
          <w:spacing w:val="3"/>
          <w:w w:val="94"/>
        </w:rPr>
        <w:t> </w:t>
      </w:r>
      <w:r>
        <w:rPr>
          <w:color w:val="231F20"/>
        </w:rPr>
        <w:t>y</w:t>
      </w:r>
      <w:r>
        <w:rPr>
          <w:color w:val="231F20"/>
          <w:spacing w:val="21"/>
        </w:rPr>
        <w:t> </w:t>
      </w:r>
      <w:r>
        <w:rPr>
          <w:color w:val="231F20"/>
          <w:spacing w:val="3"/>
        </w:rPr>
        <w:t>locales,</w:t>
      </w:r>
      <w:r>
        <w:rPr>
          <w:color w:val="231F20"/>
          <w:spacing w:val="21"/>
        </w:rPr>
        <w:t> </w:t>
      </w:r>
      <w:r>
        <w:rPr>
          <w:color w:val="231F20"/>
        </w:rPr>
        <w:t>además</w:t>
      </w:r>
      <w:r>
        <w:rPr>
          <w:color w:val="231F20"/>
          <w:spacing w:val="19"/>
        </w:rPr>
        <w:t> </w:t>
      </w:r>
      <w:r>
        <w:rPr>
          <w:color w:val="231F20"/>
        </w:rPr>
        <w:t>de</w:t>
      </w:r>
      <w:r>
        <w:rPr>
          <w:color w:val="231F20"/>
          <w:spacing w:val="19"/>
        </w:rPr>
        <w:t> </w:t>
      </w:r>
      <w:r>
        <w:rPr>
          <w:color w:val="231F20"/>
        </w:rPr>
        <w:t>representar</w:t>
      </w:r>
      <w:r>
        <w:rPr>
          <w:color w:val="231F20"/>
          <w:spacing w:val="19"/>
        </w:rPr>
        <w:t> </w:t>
      </w:r>
      <w:r>
        <w:rPr>
          <w:color w:val="231F20"/>
        </w:rPr>
        <w:t>el</w:t>
      </w:r>
      <w:r>
        <w:rPr>
          <w:color w:val="231F20"/>
          <w:spacing w:val="19"/>
        </w:rPr>
        <w:t> </w:t>
      </w:r>
      <w:r>
        <w:rPr>
          <w:color w:val="231F20"/>
        </w:rPr>
        <w:t>punto</w:t>
      </w:r>
      <w:r>
        <w:rPr>
          <w:color w:val="231F20"/>
          <w:spacing w:val="19"/>
        </w:rPr>
        <w:t> </w:t>
      </w:r>
      <w:r>
        <w:rPr>
          <w:color w:val="231F20"/>
        </w:rPr>
        <w:t>esencial</w:t>
      </w:r>
      <w:r>
        <w:rPr>
          <w:color w:val="231F20"/>
          <w:spacing w:val="19"/>
        </w:rPr>
        <w:t> </w:t>
      </w:r>
      <w:r>
        <w:rPr>
          <w:color w:val="231F20"/>
        </w:rPr>
        <w:t>que</w:t>
      </w:r>
      <w:r>
        <w:rPr>
          <w:color w:val="231F20"/>
          <w:spacing w:val="19"/>
        </w:rPr>
        <w:t> </w:t>
      </w:r>
      <w:r>
        <w:rPr>
          <w:color w:val="231F20"/>
        </w:rPr>
        <w:t>intensificó</w:t>
      </w:r>
      <w:r>
        <w:rPr>
          <w:color w:val="231F20"/>
          <w:spacing w:val="19"/>
        </w:rPr>
        <w:t> </w:t>
      </w:r>
      <w:r>
        <w:rPr>
          <w:color w:val="231F20"/>
        </w:rPr>
        <w:t>la</w:t>
      </w:r>
      <w:r>
        <w:rPr>
          <w:color w:val="231F20"/>
          <w:spacing w:val="19"/>
        </w:rPr>
        <w:t> </w:t>
      </w:r>
      <w:r>
        <w:rPr>
          <w:color w:val="231F20"/>
        </w:rPr>
        <w:t>pérdida</w:t>
      </w:r>
      <w:r>
        <w:rPr>
          <w:color w:val="231F20"/>
          <w:spacing w:val="19"/>
        </w:rPr>
        <w:t> </w:t>
      </w:r>
      <w:r>
        <w:rPr>
          <w:color w:val="231F20"/>
        </w:rPr>
        <w:t>de</w:t>
      </w:r>
      <w:r>
        <w:rPr>
          <w:color w:val="231F20"/>
          <w:spacing w:val="19"/>
        </w:rPr>
        <w:t> </w:t>
      </w:r>
      <w:r>
        <w:rPr>
          <w:color w:val="231F20"/>
        </w:rPr>
        <w:t>di-</w:t>
      </w:r>
      <w:r>
        <w:rPr>
          <w:color w:val="231F20"/>
          <w:w w:val="106"/>
        </w:rPr>
        <w:t> </w:t>
      </w:r>
      <w:r>
        <w:rPr>
          <w:color w:val="231F20"/>
        </w:rPr>
        <w:t>namismo</w:t>
      </w:r>
      <w:r>
        <w:rPr>
          <w:color w:val="231F20"/>
          <w:spacing w:val="14"/>
        </w:rPr>
        <w:t> </w:t>
      </w:r>
      <w:r>
        <w:rPr>
          <w:color w:val="231F20"/>
        </w:rPr>
        <w:t>del</w:t>
      </w:r>
      <w:r>
        <w:rPr>
          <w:color w:val="231F20"/>
          <w:spacing w:val="14"/>
        </w:rPr>
        <w:t> </w:t>
      </w:r>
      <w:r>
        <w:rPr>
          <w:color w:val="231F20"/>
        </w:rPr>
        <w:t>sector</w:t>
      </w:r>
      <w:r>
        <w:rPr>
          <w:color w:val="231F20"/>
          <w:spacing w:val="14"/>
        </w:rPr>
        <w:t> </w:t>
      </w:r>
      <w:r>
        <w:rPr>
          <w:color w:val="231F20"/>
          <w:spacing w:val="2"/>
        </w:rPr>
        <w:t>localizado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región</w:t>
      </w:r>
      <w:r>
        <w:rPr>
          <w:color w:val="231F20"/>
          <w:spacing w:val="14"/>
        </w:rPr>
        <w:t> </w:t>
      </w:r>
      <w:r>
        <w:rPr>
          <w:color w:val="231F20"/>
        </w:rPr>
        <w:t>centro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dadas</w:t>
      </w:r>
      <w:r>
        <w:rPr>
          <w:color w:val="231F20"/>
          <w:spacing w:val="14"/>
        </w:rPr>
        <w:t> </w:t>
      </w:r>
      <w:r>
        <w:rPr>
          <w:color w:val="231F20"/>
        </w:rPr>
        <w:t>las</w:t>
      </w:r>
      <w:r>
        <w:rPr>
          <w:color w:val="231F20"/>
          <w:spacing w:val="14"/>
        </w:rPr>
        <w:t> </w:t>
      </w:r>
      <w:r>
        <w:rPr>
          <w:color w:val="231F20"/>
        </w:rPr>
        <w:t>ventajas</w:t>
      </w:r>
      <w:r>
        <w:rPr>
          <w:color w:val="231F20"/>
          <w:spacing w:val="14"/>
        </w:rPr>
        <w:t> </w:t>
      </w:r>
      <w:r>
        <w:rPr>
          <w:color w:val="231F20"/>
        </w:rPr>
        <w:t>de</w:t>
      </w:r>
    </w:p>
    <w:p>
      <w:pPr>
        <w:pStyle w:val="BodyText"/>
        <w:spacing w:before="1"/>
        <w:ind w:left="713"/>
        <w:jc w:val="both"/>
      </w:pPr>
      <w:r>
        <w:rPr>
          <w:color w:val="231F20"/>
        </w:rPr>
        <w:t>localización que representan los territorios de la región norte de  México.</w:t>
      </w:r>
    </w:p>
    <w:p>
      <w:pPr>
        <w:pStyle w:val="BodyText"/>
        <w:spacing w:line="278" w:lineRule="auto" w:before="38"/>
        <w:ind w:left="713" w:right="101" w:firstLine="396"/>
        <w:jc w:val="both"/>
      </w:pPr>
      <w:r>
        <w:rPr>
          <w:color w:val="231F20"/>
        </w:rPr>
        <w:t>Con</w:t>
      </w:r>
      <w:r>
        <w:rPr>
          <w:color w:val="231F20"/>
          <w:spacing w:val="-11"/>
        </w:rPr>
        <w:t> </w:t>
      </w:r>
      <w:r>
        <w:rPr>
          <w:color w:val="231F20"/>
        </w:rPr>
        <w:t>la</w:t>
      </w:r>
      <w:r>
        <w:rPr>
          <w:color w:val="231F20"/>
          <w:spacing w:val="-11"/>
        </w:rPr>
        <w:t> </w:t>
      </w:r>
      <w:r>
        <w:rPr>
          <w:color w:val="231F20"/>
        </w:rPr>
        <w:t>firma</w:t>
      </w:r>
      <w:r>
        <w:rPr>
          <w:color w:val="231F20"/>
          <w:spacing w:val="-11"/>
        </w:rPr>
        <w:t> </w:t>
      </w:r>
      <w:r>
        <w:rPr>
          <w:color w:val="231F20"/>
        </w:rPr>
        <w:t>del</w:t>
      </w:r>
      <w:r>
        <w:rPr>
          <w:color w:val="231F20"/>
          <w:spacing w:val="-11"/>
        </w:rPr>
        <w:t> </w:t>
      </w:r>
      <w:r>
        <w:rPr>
          <w:color w:val="231F20"/>
        </w:rPr>
        <w:t>TLCAN</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consolidación</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etapa</w:t>
      </w:r>
      <w:r>
        <w:rPr>
          <w:color w:val="231F20"/>
          <w:spacing w:val="-11"/>
        </w:rPr>
        <w:t> </w:t>
      </w:r>
      <w:r>
        <w:rPr>
          <w:color w:val="231F20"/>
        </w:rPr>
        <w:t>de</w:t>
      </w:r>
      <w:r>
        <w:rPr>
          <w:color w:val="231F20"/>
          <w:spacing w:val="-11"/>
        </w:rPr>
        <w:t> </w:t>
      </w:r>
      <w:r>
        <w:rPr>
          <w:color w:val="231F20"/>
        </w:rPr>
        <w:t>exportación,</w:t>
      </w:r>
      <w:r>
        <w:rPr>
          <w:color w:val="231F20"/>
          <w:spacing w:val="-11"/>
        </w:rPr>
        <w:t> </w:t>
      </w:r>
      <w:r>
        <w:rPr>
          <w:color w:val="231F20"/>
        </w:rPr>
        <w:t>el</w:t>
      </w:r>
      <w:r>
        <w:rPr>
          <w:color w:val="231F20"/>
          <w:spacing w:val="-11"/>
        </w:rPr>
        <w:t> </w:t>
      </w:r>
      <w:r>
        <w:rPr>
          <w:color w:val="231F20"/>
        </w:rPr>
        <w:t>sector automotriz se ha apuntalado como una industria prioritaria dentro de la economía nacional;</w:t>
      </w:r>
      <w:r>
        <w:rPr>
          <w:color w:val="231F20"/>
          <w:spacing w:val="-16"/>
        </w:rPr>
        <w:t> </w:t>
      </w:r>
      <w:r>
        <w:rPr>
          <w:color w:val="231F20"/>
        </w:rPr>
        <w:t>sin</w:t>
      </w:r>
      <w:r>
        <w:rPr>
          <w:color w:val="231F20"/>
          <w:spacing w:val="-16"/>
        </w:rPr>
        <w:t> </w:t>
      </w:r>
      <w:r>
        <w:rPr>
          <w:color w:val="231F20"/>
        </w:rPr>
        <w:t>embargo,</w:t>
      </w:r>
      <w:r>
        <w:rPr>
          <w:color w:val="231F20"/>
          <w:spacing w:val="-16"/>
        </w:rPr>
        <w:t> </w:t>
      </w:r>
      <w:r>
        <w:rPr>
          <w:color w:val="231F20"/>
        </w:rPr>
        <w:t>para</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rPr>
        <w:t>automotriz</w:t>
      </w:r>
      <w:r>
        <w:rPr>
          <w:color w:val="231F20"/>
          <w:spacing w:val="-16"/>
        </w:rPr>
        <w:t> </w:t>
      </w:r>
      <w:r>
        <w:rPr>
          <w:color w:val="231F20"/>
        </w:rPr>
        <w:t>localizado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centro</w:t>
      </w:r>
      <w:r>
        <w:rPr>
          <w:color w:val="231F20"/>
          <w:spacing w:val="-16"/>
        </w:rPr>
        <w:t> </w:t>
      </w:r>
      <w:r>
        <w:rPr>
          <w:color w:val="231F20"/>
        </w:rPr>
        <w:t>del</w:t>
      </w:r>
      <w:r>
        <w:rPr>
          <w:color w:val="231F20"/>
          <w:spacing w:val="-16"/>
        </w:rPr>
        <w:t> </w:t>
      </w:r>
      <w:r>
        <w:rPr>
          <w:color w:val="231F20"/>
        </w:rPr>
        <w:t>país,</w:t>
      </w:r>
      <w:r>
        <w:rPr>
          <w:color w:val="231F20"/>
          <w:spacing w:val="-16"/>
        </w:rPr>
        <w:t> </w:t>
      </w:r>
      <w:r>
        <w:rPr>
          <w:color w:val="231F20"/>
        </w:rPr>
        <w:t>especí- ficamente</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rPr>
        <w:t>México,</w:t>
      </w:r>
      <w:r>
        <w:rPr>
          <w:color w:val="231F20"/>
          <w:spacing w:val="-13"/>
        </w:rPr>
        <w:t> </w:t>
      </w:r>
      <w:r>
        <w:rPr>
          <w:color w:val="231F20"/>
        </w:rPr>
        <w:t>la</w:t>
      </w:r>
      <w:r>
        <w:rPr>
          <w:color w:val="231F20"/>
          <w:spacing w:val="-13"/>
        </w:rPr>
        <w:t> </w:t>
      </w:r>
      <w:r>
        <w:rPr>
          <w:color w:val="231F20"/>
        </w:rPr>
        <w:t>situación</w:t>
      </w:r>
      <w:r>
        <w:rPr>
          <w:color w:val="231F20"/>
          <w:spacing w:val="-13"/>
        </w:rPr>
        <w:t> </w:t>
      </w:r>
      <w:r>
        <w:rPr>
          <w:color w:val="231F20"/>
        </w:rPr>
        <w:t>no</w:t>
      </w:r>
      <w:r>
        <w:rPr>
          <w:color w:val="231F20"/>
          <w:spacing w:val="-13"/>
        </w:rPr>
        <w:t> </w:t>
      </w:r>
      <w:r>
        <w:rPr>
          <w:color w:val="231F20"/>
        </w:rPr>
        <w:t>ha</w:t>
      </w:r>
      <w:r>
        <w:rPr>
          <w:color w:val="231F20"/>
          <w:spacing w:val="-13"/>
        </w:rPr>
        <w:t> </w:t>
      </w:r>
      <w:r>
        <w:rPr>
          <w:color w:val="231F20"/>
        </w:rPr>
        <w:t>sido</w:t>
      </w:r>
      <w:r>
        <w:rPr>
          <w:color w:val="231F20"/>
          <w:spacing w:val="-13"/>
        </w:rPr>
        <w:t> </w:t>
      </w:r>
      <w:r>
        <w:rPr>
          <w:color w:val="231F20"/>
        </w:rPr>
        <w:t>de</w:t>
      </w:r>
      <w:r>
        <w:rPr>
          <w:color w:val="231F20"/>
          <w:spacing w:val="-13"/>
        </w:rPr>
        <w:t> </w:t>
      </w:r>
      <w:r>
        <w:rPr>
          <w:color w:val="231F20"/>
        </w:rPr>
        <w:t>lo</w:t>
      </w:r>
      <w:r>
        <w:rPr>
          <w:color w:val="231F20"/>
          <w:spacing w:val="-13"/>
        </w:rPr>
        <w:t> </w:t>
      </w:r>
      <w:r>
        <w:rPr>
          <w:color w:val="231F20"/>
        </w:rPr>
        <w:t>más</w:t>
      </w:r>
      <w:r>
        <w:rPr>
          <w:color w:val="231F20"/>
          <w:spacing w:val="-13"/>
        </w:rPr>
        <w:t> </w:t>
      </w:r>
      <w:r>
        <w:rPr>
          <w:color w:val="231F20"/>
        </w:rPr>
        <w:t>favorable:</w:t>
      </w:r>
      <w:r>
        <w:rPr>
          <w:color w:val="231F20"/>
          <w:spacing w:val="-13"/>
        </w:rPr>
        <w:t> </w:t>
      </w:r>
      <w:r>
        <w:rPr>
          <w:color w:val="231F20"/>
        </w:rPr>
        <w:t>primero, por</w:t>
      </w:r>
      <w:r>
        <w:rPr>
          <w:color w:val="231F20"/>
          <w:spacing w:val="-6"/>
        </w:rPr>
        <w:t> </w:t>
      </w:r>
      <w:r>
        <w:rPr>
          <w:color w:val="231F20"/>
        </w:rPr>
        <w:t>los</w:t>
      </w:r>
      <w:r>
        <w:rPr>
          <w:color w:val="231F20"/>
          <w:spacing w:val="-6"/>
        </w:rPr>
        <w:t> </w:t>
      </w:r>
      <w:r>
        <w:rPr>
          <w:color w:val="231F20"/>
        </w:rPr>
        <w:t>aspectos</w:t>
      </w:r>
      <w:r>
        <w:rPr>
          <w:color w:val="231F20"/>
          <w:spacing w:val="-6"/>
        </w:rPr>
        <w:t> </w:t>
      </w:r>
      <w:r>
        <w:rPr>
          <w:color w:val="231F20"/>
        </w:rPr>
        <w:t>referentes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localización</w:t>
      </w:r>
      <w:r>
        <w:rPr>
          <w:color w:val="231F20"/>
          <w:spacing w:val="-6"/>
        </w:rPr>
        <w:t> </w:t>
      </w:r>
      <w:r>
        <w:rPr>
          <w:color w:val="231F20"/>
        </w:rPr>
        <w:t>geográfica;</w:t>
      </w:r>
      <w:r>
        <w:rPr>
          <w:color w:val="231F20"/>
          <w:spacing w:val="-6"/>
        </w:rPr>
        <w:t> </w:t>
      </w:r>
      <w:r>
        <w:rPr>
          <w:color w:val="231F20"/>
        </w:rPr>
        <w:t>y</w:t>
      </w:r>
      <w:r>
        <w:rPr>
          <w:color w:val="231F20"/>
          <w:spacing w:val="-6"/>
        </w:rPr>
        <w:t> </w:t>
      </w:r>
      <w:r>
        <w:rPr>
          <w:color w:val="231F20"/>
        </w:rPr>
        <w:t>segundo,</w:t>
      </w:r>
      <w:r>
        <w:rPr>
          <w:color w:val="231F20"/>
          <w:spacing w:val="-6"/>
        </w:rPr>
        <w:t> </w:t>
      </w:r>
      <w:r>
        <w:rPr>
          <w:color w:val="231F20"/>
        </w:rPr>
        <w:t>como</w:t>
      </w:r>
      <w:r>
        <w:rPr>
          <w:color w:val="231F20"/>
          <w:spacing w:val="-6"/>
        </w:rPr>
        <w:t> </w:t>
      </w:r>
      <w:r>
        <w:rPr>
          <w:color w:val="231F20"/>
        </w:rPr>
        <w:t>resultado</w:t>
      </w:r>
      <w:r>
        <w:rPr>
          <w:color w:val="231F20"/>
          <w:spacing w:val="-6"/>
        </w:rPr>
        <w:t> </w:t>
      </w:r>
      <w:r>
        <w:rPr>
          <w:color w:val="231F20"/>
        </w:rPr>
        <w:t>del profundo</w:t>
      </w:r>
      <w:r>
        <w:rPr>
          <w:color w:val="231F20"/>
          <w:spacing w:val="-8"/>
        </w:rPr>
        <w:t> </w:t>
      </w:r>
      <w:r>
        <w:rPr>
          <w:color w:val="231F20"/>
        </w:rPr>
        <w:t>sesgo</w:t>
      </w:r>
      <w:r>
        <w:rPr>
          <w:color w:val="231F20"/>
          <w:spacing w:val="-8"/>
        </w:rPr>
        <w:t> </w:t>
      </w:r>
      <w:r>
        <w:rPr>
          <w:color w:val="231F20"/>
        </w:rPr>
        <w:t>anti-exportador</w:t>
      </w:r>
      <w:r>
        <w:rPr>
          <w:color w:val="231F20"/>
          <w:spacing w:val="-8"/>
        </w:rPr>
        <w:t> </w:t>
      </w:r>
      <w:r>
        <w:rPr>
          <w:color w:val="231F20"/>
        </w:rPr>
        <w:t>que</w:t>
      </w:r>
      <w:r>
        <w:rPr>
          <w:color w:val="231F20"/>
          <w:spacing w:val="-8"/>
        </w:rPr>
        <w:t> </w:t>
      </w:r>
      <w:r>
        <w:rPr>
          <w:color w:val="231F20"/>
        </w:rPr>
        <w:t>padecía</w:t>
      </w:r>
      <w:r>
        <w:rPr>
          <w:color w:val="231F20"/>
          <w:spacing w:val="-8"/>
        </w:rPr>
        <w:t> </w:t>
      </w:r>
      <w:r>
        <w:rPr>
          <w:color w:val="231F20"/>
        </w:rPr>
        <w:t>la</w:t>
      </w:r>
      <w:r>
        <w:rPr>
          <w:color w:val="231F20"/>
          <w:spacing w:val="-8"/>
        </w:rPr>
        <w:t> </w:t>
      </w:r>
      <w:r>
        <w:rPr>
          <w:color w:val="231F20"/>
        </w:rPr>
        <w:t>planta</w:t>
      </w:r>
      <w:r>
        <w:rPr>
          <w:color w:val="231F20"/>
          <w:spacing w:val="-8"/>
        </w:rPr>
        <w:t> </w:t>
      </w:r>
      <w:r>
        <w:rPr>
          <w:color w:val="231F20"/>
        </w:rPr>
        <w:t>productiva</w:t>
      </w:r>
      <w:r>
        <w:rPr>
          <w:color w:val="231F20"/>
          <w:spacing w:val="-8"/>
        </w:rPr>
        <w:t> </w:t>
      </w:r>
      <w:r>
        <w:rPr>
          <w:color w:val="231F20"/>
        </w:rPr>
        <w:t>mexiquense,</w:t>
      </w:r>
      <w:r>
        <w:rPr>
          <w:color w:val="231F20"/>
          <w:spacing w:val="-8"/>
        </w:rPr>
        <w:t> </w:t>
      </w:r>
      <w:r>
        <w:rPr>
          <w:color w:val="231F20"/>
        </w:rPr>
        <w:t>incluida la automotriz.</w:t>
      </w:r>
    </w:p>
    <w:p>
      <w:pPr>
        <w:pStyle w:val="BodyText"/>
        <w:spacing w:line="278" w:lineRule="auto" w:before="1"/>
        <w:ind w:left="713" w:right="101" w:firstLine="396"/>
        <w:jc w:val="both"/>
      </w:pPr>
      <w:r>
        <w:rPr>
          <w:color w:val="231F20"/>
        </w:rPr>
        <w:t>Existen</w:t>
      </w:r>
      <w:r>
        <w:rPr>
          <w:color w:val="231F20"/>
          <w:spacing w:val="-11"/>
        </w:rPr>
        <w:t> </w:t>
      </w:r>
      <w:r>
        <w:rPr>
          <w:color w:val="231F20"/>
        </w:rPr>
        <w:t>marcadas</w:t>
      </w:r>
      <w:r>
        <w:rPr>
          <w:color w:val="231F20"/>
          <w:spacing w:val="-11"/>
        </w:rPr>
        <w:t> </w:t>
      </w:r>
      <w:r>
        <w:rPr>
          <w:color w:val="231F20"/>
        </w:rPr>
        <w:t>diferencias</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contraste</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viejas</w:t>
      </w:r>
      <w:r>
        <w:rPr>
          <w:color w:val="231F20"/>
          <w:spacing w:val="-11"/>
        </w:rPr>
        <w:t> </w:t>
      </w:r>
      <w:r>
        <w:rPr>
          <w:color w:val="231F20"/>
        </w:rPr>
        <w:t>plantas</w:t>
      </w:r>
      <w:r>
        <w:rPr>
          <w:color w:val="231F20"/>
          <w:spacing w:val="-11"/>
        </w:rPr>
        <w:t> </w:t>
      </w:r>
      <w:r>
        <w:rPr>
          <w:color w:val="231F20"/>
        </w:rPr>
        <w:t>ubicadas</w:t>
      </w:r>
      <w:r>
        <w:rPr>
          <w:color w:val="231F20"/>
          <w:spacing w:val="-11"/>
        </w:rPr>
        <w:t> </w:t>
      </w:r>
      <w:r>
        <w:rPr>
          <w:color w:val="231F20"/>
        </w:rPr>
        <w:t>en</w:t>
      </w:r>
      <w:r>
        <w:rPr>
          <w:color w:val="231F20"/>
          <w:spacing w:val="-11"/>
        </w:rPr>
        <w:t> </w:t>
      </w:r>
      <w:r>
        <w:rPr>
          <w:color w:val="231F20"/>
        </w:rPr>
        <w:t>el centro</w:t>
      </w:r>
      <w:r>
        <w:rPr>
          <w:color w:val="231F20"/>
          <w:spacing w:val="-7"/>
        </w:rPr>
        <w:t> </w:t>
      </w:r>
      <w:r>
        <w:rPr>
          <w:color w:val="231F20"/>
        </w:rPr>
        <w:t>del</w:t>
      </w:r>
      <w:r>
        <w:rPr>
          <w:color w:val="231F20"/>
          <w:spacing w:val="-7"/>
        </w:rPr>
        <w:t> </w:t>
      </w:r>
      <w:r>
        <w:rPr>
          <w:color w:val="231F20"/>
        </w:rPr>
        <w:t>país,</w:t>
      </w:r>
      <w:r>
        <w:rPr>
          <w:color w:val="231F20"/>
          <w:spacing w:val="-7"/>
        </w:rPr>
        <w:t> </w:t>
      </w:r>
      <w:r>
        <w:rPr>
          <w:color w:val="231F20"/>
        </w:rPr>
        <w:t>cuyo</w:t>
      </w:r>
      <w:r>
        <w:rPr>
          <w:color w:val="231F20"/>
          <w:spacing w:val="-7"/>
        </w:rPr>
        <w:t> </w:t>
      </w:r>
      <w:r>
        <w:rPr>
          <w:color w:val="231F20"/>
        </w:rPr>
        <w:t>propósito</w:t>
      </w:r>
      <w:r>
        <w:rPr>
          <w:color w:val="231F20"/>
          <w:spacing w:val="-7"/>
        </w:rPr>
        <w:t> </w:t>
      </w:r>
      <w:r>
        <w:rPr>
          <w:color w:val="231F20"/>
        </w:rPr>
        <w:t>principal</w:t>
      </w:r>
      <w:r>
        <w:rPr>
          <w:color w:val="231F20"/>
          <w:spacing w:val="-7"/>
        </w:rPr>
        <w:t> </w:t>
      </w:r>
      <w:r>
        <w:rPr>
          <w:color w:val="231F20"/>
        </w:rPr>
        <w:t>fue</w:t>
      </w:r>
      <w:r>
        <w:rPr>
          <w:color w:val="231F20"/>
          <w:spacing w:val="-7"/>
        </w:rPr>
        <w:t> </w:t>
      </w:r>
      <w:r>
        <w:rPr>
          <w:color w:val="231F20"/>
        </w:rPr>
        <w:t>abastecer</w:t>
      </w:r>
      <w:r>
        <w:rPr>
          <w:color w:val="231F20"/>
          <w:spacing w:val="-7"/>
        </w:rPr>
        <w:t> </w:t>
      </w:r>
      <w:r>
        <w:rPr>
          <w:color w:val="231F20"/>
        </w:rPr>
        <w:t>el</w:t>
      </w:r>
      <w:r>
        <w:rPr>
          <w:color w:val="231F20"/>
          <w:spacing w:val="-7"/>
        </w:rPr>
        <w:t> </w:t>
      </w:r>
      <w:r>
        <w:rPr>
          <w:color w:val="231F20"/>
        </w:rPr>
        <w:t>mercado</w:t>
      </w:r>
      <w:r>
        <w:rPr>
          <w:color w:val="231F20"/>
          <w:spacing w:val="-7"/>
        </w:rPr>
        <w:t> </w:t>
      </w:r>
      <w:r>
        <w:rPr>
          <w:color w:val="231F20"/>
        </w:rPr>
        <w:t>interno</w:t>
      </w:r>
      <w:r>
        <w:rPr>
          <w:color w:val="231F20"/>
          <w:spacing w:val="-7"/>
        </w:rPr>
        <w:t> </w:t>
      </w:r>
      <w:r>
        <w:rPr>
          <w:color w:val="231F20"/>
        </w:rPr>
        <w:t>en</w:t>
      </w:r>
      <w:r>
        <w:rPr>
          <w:color w:val="231F20"/>
          <w:spacing w:val="-7"/>
        </w:rPr>
        <w:t> </w:t>
      </w:r>
      <w:r>
        <w:rPr>
          <w:color w:val="231F20"/>
        </w:rPr>
        <w:t>una</w:t>
      </w:r>
      <w:r>
        <w:rPr>
          <w:color w:val="231F20"/>
          <w:spacing w:val="-7"/>
        </w:rPr>
        <w:t> </w:t>
      </w:r>
      <w:r>
        <w:rPr>
          <w:color w:val="231F20"/>
        </w:rPr>
        <w:t>etapa altamente proteccionista y con grandes restricciones al mercado externo, y las nuevas plantas emplazadas en la frontera norte de México, cuyas estrategias se gestaban bajo una nueva lógica de producción y abasto al mercado externo. En las nuevas plantas la transferencia de tecnología ha sido un factor </w:t>
      </w:r>
      <w:r>
        <w:rPr>
          <w:color w:val="231F20"/>
          <w:spacing w:val="-2"/>
        </w:rPr>
        <w:t>muy </w:t>
      </w:r>
      <w:r>
        <w:rPr>
          <w:color w:val="231F20"/>
        </w:rPr>
        <w:t>relevante, que se ha reflejado en el equipo,</w:t>
      </w:r>
      <w:r>
        <w:rPr>
          <w:color w:val="231F20"/>
          <w:spacing w:val="-8"/>
        </w:rPr>
        <w:t> </w:t>
      </w:r>
      <w:r>
        <w:rPr>
          <w:color w:val="231F20"/>
        </w:rPr>
        <w:t>la</w:t>
      </w:r>
      <w:r>
        <w:rPr>
          <w:color w:val="231F20"/>
          <w:spacing w:val="-8"/>
        </w:rPr>
        <w:t> </w:t>
      </w:r>
      <w:r>
        <w:rPr>
          <w:color w:val="231F20"/>
        </w:rPr>
        <w:t>maquinaria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nuevas</w:t>
      </w:r>
      <w:r>
        <w:rPr>
          <w:color w:val="231F20"/>
          <w:spacing w:val="-8"/>
        </w:rPr>
        <w:t> </w:t>
      </w:r>
      <w:r>
        <w:rPr>
          <w:color w:val="231F20"/>
        </w:rPr>
        <w:t>condiciones</w:t>
      </w:r>
      <w:r>
        <w:rPr>
          <w:color w:val="231F20"/>
          <w:spacing w:val="-8"/>
        </w:rPr>
        <w:t> </w:t>
      </w:r>
      <w:r>
        <w:rPr>
          <w:color w:val="231F20"/>
        </w:rPr>
        <w:t>de</w:t>
      </w:r>
      <w:r>
        <w:rPr>
          <w:color w:val="231F20"/>
          <w:spacing w:val="-8"/>
        </w:rPr>
        <w:t> </w:t>
      </w:r>
      <w:r>
        <w:rPr>
          <w:color w:val="231F20"/>
        </w:rPr>
        <w:t>trabajo.</w:t>
      </w:r>
    </w:p>
    <w:p>
      <w:pPr>
        <w:pStyle w:val="BodyText"/>
        <w:spacing w:line="278" w:lineRule="auto" w:before="1"/>
        <w:ind w:left="713" w:right="98" w:firstLine="396"/>
        <w:jc w:val="both"/>
      </w:pPr>
      <w:r>
        <w:rPr>
          <w:color w:val="231F20"/>
        </w:rPr>
        <w:t>Ante el nuevo orden económico y comercial vinculado con los mercados exter- nos, el Estado de México deja de ser atractivo para las grandes transnacionales, que fijan sus expectativas de crecimiento en las ventajas de localización (cercanía con los mercados estadounidense y canadiense, mano de obra barata y calificada, escasa tra- dición sindical, apoyos gubernamentales, infraestructura) que les ofrecen los estados del norte del país.</w:t>
      </w:r>
    </w:p>
    <w:p>
      <w:pPr>
        <w:pStyle w:val="BodyText"/>
        <w:spacing w:line="278" w:lineRule="auto" w:before="1"/>
        <w:ind w:left="713" w:right="101" w:firstLine="396"/>
        <w:jc w:val="both"/>
      </w:pPr>
      <w:r>
        <w:rPr>
          <w:color w:val="231F20"/>
          <w:spacing w:val="-5"/>
        </w:rPr>
        <w:t>Un </w:t>
      </w:r>
      <w:r>
        <w:rPr>
          <w:color w:val="231F20"/>
        </w:rPr>
        <w:t>punto a destacar en el marco del TLCAN es la libre importación de automó- viles nuevos procedentes de los Estados Unidos de América y de Canadá a partir de 2004,</w:t>
      </w:r>
      <w:r>
        <w:rPr>
          <w:color w:val="231F20"/>
          <w:spacing w:val="-5"/>
        </w:rPr>
        <w:t> </w:t>
      </w:r>
      <w:r>
        <w:rPr>
          <w:color w:val="231F20"/>
        </w:rPr>
        <w:t>así</w:t>
      </w:r>
      <w:r>
        <w:rPr>
          <w:color w:val="231F20"/>
          <w:spacing w:val="-5"/>
        </w:rPr>
        <w:t> </w:t>
      </w:r>
      <w:r>
        <w:rPr>
          <w:color w:val="231F20"/>
        </w:rPr>
        <w:t>como</w:t>
      </w:r>
      <w:r>
        <w:rPr>
          <w:color w:val="231F20"/>
          <w:spacing w:val="-5"/>
        </w:rPr>
        <w:t> </w:t>
      </w:r>
      <w:r>
        <w:rPr>
          <w:color w:val="231F20"/>
        </w:rPr>
        <w:t>que</w:t>
      </w:r>
      <w:r>
        <w:rPr>
          <w:color w:val="231F20"/>
          <w:spacing w:val="-5"/>
        </w:rPr>
        <w:t> </w:t>
      </w:r>
      <w:r>
        <w:rPr>
          <w:color w:val="231F20"/>
        </w:rPr>
        <w:t>desde</w:t>
      </w:r>
      <w:r>
        <w:rPr>
          <w:color w:val="231F20"/>
          <w:spacing w:val="-5"/>
        </w:rPr>
        <w:t> </w:t>
      </w:r>
      <w:r>
        <w:rPr>
          <w:color w:val="231F20"/>
        </w:rPr>
        <w:t>el</w:t>
      </w:r>
      <w:r>
        <w:rPr>
          <w:color w:val="231F20"/>
          <w:spacing w:val="-5"/>
        </w:rPr>
        <w:t> </w:t>
      </w:r>
      <w:r>
        <w:rPr>
          <w:color w:val="231F20"/>
        </w:rPr>
        <w:t>1</w:t>
      </w:r>
      <w:r>
        <w:rPr>
          <w:color w:val="231F20"/>
          <w:spacing w:val="-5"/>
        </w:rPr>
        <w:t> </w:t>
      </w:r>
      <w:r>
        <w:rPr>
          <w:color w:val="231F20"/>
        </w:rPr>
        <w:t>de</w:t>
      </w:r>
      <w:r>
        <w:rPr>
          <w:color w:val="231F20"/>
          <w:spacing w:val="-5"/>
        </w:rPr>
        <w:t> </w:t>
      </w:r>
      <w:r>
        <w:rPr>
          <w:color w:val="231F20"/>
        </w:rPr>
        <w:t>enero</w:t>
      </w:r>
      <w:r>
        <w:rPr>
          <w:color w:val="231F20"/>
          <w:spacing w:val="-5"/>
        </w:rPr>
        <w:t> </w:t>
      </w:r>
      <w:r>
        <w:rPr>
          <w:color w:val="231F20"/>
        </w:rPr>
        <w:t>de</w:t>
      </w:r>
      <w:r>
        <w:rPr>
          <w:color w:val="231F20"/>
          <w:spacing w:val="-5"/>
        </w:rPr>
        <w:t> </w:t>
      </w:r>
      <w:r>
        <w:rPr>
          <w:color w:val="231F20"/>
        </w:rPr>
        <w:t>2009</w:t>
      </w:r>
      <w:r>
        <w:rPr>
          <w:color w:val="231F20"/>
          <w:spacing w:val="-5"/>
        </w:rPr>
        <w:t> </w:t>
      </w:r>
      <w:r>
        <w:rPr>
          <w:color w:val="231F20"/>
        </w:rPr>
        <w:t>México</w:t>
      </w:r>
      <w:r>
        <w:rPr>
          <w:color w:val="231F20"/>
          <w:spacing w:val="-5"/>
        </w:rPr>
        <w:t> </w:t>
      </w:r>
      <w:r>
        <w:rPr>
          <w:color w:val="231F20"/>
        </w:rPr>
        <w:t>no</w:t>
      </w:r>
      <w:r>
        <w:rPr>
          <w:color w:val="231F20"/>
          <w:spacing w:val="-5"/>
        </w:rPr>
        <w:t> </w:t>
      </w:r>
      <w:r>
        <w:rPr>
          <w:color w:val="231F20"/>
        </w:rPr>
        <w:t>puede</w:t>
      </w:r>
      <w:r>
        <w:rPr>
          <w:color w:val="231F20"/>
          <w:spacing w:val="-5"/>
        </w:rPr>
        <w:t> </w:t>
      </w:r>
      <w:r>
        <w:rPr>
          <w:color w:val="231F20"/>
        </w:rPr>
        <w:t>adoptar</w:t>
      </w:r>
      <w:r>
        <w:rPr>
          <w:color w:val="231F20"/>
          <w:spacing w:val="-5"/>
        </w:rPr>
        <w:t> </w:t>
      </w:r>
      <w:r>
        <w:rPr>
          <w:color w:val="231F20"/>
        </w:rPr>
        <w:t>ni</w:t>
      </w:r>
      <w:r>
        <w:rPr>
          <w:color w:val="231F20"/>
          <w:spacing w:val="-5"/>
        </w:rPr>
        <w:t> </w:t>
      </w:r>
      <w:r>
        <w:rPr>
          <w:color w:val="231F20"/>
        </w:rPr>
        <w:t>mantener</w:t>
      </w:r>
    </w:p>
    <w:p>
      <w:pPr>
        <w:spacing w:after="0" w:line="278" w:lineRule="auto"/>
        <w:jc w:val="both"/>
        <w:sectPr>
          <w:headerReference w:type="even" r:id="rId202"/>
          <w:footerReference w:type="even" r:id="rId203"/>
          <w:footerReference w:type="default" r:id="rId204"/>
          <w:pgSz w:w="9640" w:h="13040"/>
          <w:pgMar w:header="581" w:footer="654" w:top="780" w:bottom="840" w:left="420" w:right="1200"/>
        </w:sectPr>
      </w:pPr>
    </w:p>
    <w:p>
      <w:pPr>
        <w:spacing w:line="200" w:lineRule="exact" w:before="39"/>
        <w:ind w:left="1262" w:right="1617" w:hanging="251"/>
        <w:jc w:val="left"/>
        <w:rPr>
          <w:rFonts w:ascii="Palatino Linotype" w:hAnsi="Palatino Linotype"/>
          <w:sz w:val="16"/>
        </w:rPr>
      </w:pPr>
      <w:r>
        <w:rPr>
          <w:rFonts w:ascii="Arial Black" w:hAnsi="Arial Black"/>
          <w:b/>
          <w:color w:val="231F20"/>
          <w:w w:val="105"/>
          <w:sz w:val="16"/>
        </w:rPr>
        <w:t>Capítulo</w:t>
      </w:r>
      <w:r>
        <w:rPr>
          <w:rFonts w:ascii="Arial Black" w:hAnsi="Arial Black"/>
          <w:b/>
          <w:color w:val="231F20"/>
          <w:spacing w:val="-34"/>
          <w:w w:val="105"/>
          <w:sz w:val="16"/>
        </w:rPr>
        <w:t> </w:t>
      </w:r>
      <w:r>
        <w:rPr>
          <w:rFonts w:ascii="Arial Black" w:hAnsi="Arial Black"/>
          <w:b/>
          <w:color w:val="231F20"/>
          <w:w w:val="105"/>
          <w:sz w:val="16"/>
        </w:rPr>
        <w:t>III.</w:t>
      </w:r>
      <w:r>
        <w:rPr>
          <w:rFonts w:ascii="Arial Black" w:hAnsi="Arial Black"/>
          <w:b/>
          <w:color w:val="231F20"/>
          <w:spacing w:val="-34"/>
          <w:w w:val="105"/>
          <w:sz w:val="16"/>
        </w:rPr>
        <w:t> </w:t>
      </w:r>
      <w:r>
        <w:rPr>
          <w:rFonts w:ascii="Palatino Linotype" w:hAnsi="Palatino Linotype"/>
          <w:color w:val="231F20"/>
          <w:w w:val="105"/>
          <w:sz w:val="16"/>
        </w:rPr>
        <w:t>La</w:t>
      </w:r>
      <w:r>
        <w:rPr>
          <w:rFonts w:ascii="Palatino Linotype" w:hAnsi="Palatino Linotype"/>
          <w:color w:val="231F20"/>
          <w:spacing w:val="-19"/>
          <w:w w:val="105"/>
          <w:sz w:val="16"/>
        </w:rPr>
        <w:t> </w:t>
      </w:r>
      <w:r>
        <w:rPr>
          <w:rFonts w:ascii="Palatino Linotype" w:hAnsi="Palatino Linotype"/>
          <w:color w:val="231F20"/>
          <w:w w:val="105"/>
          <w:sz w:val="16"/>
        </w:rPr>
        <w:t>industria</w:t>
      </w:r>
      <w:r>
        <w:rPr>
          <w:rFonts w:ascii="Palatino Linotype" w:hAnsi="Palatino Linotype"/>
          <w:color w:val="231F20"/>
          <w:spacing w:val="-19"/>
          <w:w w:val="105"/>
          <w:sz w:val="16"/>
        </w:rPr>
        <w:t> </w:t>
      </w:r>
      <w:r>
        <w:rPr>
          <w:rFonts w:ascii="Palatino Linotype" w:hAnsi="Palatino Linotype"/>
          <w:color w:val="231F20"/>
          <w:w w:val="105"/>
          <w:sz w:val="16"/>
        </w:rPr>
        <w:t>automotriz</w:t>
      </w:r>
      <w:r>
        <w:rPr>
          <w:rFonts w:ascii="Palatino Linotype" w:hAnsi="Palatino Linotype"/>
          <w:color w:val="231F20"/>
          <w:spacing w:val="-19"/>
          <w:w w:val="105"/>
          <w:sz w:val="16"/>
        </w:rPr>
        <w:t> </w:t>
      </w:r>
      <w:r>
        <w:rPr>
          <w:rFonts w:ascii="Palatino Linotype" w:hAnsi="Palatino Linotype"/>
          <w:color w:val="231F20"/>
          <w:w w:val="105"/>
          <w:sz w:val="16"/>
        </w:rPr>
        <w:t>en</w:t>
      </w:r>
      <w:r>
        <w:rPr>
          <w:rFonts w:ascii="Palatino Linotype" w:hAnsi="Palatino Linotype"/>
          <w:color w:val="231F20"/>
          <w:spacing w:val="-19"/>
          <w:w w:val="105"/>
          <w:sz w:val="16"/>
        </w:rPr>
        <w:t> </w:t>
      </w:r>
      <w:r>
        <w:rPr>
          <w:rFonts w:ascii="Palatino Linotype" w:hAnsi="Palatino Linotype"/>
          <w:color w:val="231F20"/>
          <w:w w:val="105"/>
          <w:sz w:val="16"/>
        </w:rPr>
        <w:t>México.</w:t>
      </w:r>
      <w:r>
        <w:rPr>
          <w:rFonts w:ascii="Palatino Linotype" w:hAnsi="Palatino Linotype"/>
          <w:color w:val="231F20"/>
          <w:spacing w:val="-19"/>
          <w:w w:val="105"/>
          <w:sz w:val="16"/>
        </w:rPr>
        <w:t> </w:t>
      </w:r>
      <w:r>
        <w:rPr>
          <w:rFonts w:ascii="Palatino Linotype" w:hAnsi="Palatino Linotype"/>
          <w:color w:val="231F20"/>
          <w:w w:val="105"/>
          <w:sz w:val="16"/>
        </w:rPr>
        <w:t>Importancia,</w:t>
      </w:r>
      <w:r>
        <w:rPr>
          <w:rFonts w:ascii="Palatino Linotype" w:hAnsi="Palatino Linotype"/>
          <w:color w:val="231F20"/>
          <w:spacing w:val="-19"/>
          <w:w w:val="105"/>
          <w:sz w:val="16"/>
        </w:rPr>
        <w:t> </w:t>
      </w:r>
      <w:r>
        <w:rPr>
          <w:rFonts w:ascii="Palatino Linotype" w:hAnsi="Palatino Linotype"/>
          <w:color w:val="231F20"/>
          <w:w w:val="105"/>
          <w:sz w:val="16"/>
        </w:rPr>
        <w:t>evolución, desempeño</w:t>
      </w:r>
      <w:r>
        <w:rPr>
          <w:rFonts w:ascii="Palatino Linotype" w:hAnsi="Palatino Linotype"/>
          <w:color w:val="231F20"/>
          <w:spacing w:val="-5"/>
          <w:w w:val="105"/>
          <w:sz w:val="16"/>
        </w:rPr>
        <w:t> </w:t>
      </w:r>
      <w:r>
        <w:rPr>
          <w:rFonts w:ascii="Palatino Linotype" w:hAnsi="Palatino Linotype"/>
          <w:color w:val="231F20"/>
          <w:w w:val="105"/>
          <w:sz w:val="16"/>
        </w:rPr>
        <w:t>y</w:t>
      </w:r>
      <w:r>
        <w:rPr>
          <w:rFonts w:ascii="Palatino Linotype" w:hAnsi="Palatino Linotype"/>
          <w:color w:val="231F20"/>
          <w:spacing w:val="-5"/>
          <w:w w:val="105"/>
          <w:sz w:val="16"/>
        </w:rPr>
        <w:t> </w:t>
      </w:r>
      <w:r>
        <w:rPr>
          <w:rFonts w:ascii="Palatino Linotype" w:hAnsi="Palatino Linotype"/>
          <w:color w:val="231F20"/>
          <w:w w:val="105"/>
          <w:sz w:val="16"/>
        </w:rPr>
        <w:t>tendencias</w:t>
      </w:r>
      <w:r>
        <w:rPr>
          <w:rFonts w:ascii="Palatino Linotype" w:hAnsi="Palatino Linotype"/>
          <w:color w:val="231F20"/>
          <w:spacing w:val="-5"/>
          <w:w w:val="105"/>
          <w:sz w:val="16"/>
        </w:rPr>
        <w:t> </w:t>
      </w:r>
      <w:r>
        <w:rPr>
          <w:rFonts w:ascii="Palatino Linotype" w:hAnsi="Palatino Linotype"/>
          <w:color w:val="231F20"/>
          <w:w w:val="105"/>
          <w:sz w:val="16"/>
        </w:rPr>
        <w:t>en</w:t>
      </w:r>
      <w:r>
        <w:rPr>
          <w:rFonts w:ascii="Palatino Linotype" w:hAnsi="Palatino Linotype"/>
          <w:color w:val="231F20"/>
          <w:spacing w:val="-5"/>
          <w:w w:val="105"/>
          <w:sz w:val="16"/>
        </w:rPr>
        <w:t> </w:t>
      </w:r>
      <w:r>
        <w:rPr>
          <w:rFonts w:ascii="Palatino Linotype" w:hAnsi="Palatino Linotype"/>
          <w:color w:val="231F20"/>
          <w:w w:val="105"/>
          <w:sz w:val="16"/>
        </w:rPr>
        <w:t>el</w:t>
      </w:r>
      <w:r>
        <w:rPr>
          <w:rFonts w:ascii="Palatino Linotype" w:hAnsi="Palatino Linotype"/>
          <w:color w:val="231F20"/>
          <w:spacing w:val="-5"/>
          <w:w w:val="105"/>
          <w:sz w:val="16"/>
        </w:rPr>
        <w:t> </w:t>
      </w:r>
      <w:r>
        <w:rPr>
          <w:rFonts w:ascii="Palatino Linotype" w:hAnsi="Palatino Linotype"/>
          <w:color w:val="231F20"/>
          <w:w w:val="105"/>
          <w:sz w:val="16"/>
        </w:rPr>
        <w:t>crecimiento</w:t>
      </w:r>
      <w:r>
        <w:rPr>
          <w:rFonts w:ascii="Palatino Linotype" w:hAnsi="Palatino Linotype"/>
          <w:color w:val="231F20"/>
          <w:spacing w:val="-5"/>
          <w:w w:val="105"/>
          <w:sz w:val="16"/>
        </w:rPr>
        <w:t> </w:t>
      </w:r>
      <w:r>
        <w:rPr>
          <w:rFonts w:ascii="Palatino Linotype" w:hAnsi="Palatino Linotype"/>
          <w:color w:val="231F20"/>
          <w:w w:val="105"/>
          <w:sz w:val="16"/>
        </w:rPr>
        <w:t>de</w:t>
      </w:r>
      <w:r>
        <w:rPr>
          <w:rFonts w:ascii="Palatino Linotype" w:hAnsi="Palatino Linotype"/>
          <w:color w:val="231F20"/>
          <w:spacing w:val="-5"/>
          <w:w w:val="105"/>
          <w:sz w:val="16"/>
        </w:rPr>
        <w:t> </w:t>
      </w:r>
      <w:r>
        <w:rPr>
          <w:rFonts w:ascii="Palatino Linotype" w:hAnsi="Palatino Linotype"/>
          <w:color w:val="231F20"/>
          <w:w w:val="105"/>
          <w:sz w:val="16"/>
        </w:rPr>
        <w:t>un</w:t>
      </w:r>
      <w:r>
        <w:rPr>
          <w:rFonts w:ascii="Palatino Linotype" w:hAnsi="Palatino Linotype"/>
          <w:color w:val="231F20"/>
          <w:spacing w:val="-5"/>
          <w:w w:val="105"/>
          <w:sz w:val="16"/>
        </w:rPr>
        <w:t> </w:t>
      </w:r>
      <w:r>
        <w:rPr>
          <w:rFonts w:ascii="Palatino Linotype" w:hAnsi="Palatino Linotype"/>
          <w:color w:val="231F20"/>
          <w:w w:val="105"/>
          <w:sz w:val="16"/>
        </w:rPr>
        <w:t>sector</w:t>
      </w:r>
      <w:r>
        <w:rPr>
          <w:rFonts w:ascii="Palatino Linotype" w:hAnsi="Palatino Linotype"/>
          <w:color w:val="231F20"/>
          <w:spacing w:val="-5"/>
          <w:w w:val="105"/>
          <w:sz w:val="16"/>
        </w:rPr>
        <w:t> </w:t>
      </w:r>
      <w:r>
        <w:rPr>
          <w:rFonts w:ascii="Palatino Linotype" w:hAnsi="Palatino Linotype"/>
          <w:color w:val="231F20"/>
          <w:w w:val="105"/>
          <w:sz w:val="16"/>
        </w:rPr>
        <w:t>estratégico</w:t>
      </w:r>
    </w:p>
    <w:p>
      <w:pPr>
        <w:pStyle w:val="BodyText"/>
        <w:rPr>
          <w:rFonts w:ascii="Palatino Linotype"/>
          <w:sz w:val="16"/>
        </w:rPr>
      </w:pPr>
    </w:p>
    <w:p>
      <w:pPr>
        <w:pStyle w:val="BodyText"/>
        <w:spacing w:before="7"/>
        <w:rPr>
          <w:rFonts w:ascii="Palatino Linotype"/>
          <w:sz w:val="16"/>
        </w:rPr>
      </w:pPr>
    </w:p>
    <w:p>
      <w:pPr>
        <w:pStyle w:val="BodyText"/>
        <w:spacing w:line="278" w:lineRule="auto"/>
        <w:ind w:left="103" w:right="711"/>
        <w:jc w:val="both"/>
      </w:pPr>
      <w:r>
        <w:rPr>
          <w:color w:val="231F20"/>
        </w:rPr>
        <w:t>prohibiciones</w:t>
      </w:r>
      <w:r>
        <w:rPr>
          <w:color w:val="231F20"/>
          <w:spacing w:val="-13"/>
        </w:rPr>
        <w:t> </w:t>
      </w:r>
      <w:r>
        <w:rPr>
          <w:color w:val="231F20"/>
        </w:rPr>
        <w:t>o</w:t>
      </w:r>
      <w:r>
        <w:rPr>
          <w:color w:val="231F20"/>
          <w:spacing w:val="-13"/>
        </w:rPr>
        <w:t> </w:t>
      </w:r>
      <w:r>
        <w:rPr>
          <w:color w:val="231F20"/>
        </w:rPr>
        <w:t>restricciones</w:t>
      </w:r>
      <w:r>
        <w:rPr>
          <w:color w:val="231F20"/>
          <w:spacing w:val="-13"/>
        </w:rPr>
        <w:t> </w:t>
      </w:r>
      <w:r>
        <w:rPr>
          <w:color w:val="231F20"/>
        </w:rPr>
        <w:t>ante</w:t>
      </w:r>
      <w:r>
        <w:rPr>
          <w:color w:val="231F20"/>
          <w:spacing w:val="-13"/>
        </w:rPr>
        <w:t> </w:t>
      </w:r>
      <w:r>
        <w:rPr>
          <w:color w:val="231F20"/>
        </w:rPr>
        <w:t>la</w:t>
      </w:r>
      <w:r>
        <w:rPr>
          <w:color w:val="231F20"/>
          <w:spacing w:val="-13"/>
        </w:rPr>
        <w:t> </w:t>
      </w:r>
      <w:r>
        <w:rPr>
          <w:color w:val="231F20"/>
        </w:rPr>
        <w:t>importación</w:t>
      </w:r>
      <w:r>
        <w:rPr>
          <w:color w:val="231F20"/>
          <w:spacing w:val="-13"/>
        </w:rPr>
        <w:t> </w:t>
      </w:r>
      <w:r>
        <w:rPr>
          <w:color w:val="231F20"/>
        </w:rPr>
        <w:t>de</w:t>
      </w:r>
      <w:r>
        <w:rPr>
          <w:color w:val="231F20"/>
          <w:spacing w:val="-13"/>
        </w:rPr>
        <w:t> </w:t>
      </w:r>
      <w:r>
        <w:rPr>
          <w:color w:val="231F20"/>
        </w:rPr>
        <w:t>automóviles</w:t>
      </w:r>
      <w:r>
        <w:rPr>
          <w:color w:val="231F20"/>
          <w:spacing w:val="-13"/>
        </w:rPr>
        <w:t> </w:t>
      </w:r>
      <w:r>
        <w:rPr>
          <w:color w:val="231F20"/>
        </w:rPr>
        <w:t>usados,</w:t>
      </w:r>
      <w:r>
        <w:rPr>
          <w:color w:val="231F20"/>
          <w:spacing w:val="-13"/>
        </w:rPr>
        <w:t> </w:t>
      </w:r>
      <w:r>
        <w:rPr>
          <w:color w:val="231F20"/>
        </w:rPr>
        <w:t>originarios</w:t>
      </w:r>
      <w:r>
        <w:rPr>
          <w:color w:val="231F20"/>
          <w:spacing w:val="-13"/>
        </w:rPr>
        <w:t> </w:t>
      </w:r>
      <w:r>
        <w:rPr>
          <w:color w:val="231F20"/>
        </w:rPr>
        <w:t>de Estados</w:t>
      </w:r>
      <w:r>
        <w:rPr>
          <w:color w:val="231F20"/>
          <w:spacing w:val="-14"/>
        </w:rPr>
        <w:t> </w:t>
      </w:r>
      <w:r>
        <w:rPr>
          <w:color w:val="231F20"/>
        </w:rPr>
        <w:t>Unidos</w:t>
      </w:r>
      <w:r>
        <w:rPr>
          <w:color w:val="231F20"/>
          <w:spacing w:val="-14"/>
        </w:rPr>
        <w:t> </w:t>
      </w:r>
      <w:r>
        <w:rPr>
          <w:color w:val="231F20"/>
        </w:rPr>
        <w:t>de</w:t>
      </w:r>
      <w:r>
        <w:rPr>
          <w:color w:val="231F20"/>
          <w:spacing w:val="-14"/>
        </w:rPr>
        <w:t> </w:t>
      </w:r>
      <w:r>
        <w:rPr>
          <w:color w:val="231F20"/>
        </w:rPr>
        <w:t>América</w:t>
      </w:r>
      <w:r>
        <w:rPr>
          <w:color w:val="231F20"/>
          <w:spacing w:val="-14"/>
        </w:rPr>
        <w:t> </w:t>
      </w:r>
      <w:r>
        <w:rPr>
          <w:color w:val="231F20"/>
        </w:rPr>
        <w:t>o</w:t>
      </w:r>
      <w:r>
        <w:rPr>
          <w:color w:val="231F20"/>
          <w:spacing w:val="-14"/>
        </w:rPr>
        <w:t> </w:t>
      </w:r>
      <w:r>
        <w:rPr>
          <w:color w:val="231F20"/>
        </w:rPr>
        <w:t>de</w:t>
      </w:r>
      <w:r>
        <w:rPr>
          <w:color w:val="231F20"/>
          <w:spacing w:val="-14"/>
        </w:rPr>
        <w:t> </w:t>
      </w:r>
      <w:r>
        <w:rPr>
          <w:color w:val="231F20"/>
        </w:rPr>
        <w:t>Canadá.</w:t>
      </w:r>
      <w:r>
        <w:rPr>
          <w:color w:val="231F20"/>
          <w:spacing w:val="-14"/>
        </w:rPr>
        <w:t> </w:t>
      </w:r>
      <w:r>
        <w:rPr>
          <w:color w:val="231F20"/>
        </w:rPr>
        <w:t>Esta</w:t>
      </w:r>
      <w:r>
        <w:rPr>
          <w:color w:val="231F20"/>
          <w:spacing w:val="-14"/>
        </w:rPr>
        <w:t> </w:t>
      </w:r>
      <w:r>
        <w:rPr>
          <w:color w:val="231F20"/>
        </w:rPr>
        <w:t>política</w:t>
      </w:r>
      <w:r>
        <w:rPr>
          <w:color w:val="231F20"/>
          <w:spacing w:val="-14"/>
        </w:rPr>
        <w:t> </w:t>
      </w:r>
      <w:r>
        <w:rPr>
          <w:color w:val="231F20"/>
        </w:rPr>
        <w:t>de</w:t>
      </w:r>
      <w:r>
        <w:rPr>
          <w:color w:val="231F20"/>
          <w:spacing w:val="-14"/>
        </w:rPr>
        <w:t> </w:t>
      </w:r>
      <w:r>
        <w:rPr>
          <w:color w:val="231F20"/>
        </w:rPr>
        <w:t>libre</w:t>
      </w:r>
      <w:r>
        <w:rPr>
          <w:color w:val="231F20"/>
          <w:spacing w:val="-14"/>
        </w:rPr>
        <w:t> </w:t>
      </w:r>
      <w:r>
        <w:rPr>
          <w:color w:val="231F20"/>
        </w:rPr>
        <w:t>importación</w:t>
      </w:r>
      <w:r>
        <w:rPr>
          <w:color w:val="231F20"/>
          <w:spacing w:val="-14"/>
        </w:rPr>
        <w:t> </w:t>
      </w:r>
      <w:r>
        <w:rPr>
          <w:color w:val="231F20"/>
        </w:rPr>
        <w:t>ha</w:t>
      </w:r>
      <w:r>
        <w:rPr>
          <w:color w:val="231F20"/>
          <w:spacing w:val="-14"/>
        </w:rPr>
        <w:t> </w:t>
      </w:r>
      <w:r>
        <w:rPr>
          <w:color w:val="231F20"/>
        </w:rPr>
        <w:t>afectado de manera considerable al sector automotriz, ya que en los últimos cinco años se han traído</w:t>
      </w:r>
      <w:r>
        <w:rPr>
          <w:color w:val="231F20"/>
          <w:spacing w:val="-13"/>
        </w:rPr>
        <w:t> </w:t>
      </w:r>
      <w:r>
        <w:rPr>
          <w:color w:val="231F20"/>
        </w:rPr>
        <w:t>más</w:t>
      </w:r>
      <w:r>
        <w:rPr>
          <w:color w:val="231F20"/>
          <w:spacing w:val="-13"/>
        </w:rPr>
        <w:t> </w:t>
      </w:r>
      <w:r>
        <w:rPr>
          <w:color w:val="231F20"/>
        </w:rPr>
        <w:t>de</w:t>
      </w:r>
      <w:r>
        <w:rPr>
          <w:color w:val="231F20"/>
          <w:spacing w:val="-13"/>
        </w:rPr>
        <w:t> </w:t>
      </w:r>
      <w:r>
        <w:rPr>
          <w:color w:val="231F20"/>
        </w:rPr>
        <w:t>cinco</w:t>
      </w:r>
      <w:r>
        <w:rPr>
          <w:color w:val="231F20"/>
          <w:spacing w:val="-13"/>
        </w:rPr>
        <w:t> </w:t>
      </w:r>
      <w:r>
        <w:rPr>
          <w:color w:val="231F20"/>
        </w:rPr>
        <w:t>millones</w:t>
      </w:r>
      <w:r>
        <w:rPr>
          <w:color w:val="231F20"/>
          <w:spacing w:val="-13"/>
        </w:rPr>
        <w:t> </w:t>
      </w:r>
      <w:r>
        <w:rPr>
          <w:color w:val="231F20"/>
        </w:rPr>
        <w:t>de</w:t>
      </w:r>
      <w:r>
        <w:rPr>
          <w:color w:val="231F20"/>
          <w:spacing w:val="-13"/>
        </w:rPr>
        <w:t> </w:t>
      </w:r>
      <w:r>
        <w:rPr>
          <w:color w:val="231F20"/>
        </w:rPr>
        <w:t>vehículos</w:t>
      </w:r>
      <w:r>
        <w:rPr>
          <w:color w:val="231F20"/>
          <w:spacing w:val="-13"/>
        </w:rPr>
        <w:t> </w:t>
      </w:r>
      <w:r>
        <w:rPr>
          <w:color w:val="231F20"/>
        </w:rPr>
        <w:t>usados</w:t>
      </w:r>
      <w:r>
        <w:rPr>
          <w:color w:val="231F20"/>
          <w:spacing w:val="-13"/>
        </w:rPr>
        <w:t> </w:t>
      </w:r>
      <w:r>
        <w:rPr>
          <w:color w:val="231F20"/>
        </w:rPr>
        <w:t>de</w:t>
      </w:r>
      <w:r>
        <w:rPr>
          <w:color w:val="231F20"/>
          <w:spacing w:val="-13"/>
        </w:rPr>
        <w:t> </w:t>
      </w:r>
      <w:r>
        <w:rPr>
          <w:color w:val="231F20"/>
        </w:rPr>
        <w:t>Estados</w:t>
      </w:r>
      <w:r>
        <w:rPr>
          <w:color w:val="231F20"/>
          <w:spacing w:val="-13"/>
        </w:rPr>
        <w:t> </w:t>
      </w:r>
      <w:r>
        <w:rPr>
          <w:color w:val="231F20"/>
        </w:rPr>
        <w:t>Unidos,</w:t>
      </w:r>
      <w:r>
        <w:rPr>
          <w:color w:val="231F20"/>
          <w:spacing w:val="-13"/>
        </w:rPr>
        <w:t> </w:t>
      </w:r>
      <w:r>
        <w:rPr>
          <w:color w:val="231F20"/>
        </w:rPr>
        <w:t>en</w:t>
      </w:r>
      <w:r>
        <w:rPr>
          <w:color w:val="231F20"/>
          <w:spacing w:val="-13"/>
        </w:rPr>
        <w:t> </w:t>
      </w:r>
      <w:r>
        <w:rPr>
          <w:color w:val="231F20"/>
        </w:rPr>
        <w:t>detrimento</w:t>
      </w:r>
      <w:r>
        <w:rPr>
          <w:color w:val="231F20"/>
          <w:spacing w:val="-13"/>
        </w:rPr>
        <w:t> </w:t>
      </w:r>
      <w:r>
        <w:rPr>
          <w:color w:val="231F20"/>
        </w:rPr>
        <w:t>del consumo de vehículos</w:t>
      </w:r>
      <w:r>
        <w:rPr>
          <w:color w:val="231F20"/>
          <w:spacing w:val="-22"/>
        </w:rPr>
        <w:t> </w:t>
      </w:r>
      <w:r>
        <w:rPr>
          <w:color w:val="231F20"/>
        </w:rPr>
        <w:t>nuevos.</w:t>
      </w:r>
    </w:p>
    <w:p>
      <w:pPr>
        <w:pStyle w:val="BodyText"/>
        <w:spacing w:line="278" w:lineRule="auto" w:before="1"/>
        <w:ind w:left="103" w:right="710" w:firstLine="396"/>
        <w:jc w:val="both"/>
      </w:pPr>
      <w:r>
        <w:rPr>
          <w:color w:val="231F20"/>
        </w:rPr>
        <w:t>El desarrollo de la industria de autopartes en México ha estado directamente re- lacionado con los patrones de desarrollo de la industria terminal y condicionado por ellos; aquélla siempre buscará localizarse próxima a las ensambladoras, sobre todo a partir</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nuevos</w:t>
      </w:r>
      <w:r>
        <w:rPr>
          <w:color w:val="231F20"/>
          <w:spacing w:val="-13"/>
        </w:rPr>
        <w:t> </w:t>
      </w:r>
      <w:r>
        <w:rPr>
          <w:color w:val="231F20"/>
        </w:rPr>
        <w:t>requerimientos</w:t>
      </w:r>
      <w:r>
        <w:rPr>
          <w:color w:val="231F20"/>
          <w:spacing w:val="-13"/>
        </w:rPr>
        <w:t> </w:t>
      </w:r>
      <w:r>
        <w:rPr>
          <w:color w:val="231F20"/>
        </w:rPr>
        <w:t>y</w:t>
      </w:r>
      <w:r>
        <w:rPr>
          <w:color w:val="231F20"/>
          <w:spacing w:val="-13"/>
        </w:rPr>
        <w:t> </w:t>
      </w:r>
      <w:r>
        <w:rPr>
          <w:color w:val="231F20"/>
        </w:rPr>
        <w:t>exigencias</w:t>
      </w:r>
      <w:r>
        <w:rPr>
          <w:color w:val="231F20"/>
          <w:spacing w:val="-13"/>
        </w:rPr>
        <w:t> </w:t>
      </w:r>
      <w:r>
        <w:rPr>
          <w:color w:val="231F20"/>
        </w:rPr>
        <w:t>que</w:t>
      </w:r>
      <w:r>
        <w:rPr>
          <w:color w:val="231F20"/>
          <w:spacing w:val="-13"/>
        </w:rPr>
        <w:t> </w:t>
      </w:r>
      <w:r>
        <w:rPr>
          <w:color w:val="231F20"/>
        </w:rPr>
        <w:t>tienen</w:t>
      </w:r>
      <w:r>
        <w:rPr>
          <w:color w:val="231F20"/>
          <w:spacing w:val="-13"/>
        </w:rPr>
        <w:t> </w:t>
      </w:r>
      <w:r>
        <w:rPr>
          <w:color w:val="231F20"/>
        </w:rPr>
        <w:t>las</w:t>
      </w:r>
      <w:r>
        <w:rPr>
          <w:color w:val="231F20"/>
          <w:spacing w:val="-13"/>
        </w:rPr>
        <w:t> </w:t>
      </w:r>
      <w:r>
        <w:rPr>
          <w:color w:val="231F20"/>
        </w:rPr>
        <w:t>grandes</w:t>
      </w:r>
      <w:r>
        <w:rPr>
          <w:color w:val="231F20"/>
          <w:spacing w:val="-13"/>
        </w:rPr>
        <w:t> </w:t>
      </w:r>
      <w:r>
        <w:rPr>
          <w:color w:val="231F20"/>
        </w:rPr>
        <w:t>transnacionales para que las empresas de primer nivel participen directamente en el ensamblado del vehículo. Estas exigencias se transmiten a lo largo de la cadena a las demás empresas productoras de autopartes, que son también en muchos casos proveedoras de las em- presas</w:t>
      </w:r>
      <w:r>
        <w:rPr>
          <w:color w:val="231F20"/>
          <w:spacing w:val="-15"/>
        </w:rPr>
        <w:t> </w:t>
      </w:r>
      <w:r>
        <w:rPr>
          <w:color w:val="231F20"/>
        </w:rPr>
        <w:t>de</w:t>
      </w:r>
      <w:r>
        <w:rPr>
          <w:color w:val="231F20"/>
          <w:spacing w:val="-15"/>
        </w:rPr>
        <w:t> </w:t>
      </w:r>
      <w:r>
        <w:rPr>
          <w:color w:val="231F20"/>
        </w:rPr>
        <w:t>niveles</w:t>
      </w:r>
      <w:r>
        <w:rPr>
          <w:color w:val="231F20"/>
          <w:spacing w:val="-15"/>
        </w:rPr>
        <w:t> </w:t>
      </w:r>
      <w:r>
        <w:rPr>
          <w:color w:val="231F20"/>
        </w:rPr>
        <w:t>más</w:t>
      </w:r>
      <w:r>
        <w:rPr>
          <w:color w:val="231F20"/>
          <w:spacing w:val="-15"/>
        </w:rPr>
        <w:t> </w:t>
      </w:r>
      <w:r>
        <w:rPr>
          <w:color w:val="231F20"/>
        </w:rPr>
        <w:t>altos.</w:t>
      </w:r>
    </w:p>
    <w:p>
      <w:pPr>
        <w:pStyle w:val="BodyText"/>
        <w:spacing w:line="278" w:lineRule="auto" w:before="1"/>
        <w:ind w:left="103" w:right="711" w:firstLine="396"/>
        <w:jc w:val="both"/>
      </w:pPr>
      <w:r>
        <w:rPr>
          <w:color w:val="231F20"/>
        </w:rPr>
        <w:t>Finalmente,</w:t>
      </w:r>
      <w:r>
        <w:rPr>
          <w:color w:val="231F20"/>
          <w:spacing w:val="-12"/>
        </w:rPr>
        <w:t> </w:t>
      </w:r>
      <w:r>
        <w:rPr>
          <w:color w:val="231F20"/>
        </w:rPr>
        <w:t>es</w:t>
      </w:r>
      <w:r>
        <w:rPr>
          <w:color w:val="231F20"/>
          <w:spacing w:val="-12"/>
        </w:rPr>
        <w:t> </w:t>
      </w:r>
      <w:r>
        <w:rPr>
          <w:color w:val="231F20"/>
        </w:rPr>
        <w:t>evidente</w:t>
      </w:r>
      <w:r>
        <w:rPr>
          <w:color w:val="231F20"/>
          <w:spacing w:val="-12"/>
        </w:rPr>
        <w:t> </w:t>
      </w:r>
      <w:r>
        <w:rPr>
          <w:color w:val="231F20"/>
        </w:rPr>
        <w:t>que</w:t>
      </w:r>
      <w:r>
        <w:rPr>
          <w:color w:val="231F20"/>
          <w:spacing w:val="-12"/>
        </w:rPr>
        <w:t> </w:t>
      </w:r>
      <w:r>
        <w:rPr>
          <w:color w:val="231F20"/>
        </w:rPr>
        <w:t>los</w:t>
      </w:r>
      <w:r>
        <w:rPr>
          <w:color w:val="231F20"/>
          <w:spacing w:val="-12"/>
        </w:rPr>
        <w:t> </w:t>
      </w:r>
      <w:r>
        <w:rPr>
          <w:color w:val="231F20"/>
        </w:rPr>
        <w:t>cambios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política</w:t>
      </w:r>
      <w:r>
        <w:rPr>
          <w:color w:val="231F20"/>
          <w:spacing w:val="-12"/>
        </w:rPr>
        <w:t> </w:t>
      </w:r>
      <w:r>
        <w:rPr>
          <w:color w:val="231F20"/>
        </w:rPr>
        <w:t>macroeconómica</w:t>
      </w:r>
      <w:r>
        <w:rPr>
          <w:color w:val="231F20"/>
          <w:spacing w:val="-12"/>
        </w:rPr>
        <w:t> </w:t>
      </w:r>
      <w:r>
        <w:rPr>
          <w:color w:val="231F20"/>
        </w:rPr>
        <w:t>y</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es- tructura</w:t>
      </w:r>
      <w:r>
        <w:rPr>
          <w:color w:val="231F20"/>
          <w:spacing w:val="-4"/>
        </w:rPr>
        <w:t> </w:t>
      </w:r>
      <w:r>
        <w:rPr>
          <w:color w:val="231F20"/>
        </w:rPr>
        <w:t>económica</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han</w:t>
      </w:r>
      <w:r>
        <w:rPr>
          <w:color w:val="231F20"/>
          <w:spacing w:val="-4"/>
        </w:rPr>
        <w:t> </w:t>
      </w:r>
      <w:r>
        <w:rPr>
          <w:color w:val="231F20"/>
        </w:rPr>
        <w:t>favorecido</w:t>
      </w:r>
      <w:r>
        <w:rPr>
          <w:color w:val="231F20"/>
          <w:spacing w:val="-4"/>
        </w:rPr>
        <w:t> </w:t>
      </w:r>
      <w:r>
        <w:rPr>
          <w:color w:val="231F20"/>
        </w:rPr>
        <w:t>el</w:t>
      </w:r>
      <w:r>
        <w:rPr>
          <w:color w:val="231F20"/>
          <w:spacing w:val="-4"/>
        </w:rPr>
        <w:t> </w:t>
      </w:r>
      <w:r>
        <w:rPr>
          <w:color w:val="231F20"/>
        </w:rPr>
        <w:t>crecimiento</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industria</w:t>
      </w:r>
      <w:r>
        <w:rPr>
          <w:color w:val="231F20"/>
          <w:spacing w:val="-4"/>
        </w:rPr>
        <w:t> </w:t>
      </w:r>
      <w:r>
        <w:rPr>
          <w:color w:val="231F20"/>
        </w:rPr>
        <w:t>vinculada al</w:t>
      </w:r>
      <w:r>
        <w:rPr>
          <w:color w:val="231F20"/>
          <w:spacing w:val="-11"/>
        </w:rPr>
        <w:t> </w:t>
      </w:r>
      <w:r>
        <w:rPr>
          <w:color w:val="231F20"/>
        </w:rPr>
        <w:t>sector</w:t>
      </w:r>
      <w:r>
        <w:rPr>
          <w:color w:val="231F20"/>
          <w:spacing w:val="-11"/>
        </w:rPr>
        <w:t> </w:t>
      </w:r>
      <w:r>
        <w:rPr>
          <w:color w:val="231F20"/>
        </w:rPr>
        <w:t>externo</w:t>
      </w:r>
      <w:r>
        <w:rPr>
          <w:color w:val="231F20"/>
          <w:spacing w:val="-11"/>
        </w:rPr>
        <w:t> </w:t>
      </w:r>
      <w:r>
        <w:rPr>
          <w:color w:val="231F20"/>
          <w:spacing w:val="-8"/>
        </w:rPr>
        <w:t>y,</w:t>
      </w:r>
      <w:r>
        <w:rPr>
          <w:color w:val="231F20"/>
          <w:spacing w:val="-11"/>
        </w:rPr>
        <w:t> </w:t>
      </w:r>
      <w:r>
        <w:rPr>
          <w:color w:val="231F20"/>
        </w:rPr>
        <w:t>sobre</w:t>
      </w:r>
      <w:r>
        <w:rPr>
          <w:color w:val="231F20"/>
          <w:spacing w:val="-11"/>
        </w:rPr>
        <w:t> </w:t>
      </w:r>
      <w:r>
        <w:rPr>
          <w:color w:val="231F20"/>
        </w:rPr>
        <w:t>todo,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automotriz,</w:t>
      </w:r>
      <w:r>
        <w:rPr>
          <w:color w:val="231F20"/>
          <w:spacing w:val="-11"/>
        </w:rPr>
        <w:t> </w:t>
      </w:r>
      <w:r>
        <w:rPr>
          <w:color w:val="231F20"/>
        </w:rPr>
        <w:t>que,</w:t>
      </w:r>
      <w:r>
        <w:rPr>
          <w:color w:val="231F20"/>
          <w:spacing w:val="-11"/>
        </w:rPr>
        <w:t> </w:t>
      </w:r>
      <w:r>
        <w:rPr>
          <w:color w:val="231F20"/>
        </w:rPr>
        <w:t>reiteramos,</w:t>
      </w:r>
      <w:r>
        <w:rPr>
          <w:color w:val="231F20"/>
          <w:spacing w:val="-11"/>
        </w:rPr>
        <w:t> </w:t>
      </w:r>
      <w:r>
        <w:rPr>
          <w:color w:val="231F20"/>
        </w:rPr>
        <w:t>ha</w:t>
      </w:r>
      <w:r>
        <w:rPr>
          <w:color w:val="231F20"/>
          <w:spacing w:val="-11"/>
        </w:rPr>
        <w:t> </w:t>
      </w:r>
      <w:r>
        <w:rPr>
          <w:color w:val="231F20"/>
        </w:rPr>
        <w:t>convertido el</w:t>
      </w:r>
      <w:r>
        <w:rPr>
          <w:color w:val="231F20"/>
          <w:spacing w:val="-4"/>
        </w:rPr>
        <w:t> </w:t>
      </w:r>
      <w:r>
        <w:rPr>
          <w:color w:val="231F20"/>
        </w:rPr>
        <w:t>sector</w:t>
      </w:r>
      <w:r>
        <w:rPr>
          <w:color w:val="231F20"/>
          <w:spacing w:val="-4"/>
        </w:rPr>
        <w:t> </w:t>
      </w:r>
      <w:r>
        <w:rPr>
          <w:color w:val="231F20"/>
        </w:rPr>
        <w:t>externo</w:t>
      </w:r>
      <w:r>
        <w:rPr>
          <w:color w:val="231F20"/>
          <w:spacing w:val="-4"/>
        </w:rPr>
        <w:t> </w:t>
      </w:r>
      <w:r>
        <w:rPr>
          <w:color w:val="231F20"/>
        </w:rPr>
        <w:t>en</w:t>
      </w:r>
      <w:r>
        <w:rPr>
          <w:color w:val="231F20"/>
          <w:spacing w:val="-4"/>
        </w:rPr>
        <w:t> </w:t>
      </w:r>
      <w:r>
        <w:rPr>
          <w:color w:val="231F20"/>
        </w:rPr>
        <w:t>una</w:t>
      </w:r>
      <w:r>
        <w:rPr>
          <w:color w:val="231F20"/>
          <w:spacing w:val="-4"/>
        </w:rPr>
        <w:t> </w:t>
      </w:r>
      <w:r>
        <w:rPr>
          <w:color w:val="231F20"/>
        </w:rPr>
        <w:t>de</w:t>
      </w:r>
      <w:r>
        <w:rPr>
          <w:color w:val="231F20"/>
          <w:spacing w:val="-4"/>
        </w:rPr>
        <w:t> </w:t>
      </w:r>
      <w:r>
        <w:rPr>
          <w:color w:val="231F20"/>
        </w:rPr>
        <w:t>sus</w:t>
      </w:r>
      <w:r>
        <w:rPr>
          <w:color w:val="231F20"/>
          <w:spacing w:val="-4"/>
        </w:rPr>
        <w:t> </w:t>
      </w:r>
      <w:r>
        <w:rPr>
          <w:color w:val="231F20"/>
        </w:rPr>
        <w:t>fuentes</w:t>
      </w:r>
      <w:r>
        <w:rPr>
          <w:color w:val="231F20"/>
          <w:spacing w:val="-4"/>
        </w:rPr>
        <w:t> </w:t>
      </w:r>
      <w:r>
        <w:rPr>
          <w:color w:val="231F20"/>
        </w:rPr>
        <w:t>de</w:t>
      </w:r>
      <w:r>
        <w:rPr>
          <w:color w:val="231F20"/>
          <w:spacing w:val="-4"/>
        </w:rPr>
        <w:t> </w:t>
      </w:r>
      <w:r>
        <w:rPr>
          <w:color w:val="231F20"/>
        </w:rPr>
        <w:t>crecimiento;</w:t>
      </w:r>
      <w:r>
        <w:rPr>
          <w:color w:val="231F20"/>
          <w:spacing w:val="-4"/>
        </w:rPr>
        <w:t> </w:t>
      </w:r>
      <w:r>
        <w:rPr>
          <w:color w:val="231F20"/>
        </w:rPr>
        <w:t>asimismo,</w:t>
      </w:r>
      <w:r>
        <w:rPr>
          <w:color w:val="231F20"/>
          <w:spacing w:val="-4"/>
        </w:rPr>
        <w:t> </w:t>
      </w:r>
      <w:r>
        <w:rPr>
          <w:color w:val="231F20"/>
        </w:rPr>
        <w:t>que</w:t>
      </w:r>
      <w:r>
        <w:rPr>
          <w:color w:val="231F20"/>
          <w:spacing w:val="-4"/>
        </w:rPr>
        <w:t> </w:t>
      </w:r>
      <w:r>
        <w:rPr>
          <w:color w:val="231F20"/>
        </w:rPr>
        <w:t>la</w:t>
      </w:r>
      <w:r>
        <w:rPr>
          <w:color w:val="231F20"/>
          <w:spacing w:val="-4"/>
        </w:rPr>
        <w:t> </w:t>
      </w:r>
      <w:r>
        <w:rPr>
          <w:color w:val="231F20"/>
        </w:rPr>
        <w:t>zona</w:t>
      </w:r>
      <w:r>
        <w:rPr>
          <w:color w:val="231F20"/>
          <w:spacing w:val="-4"/>
        </w:rPr>
        <w:t> </w:t>
      </w:r>
      <w:r>
        <w:rPr>
          <w:color w:val="231F20"/>
        </w:rPr>
        <w:t>norte</w:t>
      </w:r>
      <w:r>
        <w:rPr>
          <w:color w:val="231F20"/>
          <w:spacing w:val="-4"/>
        </w:rPr>
        <w:t> </w:t>
      </w:r>
      <w:r>
        <w:rPr>
          <w:color w:val="231F20"/>
        </w:rPr>
        <w:t>de México</w:t>
      </w:r>
      <w:r>
        <w:rPr>
          <w:color w:val="231F20"/>
          <w:spacing w:val="-6"/>
        </w:rPr>
        <w:t> </w:t>
      </w:r>
      <w:r>
        <w:rPr>
          <w:color w:val="231F20"/>
        </w:rPr>
        <w:t>se</w:t>
      </w:r>
      <w:r>
        <w:rPr>
          <w:color w:val="231F20"/>
          <w:spacing w:val="-6"/>
        </w:rPr>
        <w:t> </w:t>
      </w:r>
      <w:r>
        <w:rPr>
          <w:color w:val="231F20"/>
        </w:rPr>
        <w:t>ha</w:t>
      </w:r>
      <w:r>
        <w:rPr>
          <w:color w:val="231F20"/>
          <w:spacing w:val="-6"/>
        </w:rPr>
        <w:t> </w:t>
      </w:r>
      <w:r>
        <w:rPr>
          <w:color w:val="231F20"/>
        </w:rPr>
        <w:t>vuelto</w:t>
      </w:r>
      <w:r>
        <w:rPr>
          <w:color w:val="231F20"/>
          <w:spacing w:val="-6"/>
        </w:rPr>
        <w:t> </w:t>
      </w:r>
      <w:r>
        <w:rPr>
          <w:color w:val="231F20"/>
        </w:rPr>
        <w:t>un</w:t>
      </w:r>
      <w:r>
        <w:rPr>
          <w:color w:val="231F20"/>
          <w:spacing w:val="-6"/>
        </w:rPr>
        <w:t> </w:t>
      </w:r>
      <w:r>
        <w:rPr>
          <w:color w:val="231F20"/>
        </w:rPr>
        <w:t>importante</w:t>
      </w:r>
      <w:r>
        <w:rPr>
          <w:color w:val="231F20"/>
          <w:spacing w:val="-6"/>
        </w:rPr>
        <w:t> </w:t>
      </w:r>
      <w:r>
        <w:rPr>
          <w:color w:val="231F20"/>
        </w:rPr>
        <w:t>polo</w:t>
      </w:r>
      <w:r>
        <w:rPr>
          <w:color w:val="231F20"/>
          <w:spacing w:val="-6"/>
        </w:rPr>
        <w:t> </w:t>
      </w:r>
      <w:r>
        <w:rPr>
          <w:color w:val="231F20"/>
        </w:rPr>
        <w:t>de</w:t>
      </w:r>
      <w:r>
        <w:rPr>
          <w:color w:val="231F20"/>
          <w:spacing w:val="-6"/>
        </w:rPr>
        <w:t> </w:t>
      </w:r>
      <w:r>
        <w:rPr>
          <w:color w:val="231F20"/>
        </w:rPr>
        <w:t>desarrollo</w:t>
      </w:r>
      <w:r>
        <w:rPr>
          <w:color w:val="231F20"/>
          <w:spacing w:val="-6"/>
        </w:rPr>
        <w:t> </w:t>
      </w:r>
      <w:r>
        <w:rPr>
          <w:color w:val="231F20"/>
        </w:rPr>
        <w:t>para</w:t>
      </w:r>
      <w:r>
        <w:rPr>
          <w:color w:val="231F20"/>
          <w:spacing w:val="-6"/>
        </w:rPr>
        <w:t> </w:t>
      </w:r>
      <w:r>
        <w:rPr>
          <w:color w:val="231F20"/>
        </w:rPr>
        <w:t>esta</w:t>
      </w:r>
      <w:r>
        <w:rPr>
          <w:color w:val="231F20"/>
          <w:spacing w:val="-6"/>
        </w:rPr>
        <w:t> </w:t>
      </w:r>
      <w:r>
        <w:rPr>
          <w:color w:val="231F20"/>
        </w:rPr>
        <w:t>industria,</w:t>
      </w:r>
      <w:r>
        <w:rPr>
          <w:color w:val="231F20"/>
          <w:spacing w:val="-6"/>
        </w:rPr>
        <w:t> </w:t>
      </w:r>
      <w:r>
        <w:rPr>
          <w:color w:val="231F20"/>
        </w:rPr>
        <w:t>en</w:t>
      </w:r>
      <w:r>
        <w:rPr>
          <w:color w:val="231F20"/>
          <w:spacing w:val="-6"/>
        </w:rPr>
        <w:t> </w:t>
      </w:r>
      <w:r>
        <w:rPr>
          <w:color w:val="231F20"/>
        </w:rPr>
        <w:t>detrimen- to</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que</w:t>
      </w:r>
      <w:r>
        <w:rPr>
          <w:color w:val="231F20"/>
          <w:spacing w:val="-11"/>
        </w:rPr>
        <w:t> </w:t>
      </w:r>
      <w:r>
        <w:rPr>
          <w:color w:val="231F20"/>
        </w:rPr>
        <w:t>se</w:t>
      </w:r>
      <w:r>
        <w:rPr>
          <w:color w:val="231F20"/>
          <w:spacing w:val="-11"/>
        </w:rPr>
        <w:t> </w:t>
      </w:r>
      <w:r>
        <w:rPr>
          <w:color w:val="231F20"/>
        </w:rPr>
        <w:t>localiza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p>
    <w:p>
      <w:pPr>
        <w:spacing w:after="0" w:line="278" w:lineRule="auto"/>
        <w:jc w:val="both"/>
        <w:sectPr>
          <w:headerReference w:type="default" r:id="rId205"/>
          <w:pgSz w:w="9640" w:h="13040"/>
          <w:pgMar w:header="0" w:footer="654" w:top="420" w:bottom="840" w:left="1200" w:right="420"/>
        </w:sectPr>
      </w:pPr>
    </w:p>
    <w:p>
      <w:pPr>
        <w:pStyle w:val="BodyText"/>
        <w:spacing w:before="4"/>
        <w:rPr>
          <w:sz w:val="17"/>
        </w:rPr>
      </w:pPr>
    </w:p>
    <w:p>
      <w:pPr>
        <w:spacing w:after="0"/>
        <w:rPr>
          <w:sz w:val="17"/>
        </w:rPr>
        <w:sectPr>
          <w:headerReference w:type="even" r:id="rId206"/>
          <w:footerReference w:type="even" r:id="rId207"/>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right="1131"/>
        <w:jc w:val="right"/>
      </w:pPr>
      <w:r>
        <w:rPr/>
        <w:pict>
          <v:group style="position:absolute;margin-left:64.696899pt;margin-top:-62.737774pt;width:417.7pt;height:248.05pt;mso-position-horizontal-relative:page;mso-position-vertical-relative:paragraph;z-index:-610264" coordorigin="1294,-1255" coordsize="8354,4961">
            <v:line style="position:absolute" from="1304,3696" to="9638,3696" stroked="true" strokeweight="1pt" strokecolor="#58595b"/>
            <v:rect style="position:absolute;left:9194;top:-1255;width:444;height:4951" filled="true" fillcolor="#58595b" stroked="false">
              <v:fill type="solid"/>
            </v:rect>
            <w10:wrap type="none"/>
          </v:group>
        </w:pict>
      </w:r>
      <w:r>
        <w:rPr>
          <w:color w:val="231F20"/>
          <w:w w:val="105"/>
        </w:rPr>
        <w:t>Capítulo IV</w:t>
      </w:r>
    </w:p>
    <w:p>
      <w:pPr>
        <w:pStyle w:val="BodyText"/>
        <w:rPr>
          <w:rFonts w:ascii="Palatino Linotype"/>
          <w:b/>
          <w:sz w:val="41"/>
        </w:rPr>
      </w:pPr>
    </w:p>
    <w:p>
      <w:pPr>
        <w:pStyle w:val="Heading2"/>
        <w:spacing w:line="249" w:lineRule="auto"/>
        <w:ind w:left="703" w:firstLine="2135"/>
        <w:jc w:val="right"/>
      </w:pPr>
      <w:r>
        <w:rPr>
          <w:color w:val="231F20"/>
          <w:spacing w:val="-4"/>
          <w:w w:val="115"/>
        </w:rPr>
        <w:t>La</w:t>
      </w:r>
      <w:r>
        <w:rPr>
          <w:color w:val="231F20"/>
          <w:spacing w:val="11"/>
          <w:w w:val="115"/>
        </w:rPr>
        <w:t> </w:t>
      </w:r>
      <w:r>
        <w:rPr>
          <w:color w:val="231F20"/>
          <w:spacing w:val="-4"/>
          <w:w w:val="115"/>
        </w:rPr>
        <w:t>industria</w:t>
      </w:r>
      <w:r>
        <w:rPr>
          <w:color w:val="231F20"/>
          <w:spacing w:val="11"/>
          <w:w w:val="115"/>
        </w:rPr>
        <w:t> </w:t>
      </w:r>
      <w:r>
        <w:rPr>
          <w:color w:val="231F20"/>
          <w:spacing w:val="-4"/>
          <w:w w:val="115"/>
        </w:rPr>
        <w:t>automotriz</w:t>
      </w:r>
      <w:r>
        <w:rPr>
          <w:color w:val="231F20"/>
          <w:w w:val="110"/>
        </w:rPr>
        <w:t> </w:t>
      </w:r>
      <w:r>
        <w:rPr>
          <w:color w:val="231F20"/>
          <w:w w:val="115"/>
        </w:rPr>
        <w:t>en</w:t>
      </w:r>
      <w:r>
        <w:rPr>
          <w:color w:val="231F20"/>
          <w:spacing w:val="-31"/>
          <w:w w:val="115"/>
        </w:rPr>
        <w:t> </w:t>
      </w:r>
      <w:r>
        <w:rPr>
          <w:color w:val="231F20"/>
          <w:w w:val="115"/>
        </w:rPr>
        <w:t>el</w:t>
      </w:r>
      <w:r>
        <w:rPr>
          <w:color w:val="231F20"/>
          <w:spacing w:val="-31"/>
          <w:w w:val="115"/>
        </w:rPr>
        <w:t> </w:t>
      </w:r>
      <w:r>
        <w:rPr>
          <w:color w:val="231F20"/>
          <w:spacing w:val="-3"/>
          <w:w w:val="115"/>
        </w:rPr>
        <w:t>Estado</w:t>
      </w:r>
      <w:r>
        <w:rPr>
          <w:color w:val="231F20"/>
          <w:spacing w:val="-31"/>
          <w:w w:val="115"/>
        </w:rPr>
        <w:t> </w:t>
      </w:r>
      <w:r>
        <w:rPr>
          <w:color w:val="231F20"/>
          <w:w w:val="115"/>
        </w:rPr>
        <w:t>de</w:t>
      </w:r>
      <w:r>
        <w:rPr>
          <w:color w:val="231F20"/>
          <w:spacing w:val="-31"/>
          <w:w w:val="115"/>
        </w:rPr>
        <w:t> </w:t>
      </w:r>
      <w:r>
        <w:rPr>
          <w:color w:val="231F20"/>
          <w:spacing w:val="-3"/>
          <w:w w:val="115"/>
        </w:rPr>
        <w:t>México.</w:t>
      </w:r>
      <w:r>
        <w:rPr>
          <w:color w:val="231F20"/>
          <w:w w:val="91"/>
        </w:rPr>
        <w:t> </w:t>
      </w:r>
      <w:r>
        <w:rPr>
          <w:color w:val="231F20"/>
          <w:spacing w:val="-4"/>
          <w:w w:val="115"/>
        </w:rPr>
        <w:t>Importancia,</w:t>
      </w:r>
      <w:r>
        <w:rPr>
          <w:color w:val="231F20"/>
          <w:spacing w:val="-57"/>
          <w:w w:val="115"/>
        </w:rPr>
        <w:t> </w:t>
      </w:r>
      <w:r>
        <w:rPr>
          <w:color w:val="231F20"/>
          <w:w w:val="115"/>
        </w:rPr>
        <w:t>desempeño</w:t>
      </w:r>
      <w:r>
        <w:rPr>
          <w:color w:val="231F20"/>
          <w:spacing w:val="-57"/>
          <w:w w:val="115"/>
        </w:rPr>
        <w:t> </w:t>
      </w:r>
      <w:r>
        <w:rPr>
          <w:color w:val="231F20"/>
          <w:w w:val="115"/>
        </w:rPr>
        <w:t>y</w:t>
      </w:r>
      <w:r>
        <w:rPr>
          <w:color w:val="231F20"/>
          <w:spacing w:val="-57"/>
          <w:w w:val="115"/>
        </w:rPr>
        <w:t> </w:t>
      </w:r>
      <w:r>
        <w:rPr>
          <w:color w:val="231F20"/>
          <w:spacing w:val="-4"/>
          <w:w w:val="115"/>
        </w:rPr>
        <w:t>pérdida</w:t>
      </w:r>
      <w:r>
        <w:rPr>
          <w:color w:val="231F20"/>
          <w:spacing w:val="-57"/>
          <w:w w:val="115"/>
        </w:rPr>
        <w:t> </w:t>
      </w:r>
      <w:r>
        <w:rPr>
          <w:color w:val="231F20"/>
          <w:w w:val="115"/>
        </w:rPr>
        <w:t>de</w:t>
      </w:r>
      <w:r>
        <w:rPr>
          <w:color w:val="231F20"/>
          <w:w w:val="108"/>
        </w:rPr>
        <w:t> </w:t>
      </w:r>
      <w:r>
        <w:rPr>
          <w:color w:val="231F20"/>
          <w:w w:val="115"/>
        </w:rPr>
        <w:t>dinamismo de un sector</w:t>
      </w:r>
      <w:r>
        <w:rPr>
          <w:color w:val="231F20"/>
          <w:spacing w:val="48"/>
          <w:w w:val="115"/>
        </w:rPr>
        <w:t> </w:t>
      </w:r>
      <w:r>
        <w:rPr>
          <w:color w:val="231F20"/>
          <w:spacing w:val="-3"/>
          <w:w w:val="115"/>
        </w:rPr>
        <w:t>estratégico</w:t>
      </w:r>
    </w:p>
    <w:p>
      <w:pPr>
        <w:pStyle w:val="BodyText"/>
        <w:rPr>
          <w:sz w:val="40"/>
        </w:rPr>
      </w:pPr>
    </w:p>
    <w:p>
      <w:pPr>
        <w:pStyle w:val="BodyText"/>
        <w:rPr>
          <w:sz w:val="40"/>
        </w:rPr>
      </w:pPr>
    </w:p>
    <w:p>
      <w:pPr>
        <w:pStyle w:val="BodyText"/>
        <w:spacing w:before="10"/>
        <w:rPr>
          <w:sz w:val="33"/>
        </w:rPr>
      </w:pPr>
    </w:p>
    <w:p>
      <w:pPr>
        <w:pStyle w:val="BodyText"/>
        <w:spacing w:line="278" w:lineRule="auto" w:before="1"/>
        <w:ind w:left="123" w:right="1130"/>
        <w:jc w:val="both"/>
      </w:pPr>
      <w:r>
        <w:rPr>
          <w:color w:val="231F20"/>
          <w:spacing w:val="-4"/>
        </w:rPr>
        <w:t>Por </w:t>
      </w:r>
      <w:r>
        <w:rPr>
          <w:color w:val="231F20"/>
        </w:rPr>
        <w:t>varias décadas, la industria automotriz en el Estado de México ha sido una de las más</w:t>
      </w:r>
      <w:r>
        <w:rPr>
          <w:color w:val="231F20"/>
          <w:spacing w:val="-6"/>
        </w:rPr>
        <w:t> </w:t>
      </w:r>
      <w:r>
        <w:rPr>
          <w:color w:val="231F20"/>
        </w:rPr>
        <w:t>dinámicas</w:t>
      </w:r>
      <w:r>
        <w:rPr>
          <w:color w:val="231F20"/>
          <w:spacing w:val="-6"/>
        </w:rPr>
        <w:t> </w:t>
      </w:r>
      <w:r>
        <w:rPr>
          <w:color w:val="231F20"/>
        </w:rPr>
        <w:t>y</w:t>
      </w:r>
      <w:r>
        <w:rPr>
          <w:color w:val="231F20"/>
          <w:spacing w:val="-6"/>
        </w:rPr>
        <w:t> </w:t>
      </w:r>
      <w:r>
        <w:rPr>
          <w:color w:val="231F20"/>
        </w:rPr>
        <w:t>representativas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entidad;</w:t>
      </w:r>
      <w:r>
        <w:rPr>
          <w:color w:val="231F20"/>
          <w:spacing w:val="-6"/>
        </w:rPr>
        <w:t> </w:t>
      </w:r>
      <w:r>
        <w:rPr>
          <w:color w:val="231F20"/>
        </w:rPr>
        <w:t>las</w:t>
      </w:r>
      <w:r>
        <w:rPr>
          <w:color w:val="231F20"/>
          <w:spacing w:val="-6"/>
        </w:rPr>
        <w:t> </w:t>
      </w:r>
      <w:r>
        <w:rPr>
          <w:color w:val="231F20"/>
        </w:rPr>
        <w:t>aportaciones</w:t>
      </w:r>
      <w:r>
        <w:rPr>
          <w:color w:val="231F20"/>
          <w:spacing w:val="-6"/>
        </w:rPr>
        <w:t> </w:t>
      </w:r>
      <w:r>
        <w:rPr>
          <w:color w:val="231F20"/>
        </w:rPr>
        <w:t>que</w:t>
      </w:r>
      <w:r>
        <w:rPr>
          <w:color w:val="231F20"/>
          <w:spacing w:val="-6"/>
        </w:rPr>
        <w:t> </w:t>
      </w:r>
      <w:r>
        <w:rPr>
          <w:color w:val="231F20"/>
        </w:rPr>
        <w:t>hace</w:t>
      </w:r>
      <w:r>
        <w:rPr>
          <w:color w:val="231F20"/>
          <w:spacing w:val="-6"/>
        </w:rPr>
        <w:t> </w:t>
      </w:r>
      <w:r>
        <w:rPr>
          <w:color w:val="231F20"/>
        </w:rPr>
        <w:t>al</w:t>
      </w:r>
      <w:r>
        <w:rPr>
          <w:color w:val="231F20"/>
          <w:spacing w:val="-6"/>
        </w:rPr>
        <w:t> </w:t>
      </w:r>
      <w:r>
        <w:rPr>
          <w:color w:val="231F20"/>
        </w:rPr>
        <w:t>PIB</w:t>
      </w:r>
      <w:r>
        <w:rPr>
          <w:color w:val="231F20"/>
          <w:spacing w:val="-6"/>
        </w:rPr>
        <w:t> </w:t>
      </w:r>
      <w:r>
        <w:rPr>
          <w:color w:val="231F20"/>
        </w:rPr>
        <w:t>total</w:t>
      </w:r>
      <w:r>
        <w:rPr>
          <w:color w:val="231F20"/>
          <w:spacing w:val="-6"/>
        </w:rPr>
        <w:t> </w:t>
      </w:r>
      <w:r>
        <w:rPr>
          <w:color w:val="231F20"/>
        </w:rPr>
        <w:t>y al manufacturero la convierten en un sector clave para la economía estatal; sin</w:t>
      </w:r>
      <w:r>
        <w:rPr>
          <w:color w:val="231F20"/>
          <w:spacing w:val="-28"/>
        </w:rPr>
        <w:t> </w:t>
      </w:r>
      <w:r>
        <w:rPr>
          <w:color w:val="231F20"/>
        </w:rPr>
        <w:t>embar- </w:t>
      </w:r>
      <w:r>
        <w:rPr>
          <w:color w:val="231F20"/>
          <w:spacing w:val="-3"/>
        </w:rPr>
        <w:t>go,</w:t>
      </w:r>
      <w:r>
        <w:rPr>
          <w:color w:val="231F20"/>
          <w:spacing w:val="-13"/>
        </w:rPr>
        <w:t> </w:t>
      </w:r>
      <w:r>
        <w:rPr>
          <w:color w:val="231F20"/>
        </w:rPr>
        <w:t>en</w:t>
      </w:r>
      <w:r>
        <w:rPr>
          <w:color w:val="231F20"/>
          <w:spacing w:val="-13"/>
        </w:rPr>
        <w:t> </w:t>
      </w:r>
      <w:r>
        <w:rPr>
          <w:color w:val="231F20"/>
        </w:rPr>
        <w:t>años</w:t>
      </w:r>
      <w:r>
        <w:rPr>
          <w:color w:val="231F20"/>
          <w:spacing w:val="-13"/>
        </w:rPr>
        <w:t> </w:t>
      </w:r>
      <w:r>
        <w:rPr>
          <w:color w:val="231F20"/>
        </w:rPr>
        <w:t>recientes,</w:t>
      </w:r>
      <w:r>
        <w:rPr>
          <w:color w:val="231F20"/>
          <w:spacing w:val="-13"/>
        </w:rPr>
        <w:t> </w:t>
      </w:r>
      <w:r>
        <w:rPr>
          <w:color w:val="231F20"/>
        </w:rPr>
        <w:t>ese</w:t>
      </w:r>
      <w:r>
        <w:rPr>
          <w:color w:val="231F20"/>
          <w:spacing w:val="-13"/>
        </w:rPr>
        <w:t> </w:t>
      </w:r>
      <w:r>
        <w:rPr>
          <w:color w:val="231F20"/>
        </w:rPr>
        <w:t>dinamismo</w:t>
      </w:r>
      <w:r>
        <w:rPr>
          <w:color w:val="231F20"/>
          <w:spacing w:val="-13"/>
        </w:rPr>
        <w:t> </w:t>
      </w:r>
      <w:r>
        <w:rPr>
          <w:color w:val="231F20"/>
        </w:rPr>
        <w:t>se</w:t>
      </w:r>
      <w:r>
        <w:rPr>
          <w:color w:val="231F20"/>
          <w:spacing w:val="-13"/>
        </w:rPr>
        <w:t> </w:t>
      </w:r>
      <w:r>
        <w:rPr>
          <w:color w:val="231F20"/>
        </w:rPr>
        <w:t>ha</w:t>
      </w:r>
      <w:r>
        <w:rPr>
          <w:color w:val="231F20"/>
          <w:spacing w:val="-13"/>
        </w:rPr>
        <w:t> </w:t>
      </w:r>
      <w:r>
        <w:rPr>
          <w:color w:val="231F20"/>
        </w:rPr>
        <w:t>visto</w:t>
      </w:r>
      <w:r>
        <w:rPr>
          <w:color w:val="231F20"/>
          <w:spacing w:val="-13"/>
        </w:rPr>
        <w:t> </w:t>
      </w:r>
      <w:r>
        <w:rPr>
          <w:color w:val="231F20"/>
        </w:rPr>
        <w:t>disminuido</w:t>
      </w:r>
      <w:r>
        <w:rPr>
          <w:color w:val="231F20"/>
          <w:spacing w:val="-13"/>
        </w:rPr>
        <w:t> </w:t>
      </w:r>
      <w:r>
        <w:rPr>
          <w:color w:val="231F20"/>
        </w:rPr>
        <w:t>de</w:t>
      </w:r>
      <w:r>
        <w:rPr>
          <w:color w:val="231F20"/>
          <w:spacing w:val="-13"/>
        </w:rPr>
        <w:t> </w:t>
      </w:r>
      <w:r>
        <w:rPr>
          <w:color w:val="231F20"/>
        </w:rPr>
        <w:t>manera</w:t>
      </w:r>
      <w:r>
        <w:rPr>
          <w:color w:val="231F20"/>
          <w:spacing w:val="-13"/>
        </w:rPr>
        <w:t> </w:t>
      </w:r>
      <w:r>
        <w:rPr>
          <w:color w:val="231F20"/>
        </w:rPr>
        <w:t>significativa.</w:t>
      </w:r>
      <w:r>
        <w:rPr>
          <w:color w:val="231F20"/>
          <w:spacing w:val="-13"/>
        </w:rPr>
        <w:t> </w:t>
      </w:r>
      <w:r>
        <w:rPr>
          <w:color w:val="231F20"/>
        </w:rPr>
        <w:t>El comportamiento de variables como unidades económicas, producción total para mer- cado</w:t>
      </w:r>
      <w:r>
        <w:rPr>
          <w:color w:val="231F20"/>
          <w:spacing w:val="-13"/>
        </w:rPr>
        <w:t> </w:t>
      </w:r>
      <w:r>
        <w:rPr>
          <w:color w:val="231F20"/>
        </w:rPr>
        <w:t>interno</w:t>
      </w:r>
      <w:r>
        <w:rPr>
          <w:color w:val="231F20"/>
          <w:spacing w:val="-13"/>
        </w:rPr>
        <w:t> </w:t>
      </w:r>
      <w:r>
        <w:rPr>
          <w:color w:val="231F20"/>
        </w:rPr>
        <w:t>y</w:t>
      </w:r>
      <w:r>
        <w:rPr>
          <w:color w:val="231F20"/>
          <w:spacing w:val="-13"/>
        </w:rPr>
        <w:t> </w:t>
      </w:r>
      <w:r>
        <w:rPr>
          <w:color w:val="231F20"/>
        </w:rPr>
        <w:t>de</w:t>
      </w:r>
      <w:r>
        <w:rPr>
          <w:color w:val="231F20"/>
          <w:spacing w:val="-13"/>
        </w:rPr>
        <w:t> </w:t>
      </w:r>
      <w:r>
        <w:rPr>
          <w:color w:val="231F20"/>
        </w:rPr>
        <w:t>exportación,</w:t>
      </w:r>
      <w:r>
        <w:rPr>
          <w:color w:val="231F20"/>
          <w:spacing w:val="-13"/>
        </w:rPr>
        <w:t> </w:t>
      </w:r>
      <w:r>
        <w:rPr>
          <w:color w:val="231F20"/>
        </w:rPr>
        <w:t>empleo</w:t>
      </w:r>
      <w:r>
        <w:rPr>
          <w:color w:val="231F20"/>
          <w:spacing w:val="-13"/>
        </w:rPr>
        <w:t> </w:t>
      </w:r>
      <w:r>
        <w:rPr>
          <w:color w:val="231F20"/>
        </w:rPr>
        <w:t>e</w:t>
      </w:r>
      <w:r>
        <w:rPr>
          <w:color w:val="231F20"/>
          <w:spacing w:val="-13"/>
        </w:rPr>
        <w:t> </w:t>
      </w:r>
      <w:r>
        <w:rPr>
          <w:color w:val="231F20"/>
        </w:rPr>
        <w:t>inversión,</w:t>
      </w:r>
      <w:r>
        <w:rPr>
          <w:color w:val="231F20"/>
          <w:spacing w:val="-13"/>
        </w:rPr>
        <w:t> </w:t>
      </w:r>
      <w:r>
        <w:rPr>
          <w:color w:val="231F20"/>
        </w:rPr>
        <w:t>dejan</w:t>
      </w:r>
      <w:r>
        <w:rPr>
          <w:color w:val="231F20"/>
          <w:spacing w:val="-13"/>
        </w:rPr>
        <w:t> </w:t>
      </w:r>
      <w:r>
        <w:rPr>
          <w:color w:val="231F20"/>
        </w:rPr>
        <w:t>ver</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sector</w:t>
      </w:r>
      <w:r>
        <w:rPr>
          <w:color w:val="231F20"/>
          <w:spacing w:val="-13"/>
        </w:rPr>
        <w:t> </w:t>
      </w:r>
      <w:r>
        <w:rPr>
          <w:color w:val="231F20"/>
        </w:rPr>
        <w:t>localizado</w:t>
      </w:r>
      <w:r>
        <w:rPr>
          <w:color w:val="231F20"/>
          <w:spacing w:val="-13"/>
        </w:rPr>
        <w:t> </w:t>
      </w:r>
      <w:r>
        <w:rPr>
          <w:color w:val="231F20"/>
        </w:rPr>
        <w:t>en esta entidad prácticamente dejó de crecer en los años posteriores a 1985 y de manera más</w:t>
      </w:r>
      <w:r>
        <w:rPr>
          <w:color w:val="231F20"/>
          <w:spacing w:val="-7"/>
        </w:rPr>
        <w:t> </w:t>
      </w:r>
      <w:r>
        <w:rPr>
          <w:color w:val="231F20"/>
        </w:rPr>
        <w:t>pronunciada</w:t>
      </w:r>
      <w:r>
        <w:rPr>
          <w:color w:val="231F20"/>
          <w:spacing w:val="-7"/>
        </w:rPr>
        <w:t> </w:t>
      </w:r>
      <w:r>
        <w:rPr>
          <w:color w:val="231F20"/>
        </w:rPr>
        <w:t>después</w:t>
      </w:r>
      <w:r>
        <w:rPr>
          <w:color w:val="231F20"/>
          <w:spacing w:val="-7"/>
        </w:rPr>
        <w:t> </w:t>
      </w:r>
      <w:r>
        <w:rPr>
          <w:color w:val="231F20"/>
        </w:rPr>
        <w:t>de</w:t>
      </w:r>
      <w:r>
        <w:rPr>
          <w:color w:val="231F20"/>
          <w:spacing w:val="-7"/>
        </w:rPr>
        <w:t> </w:t>
      </w:r>
      <w:r>
        <w:rPr>
          <w:color w:val="231F20"/>
        </w:rPr>
        <w:t>1994;</w:t>
      </w:r>
      <w:r>
        <w:rPr>
          <w:color w:val="231F20"/>
          <w:spacing w:val="-7"/>
        </w:rPr>
        <w:t> </w:t>
      </w:r>
      <w:r>
        <w:rPr>
          <w:color w:val="231F20"/>
        </w:rPr>
        <w:t>es</w:t>
      </w:r>
      <w:r>
        <w:rPr>
          <w:color w:val="231F20"/>
          <w:spacing w:val="-7"/>
        </w:rPr>
        <w:t> </w:t>
      </w:r>
      <w:r>
        <w:rPr>
          <w:color w:val="231F20"/>
          <w:spacing w:val="-3"/>
        </w:rPr>
        <w:t>decir,</w:t>
      </w:r>
      <w:r>
        <w:rPr>
          <w:color w:val="231F20"/>
          <w:spacing w:val="-7"/>
        </w:rPr>
        <w:t> </w:t>
      </w:r>
      <w:r>
        <w:rPr>
          <w:color w:val="231F20"/>
        </w:rPr>
        <w:t>tras</w:t>
      </w:r>
      <w:r>
        <w:rPr>
          <w:color w:val="231F20"/>
          <w:spacing w:val="-7"/>
        </w:rPr>
        <w:t> </w:t>
      </w:r>
      <w:r>
        <w:rPr>
          <w:color w:val="231F20"/>
        </w:rPr>
        <w:t>la</w:t>
      </w:r>
      <w:r>
        <w:rPr>
          <w:color w:val="231F20"/>
          <w:spacing w:val="-7"/>
        </w:rPr>
        <w:t> </w:t>
      </w:r>
      <w:r>
        <w:rPr>
          <w:color w:val="231F20"/>
        </w:rPr>
        <w:t>puesta</w:t>
      </w:r>
      <w:r>
        <w:rPr>
          <w:color w:val="231F20"/>
          <w:spacing w:val="-7"/>
        </w:rPr>
        <w:t> </w:t>
      </w:r>
      <w:r>
        <w:rPr>
          <w:color w:val="231F20"/>
        </w:rPr>
        <w:t>en</w:t>
      </w:r>
      <w:r>
        <w:rPr>
          <w:color w:val="231F20"/>
          <w:spacing w:val="-7"/>
        </w:rPr>
        <w:t> </w:t>
      </w:r>
      <w:r>
        <w:rPr>
          <w:color w:val="231F20"/>
        </w:rPr>
        <w:t>marcha</w:t>
      </w:r>
      <w:r>
        <w:rPr>
          <w:color w:val="231F20"/>
          <w:spacing w:val="-7"/>
        </w:rPr>
        <w:t> </w:t>
      </w:r>
      <w:r>
        <w:rPr>
          <w:color w:val="231F20"/>
        </w:rPr>
        <w:t>del</w:t>
      </w:r>
      <w:r>
        <w:rPr>
          <w:color w:val="231F20"/>
          <w:spacing w:val="-7"/>
        </w:rPr>
        <w:t> </w:t>
      </w:r>
      <w:r>
        <w:rPr>
          <w:color w:val="231F20"/>
        </w:rPr>
        <w:t>TLCAN.</w:t>
      </w:r>
    </w:p>
    <w:p>
      <w:pPr>
        <w:pStyle w:val="BodyText"/>
        <w:spacing w:line="278" w:lineRule="auto" w:before="1"/>
        <w:ind w:left="123" w:right="1131" w:firstLine="396"/>
        <w:jc w:val="both"/>
      </w:pPr>
      <w:r>
        <w:rPr>
          <w:color w:val="231F20"/>
        </w:rPr>
        <w:t>El objetivo de este capítulo es precisamente analizar la importancia, la evolución y el desempeño que el sector automotriz ha tenido en el Estado de México durante</w:t>
      </w:r>
      <w:r>
        <w:rPr>
          <w:color w:val="231F20"/>
          <w:spacing w:val="-34"/>
        </w:rPr>
        <w:t> </w:t>
      </w:r>
      <w:r>
        <w:rPr>
          <w:color w:val="231F20"/>
        </w:rPr>
        <w:t>los últimos</w:t>
      </w:r>
      <w:r>
        <w:rPr>
          <w:color w:val="231F20"/>
          <w:spacing w:val="-6"/>
        </w:rPr>
        <w:t> </w:t>
      </w:r>
      <w:r>
        <w:rPr>
          <w:color w:val="231F20"/>
        </w:rPr>
        <w:t>años,</w:t>
      </w:r>
      <w:r>
        <w:rPr>
          <w:color w:val="231F20"/>
          <w:spacing w:val="-6"/>
        </w:rPr>
        <w:t> </w:t>
      </w:r>
      <w:r>
        <w:rPr>
          <w:color w:val="231F20"/>
        </w:rPr>
        <w:t>con</w:t>
      </w:r>
      <w:r>
        <w:rPr>
          <w:color w:val="231F20"/>
          <w:spacing w:val="-6"/>
        </w:rPr>
        <w:t> </w:t>
      </w:r>
      <w:r>
        <w:rPr>
          <w:color w:val="231F20"/>
        </w:rPr>
        <w:t>el</w:t>
      </w:r>
      <w:r>
        <w:rPr>
          <w:color w:val="231F20"/>
          <w:spacing w:val="-6"/>
        </w:rPr>
        <w:t> </w:t>
      </w:r>
      <w:r>
        <w:rPr>
          <w:color w:val="231F20"/>
        </w:rPr>
        <w:t>propósito</w:t>
      </w:r>
      <w:r>
        <w:rPr>
          <w:color w:val="231F20"/>
          <w:spacing w:val="-6"/>
        </w:rPr>
        <w:t> </w:t>
      </w:r>
      <w:r>
        <w:rPr>
          <w:color w:val="231F20"/>
        </w:rPr>
        <w:t>de</w:t>
      </w:r>
      <w:r>
        <w:rPr>
          <w:color w:val="231F20"/>
          <w:spacing w:val="-6"/>
        </w:rPr>
        <w:t> </w:t>
      </w:r>
      <w:r>
        <w:rPr>
          <w:color w:val="231F20"/>
        </w:rPr>
        <w:t>evidenciar</w:t>
      </w:r>
      <w:r>
        <w:rPr>
          <w:color w:val="231F20"/>
          <w:spacing w:val="-6"/>
        </w:rPr>
        <w:t> </w:t>
      </w:r>
      <w:r>
        <w:rPr>
          <w:color w:val="231F20"/>
        </w:rPr>
        <w:t>la</w:t>
      </w:r>
      <w:r>
        <w:rPr>
          <w:color w:val="231F20"/>
          <w:spacing w:val="-6"/>
        </w:rPr>
        <w:t> </w:t>
      </w:r>
      <w:r>
        <w:rPr>
          <w:color w:val="231F20"/>
        </w:rPr>
        <w:t>disminución</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ritmo</w:t>
      </w:r>
      <w:r>
        <w:rPr>
          <w:color w:val="231F20"/>
          <w:spacing w:val="-6"/>
        </w:rPr>
        <w:t> </w:t>
      </w:r>
      <w:r>
        <w:rPr>
          <w:color w:val="231F20"/>
        </w:rPr>
        <w:t>de</w:t>
      </w:r>
      <w:r>
        <w:rPr>
          <w:color w:val="231F20"/>
          <w:spacing w:val="-6"/>
        </w:rPr>
        <w:t> </w:t>
      </w:r>
      <w:r>
        <w:rPr>
          <w:color w:val="231F20"/>
        </w:rPr>
        <w:t>crecimiento de esta industria en la entidad —sobre todo al ser contrastada con el crecimiento que ha</w:t>
      </w:r>
      <w:r>
        <w:rPr>
          <w:color w:val="231F20"/>
          <w:spacing w:val="-6"/>
        </w:rPr>
        <w:t> </w:t>
      </w:r>
      <w:r>
        <w:rPr>
          <w:color w:val="231F20"/>
        </w:rPr>
        <w:t>tenido</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nacional</w:t>
      </w:r>
      <w:r>
        <w:rPr>
          <w:color w:val="231F20"/>
          <w:spacing w:val="-6"/>
        </w:rPr>
        <w:t> </w:t>
      </w:r>
      <w:r>
        <w:rPr>
          <w:color w:val="231F20"/>
        </w:rPr>
        <w:t>y</w:t>
      </w:r>
      <w:r>
        <w:rPr>
          <w:color w:val="231F20"/>
          <w:spacing w:val="-6"/>
        </w:rPr>
        <w:t> </w:t>
      </w:r>
      <w:r>
        <w:rPr>
          <w:color w:val="231F20"/>
        </w:rPr>
        <w:t>en</w:t>
      </w:r>
      <w:r>
        <w:rPr>
          <w:color w:val="231F20"/>
          <w:spacing w:val="-6"/>
        </w:rPr>
        <w:t> </w:t>
      </w:r>
      <w:r>
        <w:rPr>
          <w:color w:val="231F20"/>
        </w:rPr>
        <w:t>otras</w:t>
      </w:r>
      <w:r>
        <w:rPr>
          <w:color w:val="231F20"/>
          <w:spacing w:val="-6"/>
        </w:rPr>
        <w:t> </w:t>
      </w:r>
      <w:r>
        <w:rPr>
          <w:color w:val="231F20"/>
        </w:rPr>
        <w:t>entidades</w:t>
      </w:r>
      <w:r>
        <w:rPr>
          <w:color w:val="231F20"/>
          <w:spacing w:val="-6"/>
        </w:rPr>
        <w:t> </w:t>
      </w:r>
      <w:r>
        <w:rPr>
          <w:color w:val="231F20"/>
        </w:rPr>
        <w:t>del</w:t>
      </w:r>
      <w:r>
        <w:rPr>
          <w:color w:val="231F20"/>
          <w:spacing w:val="-6"/>
        </w:rPr>
        <w:t> </w:t>
      </w:r>
      <w:r>
        <w:rPr>
          <w:color w:val="231F20"/>
        </w:rPr>
        <w:t>país—,</w:t>
      </w:r>
      <w:r>
        <w:rPr>
          <w:color w:val="231F20"/>
          <w:spacing w:val="-6"/>
        </w:rPr>
        <w:t> </w:t>
      </w:r>
      <w:r>
        <w:rPr>
          <w:color w:val="231F20"/>
        </w:rPr>
        <w:t>así</w:t>
      </w:r>
      <w:r>
        <w:rPr>
          <w:color w:val="231F20"/>
          <w:spacing w:val="-6"/>
        </w:rPr>
        <w:t> </w:t>
      </w:r>
      <w:r>
        <w:rPr>
          <w:color w:val="231F20"/>
        </w:rPr>
        <w:t>como</w:t>
      </w:r>
      <w:r>
        <w:rPr>
          <w:color w:val="231F20"/>
          <w:spacing w:val="-6"/>
        </w:rPr>
        <w:t> </w:t>
      </w:r>
      <w:r>
        <w:rPr>
          <w:color w:val="231F20"/>
        </w:rPr>
        <w:t>las</w:t>
      </w:r>
      <w:r>
        <w:rPr>
          <w:color w:val="231F20"/>
          <w:spacing w:val="-6"/>
        </w:rPr>
        <w:t> </w:t>
      </w:r>
      <w:r>
        <w:rPr>
          <w:color w:val="231F20"/>
        </w:rPr>
        <w:t>posibles</w:t>
      </w:r>
      <w:r>
        <w:rPr>
          <w:color w:val="231F20"/>
          <w:spacing w:val="-6"/>
        </w:rPr>
        <w:t> </w:t>
      </w:r>
      <w:r>
        <w:rPr>
          <w:color w:val="231F20"/>
        </w:rPr>
        <w:t>causas que la han</w:t>
      </w:r>
      <w:r>
        <w:rPr>
          <w:color w:val="231F20"/>
          <w:spacing w:val="-12"/>
        </w:rPr>
        <w:t> </w:t>
      </w:r>
      <w:r>
        <w:rPr>
          <w:color w:val="231F20"/>
        </w:rPr>
        <w:t>propiciado.</w:t>
      </w:r>
    </w:p>
    <w:p>
      <w:pPr>
        <w:pStyle w:val="BodyText"/>
        <w:spacing w:line="278" w:lineRule="auto" w:before="1"/>
        <w:ind w:left="123" w:right="1130" w:firstLine="396"/>
        <w:jc w:val="both"/>
      </w:pPr>
      <w:r>
        <w:rPr>
          <w:color w:val="231F20"/>
        </w:rPr>
        <w:t>El capítulo se divide en cinco apartados. En el primero se destaca la importancia del sector automotriz en el estado y la conformación de la cadena productiva automo- triz-autopartes. En el segundo se analiza el desempeño del sector a partir del compor- tamiento de variables de producción, empleo, unidades económicas e inversión. En el siguiente</w:t>
      </w:r>
      <w:r>
        <w:rPr>
          <w:color w:val="231F20"/>
          <w:spacing w:val="-10"/>
        </w:rPr>
        <w:t> </w:t>
      </w:r>
      <w:r>
        <w:rPr>
          <w:color w:val="231F20"/>
        </w:rPr>
        <w:t>se</w:t>
      </w:r>
      <w:r>
        <w:rPr>
          <w:color w:val="231F20"/>
          <w:spacing w:val="-10"/>
        </w:rPr>
        <w:t> </w:t>
      </w:r>
      <w:r>
        <w:rPr>
          <w:color w:val="231F20"/>
        </w:rPr>
        <w:t>contrastan</w:t>
      </w:r>
      <w:r>
        <w:rPr>
          <w:color w:val="231F20"/>
          <w:spacing w:val="-10"/>
        </w:rPr>
        <w:t> </w:t>
      </w:r>
      <w:r>
        <w:rPr>
          <w:color w:val="231F20"/>
        </w:rPr>
        <w:t>los</w:t>
      </w:r>
      <w:r>
        <w:rPr>
          <w:color w:val="231F20"/>
          <w:spacing w:val="-10"/>
        </w:rPr>
        <w:t> </w:t>
      </w:r>
      <w:r>
        <w:rPr>
          <w:color w:val="231F20"/>
        </w:rPr>
        <w:t>datos</w:t>
      </w:r>
      <w:r>
        <w:rPr>
          <w:color w:val="231F20"/>
          <w:spacing w:val="-10"/>
        </w:rPr>
        <w:t> </w:t>
      </w:r>
      <w:r>
        <w:rPr>
          <w:color w:val="231F20"/>
        </w:rPr>
        <w:t>del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con</w:t>
      </w:r>
      <w:r>
        <w:rPr>
          <w:color w:val="231F20"/>
          <w:spacing w:val="-10"/>
        </w:rPr>
        <w:t> </w:t>
      </w:r>
      <w:r>
        <w:rPr>
          <w:color w:val="231F20"/>
        </w:rPr>
        <w:t>los</w:t>
      </w:r>
      <w:r>
        <w:rPr>
          <w:color w:val="231F20"/>
          <w:spacing w:val="-10"/>
        </w:rPr>
        <w:t> </w:t>
      </w:r>
      <w:r>
        <w:rPr>
          <w:color w:val="231F20"/>
        </w:rPr>
        <w:t>nacionales</w:t>
      </w:r>
      <w:r>
        <w:rPr>
          <w:color w:val="231F20"/>
          <w:spacing w:val="-10"/>
        </w:rPr>
        <w:t> </w:t>
      </w:r>
      <w:r>
        <w:rPr>
          <w:color w:val="231F20"/>
        </w:rPr>
        <w:t>y</w:t>
      </w:r>
      <w:r>
        <w:rPr>
          <w:color w:val="231F20"/>
          <w:spacing w:val="-10"/>
        </w:rPr>
        <w:t> </w:t>
      </w:r>
      <w:r>
        <w:rPr>
          <w:color w:val="231F20"/>
        </w:rPr>
        <w:t>los</w:t>
      </w:r>
      <w:r>
        <w:rPr>
          <w:color w:val="231F20"/>
          <w:spacing w:val="-10"/>
        </w:rPr>
        <w:t> </w:t>
      </w:r>
      <w:r>
        <w:rPr>
          <w:color w:val="231F20"/>
        </w:rPr>
        <w:t>de</w:t>
      </w:r>
      <w:r>
        <w:rPr>
          <w:color w:val="231F20"/>
          <w:spacing w:val="-10"/>
        </w:rPr>
        <w:t> </w:t>
      </w:r>
      <w:r>
        <w:rPr>
          <w:color w:val="231F20"/>
        </w:rPr>
        <w:t>otras entidades,</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fin</w:t>
      </w:r>
      <w:r>
        <w:rPr>
          <w:color w:val="231F20"/>
          <w:spacing w:val="-4"/>
        </w:rPr>
        <w:t> </w:t>
      </w:r>
      <w:r>
        <w:rPr>
          <w:color w:val="231F20"/>
        </w:rPr>
        <w:t>de</w:t>
      </w:r>
      <w:r>
        <w:rPr>
          <w:color w:val="231F20"/>
          <w:spacing w:val="-4"/>
        </w:rPr>
        <w:t> </w:t>
      </w:r>
      <w:r>
        <w:rPr>
          <w:color w:val="231F20"/>
        </w:rPr>
        <w:t>evidenciar</w:t>
      </w:r>
      <w:r>
        <w:rPr>
          <w:color w:val="231F20"/>
          <w:spacing w:val="-4"/>
        </w:rPr>
        <w:t> </w:t>
      </w:r>
      <w:r>
        <w:rPr>
          <w:color w:val="231F20"/>
        </w:rPr>
        <w:t>la</w:t>
      </w:r>
      <w:r>
        <w:rPr>
          <w:color w:val="231F20"/>
          <w:spacing w:val="-4"/>
        </w:rPr>
        <w:t> </w:t>
      </w:r>
      <w:r>
        <w:rPr>
          <w:color w:val="231F20"/>
        </w:rPr>
        <w:t>pérdida</w:t>
      </w:r>
      <w:r>
        <w:rPr>
          <w:color w:val="231F20"/>
          <w:spacing w:val="-4"/>
        </w:rPr>
        <w:t> </w:t>
      </w:r>
      <w:r>
        <w:rPr>
          <w:color w:val="231F20"/>
        </w:rPr>
        <w:t>de</w:t>
      </w:r>
      <w:r>
        <w:rPr>
          <w:color w:val="231F20"/>
          <w:spacing w:val="-4"/>
        </w:rPr>
        <w:t> </w:t>
      </w:r>
      <w:r>
        <w:rPr>
          <w:color w:val="231F20"/>
        </w:rPr>
        <w:t>dinamismo</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En el cuarto se destacan algunos aspectos que tratan de explicar esta pérdida de dinamis- mo</w:t>
      </w:r>
      <w:r>
        <w:rPr>
          <w:color w:val="231F20"/>
          <w:spacing w:val="-7"/>
        </w:rPr>
        <w:t> </w:t>
      </w:r>
      <w:r>
        <w:rPr>
          <w:color w:val="231F20"/>
          <w:spacing w:val="-8"/>
        </w:rPr>
        <w:t>y,</w:t>
      </w:r>
      <w:r>
        <w:rPr>
          <w:color w:val="231F20"/>
          <w:spacing w:val="-7"/>
        </w:rPr>
        <w:t> </w:t>
      </w:r>
      <w:r>
        <w:rPr>
          <w:color w:val="231F20"/>
        </w:rPr>
        <w:t>finalmente,</w:t>
      </w:r>
      <w:r>
        <w:rPr>
          <w:color w:val="231F20"/>
          <w:spacing w:val="-7"/>
        </w:rPr>
        <w:t> </w:t>
      </w:r>
      <w:r>
        <w:rPr>
          <w:color w:val="231F20"/>
        </w:rPr>
        <w:t>se</w:t>
      </w:r>
      <w:r>
        <w:rPr>
          <w:color w:val="231F20"/>
          <w:spacing w:val="-7"/>
        </w:rPr>
        <w:t> </w:t>
      </w:r>
      <w:r>
        <w:rPr>
          <w:color w:val="231F20"/>
        </w:rPr>
        <w:t>presentan</w:t>
      </w:r>
      <w:r>
        <w:rPr>
          <w:color w:val="231F20"/>
          <w:spacing w:val="-7"/>
        </w:rPr>
        <w:t> </w:t>
      </w:r>
      <w:r>
        <w:rPr>
          <w:color w:val="231F20"/>
        </w:rPr>
        <w:t>algunas</w:t>
      </w:r>
      <w:r>
        <w:rPr>
          <w:color w:val="231F20"/>
          <w:spacing w:val="-7"/>
        </w:rPr>
        <w:t> </w:t>
      </w:r>
      <w:r>
        <w:rPr>
          <w:color w:val="231F20"/>
        </w:rPr>
        <w:t>conclusiones</w:t>
      </w:r>
      <w:r>
        <w:rPr>
          <w:color w:val="231F20"/>
          <w:spacing w:val="-7"/>
        </w:rPr>
        <w:t> </w:t>
      </w:r>
      <w:r>
        <w:rPr>
          <w:color w:val="231F20"/>
        </w:rPr>
        <w:t>del</w:t>
      </w:r>
      <w:r>
        <w:rPr>
          <w:color w:val="231F20"/>
          <w:spacing w:val="-7"/>
        </w:rPr>
        <w:t> </w:t>
      </w:r>
      <w:r>
        <w:rPr>
          <w:color w:val="231F20"/>
          <w:spacing w:val="-3"/>
        </w:rPr>
        <w:t>capítulo.</w:t>
      </w:r>
    </w:p>
    <w:p>
      <w:pPr>
        <w:spacing w:after="0" w:line="278" w:lineRule="auto"/>
        <w:jc w:val="both"/>
        <w:sectPr>
          <w:headerReference w:type="default" r:id="rId208"/>
          <w:footerReference w:type="default" r:id="rId209"/>
          <w:footerReference w:type="even" r:id="rId210"/>
          <w:pgSz w:w="9640" w:h="13040"/>
          <w:pgMar w:header="0" w:footer="654" w:top="0" w:bottom="840" w:left="1180" w:right="0"/>
          <w:pgNumType w:start="103"/>
        </w:sectPr>
      </w:pPr>
    </w:p>
    <w:p>
      <w:pPr>
        <w:pStyle w:val="BodyText"/>
        <w:rPr>
          <w:sz w:val="20"/>
        </w:rPr>
      </w:pPr>
    </w:p>
    <w:p>
      <w:pPr>
        <w:pStyle w:val="BodyText"/>
        <w:spacing w:before="4"/>
      </w:pPr>
    </w:p>
    <w:p>
      <w:pPr>
        <w:pStyle w:val="Heading3"/>
        <w:numPr>
          <w:ilvl w:val="1"/>
          <w:numId w:val="19"/>
        </w:numPr>
        <w:tabs>
          <w:tab w:pos="1128" w:val="left" w:leader="none"/>
        </w:tabs>
        <w:spacing w:line="240" w:lineRule="auto" w:before="26" w:after="0"/>
        <w:ind w:left="1127" w:right="0" w:hanging="414"/>
        <w:jc w:val="both"/>
      </w:pPr>
      <w:r>
        <w:rPr>
          <w:color w:val="231F20"/>
          <w:w w:val="95"/>
        </w:rPr>
        <w:t>Importancia</w:t>
      </w:r>
      <w:r>
        <w:rPr>
          <w:color w:val="231F20"/>
          <w:spacing w:val="-25"/>
          <w:w w:val="95"/>
        </w:rPr>
        <w:t> </w:t>
      </w:r>
      <w:r>
        <w:rPr>
          <w:color w:val="231F20"/>
          <w:w w:val="95"/>
        </w:rPr>
        <w:t>del</w:t>
      </w:r>
      <w:r>
        <w:rPr>
          <w:color w:val="231F20"/>
          <w:spacing w:val="-25"/>
          <w:w w:val="95"/>
        </w:rPr>
        <w:t> </w:t>
      </w:r>
      <w:r>
        <w:rPr>
          <w:color w:val="231F20"/>
          <w:w w:val="95"/>
        </w:rPr>
        <w:t>sector</w:t>
      </w:r>
      <w:r>
        <w:rPr>
          <w:color w:val="231F20"/>
          <w:spacing w:val="-25"/>
          <w:w w:val="95"/>
        </w:rPr>
        <w:t> </w:t>
      </w:r>
      <w:r>
        <w:rPr>
          <w:color w:val="231F20"/>
          <w:w w:val="95"/>
        </w:rPr>
        <w:t>automotriz</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Estado</w:t>
      </w:r>
      <w:r>
        <w:rPr>
          <w:color w:val="231F20"/>
          <w:spacing w:val="-25"/>
          <w:w w:val="95"/>
        </w:rPr>
        <w:t> </w:t>
      </w:r>
      <w:r>
        <w:rPr>
          <w:color w:val="231F20"/>
          <w:w w:val="95"/>
        </w:rPr>
        <w:t>de</w:t>
      </w:r>
      <w:r>
        <w:rPr>
          <w:color w:val="231F20"/>
          <w:spacing w:val="-25"/>
          <w:w w:val="95"/>
        </w:rPr>
        <w:t> </w:t>
      </w:r>
      <w:r>
        <w:rPr>
          <w:color w:val="231F20"/>
          <w:w w:val="95"/>
        </w:rPr>
        <w:t>México</w:t>
      </w:r>
    </w:p>
    <w:p>
      <w:pPr>
        <w:pStyle w:val="BodyText"/>
        <w:spacing w:line="278" w:lineRule="auto" w:before="125"/>
        <w:ind w:left="713" w:right="100"/>
        <w:jc w:val="both"/>
      </w:pPr>
      <w:r>
        <w:rPr>
          <w:color w:val="231F20"/>
        </w:rPr>
        <w:t>En sus inicios la industria automotriz en el Estado de México estuvo estrechamente ligada con el proceso de industrialización de la entidad. Sus orígenes se ubican en la década de los sesenta, época caracterizada por una política económica altamente pro- teccionista que propició que la industria automotriz en esa etapa permaneciera aislada de la competencia externa.</w:t>
      </w:r>
    </w:p>
    <w:p>
      <w:pPr>
        <w:pStyle w:val="BodyText"/>
        <w:spacing w:line="278" w:lineRule="auto" w:before="1"/>
        <w:ind w:left="713" w:right="101" w:firstLine="396"/>
        <w:jc w:val="both"/>
      </w:pPr>
      <w:r>
        <w:rPr>
          <w:color w:val="231F20"/>
        </w:rPr>
        <w:t>En esta década se instalan importantes armadoras: Nissan en 1961; General Mo- tors en 1962; </w:t>
      </w:r>
      <w:r>
        <w:rPr>
          <w:color w:val="231F20"/>
          <w:spacing w:val="-3"/>
        </w:rPr>
        <w:t>Automex </w:t>
      </w:r>
      <w:r>
        <w:rPr>
          <w:color w:val="231F20"/>
        </w:rPr>
        <w:t>(armadora mexicana con licencia de Chrysler) y </w:t>
      </w:r>
      <w:r>
        <w:rPr>
          <w:color w:val="231F20"/>
          <w:spacing w:val="-3"/>
        </w:rPr>
        <w:t>Ford </w:t>
      </w:r>
      <w:r>
        <w:rPr>
          <w:color w:val="231F20"/>
        </w:rPr>
        <w:t>en</w:t>
      </w:r>
      <w:r>
        <w:rPr>
          <w:color w:val="231F20"/>
          <w:spacing w:val="-21"/>
        </w:rPr>
        <w:t> </w:t>
      </w:r>
      <w:r>
        <w:rPr>
          <w:color w:val="231F20"/>
        </w:rPr>
        <w:t>1964; Chrysler</w:t>
      </w:r>
      <w:r>
        <w:rPr>
          <w:color w:val="231F20"/>
          <w:spacing w:val="-21"/>
        </w:rPr>
        <w:t> </w:t>
      </w:r>
      <w:r>
        <w:rPr>
          <w:color w:val="231F20"/>
        </w:rPr>
        <w:t>en</w:t>
      </w:r>
      <w:r>
        <w:rPr>
          <w:color w:val="231F20"/>
          <w:spacing w:val="-21"/>
        </w:rPr>
        <w:t> </w:t>
      </w:r>
      <w:r>
        <w:rPr>
          <w:color w:val="231F20"/>
        </w:rPr>
        <w:t>1968;</w:t>
      </w:r>
      <w:r>
        <w:rPr>
          <w:color w:val="231F20"/>
          <w:spacing w:val="-21"/>
        </w:rPr>
        <w:t> </w:t>
      </w:r>
      <w:r>
        <w:rPr>
          <w:color w:val="231F20"/>
        </w:rPr>
        <w:t>y</w:t>
      </w:r>
      <w:r>
        <w:rPr>
          <w:color w:val="231F20"/>
          <w:spacing w:val="-21"/>
        </w:rPr>
        <w:t> </w:t>
      </w:r>
      <w:r>
        <w:rPr>
          <w:color w:val="231F20"/>
        </w:rPr>
        <w:t>más</w:t>
      </w:r>
      <w:r>
        <w:rPr>
          <w:color w:val="231F20"/>
          <w:spacing w:val="-21"/>
        </w:rPr>
        <w:t> </w:t>
      </w:r>
      <w:r>
        <w:rPr>
          <w:color w:val="231F20"/>
        </w:rPr>
        <w:t>recientemente,</w:t>
      </w:r>
      <w:r>
        <w:rPr>
          <w:color w:val="231F20"/>
          <w:spacing w:val="-21"/>
        </w:rPr>
        <w:t> </w:t>
      </w:r>
      <w:r>
        <w:rPr>
          <w:color w:val="231F20"/>
        </w:rPr>
        <w:t>Mercedes</w:t>
      </w:r>
      <w:r>
        <w:rPr>
          <w:color w:val="231F20"/>
          <w:spacing w:val="-21"/>
        </w:rPr>
        <w:t> </w:t>
      </w:r>
      <w:r>
        <w:rPr>
          <w:color w:val="231F20"/>
        </w:rPr>
        <w:t>Benz</w:t>
      </w:r>
      <w:r>
        <w:rPr>
          <w:color w:val="231F20"/>
          <w:spacing w:val="-21"/>
        </w:rPr>
        <w:t> </w:t>
      </w:r>
      <w:r>
        <w:rPr>
          <w:color w:val="231F20"/>
        </w:rPr>
        <w:t>en</w:t>
      </w:r>
      <w:r>
        <w:rPr>
          <w:color w:val="231F20"/>
          <w:spacing w:val="-21"/>
        </w:rPr>
        <w:t> </w:t>
      </w:r>
      <w:r>
        <w:rPr>
          <w:color w:val="231F20"/>
        </w:rPr>
        <w:t>1991,</w:t>
      </w:r>
      <w:r>
        <w:rPr>
          <w:color w:val="231F20"/>
          <w:spacing w:val="-21"/>
        </w:rPr>
        <w:t> </w:t>
      </w:r>
      <w:r>
        <w:rPr>
          <w:color w:val="231F20"/>
        </w:rPr>
        <w:t>BMW</w:t>
      </w:r>
      <w:r>
        <w:rPr>
          <w:color w:val="231F20"/>
          <w:spacing w:val="-21"/>
        </w:rPr>
        <w:t> </w:t>
      </w:r>
      <w:r>
        <w:rPr>
          <w:color w:val="231F20"/>
        </w:rPr>
        <w:t>en</w:t>
      </w:r>
      <w:r>
        <w:rPr>
          <w:color w:val="231F20"/>
          <w:spacing w:val="-21"/>
        </w:rPr>
        <w:t> </w:t>
      </w:r>
      <w:r>
        <w:rPr>
          <w:color w:val="231F20"/>
        </w:rPr>
        <w:t>1994</w:t>
      </w:r>
      <w:r>
        <w:rPr>
          <w:color w:val="231F20"/>
          <w:spacing w:val="-21"/>
        </w:rPr>
        <w:t> </w:t>
      </w:r>
      <w:r>
        <w:rPr>
          <w:color w:val="231F20"/>
        </w:rPr>
        <w:t>y</w:t>
      </w:r>
      <w:r>
        <w:rPr>
          <w:color w:val="231F20"/>
          <w:spacing w:val="-21"/>
        </w:rPr>
        <w:t> </w:t>
      </w:r>
      <w:r>
        <w:rPr>
          <w:color w:val="231F20"/>
          <w:spacing w:val="-6"/>
        </w:rPr>
        <w:t>Volvo </w:t>
      </w:r>
      <w:r>
        <w:rPr>
          <w:color w:val="231F20"/>
        </w:rPr>
        <w:t>en 1998. Sin embargo, se ha dado un proceso de cambio relevante en el sector que se localiza en el estado, pues la parte correspondiente al ensamble de vehículos, que fue tan importante en años anteriores, ha disminuido fuertemente, y muchas empresas han dejado de ensamblar en las plantas ubicadas en el estado y se han concentrado en actividades</w:t>
      </w:r>
      <w:r>
        <w:rPr>
          <w:color w:val="231F20"/>
          <w:spacing w:val="-13"/>
        </w:rPr>
        <w:t> </w:t>
      </w:r>
      <w:r>
        <w:rPr>
          <w:color w:val="231F20"/>
        </w:rPr>
        <w:t>diferentes</w:t>
      </w:r>
      <w:r>
        <w:rPr>
          <w:color w:val="231F20"/>
          <w:spacing w:val="-13"/>
        </w:rPr>
        <w:t> </w:t>
      </w:r>
      <w:r>
        <w:rPr>
          <w:color w:val="231F20"/>
        </w:rPr>
        <w:t>(véase</w:t>
      </w:r>
      <w:r>
        <w:rPr>
          <w:color w:val="231F20"/>
          <w:spacing w:val="-13"/>
        </w:rPr>
        <w:t> </w:t>
      </w:r>
      <w:r>
        <w:rPr>
          <w:color w:val="231F20"/>
        </w:rPr>
        <w:t>cuadro</w:t>
      </w:r>
      <w:r>
        <w:rPr>
          <w:color w:val="231F20"/>
          <w:spacing w:val="-13"/>
        </w:rPr>
        <w:t> </w:t>
      </w:r>
      <w:r>
        <w:rPr>
          <w:color w:val="231F20"/>
          <w:spacing w:val="-6"/>
        </w:rPr>
        <w:t>IV.1).</w:t>
      </w:r>
    </w:p>
    <w:p>
      <w:pPr>
        <w:pStyle w:val="BodyText"/>
        <w:spacing w:line="278" w:lineRule="auto" w:before="1"/>
        <w:ind w:left="713" w:right="98" w:firstLine="396"/>
        <w:jc w:val="both"/>
      </w:pPr>
      <w:r>
        <w:rPr>
          <w:color w:val="231F20"/>
          <w:spacing w:val="2"/>
        </w:rPr>
        <w:t>La </w:t>
      </w:r>
      <w:r>
        <w:rPr>
          <w:color w:val="231F20"/>
        </w:rPr>
        <w:t>cadena productiva del sector automotriz en el estado, de acuerdo con la </w:t>
      </w:r>
      <w:r>
        <w:rPr>
          <w:color w:val="231F20"/>
          <w:spacing w:val="2"/>
        </w:rPr>
        <w:t>Se- </w:t>
      </w:r>
      <w:r>
        <w:rPr>
          <w:color w:val="231F20"/>
        </w:rPr>
        <w:t>cretaría</w:t>
      </w:r>
      <w:r>
        <w:rPr>
          <w:color w:val="231F20"/>
          <w:spacing w:val="-5"/>
        </w:rPr>
        <w:t> </w:t>
      </w:r>
      <w:r>
        <w:rPr>
          <w:color w:val="231F20"/>
        </w:rPr>
        <w:t>de</w:t>
      </w:r>
      <w:r>
        <w:rPr>
          <w:color w:val="231F20"/>
          <w:spacing w:val="-5"/>
        </w:rPr>
        <w:t> </w:t>
      </w:r>
      <w:r>
        <w:rPr>
          <w:color w:val="231F20"/>
        </w:rPr>
        <w:t>Economía</w:t>
      </w:r>
      <w:r>
        <w:rPr>
          <w:color w:val="231F20"/>
          <w:spacing w:val="-5"/>
        </w:rPr>
        <w:t> </w:t>
      </w:r>
      <w:r>
        <w:rPr>
          <w:color w:val="231F20"/>
        </w:rPr>
        <w:t>(2009),</w:t>
      </w:r>
      <w:r>
        <w:rPr>
          <w:color w:val="231F20"/>
          <w:spacing w:val="-5"/>
        </w:rPr>
        <w:t> </w:t>
      </w:r>
      <w:r>
        <w:rPr>
          <w:color w:val="231F20"/>
        </w:rPr>
        <w:t>se</w:t>
      </w:r>
      <w:r>
        <w:rPr>
          <w:color w:val="231F20"/>
          <w:spacing w:val="-5"/>
        </w:rPr>
        <w:t> </w:t>
      </w:r>
      <w:r>
        <w:rPr>
          <w:color w:val="231F20"/>
        </w:rPr>
        <w:t>conforma</w:t>
      </w:r>
      <w:r>
        <w:rPr>
          <w:color w:val="231F20"/>
          <w:spacing w:val="-5"/>
        </w:rPr>
        <w:t> </w:t>
      </w:r>
      <w:r>
        <w:rPr>
          <w:color w:val="231F20"/>
        </w:rPr>
        <w:t>por</w:t>
      </w:r>
      <w:r>
        <w:rPr>
          <w:color w:val="231F20"/>
          <w:spacing w:val="-5"/>
        </w:rPr>
        <w:t> </w:t>
      </w:r>
      <w:r>
        <w:rPr>
          <w:color w:val="231F20"/>
        </w:rPr>
        <w:t>949</w:t>
      </w:r>
      <w:r>
        <w:rPr>
          <w:color w:val="231F20"/>
          <w:spacing w:val="-5"/>
        </w:rPr>
        <w:t> </w:t>
      </w:r>
      <w:r>
        <w:rPr>
          <w:color w:val="231F20"/>
        </w:rPr>
        <w:t>empresas,</w:t>
      </w:r>
      <w:r>
        <w:rPr>
          <w:color w:val="231F20"/>
          <w:spacing w:val="-5"/>
        </w:rPr>
        <w:t> </w:t>
      </w:r>
      <w:r>
        <w:rPr>
          <w:color w:val="231F20"/>
        </w:rPr>
        <w:t>entre</w:t>
      </w:r>
      <w:r>
        <w:rPr>
          <w:color w:val="231F20"/>
          <w:spacing w:val="-5"/>
        </w:rPr>
        <w:t> </w:t>
      </w:r>
      <w:r>
        <w:rPr>
          <w:color w:val="231F20"/>
        </w:rPr>
        <w:t>las</w:t>
      </w:r>
      <w:r>
        <w:rPr>
          <w:color w:val="231F20"/>
          <w:spacing w:val="-5"/>
        </w:rPr>
        <w:t> </w:t>
      </w:r>
      <w:r>
        <w:rPr>
          <w:color w:val="231F20"/>
        </w:rPr>
        <w:t>que</w:t>
      </w:r>
      <w:r>
        <w:rPr>
          <w:color w:val="231F20"/>
          <w:spacing w:val="-5"/>
        </w:rPr>
        <w:t> </w:t>
      </w:r>
      <w:r>
        <w:rPr>
          <w:color w:val="231F20"/>
        </w:rPr>
        <w:t>se</w:t>
      </w:r>
      <w:r>
        <w:rPr>
          <w:color w:val="231F20"/>
          <w:spacing w:val="-5"/>
        </w:rPr>
        <w:t> </w:t>
      </w:r>
      <w:r>
        <w:rPr>
          <w:color w:val="231F20"/>
        </w:rPr>
        <w:t>incluyen las ensambladoras de automóviles y camiones; las fabricantes de carrocerías y remol- ques; y las productoras de partes y accesorios para automóviles y camiones; además, fabricantes de pinturas, barnices, lacas, fibras químicas, aceites no comestibles, lami- nados de acero, fundición y moldeo de piezas metálicas, así como el comercio al por menor de automóviles nuevos, llantas y cámaras para automóviles, y el comercio al por mayor de refacciones y accesorios nuevos para automóviles, entre</w:t>
      </w:r>
      <w:r>
        <w:rPr>
          <w:color w:val="231F20"/>
          <w:spacing w:val="-4"/>
        </w:rPr>
        <w:t> </w:t>
      </w:r>
      <w:r>
        <w:rPr>
          <w:color w:val="231F20"/>
        </w:rPr>
        <w:t>otras.</w:t>
      </w:r>
    </w:p>
    <w:p>
      <w:pPr>
        <w:pStyle w:val="BodyText"/>
        <w:spacing w:line="278" w:lineRule="auto" w:before="1"/>
        <w:ind w:left="713" w:right="101" w:firstLine="396"/>
        <w:jc w:val="both"/>
      </w:pPr>
      <w:r>
        <w:rPr>
          <w:color w:val="231F20"/>
        </w:rPr>
        <w:t>Específicamente el subsector fabricación de equipo de transporte tiene una pre- sencia importante en esta entidad, pues en él se concentra 11.4% del total de las uni- dades</w:t>
      </w:r>
      <w:r>
        <w:rPr>
          <w:color w:val="231F20"/>
          <w:spacing w:val="-9"/>
        </w:rPr>
        <w:t> </w:t>
      </w:r>
      <w:r>
        <w:rPr>
          <w:color w:val="231F20"/>
        </w:rPr>
        <w:t>del</w:t>
      </w:r>
      <w:r>
        <w:rPr>
          <w:color w:val="231F20"/>
          <w:spacing w:val="-9"/>
        </w:rPr>
        <w:t> </w:t>
      </w:r>
      <w:r>
        <w:rPr>
          <w:color w:val="231F20"/>
        </w:rPr>
        <w:t>sector</w:t>
      </w:r>
      <w:r>
        <w:rPr>
          <w:color w:val="231F20"/>
          <w:spacing w:val="-9"/>
        </w:rPr>
        <w:t> </w:t>
      </w:r>
      <w:r>
        <w:rPr>
          <w:color w:val="231F20"/>
        </w:rPr>
        <w:t>a</w:t>
      </w:r>
      <w:r>
        <w:rPr>
          <w:color w:val="231F20"/>
          <w:spacing w:val="-9"/>
        </w:rPr>
        <w:t> </w:t>
      </w:r>
      <w:r>
        <w:rPr>
          <w:color w:val="231F20"/>
        </w:rPr>
        <w:t>nivel</w:t>
      </w:r>
      <w:r>
        <w:rPr>
          <w:color w:val="231F20"/>
          <w:spacing w:val="-9"/>
        </w:rPr>
        <w:t> </w:t>
      </w:r>
      <w:r>
        <w:rPr>
          <w:color w:val="231F20"/>
        </w:rPr>
        <w:t>nacional,</w:t>
      </w:r>
      <w:r>
        <w:rPr>
          <w:color w:val="231F20"/>
          <w:spacing w:val="-9"/>
        </w:rPr>
        <w:t> </w:t>
      </w:r>
      <w:r>
        <w:rPr>
          <w:color w:val="231F20"/>
        </w:rPr>
        <w:t>se</w:t>
      </w:r>
      <w:r>
        <w:rPr>
          <w:color w:val="231F20"/>
          <w:spacing w:val="-9"/>
        </w:rPr>
        <w:t> </w:t>
      </w:r>
      <w:r>
        <w:rPr>
          <w:color w:val="231F20"/>
        </w:rPr>
        <w:t>emplea</w:t>
      </w:r>
      <w:r>
        <w:rPr>
          <w:color w:val="231F20"/>
          <w:spacing w:val="-9"/>
        </w:rPr>
        <w:t> </w:t>
      </w:r>
      <w:r>
        <w:rPr>
          <w:color w:val="231F20"/>
        </w:rPr>
        <w:t>el</w:t>
      </w:r>
      <w:r>
        <w:rPr>
          <w:color w:val="231F20"/>
          <w:spacing w:val="-9"/>
        </w:rPr>
        <w:t> </w:t>
      </w:r>
      <w:r>
        <w:rPr>
          <w:color w:val="231F20"/>
        </w:rPr>
        <w:t>8.4%</w:t>
      </w:r>
      <w:r>
        <w:rPr>
          <w:color w:val="231F20"/>
          <w:spacing w:val="-9"/>
        </w:rPr>
        <w:t> </w:t>
      </w:r>
      <w:r>
        <w:rPr>
          <w:color w:val="231F20"/>
        </w:rPr>
        <w:t>del</w:t>
      </w:r>
      <w:r>
        <w:rPr>
          <w:color w:val="231F20"/>
          <w:spacing w:val="-9"/>
        </w:rPr>
        <w:t> </w:t>
      </w:r>
      <w:r>
        <w:rPr>
          <w:color w:val="231F20"/>
        </w:rPr>
        <w:t>total</w:t>
      </w:r>
      <w:r>
        <w:rPr>
          <w:color w:val="231F20"/>
          <w:spacing w:val="-9"/>
        </w:rPr>
        <w:t> </w:t>
      </w:r>
      <w:r>
        <w:rPr>
          <w:color w:val="231F20"/>
        </w:rPr>
        <w:t>del</w:t>
      </w:r>
      <w:r>
        <w:rPr>
          <w:color w:val="231F20"/>
          <w:spacing w:val="-9"/>
        </w:rPr>
        <w:t> </w:t>
      </w:r>
      <w:r>
        <w:rPr>
          <w:color w:val="231F20"/>
        </w:rPr>
        <w:t>personal</w:t>
      </w:r>
      <w:r>
        <w:rPr>
          <w:color w:val="231F20"/>
          <w:spacing w:val="-9"/>
        </w:rPr>
        <w:t> </w:t>
      </w:r>
      <w:r>
        <w:rPr>
          <w:color w:val="231F20"/>
        </w:rPr>
        <w:t>ocupado</w:t>
      </w:r>
      <w:r>
        <w:rPr>
          <w:color w:val="231F20"/>
          <w:spacing w:val="-9"/>
        </w:rPr>
        <w:t> </w:t>
      </w:r>
      <w:r>
        <w:rPr>
          <w:color w:val="231F20"/>
        </w:rPr>
        <w:t>y</w:t>
      </w:r>
      <w:r>
        <w:rPr>
          <w:color w:val="231F20"/>
          <w:spacing w:val="-9"/>
        </w:rPr>
        <w:t> </w:t>
      </w:r>
      <w:r>
        <w:rPr>
          <w:color w:val="231F20"/>
        </w:rPr>
        <w:t>se genera</w:t>
      </w:r>
      <w:r>
        <w:rPr>
          <w:color w:val="231F20"/>
          <w:spacing w:val="-5"/>
        </w:rPr>
        <w:t> </w:t>
      </w:r>
      <w:r>
        <w:rPr>
          <w:color w:val="231F20"/>
        </w:rPr>
        <w:t>el</w:t>
      </w:r>
      <w:r>
        <w:rPr>
          <w:color w:val="231F20"/>
          <w:spacing w:val="-5"/>
        </w:rPr>
        <w:t> </w:t>
      </w:r>
      <w:r>
        <w:rPr>
          <w:color w:val="231F20"/>
        </w:rPr>
        <w:t>10%</w:t>
      </w:r>
      <w:r>
        <w:rPr>
          <w:color w:val="231F20"/>
          <w:spacing w:val="-5"/>
        </w:rPr>
        <w:t> </w:t>
      </w:r>
      <w:r>
        <w:rPr>
          <w:color w:val="231F20"/>
        </w:rPr>
        <w:t>del</w:t>
      </w:r>
      <w:r>
        <w:rPr>
          <w:color w:val="231F20"/>
          <w:spacing w:val="-5"/>
        </w:rPr>
        <w:t> </w:t>
      </w:r>
      <w:r>
        <w:rPr>
          <w:color w:val="231F20"/>
        </w:rPr>
        <w:t>valor</w:t>
      </w:r>
      <w:r>
        <w:rPr>
          <w:color w:val="231F20"/>
          <w:spacing w:val="-5"/>
        </w:rPr>
        <w:t> </w:t>
      </w:r>
      <w:r>
        <w:rPr>
          <w:color w:val="231F20"/>
        </w:rPr>
        <w:t>agregado</w:t>
      </w:r>
      <w:r>
        <w:rPr>
          <w:color w:val="231F20"/>
          <w:spacing w:val="-5"/>
        </w:rPr>
        <w:t> </w:t>
      </w:r>
      <w:r>
        <w:rPr>
          <w:color w:val="231F20"/>
        </w:rPr>
        <w:t>que</w:t>
      </w:r>
      <w:r>
        <w:rPr>
          <w:color w:val="231F20"/>
          <w:spacing w:val="-5"/>
        </w:rPr>
        <w:t> </w:t>
      </w:r>
      <w:r>
        <w:rPr>
          <w:color w:val="231F20"/>
        </w:rPr>
        <w:t>produce</w:t>
      </w:r>
      <w:r>
        <w:rPr>
          <w:color w:val="231F20"/>
          <w:spacing w:val="-5"/>
        </w:rPr>
        <w:t> </w:t>
      </w:r>
      <w:r>
        <w:rPr>
          <w:color w:val="231F20"/>
        </w:rPr>
        <w:t>la</w:t>
      </w:r>
      <w:r>
        <w:rPr>
          <w:color w:val="231F20"/>
          <w:spacing w:val="-5"/>
        </w:rPr>
        <w:t> </w:t>
      </w:r>
      <w:r>
        <w:rPr>
          <w:color w:val="231F20"/>
        </w:rPr>
        <w:t>industria</w:t>
      </w:r>
      <w:r>
        <w:rPr>
          <w:color w:val="231F20"/>
          <w:spacing w:val="-5"/>
        </w:rPr>
        <w:t> </w:t>
      </w:r>
      <w:r>
        <w:rPr>
          <w:color w:val="231F20"/>
        </w:rPr>
        <w:t>automotriz</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nacional (véase cuadro</w:t>
      </w:r>
      <w:r>
        <w:rPr>
          <w:color w:val="231F20"/>
          <w:spacing w:val="-23"/>
        </w:rPr>
        <w:t> </w:t>
      </w:r>
      <w:r>
        <w:rPr>
          <w:color w:val="231F20"/>
          <w:spacing w:val="-6"/>
        </w:rPr>
        <w:t>IV.2).</w:t>
      </w:r>
    </w:p>
    <w:p>
      <w:pPr>
        <w:spacing w:after="0" w:line="278" w:lineRule="auto"/>
        <w:jc w:val="both"/>
        <w:sectPr>
          <w:headerReference w:type="even" r:id="rId211"/>
          <w:pgSz w:w="9640" w:h="13040"/>
          <w:pgMar w:header="581" w:footer="654" w:top="780" w:bottom="840" w:left="420" w:right="1200"/>
        </w:sectPr>
      </w:pPr>
    </w:p>
    <w:p>
      <w:pPr>
        <w:spacing w:line="217" w:lineRule="exact" w:before="23"/>
        <w:ind w:left="345" w:right="932"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345" w:right="933" w:firstLine="0"/>
        <w:jc w:val="center"/>
        <w:rPr>
          <w:rFonts w:ascii="Palatino Linotype" w:hAnsi="Palatino Linotype"/>
          <w:sz w:val="16"/>
        </w:rPr>
      </w:pPr>
      <w:r>
        <w:rPr>
          <w:rFonts w:ascii="Palatino Linotype" w:hAnsi="Palatino Linotype"/>
          <w:color w:val="231F20"/>
          <w:w w:val="105"/>
          <w:sz w:val="16"/>
        </w:rPr>
        <w:t>Importancia, desempeño y pérdida de dinamismo de un sector estratégico</w:t>
      </w:r>
    </w:p>
    <w:p>
      <w:pPr>
        <w:pStyle w:val="BodyText"/>
        <w:rPr>
          <w:rFonts w:ascii="Palatino Linotype"/>
          <w:sz w:val="16"/>
        </w:rPr>
      </w:pPr>
    </w:p>
    <w:p>
      <w:pPr>
        <w:pStyle w:val="BodyText"/>
        <w:spacing w:before="1"/>
        <w:rPr>
          <w:rFonts w:ascii="Palatino Linotype"/>
          <w:sz w:val="14"/>
        </w:rPr>
      </w:pPr>
    </w:p>
    <w:p>
      <w:pPr>
        <w:pStyle w:val="Heading4"/>
        <w:ind w:left="345" w:right="932"/>
      </w:pPr>
      <w:r>
        <w:rPr>
          <w:color w:val="231F20"/>
          <w:w w:val="95"/>
        </w:rPr>
        <w:t>Cuadro IV.1</w:t>
      </w:r>
    </w:p>
    <w:p>
      <w:pPr>
        <w:spacing w:line="282" w:lineRule="exact" w:before="0"/>
        <w:ind w:left="345" w:right="932" w:firstLine="0"/>
        <w:jc w:val="center"/>
        <w:rPr>
          <w:rFonts w:ascii="Palatino Linotype" w:hAnsi="Palatino Linotype"/>
          <w:b/>
          <w:sz w:val="21"/>
        </w:rPr>
      </w:pPr>
      <w:r>
        <w:rPr>
          <w:rFonts w:ascii="Palatino Linotype" w:hAnsi="Palatino Linotype"/>
          <w:b/>
          <w:color w:val="231F20"/>
          <w:w w:val="90"/>
          <w:sz w:val="21"/>
        </w:rPr>
        <w:t>Plantas ensambladoras establecidas en el Estado de México</w:t>
      </w:r>
    </w:p>
    <w:p>
      <w:pPr>
        <w:pStyle w:val="BodyText"/>
        <w:spacing w:before="13"/>
        <w:rPr>
          <w:rFonts w:ascii="Palatino Linotype"/>
          <w:b/>
          <w:sz w:val="10"/>
        </w:rPr>
      </w:pPr>
      <w:r>
        <w:rPr/>
        <w:pict>
          <v:group style="position:absolute;margin-left:64.946899pt;margin-top:9.364607pt;width:360.5pt;height:.5pt;mso-position-horizontal-relative:page;mso-position-vertical-relative:paragraph;z-index:9352;mso-wrap-distance-left:0;mso-wrap-distance-right:0" coordorigin="1299,187" coordsize="7210,10">
            <v:line style="position:absolute" from="1304,192" to="2268,192" stroked="true" strokeweight=".5pt" strokecolor="#231f20"/>
            <v:line style="position:absolute" from="2268,192" to="3557,192" stroked="true" strokeweight=".5pt" strokecolor="#231f20"/>
            <v:line style="position:absolute" from="3557,192" to="8504,192" stroked="true" strokeweight=".5pt" strokecolor="#231f20"/>
            <w10:wrap type="topAndBottom"/>
          </v:group>
        </w:pict>
      </w:r>
    </w:p>
    <w:p>
      <w:pPr>
        <w:tabs>
          <w:tab w:pos="1454" w:val="left" w:leader="none"/>
          <w:tab w:pos="4291" w:val="left" w:leader="none"/>
        </w:tabs>
        <w:spacing w:before="2" w:after="36"/>
        <w:ind w:left="278" w:right="904" w:firstLine="0"/>
        <w:jc w:val="left"/>
        <w:rPr>
          <w:rFonts w:ascii="Palatino Linotype" w:hAnsi="Palatino Linotype"/>
          <w:b/>
          <w:sz w:val="18"/>
        </w:rPr>
      </w:pPr>
      <w:r>
        <w:rPr>
          <w:rFonts w:ascii="Palatino Linotype" w:hAnsi="Palatino Linotype"/>
          <w:b/>
          <w:color w:val="010202"/>
          <w:sz w:val="18"/>
        </w:rPr>
        <w:t>Empresa</w:t>
        <w:tab/>
        <w:t>Plantas</w:t>
        <w:tab/>
        <w:t>Características</w:t>
      </w:r>
    </w:p>
    <w:p>
      <w:pPr>
        <w:pStyle w:val="BodyText"/>
        <w:spacing w:line="20" w:lineRule="exact"/>
        <w:ind w:left="118"/>
        <w:rPr>
          <w:rFonts w:ascii="Palatino Linotype"/>
          <w:sz w:val="2"/>
        </w:rPr>
      </w:pPr>
      <w:r>
        <w:rPr>
          <w:rFonts w:ascii="Palatino Linotype"/>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rFonts w:ascii="Palatino Linotype"/>
          <w:sz w:val="2"/>
        </w:rPr>
      </w:r>
    </w:p>
    <w:p>
      <w:pPr>
        <w:spacing w:before="32"/>
        <w:ind w:left="2489" w:right="904" w:firstLine="0"/>
        <w:jc w:val="left"/>
        <w:rPr>
          <w:sz w:val="18"/>
        </w:rPr>
      </w:pPr>
      <w:r>
        <w:rPr>
          <w:color w:val="010202"/>
          <w:sz w:val="18"/>
        </w:rPr>
        <w:t>Consta de dos plantas: ensamble y operaciones de exportación.</w:t>
      </w:r>
    </w:p>
    <w:p>
      <w:pPr>
        <w:pStyle w:val="BodyText"/>
        <w:spacing w:before="10"/>
        <w:rPr>
          <w:sz w:val="10"/>
        </w:rPr>
      </w:pPr>
    </w:p>
    <w:p>
      <w:pPr>
        <w:spacing w:after="0"/>
        <w:rPr>
          <w:sz w:val="10"/>
        </w:rPr>
        <w:sectPr>
          <w:headerReference w:type="default" r:id="rId212"/>
          <w:pgSz w:w="9640" w:h="13040"/>
          <w:pgMar w:header="0" w:footer="654" w:top="420" w:bottom="840" w:left="1180" w:right="420"/>
        </w:sectPr>
      </w:pPr>
    </w:p>
    <w:p>
      <w:pPr>
        <w:pStyle w:val="BodyText"/>
        <w:rPr>
          <w:sz w:val="18"/>
        </w:rPr>
      </w:pPr>
    </w:p>
    <w:p>
      <w:pPr>
        <w:pStyle w:val="BodyText"/>
        <w:rPr>
          <w:sz w:val="18"/>
        </w:rPr>
      </w:pPr>
    </w:p>
    <w:p>
      <w:pPr>
        <w:pStyle w:val="BodyText"/>
        <w:rPr>
          <w:sz w:val="18"/>
        </w:rPr>
      </w:pPr>
    </w:p>
    <w:p>
      <w:pPr>
        <w:pStyle w:val="BodyText"/>
        <w:spacing w:before="1"/>
      </w:pPr>
    </w:p>
    <w:p>
      <w:pPr>
        <w:tabs>
          <w:tab w:pos="1351" w:val="left" w:leader="none"/>
        </w:tabs>
        <w:spacing w:before="0"/>
        <w:ind w:left="237" w:right="0" w:firstLine="0"/>
        <w:jc w:val="left"/>
        <w:rPr>
          <w:sz w:val="18"/>
        </w:rPr>
      </w:pPr>
      <w:r>
        <w:rPr>
          <w:rFonts w:ascii="Palatino Linotype" w:hAnsi="Palatino Linotype"/>
          <w:b/>
          <w:color w:val="010202"/>
          <w:sz w:val="18"/>
        </w:rPr>
        <w:t>Ford</w:t>
        <w:tab/>
      </w:r>
      <w:r>
        <w:rPr>
          <w:color w:val="010202"/>
          <w:spacing w:val="-1"/>
          <w:sz w:val="18"/>
        </w:rPr>
        <w:t>Cuautitlán</w:t>
      </w:r>
    </w:p>
    <w:p>
      <w:pPr>
        <w:spacing w:line="198" w:lineRule="exact" w:before="74"/>
        <w:ind w:left="237" w:right="998" w:firstLine="0"/>
        <w:jc w:val="left"/>
        <w:rPr>
          <w:sz w:val="18"/>
        </w:rPr>
      </w:pPr>
      <w:r>
        <w:rPr/>
        <w:br w:type="column"/>
      </w:r>
      <w:r>
        <w:rPr>
          <w:color w:val="010202"/>
          <w:sz w:val="18"/>
        </w:rPr>
        <w:t>En la planta de ensamble se integran todos los componentes del</w:t>
      </w:r>
      <w:r>
        <w:rPr>
          <w:color w:val="010202"/>
          <w:spacing w:val="-5"/>
          <w:sz w:val="18"/>
        </w:rPr>
        <w:t> </w:t>
      </w:r>
      <w:r>
        <w:rPr>
          <w:color w:val="010202"/>
          <w:sz w:val="18"/>
        </w:rPr>
        <w:t>vehículo</w:t>
      </w:r>
      <w:r>
        <w:rPr>
          <w:color w:val="010202"/>
          <w:spacing w:val="-5"/>
          <w:sz w:val="18"/>
        </w:rPr>
        <w:t> </w:t>
      </w:r>
      <w:r>
        <w:rPr>
          <w:color w:val="010202"/>
          <w:sz w:val="18"/>
        </w:rPr>
        <w:t>utilizando</w:t>
      </w:r>
      <w:r>
        <w:rPr>
          <w:color w:val="010202"/>
          <w:spacing w:val="-5"/>
          <w:sz w:val="18"/>
        </w:rPr>
        <w:t> </w:t>
      </w:r>
      <w:r>
        <w:rPr>
          <w:color w:val="010202"/>
          <w:sz w:val="18"/>
        </w:rPr>
        <w:t>un</w:t>
      </w:r>
      <w:r>
        <w:rPr>
          <w:color w:val="010202"/>
          <w:spacing w:val="-5"/>
          <w:sz w:val="18"/>
        </w:rPr>
        <w:t> </w:t>
      </w:r>
      <w:r>
        <w:rPr>
          <w:color w:val="010202"/>
          <w:sz w:val="18"/>
        </w:rPr>
        <w:t>proceso</w:t>
      </w:r>
      <w:r>
        <w:rPr>
          <w:color w:val="010202"/>
          <w:spacing w:val="-5"/>
          <w:sz w:val="18"/>
        </w:rPr>
        <w:t> </w:t>
      </w:r>
      <w:r>
        <w:rPr>
          <w:color w:val="010202"/>
          <w:sz w:val="18"/>
        </w:rPr>
        <w:t>similar</w:t>
      </w:r>
      <w:r>
        <w:rPr>
          <w:color w:val="010202"/>
          <w:spacing w:val="-5"/>
          <w:sz w:val="18"/>
        </w:rPr>
        <w:t> </w:t>
      </w:r>
      <w:r>
        <w:rPr>
          <w:color w:val="010202"/>
          <w:sz w:val="18"/>
        </w:rPr>
        <w:t>para</w:t>
      </w:r>
      <w:r>
        <w:rPr>
          <w:color w:val="010202"/>
          <w:spacing w:val="-5"/>
          <w:sz w:val="18"/>
        </w:rPr>
        <w:t> </w:t>
      </w:r>
      <w:r>
        <w:rPr>
          <w:color w:val="010202"/>
          <w:sz w:val="18"/>
        </w:rPr>
        <w:t>cada</w:t>
      </w:r>
      <w:r>
        <w:rPr>
          <w:color w:val="010202"/>
          <w:spacing w:val="-5"/>
          <w:sz w:val="18"/>
        </w:rPr>
        <w:t> </w:t>
      </w:r>
      <w:r>
        <w:rPr>
          <w:color w:val="010202"/>
          <w:sz w:val="18"/>
        </w:rPr>
        <w:t>modelo;</w:t>
      </w:r>
      <w:r>
        <w:rPr>
          <w:color w:val="010202"/>
          <w:spacing w:val="-5"/>
          <w:sz w:val="18"/>
        </w:rPr>
        <w:t> </w:t>
      </w:r>
      <w:r>
        <w:rPr>
          <w:color w:val="010202"/>
          <w:sz w:val="18"/>
        </w:rPr>
        <w:t>la diferencia radica básicamente en el material que se ensambla, permitiendo la economía de</w:t>
      </w:r>
      <w:r>
        <w:rPr>
          <w:color w:val="010202"/>
          <w:spacing w:val="-15"/>
          <w:sz w:val="18"/>
        </w:rPr>
        <w:t> </w:t>
      </w:r>
      <w:r>
        <w:rPr>
          <w:color w:val="010202"/>
          <w:sz w:val="18"/>
        </w:rPr>
        <w:t>escala.</w:t>
      </w:r>
    </w:p>
    <w:p>
      <w:pPr>
        <w:spacing w:before="109"/>
        <w:ind w:left="237" w:right="832" w:firstLine="0"/>
        <w:jc w:val="left"/>
        <w:rPr>
          <w:sz w:val="18"/>
        </w:rPr>
      </w:pPr>
      <w:r>
        <w:rPr>
          <w:color w:val="010202"/>
          <w:sz w:val="18"/>
        </w:rPr>
        <w:t>Pista de pruebas.</w:t>
      </w:r>
    </w:p>
    <w:p>
      <w:pPr>
        <w:spacing w:line="198" w:lineRule="exact" w:before="119"/>
        <w:ind w:left="237" w:right="832" w:firstLine="0"/>
        <w:jc w:val="left"/>
        <w:rPr>
          <w:sz w:val="18"/>
        </w:rPr>
      </w:pPr>
      <w:r>
        <w:rPr>
          <w:color w:val="231F20"/>
          <w:sz w:val="18"/>
        </w:rPr>
        <w:t>Se </w:t>
      </w:r>
      <w:r>
        <w:rPr>
          <w:color w:val="231F20"/>
          <w:spacing w:val="-3"/>
          <w:sz w:val="18"/>
        </w:rPr>
        <w:t>produce </w:t>
      </w:r>
      <w:r>
        <w:rPr>
          <w:color w:val="231F20"/>
          <w:sz w:val="18"/>
        </w:rPr>
        <w:t>el </w:t>
      </w:r>
      <w:r>
        <w:rPr>
          <w:color w:val="231F20"/>
          <w:spacing w:val="-4"/>
          <w:sz w:val="18"/>
        </w:rPr>
        <w:t>Ford </w:t>
      </w:r>
      <w:r>
        <w:rPr>
          <w:color w:val="231F20"/>
          <w:sz w:val="18"/>
        </w:rPr>
        <w:t>Fiesta sedán y </w:t>
      </w:r>
      <w:r>
        <w:rPr>
          <w:color w:val="231F20"/>
          <w:spacing w:val="-3"/>
          <w:sz w:val="18"/>
        </w:rPr>
        <w:t>hatchback </w:t>
      </w:r>
      <w:r>
        <w:rPr>
          <w:color w:val="231F20"/>
          <w:sz w:val="18"/>
        </w:rPr>
        <w:t>para el </w:t>
      </w:r>
      <w:r>
        <w:rPr>
          <w:color w:val="231F20"/>
          <w:spacing w:val="-3"/>
          <w:sz w:val="18"/>
        </w:rPr>
        <w:t>mercado nacional </w:t>
      </w:r>
      <w:r>
        <w:rPr>
          <w:color w:val="231F20"/>
          <w:sz w:val="18"/>
        </w:rPr>
        <w:t>y se exporta a Canadá, </w:t>
      </w:r>
      <w:r>
        <w:rPr>
          <w:color w:val="231F20"/>
          <w:spacing w:val="-6"/>
          <w:sz w:val="18"/>
        </w:rPr>
        <w:t>EU, </w:t>
      </w:r>
      <w:r>
        <w:rPr>
          <w:color w:val="231F20"/>
          <w:spacing w:val="-3"/>
          <w:sz w:val="18"/>
        </w:rPr>
        <w:t>Colombia, Argentina </w:t>
      </w:r>
      <w:r>
        <w:rPr>
          <w:color w:val="231F20"/>
          <w:sz w:val="18"/>
        </w:rPr>
        <w:t>y </w:t>
      </w:r>
      <w:r>
        <w:rPr>
          <w:color w:val="231F20"/>
          <w:spacing w:val="-3"/>
          <w:sz w:val="18"/>
        </w:rPr>
        <w:t>Brasil.</w:t>
      </w:r>
    </w:p>
    <w:p>
      <w:pPr>
        <w:spacing w:line="198" w:lineRule="exact" w:before="119"/>
        <w:ind w:left="237" w:right="821" w:firstLine="0"/>
        <w:jc w:val="left"/>
        <w:rPr>
          <w:sz w:val="18"/>
        </w:rPr>
      </w:pPr>
      <w:r>
        <w:rPr>
          <w:color w:val="231F20"/>
          <w:sz w:val="18"/>
        </w:rPr>
        <w:t>Cuenta con planta de tratamiento de agua con sistema de ósmosis inversa.</w:t>
      </w:r>
    </w:p>
    <w:p>
      <w:pPr>
        <w:spacing w:after="0" w:line="198" w:lineRule="exact"/>
        <w:jc w:val="left"/>
        <w:rPr>
          <w:sz w:val="18"/>
        </w:rPr>
        <w:sectPr>
          <w:type w:val="continuous"/>
          <w:pgSz w:w="9640" w:h="13040"/>
          <w:pgMar w:top="1200" w:bottom="280" w:left="1180" w:right="420"/>
          <w:cols w:num="2" w:equalWidth="0">
            <w:col w:w="2114" w:space="139"/>
            <w:col w:w="5787"/>
          </w:cols>
        </w:sectPr>
      </w:pPr>
    </w:p>
    <w:p>
      <w:pPr>
        <w:pStyle w:val="BodyText"/>
        <w:spacing w:before="10"/>
        <w:rPr>
          <w:sz w:val="11"/>
        </w:rPr>
      </w:pPr>
    </w:p>
    <w:p>
      <w:pPr>
        <w:pStyle w:val="BodyText"/>
        <w:spacing w:line="20" w:lineRule="exact"/>
        <w:ind w:left="118"/>
        <w:rPr>
          <w:sz w:val="2"/>
        </w:rPr>
      </w:pPr>
      <w:r>
        <w:rPr>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sz w:val="2"/>
        </w:rPr>
      </w:r>
    </w:p>
    <w:p>
      <w:pPr>
        <w:pStyle w:val="BodyText"/>
        <w:spacing w:before="1"/>
        <w:rPr>
          <w:sz w:val="6"/>
        </w:rPr>
      </w:pPr>
    </w:p>
    <w:p>
      <w:pPr>
        <w:spacing w:after="0"/>
        <w:rPr>
          <w:sz w:val="6"/>
        </w:rPr>
        <w:sectPr>
          <w:type w:val="continuous"/>
          <w:pgSz w:w="9640" w:h="13040"/>
          <w:pgMar w:top="1200" w:bottom="280" w:left="1180" w:right="420"/>
        </w:sectPr>
      </w:pPr>
    </w:p>
    <w:p>
      <w:pPr>
        <w:pStyle w:val="BodyText"/>
        <w:rPr>
          <w:sz w:val="18"/>
        </w:rPr>
      </w:pPr>
    </w:p>
    <w:p>
      <w:pPr>
        <w:pStyle w:val="BodyText"/>
        <w:rPr>
          <w:sz w:val="15"/>
        </w:rPr>
      </w:pPr>
    </w:p>
    <w:p>
      <w:pPr>
        <w:spacing w:line="181" w:lineRule="exact" w:before="0"/>
        <w:ind w:left="237" w:right="0" w:firstLine="0"/>
        <w:jc w:val="left"/>
        <w:rPr>
          <w:rFonts w:ascii="Palatino Linotype"/>
          <w:b/>
          <w:sz w:val="18"/>
        </w:rPr>
      </w:pPr>
      <w:r>
        <w:rPr>
          <w:rFonts w:ascii="Palatino Linotype"/>
          <w:b/>
          <w:color w:val="231F20"/>
          <w:sz w:val="18"/>
        </w:rPr>
        <w:t>General</w:t>
      </w:r>
    </w:p>
    <w:p>
      <w:pPr>
        <w:tabs>
          <w:tab w:pos="1492" w:val="left" w:leader="none"/>
        </w:tabs>
        <w:spacing w:line="260" w:lineRule="exact" w:before="0"/>
        <w:ind w:left="237" w:right="0" w:firstLine="0"/>
        <w:jc w:val="left"/>
        <w:rPr>
          <w:sz w:val="18"/>
        </w:rPr>
      </w:pPr>
      <w:r>
        <w:rPr>
          <w:rFonts w:ascii="Palatino Linotype"/>
          <w:b/>
          <w:color w:val="231F20"/>
          <w:position w:val="-9"/>
          <w:sz w:val="18"/>
        </w:rPr>
        <w:t>Motors</w:t>
        <w:tab/>
      </w:r>
      <w:r>
        <w:rPr>
          <w:color w:val="231F20"/>
          <w:spacing w:val="-4"/>
          <w:sz w:val="18"/>
        </w:rPr>
        <w:t>Toluca</w:t>
      </w:r>
    </w:p>
    <w:p>
      <w:pPr>
        <w:spacing w:line="367" w:lineRule="auto" w:before="24"/>
        <w:ind w:left="237" w:right="2351" w:firstLine="0"/>
        <w:jc w:val="left"/>
        <w:rPr>
          <w:sz w:val="18"/>
        </w:rPr>
      </w:pPr>
      <w:r>
        <w:rPr/>
        <w:br w:type="column"/>
      </w:r>
      <w:r>
        <w:rPr>
          <w:color w:val="010202"/>
          <w:sz w:val="18"/>
        </w:rPr>
        <w:t>Planta de fundición mecanizado. Fabricación de motores 1, L4, L6 y V8. Modelos Kodiak y camiones pesados </w:t>
      </w:r>
      <w:r>
        <w:rPr>
          <w:color w:val="010202"/>
          <w:spacing w:val="-5"/>
          <w:sz w:val="18"/>
        </w:rPr>
        <w:t>Volvo.</w:t>
      </w:r>
    </w:p>
    <w:p>
      <w:pPr>
        <w:spacing w:before="4"/>
        <w:ind w:left="237" w:right="832" w:firstLine="0"/>
        <w:jc w:val="left"/>
        <w:rPr>
          <w:sz w:val="18"/>
        </w:rPr>
      </w:pPr>
      <w:r>
        <w:rPr>
          <w:color w:val="010202"/>
          <w:sz w:val="18"/>
        </w:rPr>
        <w:t>Centro de Ingeniería y Space Parts Operations (SPO).</w:t>
      </w:r>
    </w:p>
    <w:p>
      <w:pPr>
        <w:spacing w:after="0"/>
        <w:jc w:val="left"/>
        <w:rPr>
          <w:sz w:val="18"/>
        </w:rPr>
        <w:sectPr>
          <w:type w:val="continuous"/>
          <w:pgSz w:w="9640" w:h="13040"/>
          <w:pgMar w:top="1200" w:bottom="280" w:left="1180" w:right="420"/>
          <w:cols w:num="2" w:equalWidth="0">
            <w:col w:w="1972" w:space="281"/>
            <w:col w:w="5787"/>
          </w:cols>
        </w:sectPr>
      </w:pPr>
    </w:p>
    <w:p>
      <w:pPr>
        <w:pStyle w:val="BodyText"/>
        <w:spacing w:before="10" w:after="1"/>
        <w:rPr>
          <w:sz w:val="8"/>
        </w:rPr>
      </w:pPr>
    </w:p>
    <w:p>
      <w:pPr>
        <w:pStyle w:val="BodyText"/>
        <w:spacing w:line="20" w:lineRule="exact"/>
        <w:ind w:left="118"/>
        <w:rPr>
          <w:sz w:val="2"/>
        </w:rPr>
      </w:pPr>
      <w:r>
        <w:rPr>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sz w:val="2"/>
        </w:rPr>
      </w:r>
    </w:p>
    <w:p>
      <w:pPr>
        <w:pStyle w:val="BodyText"/>
        <w:spacing w:before="1"/>
        <w:rPr>
          <w:sz w:val="6"/>
        </w:rPr>
      </w:pPr>
    </w:p>
    <w:p>
      <w:pPr>
        <w:spacing w:after="0"/>
        <w:rPr>
          <w:sz w:val="6"/>
        </w:rPr>
        <w:sectPr>
          <w:type w:val="continuous"/>
          <w:pgSz w:w="9640" w:h="13040"/>
          <w:pgMar w:top="1200" w:bottom="280" w:left="1180" w:right="420"/>
        </w:sectPr>
      </w:pPr>
    </w:p>
    <w:p>
      <w:pPr>
        <w:pStyle w:val="BodyText"/>
        <w:rPr>
          <w:sz w:val="18"/>
        </w:rPr>
      </w:pPr>
    </w:p>
    <w:p>
      <w:pPr>
        <w:pStyle w:val="BodyText"/>
        <w:rPr>
          <w:sz w:val="18"/>
        </w:rPr>
      </w:pPr>
    </w:p>
    <w:p>
      <w:pPr>
        <w:pStyle w:val="BodyText"/>
        <w:spacing w:before="3"/>
        <w:rPr>
          <w:sz w:val="26"/>
        </w:rPr>
      </w:pPr>
    </w:p>
    <w:p>
      <w:pPr>
        <w:tabs>
          <w:tab w:pos="1424" w:val="left" w:leader="none"/>
        </w:tabs>
        <w:spacing w:line="117" w:lineRule="auto" w:before="0"/>
        <w:ind w:left="1222" w:right="0" w:hanging="985"/>
        <w:jc w:val="left"/>
        <w:rPr>
          <w:sz w:val="18"/>
        </w:rPr>
      </w:pPr>
      <w:r>
        <w:rPr>
          <w:rFonts w:ascii="Palatino Linotype"/>
          <w:b/>
          <w:color w:val="231F20"/>
          <w:position w:val="-9"/>
          <w:sz w:val="18"/>
        </w:rPr>
        <w:t>Daimler</w:t>
        <w:tab/>
        <w:tab/>
      </w:r>
      <w:r>
        <w:rPr>
          <w:color w:val="231F20"/>
          <w:sz w:val="18"/>
        </w:rPr>
        <w:t>Santiago </w:t>
      </w:r>
      <w:r>
        <w:rPr>
          <w:color w:val="231F20"/>
          <w:spacing w:val="-1"/>
          <w:sz w:val="18"/>
        </w:rPr>
        <w:t>Tianguistenco</w:t>
      </w:r>
    </w:p>
    <w:p>
      <w:pPr>
        <w:spacing w:line="367" w:lineRule="auto" w:before="45"/>
        <w:ind w:left="207" w:right="421" w:firstLine="0"/>
        <w:jc w:val="left"/>
        <w:rPr>
          <w:sz w:val="18"/>
        </w:rPr>
      </w:pPr>
      <w:r>
        <w:rPr/>
        <w:br w:type="column"/>
      </w:r>
      <w:r>
        <w:rPr>
          <w:color w:val="010202"/>
          <w:sz w:val="18"/>
        </w:rPr>
        <w:t>Fabrica camiones y tractocamiones de la marca Freightliner. Fabricación de motores, camiones, tractocamiones y chasises.</w:t>
      </w:r>
    </w:p>
    <w:p>
      <w:pPr>
        <w:spacing w:line="198" w:lineRule="exact" w:before="14"/>
        <w:ind w:left="207" w:right="421" w:firstLine="0"/>
        <w:jc w:val="left"/>
        <w:rPr>
          <w:sz w:val="18"/>
        </w:rPr>
      </w:pPr>
      <w:r>
        <w:rPr>
          <w:color w:val="010202"/>
          <w:spacing w:val="-3"/>
          <w:sz w:val="18"/>
        </w:rPr>
        <w:t>Motores</w:t>
      </w:r>
      <w:r>
        <w:rPr>
          <w:color w:val="010202"/>
          <w:spacing w:val="-10"/>
          <w:sz w:val="18"/>
        </w:rPr>
        <w:t> </w:t>
      </w:r>
      <w:r>
        <w:rPr>
          <w:color w:val="010202"/>
          <w:sz w:val="18"/>
        </w:rPr>
        <w:t>disel</w:t>
      </w:r>
      <w:r>
        <w:rPr>
          <w:color w:val="010202"/>
          <w:spacing w:val="-10"/>
          <w:sz w:val="18"/>
        </w:rPr>
        <w:t> </w:t>
      </w:r>
      <w:r>
        <w:rPr>
          <w:color w:val="010202"/>
          <w:sz w:val="18"/>
        </w:rPr>
        <w:t>OM</w:t>
      </w:r>
      <w:r>
        <w:rPr>
          <w:color w:val="010202"/>
          <w:spacing w:val="-10"/>
          <w:sz w:val="18"/>
        </w:rPr>
        <w:t> </w:t>
      </w:r>
      <w:r>
        <w:rPr>
          <w:color w:val="010202"/>
          <w:sz w:val="18"/>
        </w:rPr>
        <w:t>364</w:t>
      </w:r>
      <w:r>
        <w:rPr>
          <w:color w:val="010202"/>
          <w:spacing w:val="-10"/>
          <w:sz w:val="18"/>
        </w:rPr>
        <w:t> </w:t>
      </w:r>
      <w:r>
        <w:rPr>
          <w:color w:val="010202"/>
          <w:sz w:val="18"/>
        </w:rPr>
        <w:t>LA</w:t>
      </w:r>
      <w:r>
        <w:rPr>
          <w:color w:val="010202"/>
          <w:spacing w:val="-10"/>
          <w:sz w:val="18"/>
        </w:rPr>
        <w:t> </w:t>
      </w:r>
      <w:r>
        <w:rPr>
          <w:color w:val="010202"/>
          <w:sz w:val="18"/>
        </w:rPr>
        <w:t>y</w:t>
      </w:r>
      <w:r>
        <w:rPr>
          <w:color w:val="010202"/>
          <w:spacing w:val="-10"/>
          <w:sz w:val="18"/>
        </w:rPr>
        <w:t> </w:t>
      </w:r>
      <w:r>
        <w:rPr>
          <w:color w:val="010202"/>
          <w:sz w:val="18"/>
        </w:rPr>
        <w:t>OM</w:t>
      </w:r>
      <w:r>
        <w:rPr>
          <w:color w:val="010202"/>
          <w:spacing w:val="-10"/>
          <w:sz w:val="18"/>
        </w:rPr>
        <w:t> </w:t>
      </w:r>
      <w:r>
        <w:rPr>
          <w:color w:val="010202"/>
          <w:sz w:val="18"/>
        </w:rPr>
        <w:t>366,</w:t>
      </w:r>
      <w:r>
        <w:rPr>
          <w:color w:val="010202"/>
          <w:spacing w:val="-10"/>
          <w:sz w:val="18"/>
        </w:rPr>
        <w:t> </w:t>
      </w:r>
      <w:r>
        <w:rPr>
          <w:color w:val="010202"/>
          <w:sz w:val="18"/>
        </w:rPr>
        <w:t>camiones</w:t>
      </w:r>
      <w:r>
        <w:rPr>
          <w:color w:val="010202"/>
          <w:spacing w:val="-10"/>
          <w:sz w:val="18"/>
        </w:rPr>
        <w:t> </w:t>
      </w:r>
      <w:r>
        <w:rPr>
          <w:color w:val="010202"/>
          <w:sz w:val="18"/>
        </w:rPr>
        <w:t>de</w:t>
      </w:r>
      <w:r>
        <w:rPr>
          <w:color w:val="010202"/>
          <w:spacing w:val="-10"/>
          <w:sz w:val="18"/>
        </w:rPr>
        <w:t> </w:t>
      </w:r>
      <w:r>
        <w:rPr>
          <w:color w:val="010202"/>
          <w:sz w:val="18"/>
        </w:rPr>
        <w:t>carga</w:t>
      </w:r>
      <w:r>
        <w:rPr>
          <w:color w:val="010202"/>
          <w:spacing w:val="-10"/>
          <w:sz w:val="18"/>
        </w:rPr>
        <w:t> </w:t>
      </w:r>
      <w:r>
        <w:rPr>
          <w:color w:val="010202"/>
          <w:sz w:val="18"/>
        </w:rPr>
        <w:t>de</w:t>
      </w:r>
      <w:r>
        <w:rPr>
          <w:color w:val="010202"/>
          <w:spacing w:val="-10"/>
          <w:sz w:val="18"/>
        </w:rPr>
        <w:t> </w:t>
      </w:r>
      <w:r>
        <w:rPr>
          <w:color w:val="010202"/>
          <w:sz w:val="18"/>
        </w:rPr>
        <w:t>9</w:t>
      </w:r>
      <w:r>
        <w:rPr>
          <w:color w:val="010202"/>
          <w:spacing w:val="-10"/>
          <w:sz w:val="18"/>
        </w:rPr>
        <w:t> </w:t>
      </w:r>
      <w:r>
        <w:rPr>
          <w:color w:val="010202"/>
          <w:sz w:val="18"/>
        </w:rPr>
        <w:t>a</w:t>
      </w:r>
      <w:r>
        <w:rPr>
          <w:color w:val="010202"/>
          <w:spacing w:val="-10"/>
          <w:sz w:val="18"/>
        </w:rPr>
        <w:t> </w:t>
      </w:r>
      <w:r>
        <w:rPr>
          <w:color w:val="010202"/>
          <w:sz w:val="18"/>
        </w:rPr>
        <w:t>22 toneladas, tractocamiones Freightliner FLD 120 y 112, corazas y boxers</w:t>
      </w:r>
      <w:r>
        <w:rPr>
          <w:color w:val="010202"/>
          <w:spacing w:val="-11"/>
          <w:sz w:val="18"/>
        </w:rPr>
        <w:t> </w:t>
      </w:r>
      <w:r>
        <w:rPr>
          <w:color w:val="010202"/>
          <w:sz w:val="18"/>
        </w:rPr>
        <w:t>MBO</w:t>
      </w:r>
      <w:r>
        <w:rPr>
          <w:color w:val="010202"/>
          <w:spacing w:val="-11"/>
          <w:sz w:val="18"/>
        </w:rPr>
        <w:t> </w:t>
      </w:r>
      <w:r>
        <w:rPr>
          <w:color w:val="010202"/>
          <w:sz w:val="18"/>
        </w:rPr>
        <w:t>de</w:t>
      </w:r>
      <w:r>
        <w:rPr>
          <w:color w:val="010202"/>
          <w:spacing w:val="-11"/>
          <w:sz w:val="18"/>
        </w:rPr>
        <w:t> </w:t>
      </w:r>
      <w:r>
        <w:rPr>
          <w:color w:val="010202"/>
          <w:sz w:val="18"/>
        </w:rPr>
        <w:t>10</w:t>
      </w:r>
      <w:r>
        <w:rPr>
          <w:color w:val="010202"/>
          <w:spacing w:val="-11"/>
          <w:sz w:val="18"/>
        </w:rPr>
        <w:t> </w:t>
      </w:r>
      <w:r>
        <w:rPr>
          <w:color w:val="010202"/>
          <w:sz w:val="18"/>
        </w:rPr>
        <w:t>a</w:t>
      </w:r>
      <w:r>
        <w:rPr>
          <w:color w:val="010202"/>
          <w:spacing w:val="-11"/>
          <w:sz w:val="18"/>
        </w:rPr>
        <w:t> </w:t>
      </w:r>
      <w:r>
        <w:rPr>
          <w:color w:val="010202"/>
          <w:sz w:val="18"/>
        </w:rPr>
        <w:t>16</w:t>
      </w:r>
      <w:r>
        <w:rPr>
          <w:color w:val="010202"/>
          <w:spacing w:val="-11"/>
          <w:sz w:val="18"/>
        </w:rPr>
        <w:t> </w:t>
      </w:r>
      <w:r>
        <w:rPr>
          <w:color w:val="010202"/>
          <w:sz w:val="18"/>
        </w:rPr>
        <w:t>toneladas.</w:t>
      </w:r>
    </w:p>
    <w:p>
      <w:pPr>
        <w:spacing w:before="109"/>
        <w:ind w:left="207" w:right="421" w:firstLine="0"/>
        <w:jc w:val="left"/>
        <w:rPr>
          <w:sz w:val="18"/>
        </w:rPr>
      </w:pPr>
      <w:r>
        <w:rPr>
          <w:color w:val="010202"/>
          <w:sz w:val="18"/>
        </w:rPr>
        <w:t>Automóviles Mercedes-Benz A, C, E, G, M y S.</w:t>
      </w:r>
    </w:p>
    <w:p>
      <w:pPr>
        <w:spacing w:after="0"/>
        <w:jc w:val="left"/>
        <w:rPr>
          <w:sz w:val="18"/>
        </w:rPr>
        <w:sectPr>
          <w:type w:val="continuous"/>
          <w:pgSz w:w="9640" w:h="13040"/>
          <w:pgMar w:top="1200" w:bottom="280" w:left="1180" w:right="420"/>
          <w:cols w:num="2" w:equalWidth="0">
            <w:col w:w="2243" w:space="40"/>
            <w:col w:w="5757"/>
          </w:cols>
        </w:sectPr>
      </w:pPr>
    </w:p>
    <w:p>
      <w:pPr>
        <w:pStyle w:val="BodyText"/>
        <w:spacing w:before="9" w:after="1"/>
        <w:rPr>
          <w:sz w:val="10"/>
        </w:rPr>
      </w:pPr>
    </w:p>
    <w:p>
      <w:pPr>
        <w:pStyle w:val="BodyText"/>
        <w:spacing w:line="20" w:lineRule="exact"/>
        <w:ind w:left="118"/>
        <w:rPr>
          <w:sz w:val="2"/>
        </w:rPr>
      </w:pPr>
      <w:r>
        <w:rPr>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sz w:val="2"/>
        </w:rPr>
      </w:r>
    </w:p>
    <w:p>
      <w:pPr>
        <w:pStyle w:val="BodyText"/>
        <w:spacing w:before="1"/>
        <w:rPr>
          <w:sz w:val="6"/>
        </w:rPr>
      </w:pPr>
    </w:p>
    <w:p>
      <w:pPr>
        <w:spacing w:after="0"/>
        <w:rPr>
          <w:sz w:val="6"/>
        </w:rPr>
        <w:sectPr>
          <w:type w:val="continuous"/>
          <w:pgSz w:w="9640" w:h="13040"/>
          <w:pgMar w:top="1200" w:bottom="280" w:left="1180" w:right="420"/>
        </w:sectPr>
      </w:pPr>
    </w:p>
    <w:p>
      <w:pPr>
        <w:pStyle w:val="BodyText"/>
        <w:rPr>
          <w:sz w:val="18"/>
        </w:rPr>
      </w:pPr>
    </w:p>
    <w:p>
      <w:pPr>
        <w:pStyle w:val="BodyText"/>
        <w:rPr>
          <w:sz w:val="18"/>
        </w:rPr>
      </w:pPr>
    </w:p>
    <w:p>
      <w:pPr>
        <w:pStyle w:val="BodyText"/>
        <w:spacing w:before="10"/>
        <w:rPr>
          <w:sz w:val="25"/>
        </w:rPr>
      </w:pPr>
    </w:p>
    <w:p>
      <w:pPr>
        <w:tabs>
          <w:tab w:pos="1492" w:val="left" w:leader="none"/>
        </w:tabs>
        <w:spacing w:before="0"/>
        <w:ind w:left="237" w:right="0" w:firstLine="0"/>
        <w:jc w:val="left"/>
        <w:rPr>
          <w:sz w:val="18"/>
        </w:rPr>
      </w:pPr>
      <w:r>
        <w:rPr>
          <w:rFonts w:ascii="Palatino Linotype"/>
          <w:b/>
          <w:color w:val="231F20"/>
          <w:sz w:val="18"/>
        </w:rPr>
        <w:t>Chrysler</w:t>
        <w:tab/>
      </w:r>
      <w:r>
        <w:rPr>
          <w:color w:val="231F20"/>
          <w:spacing w:val="-4"/>
          <w:sz w:val="18"/>
        </w:rPr>
        <w:t>Toluca</w:t>
      </w:r>
    </w:p>
    <w:p>
      <w:pPr>
        <w:spacing w:line="198" w:lineRule="exact" w:before="23"/>
        <w:ind w:left="237" w:right="832" w:firstLine="0"/>
        <w:jc w:val="left"/>
        <w:rPr>
          <w:sz w:val="18"/>
        </w:rPr>
      </w:pPr>
      <w:r>
        <w:rPr/>
        <w:br w:type="column"/>
      </w:r>
      <w:r>
        <w:rPr>
          <w:color w:val="010202"/>
          <w:sz w:val="18"/>
        </w:rPr>
        <w:t>Planta de ensamble de automóviles produce los vehículos Dodge Journey, Fiat 500 y Fiat Freemont.</w:t>
      </w:r>
    </w:p>
    <w:p>
      <w:pPr>
        <w:spacing w:line="198" w:lineRule="exact" w:before="124"/>
        <w:ind w:left="237" w:right="832" w:firstLine="0"/>
        <w:jc w:val="left"/>
        <w:rPr>
          <w:sz w:val="18"/>
        </w:rPr>
      </w:pPr>
      <w:r>
        <w:rPr>
          <w:color w:val="010202"/>
          <w:sz w:val="18"/>
        </w:rPr>
        <w:t>Planta de estampados: fabrica paneles de carrocería para el vehículo Dodge Journey, Fiat 500 y Fiat Freemont.</w:t>
      </w:r>
    </w:p>
    <w:p>
      <w:pPr>
        <w:spacing w:line="198" w:lineRule="exact" w:before="124"/>
        <w:ind w:left="237" w:right="832" w:firstLine="0"/>
        <w:jc w:val="left"/>
        <w:rPr>
          <w:sz w:val="18"/>
        </w:rPr>
      </w:pPr>
      <w:r>
        <w:rPr>
          <w:color w:val="010202"/>
          <w:spacing w:val="-4"/>
          <w:sz w:val="18"/>
        </w:rPr>
        <w:t>MOPAR: </w:t>
      </w:r>
      <w:r>
        <w:rPr>
          <w:color w:val="010202"/>
          <w:sz w:val="18"/>
        </w:rPr>
        <w:t>Planta de distribución de accesorios y refacciones originales</w:t>
      </w:r>
      <w:r>
        <w:rPr>
          <w:color w:val="010202"/>
          <w:spacing w:val="-18"/>
          <w:sz w:val="18"/>
        </w:rPr>
        <w:t> </w:t>
      </w:r>
      <w:r>
        <w:rPr>
          <w:color w:val="010202"/>
          <w:sz w:val="18"/>
        </w:rPr>
        <w:t>para:</w:t>
      </w:r>
      <w:r>
        <w:rPr>
          <w:color w:val="010202"/>
          <w:spacing w:val="-18"/>
          <w:sz w:val="18"/>
        </w:rPr>
        <w:t> </w:t>
      </w:r>
      <w:r>
        <w:rPr>
          <w:color w:val="010202"/>
          <w:sz w:val="18"/>
        </w:rPr>
        <w:t>RAM,</w:t>
      </w:r>
      <w:r>
        <w:rPr>
          <w:color w:val="010202"/>
          <w:spacing w:val="-18"/>
          <w:sz w:val="18"/>
        </w:rPr>
        <w:t> </w:t>
      </w:r>
      <w:r>
        <w:rPr>
          <w:color w:val="010202"/>
          <w:sz w:val="18"/>
        </w:rPr>
        <w:t>Dodge,</w:t>
      </w:r>
      <w:r>
        <w:rPr>
          <w:color w:val="010202"/>
          <w:spacing w:val="-18"/>
          <w:sz w:val="18"/>
        </w:rPr>
        <w:t> </w:t>
      </w:r>
      <w:r>
        <w:rPr>
          <w:color w:val="010202"/>
          <w:sz w:val="18"/>
        </w:rPr>
        <w:t>Chrysler,</w:t>
      </w:r>
      <w:r>
        <w:rPr>
          <w:color w:val="010202"/>
          <w:spacing w:val="-18"/>
          <w:sz w:val="18"/>
        </w:rPr>
        <w:t> </w:t>
      </w:r>
      <w:r>
        <w:rPr>
          <w:color w:val="010202"/>
          <w:sz w:val="18"/>
        </w:rPr>
        <w:t>Jeep,</w:t>
      </w:r>
      <w:r>
        <w:rPr>
          <w:color w:val="010202"/>
          <w:spacing w:val="-18"/>
          <w:sz w:val="18"/>
        </w:rPr>
        <w:t> </w:t>
      </w:r>
      <w:r>
        <w:rPr>
          <w:color w:val="010202"/>
          <w:sz w:val="18"/>
        </w:rPr>
        <w:t>Alfa</w:t>
      </w:r>
      <w:r>
        <w:rPr>
          <w:color w:val="010202"/>
          <w:spacing w:val="-18"/>
          <w:sz w:val="18"/>
        </w:rPr>
        <w:t> </w:t>
      </w:r>
      <w:r>
        <w:rPr>
          <w:color w:val="010202"/>
          <w:sz w:val="18"/>
        </w:rPr>
        <w:t>Romeo,</w:t>
      </w:r>
      <w:r>
        <w:rPr>
          <w:color w:val="010202"/>
          <w:spacing w:val="-18"/>
          <w:sz w:val="18"/>
        </w:rPr>
        <w:t> </w:t>
      </w:r>
      <w:r>
        <w:rPr>
          <w:color w:val="010202"/>
          <w:sz w:val="18"/>
        </w:rPr>
        <w:t>Fiat</w:t>
      </w:r>
      <w:r>
        <w:rPr>
          <w:color w:val="010202"/>
          <w:spacing w:val="-18"/>
          <w:sz w:val="18"/>
        </w:rPr>
        <w:t> </w:t>
      </w:r>
      <w:r>
        <w:rPr>
          <w:color w:val="010202"/>
          <w:sz w:val="18"/>
        </w:rPr>
        <w:t>y Mitsubishi.</w:t>
      </w:r>
    </w:p>
    <w:p>
      <w:pPr>
        <w:spacing w:after="0" w:line="198" w:lineRule="exact"/>
        <w:jc w:val="left"/>
        <w:rPr>
          <w:sz w:val="18"/>
        </w:rPr>
        <w:sectPr>
          <w:type w:val="continuous"/>
          <w:pgSz w:w="9640" w:h="13040"/>
          <w:pgMar w:top="1200" w:bottom="280" w:left="1180" w:right="420"/>
          <w:cols w:num="2" w:equalWidth="0">
            <w:col w:w="1972" w:space="281"/>
            <w:col w:w="5787"/>
          </w:cols>
        </w:sectPr>
      </w:pPr>
    </w:p>
    <w:p>
      <w:pPr>
        <w:pStyle w:val="BodyText"/>
        <w:spacing w:before="1"/>
        <w:rPr>
          <w:sz w:val="8"/>
        </w:rPr>
      </w:pPr>
    </w:p>
    <w:p>
      <w:pPr>
        <w:pStyle w:val="BodyText"/>
        <w:spacing w:line="20" w:lineRule="exact"/>
        <w:ind w:left="118"/>
        <w:rPr>
          <w:sz w:val="2"/>
        </w:rPr>
      </w:pPr>
      <w:r>
        <w:rPr>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sz w:val="2"/>
        </w:rPr>
      </w:r>
    </w:p>
    <w:p>
      <w:pPr>
        <w:pStyle w:val="BodyText"/>
        <w:spacing w:before="1"/>
        <w:rPr>
          <w:sz w:val="6"/>
        </w:rPr>
      </w:pPr>
    </w:p>
    <w:p>
      <w:pPr>
        <w:spacing w:after="0"/>
        <w:rPr>
          <w:sz w:val="6"/>
        </w:rPr>
        <w:sectPr>
          <w:type w:val="continuous"/>
          <w:pgSz w:w="9640" w:h="13040"/>
          <w:pgMar w:top="1200" w:bottom="280" w:left="1180" w:right="420"/>
        </w:sectPr>
      </w:pPr>
    </w:p>
    <w:p>
      <w:pPr>
        <w:spacing w:line="181" w:lineRule="exact" w:before="143"/>
        <w:ind w:left="237" w:right="0" w:firstLine="0"/>
        <w:jc w:val="left"/>
        <w:rPr>
          <w:rFonts w:ascii="Palatino Linotype"/>
          <w:b/>
          <w:sz w:val="18"/>
        </w:rPr>
      </w:pPr>
      <w:r>
        <w:rPr>
          <w:rFonts w:ascii="Palatino Linotype"/>
          <w:b/>
          <w:color w:val="231F20"/>
          <w:sz w:val="18"/>
        </w:rPr>
        <w:t>Nissan-</w:t>
      </w:r>
    </w:p>
    <w:p>
      <w:pPr>
        <w:tabs>
          <w:tab w:pos="1492" w:val="left" w:leader="none"/>
        </w:tabs>
        <w:spacing w:line="260" w:lineRule="exact" w:before="0"/>
        <w:ind w:left="237" w:right="0" w:firstLine="0"/>
        <w:jc w:val="left"/>
        <w:rPr>
          <w:sz w:val="18"/>
        </w:rPr>
      </w:pPr>
      <w:r>
        <w:rPr>
          <w:rFonts w:ascii="Palatino Linotype"/>
          <w:b/>
          <w:color w:val="231F20"/>
          <w:sz w:val="18"/>
        </w:rPr>
        <w:t>Renault</w:t>
        <w:tab/>
      </w:r>
      <w:r>
        <w:rPr>
          <w:color w:val="231F20"/>
          <w:spacing w:val="-4"/>
          <w:position w:val="10"/>
          <w:sz w:val="18"/>
        </w:rPr>
        <w:t>Toluca</w:t>
      </w:r>
    </w:p>
    <w:p>
      <w:pPr>
        <w:spacing w:before="5"/>
        <w:ind w:left="237" w:right="832" w:firstLine="0"/>
        <w:jc w:val="left"/>
        <w:rPr>
          <w:sz w:val="18"/>
        </w:rPr>
      </w:pPr>
      <w:r>
        <w:rPr/>
        <w:br w:type="column"/>
      </w:r>
      <w:r>
        <w:rPr>
          <w:color w:val="010202"/>
          <w:sz w:val="18"/>
        </w:rPr>
        <w:t>Almacén de refacciones.</w:t>
      </w:r>
    </w:p>
    <w:p>
      <w:pPr>
        <w:spacing w:line="198" w:lineRule="exact" w:before="119"/>
        <w:ind w:left="237" w:right="832" w:firstLine="0"/>
        <w:jc w:val="left"/>
        <w:rPr>
          <w:sz w:val="18"/>
        </w:rPr>
      </w:pPr>
      <w:r>
        <w:rPr>
          <w:color w:val="010202"/>
          <w:sz w:val="18"/>
        </w:rPr>
        <w:t>Centro de desarrollo tecnológico dedicado al diseño y desarrollo de proveedores.</w:t>
      </w:r>
    </w:p>
    <w:p>
      <w:pPr>
        <w:spacing w:after="0" w:line="198" w:lineRule="exact"/>
        <w:jc w:val="left"/>
        <w:rPr>
          <w:sz w:val="18"/>
        </w:rPr>
        <w:sectPr>
          <w:type w:val="continuous"/>
          <w:pgSz w:w="9640" w:h="13040"/>
          <w:pgMar w:top="1200" w:bottom="280" w:left="1180" w:right="420"/>
          <w:cols w:num="2" w:equalWidth="0">
            <w:col w:w="1972" w:space="281"/>
            <w:col w:w="5787"/>
          </w:cols>
        </w:sectPr>
      </w:pPr>
    </w:p>
    <w:p>
      <w:pPr>
        <w:pStyle w:val="BodyText"/>
        <w:spacing w:before="3"/>
        <w:rPr>
          <w:sz w:val="7"/>
        </w:rPr>
      </w:pPr>
    </w:p>
    <w:p>
      <w:pPr>
        <w:pStyle w:val="BodyText"/>
        <w:spacing w:line="20" w:lineRule="exact"/>
        <w:ind w:left="118"/>
        <w:rPr>
          <w:sz w:val="2"/>
        </w:rPr>
      </w:pPr>
      <w:r>
        <w:rPr>
          <w:sz w:val="2"/>
        </w:rPr>
        <w:pict>
          <v:group style="width:360.5pt;height:.5pt;mso-position-horizontal-relative:char;mso-position-vertical-relative:line" coordorigin="0,0" coordsize="7210,10">
            <v:line style="position:absolute" from="5,5" to="969,5" stroked="true" strokeweight=".5pt" strokecolor="#231f20"/>
            <v:line style="position:absolute" from="969,5" to="2258,5" stroked="true" strokeweight=".5pt" strokecolor="#231f20"/>
            <v:line style="position:absolute" from="2258,5" to="7205,5" stroked="true" strokeweight=".5pt" strokecolor="#231f20"/>
          </v:group>
        </w:pict>
      </w:r>
      <w:r>
        <w:rPr>
          <w:sz w:val="2"/>
        </w:rPr>
      </w:r>
    </w:p>
    <w:p>
      <w:pPr>
        <w:pStyle w:val="BodyText"/>
        <w:spacing w:before="6"/>
        <w:rPr>
          <w:sz w:val="10"/>
        </w:rPr>
      </w:pPr>
    </w:p>
    <w:p>
      <w:pPr>
        <w:spacing w:line="283" w:lineRule="auto" w:before="40"/>
        <w:ind w:left="123" w:right="904" w:firstLine="0"/>
        <w:jc w:val="left"/>
        <w:rPr>
          <w:sz w:val="19"/>
        </w:rPr>
      </w:pPr>
      <w:r>
        <w:rPr>
          <w:rFonts w:ascii="Palatino Linotype" w:hAnsi="Palatino Linotype"/>
          <w:i/>
          <w:color w:val="231F20"/>
          <w:sz w:val="19"/>
        </w:rPr>
        <w:t>Fuente: </w:t>
      </w:r>
      <w:r>
        <w:rPr>
          <w:color w:val="231F20"/>
          <w:sz w:val="19"/>
        </w:rPr>
        <w:t>Elaboración propia con datos de General </w:t>
      </w:r>
      <w:r>
        <w:rPr>
          <w:color w:val="231F20"/>
          <w:spacing w:val="-3"/>
          <w:sz w:val="19"/>
        </w:rPr>
        <w:t>Motors </w:t>
      </w:r>
      <w:r>
        <w:rPr>
          <w:color w:val="231F20"/>
          <w:sz w:val="19"/>
        </w:rPr>
        <w:t>(2014), </w:t>
      </w:r>
      <w:r>
        <w:rPr>
          <w:color w:val="231F20"/>
          <w:spacing w:val="-3"/>
          <w:sz w:val="19"/>
        </w:rPr>
        <w:t>Ford </w:t>
      </w:r>
      <w:r>
        <w:rPr>
          <w:color w:val="231F20"/>
          <w:sz w:val="19"/>
        </w:rPr>
        <w:t>(2014), FCA (2014a), Daimler (2014) y Nissan (2014).</w:t>
      </w:r>
    </w:p>
    <w:p>
      <w:pPr>
        <w:spacing w:after="0" w:line="283" w:lineRule="auto"/>
        <w:jc w:val="left"/>
        <w:rPr>
          <w:sz w:val="19"/>
        </w:rPr>
        <w:sectPr>
          <w:type w:val="continuous"/>
          <w:pgSz w:w="9640" w:h="13040"/>
          <w:pgMar w:top="1200" w:bottom="280" w:left="1180" w:right="420"/>
        </w:sectPr>
      </w:pPr>
    </w:p>
    <w:p>
      <w:pPr>
        <w:pStyle w:val="BodyText"/>
        <w:rPr>
          <w:sz w:val="20"/>
        </w:rPr>
      </w:pPr>
    </w:p>
    <w:p>
      <w:pPr>
        <w:pStyle w:val="BodyText"/>
        <w:spacing w:before="6"/>
      </w:pPr>
    </w:p>
    <w:p>
      <w:pPr>
        <w:pStyle w:val="BodyText"/>
        <w:spacing w:line="278" w:lineRule="auto" w:before="58"/>
        <w:ind w:left="713" w:right="100"/>
        <w:jc w:val="both"/>
      </w:pPr>
      <w:r>
        <w:rPr>
          <w:color w:val="231F20"/>
        </w:rPr>
        <w:t>A nivel de subrama destaca la fabricación de partes de sistemas de dirección y de suspensión para vehículos automotrices, de motores de gasolina y sus partes para ve- hículos automotrices, de partes de sistemas de transmisión, de partes de sistemas de frenos,</w:t>
      </w:r>
      <w:r>
        <w:rPr>
          <w:color w:val="231F20"/>
          <w:spacing w:val="-4"/>
        </w:rPr>
        <w:t> </w:t>
      </w:r>
      <w:r>
        <w:rPr>
          <w:color w:val="231F20"/>
        </w:rPr>
        <w:t>de</w:t>
      </w:r>
      <w:r>
        <w:rPr>
          <w:color w:val="231F20"/>
          <w:spacing w:val="-4"/>
        </w:rPr>
        <w:t> </w:t>
      </w:r>
      <w:r>
        <w:rPr>
          <w:color w:val="231F20"/>
        </w:rPr>
        <w:t>fabricación</w:t>
      </w:r>
      <w:r>
        <w:rPr>
          <w:color w:val="231F20"/>
          <w:spacing w:val="-4"/>
        </w:rPr>
        <w:t> </w:t>
      </w:r>
      <w:r>
        <w:rPr>
          <w:color w:val="231F20"/>
        </w:rPr>
        <w:t>de</w:t>
      </w:r>
      <w:r>
        <w:rPr>
          <w:color w:val="231F20"/>
          <w:spacing w:val="-4"/>
        </w:rPr>
        <w:t> </w:t>
      </w:r>
      <w:r>
        <w:rPr>
          <w:color w:val="231F20"/>
        </w:rPr>
        <w:t>asientos</w:t>
      </w:r>
      <w:r>
        <w:rPr>
          <w:color w:val="231F20"/>
          <w:spacing w:val="-4"/>
        </w:rPr>
        <w:t> </w:t>
      </w:r>
      <w:r>
        <w:rPr>
          <w:color w:val="231F20"/>
        </w:rPr>
        <w:t>y</w:t>
      </w:r>
      <w:r>
        <w:rPr>
          <w:color w:val="231F20"/>
          <w:spacing w:val="-4"/>
        </w:rPr>
        <w:t> </w:t>
      </w:r>
      <w:r>
        <w:rPr>
          <w:color w:val="231F20"/>
        </w:rPr>
        <w:t>accesorios</w:t>
      </w:r>
      <w:r>
        <w:rPr>
          <w:color w:val="231F20"/>
          <w:spacing w:val="-4"/>
        </w:rPr>
        <w:t> </w:t>
      </w:r>
      <w:r>
        <w:rPr>
          <w:color w:val="231F20"/>
        </w:rPr>
        <w:t>interiores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piezas</w:t>
      </w:r>
      <w:r>
        <w:rPr>
          <w:color w:val="231F20"/>
          <w:spacing w:val="-4"/>
        </w:rPr>
        <w:t> </w:t>
      </w:r>
      <w:r>
        <w:rPr>
          <w:color w:val="231F20"/>
        </w:rPr>
        <w:t>metálicas</w:t>
      </w:r>
      <w:r>
        <w:rPr>
          <w:color w:val="231F20"/>
          <w:spacing w:val="-4"/>
        </w:rPr>
        <w:t> </w:t>
      </w:r>
      <w:r>
        <w:rPr>
          <w:color w:val="231F20"/>
        </w:rPr>
        <w:t>troque- ladas, pues la aportación que hacen a la industria nacional es bastante significativa, tanto en unidades económicas, como en la generación de empleo y de valor agregado, tal como se observa en el cuadro</w:t>
      </w:r>
      <w:r>
        <w:rPr>
          <w:color w:val="231F20"/>
          <w:spacing w:val="-5"/>
        </w:rPr>
        <w:t> </w:t>
      </w:r>
      <w:r>
        <w:rPr>
          <w:color w:val="231F20"/>
          <w:spacing w:val="-6"/>
        </w:rPr>
        <w:t>IV.2.</w:t>
      </w:r>
    </w:p>
    <w:p>
      <w:pPr>
        <w:pStyle w:val="BodyText"/>
        <w:spacing w:line="278" w:lineRule="auto" w:before="1"/>
        <w:ind w:left="713" w:right="100" w:firstLine="396"/>
        <w:jc w:val="both"/>
      </w:pPr>
      <w:r>
        <w:rPr>
          <w:color w:val="231F20"/>
        </w:rPr>
        <w:t>En términos de empleo, específicamente, se destaca la fabricación de camiones y tractocamiones; de carrocerías y remolques; y de motores de gasolina y sus partes.</w:t>
      </w:r>
      <w:r>
        <w:rPr>
          <w:color w:val="231F20"/>
          <w:spacing w:val="-29"/>
        </w:rPr>
        <w:t> </w:t>
      </w:r>
      <w:r>
        <w:rPr>
          <w:color w:val="231F20"/>
        </w:rPr>
        <w:t>En estas actividades se emplea el 45.2, 26.4 y 17.9% del total del personal ocupado en la misma rama a nivel nacional,</w:t>
      </w:r>
      <w:r>
        <w:rPr>
          <w:color w:val="231F20"/>
          <w:spacing w:val="-35"/>
        </w:rPr>
        <w:t> </w:t>
      </w:r>
      <w:r>
        <w:rPr>
          <w:color w:val="231F20"/>
        </w:rPr>
        <w:t>respectivamente.</w:t>
      </w:r>
    </w:p>
    <w:p>
      <w:pPr>
        <w:spacing w:after="0" w:line="278" w:lineRule="auto"/>
        <w:jc w:val="both"/>
        <w:sectPr>
          <w:headerReference w:type="even" r:id="rId213"/>
          <w:footerReference w:type="even" r:id="rId214"/>
          <w:pgSz w:w="9640" w:h="13040"/>
          <w:pgMar w:header="581" w:footer="654" w:top="780" w:bottom="840" w:left="420" w:right="1200"/>
          <w:pgNumType w:start="106"/>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pStyle w:val="Heading4"/>
        <w:spacing w:before="34"/>
        <w:ind w:left="228" w:right="225"/>
      </w:pPr>
      <w:r>
        <w:rPr>
          <w:color w:val="231F20"/>
          <w:w w:val="95"/>
        </w:rPr>
        <w:t>Cuadro IV.2</w:t>
      </w:r>
    </w:p>
    <w:p>
      <w:pPr>
        <w:spacing w:line="282" w:lineRule="exact" w:before="0"/>
        <w:ind w:left="228" w:right="225" w:firstLine="0"/>
        <w:jc w:val="center"/>
        <w:rPr>
          <w:rFonts w:ascii="Palatino Linotype" w:hAnsi="Palatino Linotype"/>
          <w:b/>
          <w:sz w:val="21"/>
        </w:rPr>
      </w:pPr>
      <w:r>
        <w:rPr>
          <w:rFonts w:ascii="Palatino Linotype" w:hAnsi="Palatino Linotype"/>
          <w:b/>
          <w:color w:val="231F20"/>
          <w:w w:val="95"/>
          <w:sz w:val="21"/>
        </w:rPr>
        <w:t>UE, PO y VACB, participación porcentual del Estado de México en el nacional. Subsector, rama y subrama, 2009</w:t>
      </w:r>
    </w:p>
    <w:p>
      <w:pPr>
        <w:pStyle w:val="BodyText"/>
        <w:spacing w:before="11" w:after="1"/>
        <w:rPr>
          <w:rFonts w:ascii="Palatino Linotype"/>
          <w:b/>
          <w:sz w:val="13"/>
        </w:rPr>
      </w:pPr>
    </w:p>
    <w:p>
      <w:pPr>
        <w:pStyle w:val="BodyText"/>
        <w:spacing w:line="20" w:lineRule="exact"/>
        <w:ind w:left="118"/>
        <w:rPr>
          <w:rFonts w:ascii="Palatino Linotype"/>
          <w:sz w:val="2"/>
        </w:rPr>
      </w:pPr>
      <w:r>
        <w:rPr>
          <w:rFonts w:ascii="Palatino Linotype"/>
          <w:sz w:val="2"/>
        </w:rPr>
        <w:pict>
          <v:group style="width:519.25pt;height:.5pt;mso-position-horizontal-relative:char;mso-position-vertical-relative:line" coordorigin="0,0" coordsize="10385,10">
            <v:line style="position:absolute" from="5,5" to="6837,5" stroked="true" strokeweight=".5pt" strokecolor="#231f20"/>
            <v:line style="position:absolute" from="6836,5" to="8027,5" stroked="true" strokeweight=".5pt" strokecolor="#231f20"/>
            <v:line style="position:absolute" from="8027,5" to="8991,5" stroked="true" strokeweight=".5pt" strokecolor="#231f20"/>
            <v:line style="position:absolute" from="8991,5" to="10380,5" stroked="true" strokeweight=".5pt" strokecolor="#231f20"/>
          </v:group>
        </w:pict>
      </w:r>
      <w:r>
        <w:rPr>
          <w:rFonts w:ascii="Palatino Linotype"/>
          <w:sz w:val="2"/>
        </w:rPr>
      </w:r>
    </w:p>
    <w:p>
      <w:pPr>
        <w:spacing w:after="0" w:line="20" w:lineRule="exact"/>
        <w:rPr>
          <w:rFonts w:ascii="Palatino Linotype"/>
          <w:sz w:val="2"/>
        </w:rPr>
        <w:sectPr>
          <w:headerReference w:type="default" r:id="rId215"/>
          <w:footerReference w:type="default" r:id="rId216"/>
          <w:pgSz w:w="13040" w:h="9640" w:orient="landscape"/>
          <w:pgMar w:header="0" w:footer="0" w:top="0" w:bottom="280" w:left="1180" w:right="1240"/>
        </w:sectPr>
      </w:pPr>
    </w:p>
    <w:p>
      <w:pPr>
        <w:pStyle w:val="BodyText"/>
        <w:rPr>
          <w:rFonts w:ascii="Palatino Linotype"/>
          <w:b/>
          <w:sz w:val="16"/>
        </w:rPr>
      </w:pPr>
    </w:p>
    <w:p>
      <w:pPr>
        <w:tabs>
          <w:tab w:pos="7194" w:val="left" w:leader="none"/>
        </w:tabs>
        <w:spacing w:line="98" w:lineRule="auto" w:before="0"/>
        <w:ind w:left="7096" w:right="0" w:hanging="4587"/>
        <w:jc w:val="left"/>
        <w:rPr>
          <w:rFonts w:ascii="Palatino Linotype" w:hAnsi="Palatino Linotype"/>
          <w:b/>
          <w:sz w:val="18"/>
        </w:rPr>
      </w:pPr>
      <w:r>
        <w:rPr>
          <w:rFonts w:ascii="Palatino Linotype" w:hAnsi="Palatino Linotype"/>
          <w:b/>
          <w:color w:val="231F20"/>
          <w:sz w:val="18"/>
        </w:rPr>
        <w:t>Subsector,</w:t>
      </w:r>
      <w:r>
        <w:rPr>
          <w:rFonts w:ascii="Palatino Linotype" w:hAnsi="Palatino Linotype"/>
          <w:b/>
          <w:color w:val="231F20"/>
          <w:spacing w:val="-37"/>
          <w:sz w:val="18"/>
        </w:rPr>
        <w:t> </w:t>
      </w:r>
      <w:r>
        <w:rPr>
          <w:rFonts w:ascii="Palatino Linotype" w:hAnsi="Palatino Linotype"/>
          <w:b/>
          <w:color w:val="231F20"/>
          <w:sz w:val="18"/>
        </w:rPr>
        <w:t>rama y</w:t>
      </w:r>
      <w:r>
        <w:rPr>
          <w:rFonts w:ascii="Palatino Linotype" w:hAnsi="Palatino Linotype"/>
          <w:b/>
          <w:color w:val="231F20"/>
          <w:spacing w:val="-28"/>
          <w:sz w:val="18"/>
        </w:rPr>
        <w:t> </w:t>
      </w:r>
      <w:r>
        <w:rPr>
          <w:rFonts w:ascii="Palatino Linotype" w:hAnsi="Palatino Linotype"/>
          <w:b/>
          <w:color w:val="231F20"/>
          <w:sz w:val="18"/>
        </w:rPr>
        <w:t>subrama</w:t>
        <w:tab/>
        <w:tab/>
      </w:r>
      <w:r>
        <w:rPr>
          <w:rFonts w:ascii="Palatino Linotype" w:hAnsi="Palatino Linotype"/>
          <w:b/>
          <w:color w:val="231F20"/>
          <w:w w:val="95"/>
          <w:position w:val="10"/>
          <w:sz w:val="18"/>
        </w:rPr>
        <w:t>Unidades </w:t>
      </w:r>
      <w:r>
        <w:rPr>
          <w:rFonts w:ascii="Palatino Linotype" w:hAnsi="Palatino Linotype"/>
          <w:b/>
          <w:color w:val="231F20"/>
          <w:w w:val="90"/>
          <w:sz w:val="18"/>
        </w:rPr>
        <w:t>Económicas</w:t>
      </w:r>
    </w:p>
    <w:p>
      <w:pPr>
        <w:spacing w:line="198" w:lineRule="exact" w:before="136"/>
        <w:ind w:left="236" w:right="-1" w:firstLine="20"/>
        <w:jc w:val="left"/>
        <w:rPr>
          <w:rFonts w:ascii="Palatino Linotype"/>
          <w:b/>
          <w:sz w:val="18"/>
        </w:rPr>
      </w:pPr>
      <w:r>
        <w:rPr/>
        <w:br w:type="column"/>
      </w:r>
      <w:r>
        <w:rPr>
          <w:rFonts w:ascii="Palatino Linotype"/>
          <w:b/>
          <w:color w:val="231F20"/>
          <w:w w:val="90"/>
          <w:sz w:val="18"/>
        </w:rPr>
        <w:t>Personal Ocupado</w:t>
      </w:r>
    </w:p>
    <w:p>
      <w:pPr>
        <w:spacing w:line="198" w:lineRule="exact" w:before="37"/>
        <w:ind w:left="270" w:right="293" w:firstLine="0"/>
        <w:jc w:val="center"/>
        <w:rPr>
          <w:rFonts w:ascii="Palatino Linotype"/>
          <w:b/>
          <w:sz w:val="18"/>
        </w:rPr>
      </w:pPr>
      <w:r>
        <w:rPr/>
        <w:br w:type="column"/>
      </w:r>
      <w:r>
        <w:rPr>
          <w:rFonts w:ascii="Palatino Linotype"/>
          <w:b/>
          <w:color w:val="231F20"/>
          <w:sz w:val="18"/>
        </w:rPr>
        <w:t>Valor Agregado </w:t>
      </w:r>
      <w:r>
        <w:rPr>
          <w:rFonts w:ascii="Palatino Linotype"/>
          <w:b/>
          <w:color w:val="231F20"/>
          <w:w w:val="95"/>
          <w:sz w:val="18"/>
        </w:rPr>
        <w:t>Censal Bruto</w:t>
      </w:r>
    </w:p>
    <w:p>
      <w:pPr>
        <w:spacing w:after="0" w:line="198" w:lineRule="exact"/>
        <w:jc w:val="center"/>
        <w:rPr>
          <w:rFonts w:ascii="Palatino Linotype"/>
          <w:sz w:val="18"/>
        </w:rPr>
        <w:sectPr>
          <w:type w:val="continuous"/>
          <w:pgSz w:w="13040" w:h="9640" w:orient="landscape"/>
          <w:pgMar w:top="1200" w:bottom="280" w:left="1180" w:right="1240"/>
          <w:cols w:num="3" w:equalWidth="0">
            <w:col w:w="8006" w:space="40"/>
            <w:col w:w="930" w:space="40"/>
            <w:col w:w="1604"/>
          </w:cols>
        </w:sectPr>
      </w:pPr>
    </w:p>
    <w:p>
      <w:pPr>
        <w:pStyle w:val="BodyText"/>
        <w:spacing w:before="8"/>
        <w:rPr>
          <w:rFonts w:ascii="Palatino Linotype"/>
          <w:b/>
          <w:sz w:val="2"/>
        </w:rPr>
      </w:pPr>
      <w:r>
        <w:rPr/>
        <w:pict>
          <v:shape style="position:absolute;margin-left:606.909912pt;margin-top:111.946198pt;width:20.1pt;height:266.5pt;mso-position-horizontal-relative:page;mso-position-vertical-relative:page;z-index:9592"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7"/>
                      <w:sz w:val="16"/>
                    </w:rPr>
                    <w:t>I</w:t>
                  </w:r>
                  <w:r>
                    <w:rPr>
                      <w:rFonts w:ascii="Arial Black" w:hAnsi="Arial Black"/>
                      <w:b/>
                      <w:color w:val="231F20"/>
                      <w:spacing w:val="-23"/>
                      <w:w w:val="91"/>
                      <w:sz w:val="16"/>
                    </w:rPr>
                    <w:t>V</w:t>
                  </w:r>
                  <w:r>
                    <w:rPr>
                      <w:rFonts w:ascii="Arial Black" w:hAnsi="Arial Black"/>
                      <w:b/>
                      <w:color w:val="231F20"/>
                      <w:w w:val="76"/>
                      <w:sz w:val="16"/>
                    </w:rPr>
                    <w:t>.</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spacing w:val="1"/>
                      <w:w w:val="92"/>
                      <w:sz w:val="16"/>
                    </w:rPr>
                    <w:t>E</w:t>
                  </w:r>
                  <w:r>
                    <w:rPr>
                      <w:rFonts w:ascii="Palatino Linotype" w:hAnsi="Palatino Linotype"/>
                      <w:color w:val="231F20"/>
                      <w:spacing w:val="-1"/>
                      <w:w w:val="96"/>
                      <w:sz w:val="16"/>
                    </w:rPr>
                    <w:t>s</w:t>
                  </w:r>
                  <w:r>
                    <w:rPr>
                      <w:rFonts w:ascii="Palatino Linotype" w:hAnsi="Palatino Linotype"/>
                      <w:color w:val="231F20"/>
                      <w:spacing w:val="-10"/>
                      <w:w w:val="156"/>
                      <w:sz w:val="16"/>
                    </w:rPr>
                    <w:t>t</w:t>
                  </w:r>
                  <w:r>
                    <w:rPr>
                      <w:rFonts w:ascii="Palatino Linotype" w:hAnsi="Palatino Linotype"/>
                      <w:color w:val="231F20"/>
                      <w:w w:val="103"/>
                      <w:sz w:val="16"/>
                    </w:rPr>
                    <w:t>a</w:t>
                  </w:r>
                  <w:r>
                    <w:rPr>
                      <w:rFonts w:ascii="Palatino Linotype" w:hAnsi="Palatino Linotype"/>
                      <w:color w:val="231F20"/>
                      <w:spacing w:val="3"/>
                      <w:w w:val="103"/>
                      <w:sz w:val="16"/>
                    </w:rPr>
                    <w:t>d</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spacing w:val="-3"/>
                      <w:w w:val="80"/>
                      <w:sz w:val="16"/>
                    </w:rPr>
                    <w:t>p</w:t>
                  </w:r>
                  <w:r>
                    <w:rPr>
                      <w:rFonts w:ascii="Palatino Linotype" w:hAnsi="Palatino Linotype"/>
                      <w:color w:val="231F20"/>
                      <w:w w:val="115"/>
                      <w:sz w:val="16"/>
                    </w:rPr>
                    <w:t>é</w:t>
                  </w:r>
                  <w:r>
                    <w:rPr>
                      <w:rFonts w:ascii="Palatino Linotype" w:hAnsi="Palatino Linotype"/>
                      <w:color w:val="231F20"/>
                      <w:spacing w:val="-2"/>
                      <w:w w:val="115"/>
                      <w:sz w:val="16"/>
                    </w:rPr>
                    <w:t>r</w:t>
                  </w:r>
                  <w:r>
                    <w:rPr>
                      <w:rFonts w:ascii="Palatino Linotype" w:hAnsi="Palatino Linotype"/>
                      <w:color w:val="231F20"/>
                      <w:spacing w:val="-1"/>
                      <w:w w:val="95"/>
                      <w:sz w:val="16"/>
                    </w:rPr>
                    <w:t>d</w:t>
                  </w:r>
                  <w:r>
                    <w:rPr>
                      <w:rFonts w:ascii="Palatino Linotype" w:hAnsi="Palatino Linotype"/>
                      <w:color w:val="231F20"/>
                      <w:w w:val="98"/>
                      <w:sz w:val="16"/>
                    </w:rPr>
                    <w:t>i</w:t>
                  </w:r>
                  <w:r>
                    <w:rPr>
                      <w:rFonts w:ascii="Palatino Linotype" w:hAnsi="Palatino Linotype"/>
                      <w:color w:val="231F20"/>
                      <w:spacing w:val="-5"/>
                      <w:w w:val="98"/>
                      <w:sz w:val="16"/>
                    </w:rPr>
                    <w:t>d</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1"/>
                      <w:sz w:val="16"/>
                    </w:rPr>
                    <w:t>i</w:t>
                  </w:r>
                  <w:r>
                    <w:rPr>
                      <w:rFonts w:ascii="Palatino Linotype" w:hAnsi="Palatino Linotype"/>
                      <w:color w:val="231F20"/>
                      <w:spacing w:val="-3"/>
                      <w:w w:val="101"/>
                      <w:sz w:val="16"/>
                    </w:rPr>
                    <w:t>n</w:t>
                  </w:r>
                  <w:r>
                    <w:rPr>
                      <w:rFonts w:ascii="Palatino Linotype" w:hAnsi="Palatino Linotype"/>
                      <w:color w:val="231F20"/>
                      <w:w w:val="94"/>
                      <w:sz w:val="16"/>
                    </w:rPr>
                    <w:t>ami</w:t>
                  </w:r>
                  <w:r>
                    <w:rPr>
                      <w:rFonts w:ascii="Palatino Linotype" w:hAnsi="Palatino Linotype"/>
                      <w:color w:val="231F20"/>
                      <w:spacing w:val="-1"/>
                      <w:w w:val="94"/>
                      <w:sz w:val="16"/>
                    </w:rPr>
                    <w:t>s</w:t>
                  </w:r>
                  <w:r>
                    <w:rPr>
                      <w:rFonts w:ascii="Palatino Linotype" w:hAnsi="Palatino Linotype"/>
                      <w:color w:val="231F20"/>
                      <w:spacing w:val="-1"/>
                      <w:w w:val="80"/>
                      <w:sz w:val="16"/>
                    </w:rPr>
                    <w:t>m</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7.063202pt;width:14pt;height:19.5pt;mso-position-horizontal-relative:page;mso-position-vertical-relative:page;z-index:9616" type="#_x0000_t202" filled="false" stroked="false">
            <v:textbox inset="0,0,0,0" style="layout-flow:vertical">
              <w:txbxContent>
                <w:p>
                  <w:pPr>
                    <w:spacing w:line="248" w:lineRule="exact" w:before="0"/>
                    <w:ind w:left="20" w:right="-110" w:firstLine="0"/>
                    <w:jc w:val="left"/>
                    <w:rPr>
                      <w:sz w:val="24"/>
                    </w:rPr>
                  </w:pPr>
                  <w:r>
                    <w:rPr>
                      <w:color w:val="231F20"/>
                      <w:w w:val="97"/>
                      <w:sz w:val="24"/>
                    </w:rPr>
                    <w:t>107</w:t>
                  </w:r>
                </w:p>
              </w:txbxContent>
            </v:textbox>
            <w10:wrap type="none"/>
          </v:shape>
        </w:pict>
      </w:r>
    </w:p>
    <w:p>
      <w:pPr>
        <w:pStyle w:val="BodyText"/>
        <w:spacing w:line="20" w:lineRule="exact"/>
        <w:ind w:left="118"/>
        <w:rPr>
          <w:rFonts w:ascii="Palatino Linotype"/>
          <w:sz w:val="2"/>
        </w:rPr>
      </w:pPr>
      <w:r>
        <w:rPr>
          <w:rFonts w:ascii="Palatino Linotype"/>
          <w:sz w:val="2"/>
        </w:rPr>
        <w:pict>
          <v:group style="width:519.25pt;height:.5pt;mso-position-horizontal-relative:char;mso-position-vertical-relative:line" coordorigin="0,0" coordsize="10385,10">
            <v:line style="position:absolute" from="5,5" to="6837,5" stroked="true" strokeweight=".5pt" strokecolor="#231f20"/>
            <v:line style="position:absolute" from="6836,5" to="8027,5" stroked="true" strokeweight=".5pt" strokecolor="#231f20"/>
            <v:line style="position:absolute" from="8027,5" to="8991,5" stroked="true" strokeweight=".5pt" strokecolor="#231f20"/>
            <v:line style="position:absolute" from="8991,5" to="10380,5" stroked="true" strokeweight=".5pt" strokecolor="#231f20"/>
          </v:group>
        </w:pict>
      </w:r>
      <w:r>
        <w:rPr>
          <w:rFonts w:ascii="Palatino Linotype"/>
          <w:sz w:val="2"/>
        </w:rPr>
      </w:r>
    </w:p>
    <w:p>
      <w:pPr>
        <w:tabs>
          <w:tab w:pos="7392" w:val="left" w:leader="none"/>
          <w:tab w:pos="8515" w:val="left" w:leader="none"/>
          <w:tab w:pos="9646" w:val="left" w:leader="none"/>
        </w:tabs>
        <w:spacing w:before="32"/>
        <w:ind w:left="180" w:right="0" w:firstLine="0"/>
        <w:jc w:val="left"/>
        <w:rPr>
          <w:rFonts w:ascii="Palatino Linotype" w:hAnsi="Palatino Linotype"/>
          <w:b/>
          <w:sz w:val="18"/>
        </w:rPr>
      </w:pPr>
      <w:r>
        <w:rPr>
          <w:rFonts w:ascii="Palatino Linotype" w:hAnsi="Palatino Linotype"/>
          <w:b/>
          <w:color w:val="231F20"/>
          <w:w w:val="95"/>
          <w:sz w:val="18"/>
        </w:rPr>
        <w:t>Subsector:</w:t>
      </w:r>
      <w:r>
        <w:rPr>
          <w:rFonts w:ascii="Palatino Linotype" w:hAnsi="Palatino Linotype"/>
          <w:b/>
          <w:color w:val="231F20"/>
          <w:spacing w:val="-17"/>
          <w:w w:val="95"/>
          <w:sz w:val="18"/>
        </w:rPr>
        <w:t> </w:t>
      </w:r>
      <w:r>
        <w:rPr>
          <w:rFonts w:ascii="Palatino Linotype" w:hAnsi="Palatino Linotype"/>
          <w:b/>
          <w:color w:val="231F20"/>
          <w:w w:val="95"/>
          <w:sz w:val="18"/>
        </w:rPr>
        <w:t>Fabricación</w:t>
      </w:r>
      <w:r>
        <w:rPr>
          <w:rFonts w:ascii="Palatino Linotype" w:hAnsi="Palatino Linotype"/>
          <w:b/>
          <w:color w:val="231F20"/>
          <w:spacing w:val="-17"/>
          <w:w w:val="95"/>
          <w:sz w:val="18"/>
        </w:rPr>
        <w:t> </w:t>
      </w:r>
      <w:r>
        <w:rPr>
          <w:rFonts w:ascii="Palatino Linotype" w:hAnsi="Palatino Linotype"/>
          <w:b/>
          <w:color w:val="231F20"/>
          <w:w w:val="95"/>
          <w:sz w:val="18"/>
        </w:rPr>
        <w:t>de</w:t>
      </w:r>
      <w:r>
        <w:rPr>
          <w:rFonts w:ascii="Palatino Linotype" w:hAnsi="Palatino Linotype"/>
          <w:b/>
          <w:color w:val="231F20"/>
          <w:spacing w:val="-17"/>
          <w:w w:val="95"/>
          <w:sz w:val="18"/>
        </w:rPr>
        <w:t> </w:t>
      </w:r>
      <w:r>
        <w:rPr>
          <w:rFonts w:ascii="Palatino Linotype" w:hAnsi="Palatino Linotype"/>
          <w:b/>
          <w:color w:val="231F20"/>
          <w:w w:val="95"/>
          <w:sz w:val="18"/>
        </w:rPr>
        <w:t>equipo</w:t>
      </w:r>
      <w:r>
        <w:rPr>
          <w:rFonts w:ascii="Palatino Linotype" w:hAnsi="Palatino Linotype"/>
          <w:b/>
          <w:color w:val="231F20"/>
          <w:spacing w:val="-17"/>
          <w:w w:val="95"/>
          <w:sz w:val="18"/>
        </w:rPr>
        <w:t> </w:t>
      </w:r>
      <w:r>
        <w:rPr>
          <w:rFonts w:ascii="Palatino Linotype" w:hAnsi="Palatino Linotype"/>
          <w:b/>
          <w:color w:val="231F20"/>
          <w:w w:val="95"/>
          <w:sz w:val="18"/>
        </w:rPr>
        <w:t>de</w:t>
      </w:r>
      <w:r>
        <w:rPr>
          <w:rFonts w:ascii="Palatino Linotype" w:hAnsi="Palatino Linotype"/>
          <w:b/>
          <w:color w:val="231F20"/>
          <w:spacing w:val="-17"/>
          <w:w w:val="95"/>
          <w:sz w:val="18"/>
        </w:rPr>
        <w:t> </w:t>
      </w:r>
      <w:r>
        <w:rPr>
          <w:rFonts w:ascii="Palatino Linotype" w:hAnsi="Palatino Linotype"/>
          <w:b/>
          <w:color w:val="231F20"/>
          <w:w w:val="95"/>
          <w:sz w:val="18"/>
        </w:rPr>
        <w:t>transporte</w:t>
        <w:tab/>
      </w:r>
      <w:r>
        <w:rPr>
          <w:rFonts w:ascii="Palatino Linotype" w:hAnsi="Palatino Linotype"/>
          <w:b/>
          <w:color w:val="231F20"/>
          <w:sz w:val="18"/>
        </w:rPr>
        <w:t>11.4</w:t>
        <w:tab/>
        <w:t>8.4</w:t>
        <w:tab/>
        <w:t>10.0</w:t>
      </w:r>
    </w:p>
    <w:p>
      <w:pPr>
        <w:tabs>
          <w:tab w:pos="7514" w:val="left" w:leader="none"/>
          <w:tab w:pos="8469" w:val="left" w:leader="none"/>
          <w:tab w:pos="9646" w:val="left" w:leader="none"/>
        </w:tabs>
        <w:spacing w:before="97"/>
        <w:ind w:left="180" w:right="0" w:firstLine="0"/>
        <w:jc w:val="left"/>
        <w:rPr>
          <w:rFonts w:ascii="Palatino Linotype" w:hAnsi="Palatino Linotype"/>
          <w:b/>
          <w:sz w:val="18"/>
        </w:rPr>
      </w:pPr>
      <w:r>
        <w:rPr>
          <w:rFonts w:ascii="Palatino Linotype" w:hAnsi="Palatino Linotype"/>
          <w:b/>
          <w:color w:val="231F20"/>
          <w:w w:val="95"/>
          <w:sz w:val="18"/>
        </w:rPr>
        <w:t>Rama:</w:t>
      </w:r>
      <w:r>
        <w:rPr>
          <w:rFonts w:ascii="Palatino Linotype" w:hAnsi="Palatino Linotype"/>
          <w:b/>
          <w:color w:val="231F20"/>
          <w:spacing w:val="-18"/>
          <w:w w:val="95"/>
          <w:sz w:val="18"/>
        </w:rPr>
        <w:t> </w:t>
      </w:r>
      <w:r>
        <w:rPr>
          <w:rFonts w:ascii="Palatino Linotype" w:hAnsi="Palatino Linotype"/>
          <w:b/>
          <w:color w:val="231F20"/>
          <w:w w:val="95"/>
          <w:sz w:val="18"/>
        </w:rPr>
        <w:t>Fabricación</w:t>
      </w:r>
      <w:r>
        <w:rPr>
          <w:rFonts w:ascii="Palatino Linotype" w:hAnsi="Palatino Linotype"/>
          <w:b/>
          <w:color w:val="231F20"/>
          <w:spacing w:val="-18"/>
          <w:w w:val="95"/>
          <w:sz w:val="18"/>
        </w:rPr>
        <w:t> </w:t>
      </w:r>
      <w:r>
        <w:rPr>
          <w:rFonts w:ascii="Palatino Linotype" w:hAnsi="Palatino Linotype"/>
          <w:b/>
          <w:color w:val="231F20"/>
          <w:w w:val="95"/>
          <w:sz w:val="18"/>
        </w:rPr>
        <w:t>de</w:t>
      </w:r>
      <w:r>
        <w:rPr>
          <w:rFonts w:ascii="Palatino Linotype" w:hAnsi="Palatino Linotype"/>
          <w:b/>
          <w:color w:val="231F20"/>
          <w:spacing w:val="-18"/>
          <w:w w:val="95"/>
          <w:sz w:val="18"/>
        </w:rPr>
        <w:t> </w:t>
      </w:r>
      <w:r>
        <w:rPr>
          <w:rFonts w:ascii="Palatino Linotype" w:hAnsi="Palatino Linotype"/>
          <w:b/>
          <w:color w:val="231F20"/>
          <w:w w:val="95"/>
          <w:sz w:val="18"/>
        </w:rPr>
        <w:t>automóviles</w:t>
      </w:r>
      <w:r>
        <w:rPr>
          <w:rFonts w:ascii="Palatino Linotype" w:hAnsi="Palatino Linotype"/>
          <w:b/>
          <w:color w:val="231F20"/>
          <w:spacing w:val="-18"/>
          <w:w w:val="95"/>
          <w:sz w:val="18"/>
        </w:rPr>
        <w:t> </w:t>
      </w:r>
      <w:r>
        <w:rPr>
          <w:rFonts w:ascii="Palatino Linotype" w:hAnsi="Palatino Linotype"/>
          <w:b/>
          <w:color w:val="231F20"/>
          <w:w w:val="95"/>
          <w:sz w:val="18"/>
        </w:rPr>
        <w:t>y</w:t>
      </w:r>
      <w:r>
        <w:rPr>
          <w:rFonts w:ascii="Palatino Linotype" w:hAnsi="Palatino Linotype"/>
          <w:b/>
          <w:color w:val="231F20"/>
          <w:spacing w:val="-18"/>
          <w:w w:val="95"/>
          <w:sz w:val="18"/>
        </w:rPr>
        <w:t> </w:t>
      </w:r>
      <w:r>
        <w:rPr>
          <w:rFonts w:ascii="Palatino Linotype" w:hAnsi="Palatino Linotype"/>
          <w:b/>
          <w:color w:val="231F20"/>
          <w:w w:val="95"/>
          <w:sz w:val="18"/>
        </w:rPr>
        <w:t>camiones</w:t>
        <w:tab/>
      </w:r>
      <w:r>
        <w:rPr>
          <w:rFonts w:ascii="Palatino Linotype" w:hAnsi="Palatino Linotype"/>
          <w:b/>
          <w:color w:val="231F20"/>
          <w:sz w:val="18"/>
        </w:rPr>
        <w:t>*</w:t>
        <w:tab/>
        <w:t>17.7</w:t>
        <w:tab/>
        <w:t>11.1</w:t>
      </w:r>
    </w:p>
    <w:p>
      <w:pPr>
        <w:tabs>
          <w:tab w:pos="7514" w:val="left" w:leader="none"/>
          <w:tab w:pos="8520" w:val="left" w:leader="none"/>
          <w:tab w:pos="9696" w:val="left" w:leader="none"/>
        </w:tabs>
        <w:spacing w:before="118"/>
        <w:ind w:left="180" w:right="0" w:firstLine="0"/>
        <w:jc w:val="left"/>
        <w:rPr>
          <w:sz w:val="18"/>
        </w:rPr>
      </w:pPr>
      <w:r>
        <w:rPr>
          <w:color w:val="231F20"/>
          <w:sz w:val="18"/>
        </w:rPr>
        <w:t>Subrama:</w:t>
      </w:r>
      <w:r>
        <w:rPr>
          <w:color w:val="231F20"/>
          <w:spacing w:val="-11"/>
          <w:sz w:val="18"/>
        </w:rPr>
        <w:t> </w:t>
      </w:r>
      <w:r>
        <w:rPr>
          <w:color w:val="231F20"/>
          <w:sz w:val="18"/>
        </w:rPr>
        <w:t>Fabricación</w:t>
      </w:r>
      <w:r>
        <w:rPr>
          <w:color w:val="231F20"/>
          <w:spacing w:val="-11"/>
          <w:sz w:val="18"/>
        </w:rPr>
        <w:t> </w:t>
      </w:r>
      <w:r>
        <w:rPr>
          <w:color w:val="231F20"/>
          <w:sz w:val="18"/>
        </w:rPr>
        <w:t>de</w:t>
      </w:r>
      <w:r>
        <w:rPr>
          <w:color w:val="231F20"/>
          <w:spacing w:val="-11"/>
          <w:sz w:val="18"/>
        </w:rPr>
        <w:t> </w:t>
      </w:r>
      <w:r>
        <w:rPr>
          <w:color w:val="231F20"/>
          <w:sz w:val="18"/>
        </w:rPr>
        <w:t>automóviles</w:t>
      </w:r>
      <w:r>
        <w:rPr>
          <w:color w:val="231F20"/>
          <w:spacing w:val="-11"/>
          <w:sz w:val="18"/>
        </w:rPr>
        <w:t> </w:t>
      </w:r>
      <w:r>
        <w:rPr>
          <w:color w:val="231F20"/>
          <w:sz w:val="18"/>
        </w:rPr>
        <w:t>y</w:t>
      </w:r>
      <w:r>
        <w:rPr>
          <w:color w:val="231F20"/>
          <w:spacing w:val="-11"/>
          <w:sz w:val="18"/>
        </w:rPr>
        <w:t> </w:t>
      </w:r>
      <w:r>
        <w:rPr>
          <w:color w:val="231F20"/>
          <w:sz w:val="18"/>
        </w:rPr>
        <w:t>camionetas</w:t>
        <w:tab/>
        <w:t>*</w:t>
        <w:tab/>
        <w:t>8.6</w:t>
        <w:tab/>
        <w:t>8.6</w:t>
      </w:r>
    </w:p>
    <w:p>
      <w:pPr>
        <w:tabs>
          <w:tab w:pos="7513" w:val="left" w:leader="none"/>
          <w:tab w:pos="8477" w:val="left" w:leader="none"/>
          <w:tab w:pos="9653" w:val="left" w:leader="none"/>
        </w:tabs>
        <w:spacing w:before="133"/>
        <w:ind w:left="180" w:right="0" w:firstLine="0"/>
        <w:jc w:val="left"/>
        <w:rPr>
          <w:sz w:val="18"/>
        </w:rPr>
      </w:pPr>
      <w:r>
        <w:rPr>
          <w:color w:val="231F20"/>
          <w:sz w:val="18"/>
        </w:rPr>
        <w:t>Subrama: Fabricación de camiones</w:t>
      </w:r>
      <w:r>
        <w:rPr>
          <w:color w:val="231F20"/>
          <w:spacing w:val="-31"/>
          <w:sz w:val="18"/>
        </w:rPr>
        <w:t> </w:t>
      </w:r>
      <w:r>
        <w:rPr>
          <w:color w:val="231F20"/>
          <w:sz w:val="18"/>
        </w:rPr>
        <w:t>y</w:t>
      </w:r>
      <w:r>
        <w:rPr>
          <w:color w:val="231F20"/>
          <w:spacing w:val="-8"/>
          <w:sz w:val="18"/>
        </w:rPr>
        <w:t> </w:t>
      </w:r>
      <w:r>
        <w:rPr>
          <w:color w:val="231F20"/>
          <w:sz w:val="18"/>
        </w:rPr>
        <w:t>tractocamiones</w:t>
        <w:tab/>
        <w:t>*</w:t>
        <w:tab/>
        <w:t>45.2</w:t>
        <w:tab/>
        <w:t>28.4</w:t>
      </w:r>
    </w:p>
    <w:p>
      <w:pPr>
        <w:tabs>
          <w:tab w:pos="7392" w:val="left" w:leader="none"/>
          <w:tab w:pos="8469" w:val="left" w:leader="none"/>
          <w:tab w:pos="9645" w:val="left" w:leader="none"/>
        </w:tabs>
        <w:spacing w:before="112"/>
        <w:ind w:left="180" w:right="0" w:firstLine="0"/>
        <w:jc w:val="left"/>
        <w:rPr>
          <w:rFonts w:ascii="Palatino Linotype" w:hAnsi="Palatino Linotype"/>
          <w:b/>
          <w:sz w:val="18"/>
        </w:rPr>
      </w:pPr>
      <w:r>
        <w:rPr>
          <w:rFonts w:ascii="Palatino Linotype" w:hAnsi="Palatino Linotype"/>
          <w:b/>
          <w:color w:val="231F20"/>
          <w:w w:val="95"/>
          <w:sz w:val="18"/>
        </w:rPr>
        <w:t>Rama:</w:t>
      </w:r>
      <w:r>
        <w:rPr>
          <w:rFonts w:ascii="Palatino Linotype" w:hAnsi="Palatino Linotype"/>
          <w:b/>
          <w:color w:val="231F20"/>
          <w:spacing w:val="-15"/>
          <w:w w:val="95"/>
          <w:sz w:val="18"/>
        </w:rPr>
        <w:t> </w:t>
      </w:r>
      <w:r>
        <w:rPr>
          <w:rFonts w:ascii="Palatino Linotype" w:hAnsi="Palatino Linotype"/>
          <w:b/>
          <w:color w:val="231F20"/>
          <w:w w:val="95"/>
          <w:sz w:val="18"/>
        </w:rPr>
        <w:t>Fabricación</w:t>
      </w:r>
      <w:r>
        <w:rPr>
          <w:rFonts w:ascii="Palatino Linotype" w:hAnsi="Palatino Linotype"/>
          <w:b/>
          <w:color w:val="231F20"/>
          <w:spacing w:val="-15"/>
          <w:w w:val="95"/>
          <w:sz w:val="18"/>
        </w:rPr>
        <w:t> </w:t>
      </w:r>
      <w:r>
        <w:rPr>
          <w:rFonts w:ascii="Palatino Linotype" w:hAnsi="Palatino Linotype"/>
          <w:b/>
          <w:color w:val="231F20"/>
          <w:w w:val="95"/>
          <w:sz w:val="18"/>
        </w:rPr>
        <w:t>de</w:t>
      </w:r>
      <w:r>
        <w:rPr>
          <w:rFonts w:ascii="Palatino Linotype" w:hAnsi="Palatino Linotype"/>
          <w:b/>
          <w:color w:val="231F20"/>
          <w:spacing w:val="-15"/>
          <w:w w:val="95"/>
          <w:sz w:val="18"/>
        </w:rPr>
        <w:t> </w:t>
      </w:r>
      <w:r>
        <w:rPr>
          <w:rFonts w:ascii="Palatino Linotype" w:hAnsi="Palatino Linotype"/>
          <w:b/>
          <w:color w:val="231F20"/>
          <w:w w:val="95"/>
          <w:sz w:val="18"/>
        </w:rPr>
        <w:t>carrocerías</w:t>
      </w:r>
      <w:r>
        <w:rPr>
          <w:rFonts w:ascii="Palatino Linotype" w:hAnsi="Palatino Linotype"/>
          <w:b/>
          <w:color w:val="231F20"/>
          <w:spacing w:val="-15"/>
          <w:w w:val="95"/>
          <w:sz w:val="18"/>
        </w:rPr>
        <w:t> </w:t>
      </w:r>
      <w:r>
        <w:rPr>
          <w:rFonts w:ascii="Palatino Linotype" w:hAnsi="Palatino Linotype"/>
          <w:b/>
          <w:color w:val="231F20"/>
          <w:w w:val="95"/>
          <w:sz w:val="18"/>
        </w:rPr>
        <w:t>y</w:t>
      </w:r>
      <w:r>
        <w:rPr>
          <w:rFonts w:ascii="Palatino Linotype" w:hAnsi="Palatino Linotype"/>
          <w:b/>
          <w:color w:val="231F20"/>
          <w:spacing w:val="-15"/>
          <w:w w:val="95"/>
          <w:sz w:val="18"/>
        </w:rPr>
        <w:t> </w:t>
      </w:r>
      <w:r>
        <w:rPr>
          <w:rFonts w:ascii="Palatino Linotype" w:hAnsi="Palatino Linotype"/>
          <w:b/>
          <w:color w:val="231F20"/>
          <w:w w:val="95"/>
          <w:sz w:val="18"/>
        </w:rPr>
        <w:t>remolques</w:t>
        <w:tab/>
      </w:r>
      <w:r>
        <w:rPr>
          <w:rFonts w:ascii="Palatino Linotype" w:hAnsi="Palatino Linotype"/>
          <w:b/>
          <w:color w:val="231F20"/>
          <w:sz w:val="18"/>
        </w:rPr>
        <w:t>12.9</w:t>
        <w:tab/>
        <w:t>26.4</w:t>
        <w:tab/>
        <w:t>34.5</w:t>
      </w:r>
    </w:p>
    <w:p>
      <w:pPr>
        <w:tabs>
          <w:tab w:pos="7399" w:val="left" w:leader="none"/>
          <w:tab w:pos="8476" w:val="left" w:leader="none"/>
          <w:tab w:pos="9653" w:val="left" w:leader="none"/>
        </w:tabs>
        <w:spacing w:before="118"/>
        <w:ind w:left="179" w:right="0" w:firstLine="0"/>
        <w:jc w:val="left"/>
        <w:rPr>
          <w:sz w:val="18"/>
        </w:rPr>
      </w:pPr>
      <w:r>
        <w:rPr>
          <w:color w:val="231F20"/>
          <w:sz w:val="18"/>
        </w:rPr>
        <w:t>Subrama:</w:t>
      </w:r>
      <w:r>
        <w:rPr>
          <w:color w:val="231F20"/>
          <w:spacing w:val="-9"/>
          <w:sz w:val="18"/>
        </w:rPr>
        <w:t> </w:t>
      </w:r>
      <w:r>
        <w:rPr>
          <w:color w:val="231F20"/>
          <w:sz w:val="18"/>
        </w:rPr>
        <w:t>Fabricación</w:t>
      </w:r>
      <w:r>
        <w:rPr>
          <w:color w:val="231F20"/>
          <w:spacing w:val="-9"/>
          <w:sz w:val="18"/>
        </w:rPr>
        <w:t> </w:t>
      </w:r>
      <w:r>
        <w:rPr>
          <w:color w:val="231F20"/>
          <w:sz w:val="18"/>
        </w:rPr>
        <w:t>de</w:t>
      </w:r>
      <w:r>
        <w:rPr>
          <w:color w:val="231F20"/>
          <w:spacing w:val="-9"/>
          <w:sz w:val="18"/>
        </w:rPr>
        <w:t> </w:t>
      </w:r>
      <w:r>
        <w:rPr>
          <w:color w:val="231F20"/>
          <w:sz w:val="18"/>
        </w:rPr>
        <w:t>carrocerías</w:t>
      </w:r>
      <w:r>
        <w:rPr>
          <w:color w:val="231F20"/>
          <w:spacing w:val="-9"/>
          <w:sz w:val="18"/>
        </w:rPr>
        <w:t> </w:t>
      </w:r>
      <w:r>
        <w:rPr>
          <w:color w:val="231F20"/>
          <w:sz w:val="18"/>
        </w:rPr>
        <w:t>y</w:t>
      </w:r>
      <w:r>
        <w:rPr>
          <w:color w:val="231F20"/>
          <w:spacing w:val="-9"/>
          <w:sz w:val="18"/>
        </w:rPr>
        <w:t> </w:t>
      </w:r>
      <w:r>
        <w:rPr>
          <w:color w:val="231F20"/>
          <w:sz w:val="18"/>
        </w:rPr>
        <w:t>remolques</w:t>
        <w:tab/>
        <w:t>12.9</w:t>
        <w:tab/>
        <w:t>26.4</w:t>
        <w:tab/>
        <w:t>34.5</w:t>
      </w:r>
    </w:p>
    <w:p>
      <w:pPr>
        <w:tabs>
          <w:tab w:pos="7391" w:val="left" w:leader="none"/>
          <w:tab w:pos="8514" w:val="left" w:leader="none"/>
          <w:tab w:pos="9690" w:val="left" w:leader="none"/>
        </w:tabs>
        <w:spacing w:before="112"/>
        <w:ind w:left="179" w:right="0" w:firstLine="0"/>
        <w:jc w:val="left"/>
        <w:rPr>
          <w:rFonts w:ascii="Palatino Linotype" w:hAnsi="Palatino Linotype"/>
          <w:b/>
          <w:sz w:val="18"/>
        </w:rPr>
      </w:pPr>
      <w:r>
        <w:rPr>
          <w:rFonts w:ascii="Palatino Linotype" w:hAnsi="Palatino Linotype"/>
          <w:b/>
          <w:color w:val="231F20"/>
          <w:w w:val="95"/>
          <w:sz w:val="18"/>
        </w:rPr>
        <w:t>Rama:</w:t>
      </w:r>
      <w:r>
        <w:rPr>
          <w:rFonts w:ascii="Palatino Linotype" w:hAnsi="Palatino Linotype"/>
          <w:b/>
          <w:color w:val="231F20"/>
          <w:spacing w:val="-17"/>
          <w:w w:val="95"/>
          <w:sz w:val="18"/>
        </w:rPr>
        <w:t> </w:t>
      </w:r>
      <w:r>
        <w:rPr>
          <w:rFonts w:ascii="Palatino Linotype" w:hAnsi="Palatino Linotype"/>
          <w:b/>
          <w:color w:val="231F20"/>
          <w:w w:val="95"/>
          <w:sz w:val="18"/>
        </w:rPr>
        <w:t>Fabricación</w:t>
      </w:r>
      <w:r>
        <w:rPr>
          <w:rFonts w:ascii="Palatino Linotype" w:hAnsi="Palatino Linotype"/>
          <w:b/>
          <w:color w:val="231F20"/>
          <w:spacing w:val="-17"/>
          <w:w w:val="95"/>
          <w:sz w:val="18"/>
        </w:rPr>
        <w:t> </w:t>
      </w:r>
      <w:r>
        <w:rPr>
          <w:rFonts w:ascii="Palatino Linotype" w:hAnsi="Palatino Linotype"/>
          <w:b/>
          <w:color w:val="231F20"/>
          <w:w w:val="95"/>
          <w:sz w:val="18"/>
        </w:rPr>
        <w:t>de</w:t>
      </w:r>
      <w:r>
        <w:rPr>
          <w:rFonts w:ascii="Palatino Linotype" w:hAnsi="Palatino Linotype"/>
          <w:b/>
          <w:color w:val="231F20"/>
          <w:spacing w:val="-17"/>
          <w:w w:val="95"/>
          <w:sz w:val="18"/>
        </w:rPr>
        <w:t> </w:t>
      </w:r>
      <w:r>
        <w:rPr>
          <w:rFonts w:ascii="Palatino Linotype" w:hAnsi="Palatino Linotype"/>
          <w:b/>
          <w:color w:val="231F20"/>
          <w:w w:val="95"/>
          <w:sz w:val="18"/>
        </w:rPr>
        <w:t>partes</w:t>
      </w:r>
      <w:r>
        <w:rPr>
          <w:rFonts w:ascii="Palatino Linotype" w:hAnsi="Palatino Linotype"/>
          <w:b/>
          <w:color w:val="231F20"/>
          <w:spacing w:val="-17"/>
          <w:w w:val="95"/>
          <w:sz w:val="18"/>
        </w:rPr>
        <w:t> </w:t>
      </w:r>
      <w:r>
        <w:rPr>
          <w:rFonts w:ascii="Palatino Linotype" w:hAnsi="Palatino Linotype"/>
          <w:b/>
          <w:color w:val="231F20"/>
          <w:w w:val="95"/>
          <w:sz w:val="18"/>
        </w:rPr>
        <w:t>para</w:t>
      </w:r>
      <w:r>
        <w:rPr>
          <w:rFonts w:ascii="Palatino Linotype" w:hAnsi="Palatino Linotype"/>
          <w:b/>
          <w:color w:val="231F20"/>
          <w:spacing w:val="-17"/>
          <w:w w:val="95"/>
          <w:sz w:val="18"/>
        </w:rPr>
        <w:t> </w:t>
      </w:r>
      <w:r>
        <w:rPr>
          <w:rFonts w:ascii="Palatino Linotype" w:hAnsi="Palatino Linotype"/>
          <w:b/>
          <w:color w:val="231F20"/>
          <w:w w:val="95"/>
          <w:sz w:val="18"/>
        </w:rPr>
        <w:t>vehículos</w:t>
      </w:r>
      <w:r>
        <w:rPr>
          <w:rFonts w:ascii="Palatino Linotype" w:hAnsi="Palatino Linotype"/>
          <w:b/>
          <w:color w:val="231F20"/>
          <w:spacing w:val="-17"/>
          <w:w w:val="95"/>
          <w:sz w:val="18"/>
        </w:rPr>
        <w:t> </w:t>
      </w:r>
      <w:r>
        <w:rPr>
          <w:rFonts w:ascii="Palatino Linotype" w:hAnsi="Palatino Linotype"/>
          <w:b/>
          <w:color w:val="231F20"/>
          <w:w w:val="95"/>
          <w:sz w:val="18"/>
        </w:rPr>
        <w:t>automotores</w:t>
        <w:tab/>
      </w:r>
      <w:r>
        <w:rPr>
          <w:rFonts w:ascii="Palatino Linotype" w:hAnsi="Palatino Linotype"/>
          <w:b/>
          <w:color w:val="231F20"/>
          <w:sz w:val="18"/>
        </w:rPr>
        <w:t>11.1</w:t>
        <w:tab/>
        <w:t>6.8</w:t>
        <w:tab/>
        <w:t>8.8</w:t>
      </w:r>
    </w:p>
    <w:p>
      <w:pPr>
        <w:tabs>
          <w:tab w:pos="7399" w:val="left" w:leader="none"/>
          <w:tab w:pos="8476" w:val="left" w:leader="none"/>
          <w:tab w:pos="9652" w:val="left" w:leader="none"/>
        </w:tabs>
        <w:spacing w:before="118"/>
        <w:ind w:left="179" w:right="0" w:firstLine="0"/>
        <w:jc w:val="left"/>
        <w:rPr>
          <w:sz w:val="18"/>
        </w:rPr>
      </w:pPr>
      <w:r>
        <w:rPr>
          <w:color w:val="231F20"/>
          <w:sz w:val="18"/>
        </w:rPr>
        <w:t>Subrama:</w:t>
      </w:r>
      <w:r>
        <w:rPr>
          <w:color w:val="231F20"/>
          <w:spacing w:val="-8"/>
          <w:sz w:val="18"/>
        </w:rPr>
        <w:t> </w:t>
      </w:r>
      <w:r>
        <w:rPr>
          <w:color w:val="231F20"/>
          <w:sz w:val="18"/>
        </w:rPr>
        <w:t>Fabricación</w:t>
      </w:r>
      <w:r>
        <w:rPr>
          <w:color w:val="231F20"/>
          <w:spacing w:val="-8"/>
          <w:sz w:val="18"/>
        </w:rPr>
        <w:t> </w:t>
      </w:r>
      <w:r>
        <w:rPr>
          <w:color w:val="231F20"/>
          <w:sz w:val="18"/>
        </w:rPr>
        <w:t>de</w:t>
      </w:r>
      <w:r>
        <w:rPr>
          <w:color w:val="231F20"/>
          <w:spacing w:val="-8"/>
          <w:sz w:val="18"/>
        </w:rPr>
        <w:t> </w:t>
      </w:r>
      <w:r>
        <w:rPr>
          <w:color w:val="231F20"/>
          <w:sz w:val="18"/>
        </w:rPr>
        <w:t>motores</w:t>
      </w:r>
      <w:r>
        <w:rPr>
          <w:color w:val="231F20"/>
          <w:spacing w:val="-8"/>
          <w:sz w:val="18"/>
        </w:rPr>
        <w:t> </w:t>
      </w:r>
      <w:r>
        <w:rPr>
          <w:color w:val="231F20"/>
          <w:sz w:val="18"/>
        </w:rPr>
        <w:t>de</w:t>
      </w:r>
      <w:r>
        <w:rPr>
          <w:color w:val="231F20"/>
          <w:spacing w:val="-8"/>
          <w:sz w:val="18"/>
        </w:rPr>
        <w:t> </w:t>
      </w:r>
      <w:r>
        <w:rPr>
          <w:color w:val="231F20"/>
          <w:sz w:val="18"/>
        </w:rPr>
        <w:t>gasolina</w:t>
      </w:r>
      <w:r>
        <w:rPr>
          <w:color w:val="231F20"/>
          <w:spacing w:val="-8"/>
          <w:sz w:val="18"/>
        </w:rPr>
        <w:t> </w:t>
      </w:r>
      <w:r>
        <w:rPr>
          <w:color w:val="231F20"/>
          <w:sz w:val="18"/>
        </w:rPr>
        <w:t>y</w:t>
      </w:r>
      <w:r>
        <w:rPr>
          <w:color w:val="231F20"/>
          <w:spacing w:val="-8"/>
          <w:sz w:val="18"/>
        </w:rPr>
        <w:t> </w:t>
      </w:r>
      <w:r>
        <w:rPr>
          <w:color w:val="231F20"/>
          <w:sz w:val="18"/>
        </w:rPr>
        <w:t>sus</w:t>
      </w:r>
      <w:r>
        <w:rPr>
          <w:color w:val="231F20"/>
          <w:spacing w:val="-8"/>
          <w:sz w:val="18"/>
        </w:rPr>
        <w:t> </w:t>
      </w:r>
      <w:r>
        <w:rPr>
          <w:color w:val="231F20"/>
          <w:sz w:val="18"/>
        </w:rPr>
        <w:t>partes</w:t>
      </w:r>
      <w:r>
        <w:rPr>
          <w:color w:val="231F20"/>
          <w:spacing w:val="-8"/>
          <w:sz w:val="18"/>
        </w:rPr>
        <w:t> </w:t>
      </w:r>
      <w:r>
        <w:rPr>
          <w:color w:val="231F20"/>
          <w:sz w:val="18"/>
        </w:rPr>
        <w:t>para</w:t>
      </w:r>
      <w:r>
        <w:rPr>
          <w:color w:val="231F20"/>
          <w:spacing w:val="-8"/>
          <w:sz w:val="18"/>
        </w:rPr>
        <w:t> </w:t>
      </w:r>
      <w:r>
        <w:rPr>
          <w:color w:val="231F20"/>
          <w:sz w:val="18"/>
        </w:rPr>
        <w:t>vehículos</w:t>
      </w:r>
      <w:r>
        <w:rPr>
          <w:color w:val="231F20"/>
          <w:spacing w:val="-8"/>
          <w:sz w:val="18"/>
        </w:rPr>
        <w:t> </w:t>
      </w:r>
      <w:r>
        <w:rPr>
          <w:color w:val="231F20"/>
          <w:sz w:val="18"/>
        </w:rPr>
        <w:t>automotrices</w:t>
        <w:tab/>
        <w:t>13.1</w:t>
        <w:tab/>
        <w:t>17.9</w:t>
        <w:tab/>
        <w:t>11.2</w:t>
      </w:r>
    </w:p>
    <w:p>
      <w:pPr>
        <w:tabs>
          <w:tab w:pos="7442" w:val="left" w:leader="none"/>
          <w:tab w:pos="8519" w:val="left" w:leader="none"/>
          <w:tab w:pos="9695" w:val="left" w:leader="none"/>
        </w:tabs>
        <w:spacing w:before="133"/>
        <w:ind w:left="179" w:right="0" w:firstLine="0"/>
        <w:jc w:val="left"/>
        <w:rPr>
          <w:sz w:val="18"/>
        </w:rPr>
      </w:pPr>
      <w:r>
        <w:rPr>
          <w:color w:val="231F20"/>
          <w:sz w:val="18"/>
        </w:rPr>
        <w:t>Subrama:</w:t>
      </w:r>
      <w:r>
        <w:rPr>
          <w:color w:val="231F20"/>
          <w:spacing w:val="-6"/>
          <w:sz w:val="18"/>
        </w:rPr>
        <w:t> </w:t>
      </w:r>
      <w:r>
        <w:rPr>
          <w:color w:val="231F20"/>
          <w:sz w:val="18"/>
        </w:rPr>
        <w:t>Fabricación</w:t>
      </w:r>
      <w:r>
        <w:rPr>
          <w:color w:val="231F20"/>
          <w:spacing w:val="-6"/>
          <w:sz w:val="18"/>
        </w:rPr>
        <w:t> </w:t>
      </w:r>
      <w:r>
        <w:rPr>
          <w:color w:val="231F20"/>
          <w:sz w:val="18"/>
        </w:rPr>
        <w:t>de</w:t>
      </w:r>
      <w:r>
        <w:rPr>
          <w:color w:val="231F20"/>
          <w:spacing w:val="-6"/>
          <w:sz w:val="18"/>
        </w:rPr>
        <w:t> </w:t>
      </w:r>
      <w:r>
        <w:rPr>
          <w:color w:val="231F20"/>
          <w:sz w:val="18"/>
        </w:rPr>
        <w:t>equipo</w:t>
      </w:r>
      <w:r>
        <w:rPr>
          <w:color w:val="231F20"/>
          <w:spacing w:val="-6"/>
          <w:sz w:val="18"/>
        </w:rPr>
        <w:t> </w:t>
      </w:r>
      <w:r>
        <w:rPr>
          <w:color w:val="231F20"/>
          <w:sz w:val="18"/>
        </w:rPr>
        <w:t>eléctrico</w:t>
      </w:r>
      <w:r>
        <w:rPr>
          <w:color w:val="231F20"/>
          <w:spacing w:val="-6"/>
          <w:sz w:val="18"/>
        </w:rPr>
        <w:t> </w:t>
      </w:r>
      <w:r>
        <w:rPr>
          <w:color w:val="231F20"/>
          <w:sz w:val="18"/>
        </w:rPr>
        <w:t>y</w:t>
      </w:r>
      <w:r>
        <w:rPr>
          <w:color w:val="231F20"/>
          <w:spacing w:val="-6"/>
          <w:sz w:val="18"/>
        </w:rPr>
        <w:t> </w:t>
      </w:r>
      <w:r>
        <w:rPr>
          <w:color w:val="231F20"/>
          <w:sz w:val="18"/>
        </w:rPr>
        <w:t>electrónico</w:t>
      </w:r>
      <w:r>
        <w:rPr>
          <w:color w:val="231F20"/>
          <w:spacing w:val="-6"/>
          <w:sz w:val="18"/>
        </w:rPr>
        <w:t> </w:t>
      </w:r>
      <w:r>
        <w:rPr>
          <w:color w:val="231F20"/>
          <w:sz w:val="18"/>
        </w:rPr>
        <w:t>para</w:t>
      </w:r>
      <w:r>
        <w:rPr>
          <w:color w:val="231F20"/>
          <w:spacing w:val="-6"/>
          <w:sz w:val="18"/>
        </w:rPr>
        <w:t> </w:t>
      </w:r>
      <w:r>
        <w:rPr>
          <w:color w:val="231F20"/>
          <w:sz w:val="18"/>
        </w:rPr>
        <w:t>vehículos</w:t>
      </w:r>
      <w:r>
        <w:rPr>
          <w:color w:val="231F20"/>
          <w:spacing w:val="-6"/>
          <w:sz w:val="18"/>
        </w:rPr>
        <w:t> </w:t>
      </w:r>
      <w:r>
        <w:rPr>
          <w:color w:val="231F20"/>
          <w:spacing w:val="-3"/>
          <w:sz w:val="18"/>
        </w:rPr>
        <w:t>automotores</w:t>
        <w:tab/>
      </w:r>
      <w:r>
        <w:rPr>
          <w:color w:val="231F20"/>
          <w:sz w:val="18"/>
        </w:rPr>
        <w:t>4.4</w:t>
        <w:tab/>
        <w:t>2.9</w:t>
        <w:tab/>
        <w:t>8.6</w:t>
      </w:r>
    </w:p>
    <w:p>
      <w:pPr>
        <w:spacing w:line="153" w:lineRule="exact" w:before="108"/>
        <w:ind w:left="179" w:right="0" w:firstLine="0"/>
        <w:jc w:val="left"/>
        <w:rPr>
          <w:sz w:val="18"/>
        </w:rPr>
      </w:pPr>
      <w:r>
        <w:rPr>
          <w:color w:val="231F20"/>
          <w:sz w:val="18"/>
        </w:rPr>
        <w:t>Subrama: Fabricación de partes de sistemas de dirección y de suspensión para vehículos</w:t>
      </w:r>
    </w:p>
    <w:p>
      <w:pPr>
        <w:tabs>
          <w:tab w:pos="7399" w:val="left" w:leader="none"/>
          <w:tab w:pos="8476" w:val="left" w:leader="none"/>
          <w:tab w:pos="9652" w:val="left" w:leader="none"/>
        </w:tabs>
        <w:spacing w:line="253" w:lineRule="exact" w:before="0"/>
        <w:ind w:left="179" w:right="0" w:firstLine="0"/>
        <w:jc w:val="left"/>
        <w:rPr>
          <w:sz w:val="18"/>
        </w:rPr>
      </w:pPr>
      <w:r>
        <w:rPr>
          <w:color w:val="231F20"/>
          <w:position w:val="-9"/>
          <w:sz w:val="18"/>
        </w:rPr>
        <w:t>automotrices</w:t>
        <w:tab/>
      </w:r>
      <w:r>
        <w:rPr>
          <w:color w:val="231F20"/>
          <w:sz w:val="18"/>
        </w:rPr>
        <w:t>20.9</w:t>
        <w:tab/>
        <w:t>18.6</w:t>
        <w:tab/>
        <w:t>14.6</w:t>
      </w:r>
    </w:p>
    <w:p>
      <w:pPr>
        <w:tabs>
          <w:tab w:pos="7398" w:val="left" w:leader="none"/>
          <w:tab w:pos="8519" w:val="left" w:leader="none"/>
          <w:tab w:pos="9652" w:val="left" w:leader="none"/>
        </w:tabs>
        <w:spacing w:before="107"/>
        <w:ind w:left="179" w:right="0" w:firstLine="0"/>
        <w:jc w:val="left"/>
        <w:rPr>
          <w:sz w:val="18"/>
        </w:rPr>
      </w:pPr>
      <w:r>
        <w:rPr>
          <w:color w:val="231F20"/>
          <w:sz w:val="18"/>
        </w:rPr>
        <w:t>Subrama:</w:t>
      </w:r>
      <w:r>
        <w:rPr>
          <w:color w:val="231F20"/>
          <w:spacing w:val="-8"/>
          <w:sz w:val="18"/>
        </w:rPr>
        <w:t> </w:t>
      </w:r>
      <w:r>
        <w:rPr>
          <w:color w:val="231F20"/>
          <w:sz w:val="18"/>
        </w:rPr>
        <w:t>Fabricación</w:t>
      </w:r>
      <w:r>
        <w:rPr>
          <w:color w:val="231F20"/>
          <w:spacing w:val="-8"/>
          <w:sz w:val="18"/>
        </w:rPr>
        <w:t> </w:t>
      </w:r>
      <w:r>
        <w:rPr>
          <w:color w:val="231F20"/>
          <w:sz w:val="18"/>
        </w:rPr>
        <w:t>de</w:t>
      </w:r>
      <w:r>
        <w:rPr>
          <w:color w:val="231F20"/>
          <w:spacing w:val="-8"/>
          <w:sz w:val="18"/>
        </w:rPr>
        <w:t> </w:t>
      </w:r>
      <w:r>
        <w:rPr>
          <w:color w:val="231F20"/>
          <w:sz w:val="18"/>
        </w:rPr>
        <w:t>partes</w:t>
      </w:r>
      <w:r>
        <w:rPr>
          <w:color w:val="231F20"/>
          <w:spacing w:val="-8"/>
          <w:sz w:val="18"/>
        </w:rPr>
        <w:t> </w:t>
      </w:r>
      <w:r>
        <w:rPr>
          <w:color w:val="231F20"/>
          <w:sz w:val="18"/>
        </w:rPr>
        <w:t>de</w:t>
      </w:r>
      <w:r>
        <w:rPr>
          <w:color w:val="231F20"/>
          <w:spacing w:val="-8"/>
          <w:sz w:val="18"/>
        </w:rPr>
        <w:t> </w:t>
      </w:r>
      <w:r>
        <w:rPr>
          <w:color w:val="231F20"/>
          <w:sz w:val="18"/>
        </w:rPr>
        <w:t>sistemas</w:t>
      </w:r>
      <w:r>
        <w:rPr>
          <w:color w:val="231F20"/>
          <w:spacing w:val="-8"/>
          <w:sz w:val="18"/>
        </w:rPr>
        <w:t> </w:t>
      </w:r>
      <w:r>
        <w:rPr>
          <w:color w:val="231F20"/>
          <w:sz w:val="18"/>
        </w:rPr>
        <w:t>de</w:t>
      </w:r>
      <w:r>
        <w:rPr>
          <w:color w:val="231F20"/>
          <w:spacing w:val="-8"/>
          <w:sz w:val="18"/>
        </w:rPr>
        <w:t> </w:t>
      </w:r>
      <w:r>
        <w:rPr>
          <w:color w:val="231F20"/>
          <w:sz w:val="18"/>
        </w:rPr>
        <w:t>frenos</w:t>
      </w:r>
      <w:r>
        <w:rPr>
          <w:color w:val="231F20"/>
          <w:spacing w:val="-8"/>
          <w:sz w:val="18"/>
        </w:rPr>
        <w:t> </w:t>
      </w:r>
      <w:r>
        <w:rPr>
          <w:color w:val="231F20"/>
          <w:sz w:val="18"/>
        </w:rPr>
        <w:t>para</w:t>
      </w:r>
      <w:r>
        <w:rPr>
          <w:color w:val="231F20"/>
          <w:spacing w:val="-8"/>
          <w:sz w:val="18"/>
        </w:rPr>
        <w:t> </w:t>
      </w:r>
      <w:r>
        <w:rPr>
          <w:color w:val="231F20"/>
          <w:sz w:val="18"/>
        </w:rPr>
        <w:t>vehículos</w:t>
      </w:r>
      <w:r>
        <w:rPr>
          <w:color w:val="231F20"/>
          <w:spacing w:val="-8"/>
          <w:sz w:val="18"/>
        </w:rPr>
        <w:t> </w:t>
      </w:r>
      <w:r>
        <w:rPr>
          <w:color w:val="231F20"/>
          <w:sz w:val="18"/>
        </w:rPr>
        <w:t>automotrices</w:t>
        <w:tab/>
        <w:t>16.2</w:t>
        <w:tab/>
        <w:t>9.7</w:t>
        <w:tab/>
        <w:t>16.2</w:t>
      </w:r>
    </w:p>
    <w:p>
      <w:pPr>
        <w:tabs>
          <w:tab w:pos="7398" w:val="left" w:leader="none"/>
          <w:tab w:pos="8519" w:val="left" w:leader="none"/>
          <w:tab w:pos="9695" w:val="left" w:leader="none"/>
        </w:tabs>
        <w:spacing w:before="133"/>
        <w:ind w:left="178" w:right="0" w:firstLine="0"/>
        <w:jc w:val="left"/>
        <w:rPr>
          <w:sz w:val="18"/>
        </w:rPr>
      </w:pPr>
      <w:r>
        <w:rPr>
          <w:color w:val="231F20"/>
          <w:sz w:val="18"/>
        </w:rPr>
        <w:t>Subrama: Fabricación de partes de sistemas de transmisión para</w:t>
      </w:r>
      <w:r>
        <w:rPr>
          <w:color w:val="231F20"/>
          <w:spacing w:val="-29"/>
          <w:sz w:val="18"/>
        </w:rPr>
        <w:t> </w:t>
      </w:r>
      <w:r>
        <w:rPr>
          <w:color w:val="231F20"/>
          <w:sz w:val="18"/>
        </w:rPr>
        <w:t>vehículos</w:t>
      </w:r>
      <w:r>
        <w:rPr>
          <w:color w:val="231F20"/>
          <w:spacing w:val="-4"/>
          <w:sz w:val="18"/>
        </w:rPr>
        <w:t> </w:t>
      </w:r>
      <w:r>
        <w:rPr>
          <w:color w:val="231F20"/>
          <w:spacing w:val="-3"/>
          <w:sz w:val="18"/>
        </w:rPr>
        <w:t>automotores</w:t>
        <w:tab/>
      </w:r>
      <w:r>
        <w:rPr>
          <w:color w:val="231F20"/>
          <w:sz w:val="18"/>
        </w:rPr>
        <w:t>19.1</w:t>
        <w:tab/>
        <w:t>8.4</w:t>
        <w:tab/>
        <w:t>3.9</w:t>
      </w:r>
    </w:p>
    <w:p>
      <w:pPr>
        <w:tabs>
          <w:tab w:pos="7398" w:val="left" w:leader="none"/>
          <w:tab w:pos="8518" w:val="left" w:leader="none"/>
          <w:tab w:pos="9695" w:val="left" w:leader="none"/>
        </w:tabs>
        <w:spacing w:before="133"/>
        <w:ind w:left="178" w:right="0" w:firstLine="0"/>
        <w:jc w:val="left"/>
        <w:rPr>
          <w:sz w:val="18"/>
        </w:rPr>
      </w:pPr>
      <w:r>
        <w:rPr>
          <w:color w:val="231F20"/>
          <w:sz w:val="18"/>
        </w:rPr>
        <w:t>Subrama:</w:t>
      </w:r>
      <w:r>
        <w:rPr>
          <w:color w:val="231F20"/>
          <w:spacing w:val="-7"/>
          <w:sz w:val="18"/>
        </w:rPr>
        <w:t> </w:t>
      </w:r>
      <w:r>
        <w:rPr>
          <w:color w:val="231F20"/>
          <w:sz w:val="18"/>
        </w:rPr>
        <w:t>Fabricación</w:t>
      </w:r>
      <w:r>
        <w:rPr>
          <w:color w:val="231F20"/>
          <w:spacing w:val="-7"/>
          <w:sz w:val="18"/>
        </w:rPr>
        <w:t> </w:t>
      </w:r>
      <w:r>
        <w:rPr>
          <w:color w:val="231F20"/>
          <w:sz w:val="18"/>
        </w:rPr>
        <w:t>de</w:t>
      </w:r>
      <w:r>
        <w:rPr>
          <w:color w:val="231F20"/>
          <w:spacing w:val="-7"/>
          <w:sz w:val="18"/>
        </w:rPr>
        <w:t> </w:t>
      </w:r>
      <w:r>
        <w:rPr>
          <w:color w:val="231F20"/>
          <w:sz w:val="18"/>
        </w:rPr>
        <w:t>asientos</w:t>
      </w:r>
      <w:r>
        <w:rPr>
          <w:color w:val="231F20"/>
          <w:spacing w:val="-7"/>
          <w:sz w:val="18"/>
        </w:rPr>
        <w:t> </w:t>
      </w:r>
      <w:r>
        <w:rPr>
          <w:color w:val="231F20"/>
          <w:sz w:val="18"/>
        </w:rPr>
        <w:t>y</w:t>
      </w:r>
      <w:r>
        <w:rPr>
          <w:color w:val="231F20"/>
          <w:spacing w:val="-7"/>
          <w:sz w:val="18"/>
        </w:rPr>
        <w:t> </w:t>
      </w:r>
      <w:r>
        <w:rPr>
          <w:color w:val="231F20"/>
          <w:sz w:val="18"/>
        </w:rPr>
        <w:t>accesorios</w:t>
      </w:r>
      <w:r>
        <w:rPr>
          <w:color w:val="231F20"/>
          <w:spacing w:val="-7"/>
          <w:sz w:val="18"/>
        </w:rPr>
        <w:t> </w:t>
      </w:r>
      <w:r>
        <w:rPr>
          <w:color w:val="231F20"/>
          <w:sz w:val="18"/>
        </w:rPr>
        <w:t>interiores</w:t>
      </w:r>
      <w:r>
        <w:rPr>
          <w:color w:val="231F20"/>
          <w:spacing w:val="-7"/>
          <w:sz w:val="18"/>
        </w:rPr>
        <w:t> </w:t>
      </w:r>
      <w:r>
        <w:rPr>
          <w:color w:val="231F20"/>
          <w:sz w:val="18"/>
        </w:rPr>
        <w:t>para</w:t>
      </w:r>
      <w:r>
        <w:rPr>
          <w:color w:val="231F20"/>
          <w:spacing w:val="-7"/>
          <w:sz w:val="18"/>
        </w:rPr>
        <w:t> </w:t>
      </w:r>
      <w:r>
        <w:rPr>
          <w:color w:val="231F20"/>
          <w:sz w:val="18"/>
        </w:rPr>
        <w:t>vehículos</w:t>
      </w:r>
      <w:r>
        <w:rPr>
          <w:color w:val="231F20"/>
          <w:spacing w:val="-7"/>
          <w:sz w:val="18"/>
        </w:rPr>
        <w:t> </w:t>
      </w:r>
      <w:r>
        <w:rPr>
          <w:color w:val="231F20"/>
          <w:spacing w:val="-3"/>
          <w:sz w:val="18"/>
        </w:rPr>
        <w:t>automotores</w:t>
        <w:tab/>
      </w:r>
      <w:r>
        <w:rPr>
          <w:color w:val="231F20"/>
          <w:sz w:val="18"/>
        </w:rPr>
        <w:t>15.9</w:t>
        <w:tab/>
        <w:t>5.8</w:t>
        <w:tab/>
        <w:t>8.3</w:t>
      </w:r>
    </w:p>
    <w:p>
      <w:pPr>
        <w:tabs>
          <w:tab w:pos="7398" w:val="left" w:leader="none"/>
          <w:tab w:pos="8475" w:val="left" w:leader="none"/>
          <w:tab w:pos="9651" w:val="left" w:leader="none"/>
        </w:tabs>
        <w:spacing w:before="133"/>
        <w:ind w:left="178" w:right="0" w:firstLine="0"/>
        <w:jc w:val="left"/>
        <w:rPr>
          <w:sz w:val="18"/>
        </w:rPr>
      </w:pPr>
      <w:r>
        <w:rPr>
          <w:color w:val="231F20"/>
          <w:sz w:val="18"/>
        </w:rPr>
        <w:t>Subrama:</w:t>
      </w:r>
      <w:r>
        <w:rPr>
          <w:color w:val="231F20"/>
          <w:spacing w:val="-9"/>
          <w:sz w:val="18"/>
        </w:rPr>
        <w:t> </w:t>
      </w:r>
      <w:r>
        <w:rPr>
          <w:color w:val="231F20"/>
          <w:sz w:val="18"/>
        </w:rPr>
        <w:t>Fabricación</w:t>
      </w:r>
      <w:r>
        <w:rPr>
          <w:color w:val="231F20"/>
          <w:spacing w:val="-9"/>
          <w:sz w:val="18"/>
        </w:rPr>
        <w:t> </w:t>
      </w:r>
      <w:r>
        <w:rPr>
          <w:color w:val="231F20"/>
          <w:sz w:val="18"/>
        </w:rPr>
        <w:t>de</w:t>
      </w:r>
      <w:r>
        <w:rPr>
          <w:color w:val="231F20"/>
          <w:spacing w:val="-9"/>
          <w:sz w:val="18"/>
        </w:rPr>
        <w:t> </w:t>
      </w:r>
      <w:r>
        <w:rPr>
          <w:color w:val="231F20"/>
          <w:sz w:val="18"/>
        </w:rPr>
        <w:t>piezas</w:t>
      </w:r>
      <w:r>
        <w:rPr>
          <w:color w:val="231F20"/>
          <w:spacing w:val="-9"/>
          <w:sz w:val="18"/>
        </w:rPr>
        <w:t> </w:t>
      </w:r>
      <w:r>
        <w:rPr>
          <w:color w:val="231F20"/>
          <w:sz w:val="18"/>
        </w:rPr>
        <w:t>metálicas</w:t>
      </w:r>
      <w:r>
        <w:rPr>
          <w:color w:val="231F20"/>
          <w:spacing w:val="-9"/>
          <w:sz w:val="18"/>
        </w:rPr>
        <w:t> </w:t>
      </w:r>
      <w:r>
        <w:rPr>
          <w:color w:val="231F20"/>
          <w:sz w:val="18"/>
        </w:rPr>
        <w:t>troqueladas</w:t>
      </w:r>
      <w:r>
        <w:rPr>
          <w:color w:val="231F20"/>
          <w:spacing w:val="-9"/>
          <w:sz w:val="18"/>
        </w:rPr>
        <w:t> </w:t>
      </w:r>
      <w:r>
        <w:rPr>
          <w:color w:val="231F20"/>
          <w:sz w:val="18"/>
        </w:rPr>
        <w:t>para</w:t>
      </w:r>
      <w:r>
        <w:rPr>
          <w:color w:val="231F20"/>
          <w:spacing w:val="-9"/>
          <w:sz w:val="18"/>
        </w:rPr>
        <w:t> </w:t>
      </w:r>
      <w:r>
        <w:rPr>
          <w:color w:val="231F20"/>
          <w:sz w:val="18"/>
        </w:rPr>
        <w:t>vehículos</w:t>
      </w:r>
      <w:r>
        <w:rPr>
          <w:color w:val="231F20"/>
          <w:spacing w:val="-9"/>
          <w:sz w:val="18"/>
        </w:rPr>
        <w:t> </w:t>
      </w:r>
      <w:r>
        <w:rPr>
          <w:color w:val="231F20"/>
          <w:sz w:val="18"/>
        </w:rPr>
        <w:t>automotrices</w:t>
        <w:tab/>
        <w:t>11.0</w:t>
        <w:tab/>
        <w:t>17.8</w:t>
        <w:tab/>
        <w:t>12.6</w:t>
      </w:r>
    </w:p>
    <w:p>
      <w:pPr>
        <w:tabs>
          <w:tab w:pos="7441" w:val="left" w:leader="none"/>
          <w:tab w:pos="8518" w:val="left" w:leader="none"/>
          <w:tab w:pos="9694" w:val="left" w:leader="none"/>
        </w:tabs>
        <w:spacing w:before="133"/>
        <w:ind w:left="178" w:right="0" w:firstLine="0"/>
        <w:jc w:val="left"/>
        <w:rPr>
          <w:sz w:val="18"/>
        </w:rPr>
      </w:pPr>
      <w:r>
        <w:rPr/>
        <w:pict>
          <v:group style="position:absolute;margin-left:64.946899pt;margin-top:20.004444pt;width:519.25pt;height:.5pt;mso-position-horizontal-relative:page;mso-position-vertical-relative:paragraph;z-index:9568" coordorigin="1299,400" coordsize="10385,10">
            <v:line style="position:absolute" from="1304,405" to="8135,405" stroked="true" strokeweight=".5pt" strokecolor="#231f20"/>
            <v:line style="position:absolute" from="8135,405" to="9326,405" stroked="true" strokeweight=".5pt" strokecolor="#231f20"/>
            <v:line style="position:absolute" from="9326,405" to="10290,405" stroked="true" strokeweight=".5pt" strokecolor="#231f20"/>
            <v:line style="position:absolute" from="10290,405" to="11679,405" stroked="true" strokeweight=".5pt" strokecolor="#231f20"/>
            <w10:wrap type="none"/>
          </v:group>
        </w:pict>
      </w:r>
      <w:r>
        <w:rPr>
          <w:color w:val="231F20"/>
          <w:sz w:val="18"/>
        </w:rPr>
        <w:t>Subrama:</w:t>
      </w:r>
      <w:r>
        <w:rPr>
          <w:color w:val="231F20"/>
          <w:spacing w:val="-7"/>
          <w:sz w:val="18"/>
        </w:rPr>
        <w:t> </w:t>
      </w:r>
      <w:r>
        <w:rPr>
          <w:color w:val="231F20"/>
          <w:sz w:val="18"/>
        </w:rPr>
        <w:t>Fabricación</w:t>
      </w:r>
      <w:r>
        <w:rPr>
          <w:color w:val="231F20"/>
          <w:spacing w:val="-7"/>
          <w:sz w:val="18"/>
        </w:rPr>
        <w:t> </w:t>
      </w:r>
      <w:r>
        <w:rPr>
          <w:color w:val="231F20"/>
          <w:sz w:val="18"/>
        </w:rPr>
        <w:t>de</w:t>
      </w:r>
      <w:r>
        <w:rPr>
          <w:color w:val="231F20"/>
          <w:spacing w:val="-7"/>
          <w:sz w:val="18"/>
        </w:rPr>
        <w:t> </w:t>
      </w:r>
      <w:r>
        <w:rPr>
          <w:color w:val="231F20"/>
          <w:sz w:val="18"/>
        </w:rPr>
        <w:t>otras</w:t>
      </w:r>
      <w:r>
        <w:rPr>
          <w:color w:val="231F20"/>
          <w:spacing w:val="-7"/>
          <w:sz w:val="18"/>
        </w:rPr>
        <w:t> </w:t>
      </w:r>
      <w:r>
        <w:rPr>
          <w:color w:val="231F20"/>
          <w:sz w:val="18"/>
        </w:rPr>
        <w:t>partes</w:t>
      </w:r>
      <w:r>
        <w:rPr>
          <w:color w:val="231F20"/>
          <w:spacing w:val="-7"/>
          <w:sz w:val="18"/>
        </w:rPr>
        <w:t> </w:t>
      </w:r>
      <w:r>
        <w:rPr>
          <w:color w:val="231F20"/>
          <w:sz w:val="18"/>
        </w:rPr>
        <w:t>para</w:t>
      </w:r>
      <w:r>
        <w:rPr>
          <w:color w:val="231F20"/>
          <w:spacing w:val="-7"/>
          <w:sz w:val="18"/>
        </w:rPr>
        <w:t> </w:t>
      </w:r>
      <w:r>
        <w:rPr>
          <w:color w:val="231F20"/>
          <w:sz w:val="18"/>
        </w:rPr>
        <w:t>vehículos</w:t>
      </w:r>
      <w:r>
        <w:rPr>
          <w:color w:val="231F20"/>
          <w:spacing w:val="-7"/>
          <w:sz w:val="18"/>
        </w:rPr>
        <w:t> </w:t>
      </w:r>
      <w:r>
        <w:rPr>
          <w:color w:val="231F20"/>
          <w:sz w:val="18"/>
        </w:rPr>
        <w:t>automotrices</w:t>
        <w:tab/>
        <w:t>9.8</w:t>
        <w:tab/>
        <w:t>6.3</w:t>
        <w:tab/>
        <w:t>7.4</w:t>
      </w:r>
    </w:p>
    <w:p>
      <w:pPr>
        <w:spacing w:before="263"/>
        <w:ind w:left="123" w:right="0" w:firstLine="0"/>
        <w:jc w:val="left"/>
        <w:rPr>
          <w:sz w:val="19"/>
        </w:rPr>
      </w:pPr>
      <w:r>
        <w:rPr>
          <w:color w:val="231F20"/>
          <w:sz w:val="19"/>
        </w:rPr>
        <w:t>Nota: No incluye otro tipo de transporte, como embarcaciones, equipo ferroviario, motocicletas y bicicletas.</w:t>
      </w:r>
    </w:p>
    <w:p>
      <w:pPr>
        <w:spacing w:before="39"/>
        <w:ind w:left="123" w:right="0" w:firstLine="0"/>
        <w:jc w:val="left"/>
        <w:rPr>
          <w:sz w:val="19"/>
        </w:rPr>
      </w:pPr>
      <w:r>
        <w:rPr>
          <w:rFonts w:ascii="Palatino Linotype" w:hAnsi="Palatino Linotype"/>
          <w:i/>
          <w:color w:val="231F20"/>
          <w:sz w:val="19"/>
        </w:rPr>
        <w:t>Fuente: </w:t>
      </w:r>
      <w:r>
        <w:rPr>
          <w:color w:val="231F20"/>
          <w:sz w:val="19"/>
        </w:rPr>
        <w:t>Elaboración propia con datos de INEGI (2009).</w:t>
      </w:r>
    </w:p>
    <w:p>
      <w:pPr>
        <w:spacing w:after="0"/>
        <w:jc w:val="left"/>
        <w:rPr>
          <w:sz w:val="19"/>
        </w:rPr>
        <w:sectPr>
          <w:type w:val="continuous"/>
          <w:pgSz w:w="13040" w:h="9640" w:orient="landscape"/>
          <w:pgMar w:top="1200" w:bottom="280" w:left="1180" w:right="1240"/>
        </w:sectPr>
      </w:pPr>
    </w:p>
    <w:p>
      <w:pPr>
        <w:pStyle w:val="BodyText"/>
        <w:rPr>
          <w:sz w:val="20"/>
        </w:rPr>
      </w:pPr>
    </w:p>
    <w:p>
      <w:pPr>
        <w:pStyle w:val="BodyText"/>
        <w:spacing w:before="6"/>
      </w:pPr>
    </w:p>
    <w:p>
      <w:pPr>
        <w:pStyle w:val="BodyText"/>
        <w:spacing w:line="278" w:lineRule="auto" w:before="58"/>
        <w:ind w:left="713" w:right="101"/>
        <w:jc w:val="both"/>
      </w:pPr>
      <w:r>
        <w:rPr>
          <w:color w:val="231F20"/>
          <w:spacing w:val="-3"/>
        </w:rPr>
        <w:t>Si </w:t>
      </w:r>
      <w:r>
        <w:rPr>
          <w:color w:val="231F20"/>
        </w:rPr>
        <w:t>se </w:t>
      </w:r>
      <w:r>
        <w:rPr>
          <w:color w:val="231F20"/>
          <w:spacing w:val="-4"/>
        </w:rPr>
        <w:t>analiza </w:t>
      </w:r>
      <w:r>
        <w:rPr>
          <w:color w:val="231F20"/>
        </w:rPr>
        <w:t>la </w:t>
      </w:r>
      <w:r>
        <w:rPr>
          <w:color w:val="231F20"/>
          <w:spacing w:val="-4"/>
        </w:rPr>
        <w:t>estructura interna </w:t>
      </w:r>
      <w:r>
        <w:rPr>
          <w:color w:val="231F20"/>
        </w:rPr>
        <w:t>de la </w:t>
      </w:r>
      <w:r>
        <w:rPr>
          <w:color w:val="231F20"/>
          <w:spacing w:val="-4"/>
        </w:rPr>
        <w:t>cadena productiva, </w:t>
      </w:r>
      <w:r>
        <w:rPr>
          <w:color w:val="231F20"/>
        </w:rPr>
        <w:t>se </w:t>
      </w:r>
      <w:r>
        <w:rPr>
          <w:color w:val="231F20"/>
          <w:spacing w:val="-3"/>
        </w:rPr>
        <w:t>observa </w:t>
      </w:r>
      <w:r>
        <w:rPr>
          <w:color w:val="231F20"/>
          <w:spacing w:val="-4"/>
        </w:rPr>
        <w:t>que </w:t>
      </w:r>
      <w:r>
        <w:rPr>
          <w:color w:val="231F20"/>
          <w:spacing w:val="-3"/>
        </w:rPr>
        <w:t>los </w:t>
      </w:r>
      <w:r>
        <w:rPr>
          <w:color w:val="231F20"/>
          <w:spacing w:val="-4"/>
        </w:rPr>
        <w:t>principales productos que </w:t>
      </w:r>
      <w:r>
        <w:rPr>
          <w:color w:val="231F20"/>
        </w:rPr>
        <w:t>se </w:t>
      </w:r>
      <w:r>
        <w:rPr>
          <w:color w:val="231F20"/>
          <w:spacing w:val="-4"/>
        </w:rPr>
        <w:t>fabrican </w:t>
      </w:r>
      <w:r>
        <w:rPr>
          <w:color w:val="231F20"/>
          <w:spacing w:val="-3"/>
        </w:rPr>
        <w:t>son </w:t>
      </w:r>
      <w:r>
        <w:rPr>
          <w:color w:val="231F20"/>
          <w:spacing w:val="-5"/>
        </w:rPr>
        <w:t>automóviles </w:t>
      </w:r>
      <w:r>
        <w:rPr>
          <w:color w:val="231F20"/>
        </w:rPr>
        <w:t>y </w:t>
      </w:r>
      <w:r>
        <w:rPr>
          <w:color w:val="231F20"/>
          <w:spacing w:val="-4"/>
        </w:rPr>
        <w:t>camionetas, camiones </w:t>
      </w:r>
      <w:r>
        <w:rPr>
          <w:color w:val="231F20"/>
        </w:rPr>
        <w:t>y </w:t>
      </w:r>
      <w:r>
        <w:rPr>
          <w:color w:val="231F20"/>
          <w:spacing w:val="-4"/>
        </w:rPr>
        <w:t>tractocamiones, </w:t>
      </w:r>
      <w:r>
        <w:rPr>
          <w:color w:val="231F20"/>
        </w:rPr>
        <w:t>y </w:t>
      </w:r>
      <w:r>
        <w:rPr>
          <w:color w:val="231F20"/>
          <w:spacing w:val="-4"/>
        </w:rPr>
        <w:t>carrocerías </w:t>
      </w:r>
      <w:r>
        <w:rPr>
          <w:color w:val="231F20"/>
        </w:rPr>
        <w:t>y </w:t>
      </w:r>
      <w:r>
        <w:rPr>
          <w:color w:val="231F20"/>
          <w:spacing w:val="-5"/>
        </w:rPr>
        <w:t>remolques; </w:t>
      </w:r>
      <w:r>
        <w:rPr>
          <w:color w:val="231F20"/>
          <w:spacing w:val="-3"/>
        </w:rPr>
        <w:t>así </w:t>
      </w:r>
      <w:r>
        <w:rPr>
          <w:color w:val="231F20"/>
          <w:spacing w:val="-4"/>
        </w:rPr>
        <w:t>como </w:t>
      </w:r>
      <w:r>
        <w:rPr>
          <w:color w:val="231F20"/>
          <w:spacing w:val="-5"/>
        </w:rPr>
        <w:t>autopartes </w:t>
      </w:r>
      <w:r>
        <w:rPr>
          <w:color w:val="231F20"/>
        </w:rPr>
        <w:t>en </w:t>
      </w:r>
      <w:r>
        <w:rPr>
          <w:color w:val="231F20"/>
          <w:spacing w:val="-3"/>
        </w:rPr>
        <w:t>las </w:t>
      </w:r>
      <w:r>
        <w:rPr>
          <w:color w:val="231F20"/>
          <w:spacing w:val="-5"/>
        </w:rPr>
        <w:t>subramas </w:t>
      </w:r>
      <w:r>
        <w:rPr>
          <w:color w:val="231F20"/>
        </w:rPr>
        <w:t>de </w:t>
      </w:r>
      <w:r>
        <w:rPr>
          <w:color w:val="231F20"/>
          <w:spacing w:val="-4"/>
        </w:rPr>
        <w:t>fabricación </w:t>
      </w:r>
      <w:r>
        <w:rPr>
          <w:color w:val="231F20"/>
        </w:rPr>
        <w:t>de </w:t>
      </w:r>
      <w:r>
        <w:rPr>
          <w:color w:val="231F20"/>
          <w:spacing w:val="-5"/>
        </w:rPr>
        <w:t>motores </w:t>
      </w:r>
      <w:r>
        <w:rPr>
          <w:color w:val="231F20"/>
        </w:rPr>
        <w:t>de</w:t>
      </w:r>
      <w:r>
        <w:rPr>
          <w:color w:val="231F20"/>
          <w:spacing w:val="-10"/>
        </w:rPr>
        <w:t> </w:t>
      </w:r>
      <w:r>
        <w:rPr>
          <w:color w:val="231F20"/>
          <w:spacing w:val="-4"/>
        </w:rPr>
        <w:t>gasolina</w:t>
      </w:r>
      <w:r>
        <w:rPr>
          <w:color w:val="231F20"/>
          <w:spacing w:val="-10"/>
        </w:rPr>
        <w:t> </w:t>
      </w:r>
      <w:r>
        <w:rPr>
          <w:color w:val="231F20"/>
        </w:rPr>
        <w:t>y</w:t>
      </w:r>
      <w:r>
        <w:rPr>
          <w:color w:val="231F20"/>
          <w:spacing w:val="-10"/>
        </w:rPr>
        <w:t> </w:t>
      </w:r>
      <w:r>
        <w:rPr>
          <w:color w:val="231F20"/>
          <w:spacing w:val="-3"/>
        </w:rPr>
        <w:t>sus</w:t>
      </w:r>
      <w:r>
        <w:rPr>
          <w:color w:val="231F20"/>
          <w:spacing w:val="-10"/>
        </w:rPr>
        <w:t> </w:t>
      </w:r>
      <w:r>
        <w:rPr>
          <w:color w:val="231F20"/>
          <w:spacing w:val="-4"/>
        </w:rPr>
        <w:t>partes,</w:t>
      </w:r>
      <w:r>
        <w:rPr>
          <w:color w:val="231F20"/>
          <w:spacing w:val="-3"/>
        </w:rPr>
        <w:t> </w:t>
      </w:r>
      <w:r>
        <w:rPr>
          <w:color w:val="231F20"/>
        </w:rPr>
        <w:t>de</w:t>
      </w:r>
      <w:r>
        <w:rPr>
          <w:color w:val="231F20"/>
          <w:spacing w:val="-7"/>
        </w:rPr>
        <w:t> </w:t>
      </w:r>
      <w:r>
        <w:rPr>
          <w:color w:val="231F20"/>
          <w:spacing w:val="-3"/>
        </w:rPr>
        <w:t>sistemas</w:t>
      </w:r>
      <w:r>
        <w:rPr>
          <w:color w:val="231F20"/>
          <w:spacing w:val="-7"/>
        </w:rPr>
        <w:t> </w:t>
      </w:r>
      <w:r>
        <w:rPr>
          <w:color w:val="231F20"/>
        </w:rPr>
        <w:t>de</w:t>
      </w:r>
      <w:r>
        <w:rPr>
          <w:color w:val="231F20"/>
          <w:spacing w:val="-7"/>
        </w:rPr>
        <w:t> </w:t>
      </w:r>
      <w:r>
        <w:rPr>
          <w:color w:val="231F20"/>
          <w:spacing w:val="-3"/>
        </w:rPr>
        <w:t>suspensión</w:t>
      </w:r>
      <w:r>
        <w:rPr>
          <w:color w:val="231F20"/>
          <w:spacing w:val="-7"/>
        </w:rPr>
        <w:t> </w:t>
      </w:r>
      <w:r>
        <w:rPr>
          <w:color w:val="231F20"/>
        </w:rPr>
        <w:t>y</w:t>
      </w:r>
      <w:r>
        <w:rPr>
          <w:color w:val="231F20"/>
          <w:spacing w:val="-7"/>
        </w:rPr>
        <w:t> </w:t>
      </w:r>
      <w:r>
        <w:rPr>
          <w:color w:val="231F20"/>
          <w:spacing w:val="-3"/>
        </w:rPr>
        <w:t>dirección,</w:t>
      </w:r>
      <w:r>
        <w:rPr>
          <w:color w:val="231F20"/>
          <w:spacing w:val="-7"/>
        </w:rPr>
        <w:t> </w:t>
      </w:r>
      <w:r>
        <w:rPr>
          <w:color w:val="231F20"/>
        </w:rPr>
        <w:t>de</w:t>
      </w:r>
      <w:r>
        <w:rPr>
          <w:color w:val="231F20"/>
          <w:spacing w:val="-7"/>
        </w:rPr>
        <w:t> </w:t>
      </w:r>
      <w:r>
        <w:rPr>
          <w:color w:val="231F20"/>
          <w:spacing w:val="-3"/>
        </w:rPr>
        <w:t>sistemas</w:t>
      </w:r>
      <w:r>
        <w:rPr>
          <w:color w:val="231F20"/>
          <w:spacing w:val="-7"/>
        </w:rPr>
        <w:t> </w:t>
      </w:r>
      <w:r>
        <w:rPr>
          <w:color w:val="231F20"/>
        </w:rPr>
        <w:t>de</w:t>
      </w:r>
      <w:r>
        <w:rPr>
          <w:color w:val="231F20"/>
          <w:spacing w:val="-7"/>
        </w:rPr>
        <w:t> </w:t>
      </w:r>
      <w:r>
        <w:rPr>
          <w:color w:val="231F20"/>
          <w:spacing w:val="-3"/>
        </w:rPr>
        <w:t>frenos,</w:t>
      </w:r>
      <w:r>
        <w:rPr>
          <w:color w:val="231F20"/>
          <w:spacing w:val="-7"/>
        </w:rPr>
        <w:t> </w:t>
      </w:r>
      <w:r>
        <w:rPr>
          <w:color w:val="231F20"/>
          <w:spacing w:val="-3"/>
        </w:rPr>
        <w:t>de sistemas </w:t>
      </w:r>
      <w:r>
        <w:rPr>
          <w:color w:val="231F20"/>
        </w:rPr>
        <w:t>de </w:t>
      </w:r>
      <w:r>
        <w:rPr>
          <w:color w:val="231F20"/>
          <w:spacing w:val="-3"/>
        </w:rPr>
        <w:t>transmisión </w:t>
      </w:r>
      <w:r>
        <w:rPr>
          <w:color w:val="231F20"/>
        </w:rPr>
        <w:t>y de </w:t>
      </w:r>
      <w:r>
        <w:rPr>
          <w:color w:val="231F20"/>
          <w:spacing w:val="-3"/>
        </w:rPr>
        <w:t>piezas metálicas troqueladas. </w:t>
      </w:r>
      <w:r>
        <w:rPr>
          <w:color w:val="231F20"/>
        </w:rPr>
        <w:t>Estas </w:t>
      </w:r>
      <w:r>
        <w:rPr>
          <w:color w:val="231F20"/>
          <w:spacing w:val="-3"/>
        </w:rPr>
        <w:t>actividades </w:t>
      </w:r>
      <w:r>
        <w:rPr>
          <w:color w:val="231F20"/>
          <w:spacing w:val="-4"/>
        </w:rPr>
        <w:t>concentran </w:t>
      </w:r>
      <w:r>
        <w:rPr>
          <w:color w:val="231F20"/>
        </w:rPr>
        <w:t>la </w:t>
      </w:r>
      <w:r>
        <w:rPr>
          <w:color w:val="231F20"/>
          <w:spacing w:val="-4"/>
        </w:rPr>
        <w:t>mayor </w:t>
      </w:r>
      <w:r>
        <w:rPr>
          <w:color w:val="231F20"/>
          <w:spacing w:val="-3"/>
        </w:rPr>
        <w:t>cantidad </w:t>
      </w:r>
      <w:r>
        <w:rPr>
          <w:color w:val="231F20"/>
        </w:rPr>
        <w:t>de </w:t>
      </w:r>
      <w:r>
        <w:rPr>
          <w:color w:val="231F20"/>
          <w:spacing w:val="-3"/>
        </w:rPr>
        <w:t>personal ocupado </w:t>
      </w:r>
      <w:r>
        <w:rPr>
          <w:color w:val="231F20"/>
        </w:rPr>
        <w:t>del </w:t>
      </w:r>
      <w:r>
        <w:rPr>
          <w:color w:val="231F20"/>
          <w:spacing w:val="-3"/>
        </w:rPr>
        <w:t>sector </w:t>
      </w:r>
      <w:r>
        <w:rPr>
          <w:color w:val="231F20"/>
        </w:rPr>
        <w:t>y </w:t>
      </w:r>
      <w:r>
        <w:rPr>
          <w:color w:val="231F20"/>
          <w:spacing w:val="-3"/>
        </w:rPr>
        <w:t>participan con </w:t>
      </w:r>
      <w:r>
        <w:rPr>
          <w:color w:val="231F20"/>
        </w:rPr>
        <w:t>un </w:t>
      </w:r>
      <w:r>
        <w:rPr>
          <w:color w:val="231F20"/>
          <w:spacing w:val="-4"/>
        </w:rPr>
        <w:t>importante por- centaje</w:t>
      </w:r>
      <w:r>
        <w:rPr>
          <w:color w:val="231F20"/>
          <w:spacing w:val="-12"/>
        </w:rPr>
        <w:t> </w:t>
      </w:r>
      <w:r>
        <w:rPr>
          <w:color w:val="231F20"/>
        </w:rPr>
        <w:t>del</w:t>
      </w:r>
      <w:r>
        <w:rPr>
          <w:color w:val="231F20"/>
          <w:spacing w:val="-12"/>
        </w:rPr>
        <w:t> </w:t>
      </w:r>
      <w:r>
        <w:rPr>
          <w:color w:val="231F20"/>
          <w:spacing w:val="-3"/>
        </w:rPr>
        <w:t>valor</w:t>
      </w:r>
      <w:r>
        <w:rPr>
          <w:color w:val="231F20"/>
          <w:spacing w:val="-12"/>
        </w:rPr>
        <w:t> </w:t>
      </w:r>
      <w:r>
        <w:rPr>
          <w:color w:val="231F20"/>
          <w:spacing w:val="-3"/>
        </w:rPr>
        <w:t>agregado</w:t>
      </w:r>
      <w:r>
        <w:rPr>
          <w:color w:val="231F20"/>
          <w:spacing w:val="-12"/>
        </w:rPr>
        <w:t> </w:t>
      </w:r>
      <w:r>
        <w:rPr>
          <w:color w:val="231F20"/>
          <w:spacing w:val="-3"/>
        </w:rPr>
        <w:t>generado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spacing w:val="-3"/>
        </w:rPr>
        <w:t>sector</w:t>
      </w:r>
      <w:r>
        <w:rPr>
          <w:color w:val="231F20"/>
          <w:spacing w:val="-12"/>
        </w:rPr>
        <w:t> </w:t>
      </w:r>
      <w:r>
        <w:rPr>
          <w:color w:val="231F20"/>
        </w:rPr>
        <w:t>(véase</w:t>
      </w:r>
      <w:r>
        <w:rPr>
          <w:color w:val="231F20"/>
          <w:spacing w:val="-12"/>
        </w:rPr>
        <w:t> </w:t>
      </w:r>
      <w:r>
        <w:rPr>
          <w:color w:val="231F20"/>
          <w:spacing w:val="-3"/>
        </w:rPr>
        <w:t>cuadro</w:t>
      </w:r>
      <w:r>
        <w:rPr>
          <w:color w:val="231F20"/>
          <w:spacing w:val="-12"/>
        </w:rPr>
        <w:t> </w:t>
      </w:r>
      <w:r>
        <w:rPr>
          <w:color w:val="231F20"/>
          <w:spacing w:val="-8"/>
        </w:rPr>
        <w:t>IV.3).</w:t>
      </w:r>
    </w:p>
    <w:p>
      <w:pPr>
        <w:pStyle w:val="BodyText"/>
        <w:spacing w:before="8"/>
        <w:rPr>
          <w:sz w:val="17"/>
        </w:rPr>
      </w:pPr>
    </w:p>
    <w:p>
      <w:pPr>
        <w:pStyle w:val="Heading4"/>
        <w:ind w:left="775" w:right="166"/>
      </w:pPr>
      <w:r>
        <w:rPr>
          <w:color w:val="231F20"/>
          <w:w w:val="95"/>
        </w:rPr>
        <w:t>Cuadro IV.3</w:t>
      </w:r>
    </w:p>
    <w:p>
      <w:pPr>
        <w:spacing w:line="280" w:lineRule="exact" w:before="0"/>
        <w:ind w:left="776" w:right="166" w:firstLine="0"/>
        <w:jc w:val="center"/>
        <w:rPr>
          <w:rFonts w:ascii="Palatino Linotype" w:hAnsi="Palatino Linotype"/>
          <w:b/>
          <w:sz w:val="21"/>
        </w:rPr>
      </w:pPr>
      <w:r>
        <w:rPr>
          <w:rFonts w:ascii="Palatino Linotype" w:hAnsi="Palatino Linotype"/>
          <w:b/>
          <w:color w:val="231F20"/>
          <w:w w:val="95"/>
          <w:sz w:val="21"/>
        </w:rPr>
        <w:t>Fabricación de equipo de transporte en el Estado de México:</w:t>
      </w:r>
    </w:p>
    <w:p>
      <w:pPr>
        <w:spacing w:line="282" w:lineRule="exact" w:before="0"/>
        <w:ind w:left="776" w:right="166" w:firstLine="0"/>
        <w:jc w:val="center"/>
        <w:rPr>
          <w:rFonts w:ascii="Palatino Linotype" w:hAnsi="Palatino Linotype"/>
          <w:b/>
          <w:sz w:val="21"/>
        </w:rPr>
      </w:pPr>
      <w:r>
        <w:rPr>
          <w:rFonts w:ascii="Palatino Linotype" w:hAnsi="Palatino Linotype"/>
          <w:b/>
          <w:color w:val="231F20"/>
          <w:w w:val="95"/>
          <w:sz w:val="21"/>
        </w:rPr>
        <w:t>UE, PO y VACB, participación porcentual en el total del Estado, 2009</w:t>
      </w:r>
    </w:p>
    <w:p>
      <w:pPr>
        <w:pStyle w:val="BodyText"/>
        <w:spacing w:before="3" w:after="1"/>
        <w:rPr>
          <w:rFonts w:ascii="Palatino Linotype"/>
          <w:b/>
          <w:sz w:val="14"/>
        </w:rPr>
      </w:pPr>
    </w:p>
    <w:tbl>
      <w:tblPr>
        <w:tblW w:w="0" w:type="auto"/>
        <w:jc w:val="left"/>
        <w:tblInd w:w="7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830"/>
        <w:gridCol w:w="936"/>
        <w:gridCol w:w="1434"/>
      </w:tblGrid>
      <w:tr>
        <w:trPr>
          <w:trHeight w:val="497" w:hRule="exact"/>
        </w:trPr>
        <w:tc>
          <w:tcPr>
            <w:tcW w:w="4830" w:type="dxa"/>
            <w:tcBorders>
              <w:top w:val="single" w:sz="4" w:space="0" w:color="231F20"/>
              <w:bottom w:val="single" w:sz="4" w:space="0" w:color="000000"/>
            </w:tcBorders>
          </w:tcPr>
          <w:p>
            <w:pPr>
              <w:pStyle w:val="TableParagraph"/>
              <w:tabs>
                <w:tab w:pos="3932" w:val="left" w:leader="none"/>
              </w:tabs>
              <w:spacing w:line="98" w:lineRule="auto" w:before="142"/>
              <w:ind w:left="3839" w:right="130" w:hanging="2959"/>
              <w:jc w:val="left"/>
              <w:rPr>
                <w:rFonts w:ascii="Palatino Linotype" w:hAnsi="Palatino Linotype"/>
                <w:b/>
                <w:sz w:val="17"/>
              </w:rPr>
            </w:pPr>
            <w:r>
              <w:rPr>
                <w:rFonts w:ascii="Palatino Linotype" w:hAnsi="Palatino Linotype"/>
                <w:b/>
                <w:color w:val="231F20"/>
                <w:sz w:val="17"/>
              </w:rPr>
              <w:t>Subsector,</w:t>
            </w:r>
            <w:r>
              <w:rPr>
                <w:rFonts w:ascii="Palatino Linotype" w:hAnsi="Palatino Linotype"/>
                <w:b/>
                <w:color w:val="231F20"/>
                <w:spacing w:val="-36"/>
                <w:sz w:val="17"/>
              </w:rPr>
              <w:t> </w:t>
            </w:r>
            <w:r>
              <w:rPr>
                <w:rFonts w:ascii="Palatino Linotype" w:hAnsi="Palatino Linotype"/>
                <w:b/>
                <w:color w:val="231F20"/>
                <w:sz w:val="17"/>
              </w:rPr>
              <w:t>rama y</w:t>
            </w:r>
            <w:r>
              <w:rPr>
                <w:rFonts w:ascii="Palatino Linotype" w:hAnsi="Palatino Linotype"/>
                <w:b/>
                <w:color w:val="231F20"/>
                <w:spacing w:val="-27"/>
                <w:sz w:val="17"/>
              </w:rPr>
              <w:t> </w:t>
            </w:r>
            <w:r>
              <w:rPr>
                <w:rFonts w:ascii="Palatino Linotype" w:hAnsi="Palatino Linotype"/>
                <w:b/>
                <w:color w:val="231F20"/>
                <w:sz w:val="17"/>
              </w:rPr>
              <w:t>subrama</w:t>
              <w:tab/>
              <w:tab/>
            </w:r>
            <w:r>
              <w:rPr>
                <w:rFonts w:ascii="Palatino Linotype" w:hAnsi="Palatino Linotype"/>
                <w:b/>
                <w:color w:val="231F20"/>
                <w:w w:val="95"/>
                <w:position w:val="9"/>
                <w:sz w:val="17"/>
              </w:rPr>
              <w:t>Unidades </w:t>
            </w:r>
            <w:r>
              <w:rPr>
                <w:rFonts w:ascii="Palatino Linotype" w:hAnsi="Palatino Linotype"/>
                <w:b/>
                <w:color w:val="231F20"/>
                <w:w w:val="90"/>
                <w:sz w:val="17"/>
              </w:rPr>
              <w:t>Económicas</w:t>
            </w:r>
          </w:p>
        </w:tc>
        <w:tc>
          <w:tcPr>
            <w:tcW w:w="936" w:type="dxa"/>
            <w:tcBorders>
              <w:top w:val="single" w:sz="4" w:space="0" w:color="231F20"/>
              <w:bottom w:val="single" w:sz="4" w:space="0" w:color="000000"/>
            </w:tcBorders>
          </w:tcPr>
          <w:p>
            <w:pPr>
              <w:pStyle w:val="TableParagraph"/>
              <w:spacing w:line="186" w:lineRule="exact" w:before="62"/>
              <w:ind w:left="132" w:right="146" w:firstLine="19"/>
              <w:jc w:val="left"/>
              <w:rPr>
                <w:rFonts w:ascii="Palatino Linotype"/>
                <w:b/>
                <w:sz w:val="17"/>
              </w:rPr>
            </w:pPr>
            <w:r>
              <w:rPr>
                <w:rFonts w:ascii="Palatino Linotype"/>
                <w:b/>
                <w:color w:val="231F20"/>
                <w:w w:val="90"/>
                <w:sz w:val="17"/>
              </w:rPr>
              <w:t>Personal Ocupado</w:t>
            </w:r>
          </w:p>
        </w:tc>
        <w:tc>
          <w:tcPr>
            <w:tcW w:w="1434" w:type="dxa"/>
            <w:tcBorders>
              <w:top w:val="single" w:sz="4" w:space="0" w:color="231F20"/>
              <w:bottom w:val="single" w:sz="4" w:space="0" w:color="000000"/>
            </w:tcBorders>
          </w:tcPr>
          <w:p>
            <w:pPr>
              <w:pStyle w:val="TableParagraph"/>
              <w:spacing w:line="186" w:lineRule="exact" w:before="62"/>
              <w:ind w:left="242" w:right="155" w:hanging="93"/>
              <w:jc w:val="left"/>
              <w:rPr>
                <w:rFonts w:ascii="Palatino Linotype"/>
                <w:b/>
                <w:sz w:val="17"/>
              </w:rPr>
            </w:pPr>
            <w:r>
              <w:rPr>
                <w:rFonts w:ascii="Palatino Linotype"/>
                <w:b/>
                <w:color w:val="231F20"/>
                <w:w w:val="90"/>
                <w:sz w:val="17"/>
              </w:rPr>
              <w:t>Valor Agregado </w:t>
            </w:r>
            <w:r>
              <w:rPr>
                <w:rFonts w:ascii="Palatino Linotype"/>
                <w:b/>
                <w:color w:val="231F20"/>
                <w:w w:val="95"/>
                <w:sz w:val="17"/>
              </w:rPr>
              <w:t>Censal Bruto</w:t>
            </w:r>
          </w:p>
        </w:tc>
      </w:tr>
      <w:tr>
        <w:trPr>
          <w:trHeight w:val="305" w:hRule="exact"/>
        </w:trPr>
        <w:tc>
          <w:tcPr>
            <w:tcW w:w="4830" w:type="dxa"/>
            <w:tcBorders>
              <w:top w:val="single" w:sz="4" w:space="0" w:color="000000"/>
            </w:tcBorders>
          </w:tcPr>
          <w:p>
            <w:pPr>
              <w:pStyle w:val="TableParagraph"/>
              <w:tabs>
                <w:tab w:pos="4396" w:val="right" w:leader="none"/>
              </w:tabs>
              <w:spacing w:before="20"/>
              <w:ind w:left="113"/>
              <w:jc w:val="left"/>
              <w:rPr>
                <w:rFonts w:ascii="Palatino Linotype" w:hAnsi="Palatino Linotype"/>
                <w:b/>
                <w:sz w:val="17"/>
              </w:rPr>
            </w:pPr>
            <w:r>
              <w:rPr>
                <w:rFonts w:ascii="Palatino Linotype" w:hAnsi="Palatino Linotype"/>
                <w:b/>
                <w:color w:val="231F20"/>
                <w:sz w:val="17"/>
              </w:rPr>
              <w:t>Subsector:</w:t>
            </w:r>
            <w:r>
              <w:rPr>
                <w:rFonts w:ascii="Palatino Linotype" w:hAnsi="Palatino Linotype"/>
                <w:b/>
                <w:color w:val="231F20"/>
                <w:spacing w:val="-18"/>
                <w:sz w:val="17"/>
              </w:rPr>
              <w:t> </w:t>
            </w:r>
            <w:r>
              <w:rPr>
                <w:rFonts w:ascii="Palatino Linotype" w:hAnsi="Palatino Linotype"/>
                <w:b/>
                <w:color w:val="231F20"/>
                <w:sz w:val="17"/>
              </w:rPr>
              <w:t>Fabricación</w:t>
            </w:r>
            <w:r>
              <w:rPr>
                <w:rFonts w:ascii="Palatino Linotype" w:hAnsi="Palatino Linotype"/>
                <w:b/>
                <w:color w:val="231F20"/>
                <w:spacing w:val="-18"/>
                <w:sz w:val="17"/>
              </w:rPr>
              <w:t> </w:t>
            </w:r>
            <w:r>
              <w:rPr>
                <w:rFonts w:ascii="Palatino Linotype" w:hAnsi="Palatino Linotype"/>
                <w:b/>
                <w:color w:val="231F20"/>
                <w:sz w:val="17"/>
              </w:rPr>
              <w:t>de</w:t>
            </w:r>
            <w:r>
              <w:rPr>
                <w:rFonts w:ascii="Palatino Linotype" w:hAnsi="Palatino Linotype"/>
                <w:b/>
                <w:color w:val="231F20"/>
                <w:spacing w:val="-18"/>
                <w:sz w:val="17"/>
              </w:rPr>
              <w:t> </w:t>
            </w:r>
            <w:r>
              <w:rPr>
                <w:rFonts w:ascii="Palatino Linotype" w:hAnsi="Palatino Linotype"/>
                <w:b/>
                <w:color w:val="231F20"/>
                <w:sz w:val="17"/>
              </w:rPr>
              <w:t>equipo</w:t>
            </w:r>
            <w:r>
              <w:rPr>
                <w:rFonts w:ascii="Palatino Linotype" w:hAnsi="Palatino Linotype"/>
                <w:b/>
                <w:color w:val="231F20"/>
                <w:spacing w:val="-18"/>
                <w:sz w:val="17"/>
              </w:rPr>
              <w:t> </w:t>
            </w:r>
            <w:r>
              <w:rPr>
                <w:rFonts w:ascii="Palatino Linotype" w:hAnsi="Palatino Linotype"/>
                <w:b/>
                <w:color w:val="231F20"/>
                <w:sz w:val="17"/>
              </w:rPr>
              <w:t>de</w:t>
            </w:r>
            <w:r>
              <w:rPr>
                <w:rFonts w:ascii="Palatino Linotype" w:hAnsi="Palatino Linotype"/>
                <w:b/>
                <w:color w:val="231F20"/>
                <w:spacing w:val="-18"/>
                <w:sz w:val="17"/>
              </w:rPr>
              <w:t> </w:t>
            </w:r>
            <w:r>
              <w:rPr>
                <w:rFonts w:ascii="Palatino Linotype" w:hAnsi="Palatino Linotype"/>
                <w:b/>
                <w:color w:val="231F20"/>
                <w:sz w:val="17"/>
              </w:rPr>
              <w:t>transporte</w:t>
              <w:tab/>
              <w:t>100</w:t>
            </w:r>
          </w:p>
        </w:tc>
        <w:tc>
          <w:tcPr>
            <w:tcW w:w="936" w:type="dxa"/>
            <w:tcBorders>
              <w:top w:val="single" w:sz="4" w:space="0" w:color="000000"/>
            </w:tcBorders>
          </w:tcPr>
          <w:p>
            <w:pPr>
              <w:pStyle w:val="TableParagraph"/>
              <w:spacing w:before="20"/>
              <w:ind w:right="346"/>
              <w:jc w:val="right"/>
              <w:rPr>
                <w:rFonts w:ascii="Palatino Linotype"/>
                <w:b/>
                <w:sz w:val="17"/>
              </w:rPr>
            </w:pPr>
            <w:r>
              <w:rPr>
                <w:rFonts w:ascii="Palatino Linotype"/>
                <w:b/>
                <w:color w:val="231F20"/>
                <w:sz w:val="17"/>
              </w:rPr>
              <w:t>100</w:t>
            </w:r>
          </w:p>
        </w:tc>
        <w:tc>
          <w:tcPr>
            <w:tcW w:w="1434" w:type="dxa"/>
            <w:tcBorders>
              <w:top w:val="single" w:sz="4" w:space="0" w:color="000000"/>
            </w:tcBorders>
          </w:tcPr>
          <w:p>
            <w:pPr>
              <w:pStyle w:val="TableParagraph"/>
              <w:spacing w:before="20"/>
              <w:ind w:left="580" w:right="155"/>
              <w:jc w:val="left"/>
              <w:rPr>
                <w:rFonts w:ascii="Palatino Linotype"/>
                <w:b/>
                <w:sz w:val="17"/>
              </w:rPr>
            </w:pPr>
            <w:r>
              <w:rPr>
                <w:rFonts w:ascii="Palatino Linotype"/>
                <w:b/>
                <w:color w:val="231F20"/>
                <w:sz w:val="17"/>
              </w:rPr>
              <w:t>100</w:t>
            </w:r>
          </w:p>
        </w:tc>
      </w:tr>
      <w:tr>
        <w:trPr>
          <w:trHeight w:val="285" w:hRule="exact"/>
        </w:trPr>
        <w:tc>
          <w:tcPr>
            <w:tcW w:w="4830" w:type="dxa"/>
          </w:tcPr>
          <w:p>
            <w:pPr>
              <w:pStyle w:val="TableParagraph"/>
              <w:tabs>
                <w:tab w:pos="4167" w:val="left" w:leader="none"/>
              </w:tabs>
              <w:spacing w:before="4"/>
              <w:ind w:left="113" w:right="130"/>
              <w:jc w:val="left"/>
              <w:rPr>
                <w:sz w:val="17"/>
              </w:rPr>
            </w:pPr>
            <w:r>
              <w:rPr>
                <w:rFonts w:ascii="Palatino Linotype" w:hAnsi="Palatino Linotype"/>
                <w:b/>
                <w:color w:val="231F20"/>
                <w:w w:val="95"/>
                <w:sz w:val="17"/>
              </w:rPr>
              <w:t>Rama:</w:t>
            </w:r>
            <w:r>
              <w:rPr>
                <w:rFonts w:ascii="Palatino Linotype" w:hAnsi="Palatino Linotype"/>
                <w:b/>
                <w:color w:val="231F20"/>
                <w:spacing w:val="-17"/>
                <w:w w:val="95"/>
                <w:sz w:val="17"/>
              </w:rPr>
              <w:t> </w:t>
            </w:r>
            <w:r>
              <w:rPr>
                <w:rFonts w:ascii="Palatino Linotype" w:hAnsi="Palatino Linotype"/>
                <w:b/>
                <w:color w:val="231F20"/>
                <w:w w:val="95"/>
                <w:sz w:val="17"/>
              </w:rPr>
              <w:t>Fabricación</w:t>
            </w:r>
            <w:r>
              <w:rPr>
                <w:rFonts w:ascii="Palatino Linotype" w:hAnsi="Palatino Linotype"/>
                <w:b/>
                <w:color w:val="231F20"/>
                <w:spacing w:val="-17"/>
                <w:w w:val="95"/>
                <w:sz w:val="17"/>
              </w:rPr>
              <w:t> </w:t>
            </w:r>
            <w:r>
              <w:rPr>
                <w:rFonts w:ascii="Palatino Linotype" w:hAnsi="Palatino Linotype"/>
                <w:b/>
                <w:color w:val="231F20"/>
                <w:w w:val="95"/>
                <w:sz w:val="17"/>
              </w:rPr>
              <w:t>de</w:t>
            </w:r>
            <w:r>
              <w:rPr>
                <w:rFonts w:ascii="Palatino Linotype" w:hAnsi="Palatino Linotype"/>
                <w:b/>
                <w:color w:val="231F20"/>
                <w:spacing w:val="-17"/>
                <w:w w:val="95"/>
                <w:sz w:val="17"/>
              </w:rPr>
              <w:t> </w:t>
            </w:r>
            <w:r>
              <w:rPr>
                <w:rFonts w:ascii="Palatino Linotype" w:hAnsi="Palatino Linotype"/>
                <w:b/>
                <w:color w:val="231F20"/>
                <w:w w:val="95"/>
                <w:sz w:val="17"/>
              </w:rPr>
              <w:t>automóviles</w:t>
            </w:r>
            <w:r>
              <w:rPr>
                <w:rFonts w:ascii="Palatino Linotype" w:hAnsi="Palatino Linotype"/>
                <w:b/>
                <w:color w:val="231F20"/>
                <w:spacing w:val="-17"/>
                <w:w w:val="95"/>
                <w:sz w:val="17"/>
              </w:rPr>
              <w:t> </w:t>
            </w:r>
            <w:r>
              <w:rPr>
                <w:rFonts w:ascii="Palatino Linotype" w:hAnsi="Palatino Linotype"/>
                <w:b/>
                <w:color w:val="231F20"/>
                <w:w w:val="95"/>
                <w:sz w:val="17"/>
              </w:rPr>
              <w:t>y</w:t>
            </w:r>
            <w:r>
              <w:rPr>
                <w:rFonts w:ascii="Palatino Linotype" w:hAnsi="Palatino Linotype"/>
                <w:b/>
                <w:color w:val="231F20"/>
                <w:spacing w:val="-17"/>
                <w:w w:val="95"/>
                <w:sz w:val="17"/>
              </w:rPr>
              <w:t> </w:t>
            </w:r>
            <w:r>
              <w:rPr>
                <w:rFonts w:ascii="Palatino Linotype" w:hAnsi="Palatino Linotype"/>
                <w:b/>
                <w:color w:val="231F20"/>
                <w:w w:val="95"/>
                <w:sz w:val="17"/>
              </w:rPr>
              <w:t>camiones</w:t>
              <w:tab/>
            </w:r>
            <w:r>
              <w:rPr>
                <w:color w:val="231F20"/>
                <w:spacing w:val="-3"/>
                <w:sz w:val="17"/>
              </w:rPr>
              <w:t>SD</w:t>
            </w:r>
          </w:p>
        </w:tc>
        <w:tc>
          <w:tcPr>
            <w:tcW w:w="936" w:type="dxa"/>
          </w:tcPr>
          <w:p>
            <w:pPr>
              <w:pStyle w:val="TableParagraph"/>
              <w:spacing w:before="4"/>
              <w:ind w:right="325"/>
              <w:jc w:val="right"/>
              <w:rPr>
                <w:rFonts w:ascii="Palatino Linotype"/>
                <w:b/>
                <w:sz w:val="17"/>
              </w:rPr>
            </w:pPr>
            <w:r>
              <w:rPr>
                <w:rFonts w:ascii="Palatino Linotype"/>
                <w:b/>
                <w:color w:val="231F20"/>
                <w:sz w:val="17"/>
              </w:rPr>
              <w:t>19.8</w:t>
            </w:r>
          </w:p>
        </w:tc>
        <w:tc>
          <w:tcPr>
            <w:tcW w:w="1434" w:type="dxa"/>
          </w:tcPr>
          <w:p>
            <w:pPr>
              <w:pStyle w:val="TableParagraph"/>
              <w:spacing w:before="4"/>
              <w:ind w:left="559" w:right="155"/>
              <w:jc w:val="left"/>
              <w:rPr>
                <w:rFonts w:ascii="Palatino Linotype"/>
                <w:b/>
                <w:sz w:val="17"/>
              </w:rPr>
            </w:pPr>
            <w:r>
              <w:rPr>
                <w:rFonts w:ascii="Palatino Linotype"/>
                <w:b/>
                <w:color w:val="231F20"/>
                <w:sz w:val="17"/>
              </w:rPr>
              <w:t>41.6</w:t>
            </w:r>
          </w:p>
        </w:tc>
      </w:tr>
      <w:tr>
        <w:trPr>
          <w:trHeight w:val="330" w:hRule="exact"/>
        </w:trPr>
        <w:tc>
          <w:tcPr>
            <w:tcW w:w="4830" w:type="dxa"/>
          </w:tcPr>
          <w:p>
            <w:pPr>
              <w:pStyle w:val="TableParagraph"/>
              <w:tabs>
                <w:tab w:pos="4167" w:val="left" w:leader="none"/>
              </w:tabs>
              <w:spacing w:before="22"/>
              <w:ind w:left="113" w:right="130"/>
              <w:jc w:val="left"/>
              <w:rPr>
                <w:sz w:val="17"/>
              </w:rPr>
            </w:pPr>
            <w:r>
              <w:rPr>
                <w:color w:val="231F20"/>
                <w:sz w:val="17"/>
              </w:rPr>
              <w:t>Subrama:</w:t>
            </w:r>
            <w:r>
              <w:rPr>
                <w:color w:val="231F20"/>
                <w:spacing w:val="-10"/>
                <w:sz w:val="17"/>
              </w:rPr>
              <w:t> </w:t>
            </w:r>
            <w:r>
              <w:rPr>
                <w:color w:val="231F20"/>
                <w:sz w:val="17"/>
              </w:rPr>
              <w:t>Fabricación</w:t>
            </w:r>
            <w:r>
              <w:rPr>
                <w:color w:val="231F20"/>
                <w:spacing w:val="-10"/>
                <w:sz w:val="17"/>
              </w:rPr>
              <w:t> </w:t>
            </w:r>
            <w:r>
              <w:rPr>
                <w:color w:val="231F20"/>
                <w:sz w:val="17"/>
              </w:rPr>
              <w:t>de</w:t>
            </w:r>
            <w:r>
              <w:rPr>
                <w:color w:val="231F20"/>
                <w:spacing w:val="-10"/>
                <w:sz w:val="17"/>
              </w:rPr>
              <w:t> </w:t>
            </w:r>
            <w:r>
              <w:rPr>
                <w:color w:val="231F20"/>
                <w:sz w:val="17"/>
              </w:rPr>
              <w:t>automóviles</w:t>
            </w:r>
            <w:r>
              <w:rPr>
                <w:color w:val="231F20"/>
                <w:spacing w:val="-10"/>
                <w:sz w:val="17"/>
              </w:rPr>
              <w:t> </w:t>
            </w:r>
            <w:r>
              <w:rPr>
                <w:color w:val="231F20"/>
                <w:sz w:val="17"/>
              </w:rPr>
              <w:t>y</w:t>
            </w:r>
            <w:r>
              <w:rPr>
                <w:color w:val="231F20"/>
                <w:spacing w:val="-10"/>
                <w:sz w:val="17"/>
              </w:rPr>
              <w:t> </w:t>
            </w:r>
            <w:r>
              <w:rPr>
                <w:color w:val="231F20"/>
                <w:sz w:val="17"/>
              </w:rPr>
              <w:t>camionetas</w:t>
              <w:tab/>
            </w:r>
            <w:r>
              <w:rPr>
                <w:color w:val="231F20"/>
                <w:spacing w:val="-3"/>
                <w:sz w:val="17"/>
              </w:rPr>
              <w:t>SD</w:t>
            </w:r>
          </w:p>
        </w:tc>
        <w:tc>
          <w:tcPr>
            <w:tcW w:w="936" w:type="dxa"/>
          </w:tcPr>
          <w:p>
            <w:pPr>
              <w:pStyle w:val="TableParagraph"/>
              <w:spacing w:before="22"/>
              <w:ind w:right="373"/>
              <w:jc w:val="right"/>
              <w:rPr>
                <w:sz w:val="17"/>
              </w:rPr>
            </w:pPr>
            <w:r>
              <w:rPr>
                <w:color w:val="231F20"/>
                <w:w w:val="95"/>
                <w:sz w:val="17"/>
              </w:rPr>
              <w:t>7.2</w:t>
            </w:r>
          </w:p>
        </w:tc>
        <w:tc>
          <w:tcPr>
            <w:tcW w:w="1434" w:type="dxa"/>
          </w:tcPr>
          <w:p>
            <w:pPr>
              <w:pStyle w:val="TableParagraph"/>
              <w:spacing w:before="22"/>
              <w:ind w:left="566" w:right="155"/>
              <w:jc w:val="left"/>
              <w:rPr>
                <w:sz w:val="17"/>
              </w:rPr>
            </w:pPr>
            <w:r>
              <w:rPr>
                <w:color w:val="231F20"/>
                <w:sz w:val="17"/>
              </w:rPr>
              <w:t>28.1</w:t>
            </w:r>
          </w:p>
        </w:tc>
      </w:tr>
      <w:tr>
        <w:trPr>
          <w:trHeight w:val="376" w:hRule="exact"/>
        </w:trPr>
        <w:tc>
          <w:tcPr>
            <w:tcW w:w="4830" w:type="dxa"/>
          </w:tcPr>
          <w:p>
            <w:pPr>
              <w:pStyle w:val="TableParagraph"/>
              <w:spacing w:line="122" w:lineRule="exact"/>
              <w:ind w:left="113" w:right="130"/>
              <w:jc w:val="left"/>
              <w:rPr>
                <w:sz w:val="17"/>
              </w:rPr>
            </w:pPr>
            <w:r>
              <w:rPr>
                <w:color w:val="231F20"/>
                <w:sz w:val="17"/>
              </w:rPr>
              <w:t>Subrama: Fabricación de camiones y</w:t>
            </w:r>
          </w:p>
          <w:p>
            <w:pPr>
              <w:pStyle w:val="TableParagraph"/>
              <w:tabs>
                <w:tab w:pos="4167" w:val="left" w:leader="none"/>
              </w:tabs>
              <w:spacing w:line="236" w:lineRule="exact"/>
              <w:ind w:left="113" w:right="130"/>
              <w:jc w:val="left"/>
              <w:rPr>
                <w:sz w:val="17"/>
              </w:rPr>
            </w:pPr>
            <w:r>
              <w:rPr>
                <w:color w:val="231F20"/>
                <w:sz w:val="17"/>
              </w:rPr>
              <w:t>tractocamiones</w:t>
              <w:tab/>
            </w:r>
            <w:r>
              <w:rPr>
                <w:color w:val="231F20"/>
                <w:spacing w:val="-3"/>
                <w:position w:val="9"/>
                <w:sz w:val="17"/>
              </w:rPr>
              <w:t>SD</w:t>
            </w:r>
          </w:p>
        </w:tc>
        <w:tc>
          <w:tcPr>
            <w:tcW w:w="936" w:type="dxa"/>
          </w:tcPr>
          <w:p>
            <w:pPr>
              <w:pStyle w:val="TableParagraph"/>
              <w:spacing w:before="69"/>
              <w:ind w:right="332"/>
              <w:jc w:val="right"/>
              <w:rPr>
                <w:sz w:val="17"/>
              </w:rPr>
            </w:pPr>
            <w:r>
              <w:rPr>
                <w:color w:val="231F20"/>
                <w:w w:val="95"/>
                <w:sz w:val="17"/>
              </w:rPr>
              <w:t>12.5</w:t>
            </w:r>
          </w:p>
        </w:tc>
        <w:tc>
          <w:tcPr>
            <w:tcW w:w="1434" w:type="dxa"/>
          </w:tcPr>
          <w:p>
            <w:pPr>
              <w:pStyle w:val="TableParagraph"/>
              <w:spacing w:before="69"/>
              <w:ind w:left="566" w:right="155"/>
              <w:jc w:val="left"/>
              <w:rPr>
                <w:sz w:val="17"/>
              </w:rPr>
            </w:pPr>
            <w:r>
              <w:rPr>
                <w:color w:val="231F20"/>
                <w:sz w:val="17"/>
              </w:rPr>
              <w:t>13.5</w:t>
            </w:r>
          </w:p>
        </w:tc>
      </w:tr>
      <w:tr>
        <w:trPr>
          <w:trHeight w:val="330" w:hRule="exact"/>
        </w:trPr>
        <w:tc>
          <w:tcPr>
            <w:tcW w:w="4830" w:type="dxa"/>
          </w:tcPr>
          <w:p>
            <w:pPr>
              <w:pStyle w:val="TableParagraph"/>
              <w:tabs>
                <w:tab w:pos="4418" w:val="right" w:leader="none"/>
              </w:tabs>
              <w:spacing w:before="50"/>
              <w:ind w:left="113"/>
              <w:jc w:val="left"/>
              <w:rPr>
                <w:rFonts w:ascii="Palatino Linotype" w:hAnsi="Palatino Linotype"/>
                <w:b/>
                <w:sz w:val="17"/>
              </w:rPr>
            </w:pPr>
            <w:r>
              <w:rPr>
                <w:rFonts w:ascii="Palatino Linotype" w:hAnsi="Palatino Linotype"/>
                <w:b/>
                <w:color w:val="231F20"/>
                <w:sz w:val="17"/>
              </w:rPr>
              <w:t>Rama:</w:t>
            </w:r>
            <w:r>
              <w:rPr>
                <w:rFonts w:ascii="Palatino Linotype" w:hAnsi="Palatino Linotype"/>
                <w:b/>
                <w:color w:val="231F20"/>
                <w:spacing w:val="-16"/>
                <w:sz w:val="17"/>
              </w:rPr>
              <w:t> </w:t>
            </w:r>
            <w:r>
              <w:rPr>
                <w:rFonts w:ascii="Palatino Linotype" w:hAnsi="Palatino Linotype"/>
                <w:b/>
                <w:color w:val="231F20"/>
                <w:sz w:val="17"/>
              </w:rPr>
              <w:t>Fabricación</w:t>
            </w:r>
            <w:r>
              <w:rPr>
                <w:rFonts w:ascii="Palatino Linotype" w:hAnsi="Palatino Linotype"/>
                <w:b/>
                <w:color w:val="231F20"/>
                <w:spacing w:val="-16"/>
                <w:sz w:val="17"/>
              </w:rPr>
              <w:t> </w:t>
            </w:r>
            <w:r>
              <w:rPr>
                <w:rFonts w:ascii="Palatino Linotype" w:hAnsi="Palatino Linotype"/>
                <w:b/>
                <w:color w:val="231F20"/>
                <w:sz w:val="17"/>
              </w:rPr>
              <w:t>de</w:t>
            </w:r>
            <w:r>
              <w:rPr>
                <w:rFonts w:ascii="Palatino Linotype" w:hAnsi="Palatino Linotype"/>
                <w:b/>
                <w:color w:val="231F20"/>
                <w:spacing w:val="-16"/>
                <w:sz w:val="17"/>
              </w:rPr>
              <w:t> </w:t>
            </w:r>
            <w:r>
              <w:rPr>
                <w:rFonts w:ascii="Palatino Linotype" w:hAnsi="Palatino Linotype"/>
                <w:b/>
                <w:color w:val="231F20"/>
                <w:sz w:val="17"/>
              </w:rPr>
              <w:t>carrocerías</w:t>
            </w:r>
            <w:r>
              <w:rPr>
                <w:rFonts w:ascii="Palatino Linotype" w:hAnsi="Palatino Linotype"/>
                <w:b/>
                <w:color w:val="231F20"/>
                <w:spacing w:val="-16"/>
                <w:sz w:val="17"/>
              </w:rPr>
              <w:t> </w:t>
            </w:r>
            <w:r>
              <w:rPr>
                <w:rFonts w:ascii="Palatino Linotype" w:hAnsi="Palatino Linotype"/>
                <w:b/>
                <w:color w:val="231F20"/>
                <w:sz w:val="17"/>
              </w:rPr>
              <w:t>y</w:t>
            </w:r>
            <w:r>
              <w:rPr>
                <w:rFonts w:ascii="Palatino Linotype" w:hAnsi="Palatino Linotype"/>
                <w:b/>
                <w:color w:val="231F20"/>
                <w:spacing w:val="-16"/>
                <w:sz w:val="17"/>
              </w:rPr>
              <w:t> </w:t>
            </w:r>
            <w:r>
              <w:rPr>
                <w:rFonts w:ascii="Palatino Linotype" w:hAnsi="Palatino Linotype"/>
                <w:b/>
                <w:color w:val="231F20"/>
                <w:sz w:val="17"/>
              </w:rPr>
              <w:t>remolques</w:t>
              <w:tab/>
              <w:t>36.3</w:t>
            </w:r>
          </w:p>
        </w:tc>
        <w:tc>
          <w:tcPr>
            <w:tcW w:w="936" w:type="dxa"/>
          </w:tcPr>
          <w:p>
            <w:pPr>
              <w:pStyle w:val="TableParagraph"/>
              <w:spacing w:before="50"/>
              <w:ind w:right="325"/>
              <w:jc w:val="right"/>
              <w:rPr>
                <w:rFonts w:ascii="Palatino Linotype"/>
                <w:b/>
                <w:sz w:val="17"/>
              </w:rPr>
            </w:pPr>
            <w:r>
              <w:rPr>
                <w:rFonts w:ascii="Palatino Linotype"/>
                <w:b/>
                <w:color w:val="231F20"/>
                <w:sz w:val="17"/>
              </w:rPr>
              <w:t>12.1</w:t>
            </w:r>
          </w:p>
        </w:tc>
        <w:tc>
          <w:tcPr>
            <w:tcW w:w="1434" w:type="dxa"/>
          </w:tcPr>
          <w:p>
            <w:pPr>
              <w:pStyle w:val="TableParagraph"/>
              <w:spacing w:before="50"/>
              <w:ind w:left="602" w:right="155"/>
              <w:jc w:val="left"/>
              <w:rPr>
                <w:rFonts w:ascii="Palatino Linotype"/>
                <w:b/>
                <w:sz w:val="17"/>
              </w:rPr>
            </w:pPr>
            <w:r>
              <w:rPr>
                <w:rFonts w:ascii="Palatino Linotype"/>
                <w:b/>
                <w:color w:val="231F20"/>
                <w:sz w:val="17"/>
              </w:rPr>
              <w:t>6.8</w:t>
            </w:r>
          </w:p>
        </w:tc>
      </w:tr>
      <w:tr>
        <w:trPr>
          <w:trHeight w:val="330" w:hRule="exact"/>
        </w:trPr>
        <w:tc>
          <w:tcPr>
            <w:tcW w:w="4830" w:type="dxa"/>
          </w:tcPr>
          <w:p>
            <w:pPr>
              <w:pStyle w:val="TableParagraph"/>
              <w:tabs>
                <w:tab w:pos="4411" w:val="right" w:leader="none"/>
              </w:tabs>
              <w:spacing w:before="23"/>
              <w:ind w:left="113"/>
              <w:jc w:val="left"/>
              <w:rPr>
                <w:sz w:val="17"/>
              </w:rPr>
            </w:pPr>
            <w:r>
              <w:rPr>
                <w:color w:val="231F20"/>
                <w:sz w:val="17"/>
              </w:rPr>
              <w:t>Subrama: Fabricación de carrocerías</w:t>
            </w:r>
            <w:r>
              <w:rPr>
                <w:color w:val="231F20"/>
                <w:spacing w:val="-24"/>
                <w:sz w:val="17"/>
              </w:rPr>
              <w:t> </w:t>
            </w:r>
            <w:r>
              <w:rPr>
                <w:color w:val="231F20"/>
                <w:sz w:val="17"/>
              </w:rPr>
              <w:t>y</w:t>
            </w:r>
            <w:r>
              <w:rPr>
                <w:color w:val="231F20"/>
                <w:spacing w:val="-6"/>
                <w:sz w:val="17"/>
              </w:rPr>
              <w:t> </w:t>
            </w:r>
            <w:r>
              <w:rPr>
                <w:color w:val="231F20"/>
                <w:sz w:val="17"/>
              </w:rPr>
              <w:t>remolques</w:t>
              <w:tab/>
              <w:t>36.3</w:t>
            </w:r>
          </w:p>
        </w:tc>
        <w:tc>
          <w:tcPr>
            <w:tcW w:w="936" w:type="dxa"/>
          </w:tcPr>
          <w:p>
            <w:pPr>
              <w:pStyle w:val="TableParagraph"/>
              <w:spacing w:before="23"/>
              <w:ind w:right="332"/>
              <w:jc w:val="right"/>
              <w:rPr>
                <w:sz w:val="17"/>
              </w:rPr>
            </w:pPr>
            <w:r>
              <w:rPr>
                <w:color w:val="231F20"/>
                <w:w w:val="95"/>
                <w:sz w:val="17"/>
              </w:rPr>
              <w:t>12.1</w:t>
            </w:r>
          </w:p>
        </w:tc>
        <w:tc>
          <w:tcPr>
            <w:tcW w:w="1434" w:type="dxa"/>
          </w:tcPr>
          <w:p>
            <w:pPr>
              <w:pStyle w:val="TableParagraph"/>
              <w:spacing w:before="23"/>
              <w:ind w:left="607" w:right="155"/>
              <w:jc w:val="left"/>
              <w:rPr>
                <w:sz w:val="17"/>
              </w:rPr>
            </w:pPr>
            <w:r>
              <w:rPr>
                <w:color w:val="231F20"/>
                <w:sz w:val="17"/>
              </w:rPr>
              <w:t>6.8</w:t>
            </w:r>
          </w:p>
        </w:tc>
      </w:tr>
      <w:tr>
        <w:trPr>
          <w:trHeight w:val="424" w:hRule="exact"/>
        </w:trPr>
        <w:tc>
          <w:tcPr>
            <w:tcW w:w="4830" w:type="dxa"/>
          </w:tcPr>
          <w:p>
            <w:pPr>
              <w:pStyle w:val="TableParagraph"/>
              <w:spacing w:line="120" w:lineRule="exact"/>
              <w:ind w:left="114" w:right="130"/>
              <w:jc w:val="left"/>
              <w:rPr>
                <w:rFonts w:ascii="Palatino Linotype" w:hAnsi="Palatino Linotype"/>
                <w:b/>
                <w:sz w:val="17"/>
              </w:rPr>
            </w:pPr>
            <w:r>
              <w:rPr>
                <w:rFonts w:ascii="Palatino Linotype" w:hAnsi="Palatino Linotype"/>
                <w:b/>
                <w:color w:val="231F20"/>
                <w:w w:val="95"/>
                <w:sz w:val="17"/>
              </w:rPr>
              <w:t>Rama: Fabricación de partes para vehículos</w:t>
            </w:r>
          </w:p>
          <w:p>
            <w:pPr>
              <w:pStyle w:val="TableParagraph"/>
              <w:tabs>
                <w:tab w:pos="4418" w:val="right" w:leader="none"/>
              </w:tabs>
              <w:spacing w:line="253" w:lineRule="exact"/>
              <w:ind w:left="114"/>
              <w:jc w:val="left"/>
              <w:rPr>
                <w:rFonts w:ascii="Palatino Linotype"/>
                <w:b/>
                <w:sz w:val="17"/>
              </w:rPr>
            </w:pPr>
            <w:r>
              <w:rPr>
                <w:rFonts w:ascii="Palatino Linotype"/>
                <w:b/>
                <w:color w:val="231F20"/>
                <w:sz w:val="17"/>
              </w:rPr>
              <w:t>automotores</w:t>
            </w:r>
            <w:r>
              <w:rPr>
                <w:rFonts w:ascii="Palatino Linotype"/>
                <w:b/>
                <w:color w:val="231F20"/>
                <w:position w:val="9"/>
                <w:sz w:val="17"/>
              </w:rPr>
              <w:tab/>
              <w:t>54.6</w:t>
            </w:r>
          </w:p>
        </w:tc>
        <w:tc>
          <w:tcPr>
            <w:tcW w:w="936" w:type="dxa"/>
          </w:tcPr>
          <w:p>
            <w:pPr>
              <w:pStyle w:val="TableParagraph"/>
              <w:spacing w:before="50"/>
              <w:ind w:right="324"/>
              <w:jc w:val="right"/>
              <w:rPr>
                <w:rFonts w:ascii="Palatino Linotype"/>
                <w:b/>
                <w:sz w:val="17"/>
              </w:rPr>
            </w:pPr>
            <w:r>
              <w:rPr>
                <w:rFonts w:ascii="Palatino Linotype"/>
                <w:b/>
                <w:color w:val="231F20"/>
                <w:sz w:val="17"/>
              </w:rPr>
              <w:t>65.9</w:t>
            </w:r>
          </w:p>
        </w:tc>
        <w:tc>
          <w:tcPr>
            <w:tcW w:w="1434" w:type="dxa"/>
          </w:tcPr>
          <w:p>
            <w:pPr>
              <w:pStyle w:val="TableParagraph"/>
              <w:spacing w:before="50"/>
              <w:ind w:left="559" w:right="155"/>
              <w:jc w:val="left"/>
              <w:rPr>
                <w:rFonts w:ascii="Palatino Linotype"/>
                <w:b/>
                <w:sz w:val="17"/>
              </w:rPr>
            </w:pPr>
            <w:r>
              <w:rPr>
                <w:rFonts w:ascii="Palatino Linotype"/>
                <w:b/>
                <w:color w:val="231F20"/>
                <w:sz w:val="17"/>
              </w:rPr>
              <w:t>50.1</w:t>
            </w:r>
          </w:p>
        </w:tc>
      </w:tr>
      <w:tr>
        <w:trPr>
          <w:trHeight w:val="471" w:hRule="exact"/>
        </w:trPr>
        <w:tc>
          <w:tcPr>
            <w:tcW w:w="4830" w:type="dxa"/>
          </w:tcPr>
          <w:p>
            <w:pPr>
              <w:pStyle w:val="TableParagraph"/>
              <w:spacing w:line="146" w:lineRule="exact" w:before="23"/>
              <w:ind w:left="114" w:right="130"/>
              <w:jc w:val="left"/>
              <w:rPr>
                <w:sz w:val="17"/>
              </w:rPr>
            </w:pPr>
            <w:r>
              <w:rPr>
                <w:color w:val="231F20"/>
                <w:sz w:val="17"/>
              </w:rPr>
              <w:t>Subrama: Fabricación de motores de gasolina y sus</w:t>
            </w:r>
          </w:p>
          <w:p>
            <w:pPr>
              <w:pStyle w:val="TableParagraph"/>
              <w:tabs>
                <w:tab w:pos="4370" w:val="right" w:leader="none"/>
              </w:tabs>
              <w:spacing w:line="236" w:lineRule="exact"/>
              <w:ind w:left="114"/>
              <w:jc w:val="left"/>
              <w:rPr>
                <w:sz w:val="17"/>
              </w:rPr>
            </w:pPr>
            <w:r>
              <w:rPr>
                <w:color w:val="231F20"/>
                <w:sz w:val="17"/>
              </w:rPr>
              <w:t>partes para</w:t>
            </w:r>
            <w:r>
              <w:rPr>
                <w:color w:val="231F20"/>
                <w:spacing w:val="-9"/>
                <w:sz w:val="17"/>
              </w:rPr>
              <w:t> </w:t>
            </w:r>
            <w:r>
              <w:rPr>
                <w:color w:val="231F20"/>
                <w:sz w:val="17"/>
              </w:rPr>
              <w:t>vehículos</w:t>
            </w:r>
            <w:r>
              <w:rPr>
                <w:color w:val="231F20"/>
                <w:spacing w:val="-5"/>
                <w:sz w:val="17"/>
              </w:rPr>
              <w:t> </w:t>
            </w:r>
            <w:r>
              <w:rPr>
                <w:color w:val="231F20"/>
                <w:sz w:val="17"/>
              </w:rPr>
              <w:t>automotrices</w:t>
            </w:r>
            <w:r>
              <w:rPr>
                <w:color w:val="231F20"/>
                <w:position w:val="9"/>
                <w:sz w:val="17"/>
              </w:rPr>
              <w:tab/>
              <w:t>6.8</w:t>
            </w:r>
          </w:p>
        </w:tc>
        <w:tc>
          <w:tcPr>
            <w:tcW w:w="936" w:type="dxa"/>
          </w:tcPr>
          <w:p>
            <w:pPr>
              <w:pStyle w:val="TableParagraph"/>
              <w:spacing w:before="116"/>
              <w:ind w:right="331"/>
              <w:jc w:val="right"/>
              <w:rPr>
                <w:sz w:val="17"/>
              </w:rPr>
            </w:pPr>
            <w:r>
              <w:rPr>
                <w:color w:val="231F20"/>
                <w:w w:val="95"/>
                <w:sz w:val="17"/>
              </w:rPr>
              <w:t>15.4</w:t>
            </w:r>
          </w:p>
        </w:tc>
        <w:tc>
          <w:tcPr>
            <w:tcW w:w="1434" w:type="dxa"/>
          </w:tcPr>
          <w:p>
            <w:pPr>
              <w:pStyle w:val="TableParagraph"/>
              <w:spacing w:before="116"/>
              <w:ind w:left="608" w:right="155"/>
              <w:jc w:val="left"/>
              <w:rPr>
                <w:sz w:val="17"/>
              </w:rPr>
            </w:pPr>
            <w:r>
              <w:rPr>
                <w:color w:val="231F20"/>
                <w:sz w:val="17"/>
              </w:rPr>
              <w:t>8.6</w:t>
            </w:r>
          </w:p>
        </w:tc>
      </w:tr>
      <w:tr>
        <w:trPr>
          <w:trHeight w:val="517" w:hRule="exact"/>
        </w:trPr>
        <w:tc>
          <w:tcPr>
            <w:tcW w:w="4830" w:type="dxa"/>
          </w:tcPr>
          <w:p>
            <w:pPr>
              <w:pStyle w:val="TableParagraph"/>
              <w:spacing w:line="146" w:lineRule="exact" w:before="22"/>
              <w:ind w:left="114" w:right="130"/>
              <w:jc w:val="left"/>
              <w:rPr>
                <w:sz w:val="17"/>
              </w:rPr>
            </w:pPr>
            <w:r>
              <w:rPr>
                <w:color w:val="231F20"/>
                <w:sz w:val="17"/>
              </w:rPr>
              <w:t>Subrama: Fabricación de equipo eléctrico y</w:t>
            </w:r>
          </w:p>
          <w:p>
            <w:pPr>
              <w:pStyle w:val="TableParagraph"/>
              <w:tabs>
                <w:tab w:pos="4370" w:val="right" w:leader="none"/>
              </w:tabs>
              <w:spacing w:line="236" w:lineRule="exact"/>
              <w:ind w:left="114"/>
              <w:jc w:val="left"/>
              <w:rPr>
                <w:sz w:val="17"/>
              </w:rPr>
            </w:pPr>
            <w:r>
              <w:rPr>
                <w:color w:val="231F20"/>
                <w:sz w:val="17"/>
              </w:rPr>
              <w:t>electrónico para</w:t>
            </w:r>
            <w:r>
              <w:rPr>
                <w:color w:val="231F20"/>
                <w:spacing w:val="-9"/>
                <w:sz w:val="17"/>
              </w:rPr>
              <w:t> </w:t>
            </w:r>
            <w:r>
              <w:rPr>
                <w:color w:val="231F20"/>
                <w:sz w:val="17"/>
              </w:rPr>
              <w:t>vehículos</w:t>
            </w:r>
            <w:r>
              <w:rPr>
                <w:color w:val="231F20"/>
                <w:spacing w:val="-5"/>
                <w:sz w:val="17"/>
              </w:rPr>
              <w:t> </w:t>
            </w:r>
            <w:r>
              <w:rPr>
                <w:color w:val="231F20"/>
                <w:sz w:val="17"/>
              </w:rPr>
              <w:t>automotores</w:t>
            </w:r>
            <w:r>
              <w:rPr>
                <w:color w:val="231F20"/>
                <w:position w:val="9"/>
                <w:sz w:val="17"/>
              </w:rPr>
              <w:tab/>
              <w:t>5.2</w:t>
            </w:r>
          </w:p>
        </w:tc>
        <w:tc>
          <w:tcPr>
            <w:tcW w:w="936" w:type="dxa"/>
          </w:tcPr>
          <w:p>
            <w:pPr>
              <w:pStyle w:val="TableParagraph"/>
              <w:spacing w:before="116"/>
              <w:ind w:right="331"/>
              <w:jc w:val="right"/>
              <w:rPr>
                <w:sz w:val="17"/>
              </w:rPr>
            </w:pPr>
            <w:r>
              <w:rPr>
                <w:color w:val="231F20"/>
                <w:w w:val="95"/>
                <w:sz w:val="17"/>
              </w:rPr>
              <w:t>11.8</w:t>
            </w:r>
          </w:p>
        </w:tc>
        <w:tc>
          <w:tcPr>
            <w:tcW w:w="1434" w:type="dxa"/>
          </w:tcPr>
          <w:p>
            <w:pPr>
              <w:pStyle w:val="TableParagraph"/>
              <w:spacing w:before="116"/>
              <w:ind w:left="567" w:right="155"/>
              <w:jc w:val="left"/>
              <w:rPr>
                <w:sz w:val="17"/>
              </w:rPr>
            </w:pPr>
            <w:r>
              <w:rPr>
                <w:color w:val="231F20"/>
                <w:sz w:val="17"/>
              </w:rPr>
              <w:t>14.0</w:t>
            </w:r>
          </w:p>
        </w:tc>
      </w:tr>
      <w:tr>
        <w:trPr>
          <w:trHeight w:val="564" w:hRule="exact"/>
        </w:trPr>
        <w:tc>
          <w:tcPr>
            <w:tcW w:w="4830" w:type="dxa"/>
          </w:tcPr>
          <w:p>
            <w:pPr>
              <w:pStyle w:val="TableParagraph"/>
              <w:spacing w:line="167" w:lineRule="exact"/>
              <w:ind w:left="114" w:right="130"/>
              <w:jc w:val="left"/>
              <w:rPr>
                <w:sz w:val="17"/>
              </w:rPr>
            </w:pPr>
            <w:r>
              <w:rPr>
                <w:color w:val="231F20"/>
                <w:sz w:val="17"/>
              </w:rPr>
              <w:t>Subrama: Fabricación de partes de sistemas</w:t>
            </w:r>
          </w:p>
          <w:p>
            <w:pPr>
              <w:pStyle w:val="TableParagraph"/>
              <w:tabs>
                <w:tab w:pos="4371" w:val="right" w:leader="none"/>
              </w:tabs>
              <w:spacing w:line="187" w:lineRule="exact"/>
              <w:ind w:left="114"/>
              <w:jc w:val="left"/>
              <w:rPr>
                <w:sz w:val="17"/>
              </w:rPr>
            </w:pPr>
            <w:r>
              <w:rPr>
                <w:color w:val="231F20"/>
                <w:sz w:val="17"/>
              </w:rPr>
              <w:t>de dirección y de suspensión</w:t>
            </w:r>
            <w:r>
              <w:rPr>
                <w:color w:val="231F20"/>
                <w:spacing w:val="-22"/>
                <w:sz w:val="17"/>
              </w:rPr>
              <w:t> </w:t>
            </w:r>
            <w:r>
              <w:rPr>
                <w:color w:val="231F20"/>
                <w:sz w:val="17"/>
              </w:rPr>
              <w:t>para</w:t>
            </w:r>
            <w:r>
              <w:rPr>
                <w:color w:val="231F20"/>
                <w:spacing w:val="-5"/>
                <w:sz w:val="17"/>
              </w:rPr>
              <w:t> </w:t>
            </w:r>
            <w:r>
              <w:rPr>
                <w:color w:val="231F20"/>
                <w:sz w:val="17"/>
              </w:rPr>
              <w:t>vehículos</w:t>
              <w:tab/>
              <w:t>5.6</w:t>
            </w:r>
          </w:p>
          <w:p>
            <w:pPr>
              <w:pStyle w:val="TableParagraph"/>
              <w:spacing w:line="191" w:lineRule="exact"/>
              <w:ind w:left="114" w:right="130"/>
              <w:jc w:val="left"/>
              <w:rPr>
                <w:sz w:val="17"/>
              </w:rPr>
            </w:pPr>
            <w:r>
              <w:rPr>
                <w:color w:val="231F20"/>
                <w:sz w:val="17"/>
              </w:rPr>
              <w:t>automotrices</w:t>
            </w:r>
          </w:p>
        </w:tc>
        <w:tc>
          <w:tcPr>
            <w:tcW w:w="936" w:type="dxa"/>
          </w:tcPr>
          <w:p>
            <w:pPr>
              <w:pStyle w:val="TableParagraph"/>
              <w:spacing w:before="1"/>
              <w:jc w:val="left"/>
              <w:rPr>
                <w:rFonts w:ascii="Palatino Linotype"/>
                <w:b/>
                <w:sz w:val="12"/>
              </w:rPr>
            </w:pPr>
          </w:p>
          <w:p>
            <w:pPr>
              <w:pStyle w:val="TableParagraph"/>
              <w:ind w:right="372"/>
              <w:jc w:val="right"/>
              <w:rPr>
                <w:sz w:val="17"/>
              </w:rPr>
            </w:pPr>
            <w:r>
              <w:rPr>
                <w:color w:val="231F20"/>
                <w:w w:val="95"/>
                <w:sz w:val="17"/>
              </w:rPr>
              <w:t>5.5</w:t>
            </w:r>
          </w:p>
        </w:tc>
        <w:tc>
          <w:tcPr>
            <w:tcW w:w="1434" w:type="dxa"/>
          </w:tcPr>
          <w:p>
            <w:pPr>
              <w:pStyle w:val="TableParagraph"/>
              <w:spacing w:before="1"/>
              <w:jc w:val="left"/>
              <w:rPr>
                <w:rFonts w:ascii="Palatino Linotype"/>
                <w:b/>
                <w:sz w:val="12"/>
              </w:rPr>
            </w:pPr>
          </w:p>
          <w:p>
            <w:pPr>
              <w:pStyle w:val="TableParagraph"/>
              <w:ind w:left="608" w:right="155"/>
              <w:jc w:val="left"/>
              <w:rPr>
                <w:sz w:val="17"/>
              </w:rPr>
            </w:pPr>
            <w:r>
              <w:rPr>
                <w:color w:val="231F20"/>
                <w:sz w:val="17"/>
              </w:rPr>
              <w:t>3.4</w:t>
            </w:r>
          </w:p>
        </w:tc>
      </w:tr>
      <w:tr>
        <w:trPr>
          <w:trHeight w:val="517" w:hRule="exact"/>
        </w:trPr>
        <w:tc>
          <w:tcPr>
            <w:tcW w:w="4830" w:type="dxa"/>
          </w:tcPr>
          <w:p>
            <w:pPr>
              <w:pStyle w:val="TableParagraph"/>
              <w:spacing w:line="146" w:lineRule="exact" w:before="69"/>
              <w:ind w:left="114" w:right="130"/>
              <w:jc w:val="left"/>
              <w:rPr>
                <w:sz w:val="17"/>
              </w:rPr>
            </w:pPr>
            <w:r>
              <w:rPr>
                <w:color w:val="231F20"/>
                <w:sz w:val="17"/>
              </w:rPr>
              <w:t>Subrama: Fabricación de partes de sistemas de</w:t>
            </w:r>
          </w:p>
          <w:p>
            <w:pPr>
              <w:pStyle w:val="TableParagraph"/>
              <w:tabs>
                <w:tab w:pos="4371" w:val="right" w:leader="none"/>
              </w:tabs>
              <w:spacing w:line="236" w:lineRule="exact"/>
              <w:ind w:left="114"/>
              <w:jc w:val="left"/>
              <w:rPr>
                <w:sz w:val="17"/>
              </w:rPr>
            </w:pPr>
            <w:r>
              <w:rPr>
                <w:color w:val="231F20"/>
                <w:sz w:val="17"/>
              </w:rPr>
              <w:t>frenos para</w:t>
            </w:r>
            <w:r>
              <w:rPr>
                <w:color w:val="231F20"/>
                <w:spacing w:val="-9"/>
                <w:sz w:val="17"/>
              </w:rPr>
              <w:t> </w:t>
            </w:r>
            <w:r>
              <w:rPr>
                <w:color w:val="231F20"/>
                <w:sz w:val="17"/>
              </w:rPr>
              <w:t>vehículos</w:t>
            </w:r>
            <w:r>
              <w:rPr>
                <w:color w:val="231F20"/>
                <w:spacing w:val="-5"/>
                <w:sz w:val="17"/>
              </w:rPr>
              <w:t> </w:t>
            </w:r>
            <w:r>
              <w:rPr>
                <w:color w:val="231F20"/>
                <w:sz w:val="17"/>
              </w:rPr>
              <w:t>automotrices</w:t>
            </w:r>
            <w:r>
              <w:rPr>
                <w:color w:val="231F20"/>
                <w:position w:val="9"/>
                <w:sz w:val="17"/>
              </w:rPr>
              <w:tab/>
              <w:t>6.8</w:t>
            </w:r>
          </w:p>
        </w:tc>
        <w:tc>
          <w:tcPr>
            <w:tcW w:w="936" w:type="dxa"/>
          </w:tcPr>
          <w:p>
            <w:pPr>
              <w:pStyle w:val="TableParagraph"/>
              <w:spacing w:before="1"/>
              <w:jc w:val="left"/>
              <w:rPr>
                <w:rFonts w:ascii="Palatino Linotype"/>
                <w:b/>
                <w:sz w:val="12"/>
              </w:rPr>
            </w:pPr>
          </w:p>
          <w:p>
            <w:pPr>
              <w:pStyle w:val="TableParagraph"/>
              <w:ind w:right="372"/>
              <w:jc w:val="right"/>
              <w:rPr>
                <w:sz w:val="17"/>
              </w:rPr>
            </w:pPr>
            <w:r>
              <w:rPr>
                <w:color w:val="231F20"/>
                <w:w w:val="95"/>
                <w:sz w:val="17"/>
              </w:rPr>
              <w:t>3.2</w:t>
            </w:r>
          </w:p>
        </w:tc>
        <w:tc>
          <w:tcPr>
            <w:tcW w:w="1434" w:type="dxa"/>
          </w:tcPr>
          <w:p>
            <w:pPr>
              <w:pStyle w:val="TableParagraph"/>
              <w:spacing w:before="1"/>
              <w:jc w:val="left"/>
              <w:rPr>
                <w:rFonts w:ascii="Palatino Linotype"/>
                <w:b/>
                <w:sz w:val="12"/>
              </w:rPr>
            </w:pPr>
          </w:p>
          <w:p>
            <w:pPr>
              <w:pStyle w:val="TableParagraph"/>
              <w:ind w:left="608" w:right="155"/>
              <w:jc w:val="left"/>
              <w:rPr>
                <w:sz w:val="17"/>
              </w:rPr>
            </w:pPr>
            <w:r>
              <w:rPr>
                <w:color w:val="231F20"/>
                <w:sz w:val="17"/>
              </w:rPr>
              <w:t>3.0</w:t>
            </w:r>
          </w:p>
        </w:tc>
      </w:tr>
      <w:tr>
        <w:trPr>
          <w:trHeight w:val="471" w:hRule="exact"/>
        </w:trPr>
        <w:tc>
          <w:tcPr>
            <w:tcW w:w="4830" w:type="dxa"/>
          </w:tcPr>
          <w:p>
            <w:pPr>
              <w:pStyle w:val="TableParagraph"/>
              <w:spacing w:line="146" w:lineRule="exact" w:before="22"/>
              <w:ind w:left="114" w:right="130"/>
              <w:jc w:val="left"/>
              <w:rPr>
                <w:sz w:val="17"/>
              </w:rPr>
            </w:pPr>
            <w:r>
              <w:rPr>
                <w:color w:val="231F20"/>
                <w:sz w:val="17"/>
              </w:rPr>
              <w:t>Subrama: Fabricación de partes de sistemas de</w:t>
            </w:r>
          </w:p>
          <w:p>
            <w:pPr>
              <w:pStyle w:val="TableParagraph"/>
              <w:tabs>
                <w:tab w:pos="4371" w:val="right" w:leader="none"/>
              </w:tabs>
              <w:spacing w:line="236" w:lineRule="exact"/>
              <w:ind w:left="114"/>
              <w:jc w:val="left"/>
              <w:rPr>
                <w:sz w:val="17"/>
              </w:rPr>
            </w:pPr>
            <w:r>
              <w:rPr>
                <w:color w:val="231F20"/>
                <w:sz w:val="17"/>
              </w:rPr>
              <w:t>transmisión para</w:t>
            </w:r>
            <w:r>
              <w:rPr>
                <w:color w:val="231F20"/>
                <w:spacing w:val="-8"/>
                <w:sz w:val="17"/>
              </w:rPr>
              <w:t> </w:t>
            </w:r>
            <w:r>
              <w:rPr>
                <w:color w:val="231F20"/>
                <w:sz w:val="17"/>
              </w:rPr>
              <w:t>vehículos</w:t>
            </w:r>
            <w:r>
              <w:rPr>
                <w:color w:val="231F20"/>
                <w:spacing w:val="-4"/>
                <w:sz w:val="17"/>
              </w:rPr>
              <w:t> </w:t>
            </w:r>
            <w:r>
              <w:rPr>
                <w:color w:val="231F20"/>
                <w:sz w:val="17"/>
              </w:rPr>
              <w:t>automotores</w:t>
            </w:r>
            <w:r>
              <w:rPr>
                <w:color w:val="231F20"/>
                <w:position w:val="9"/>
                <w:sz w:val="17"/>
              </w:rPr>
              <w:tab/>
              <w:t>3.6</w:t>
            </w:r>
          </w:p>
        </w:tc>
        <w:tc>
          <w:tcPr>
            <w:tcW w:w="936" w:type="dxa"/>
          </w:tcPr>
          <w:p>
            <w:pPr>
              <w:pStyle w:val="TableParagraph"/>
              <w:spacing w:before="116"/>
              <w:ind w:right="372"/>
              <w:jc w:val="right"/>
              <w:rPr>
                <w:sz w:val="17"/>
              </w:rPr>
            </w:pPr>
            <w:r>
              <w:rPr>
                <w:color w:val="231F20"/>
                <w:w w:val="95"/>
                <w:sz w:val="17"/>
              </w:rPr>
              <w:t>3.4</w:t>
            </w:r>
          </w:p>
        </w:tc>
        <w:tc>
          <w:tcPr>
            <w:tcW w:w="1434" w:type="dxa"/>
          </w:tcPr>
          <w:p>
            <w:pPr>
              <w:pStyle w:val="TableParagraph"/>
              <w:spacing w:before="116"/>
              <w:ind w:left="608" w:right="155"/>
              <w:jc w:val="left"/>
              <w:rPr>
                <w:sz w:val="17"/>
              </w:rPr>
            </w:pPr>
            <w:r>
              <w:rPr>
                <w:color w:val="231F20"/>
                <w:sz w:val="17"/>
              </w:rPr>
              <w:t>1.7</w:t>
            </w:r>
          </w:p>
        </w:tc>
      </w:tr>
      <w:tr>
        <w:trPr>
          <w:trHeight w:val="471" w:hRule="exact"/>
        </w:trPr>
        <w:tc>
          <w:tcPr>
            <w:tcW w:w="4830" w:type="dxa"/>
          </w:tcPr>
          <w:p>
            <w:pPr>
              <w:pStyle w:val="TableParagraph"/>
              <w:spacing w:line="146" w:lineRule="exact" w:before="22"/>
              <w:ind w:left="115" w:right="130"/>
              <w:jc w:val="left"/>
              <w:rPr>
                <w:sz w:val="17"/>
              </w:rPr>
            </w:pPr>
            <w:r>
              <w:rPr>
                <w:color w:val="231F20"/>
                <w:sz w:val="17"/>
              </w:rPr>
              <w:t>Subrama: Fabricación de asientos y accesorios</w:t>
            </w:r>
          </w:p>
          <w:p>
            <w:pPr>
              <w:pStyle w:val="TableParagraph"/>
              <w:tabs>
                <w:tab w:pos="4169" w:val="left" w:leader="none"/>
              </w:tabs>
              <w:spacing w:line="236" w:lineRule="exact"/>
              <w:ind w:left="115" w:right="130"/>
              <w:jc w:val="left"/>
              <w:rPr>
                <w:sz w:val="17"/>
              </w:rPr>
            </w:pPr>
            <w:r>
              <w:rPr>
                <w:color w:val="231F20"/>
                <w:sz w:val="17"/>
              </w:rPr>
              <w:t>interiores para</w:t>
            </w:r>
            <w:r>
              <w:rPr>
                <w:color w:val="231F20"/>
                <w:spacing w:val="-8"/>
                <w:sz w:val="17"/>
              </w:rPr>
              <w:t> </w:t>
            </w:r>
            <w:r>
              <w:rPr>
                <w:color w:val="231F20"/>
                <w:sz w:val="17"/>
              </w:rPr>
              <w:t>vehículos</w:t>
            </w:r>
            <w:r>
              <w:rPr>
                <w:color w:val="231F20"/>
                <w:spacing w:val="-4"/>
                <w:sz w:val="17"/>
              </w:rPr>
              <w:t> </w:t>
            </w:r>
            <w:r>
              <w:rPr>
                <w:color w:val="231F20"/>
                <w:sz w:val="17"/>
              </w:rPr>
              <w:t>automotores</w:t>
            </w:r>
            <w:r>
              <w:rPr>
                <w:color w:val="231F20"/>
                <w:position w:val="9"/>
                <w:sz w:val="17"/>
              </w:rPr>
              <w:tab/>
              <w:t>8.0</w:t>
            </w:r>
          </w:p>
        </w:tc>
        <w:tc>
          <w:tcPr>
            <w:tcW w:w="936" w:type="dxa"/>
          </w:tcPr>
          <w:p>
            <w:pPr>
              <w:pStyle w:val="TableParagraph"/>
              <w:spacing w:before="116"/>
              <w:ind w:right="371"/>
              <w:jc w:val="right"/>
              <w:rPr>
                <w:sz w:val="17"/>
              </w:rPr>
            </w:pPr>
            <w:r>
              <w:rPr>
                <w:color w:val="231F20"/>
                <w:w w:val="95"/>
                <w:sz w:val="17"/>
              </w:rPr>
              <w:t>8.1</w:t>
            </w:r>
          </w:p>
        </w:tc>
        <w:tc>
          <w:tcPr>
            <w:tcW w:w="1434" w:type="dxa"/>
          </w:tcPr>
          <w:p>
            <w:pPr>
              <w:pStyle w:val="TableParagraph"/>
              <w:spacing w:before="116"/>
              <w:ind w:left="609" w:right="155"/>
              <w:jc w:val="left"/>
              <w:rPr>
                <w:sz w:val="17"/>
              </w:rPr>
            </w:pPr>
            <w:r>
              <w:rPr>
                <w:color w:val="231F20"/>
                <w:sz w:val="17"/>
              </w:rPr>
              <w:t>6.4</w:t>
            </w:r>
          </w:p>
        </w:tc>
      </w:tr>
      <w:tr>
        <w:trPr>
          <w:trHeight w:val="471" w:hRule="exact"/>
        </w:trPr>
        <w:tc>
          <w:tcPr>
            <w:tcW w:w="4830" w:type="dxa"/>
          </w:tcPr>
          <w:p>
            <w:pPr>
              <w:pStyle w:val="TableParagraph"/>
              <w:spacing w:line="146" w:lineRule="exact" w:before="22"/>
              <w:ind w:left="115" w:right="130"/>
              <w:jc w:val="left"/>
              <w:rPr>
                <w:sz w:val="17"/>
              </w:rPr>
            </w:pPr>
            <w:r>
              <w:rPr>
                <w:color w:val="231F20"/>
                <w:sz w:val="17"/>
              </w:rPr>
              <w:t>Subrama: Fabricación de piezas metálicas</w:t>
            </w:r>
          </w:p>
          <w:p>
            <w:pPr>
              <w:pStyle w:val="TableParagraph"/>
              <w:tabs>
                <w:tab w:pos="4169" w:val="left" w:leader="none"/>
              </w:tabs>
              <w:spacing w:line="236" w:lineRule="exact"/>
              <w:ind w:left="115" w:right="130"/>
              <w:jc w:val="left"/>
              <w:rPr>
                <w:sz w:val="17"/>
              </w:rPr>
            </w:pPr>
            <w:r>
              <w:rPr>
                <w:color w:val="231F20"/>
                <w:sz w:val="17"/>
              </w:rPr>
              <w:t>troqueladas para</w:t>
            </w:r>
            <w:r>
              <w:rPr>
                <w:color w:val="231F20"/>
                <w:spacing w:val="-7"/>
                <w:sz w:val="17"/>
              </w:rPr>
              <w:t> </w:t>
            </w:r>
            <w:r>
              <w:rPr>
                <w:color w:val="231F20"/>
                <w:sz w:val="17"/>
              </w:rPr>
              <w:t>vehículos</w:t>
            </w:r>
            <w:r>
              <w:rPr>
                <w:color w:val="231F20"/>
                <w:spacing w:val="-4"/>
                <w:sz w:val="17"/>
              </w:rPr>
              <w:t> </w:t>
            </w:r>
            <w:r>
              <w:rPr>
                <w:color w:val="231F20"/>
                <w:sz w:val="17"/>
              </w:rPr>
              <w:t>automotrices</w:t>
            </w:r>
            <w:r>
              <w:rPr>
                <w:color w:val="231F20"/>
                <w:position w:val="9"/>
                <w:sz w:val="17"/>
              </w:rPr>
              <w:tab/>
              <w:t>6.0</w:t>
            </w:r>
          </w:p>
        </w:tc>
        <w:tc>
          <w:tcPr>
            <w:tcW w:w="936" w:type="dxa"/>
          </w:tcPr>
          <w:p>
            <w:pPr>
              <w:pStyle w:val="TableParagraph"/>
              <w:spacing w:before="116"/>
              <w:ind w:right="371"/>
              <w:jc w:val="right"/>
              <w:rPr>
                <w:sz w:val="17"/>
              </w:rPr>
            </w:pPr>
            <w:r>
              <w:rPr>
                <w:color w:val="231F20"/>
                <w:w w:val="95"/>
                <w:sz w:val="17"/>
              </w:rPr>
              <w:t>5.8</w:t>
            </w:r>
          </w:p>
        </w:tc>
        <w:tc>
          <w:tcPr>
            <w:tcW w:w="1434" w:type="dxa"/>
          </w:tcPr>
          <w:p>
            <w:pPr>
              <w:pStyle w:val="TableParagraph"/>
              <w:spacing w:before="116"/>
              <w:ind w:left="609" w:right="155"/>
              <w:jc w:val="left"/>
              <w:rPr>
                <w:sz w:val="17"/>
              </w:rPr>
            </w:pPr>
            <w:r>
              <w:rPr>
                <w:color w:val="231F20"/>
                <w:sz w:val="17"/>
              </w:rPr>
              <w:t>1.9</w:t>
            </w:r>
          </w:p>
        </w:tc>
      </w:tr>
      <w:tr>
        <w:trPr>
          <w:trHeight w:val="449" w:hRule="exact"/>
        </w:trPr>
        <w:tc>
          <w:tcPr>
            <w:tcW w:w="4830" w:type="dxa"/>
            <w:tcBorders>
              <w:bottom w:val="single" w:sz="4" w:space="0" w:color="231F20"/>
            </w:tcBorders>
          </w:tcPr>
          <w:p>
            <w:pPr>
              <w:pStyle w:val="TableParagraph"/>
              <w:spacing w:line="146" w:lineRule="exact" w:before="22"/>
              <w:ind w:left="115" w:right="130"/>
              <w:jc w:val="left"/>
              <w:rPr>
                <w:sz w:val="17"/>
              </w:rPr>
            </w:pPr>
            <w:r>
              <w:rPr>
                <w:color w:val="231F20"/>
                <w:sz w:val="17"/>
              </w:rPr>
              <w:t>Subrama: Fabricación de otras partes para</w:t>
            </w:r>
          </w:p>
          <w:p>
            <w:pPr>
              <w:pStyle w:val="TableParagraph"/>
              <w:tabs>
                <w:tab w:pos="4412" w:val="right" w:leader="none"/>
              </w:tabs>
              <w:spacing w:line="236" w:lineRule="exact"/>
              <w:ind w:left="115"/>
              <w:jc w:val="left"/>
              <w:rPr>
                <w:sz w:val="17"/>
              </w:rPr>
            </w:pPr>
            <w:r>
              <w:rPr>
                <w:color w:val="231F20"/>
                <w:sz w:val="17"/>
              </w:rPr>
              <w:t>vehículos</w:t>
            </w:r>
            <w:r>
              <w:rPr>
                <w:color w:val="231F20"/>
                <w:spacing w:val="-5"/>
                <w:sz w:val="17"/>
              </w:rPr>
              <w:t> </w:t>
            </w:r>
            <w:r>
              <w:rPr>
                <w:color w:val="231F20"/>
                <w:sz w:val="17"/>
              </w:rPr>
              <w:t>automotrices</w:t>
            </w:r>
            <w:r>
              <w:rPr>
                <w:color w:val="231F20"/>
                <w:position w:val="9"/>
                <w:sz w:val="17"/>
              </w:rPr>
              <w:tab/>
              <w:t>12.7</w:t>
            </w:r>
          </w:p>
        </w:tc>
        <w:tc>
          <w:tcPr>
            <w:tcW w:w="936" w:type="dxa"/>
            <w:tcBorders>
              <w:bottom w:val="single" w:sz="4" w:space="0" w:color="231F20"/>
            </w:tcBorders>
          </w:tcPr>
          <w:p>
            <w:pPr>
              <w:pStyle w:val="TableParagraph"/>
              <w:spacing w:before="116"/>
              <w:ind w:right="330"/>
              <w:jc w:val="right"/>
              <w:rPr>
                <w:sz w:val="17"/>
              </w:rPr>
            </w:pPr>
            <w:r>
              <w:rPr>
                <w:color w:val="231F20"/>
                <w:w w:val="95"/>
                <w:sz w:val="17"/>
              </w:rPr>
              <w:t>12.7</w:t>
            </w:r>
          </w:p>
        </w:tc>
        <w:tc>
          <w:tcPr>
            <w:tcW w:w="1434" w:type="dxa"/>
            <w:tcBorders>
              <w:bottom w:val="single" w:sz="4" w:space="0" w:color="231F20"/>
            </w:tcBorders>
          </w:tcPr>
          <w:p>
            <w:pPr>
              <w:pStyle w:val="TableParagraph"/>
              <w:spacing w:before="116"/>
              <w:ind w:left="568" w:right="155"/>
              <w:jc w:val="left"/>
              <w:rPr>
                <w:sz w:val="17"/>
              </w:rPr>
            </w:pPr>
            <w:r>
              <w:rPr>
                <w:color w:val="231F20"/>
                <w:sz w:val="17"/>
              </w:rPr>
              <w:t>11.0</w:t>
            </w:r>
          </w:p>
        </w:tc>
      </w:tr>
    </w:tbl>
    <w:p>
      <w:pPr>
        <w:pStyle w:val="BodyText"/>
        <w:spacing w:before="3"/>
        <w:rPr>
          <w:rFonts w:ascii="Palatino Linotype"/>
          <w:b/>
          <w:sz w:val="9"/>
        </w:rPr>
      </w:pPr>
    </w:p>
    <w:p>
      <w:pPr>
        <w:spacing w:before="41"/>
        <w:ind w:left="713" w:right="1617" w:firstLine="0"/>
        <w:jc w:val="left"/>
        <w:rPr>
          <w:sz w:val="19"/>
        </w:rPr>
      </w:pPr>
      <w:r>
        <w:rPr>
          <w:color w:val="231F20"/>
          <w:sz w:val="19"/>
        </w:rPr>
        <w:t>SD</w:t>
      </w:r>
      <w:r>
        <w:rPr>
          <w:rFonts w:ascii="Palatino Linotype"/>
          <w:i/>
          <w:color w:val="231F20"/>
          <w:sz w:val="19"/>
        </w:rPr>
        <w:t>=Sin </w:t>
      </w:r>
      <w:r>
        <w:rPr>
          <w:color w:val="231F20"/>
          <w:sz w:val="19"/>
        </w:rPr>
        <w:t>dato.</w:t>
      </w:r>
    </w:p>
    <w:p>
      <w:pPr>
        <w:spacing w:before="23"/>
        <w:ind w:left="713" w:right="1617" w:firstLine="0"/>
        <w:jc w:val="left"/>
        <w:rPr>
          <w:sz w:val="19"/>
        </w:rPr>
      </w:pPr>
      <w:r>
        <w:rPr>
          <w:rFonts w:ascii="Palatino Linotype" w:hAnsi="Palatino Linotype"/>
          <w:i/>
          <w:color w:val="231F20"/>
          <w:sz w:val="19"/>
        </w:rPr>
        <w:t>Fuente: </w:t>
      </w:r>
      <w:r>
        <w:rPr>
          <w:color w:val="231F20"/>
          <w:sz w:val="19"/>
        </w:rPr>
        <w:t>Elaboración propia con datos de INEGI (2009).</w:t>
      </w:r>
    </w:p>
    <w:p>
      <w:pPr>
        <w:spacing w:after="0"/>
        <w:jc w:val="left"/>
        <w:rPr>
          <w:sz w:val="19"/>
        </w:rPr>
        <w:sectPr>
          <w:headerReference w:type="even" r:id="rId217"/>
          <w:headerReference w:type="default" r:id="rId218"/>
          <w:footerReference w:type="even" r:id="rId219"/>
          <w:footerReference w:type="default" r:id="rId220"/>
          <w:pgSz w:w="9640" w:h="13040"/>
          <w:pgMar w:header="581" w:footer="654" w:top="780" w:bottom="840" w:left="420" w:right="1200"/>
          <w:pgNumType w:start="108"/>
        </w:sectPr>
      </w:pPr>
    </w:p>
    <w:p>
      <w:pPr>
        <w:pStyle w:val="BodyText"/>
        <w:rPr>
          <w:sz w:val="20"/>
        </w:rPr>
      </w:pPr>
    </w:p>
    <w:p>
      <w:pPr>
        <w:pStyle w:val="BodyText"/>
        <w:spacing w:before="10"/>
        <w:rPr>
          <w:sz w:val="17"/>
        </w:rPr>
      </w:pPr>
    </w:p>
    <w:p>
      <w:pPr>
        <w:pStyle w:val="BodyText"/>
        <w:spacing w:line="278" w:lineRule="auto"/>
        <w:ind w:left="123" w:right="711"/>
        <w:jc w:val="both"/>
      </w:pPr>
      <w:r>
        <w:rPr>
          <w:color w:val="231F20"/>
        </w:rPr>
        <w:t>En </w:t>
      </w:r>
      <w:r>
        <w:rPr>
          <w:color w:val="231F20"/>
          <w:spacing w:val="-3"/>
        </w:rPr>
        <w:t>el </w:t>
      </w:r>
      <w:r>
        <w:rPr>
          <w:color w:val="231F20"/>
          <w:spacing w:val="-4"/>
        </w:rPr>
        <w:t>Estado </w:t>
      </w:r>
      <w:r>
        <w:rPr>
          <w:color w:val="231F20"/>
        </w:rPr>
        <w:t>de </w:t>
      </w:r>
      <w:r>
        <w:rPr>
          <w:color w:val="231F20"/>
          <w:spacing w:val="-6"/>
        </w:rPr>
        <w:t>México, </w:t>
      </w:r>
      <w:r>
        <w:rPr>
          <w:color w:val="231F20"/>
          <w:spacing w:val="-3"/>
        </w:rPr>
        <w:t>las </w:t>
      </w:r>
      <w:r>
        <w:rPr>
          <w:color w:val="231F20"/>
          <w:spacing w:val="-5"/>
        </w:rPr>
        <w:t>empresas norteamericanas Chrysler, </w:t>
      </w:r>
      <w:r>
        <w:rPr>
          <w:color w:val="231F20"/>
          <w:spacing w:val="-6"/>
        </w:rPr>
        <w:t>Ford </w:t>
      </w:r>
      <w:r>
        <w:rPr>
          <w:color w:val="231F20"/>
        </w:rPr>
        <w:t>y </w:t>
      </w:r>
      <w:r>
        <w:rPr>
          <w:color w:val="231F20"/>
          <w:spacing w:val="-4"/>
        </w:rPr>
        <w:t>General </w:t>
      </w:r>
      <w:r>
        <w:rPr>
          <w:color w:val="231F20"/>
          <w:spacing w:val="-6"/>
        </w:rPr>
        <w:t>Motors </w:t>
      </w:r>
      <w:r>
        <w:rPr>
          <w:color w:val="231F20"/>
          <w:spacing w:val="-4"/>
        </w:rPr>
        <w:t>son </w:t>
      </w:r>
      <w:r>
        <w:rPr>
          <w:color w:val="231F20"/>
          <w:spacing w:val="-3"/>
        </w:rPr>
        <w:t>las </w:t>
      </w:r>
      <w:r>
        <w:rPr>
          <w:color w:val="231F20"/>
          <w:spacing w:val="-4"/>
        </w:rPr>
        <w:t>que </w:t>
      </w:r>
      <w:r>
        <w:rPr>
          <w:color w:val="231F20"/>
          <w:spacing w:val="-5"/>
        </w:rPr>
        <w:t>dominan </w:t>
      </w:r>
      <w:r>
        <w:rPr>
          <w:color w:val="231F20"/>
        </w:rPr>
        <w:t>la </w:t>
      </w:r>
      <w:r>
        <w:rPr>
          <w:color w:val="231F20"/>
          <w:spacing w:val="-5"/>
        </w:rPr>
        <w:t>industria automotriz </w:t>
      </w:r>
      <w:r>
        <w:rPr>
          <w:color w:val="231F20"/>
          <w:spacing w:val="-4"/>
        </w:rPr>
        <w:t>terminal </w:t>
      </w:r>
      <w:r>
        <w:rPr>
          <w:color w:val="231F20"/>
        </w:rPr>
        <w:t>y </w:t>
      </w:r>
      <w:r>
        <w:rPr>
          <w:color w:val="231F20"/>
          <w:spacing w:val="-3"/>
        </w:rPr>
        <w:t>las </w:t>
      </w:r>
      <w:r>
        <w:rPr>
          <w:color w:val="231F20"/>
          <w:spacing w:val="-6"/>
        </w:rPr>
        <w:t>mayores </w:t>
      </w:r>
      <w:r>
        <w:rPr>
          <w:color w:val="231F20"/>
          <w:spacing w:val="-5"/>
        </w:rPr>
        <w:t>generadoras </w:t>
      </w:r>
      <w:r>
        <w:rPr>
          <w:color w:val="231F20"/>
        </w:rPr>
        <w:t>de </w:t>
      </w:r>
      <w:r>
        <w:rPr>
          <w:color w:val="231F20"/>
          <w:spacing w:val="-5"/>
        </w:rPr>
        <w:t>pro- ducción, inversión, </w:t>
      </w:r>
      <w:r>
        <w:rPr>
          <w:color w:val="231F20"/>
          <w:spacing w:val="-6"/>
        </w:rPr>
        <w:t>empleo, </w:t>
      </w:r>
      <w:r>
        <w:rPr>
          <w:color w:val="231F20"/>
          <w:spacing w:val="-4"/>
        </w:rPr>
        <w:t>etcétera.</w:t>
      </w:r>
      <w:r>
        <w:rPr>
          <w:color w:val="231F20"/>
          <w:spacing w:val="-4"/>
          <w:position w:val="7"/>
          <w:sz w:val="12"/>
        </w:rPr>
        <w:t>1 </w:t>
      </w:r>
      <w:r>
        <w:rPr>
          <w:color w:val="231F20"/>
        </w:rPr>
        <w:t>En </w:t>
      </w:r>
      <w:r>
        <w:rPr>
          <w:color w:val="231F20"/>
          <w:spacing w:val="-3"/>
        </w:rPr>
        <w:t>2008 </w:t>
      </w:r>
      <w:r>
        <w:rPr>
          <w:color w:val="231F20"/>
          <w:spacing w:val="-4"/>
        </w:rPr>
        <w:t>General </w:t>
      </w:r>
      <w:r>
        <w:rPr>
          <w:color w:val="231F20"/>
          <w:spacing w:val="-6"/>
        </w:rPr>
        <w:t>Motors </w:t>
      </w:r>
      <w:r>
        <w:rPr>
          <w:color w:val="231F20"/>
          <w:spacing w:val="-5"/>
        </w:rPr>
        <w:t>produjo </w:t>
      </w:r>
      <w:r>
        <w:rPr>
          <w:color w:val="231F20"/>
          <w:spacing w:val="-3"/>
        </w:rPr>
        <w:t>50% del </w:t>
      </w:r>
      <w:r>
        <w:rPr>
          <w:color w:val="231F20"/>
          <w:spacing w:val="-4"/>
        </w:rPr>
        <w:t>total de vehículos</w:t>
      </w:r>
      <w:r>
        <w:rPr>
          <w:color w:val="231F20"/>
          <w:spacing w:val="-21"/>
        </w:rPr>
        <w:t> </w:t>
      </w:r>
      <w:r>
        <w:rPr>
          <w:color w:val="231F20"/>
        </w:rPr>
        <w:t>en</w:t>
      </w:r>
      <w:r>
        <w:rPr>
          <w:color w:val="231F20"/>
          <w:spacing w:val="-21"/>
        </w:rPr>
        <w:t> </w:t>
      </w:r>
      <w:r>
        <w:rPr>
          <w:color w:val="231F20"/>
          <w:spacing w:val="-4"/>
        </w:rPr>
        <w:t>esta</w:t>
      </w:r>
      <w:r>
        <w:rPr>
          <w:color w:val="231F20"/>
          <w:spacing w:val="-21"/>
        </w:rPr>
        <w:t> </w:t>
      </w:r>
      <w:r>
        <w:rPr>
          <w:color w:val="231F20"/>
          <w:spacing w:val="-5"/>
        </w:rPr>
        <w:t>entidad,</w:t>
      </w:r>
      <w:r>
        <w:rPr>
          <w:color w:val="231F20"/>
          <w:spacing w:val="-21"/>
        </w:rPr>
        <w:t> </w:t>
      </w:r>
      <w:r>
        <w:rPr>
          <w:color w:val="231F20"/>
          <w:spacing w:val="-4"/>
        </w:rPr>
        <w:t>seguido</w:t>
      </w:r>
      <w:r>
        <w:rPr>
          <w:color w:val="231F20"/>
          <w:spacing w:val="-21"/>
        </w:rPr>
        <w:t> </w:t>
      </w:r>
      <w:r>
        <w:rPr>
          <w:color w:val="231F20"/>
          <w:spacing w:val="-4"/>
        </w:rPr>
        <w:t>por</w:t>
      </w:r>
      <w:r>
        <w:rPr>
          <w:color w:val="231F20"/>
          <w:spacing w:val="-21"/>
        </w:rPr>
        <w:t> </w:t>
      </w:r>
      <w:r>
        <w:rPr>
          <w:color w:val="231F20"/>
          <w:spacing w:val="-3"/>
        </w:rPr>
        <w:t>Chrysler</w:t>
      </w:r>
      <w:r>
        <w:rPr>
          <w:color w:val="231F20"/>
          <w:spacing w:val="-21"/>
        </w:rPr>
        <w:t> </w:t>
      </w:r>
      <w:r>
        <w:rPr>
          <w:color w:val="231F20"/>
        </w:rPr>
        <w:t>y</w:t>
      </w:r>
      <w:r>
        <w:rPr>
          <w:color w:val="231F20"/>
          <w:spacing w:val="-21"/>
        </w:rPr>
        <w:t> </w:t>
      </w:r>
      <w:r>
        <w:rPr>
          <w:color w:val="231F20"/>
          <w:spacing w:val="-5"/>
        </w:rPr>
        <w:t>muy</w:t>
      </w:r>
      <w:r>
        <w:rPr>
          <w:color w:val="231F20"/>
          <w:spacing w:val="-21"/>
        </w:rPr>
        <w:t> </w:t>
      </w:r>
      <w:r>
        <w:rPr>
          <w:color w:val="231F20"/>
        </w:rPr>
        <w:t>de</w:t>
      </w:r>
      <w:r>
        <w:rPr>
          <w:color w:val="231F20"/>
          <w:spacing w:val="-21"/>
        </w:rPr>
        <w:t> </w:t>
      </w:r>
      <w:r>
        <w:rPr>
          <w:color w:val="231F20"/>
          <w:spacing w:val="-3"/>
        </w:rPr>
        <w:t>lejos</w:t>
      </w:r>
      <w:r>
        <w:rPr>
          <w:color w:val="231F20"/>
          <w:spacing w:val="-21"/>
        </w:rPr>
        <w:t> </w:t>
      </w:r>
      <w:r>
        <w:rPr>
          <w:color w:val="231F20"/>
          <w:spacing w:val="-4"/>
        </w:rPr>
        <w:t>por</w:t>
      </w:r>
      <w:r>
        <w:rPr>
          <w:color w:val="231F20"/>
          <w:spacing w:val="-21"/>
        </w:rPr>
        <w:t> </w:t>
      </w:r>
      <w:r>
        <w:rPr>
          <w:color w:val="231F20"/>
          <w:spacing w:val="-6"/>
        </w:rPr>
        <w:t>Ford</w:t>
      </w:r>
      <w:r>
        <w:rPr>
          <w:color w:val="231F20"/>
          <w:spacing w:val="-21"/>
        </w:rPr>
        <w:t> </w:t>
      </w:r>
      <w:r>
        <w:rPr>
          <w:color w:val="231F20"/>
          <w:spacing w:val="-4"/>
        </w:rPr>
        <w:t>(véase</w:t>
      </w:r>
      <w:r>
        <w:rPr>
          <w:color w:val="231F20"/>
          <w:spacing w:val="-21"/>
        </w:rPr>
        <w:t> </w:t>
      </w:r>
      <w:r>
        <w:rPr>
          <w:color w:val="231F20"/>
          <w:spacing w:val="-3"/>
        </w:rPr>
        <w:t>gráfica</w:t>
      </w:r>
      <w:r>
        <w:rPr>
          <w:color w:val="231F20"/>
          <w:spacing w:val="-21"/>
        </w:rPr>
        <w:t> </w:t>
      </w:r>
      <w:r>
        <w:rPr>
          <w:color w:val="231F20"/>
          <w:spacing w:val="-10"/>
        </w:rPr>
        <w:t>IV.1).</w:t>
      </w:r>
    </w:p>
    <w:p>
      <w:pPr>
        <w:pStyle w:val="BodyText"/>
        <w:spacing w:before="8"/>
        <w:rPr>
          <w:sz w:val="17"/>
        </w:rPr>
      </w:pPr>
    </w:p>
    <w:p>
      <w:pPr>
        <w:pStyle w:val="Heading4"/>
        <w:ind w:left="345" w:right="932"/>
      </w:pPr>
      <w:r>
        <w:rPr>
          <w:color w:val="231F20"/>
          <w:w w:val="90"/>
        </w:rPr>
        <w:t>Gráfica IV.1</w:t>
      </w:r>
    </w:p>
    <w:p>
      <w:pPr>
        <w:spacing w:line="282" w:lineRule="exact" w:before="0"/>
        <w:ind w:left="345" w:right="932" w:firstLine="0"/>
        <w:jc w:val="center"/>
        <w:rPr>
          <w:rFonts w:ascii="Palatino Linotype" w:hAnsi="Palatino Linotype"/>
          <w:b/>
          <w:sz w:val="21"/>
        </w:rPr>
      </w:pPr>
      <w:r>
        <w:rPr>
          <w:rFonts w:ascii="Palatino Linotype" w:hAnsi="Palatino Linotype"/>
          <w:b/>
          <w:color w:val="231F20"/>
          <w:w w:val="95"/>
          <w:sz w:val="21"/>
        </w:rPr>
        <w:t>Estado de México: producción total por empresa, 2008</w:t>
      </w:r>
    </w:p>
    <w:p>
      <w:pPr>
        <w:spacing w:before="18"/>
        <w:ind w:left="345" w:right="932" w:firstLine="0"/>
        <w:jc w:val="center"/>
        <w:rPr>
          <w:rFonts w:ascii="Palatino Linotype"/>
          <w:b/>
          <w:sz w:val="19"/>
        </w:rPr>
      </w:pPr>
      <w:r>
        <w:rPr>
          <w:rFonts w:ascii="Palatino Linotype"/>
          <w:b/>
          <w:color w:val="231F20"/>
          <w:sz w:val="19"/>
        </w:rPr>
        <w:t>(Porcentaje)</w:t>
      </w: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rPr>
          <w:rFonts w:ascii="Palatino Linotype"/>
          <w:b/>
          <w:sz w:val="20"/>
        </w:rPr>
      </w:pPr>
    </w:p>
    <w:p>
      <w:pPr>
        <w:pStyle w:val="BodyText"/>
        <w:spacing w:before="9"/>
        <w:rPr>
          <w:rFonts w:ascii="Palatino Linotype"/>
          <w:b/>
          <w:sz w:val="20"/>
        </w:rPr>
      </w:pPr>
    </w:p>
    <w:p>
      <w:pPr>
        <w:spacing w:before="71"/>
        <w:ind w:left="0" w:right="2139" w:firstLine="0"/>
        <w:jc w:val="right"/>
        <w:rPr>
          <w:sz w:val="18"/>
        </w:rPr>
      </w:pPr>
      <w:r>
        <w:rPr/>
        <w:pict>
          <v:group style="position:absolute;margin-left:136.578995pt;margin-top:-100.623558pt;width:205.2pt;height:114.7pt;mso-position-horizontal-relative:page;mso-position-vertical-relative:paragraph;z-index:-609856" coordorigin="2732,-2012" coordsize="4104,2294">
            <v:shape style="position:absolute;left:2732;top:-2012;width:4104;height:2161" type="#_x0000_t75" stroked="false">
              <v:imagedata r:id="rId221" o:title=""/>
            </v:shape>
            <v:shape style="position:absolute;left:5325;top:17;width:199;height:228" type="#_x0000_t75" stroked="false">
              <v:imagedata r:id="rId222" o:title=""/>
            </v:shape>
            <v:shape style="position:absolute;left:3517;top:-1465;width:567;height:595" type="#_x0000_t202" filled="false" stroked="false">
              <v:textbox inset="0,0,0,0">
                <w:txbxContent>
                  <w:p>
                    <w:pPr>
                      <w:spacing w:line="178" w:lineRule="exact" w:before="0"/>
                      <w:ind w:left="13" w:right="-16" w:hanging="13"/>
                      <w:jc w:val="left"/>
                      <w:rPr>
                        <w:sz w:val="18"/>
                      </w:rPr>
                    </w:pPr>
                    <w:r>
                      <w:rPr>
                        <w:color w:val="231F20"/>
                        <w:spacing w:val="-1"/>
                        <w:sz w:val="18"/>
                      </w:rPr>
                      <w:t>General</w:t>
                    </w:r>
                  </w:p>
                  <w:p>
                    <w:pPr>
                      <w:spacing w:before="0"/>
                      <w:ind w:left="116" w:right="14" w:hanging="104"/>
                      <w:jc w:val="left"/>
                      <w:rPr>
                        <w:sz w:val="18"/>
                      </w:rPr>
                    </w:pPr>
                    <w:r>
                      <w:rPr>
                        <w:color w:val="231F20"/>
                        <w:sz w:val="18"/>
                      </w:rPr>
                      <w:t>Motors 50%</w:t>
                    </w:r>
                  </w:p>
                </w:txbxContent>
              </v:textbox>
              <w10:wrap type="none"/>
            </v:shape>
            <v:shape style="position:absolute;left:5475;top:-1640;width:613;height:388" type="#_x0000_t202" filled="false" stroked="false">
              <v:textbox inset="0,0,0,0">
                <w:txbxContent>
                  <w:p>
                    <w:pPr>
                      <w:spacing w:line="178" w:lineRule="exact" w:before="0"/>
                      <w:ind w:left="0" w:right="0" w:firstLine="0"/>
                      <w:jc w:val="center"/>
                      <w:rPr>
                        <w:sz w:val="18"/>
                      </w:rPr>
                    </w:pPr>
                    <w:r>
                      <w:rPr>
                        <w:color w:val="231F20"/>
                        <w:spacing w:val="-2"/>
                        <w:sz w:val="18"/>
                      </w:rPr>
                      <w:t>Chrysler</w:t>
                    </w:r>
                  </w:p>
                  <w:p>
                    <w:pPr>
                      <w:spacing w:before="0"/>
                      <w:ind w:left="2" w:right="0" w:firstLine="0"/>
                      <w:jc w:val="center"/>
                      <w:rPr>
                        <w:sz w:val="18"/>
                      </w:rPr>
                    </w:pPr>
                    <w:r>
                      <w:rPr>
                        <w:color w:val="231F20"/>
                        <w:sz w:val="18"/>
                      </w:rPr>
                      <w:t>42%</w:t>
                    </w:r>
                  </w:p>
                </w:txbxContent>
              </v:textbox>
              <w10:wrap type="none"/>
            </v:shape>
            <v:shape style="position:absolute;left:5572;top:100;width:1264;height:181" type="#_x0000_t202" filled="false" stroked="false">
              <v:textbox inset="0,0,0,0">
                <w:txbxContent>
                  <w:p>
                    <w:pPr>
                      <w:spacing w:line="178" w:lineRule="exact" w:before="0"/>
                      <w:ind w:left="0" w:right="0" w:firstLine="0"/>
                      <w:jc w:val="left"/>
                      <w:rPr>
                        <w:sz w:val="18"/>
                      </w:rPr>
                    </w:pPr>
                    <w:r>
                      <w:rPr>
                        <w:color w:val="231F20"/>
                        <w:sz w:val="18"/>
                      </w:rPr>
                      <w:t>Ford Motors Co. </w:t>
                    </w:r>
                  </w:p>
                </w:txbxContent>
              </v:textbox>
              <w10:wrap type="none"/>
            </v:shape>
            <w10:wrap type="none"/>
          </v:group>
        </w:pict>
      </w:r>
      <w:r>
        <w:rPr>
          <w:color w:val="231F20"/>
          <w:sz w:val="18"/>
        </w:rPr>
        <w:t>8%</w:t>
      </w:r>
    </w:p>
    <w:p>
      <w:pPr>
        <w:pStyle w:val="BodyText"/>
        <w:spacing w:before="2"/>
        <w:rPr>
          <w:sz w:val="10"/>
        </w:rPr>
      </w:pPr>
    </w:p>
    <w:p>
      <w:pPr>
        <w:spacing w:before="41"/>
        <w:ind w:left="123" w:right="0" w:firstLine="0"/>
        <w:jc w:val="both"/>
        <w:rPr>
          <w:sz w:val="19"/>
        </w:rPr>
      </w:pPr>
      <w:r>
        <w:rPr>
          <w:rFonts w:ascii="Palatino Linotype" w:hAnsi="Palatino Linotype"/>
          <w:i/>
          <w:color w:val="231F20"/>
          <w:sz w:val="19"/>
        </w:rPr>
        <w:t>Fuente: </w:t>
      </w:r>
      <w:r>
        <w:rPr>
          <w:color w:val="231F20"/>
          <w:sz w:val="19"/>
        </w:rPr>
        <w:t>Elaboración propia con datos de AMIA (2009).</w:t>
      </w:r>
    </w:p>
    <w:p>
      <w:pPr>
        <w:pStyle w:val="BodyText"/>
        <w:rPr>
          <w:sz w:val="22"/>
        </w:rPr>
      </w:pPr>
    </w:p>
    <w:p>
      <w:pPr>
        <w:pStyle w:val="BodyText"/>
        <w:spacing w:line="278" w:lineRule="auto" w:before="1"/>
        <w:ind w:left="123" w:right="710"/>
        <w:jc w:val="both"/>
      </w:pPr>
      <w:r>
        <w:rPr>
          <w:color w:val="231F20"/>
        </w:rPr>
        <w:t>Las poco más de 250 </w:t>
      </w:r>
      <w:r>
        <w:rPr>
          <w:color w:val="231F20"/>
          <w:spacing w:val="-4"/>
        </w:rPr>
        <w:t>empresas productoras </w:t>
      </w:r>
      <w:r>
        <w:rPr>
          <w:color w:val="231F20"/>
        </w:rPr>
        <w:t>de </w:t>
      </w:r>
      <w:r>
        <w:rPr>
          <w:color w:val="231F20"/>
          <w:spacing w:val="-4"/>
        </w:rPr>
        <w:t>autopartes </w:t>
      </w:r>
      <w:r>
        <w:rPr>
          <w:color w:val="231F20"/>
        </w:rPr>
        <w:t>y las </w:t>
      </w:r>
      <w:r>
        <w:rPr>
          <w:color w:val="231F20"/>
          <w:spacing w:val="-4"/>
        </w:rPr>
        <w:t>ensambladoras </w:t>
      </w:r>
      <w:r>
        <w:rPr>
          <w:color w:val="231F20"/>
        </w:rPr>
        <w:t>de </w:t>
      </w:r>
      <w:r>
        <w:rPr>
          <w:color w:val="231F20"/>
          <w:spacing w:val="-3"/>
        </w:rPr>
        <w:t>vehí- </w:t>
      </w:r>
      <w:r>
        <w:rPr>
          <w:color w:val="231F20"/>
        </w:rPr>
        <w:t>culos se </w:t>
      </w:r>
      <w:r>
        <w:rPr>
          <w:color w:val="231F20"/>
          <w:spacing w:val="-4"/>
        </w:rPr>
        <w:t>concentran </w:t>
      </w:r>
      <w:r>
        <w:rPr>
          <w:color w:val="231F20"/>
          <w:spacing w:val="-3"/>
        </w:rPr>
        <w:t>geográficamente </w:t>
      </w:r>
      <w:r>
        <w:rPr>
          <w:color w:val="231F20"/>
        </w:rPr>
        <w:t>en pocos </w:t>
      </w:r>
      <w:r>
        <w:rPr>
          <w:color w:val="231F20"/>
          <w:spacing w:val="-4"/>
        </w:rPr>
        <w:t>municipios, </w:t>
      </w:r>
      <w:r>
        <w:rPr>
          <w:color w:val="231F20"/>
          <w:spacing w:val="-3"/>
        </w:rPr>
        <w:t>con </w:t>
      </w:r>
      <w:r>
        <w:rPr>
          <w:color w:val="231F20"/>
        </w:rPr>
        <w:t>dos </w:t>
      </w:r>
      <w:r>
        <w:rPr>
          <w:color w:val="231F20"/>
          <w:spacing w:val="-3"/>
        </w:rPr>
        <w:t>claras tendencias: aquellos</w:t>
      </w:r>
      <w:r>
        <w:rPr>
          <w:color w:val="231F20"/>
          <w:spacing w:val="-12"/>
        </w:rPr>
        <w:t> </w:t>
      </w:r>
      <w:r>
        <w:rPr>
          <w:color w:val="231F20"/>
          <w:spacing w:val="-3"/>
        </w:rPr>
        <w:t>localizados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spacing w:val="-3"/>
        </w:rPr>
        <w:t>zona</w:t>
      </w:r>
      <w:r>
        <w:rPr>
          <w:color w:val="231F20"/>
          <w:spacing w:val="-12"/>
        </w:rPr>
        <w:t> </w:t>
      </w:r>
      <w:r>
        <w:rPr>
          <w:color w:val="231F20"/>
          <w:spacing w:val="-4"/>
        </w:rPr>
        <w:t>conurbada</w:t>
      </w:r>
      <w:r>
        <w:rPr>
          <w:color w:val="231F20"/>
          <w:spacing w:val="-12"/>
        </w:rPr>
        <w:t> </w:t>
      </w:r>
      <w:r>
        <w:rPr>
          <w:color w:val="231F20"/>
          <w:spacing w:val="-3"/>
        </w:rPr>
        <w:t>con</w:t>
      </w:r>
      <w:r>
        <w:rPr>
          <w:color w:val="231F20"/>
          <w:spacing w:val="-12"/>
        </w:rPr>
        <w:t> </w:t>
      </w:r>
      <w:r>
        <w:rPr>
          <w:color w:val="231F20"/>
        </w:rPr>
        <w:t>el</w:t>
      </w:r>
      <w:r>
        <w:rPr>
          <w:color w:val="231F20"/>
          <w:spacing w:val="-12"/>
        </w:rPr>
        <w:t> </w:t>
      </w:r>
      <w:r>
        <w:rPr>
          <w:color w:val="231F20"/>
          <w:spacing w:val="-3"/>
        </w:rPr>
        <w:t>Distrito</w:t>
      </w:r>
      <w:r>
        <w:rPr>
          <w:color w:val="231F20"/>
          <w:spacing w:val="-12"/>
        </w:rPr>
        <w:t> </w:t>
      </w:r>
      <w:r>
        <w:rPr>
          <w:color w:val="231F20"/>
          <w:spacing w:val="-3"/>
        </w:rPr>
        <w:t>Federal,</w:t>
      </w:r>
      <w:r>
        <w:rPr>
          <w:color w:val="231F20"/>
          <w:spacing w:val="-12"/>
        </w:rPr>
        <w:t> </w:t>
      </w:r>
      <w:r>
        <w:rPr>
          <w:color w:val="231F20"/>
          <w:spacing w:val="-3"/>
        </w:rPr>
        <w:t>como</w:t>
      </w:r>
      <w:r>
        <w:rPr>
          <w:color w:val="231F20"/>
          <w:spacing w:val="-12"/>
        </w:rPr>
        <w:t> </w:t>
      </w:r>
      <w:r>
        <w:rPr>
          <w:color w:val="231F20"/>
          <w:spacing w:val="-5"/>
        </w:rPr>
        <w:t>Tultitlán,</w:t>
      </w:r>
      <w:r>
        <w:rPr>
          <w:color w:val="231F20"/>
          <w:spacing w:val="-12"/>
        </w:rPr>
        <w:t> </w:t>
      </w:r>
      <w:r>
        <w:rPr>
          <w:color w:val="231F20"/>
          <w:spacing w:val="-3"/>
        </w:rPr>
        <w:t>Tlalne- pantla, </w:t>
      </w:r>
      <w:r>
        <w:rPr>
          <w:color w:val="231F20"/>
          <w:spacing w:val="-4"/>
        </w:rPr>
        <w:t>Naucalpan, Cuautitlán </w:t>
      </w:r>
      <w:r>
        <w:rPr>
          <w:color w:val="231F20"/>
          <w:spacing w:val="-3"/>
        </w:rPr>
        <w:t>Izcalli, </w:t>
      </w:r>
      <w:r>
        <w:rPr>
          <w:color w:val="231F20"/>
          <w:spacing w:val="-4"/>
        </w:rPr>
        <w:t>Atizapán </w:t>
      </w:r>
      <w:r>
        <w:rPr>
          <w:color w:val="231F20"/>
        </w:rPr>
        <w:t>de </w:t>
      </w:r>
      <w:r>
        <w:rPr>
          <w:color w:val="231F20"/>
          <w:spacing w:val="-3"/>
        </w:rPr>
        <w:t>Zaragoza </w:t>
      </w:r>
      <w:r>
        <w:rPr>
          <w:color w:val="231F20"/>
        </w:rPr>
        <w:t>y </w:t>
      </w:r>
      <w:r>
        <w:rPr>
          <w:color w:val="231F20"/>
          <w:spacing w:val="-3"/>
        </w:rPr>
        <w:t>Ecatepec, </w:t>
      </w:r>
      <w:r>
        <w:rPr>
          <w:color w:val="231F20"/>
          <w:spacing w:val="-4"/>
        </w:rPr>
        <w:t>principalmente; </w:t>
      </w:r>
      <w:r>
        <w:rPr>
          <w:color w:val="231F20"/>
        </w:rPr>
        <w:t>y</w:t>
      </w:r>
      <w:r>
        <w:rPr>
          <w:color w:val="231F20"/>
          <w:spacing w:val="-13"/>
        </w:rPr>
        <w:t> </w:t>
      </w:r>
      <w:r>
        <w:rPr>
          <w:color w:val="231F20"/>
        </w:rPr>
        <w:t>los</w:t>
      </w:r>
      <w:r>
        <w:rPr>
          <w:color w:val="231F20"/>
          <w:spacing w:val="-13"/>
        </w:rPr>
        <w:t> </w:t>
      </w:r>
      <w:r>
        <w:rPr>
          <w:color w:val="231F20"/>
          <w:spacing w:val="-3"/>
        </w:rPr>
        <w:t>ubicados</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spacing w:val="-3"/>
        </w:rPr>
        <w:t>zona</w:t>
      </w:r>
      <w:r>
        <w:rPr>
          <w:color w:val="231F20"/>
          <w:spacing w:val="-13"/>
        </w:rPr>
        <w:t> </w:t>
      </w:r>
      <w:r>
        <w:rPr>
          <w:color w:val="231F20"/>
          <w:spacing w:val="-3"/>
        </w:rPr>
        <w:t>metropolitana</w:t>
      </w:r>
      <w:r>
        <w:rPr>
          <w:color w:val="231F20"/>
          <w:spacing w:val="-13"/>
        </w:rPr>
        <w:t> </w:t>
      </w:r>
      <w:r>
        <w:rPr>
          <w:color w:val="231F20"/>
        </w:rPr>
        <w:t>de</w:t>
      </w:r>
      <w:r>
        <w:rPr>
          <w:color w:val="231F20"/>
          <w:spacing w:val="-13"/>
        </w:rPr>
        <w:t> </w:t>
      </w:r>
      <w:r>
        <w:rPr>
          <w:color w:val="231F20"/>
          <w:spacing w:val="-6"/>
        </w:rPr>
        <w:t>Toluca,</w:t>
      </w:r>
      <w:r>
        <w:rPr>
          <w:color w:val="231F20"/>
          <w:spacing w:val="-13"/>
        </w:rPr>
        <w:t> </w:t>
      </w:r>
      <w:r>
        <w:rPr>
          <w:color w:val="231F20"/>
          <w:spacing w:val="-3"/>
        </w:rPr>
        <w:t>donde</w:t>
      </w:r>
      <w:r>
        <w:rPr>
          <w:color w:val="231F20"/>
          <w:spacing w:val="-13"/>
        </w:rPr>
        <w:t> </w:t>
      </w:r>
      <w:r>
        <w:rPr>
          <w:color w:val="231F20"/>
        </w:rPr>
        <w:t>se</w:t>
      </w:r>
      <w:r>
        <w:rPr>
          <w:color w:val="231F20"/>
          <w:spacing w:val="-13"/>
        </w:rPr>
        <w:t> </w:t>
      </w:r>
      <w:r>
        <w:rPr>
          <w:color w:val="231F20"/>
          <w:spacing w:val="-3"/>
        </w:rPr>
        <w:t>destacan</w:t>
      </w:r>
      <w:r>
        <w:rPr>
          <w:color w:val="231F20"/>
          <w:spacing w:val="-13"/>
        </w:rPr>
        <w:t> </w:t>
      </w:r>
      <w:r>
        <w:rPr>
          <w:color w:val="231F20"/>
        </w:rPr>
        <w:t>la</w:t>
      </w:r>
      <w:r>
        <w:rPr>
          <w:color w:val="231F20"/>
          <w:spacing w:val="-13"/>
        </w:rPr>
        <w:t> </w:t>
      </w:r>
      <w:r>
        <w:rPr>
          <w:color w:val="231F20"/>
          <w:spacing w:val="-4"/>
        </w:rPr>
        <w:t>propia</w:t>
      </w:r>
      <w:r>
        <w:rPr>
          <w:color w:val="231F20"/>
          <w:spacing w:val="-13"/>
        </w:rPr>
        <w:t> </w:t>
      </w:r>
      <w:r>
        <w:rPr>
          <w:color w:val="231F20"/>
          <w:spacing w:val="-4"/>
        </w:rPr>
        <w:t>capital</w:t>
      </w:r>
      <w:r>
        <w:rPr>
          <w:color w:val="231F20"/>
          <w:spacing w:val="-13"/>
        </w:rPr>
        <w:t> </w:t>
      </w:r>
      <w:r>
        <w:rPr>
          <w:color w:val="231F20"/>
        </w:rPr>
        <w:t>del </w:t>
      </w:r>
      <w:r>
        <w:rPr>
          <w:color w:val="231F20"/>
          <w:spacing w:val="-4"/>
        </w:rPr>
        <w:t>estado,</w:t>
      </w:r>
      <w:r>
        <w:rPr>
          <w:color w:val="231F20"/>
          <w:spacing w:val="-17"/>
        </w:rPr>
        <w:t> </w:t>
      </w:r>
      <w:r>
        <w:rPr>
          <w:color w:val="231F20"/>
        </w:rPr>
        <w:t>Lerma,</w:t>
      </w:r>
      <w:r>
        <w:rPr>
          <w:color w:val="231F20"/>
          <w:spacing w:val="-17"/>
        </w:rPr>
        <w:t> </w:t>
      </w:r>
      <w:r>
        <w:rPr>
          <w:color w:val="231F20"/>
          <w:spacing w:val="-3"/>
        </w:rPr>
        <w:t>Ocoyoacac</w:t>
      </w:r>
      <w:r>
        <w:rPr>
          <w:color w:val="231F20"/>
          <w:spacing w:val="-17"/>
        </w:rPr>
        <w:t> </w:t>
      </w:r>
      <w:r>
        <w:rPr>
          <w:color w:val="231F20"/>
        </w:rPr>
        <w:t>y</w:t>
      </w:r>
      <w:r>
        <w:rPr>
          <w:color w:val="231F20"/>
          <w:spacing w:val="-17"/>
        </w:rPr>
        <w:t> </w:t>
      </w:r>
      <w:r>
        <w:rPr>
          <w:color w:val="231F20"/>
          <w:spacing w:val="-4"/>
        </w:rPr>
        <w:t>Santiago</w:t>
      </w:r>
      <w:r>
        <w:rPr>
          <w:color w:val="231F20"/>
          <w:spacing w:val="-17"/>
        </w:rPr>
        <w:t> </w:t>
      </w:r>
      <w:r>
        <w:rPr>
          <w:color w:val="231F20"/>
          <w:spacing w:val="-4"/>
        </w:rPr>
        <w:t>Tianguistenco</w:t>
      </w:r>
      <w:r>
        <w:rPr>
          <w:color w:val="231F20"/>
          <w:spacing w:val="-17"/>
        </w:rPr>
        <w:t> </w:t>
      </w:r>
      <w:r>
        <w:rPr>
          <w:color w:val="231F20"/>
        </w:rPr>
        <w:t>(véase</w:t>
      </w:r>
      <w:r>
        <w:rPr>
          <w:color w:val="231F20"/>
          <w:spacing w:val="-17"/>
        </w:rPr>
        <w:t> </w:t>
      </w:r>
      <w:r>
        <w:rPr>
          <w:color w:val="231F20"/>
          <w:spacing w:val="-3"/>
        </w:rPr>
        <w:t>figura</w:t>
      </w:r>
      <w:r>
        <w:rPr>
          <w:color w:val="231F20"/>
          <w:spacing w:val="-17"/>
        </w:rPr>
        <w:t> </w:t>
      </w:r>
      <w:r>
        <w:rPr>
          <w:color w:val="231F20"/>
          <w:spacing w:val="-10"/>
        </w:rPr>
        <w:t>IV.1</w:t>
      </w:r>
      <w:r>
        <w:rPr>
          <w:color w:val="231F20"/>
          <w:spacing w:val="-17"/>
        </w:rPr>
        <w:t> </w:t>
      </w:r>
      <w:r>
        <w:rPr>
          <w:color w:val="231F20"/>
        </w:rPr>
        <w:t>y</w:t>
      </w:r>
      <w:r>
        <w:rPr>
          <w:color w:val="231F20"/>
          <w:spacing w:val="-17"/>
        </w:rPr>
        <w:t> </w:t>
      </w:r>
      <w:r>
        <w:rPr>
          <w:color w:val="231F20"/>
          <w:spacing w:val="-3"/>
        </w:rPr>
        <w:t>anexo</w:t>
      </w:r>
      <w:r>
        <w:rPr>
          <w:color w:val="231F20"/>
          <w:spacing w:val="-17"/>
        </w:rPr>
        <w:t> </w:t>
      </w:r>
      <w:r>
        <w:rPr>
          <w:color w:val="231F20"/>
          <w:spacing w:val="-3"/>
        </w:rPr>
        <w:t>2).</w:t>
      </w:r>
    </w:p>
    <w:p>
      <w:pPr>
        <w:pStyle w:val="BodyText"/>
        <w:spacing w:line="278" w:lineRule="auto" w:before="1"/>
        <w:ind w:left="123" w:right="710" w:firstLine="396"/>
        <w:jc w:val="both"/>
      </w:pPr>
      <w:r>
        <w:rPr>
          <w:color w:val="231F20"/>
        </w:rPr>
        <w:t>Entre las principales empresas productoras de primer nivel, tenemos las siguien- tes:</w:t>
      </w:r>
      <w:r>
        <w:rPr>
          <w:color w:val="231F20"/>
          <w:spacing w:val="-16"/>
        </w:rPr>
        <w:t> </w:t>
      </w:r>
      <w:r>
        <w:rPr>
          <w:color w:val="231F20"/>
        </w:rPr>
        <w:t>Bosch,</w:t>
      </w:r>
      <w:r>
        <w:rPr>
          <w:color w:val="231F20"/>
          <w:spacing w:val="-16"/>
        </w:rPr>
        <w:t> </w:t>
      </w:r>
      <w:r>
        <w:rPr>
          <w:color w:val="231F20"/>
        </w:rPr>
        <w:t>Eaton,</w:t>
      </w:r>
      <w:r>
        <w:rPr>
          <w:color w:val="231F20"/>
          <w:spacing w:val="-16"/>
        </w:rPr>
        <w:t> </w:t>
      </w:r>
      <w:r>
        <w:rPr>
          <w:color w:val="231F20"/>
        </w:rPr>
        <w:t>Federal</w:t>
      </w:r>
      <w:r>
        <w:rPr>
          <w:color w:val="231F20"/>
          <w:spacing w:val="-16"/>
        </w:rPr>
        <w:t> </w:t>
      </w:r>
      <w:r>
        <w:rPr>
          <w:color w:val="231F20"/>
        </w:rPr>
        <w:t>Mogul,</w:t>
      </w:r>
      <w:r>
        <w:rPr>
          <w:color w:val="231F20"/>
          <w:spacing w:val="-16"/>
        </w:rPr>
        <w:t> </w:t>
      </w:r>
      <w:r>
        <w:rPr>
          <w:color w:val="231F20"/>
          <w:spacing w:val="-4"/>
        </w:rPr>
        <w:t>Valeo</w:t>
      </w:r>
      <w:r>
        <w:rPr>
          <w:color w:val="231F20"/>
          <w:spacing w:val="-16"/>
        </w:rPr>
        <w:t> </w:t>
      </w:r>
      <w:r>
        <w:rPr>
          <w:color w:val="231F20"/>
        </w:rPr>
        <w:t>Climate</w:t>
      </w:r>
      <w:r>
        <w:rPr>
          <w:color w:val="231F20"/>
          <w:spacing w:val="-16"/>
        </w:rPr>
        <w:t> </w:t>
      </w:r>
      <w:r>
        <w:rPr>
          <w:color w:val="231F20"/>
        </w:rPr>
        <w:t>Control,</w:t>
      </w:r>
      <w:r>
        <w:rPr>
          <w:color w:val="231F20"/>
          <w:spacing w:val="-16"/>
        </w:rPr>
        <w:t> </w:t>
      </w:r>
      <w:r>
        <w:rPr>
          <w:color w:val="231F20"/>
        </w:rPr>
        <w:t>Lear</w:t>
      </w:r>
      <w:r>
        <w:rPr>
          <w:color w:val="231F20"/>
          <w:spacing w:val="-16"/>
        </w:rPr>
        <w:t> </w:t>
      </w:r>
      <w:r>
        <w:rPr>
          <w:color w:val="231F20"/>
        </w:rPr>
        <w:t>Corporation,</w:t>
      </w:r>
      <w:r>
        <w:rPr>
          <w:color w:val="231F20"/>
          <w:spacing w:val="-16"/>
        </w:rPr>
        <w:t> </w:t>
      </w:r>
      <w:r>
        <w:rPr>
          <w:color w:val="231F20"/>
        </w:rPr>
        <w:t>Dana</w:t>
      </w:r>
      <w:r>
        <w:rPr>
          <w:color w:val="231F20"/>
          <w:spacing w:val="-16"/>
        </w:rPr>
        <w:t> </w:t>
      </w:r>
      <w:r>
        <w:rPr>
          <w:color w:val="231F20"/>
        </w:rPr>
        <w:t>Cor- poration,</w:t>
      </w:r>
      <w:r>
        <w:rPr>
          <w:color w:val="231F20"/>
          <w:spacing w:val="-7"/>
        </w:rPr>
        <w:t> </w:t>
      </w:r>
      <w:r>
        <w:rPr>
          <w:color w:val="231F20"/>
        </w:rPr>
        <w:t>Perkins,</w:t>
      </w:r>
      <w:r>
        <w:rPr>
          <w:color w:val="231F20"/>
          <w:spacing w:val="-7"/>
        </w:rPr>
        <w:t> </w:t>
      </w:r>
      <w:r>
        <w:rPr>
          <w:color w:val="231F20"/>
        </w:rPr>
        <w:t>Henkel</w:t>
      </w:r>
      <w:r>
        <w:rPr>
          <w:color w:val="231F20"/>
          <w:spacing w:val="-7"/>
        </w:rPr>
        <w:t> </w:t>
      </w:r>
      <w:r>
        <w:rPr>
          <w:color w:val="231F20"/>
        </w:rPr>
        <w:t>KGAA,</w:t>
      </w:r>
      <w:r>
        <w:rPr>
          <w:color w:val="231F20"/>
          <w:spacing w:val="-7"/>
        </w:rPr>
        <w:t> </w:t>
      </w:r>
      <w:r>
        <w:rPr>
          <w:color w:val="231F20"/>
        </w:rPr>
        <w:t>Goodyear</w:t>
      </w:r>
      <w:r>
        <w:rPr>
          <w:color w:val="231F20"/>
          <w:spacing w:val="-7"/>
        </w:rPr>
        <w:t> </w:t>
      </w:r>
      <w:r>
        <w:rPr>
          <w:color w:val="231F20"/>
          <w:spacing w:val="-3"/>
        </w:rPr>
        <w:t>Group,</w:t>
      </w:r>
      <w:r>
        <w:rPr>
          <w:color w:val="231F20"/>
          <w:spacing w:val="-7"/>
        </w:rPr>
        <w:t> </w:t>
      </w:r>
      <w:r>
        <w:rPr>
          <w:color w:val="231F20"/>
        </w:rPr>
        <w:t>Johnson</w:t>
      </w:r>
      <w:r>
        <w:rPr>
          <w:color w:val="231F20"/>
          <w:spacing w:val="-7"/>
        </w:rPr>
        <w:t> </w:t>
      </w:r>
      <w:r>
        <w:rPr>
          <w:color w:val="231F20"/>
        </w:rPr>
        <w:t>Controls,</w:t>
      </w:r>
      <w:r>
        <w:rPr>
          <w:color w:val="231F20"/>
          <w:spacing w:val="-7"/>
        </w:rPr>
        <w:t> </w:t>
      </w:r>
      <w:r>
        <w:rPr>
          <w:color w:val="231F20"/>
          <w:spacing w:val="-4"/>
        </w:rPr>
        <w:t>Parker,</w:t>
      </w:r>
      <w:r>
        <w:rPr>
          <w:color w:val="231F20"/>
          <w:spacing w:val="-7"/>
        </w:rPr>
        <w:t> </w:t>
      </w:r>
      <w:r>
        <w:rPr>
          <w:color w:val="231F20"/>
        </w:rPr>
        <w:t>Delphi, </w:t>
      </w:r>
      <w:r>
        <w:rPr>
          <w:color w:val="231F20"/>
          <w:spacing w:val="-5"/>
        </w:rPr>
        <w:t>Autoliv, </w:t>
      </w:r>
      <w:r>
        <w:rPr>
          <w:color w:val="231F20"/>
          <w:spacing w:val="-3"/>
        </w:rPr>
        <w:t>Trelleborg, </w:t>
      </w:r>
      <w:r>
        <w:rPr>
          <w:color w:val="231F20"/>
        </w:rPr>
        <w:t>Gates de México, Bardhal de México, </w:t>
      </w:r>
      <w:r>
        <w:rPr>
          <w:color w:val="231F20"/>
          <w:spacing w:val="-3"/>
        </w:rPr>
        <w:t>Gonher, </w:t>
      </w:r>
      <w:r>
        <w:rPr>
          <w:color w:val="231F20"/>
        </w:rPr>
        <w:t>Echlin Mexicana</w:t>
      </w:r>
      <w:r>
        <w:rPr>
          <w:color w:val="231F20"/>
          <w:sz w:val="20"/>
        </w:rPr>
        <w:t>, </w:t>
      </w:r>
      <w:r>
        <w:rPr>
          <w:color w:val="231F20"/>
        </w:rPr>
        <w:t>entre</w:t>
      </w:r>
      <w:r>
        <w:rPr>
          <w:color w:val="231F20"/>
          <w:spacing w:val="-7"/>
        </w:rPr>
        <w:t> </w:t>
      </w:r>
      <w:r>
        <w:rPr>
          <w:color w:val="231F20"/>
        </w:rPr>
        <w:t>otras</w:t>
      </w:r>
      <w:r>
        <w:rPr>
          <w:color w:val="231F20"/>
          <w:spacing w:val="-7"/>
        </w:rPr>
        <w:t> </w:t>
      </w:r>
      <w:r>
        <w:rPr>
          <w:color w:val="231F20"/>
        </w:rPr>
        <w:t>de</w:t>
      </w:r>
      <w:r>
        <w:rPr>
          <w:color w:val="231F20"/>
          <w:spacing w:val="-7"/>
        </w:rPr>
        <w:t> </w:t>
      </w:r>
      <w:r>
        <w:rPr>
          <w:color w:val="231F20"/>
        </w:rPr>
        <w:t>primero,</w:t>
      </w:r>
      <w:r>
        <w:rPr>
          <w:color w:val="231F20"/>
          <w:spacing w:val="-7"/>
        </w:rPr>
        <w:t> </w:t>
      </w:r>
      <w:r>
        <w:rPr>
          <w:color w:val="231F20"/>
        </w:rPr>
        <w:t>segundo</w:t>
      </w:r>
      <w:r>
        <w:rPr>
          <w:color w:val="231F20"/>
          <w:spacing w:val="-7"/>
        </w:rPr>
        <w:t> </w:t>
      </w:r>
      <w:r>
        <w:rPr>
          <w:color w:val="231F20"/>
        </w:rPr>
        <w:t>y</w:t>
      </w:r>
      <w:r>
        <w:rPr>
          <w:color w:val="231F20"/>
          <w:spacing w:val="-7"/>
        </w:rPr>
        <w:t> </w:t>
      </w:r>
      <w:r>
        <w:rPr>
          <w:color w:val="231F20"/>
        </w:rPr>
        <w:t>tercer</w:t>
      </w:r>
      <w:r>
        <w:rPr>
          <w:color w:val="231F20"/>
          <w:spacing w:val="-7"/>
        </w:rPr>
        <w:t> </w:t>
      </w:r>
      <w:r>
        <w:rPr>
          <w:color w:val="231F20"/>
        </w:rPr>
        <w:t>nivel.</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anexo</w:t>
      </w:r>
      <w:r>
        <w:rPr>
          <w:color w:val="231F20"/>
          <w:spacing w:val="-7"/>
        </w:rPr>
        <w:t> </w:t>
      </w:r>
      <w:r>
        <w:rPr>
          <w:color w:val="231F20"/>
        </w:rPr>
        <w:t>2</w:t>
      </w:r>
      <w:r>
        <w:rPr>
          <w:color w:val="231F20"/>
          <w:spacing w:val="-7"/>
        </w:rPr>
        <w:t> </w:t>
      </w:r>
      <w:r>
        <w:rPr>
          <w:color w:val="231F20"/>
        </w:rPr>
        <w:t>se</w:t>
      </w:r>
      <w:r>
        <w:rPr>
          <w:color w:val="231F20"/>
          <w:spacing w:val="-7"/>
        </w:rPr>
        <w:t> </w:t>
      </w:r>
      <w:r>
        <w:rPr>
          <w:color w:val="231F20"/>
        </w:rPr>
        <w:t>presenta</w:t>
      </w:r>
      <w:r>
        <w:rPr>
          <w:color w:val="231F20"/>
          <w:spacing w:val="-7"/>
        </w:rPr>
        <w:t> </w:t>
      </w:r>
      <w:r>
        <w:rPr>
          <w:color w:val="231F20"/>
        </w:rPr>
        <w:t>un</w:t>
      </w:r>
      <w:r>
        <w:rPr>
          <w:color w:val="231F20"/>
          <w:spacing w:val="-7"/>
        </w:rPr>
        <w:t> </w:t>
      </w:r>
      <w:r>
        <w:rPr>
          <w:color w:val="231F20"/>
        </w:rPr>
        <w:t>listado</w:t>
      </w:r>
      <w:r>
        <w:rPr>
          <w:color w:val="231F20"/>
          <w:spacing w:val="-7"/>
        </w:rPr>
        <w:t> </w:t>
      </w:r>
      <w:r>
        <w:rPr>
          <w:color w:val="231F20"/>
        </w:rPr>
        <w:t>con las</w:t>
      </w:r>
      <w:r>
        <w:rPr>
          <w:color w:val="231F20"/>
          <w:spacing w:val="-16"/>
        </w:rPr>
        <w:t> </w:t>
      </w:r>
      <w:r>
        <w:rPr>
          <w:color w:val="231F20"/>
        </w:rPr>
        <w:t>empresas</w:t>
      </w:r>
      <w:r>
        <w:rPr>
          <w:color w:val="231F20"/>
          <w:spacing w:val="-16"/>
        </w:rPr>
        <w:t> </w:t>
      </w:r>
      <w:r>
        <w:rPr>
          <w:color w:val="231F20"/>
        </w:rPr>
        <w:t>por</w:t>
      </w:r>
      <w:r>
        <w:rPr>
          <w:color w:val="231F20"/>
          <w:spacing w:val="-16"/>
        </w:rPr>
        <w:t> </w:t>
      </w:r>
      <w:r>
        <w:rPr>
          <w:color w:val="231F20"/>
        </w:rPr>
        <w:t>municipio,</w:t>
      </w:r>
      <w:r>
        <w:rPr>
          <w:color w:val="231F20"/>
          <w:spacing w:val="-16"/>
        </w:rPr>
        <w:t> </w:t>
      </w:r>
      <w:r>
        <w:rPr>
          <w:color w:val="231F20"/>
        </w:rPr>
        <w:t>localización</w:t>
      </w:r>
      <w:r>
        <w:rPr>
          <w:color w:val="231F20"/>
          <w:spacing w:val="-16"/>
        </w:rPr>
        <w:t> </w:t>
      </w:r>
      <w:r>
        <w:rPr>
          <w:color w:val="231F20"/>
        </w:rPr>
        <w:t>y</w:t>
      </w:r>
      <w:r>
        <w:rPr>
          <w:color w:val="231F20"/>
          <w:spacing w:val="-16"/>
        </w:rPr>
        <w:t> </w:t>
      </w:r>
      <w:r>
        <w:rPr>
          <w:color w:val="231F20"/>
        </w:rPr>
        <w:t>productos</w:t>
      </w:r>
      <w:r>
        <w:rPr>
          <w:color w:val="231F20"/>
          <w:spacing w:val="-16"/>
        </w:rPr>
        <w:t> </w:t>
      </w:r>
      <w:r>
        <w:rPr>
          <w:color w:val="231F20"/>
        </w:rPr>
        <w:t>de</w:t>
      </w:r>
      <w:r>
        <w:rPr>
          <w:color w:val="231F20"/>
          <w:spacing w:val="-16"/>
        </w:rPr>
        <w:t> </w:t>
      </w:r>
      <w:r>
        <w:rPr>
          <w:color w:val="231F20"/>
        </w:rPr>
        <w:t>fabricación.</w:t>
      </w:r>
      <w:r>
        <w:rPr>
          <w:color w:val="231F20"/>
          <w:position w:val="7"/>
          <w:sz w:val="12"/>
        </w:rPr>
        <w:t>2</w:t>
      </w:r>
      <w:r>
        <w:rPr>
          <w:color w:val="231F20"/>
          <w:spacing w:val="7"/>
          <w:position w:val="7"/>
          <w:sz w:val="12"/>
        </w:rPr>
        <w:t> </w:t>
      </w:r>
      <w:r>
        <w:rPr>
          <w:color w:val="231F20"/>
        </w:rPr>
        <w:t>Incluye</w:t>
      </w:r>
      <w:r>
        <w:rPr>
          <w:color w:val="231F20"/>
          <w:spacing w:val="-16"/>
        </w:rPr>
        <w:t> </w:t>
      </w:r>
      <w:r>
        <w:rPr>
          <w:color w:val="231F20"/>
        </w:rPr>
        <w:t>empresas de primero, segundo y tercer</w:t>
      </w:r>
      <w:r>
        <w:rPr>
          <w:color w:val="231F20"/>
          <w:spacing w:val="-31"/>
        </w:rPr>
        <w:t> </w:t>
      </w:r>
      <w:r>
        <w:rPr>
          <w:color w:val="231F20"/>
        </w:rPr>
        <w:t>nivel.</w:t>
      </w:r>
    </w:p>
    <w:p>
      <w:pPr>
        <w:pStyle w:val="BodyText"/>
        <w:spacing w:before="11"/>
        <w:rPr>
          <w:sz w:val="12"/>
        </w:rPr>
      </w:pPr>
      <w:r>
        <w:rPr/>
        <w:pict>
          <v:line style="position:absolute;mso-position-horizontal-relative:page;mso-position-vertical-relative:paragraph;z-index:9640;mso-wrap-distance-left:0;mso-wrap-distance-right:0" from="65.1968pt,9.663591pt" to="206.9288pt,9.663591pt" stroked="true" strokeweight=".5pt" strokecolor="#231f20">
            <w10:wrap type="topAndBottom"/>
          </v:line>
        </w:pict>
      </w:r>
    </w:p>
    <w:p>
      <w:pPr>
        <w:spacing w:line="288" w:lineRule="auto" w:before="43"/>
        <w:ind w:left="293" w:right="710" w:hanging="171"/>
        <w:jc w:val="both"/>
        <w:rPr>
          <w:sz w:val="16"/>
        </w:rPr>
      </w:pPr>
      <w:r>
        <w:rPr>
          <w:color w:val="231F20"/>
          <w:position w:val="5"/>
          <w:sz w:val="9"/>
        </w:rPr>
        <w:t>1 </w:t>
      </w:r>
      <w:r>
        <w:rPr>
          <w:color w:val="231F20"/>
          <w:spacing w:val="-3"/>
          <w:sz w:val="16"/>
        </w:rPr>
        <w:t>Por </w:t>
      </w:r>
      <w:r>
        <w:rPr>
          <w:color w:val="231F20"/>
          <w:sz w:val="16"/>
        </w:rPr>
        <w:t>ello, para efectos del análisis, en este apartado se consideran específicamente estas tres empresas; además de</w:t>
      </w:r>
      <w:r>
        <w:rPr>
          <w:color w:val="231F20"/>
          <w:spacing w:val="-8"/>
          <w:sz w:val="16"/>
        </w:rPr>
        <w:t> </w:t>
      </w:r>
      <w:r>
        <w:rPr>
          <w:color w:val="231F20"/>
          <w:sz w:val="16"/>
        </w:rPr>
        <w:t>que</w:t>
      </w:r>
      <w:r>
        <w:rPr>
          <w:color w:val="231F20"/>
          <w:spacing w:val="-8"/>
          <w:sz w:val="16"/>
        </w:rPr>
        <w:t> </w:t>
      </w:r>
      <w:r>
        <w:rPr>
          <w:color w:val="231F20"/>
          <w:sz w:val="16"/>
        </w:rPr>
        <w:t>no</w:t>
      </w:r>
      <w:r>
        <w:rPr>
          <w:color w:val="231F20"/>
          <w:spacing w:val="-8"/>
          <w:sz w:val="16"/>
        </w:rPr>
        <w:t> </w:t>
      </w:r>
      <w:r>
        <w:rPr>
          <w:color w:val="231F20"/>
          <w:sz w:val="16"/>
        </w:rPr>
        <w:t>se</w:t>
      </w:r>
      <w:r>
        <w:rPr>
          <w:color w:val="231F20"/>
          <w:spacing w:val="-8"/>
          <w:sz w:val="16"/>
        </w:rPr>
        <w:t> </w:t>
      </w:r>
      <w:r>
        <w:rPr>
          <w:color w:val="231F20"/>
          <w:sz w:val="16"/>
        </w:rPr>
        <w:t>logró</w:t>
      </w:r>
      <w:r>
        <w:rPr>
          <w:color w:val="231F20"/>
          <w:spacing w:val="-8"/>
          <w:sz w:val="16"/>
        </w:rPr>
        <w:t> </w:t>
      </w:r>
      <w:r>
        <w:rPr>
          <w:color w:val="231F20"/>
          <w:sz w:val="16"/>
        </w:rPr>
        <w:t>conseguir</w:t>
      </w:r>
      <w:r>
        <w:rPr>
          <w:color w:val="231F20"/>
          <w:spacing w:val="-8"/>
          <w:sz w:val="16"/>
        </w:rPr>
        <w:t> </w:t>
      </w:r>
      <w:r>
        <w:rPr>
          <w:color w:val="231F20"/>
          <w:sz w:val="16"/>
        </w:rPr>
        <w:t>datos</w:t>
      </w:r>
      <w:r>
        <w:rPr>
          <w:color w:val="231F20"/>
          <w:spacing w:val="-8"/>
          <w:sz w:val="16"/>
        </w:rPr>
        <w:t> </w:t>
      </w:r>
      <w:r>
        <w:rPr>
          <w:color w:val="231F20"/>
          <w:sz w:val="16"/>
        </w:rPr>
        <w:t>de</w:t>
      </w:r>
      <w:r>
        <w:rPr>
          <w:color w:val="231F20"/>
          <w:spacing w:val="-8"/>
          <w:sz w:val="16"/>
        </w:rPr>
        <w:t> </w:t>
      </w:r>
      <w:r>
        <w:rPr>
          <w:color w:val="231F20"/>
          <w:sz w:val="16"/>
        </w:rPr>
        <w:t>las</w:t>
      </w:r>
      <w:r>
        <w:rPr>
          <w:color w:val="231F20"/>
          <w:spacing w:val="-8"/>
          <w:sz w:val="16"/>
        </w:rPr>
        <w:t> </w:t>
      </w:r>
      <w:r>
        <w:rPr>
          <w:color w:val="231F20"/>
          <w:sz w:val="16"/>
        </w:rPr>
        <w:t>demás.</w:t>
      </w:r>
      <w:r>
        <w:rPr>
          <w:color w:val="231F20"/>
          <w:spacing w:val="-8"/>
          <w:sz w:val="16"/>
        </w:rPr>
        <w:t> </w:t>
      </w:r>
      <w:r>
        <w:rPr>
          <w:color w:val="231F20"/>
          <w:sz w:val="16"/>
        </w:rPr>
        <w:t>La</w:t>
      </w:r>
      <w:r>
        <w:rPr>
          <w:color w:val="231F20"/>
          <w:spacing w:val="-8"/>
          <w:sz w:val="16"/>
        </w:rPr>
        <w:t> </w:t>
      </w:r>
      <w:r>
        <w:rPr>
          <w:color w:val="231F20"/>
          <w:sz w:val="16"/>
        </w:rPr>
        <w:t>AMIA,</w:t>
      </w:r>
      <w:r>
        <w:rPr>
          <w:color w:val="231F20"/>
          <w:spacing w:val="-8"/>
          <w:sz w:val="16"/>
        </w:rPr>
        <w:t> </w:t>
      </w:r>
      <w:r>
        <w:rPr>
          <w:color w:val="231F20"/>
          <w:sz w:val="16"/>
        </w:rPr>
        <w:t>que</w:t>
      </w:r>
      <w:r>
        <w:rPr>
          <w:color w:val="231F20"/>
          <w:spacing w:val="-8"/>
          <w:sz w:val="16"/>
        </w:rPr>
        <w:t> </w:t>
      </w:r>
      <w:r>
        <w:rPr>
          <w:color w:val="231F20"/>
          <w:sz w:val="16"/>
        </w:rPr>
        <w:t>es</w:t>
      </w:r>
      <w:r>
        <w:rPr>
          <w:color w:val="231F20"/>
          <w:spacing w:val="-8"/>
          <w:sz w:val="16"/>
        </w:rPr>
        <w:t> </w:t>
      </w:r>
      <w:r>
        <w:rPr>
          <w:color w:val="231F20"/>
          <w:sz w:val="16"/>
        </w:rPr>
        <w:t>la</w:t>
      </w:r>
      <w:r>
        <w:rPr>
          <w:color w:val="231F20"/>
          <w:spacing w:val="-8"/>
          <w:sz w:val="16"/>
        </w:rPr>
        <w:t> </w:t>
      </w:r>
      <w:r>
        <w:rPr>
          <w:color w:val="231F20"/>
          <w:sz w:val="16"/>
        </w:rPr>
        <w:t>fuente</w:t>
      </w:r>
      <w:r>
        <w:rPr>
          <w:color w:val="231F20"/>
          <w:spacing w:val="-8"/>
          <w:sz w:val="16"/>
        </w:rPr>
        <w:t> </w:t>
      </w:r>
      <w:r>
        <w:rPr>
          <w:color w:val="231F20"/>
          <w:sz w:val="16"/>
        </w:rPr>
        <w:t>de</w:t>
      </w:r>
      <w:r>
        <w:rPr>
          <w:color w:val="231F20"/>
          <w:spacing w:val="-8"/>
          <w:sz w:val="16"/>
        </w:rPr>
        <w:t> </w:t>
      </w:r>
      <w:r>
        <w:rPr>
          <w:color w:val="231F20"/>
          <w:sz w:val="16"/>
        </w:rPr>
        <w:t>donde</w:t>
      </w:r>
      <w:r>
        <w:rPr>
          <w:color w:val="231F20"/>
          <w:spacing w:val="-8"/>
          <w:sz w:val="16"/>
        </w:rPr>
        <w:t> </w:t>
      </w:r>
      <w:r>
        <w:rPr>
          <w:color w:val="231F20"/>
          <w:sz w:val="16"/>
        </w:rPr>
        <w:t>se</w:t>
      </w:r>
      <w:r>
        <w:rPr>
          <w:color w:val="231F20"/>
          <w:spacing w:val="-8"/>
          <w:sz w:val="16"/>
        </w:rPr>
        <w:t> </w:t>
      </w:r>
      <w:r>
        <w:rPr>
          <w:color w:val="231F20"/>
          <w:sz w:val="16"/>
        </w:rPr>
        <w:t>obtuvo</w:t>
      </w:r>
      <w:r>
        <w:rPr>
          <w:color w:val="231F20"/>
          <w:spacing w:val="-8"/>
          <w:sz w:val="16"/>
        </w:rPr>
        <w:t> </w:t>
      </w:r>
      <w:r>
        <w:rPr>
          <w:color w:val="231F20"/>
          <w:sz w:val="16"/>
        </w:rPr>
        <w:t>la</w:t>
      </w:r>
      <w:r>
        <w:rPr>
          <w:color w:val="231F20"/>
          <w:spacing w:val="-8"/>
          <w:sz w:val="16"/>
        </w:rPr>
        <w:t> </w:t>
      </w:r>
      <w:r>
        <w:rPr>
          <w:color w:val="231F20"/>
          <w:sz w:val="16"/>
        </w:rPr>
        <w:t>información, no cuenta con datos para ellas, ni tampoco existen datos generados por alguna otra fuente (como INEGI, por ejemplo) a los que se pueda tener acceso. </w:t>
      </w:r>
      <w:r>
        <w:rPr>
          <w:color w:val="231F20"/>
          <w:spacing w:val="-3"/>
          <w:sz w:val="16"/>
        </w:rPr>
        <w:t>Por </w:t>
      </w:r>
      <w:r>
        <w:rPr>
          <w:color w:val="231F20"/>
          <w:sz w:val="16"/>
        </w:rPr>
        <w:t>el lado de la producción de camiones y tractocamiones, Daimler es</w:t>
      </w:r>
      <w:r>
        <w:rPr>
          <w:color w:val="231F20"/>
          <w:spacing w:val="-5"/>
          <w:sz w:val="16"/>
        </w:rPr>
        <w:t> </w:t>
      </w:r>
      <w:r>
        <w:rPr>
          <w:color w:val="231F20"/>
          <w:sz w:val="16"/>
        </w:rPr>
        <w:t>la</w:t>
      </w:r>
      <w:r>
        <w:rPr>
          <w:color w:val="231F20"/>
          <w:spacing w:val="-5"/>
          <w:sz w:val="16"/>
        </w:rPr>
        <w:t> </w:t>
      </w:r>
      <w:r>
        <w:rPr>
          <w:color w:val="231F20"/>
          <w:sz w:val="16"/>
        </w:rPr>
        <w:t>empresa</w:t>
      </w:r>
      <w:r>
        <w:rPr>
          <w:color w:val="231F20"/>
          <w:spacing w:val="-5"/>
          <w:sz w:val="16"/>
        </w:rPr>
        <w:t> </w:t>
      </w:r>
      <w:r>
        <w:rPr>
          <w:color w:val="231F20"/>
          <w:sz w:val="16"/>
        </w:rPr>
        <w:t>dominante</w:t>
      </w:r>
      <w:r>
        <w:rPr>
          <w:color w:val="231F20"/>
          <w:spacing w:val="-5"/>
          <w:sz w:val="16"/>
        </w:rPr>
        <w:t> </w:t>
      </w:r>
      <w:r>
        <w:rPr>
          <w:color w:val="231F20"/>
          <w:sz w:val="16"/>
        </w:rPr>
        <w:t>en</w:t>
      </w:r>
      <w:r>
        <w:rPr>
          <w:color w:val="231F20"/>
          <w:spacing w:val="-5"/>
          <w:sz w:val="16"/>
        </w:rPr>
        <w:t> </w:t>
      </w:r>
      <w:r>
        <w:rPr>
          <w:color w:val="231F20"/>
          <w:sz w:val="16"/>
        </w:rPr>
        <w:t>la</w:t>
      </w:r>
      <w:r>
        <w:rPr>
          <w:color w:val="231F20"/>
          <w:spacing w:val="-5"/>
          <w:sz w:val="16"/>
        </w:rPr>
        <w:t> </w:t>
      </w:r>
      <w:r>
        <w:rPr>
          <w:color w:val="231F20"/>
          <w:sz w:val="16"/>
        </w:rPr>
        <w:t>entidad,</w:t>
      </w:r>
      <w:r>
        <w:rPr>
          <w:color w:val="231F20"/>
          <w:spacing w:val="-5"/>
          <w:sz w:val="16"/>
        </w:rPr>
        <w:t> </w:t>
      </w:r>
      <w:r>
        <w:rPr>
          <w:color w:val="231F20"/>
          <w:sz w:val="16"/>
        </w:rPr>
        <w:t>sólo</w:t>
      </w:r>
      <w:r>
        <w:rPr>
          <w:color w:val="231F20"/>
          <w:spacing w:val="-5"/>
          <w:sz w:val="16"/>
        </w:rPr>
        <w:t> </w:t>
      </w:r>
      <w:r>
        <w:rPr>
          <w:color w:val="231F20"/>
          <w:sz w:val="16"/>
        </w:rPr>
        <w:t>que</w:t>
      </w:r>
      <w:r>
        <w:rPr>
          <w:color w:val="231F20"/>
          <w:spacing w:val="-5"/>
          <w:sz w:val="16"/>
        </w:rPr>
        <w:t> </w:t>
      </w:r>
      <w:r>
        <w:rPr>
          <w:color w:val="231F20"/>
          <w:sz w:val="16"/>
        </w:rPr>
        <w:t>no</w:t>
      </w:r>
      <w:r>
        <w:rPr>
          <w:color w:val="231F20"/>
          <w:spacing w:val="-5"/>
          <w:sz w:val="16"/>
        </w:rPr>
        <w:t> </w:t>
      </w:r>
      <w:r>
        <w:rPr>
          <w:color w:val="231F20"/>
          <w:sz w:val="16"/>
        </w:rPr>
        <w:t>existen</w:t>
      </w:r>
      <w:r>
        <w:rPr>
          <w:color w:val="231F20"/>
          <w:spacing w:val="-5"/>
          <w:sz w:val="16"/>
        </w:rPr>
        <w:t> </w:t>
      </w:r>
      <w:r>
        <w:rPr>
          <w:color w:val="231F20"/>
          <w:sz w:val="16"/>
        </w:rPr>
        <w:t>estadísticas</w:t>
      </w:r>
      <w:r>
        <w:rPr>
          <w:color w:val="231F20"/>
          <w:spacing w:val="-5"/>
          <w:sz w:val="16"/>
        </w:rPr>
        <w:t> </w:t>
      </w:r>
      <w:r>
        <w:rPr>
          <w:color w:val="231F20"/>
          <w:sz w:val="16"/>
        </w:rPr>
        <w:t>abiertas</w:t>
      </w:r>
      <w:r>
        <w:rPr>
          <w:color w:val="231F20"/>
          <w:spacing w:val="-5"/>
          <w:sz w:val="16"/>
        </w:rPr>
        <w:t> </w:t>
      </w:r>
      <w:r>
        <w:rPr>
          <w:color w:val="231F20"/>
          <w:sz w:val="16"/>
        </w:rPr>
        <w:t>al</w:t>
      </w:r>
      <w:r>
        <w:rPr>
          <w:color w:val="231F20"/>
          <w:spacing w:val="-5"/>
          <w:sz w:val="16"/>
        </w:rPr>
        <w:t> </w:t>
      </w:r>
      <w:r>
        <w:rPr>
          <w:color w:val="231F20"/>
          <w:sz w:val="16"/>
        </w:rPr>
        <w:t>dominio</w:t>
      </w:r>
      <w:r>
        <w:rPr>
          <w:color w:val="231F20"/>
          <w:spacing w:val="-5"/>
          <w:sz w:val="16"/>
        </w:rPr>
        <w:t> </w:t>
      </w:r>
      <w:r>
        <w:rPr>
          <w:color w:val="231F20"/>
          <w:sz w:val="16"/>
        </w:rPr>
        <w:t>público.</w:t>
      </w:r>
    </w:p>
    <w:p>
      <w:pPr>
        <w:spacing w:line="266" w:lineRule="auto" w:before="102"/>
        <w:ind w:left="293" w:right="712" w:hanging="171"/>
        <w:jc w:val="both"/>
        <w:rPr>
          <w:sz w:val="16"/>
        </w:rPr>
      </w:pPr>
      <w:r>
        <w:rPr>
          <w:color w:val="231F20"/>
          <w:position w:val="5"/>
          <w:sz w:val="9"/>
        </w:rPr>
        <w:t>2</w:t>
      </w:r>
      <w:r>
        <w:rPr>
          <w:color w:val="231F20"/>
          <w:spacing w:val="20"/>
          <w:position w:val="5"/>
          <w:sz w:val="9"/>
        </w:rPr>
        <w:t> </w:t>
      </w:r>
      <w:r>
        <w:rPr>
          <w:color w:val="231F20"/>
          <w:sz w:val="16"/>
        </w:rPr>
        <w:t>De</w:t>
      </w:r>
      <w:r>
        <w:rPr>
          <w:color w:val="231F20"/>
          <w:spacing w:val="-12"/>
          <w:sz w:val="16"/>
        </w:rPr>
        <w:t> </w:t>
      </w:r>
      <w:r>
        <w:rPr>
          <w:color w:val="231F20"/>
          <w:sz w:val="16"/>
        </w:rPr>
        <w:t>acuerdo</w:t>
      </w:r>
      <w:r>
        <w:rPr>
          <w:color w:val="231F20"/>
          <w:spacing w:val="-12"/>
          <w:sz w:val="16"/>
        </w:rPr>
        <w:t> </w:t>
      </w:r>
      <w:r>
        <w:rPr>
          <w:color w:val="231F20"/>
          <w:sz w:val="16"/>
        </w:rPr>
        <w:t>con</w:t>
      </w:r>
      <w:r>
        <w:rPr>
          <w:color w:val="231F20"/>
          <w:spacing w:val="-12"/>
          <w:sz w:val="16"/>
        </w:rPr>
        <w:t> </w:t>
      </w:r>
      <w:r>
        <w:rPr>
          <w:color w:val="231F20"/>
          <w:sz w:val="16"/>
        </w:rPr>
        <w:t>el</w:t>
      </w:r>
      <w:r>
        <w:rPr>
          <w:color w:val="231F20"/>
          <w:spacing w:val="-12"/>
          <w:sz w:val="16"/>
        </w:rPr>
        <w:t> </w:t>
      </w:r>
      <w:r>
        <w:rPr>
          <w:rFonts w:ascii="Palatino Linotype" w:hAnsi="Palatino Linotype"/>
          <w:i/>
          <w:color w:val="231F20"/>
          <w:sz w:val="16"/>
        </w:rPr>
        <w:t>Censo</w:t>
      </w:r>
      <w:r>
        <w:rPr>
          <w:rFonts w:ascii="Palatino Linotype" w:hAnsi="Palatino Linotype"/>
          <w:i/>
          <w:color w:val="231F20"/>
          <w:spacing w:val="-11"/>
          <w:sz w:val="16"/>
        </w:rPr>
        <w:t> </w:t>
      </w:r>
      <w:r>
        <w:rPr>
          <w:rFonts w:ascii="Palatino Linotype" w:hAnsi="Palatino Linotype"/>
          <w:i/>
          <w:color w:val="231F20"/>
          <w:sz w:val="16"/>
        </w:rPr>
        <w:t>Económico</w:t>
      </w:r>
      <w:r>
        <w:rPr>
          <w:rFonts w:ascii="Palatino Linotype" w:hAnsi="Palatino Linotype"/>
          <w:i/>
          <w:color w:val="231F20"/>
          <w:spacing w:val="-11"/>
          <w:sz w:val="16"/>
        </w:rPr>
        <w:t> </w:t>
      </w:r>
      <w:r>
        <w:rPr>
          <w:rFonts w:ascii="Palatino Linotype" w:hAnsi="Palatino Linotype"/>
          <w:i/>
          <w:color w:val="231F20"/>
          <w:sz w:val="16"/>
        </w:rPr>
        <w:t>2003</w:t>
      </w:r>
      <w:r>
        <w:rPr>
          <w:color w:val="231F20"/>
          <w:sz w:val="16"/>
        </w:rPr>
        <w:t>,</w:t>
      </w:r>
      <w:r>
        <w:rPr>
          <w:color w:val="231F20"/>
          <w:spacing w:val="-12"/>
          <w:sz w:val="16"/>
        </w:rPr>
        <w:t> </w:t>
      </w:r>
      <w:r>
        <w:rPr>
          <w:color w:val="231F20"/>
          <w:sz w:val="16"/>
        </w:rPr>
        <w:t>en</w:t>
      </w:r>
      <w:r>
        <w:rPr>
          <w:color w:val="231F20"/>
          <w:spacing w:val="-12"/>
          <w:sz w:val="16"/>
        </w:rPr>
        <w:t> </w:t>
      </w:r>
      <w:r>
        <w:rPr>
          <w:color w:val="231F20"/>
          <w:sz w:val="16"/>
        </w:rPr>
        <w:t>el</w:t>
      </w:r>
      <w:r>
        <w:rPr>
          <w:color w:val="231F20"/>
          <w:spacing w:val="-12"/>
          <w:sz w:val="16"/>
        </w:rPr>
        <w:t> </w:t>
      </w:r>
      <w:r>
        <w:rPr>
          <w:color w:val="231F20"/>
          <w:sz w:val="16"/>
        </w:rPr>
        <w:t>Estado</w:t>
      </w:r>
      <w:r>
        <w:rPr>
          <w:color w:val="231F20"/>
          <w:spacing w:val="-12"/>
          <w:sz w:val="16"/>
        </w:rPr>
        <w:t> </w:t>
      </w:r>
      <w:r>
        <w:rPr>
          <w:color w:val="231F20"/>
          <w:sz w:val="16"/>
        </w:rPr>
        <w:t>de</w:t>
      </w:r>
      <w:r>
        <w:rPr>
          <w:color w:val="231F20"/>
          <w:spacing w:val="-12"/>
          <w:sz w:val="16"/>
        </w:rPr>
        <w:t> </w:t>
      </w:r>
      <w:r>
        <w:rPr>
          <w:color w:val="231F20"/>
          <w:sz w:val="16"/>
        </w:rPr>
        <w:t>México</w:t>
      </w:r>
      <w:r>
        <w:rPr>
          <w:color w:val="231F20"/>
          <w:spacing w:val="-12"/>
          <w:sz w:val="16"/>
        </w:rPr>
        <w:t> </w:t>
      </w:r>
      <w:r>
        <w:rPr>
          <w:color w:val="231F20"/>
          <w:sz w:val="16"/>
        </w:rPr>
        <w:t>se</w:t>
      </w:r>
      <w:r>
        <w:rPr>
          <w:color w:val="231F20"/>
          <w:spacing w:val="-12"/>
          <w:sz w:val="16"/>
        </w:rPr>
        <w:t> </w:t>
      </w:r>
      <w:r>
        <w:rPr>
          <w:color w:val="231F20"/>
          <w:sz w:val="16"/>
        </w:rPr>
        <w:t>localiza</w:t>
      </w:r>
      <w:r>
        <w:rPr>
          <w:color w:val="231F20"/>
          <w:spacing w:val="-12"/>
          <w:sz w:val="16"/>
        </w:rPr>
        <w:t> </w:t>
      </w:r>
      <w:r>
        <w:rPr>
          <w:color w:val="231F20"/>
          <w:sz w:val="16"/>
        </w:rPr>
        <w:t>un</w:t>
      </w:r>
      <w:r>
        <w:rPr>
          <w:color w:val="231F20"/>
          <w:spacing w:val="-12"/>
          <w:sz w:val="16"/>
        </w:rPr>
        <w:t> </w:t>
      </w:r>
      <w:r>
        <w:rPr>
          <w:color w:val="231F20"/>
          <w:sz w:val="16"/>
        </w:rPr>
        <w:t>total</w:t>
      </w:r>
      <w:r>
        <w:rPr>
          <w:color w:val="231F20"/>
          <w:spacing w:val="-12"/>
          <w:sz w:val="16"/>
        </w:rPr>
        <w:t> </w:t>
      </w:r>
      <w:r>
        <w:rPr>
          <w:color w:val="231F20"/>
          <w:sz w:val="16"/>
        </w:rPr>
        <w:t>de</w:t>
      </w:r>
      <w:r>
        <w:rPr>
          <w:color w:val="231F20"/>
          <w:spacing w:val="-12"/>
          <w:sz w:val="16"/>
        </w:rPr>
        <w:t> </w:t>
      </w:r>
      <w:r>
        <w:rPr>
          <w:color w:val="231F20"/>
          <w:sz w:val="16"/>
        </w:rPr>
        <w:t>252</w:t>
      </w:r>
      <w:r>
        <w:rPr>
          <w:color w:val="231F20"/>
          <w:spacing w:val="-12"/>
          <w:sz w:val="16"/>
        </w:rPr>
        <w:t> </w:t>
      </w:r>
      <w:r>
        <w:rPr>
          <w:color w:val="231F20"/>
          <w:sz w:val="16"/>
        </w:rPr>
        <w:t>empresas</w:t>
      </w:r>
      <w:r>
        <w:rPr>
          <w:color w:val="231F20"/>
          <w:spacing w:val="-12"/>
          <w:sz w:val="16"/>
        </w:rPr>
        <w:t> </w:t>
      </w:r>
      <w:r>
        <w:rPr>
          <w:color w:val="231F20"/>
          <w:sz w:val="16"/>
        </w:rPr>
        <w:t>fabrican- tes</w:t>
      </w:r>
      <w:r>
        <w:rPr>
          <w:color w:val="231F20"/>
          <w:spacing w:val="-11"/>
          <w:sz w:val="16"/>
        </w:rPr>
        <w:t> </w:t>
      </w:r>
      <w:r>
        <w:rPr>
          <w:color w:val="231F20"/>
          <w:sz w:val="16"/>
        </w:rPr>
        <w:t>de</w:t>
      </w:r>
      <w:r>
        <w:rPr>
          <w:color w:val="231F20"/>
          <w:spacing w:val="-11"/>
          <w:sz w:val="16"/>
        </w:rPr>
        <w:t> </w:t>
      </w:r>
      <w:r>
        <w:rPr>
          <w:color w:val="231F20"/>
          <w:sz w:val="16"/>
        </w:rPr>
        <w:t>automóviles</w:t>
      </w:r>
      <w:r>
        <w:rPr>
          <w:color w:val="231F20"/>
          <w:spacing w:val="-11"/>
          <w:sz w:val="16"/>
        </w:rPr>
        <w:t> </w:t>
      </w:r>
      <w:r>
        <w:rPr>
          <w:color w:val="231F20"/>
          <w:sz w:val="16"/>
        </w:rPr>
        <w:t>y</w:t>
      </w:r>
      <w:r>
        <w:rPr>
          <w:color w:val="231F20"/>
          <w:spacing w:val="-11"/>
          <w:sz w:val="16"/>
        </w:rPr>
        <w:t> </w:t>
      </w:r>
      <w:r>
        <w:rPr>
          <w:color w:val="231F20"/>
          <w:sz w:val="16"/>
        </w:rPr>
        <w:t>camiones,</w:t>
      </w:r>
      <w:r>
        <w:rPr>
          <w:color w:val="231F20"/>
          <w:spacing w:val="-11"/>
          <w:sz w:val="16"/>
        </w:rPr>
        <w:t> </w:t>
      </w:r>
      <w:r>
        <w:rPr>
          <w:color w:val="231F20"/>
          <w:sz w:val="16"/>
        </w:rPr>
        <w:t>carrocerías</w:t>
      </w:r>
      <w:r>
        <w:rPr>
          <w:color w:val="231F20"/>
          <w:spacing w:val="-11"/>
          <w:sz w:val="16"/>
        </w:rPr>
        <w:t> </w:t>
      </w:r>
      <w:r>
        <w:rPr>
          <w:color w:val="231F20"/>
          <w:sz w:val="16"/>
        </w:rPr>
        <w:t>y</w:t>
      </w:r>
      <w:r>
        <w:rPr>
          <w:color w:val="231F20"/>
          <w:spacing w:val="-11"/>
          <w:sz w:val="16"/>
        </w:rPr>
        <w:t> </w:t>
      </w:r>
      <w:r>
        <w:rPr>
          <w:color w:val="231F20"/>
          <w:sz w:val="16"/>
        </w:rPr>
        <w:t>remolques,</w:t>
      </w:r>
      <w:r>
        <w:rPr>
          <w:color w:val="231F20"/>
          <w:spacing w:val="-11"/>
          <w:sz w:val="16"/>
        </w:rPr>
        <w:t> </w:t>
      </w:r>
      <w:r>
        <w:rPr>
          <w:color w:val="231F20"/>
          <w:sz w:val="16"/>
        </w:rPr>
        <w:t>y</w:t>
      </w:r>
      <w:r>
        <w:rPr>
          <w:color w:val="231F20"/>
          <w:spacing w:val="-11"/>
          <w:sz w:val="16"/>
        </w:rPr>
        <w:t> </w:t>
      </w:r>
      <w:r>
        <w:rPr>
          <w:color w:val="231F20"/>
          <w:sz w:val="16"/>
        </w:rPr>
        <w:t>de</w:t>
      </w:r>
      <w:r>
        <w:rPr>
          <w:color w:val="231F20"/>
          <w:spacing w:val="-11"/>
          <w:sz w:val="16"/>
        </w:rPr>
        <w:t> </w:t>
      </w:r>
      <w:r>
        <w:rPr>
          <w:color w:val="231F20"/>
          <w:sz w:val="16"/>
        </w:rPr>
        <w:t>partes</w:t>
      </w:r>
      <w:r>
        <w:rPr>
          <w:color w:val="231F20"/>
          <w:spacing w:val="-11"/>
          <w:sz w:val="16"/>
        </w:rPr>
        <w:t> </w:t>
      </w:r>
      <w:r>
        <w:rPr>
          <w:color w:val="231F20"/>
          <w:sz w:val="16"/>
        </w:rPr>
        <w:t>para</w:t>
      </w:r>
      <w:r>
        <w:rPr>
          <w:color w:val="231F20"/>
          <w:spacing w:val="-11"/>
          <w:sz w:val="16"/>
        </w:rPr>
        <w:t> </w:t>
      </w:r>
      <w:r>
        <w:rPr>
          <w:color w:val="231F20"/>
          <w:sz w:val="16"/>
        </w:rPr>
        <w:t>vehículos</w:t>
      </w:r>
      <w:r>
        <w:rPr>
          <w:color w:val="231F20"/>
          <w:spacing w:val="-11"/>
          <w:sz w:val="16"/>
        </w:rPr>
        <w:t> </w:t>
      </w:r>
      <w:r>
        <w:rPr>
          <w:color w:val="231F20"/>
          <w:sz w:val="16"/>
        </w:rPr>
        <w:t>automotores</w:t>
      </w:r>
      <w:r>
        <w:rPr>
          <w:color w:val="231F20"/>
          <w:spacing w:val="-11"/>
          <w:sz w:val="16"/>
        </w:rPr>
        <w:t> </w:t>
      </w:r>
      <w:r>
        <w:rPr>
          <w:color w:val="231F20"/>
          <w:sz w:val="16"/>
        </w:rPr>
        <w:t>(INEGI,</w:t>
      </w:r>
      <w:r>
        <w:rPr>
          <w:color w:val="231F20"/>
          <w:spacing w:val="-11"/>
          <w:sz w:val="16"/>
        </w:rPr>
        <w:t> </w:t>
      </w:r>
      <w:r>
        <w:rPr>
          <w:color w:val="231F20"/>
          <w:sz w:val="16"/>
        </w:rPr>
        <w:t>2003).</w:t>
      </w:r>
    </w:p>
    <w:p>
      <w:pPr>
        <w:spacing w:after="0" w:line="266" w:lineRule="auto"/>
        <w:jc w:val="both"/>
        <w:rPr>
          <w:sz w:val="16"/>
        </w:rPr>
        <w:sectPr>
          <w:pgSz w:w="9640" w:h="13040"/>
          <w:pgMar w:header="520" w:footer="647" w:top="880" w:bottom="840" w:left="1180" w:right="420"/>
        </w:sectPr>
      </w:pPr>
    </w:p>
    <w:p>
      <w:pPr>
        <w:pStyle w:val="BodyText"/>
        <w:rPr>
          <w:sz w:val="20"/>
        </w:rPr>
      </w:pPr>
      <w:r>
        <w:rPr/>
        <w:pict>
          <v:shape style="position:absolute;margin-left:611.909912pt;margin-top:56.247398pt;width:10pt;height:360.9pt;mso-position-horizontal-relative:page;mso-position-vertical-relative:page;z-index:9784" type="#_x0000_t202" filled="false" stroked="false">
            <v:textbox inset="0,0,0,0" style="layout-flow:vertical">
              <w:txbxContent>
                <w:p>
                  <w:pPr>
                    <w:spacing w:line="185" w:lineRule="exact" w:before="0"/>
                    <w:ind w:left="20" w:right="-685" w:firstLine="0"/>
                    <w:jc w:val="left"/>
                    <w:rPr>
                      <w:rFonts w:ascii="Palatino Linotype" w:hAnsi="Palatino Linotype"/>
                      <w:sz w:val="16"/>
                    </w:rPr>
                  </w:pPr>
                  <w:r>
                    <w:rPr>
                      <w:rFonts w:ascii="Palatino Linotype" w:hAnsi="Palatino Linotype"/>
                      <w:color w:val="231F20"/>
                      <w:spacing w:val="-6"/>
                      <w:w w:val="92"/>
                      <w:sz w:val="16"/>
                    </w:rPr>
                    <w:t>E</w:t>
                  </w:r>
                  <w:r>
                    <w:rPr>
                      <w:rFonts w:ascii="Palatino Linotype" w:hAnsi="Palatino Linotype"/>
                      <w:color w:val="231F20"/>
                      <w:spacing w:val="-6"/>
                      <w:w w:val="100"/>
                      <w:sz w:val="16"/>
                    </w:rPr>
                    <w:t>v</w:t>
                  </w:r>
                  <w:r>
                    <w:rPr>
                      <w:rFonts w:ascii="Palatino Linotype" w:hAnsi="Palatino Linotype"/>
                      <w:color w:val="231F20"/>
                      <w:spacing w:val="-2"/>
                      <w:w w:val="106"/>
                      <w:sz w:val="16"/>
                    </w:rPr>
                    <w:t>o</w:t>
                  </w:r>
                  <w:r>
                    <w:rPr>
                      <w:rFonts w:ascii="Palatino Linotype" w:hAnsi="Palatino Linotype"/>
                      <w:color w:val="231F20"/>
                      <w:spacing w:val="-5"/>
                      <w:w w:val="158"/>
                      <w:sz w:val="16"/>
                    </w:rPr>
                    <w:t>l</w:t>
                  </w:r>
                  <w:r>
                    <w:rPr>
                      <w:rFonts w:ascii="Palatino Linotype" w:hAnsi="Palatino Linotype"/>
                      <w:color w:val="231F20"/>
                      <w:spacing w:val="-1"/>
                      <w:w w:val="106"/>
                      <w:sz w:val="16"/>
                    </w:rPr>
                    <w:t>uci</w:t>
                  </w:r>
                  <w:r>
                    <w:rPr>
                      <w:rFonts w:ascii="Palatino Linotype" w:hAnsi="Palatino Linotype"/>
                      <w:color w:val="231F20"/>
                      <w:spacing w:val="-2"/>
                      <w:w w:val="106"/>
                      <w:sz w:val="16"/>
                    </w:rPr>
                    <w:t>ó</w:t>
                  </w:r>
                  <w:r>
                    <w:rPr>
                      <w:rFonts w:ascii="Palatino Linotype" w:hAnsi="Palatino Linotype"/>
                      <w:color w:val="231F20"/>
                      <w:spacing w:val="-1"/>
                      <w:w w:val="97"/>
                      <w:sz w:val="16"/>
                    </w:rPr>
                    <w:t>n</w:t>
                  </w:r>
                  <w:r>
                    <w:rPr>
                      <w:rFonts w:ascii="Palatino Linotype" w:hAnsi="Palatino Linotype"/>
                      <w:color w:val="231F20"/>
                      <w:w w:val="97"/>
                      <w:sz w:val="16"/>
                    </w:rPr>
                    <w:t>,</w:t>
                  </w:r>
                  <w:r>
                    <w:rPr>
                      <w:rFonts w:ascii="Palatino Linotype" w:hAnsi="Palatino Linotype"/>
                      <w:color w:val="231F20"/>
                      <w:spacing w:val="-5"/>
                      <w:sz w:val="16"/>
                    </w:rPr>
                    <w:t> </w:t>
                  </w:r>
                  <w:r>
                    <w:rPr>
                      <w:rFonts w:ascii="Palatino Linotype" w:hAnsi="Palatino Linotype"/>
                      <w:color w:val="231F20"/>
                      <w:w w:val="119"/>
                      <w:sz w:val="16"/>
                    </w:rPr>
                    <w:t>c</w:t>
                  </w:r>
                  <w:r>
                    <w:rPr>
                      <w:rFonts w:ascii="Palatino Linotype" w:hAnsi="Palatino Linotype"/>
                      <w:color w:val="231F20"/>
                      <w:spacing w:val="-2"/>
                      <w:w w:val="106"/>
                      <w:sz w:val="16"/>
                    </w:rPr>
                    <w:t>o</w:t>
                  </w:r>
                  <w:r>
                    <w:rPr>
                      <w:rFonts w:ascii="Palatino Linotype" w:hAnsi="Palatino Linotype"/>
                      <w:color w:val="231F20"/>
                      <w:spacing w:val="-1"/>
                      <w:w w:val="97"/>
                      <w:sz w:val="16"/>
                    </w:rPr>
                    <w:t>n</w:t>
                  </w:r>
                  <w:r>
                    <w:rPr>
                      <w:rFonts w:ascii="Palatino Linotype" w:hAnsi="Palatino Linotype"/>
                      <w:color w:val="231F20"/>
                      <w:spacing w:val="-2"/>
                      <w:w w:val="97"/>
                      <w:sz w:val="16"/>
                    </w:rPr>
                    <w:t>d</w:t>
                  </w:r>
                  <w:r>
                    <w:rPr>
                      <w:rFonts w:ascii="Palatino Linotype" w:hAnsi="Palatino Linotype"/>
                      <w:color w:val="231F20"/>
                      <w:spacing w:val="-1"/>
                      <w:w w:val="109"/>
                      <w:sz w:val="16"/>
                    </w:rPr>
                    <w:t>ici</w:t>
                  </w:r>
                  <w:r>
                    <w:rPr>
                      <w:rFonts w:ascii="Palatino Linotype" w:hAnsi="Palatino Linotype"/>
                      <w:color w:val="231F20"/>
                      <w:spacing w:val="-2"/>
                      <w:w w:val="109"/>
                      <w:sz w:val="16"/>
                    </w:rPr>
                    <w:t>o</w:t>
                  </w:r>
                  <w:r>
                    <w:rPr>
                      <w:rFonts w:ascii="Palatino Linotype" w:hAnsi="Palatino Linotype"/>
                      <w:color w:val="231F20"/>
                      <w:spacing w:val="-1"/>
                      <w:w w:val="98"/>
                      <w:sz w:val="16"/>
                    </w:rPr>
                    <w:t>ne</w:t>
                  </w:r>
                  <w:r>
                    <w:rPr>
                      <w:rFonts w:ascii="Palatino Linotype" w:hAnsi="Palatino Linotype"/>
                      <w:color w:val="231F20"/>
                      <w:w w:val="98"/>
                      <w:sz w:val="16"/>
                    </w:rPr>
                    <w:t>s</w:t>
                  </w:r>
                  <w:r>
                    <w:rPr>
                      <w:rFonts w:ascii="Palatino Linotype" w:hAnsi="Palatino Linotype"/>
                      <w:color w:val="231F20"/>
                      <w:spacing w:val="-5"/>
                      <w:sz w:val="16"/>
                    </w:rPr>
                    <w:t> </w:t>
                  </w:r>
                  <w:r>
                    <w:rPr>
                      <w:rFonts w:ascii="Palatino Linotype" w:hAnsi="Palatino Linotype"/>
                      <w:color w:val="231F20"/>
                      <w:spacing w:val="-4"/>
                      <w:w w:val="113"/>
                      <w:sz w:val="16"/>
                    </w:rPr>
                    <w:t>a</w:t>
                  </w:r>
                  <w:r>
                    <w:rPr>
                      <w:rFonts w:ascii="Palatino Linotype" w:hAnsi="Palatino Linotype"/>
                      <w:color w:val="231F20"/>
                      <w:spacing w:val="-1"/>
                      <w:w w:val="118"/>
                      <w:sz w:val="16"/>
                    </w:rPr>
                    <w:t>ct</w:t>
                  </w:r>
                  <w:r>
                    <w:rPr>
                      <w:rFonts w:ascii="Palatino Linotype" w:hAnsi="Palatino Linotype"/>
                      <w:color w:val="231F20"/>
                      <w:spacing w:val="-10"/>
                      <w:w w:val="118"/>
                      <w:sz w:val="16"/>
                    </w:rPr>
                    <w:t>u</w:t>
                  </w:r>
                  <w:r>
                    <w:rPr>
                      <w:rFonts w:ascii="Palatino Linotype" w:hAnsi="Palatino Linotype"/>
                      <w:color w:val="231F20"/>
                      <w:spacing w:val="-1"/>
                      <w:w w:val="113"/>
                      <w:sz w:val="16"/>
                    </w:rPr>
                    <w:t>ale</w:t>
                  </w:r>
                  <w:r>
                    <w:rPr>
                      <w:rFonts w:ascii="Palatino Linotype" w:hAnsi="Palatino Linotype"/>
                      <w:color w:val="231F20"/>
                      <w:w w:val="113"/>
                      <w:sz w:val="16"/>
                    </w:rPr>
                    <w:t>s</w:t>
                  </w:r>
                  <w:r>
                    <w:rPr>
                      <w:rFonts w:ascii="Palatino Linotype" w:hAnsi="Palatino Linotype"/>
                      <w:color w:val="231F20"/>
                      <w:spacing w:val="-5"/>
                      <w:sz w:val="16"/>
                    </w:rPr>
                    <w:t> </w:t>
                  </w:r>
                  <w:r>
                    <w:rPr>
                      <w:rFonts w:ascii="Palatino Linotype" w:hAnsi="Palatino Linotype"/>
                      <w:color w:val="231F20"/>
                      <w:w w:val="91"/>
                      <w:sz w:val="16"/>
                    </w:rPr>
                    <w:t>y</w:t>
                  </w:r>
                  <w:r>
                    <w:rPr>
                      <w:rFonts w:ascii="Palatino Linotype" w:hAnsi="Palatino Linotype"/>
                      <w:color w:val="231F20"/>
                      <w:spacing w:val="-5"/>
                      <w:sz w:val="16"/>
                    </w:rPr>
                    <w:t> </w:t>
                  </w:r>
                  <w:r>
                    <w:rPr>
                      <w:rFonts w:ascii="Palatino Linotype" w:hAnsi="Palatino Linotype"/>
                      <w:color w:val="231F20"/>
                      <w:spacing w:val="-3"/>
                      <w:w w:val="133"/>
                      <w:sz w:val="16"/>
                    </w:rPr>
                    <w:t>r</w:t>
                  </w:r>
                  <w:r>
                    <w:rPr>
                      <w:rFonts w:ascii="Palatino Linotype" w:hAnsi="Palatino Linotype"/>
                      <w:color w:val="231F20"/>
                      <w:spacing w:val="-3"/>
                      <w:w w:val="100"/>
                      <w:sz w:val="16"/>
                    </w:rPr>
                    <w:t>e</w:t>
                  </w:r>
                  <w:r>
                    <w:rPr>
                      <w:rFonts w:ascii="Palatino Linotype" w:hAnsi="Palatino Linotype"/>
                      <w:color w:val="231F20"/>
                      <w:spacing w:val="-2"/>
                      <w:w w:val="156"/>
                      <w:sz w:val="16"/>
                    </w:rPr>
                    <w:t>t</w:t>
                  </w:r>
                  <w:r>
                    <w:rPr>
                      <w:rFonts w:ascii="Palatino Linotype" w:hAnsi="Palatino Linotype"/>
                      <w:color w:val="231F20"/>
                      <w:spacing w:val="-1"/>
                      <w:w w:val="102"/>
                      <w:sz w:val="16"/>
                    </w:rPr>
                    <w:t>o</w:t>
                  </w:r>
                  <w:r>
                    <w:rPr>
                      <w:rFonts w:ascii="Palatino Linotype" w:hAnsi="Palatino Linotype"/>
                      <w:color w:val="231F20"/>
                      <w:w w:val="102"/>
                      <w:sz w:val="16"/>
                    </w:rPr>
                    <w:t>s</w:t>
                  </w:r>
                  <w:r>
                    <w:rPr>
                      <w:rFonts w:ascii="Palatino Linotype" w:hAnsi="Palatino Linotype"/>
                      <w:color w:val="231F20"/>
                      <w:spacing w:val="-5"/>
                      <w:sz w:val="16"/>
                    </w:rPr>
                    <w:t> </w:t>
                  </w:r>
                  <w:r>
                    <w:rPr>
                      <w:rFonts w:ascii="Palatino Linotype" w:hAnsi="Palatino Linotype"/>
                      <w:color w:val="231F20"/>
                      <w:spacing w:val="-2"/>
                      <w:w w:val="95"/>
                      <w:sz w:val="16"/>
                    </w:rPr>
                    <w:t>d</w:t>
                  </w:r>
                  <w:r>
                    <w:rPr>
                      <w:rFonts w:ascii="Palatino Linotype" w:hAnsi="Palatino Linotype"/>
                      <w:color w:val="231F20"/>
                      <w:spacing w:val="-1"/>
                      <w:w w:val="122"/>
                      <w:sz w:val="16"/>
                    </w:rPr>
                    <w:t>e</w:t>
                  </w:r>
                  <w:r>
                    <w:rPr>
                      <w:rFonts w:ascii="Palatino Linotype" w:hAnsi="Palatino Linotype"/>
                      <w:color w:val="231F20"/>
                      <w:w w:val="122"/>
                      <w:sz w:val="16"/>
                    </w:rPr>
                    <w:t>l</w:t>
                  </w:r>
                  <w:r>
                    <w:rPr>
                      <w:rFonts w:ascii="Palatino Linotype" w:hAnsi="Palatino Linotype"/>
                      <w:color w:val="231F20"/>
                      <w:spacing w:val="-5"/>
                      <w:sz w:val="16"/>
                    </w:rPr>
                    <w:t> </w:t>
                  </w:r>
                  <w:r>
                    <w:rPr>
                      <w:rFonts w:ascii="Palatino Linotype" w:hAnsi="Palatino Linotype"/>
                      <w:color w:val="231F20"/>
                      <w:spacing w:val="-2"/>
                      <w:w w:val="96"/>
                      <w:sz w:val="16"/>
                    </w:rPr>
                    <w:t>s</w:t>
                  </w:r>
                  <w:r>
                    <w:rPr>
                      <w:rFonts w:ascii="Palatino Linotype" w:hAnsi="Palatino Linotype"/>
                      <w:color w:val="231F20"/>
                      <w:spacing w:val="-1"/>
                      <w:w w:val="121"/>
                      <w:sz w:val="16"/>
                    </w:rPr>
                    <w:t>ec</w:t>
                  </w:r>
                  <w:r>
                    <w:rPr>
                      <w:rFonts w:ascii="Palatino Linotype" w:hAnsi="Palatino Linotype"/>
                      <w:color w:val="231F20"/>
                      <w:spacing w:val="-2"/>
                      <w:w w:val="121"/>
                      <w:sz w:val="16"/>
                    </w:rPr>
                    <w:t>t</w:t>
                  </w:r>
                  <w:r>
                    <w:rPr>
                      <w:rFonts w:ascii="Palatino Linotype" w:hAnsi="Palatino Linotype"/>
                      <w:color w:val="231F20"/>
                      <w:spacing w:val="-2"/>
                      <w:w w:val="106"/>
                      <w:sz w:val="16"/>
                    </w:rPr>
                    <w:t>o</w:t>
                  </w:r>
                  <w:r>
                    <w:rPr>
                      <w:rFonts w:ascii="Palatino Linotype" w:hAnsi="Palatino Linotype"/>
                      <w:color w:val="231F20"/>
                      <w:w w:val="133"/>
                      <w:sz w:val="16"/>
                    </w:rPr>
                    <w:t>r</w:t>
                  </w:r>
                  <w:r>
                    <w:rPr>
                      <w:rFonts w:ascii="Palatino Linotype" w:hAnsi="Palatino Linotype"/>
                      <w:color w:val="231F20"/>
                      <w:spacing w:val="-5"/>
                      <w:sz w:val="16"/>
                    </w:rPr>
                    <w:t> </w:t>
                  </w:r>
                  <w:r>
                    <w:rPr>
                      <w:rFonts w:ascii="Palatino Linotype" w:hAnsi="Palatino Linotype"/>
                      <w:color w:val="231F20"/>
                      <w:spacing w:val="-10"/>
                      <w:w w:val="113"/>
                      <w:sz w:val="16"/>
                    </w:rPr>
                    <w:t>a</w:t>
                  </w:r>
                  <w:r>
                    <w:rPr>
                      <w:rFonts w:ascii="Palatino Linotype" w:hAnsi="Palatino Linotype"/>
                      <w:color w:val="231F20"/>
                      <w:spacing w:val="2"/>
                      <w:w w:val="96"/>
                      <w:sz w:val="16"/>
                    </w:rPr>
                    <w:t>u</w:t>
                  </w:r>
                  <w:r>
                    <w:rPr>
                      <w:rFonts w:ascii="Palatino Linotype" w:hAnsi="Palatino Linotype"/>
                      <w:color w:val="231F20"/>
                      <w:spacing w:val="-2"/>
                      <w:w w:val="156"/>
                      <w:sz w:val="16"/>
                    </w:rPr>
                    <w:t>t</w:t>
                  </w:r>
                  <w:r>
                    <w:rPr>
                      <w:rFonts w:ascii="Palatino Linotype" w:hAnsi="Palatino Linotype"/>
                      <w:color w:val="231F20"/>
                      <w:spacing w:val="-1"/>
                      <w:w w:val="90"/>
                      <w:sz w:val="16"/>
                    </w:rPr>
                    <w:t>o</w:t>
                  </w:r>
                  <w:r>
                    <w:rPr>
                      <w:rFonts w:ascii="Palatino Linotype" w:hAnsi="Palatino Linotype"/>
                      <w:color w:val="231F20"/>
                      <w:spacing w:val="-2"/>
                      <w:w w:val="90"/>
                      <w:sz w:val="16"/>
                    </w:rPr>
                    <w:t>m</w:t>
                  </w:r>
                  <w:r>
                    <w:rPr>
                      <w:rFonts w:ascii="Palatino Linotype" w:hAnsi="Palatino Linotype"/>
                      <w:color w:val="231F20"/>
                      <w:spacing w:val="-2"/>
                      <w:w w:val="106"/>
                      <w:sz w:val="16"/>
                    </w:rPr>
                    <w:t>o</w:t>
                  </w:r>
                  <w:r>
                    <w:rPr>
                      <w:rFonts w:ascii="Palatino Linotype" w:hAnsi="Palatino Linotype"/>
                      <w:color w:val="231F20"/>
                      <w:spacing w:val="-1"/>
                      <w:w w:val="143"/>
                      <w:sz w:val="16"/>
                    </w:rPr>
                    <w:t>t</w:t>
                  </w:r>
                  <w:r>
                    <w:rPr>
                      <w:rFonts w:ascii="Palatino Linotype" w:hAnsi="Palatino Linotype"/>
                      <w:color w:val="231F20"/>
                      <w:spacing w:val="-3"/>
                      <w:w w:val="143"/>
                      <w:sz w:val="16"/>
                    </w:rPr>
                    <w:t>r</w:t>
                  </w:r>
                  <w:r>
                    <w:rPr>
                      <w:rFonts w:ascii="Palatino Linotype" w:hAnsi="Palatino Linotype"/>
                      <w:color w:val="231F20"/>
                      <w:spacing w:val="-1"/>
                      <w:w w:val="101"/>
                      <w:sz w:val="16"/>
                    </w:rPr>
                    <w:t>i</w:t>
                  </w:r>
                  <w:r>
                    <w:rPr>
                      <w:rFonts w:ascii="Palatino Linotype" w:hAnsi="Palatino Linotype"/>
                      <w:color w:val="231F20"/>
                      <w:w w:val="101"/>
                      <w:sz w:val="16"/>
                    </w:rPr>
                    <w:t>z</w:t>
                  </w:r>
                  <w:r>
                    <w:rPr>
                      <w:rFonts w:ascii="Palatino Linotype" w:hAnsi="Palatino Linotype"/>
                      <w:color w:val="231F20"/>
                      <w:spacing w:val="-5"/>
                      <w:sz w:val="16"/>
                    </w:rPr>
                    <w:t> </w:t>
                  </w:r>
                  <w:r>
                    <w:rPr>
                      <w:rFonts w:ascii="Palatino Linotype" w:hAnsi="Palatino Linotype"/>
                      <w:color w:val="231F20"/>
                      <w:spacing w:val="-1"/>
                      <w:w w:val="100"/>
                      <w:sz w:val="16"/>
                    </w:rPr>
                    <w:t>e</w:t>
                  </w:r>
                  <w:r>
                    <w:rPr>
                      <w:rFonts w:ascii="Palatino Linotype" w:hAnsi="Palatino Linotype"/>
                      <w:color w:val="231F20"/>
                      <w:w w:val="100"/>
                      <w:sz w:val="16"/>
                    </w:rPr>
                    <w:t>n</w:t>
                  </w:r>
                  <w:r>
                    <w:rPr>
                      <w:rFonts w:ascii="Palatino Linotype" w:hAnsi="Palatino Linotype"/>
                      <w:color w:val="231F20"/>
                      <w:spacing w:val="-5"/>
                      <w:sz w:val="16"/>
                    </w:rPr>
                    <w:t> </w:t>
                  </w:r>
                  <w:r>
                    <w:rPr>
                      <w:rFonts w:ascii="Palatino Linotype" w:hAnsi="Palatino Linotype"/>
                      <w:color w:val="231F20"/>
                      <w:spacing w:val="-2"/>
                      <w:w w:val="94"/>
                      <w:sz w:val="16"/>
                    </w:rPr>
                    <w:t>M</w:t>
                  </w:r>
                  <w:r>
                    <w:rPr>
                      <w:rFonts w:ascii="Palatino Linotype" w:hAnsi="Palatino Linotype"/>
                      <w:color w:val="231F20"/>
                      <w:spacing w:val="-1"/>
                      <w:w w:val="108"/>
                      <w:sz w:val="16"/>
                    </w:rPr>
                    <w:t>éxi</w:t>
                  </w:r>
                  <w:r>
                    <w:rPr>
                      <w:rFonts w:ascii="Palatino Linotype" w:hAnsi="Palatino Linotype"/>
                      <w:color w:val="231F20"/>
                      <w:w w:val="108"/>
                      <w:sz w:val="16"/>
                    </w:rPr>
                    <w:t>c</w:t>
                  </w:r>
                  <w:r>
                    <w:rPr>
                      <w:rFonts w:ascii="Palatino Linotype" w:hAnsi="Palatino Linotype"/>
                      <w:color w:val="231F20"/>
                      <w:w w:val="106"/>
                      <w:sz w:val="16"/>
                    </w:rPr>
                    <w:t>o</w:t>
                  </w:r>
                  <w:r>
                    <w:rPr>
                      <w:rFonts w:ascii="Palatino Linotype" w:hAnsi="Palatino Linotype"/>
                      <w:color w:val="231F20"/>
                      <w:spacing w:val="-5"/>
                      <w:sz w:val="16"/>
                    </w:rPr>
                    <w:t> </w:t>
                  </w:r>
                  <w:r>
                    <w:rPr>
                      <w:rFonts w:ascii="Palatino Linotype" w:hAnsi="Palatino Linotype"/>
                      <w:color w:val="231F20"/>
                      <w:w w:val="91"/>
                      <w:sz w:val="16"/>
                    </w:rPr>
                    <w:t>y</w:t>
                  </w:r>
                  <w:r>
                    <w:rPr>
                      <w:rFonts w:ascii="Palatino Linotype" w:hAnsi="Palatino Linotype"/>
                      <w:color w:val="231F20"/>
                      <w:spacing w:val="-5"/>
                      <w:sz w:val="16"/>
                    </w:rPr>
                    <w:t> </w:t>
                  </w:r>
                  <w:r>
                    <w:rPr>
                      <w:rFonts w:ascii="Palatino Linotype" w:hAnsi="Palatino Linotype"/>
                      <w:color w:val="231F20"/>
                      <w:spacing w:val="-1"/>
                      <w:w w:val="100"/>
                      <w:sz w:val="16"/>
                    </w:rPr>
                    <w:t>e</w:t>
                  </w:r>
                  <w:r>
                    <w:rPr>
                      <w:rFonts w:ascii="Palatino Linotype" w:hAnsi="Palatino Linotype"/>
                      <w:color w:val="231F20"/>
                      <w:w w:val="100"/>
                      <w:sz w:val="16"/>
                    </w:rPr>
                    <w:t>n</w:t>
                  </w:r>
                  <w:r>
                    <w:rPr>
                      <w:rFonts w:ascii="Palatino Linotype" w:hAnsi="Palatino Linotype"/>
                      <w:color w:val="231F20"/>
                      <w:spacing w:val="-5"/>
                      <w:sz w:val="16"/>
                    </w:rPr>
                    <w:t> </w:t>
                  </w:r>
                  <w:r>
                    <w:rPr>
                      <w:rFonts w:ascii="Palatino Linotype" w:hAnsi="Palatino Linotype"/>
                      <w:color w:val="231F20"/>
                      <w:spacing w:val="-1"/>
                      <w:w w:val="122"/>
                      <w:sz w:val="16"/>
                    </w:rPr>
                    <w:t>e</w:t>
                  </w:r>
                  <w:r>
                    <w:rPr>
                      <w:rFonts w:ascii="Palatino Linotype" w:hAnsi="Palatino Linotype"/>
                      <w:color w:val="231F20"/>
                      <w:w w:val="122"/>
                      <w:sz w:val="16"/>
                    </w:rPr>
                    <w:t>l</w:t>
                  </w:r>
                  <w:r>
                    <w:rPr>
                      <w:rFonts w:ascii="Palatino Linotype" w:hAnsi="Palatino Linotype"/>
                      <w:color w:val="231F20"/>
                      <w:spacing w:val="-5"/>
                      <w:sz w:val="16"/>
                    </w:rPr>
                    <w:t> </w:t>
                  </w:r>
                  <w:r>
                    <w:rPr>
                      <w:rFonts w:ascii="Palatino Linotype" w:hAnsi="Palatino Linotype"/>
                      <w:color w:val="231F20"/>
                      <w:spacing w:val="1"/>
                      <w:w w:val="92"/>
                      <w:sz w:val="16"/>
                    </w:rPr>
                    <w:t>E</w:t>
                  </w:r>
                  <w:r>
                    <w:rPr>
                      <w:rFonts w:ascii="Palatino Linotype" w:hAnsi="Palatino Linotype"/>
                      <w:color w:val="231F20"/>
                      <w:spacing w:val="-2"/>
                      <w:w w:val="96"/>
                      <w:sz w:val="16"/>
                    </w:rPr>
                    <w:t>s</w:t>
                  </w:r>
                  <w:r>
                    <w:rPr>
                      <w:rFonts w:ascii="Palatino Linotype" w:hAnsi="Palatino Linotype"/>
                      <w:color w:val="231F20"/>
                      <w:spacing w:val="-10"/>
                      <w:w w:val="156"/>
                      <w:sz w:val="16"/>
                    </w:rPr>
                    <w:t>t</w:t>
                  </w:r>
                  <w:r>
                    <w:rPr>
                      <w:rFonts w:ascii="Palatino Linotype" w:hAnsi="Palatino Linotype"/>
                      <w:color w:val="231F20"/>
                      <w:spacing w:val="-1"/>
                      <w:w w:val="103"/>
                      <w:sz w:val="16"/>
                    </w:rPr>
                    <w:t>a</w:t>
                  </w:r>
                  <w:r>
                    <w:rPr>
                      <w:rFonts w:ascii="Palatino Linotype" w:hAnsi="Palatino Linotype"/>
                      <w:color w:val="231F20"/>
                      <w:spacing w:val="2"/>
                      <w:w w:val="103"/>
                      <w:sz w:val="16"/>
                    </w:rPr>
                    <w:t>d</w:t>
                  </w:r>
                  <w:r>
                    <w:rPr>
                      <w:rFonts w:ascii="Palatino Linotype" w:hAnsi="Palatino Linotype"/>
                      <w:color w:val="231F20"/>
                      <w:w w:val="106"/>
                      <w:sz w:val="16"/>
                    </w:rPr>
                    <w:t>o</w:t>
                  </w:r>
                  <w:r>
                    <w:rPr>
                      <w:rFonts w:ascii="Palatino Linotype" w:hAnsi="Palatino Linotype"/>
                      <w:color w:val="231F20"/>
                      <w:spacing w:val="-5"/>
                      <w:sz w:val="16"/>
                    </w:rPr>
                    <w:t> </w:t>
                  </w:r>
                  <w:r>
                    <w:rPr>
                      <w:rFonts w:ascii="Palatino Linotype" w:hAnsi="Palatino Linotype"/>
                      <w:color w:val="231F20"/>
                      <w:spacing w:val="-2"/>
                      <w:w w:val="95"/>
                      <w:sz w:val="16"/>
                    </w:rPr>
                    <w:t>d</w:t>
                  </w:r>
                  <w:r>
                    <w:rPr>
                      <w:rFonts w:ascii="Palatino Linotype" w:hAnsi="Palatino Linotype"/>
                      <w:color w:val="231F20"/>
                      <w:w w:val="100"/>
                      <w:sz w:val="16"/>
                    </w:rPr>
                    <w:t>e</w:t>
                  </w:r>
                  <w:r>
                    <w:rPr>
                      <w:rFonts w:ascii="Palatino Linotype" w:hAnsi="Palatino Linotype"/>
                      <w:color w:val="231F20"/>
                      <w:spacing w:val="-5"/>
                      <w:sz w:val="16"/>
                    </w:rPr>
                    <w:t> </w:t>
                  </w:r>
                  <w:r>
                    <w:rPr>
                      <w:rFonts w:ascii="Palatino Linotype" w:hAnsi="Palatino Linotype"/>
                      <w:color w:val="231F20"/>
                      <w:spacing w:val="-2"/>
                      <w:w w:val="94"/>
                      <w:sz w:val="16"/>
                    </w:rPr>
                    <w:t>M</w:t>
                  </w:r>
                  <w:r>
                    <w:rPr>
                      <w:rFonts w:ascii="Palatino Linotype" w:hAnsi="Palatino Linotype"/>
                      <w:color w:val="231F20"/>
                      <w:spacing w:val="-1"/>
                      <w:w w:val="108"/>
                      <w:sz w:val="16"/>
                    </w:rPr>
                    <w:t>éxi</w:t>
                  </w:r>
                  <w:r>
                    <w:rPr>
                      <w:rFonts w:ascii="Palatino Linotype" w:hAnsi="Palatino Linotype"/>
                      <w:color w:val="231F20"/>
                      <w:w w:val="108"/>
                      <w:sz w:val="16"/>
                    </w:rPr>
                    <w:t>c</w:t>
                  </w:r>
                  <w:r>
                    <w:rPr>
                      <w:rFonts w:ascii="Palatino Linotype" w:hAnsi="Palatino Linotype"/>
                      <w:color w:val="231F20"/>
                      <w:w w:val="106"/>
                      <w:sz w:val="16"/>
                    </w:rPr>
                    <w:t>o</w:t>
                  </w:r>
                </w:p>
              </w:txbxContent>
            </v:textbox>
            <w10:wrap type="none"/>
          </v:shape>
        </w:pict>
      </w:r>
    </w:p>
    <w:p>
      <w:pPr>
        <w:pStyle w:val="BodyText"/>
        <w:spacing w:before="11"/>
        <w:rPr>
          <w:sz w:val="29"/>
        </w:rPr>
      </w:pPr>
    </w:p>
    <w:p>
      <w:pPr>
        <w:pStyle w:val="Heading4"/>
        <w:spacing w:before="34"/>
        <w:ind w:left="5561" w:right="4318"/>
      </w:pPr>
      <w:r>
        <w:rPr/>
        <w:pict>
          <v:shape style="position:absolute;margin-left:29.703428pt;margin-top:-4.303939pt;width:14pt;height:19.5pt;mso-position-horizontal-relative:page;mso-position-vertical-relative:paragraph;z-index:9808" type="#_x0000_t202" filled="false" stroked="false">
            <v:textbox inset="0,0,0,0" style="layout-flow:vertical">
              <w:txbxContent>
                <w:p>
                  <w:pPr>
                    <w:spacing w:line="248" w:lineRule="exact" w:before="0"/>
                    <w:ind w:left="20" w:right="-110" w:firstLine="0"/>
                    <w:jc w:val="left"/>
                    <w:rPr>
                      <w:sz w:val="24"/>
                    </w:rPr>
                  </w:pPr>
                  <w:r>
                    <w:rPr>
                      <w:color w:val="231F20"/>
                      <w:w w:val="97"/>
                      <w:sz w:val="24"/>
                    </w:rPr>
                    <w:t>110</w:t>
                  </w:r>
                </w:p>
              </w:txbxContent>
            </v:textbox>
            <w10:wrap type="none"/>
          </v:shape>
        </w:pict>
      </w:r>
      <w:r>
        <w:rPr>
          <w:color w:val="231F20"/>
          <w:w w:val="95"/>
        </w:rPr>
        <w:t>Figura IV.1</w:t>
      </w:r>
    </w:p>
    <w:p>
      <w:pPr>
        <w:spacing w:line="282" w:lineRule="exact" w:before="0"/>
        <w:ind w:left="2191" w:right="0" w:firstLine="0"/>
        <w:jc w:val="left"/>
        <w:rPr>
          <w:rFonts w:ascii="Palatino Linotype" w:hAnsi="Palatino Linotype"/>
          <w:b/>
          <w:sz w:val="21"/>
        </w:rPr>
      </w:pPr>
      <w:r>
        <w:rPr>
          <w:rFonts w:ascii="Palatino Linotype" w:hAnsi="Palatino Linotype"/>
          <w:b/>
          <w:color w:val="231F20"/>
          <w:w w:val="90"/>
          <w:sz w:val="21"/>
        </w:rPr>
        <w:t>Estado de México: localización geográfica de las principales empresas del sector automotor</w:t>
      </w:r>
    </w:p>
    <w:p>
      <w:pPr>
        <w:pStyle w:val="BodyText"/>
        <w:spacing w:before="4"/>
        <w:rPr>
          <w:rFonts w:ascii="Palatino Linotype"/>
          <w:b/>
          <w:sz w:val="9"/>
        </w:rPr>
      </w:pPr>
      <w:r>
        <w:rPr/>
        <w:drawing>
          <wp:anchor distT="0" distB="0" distL="0" distR="0" allowOverlap="1" layoutInCell="1" locked="0" behindDoc="0" simplePos="0" relativeHeight="9760">
            <wp:simplePos x="0" y="0"/>
            <wp:positionH relativeFrom="page">
              <wp:posOffset>1109764</wp:posOffset>
            </wp:positionH>
            <wp:positionV relativeFrom="paragraph">
              <wp:posOffset>104671</wp:posOffset>
            </wp:positionV>
            <wp:extent cx="6030371" cy="4492752"/>
            <wp:effectExtent l="0" t="0" r="0" b="0"/>
            <wp:wrapTopAndBottom/>
            <wp:docPr id="23" name="image126.png" descr=""/>
            <wp:cNvGraphicFramePr>
              <a:graphicFrameLocks noChangeAspect="1"/>
            </wp:cNvGraphicFramePr>
            <a:graphic>
              <a:graphicData uri="http://schemas.openxmlformats.org/drawingml/2006/picture">
                <pic:pic>
                  <pic:nvPicPr>
                    <pic:cNvPr id="24" name="image126.png"/>
                    <pic:cNvPicPr/>
                  </pic:nvPicPr>
                  <pic:blipFill>
                    <a:blip r:embed="rId225" cstate="print"/>
                    <a:stretch>
                      <a:fillRect/>
                    </a:stretch>
                  </pic:blipFill>
                  <pic:spPr>
                    <a:xfrm>
                      <a:off x="0" y="0"/>
                      <a:ext cx="6030371" cy="4492752"/>
                    </a:xfrm>
                    <a:prstGeom prst="rect">
                      <a:avLst/>
                    </a:prstGeom>
                  </pic:spPr>
                </pic:pic>
              </a:graphicData>
            </a:graphic>
          </wp:anchor>
        </w:drawing>
      </w:r>
    </w:p>
    <w:p>
      <w:pPr>
        <w:spacing w:before="89"/>
        <w:ind w:left="903" w:right="0" w:firstLine="0"/>
        <w:jc w:val="left"/>
        <w:rPr>
          <w:sz w:val="19"/>
        </w:rPr>
      </w:pPr>
      <w:r>
        <w:rPr>
          <w:rFonts w:ascii="Palatino Linotype" w:hAnsi="Palatino Linotype"/>
          <w:i/>
          <w:color w:val="231F20"/>
          <w:sz w:val="19"/>
        </w:rPr>
        <w:t>Fuente: </w:t>
      </w:r>
      <w:r>
        <w:rPr>
          <w:color w:val="231F20"/>
          <w:sz w:val="19"/>
        </w:rPr>
        <w:t>Elaboración propia con ArcMap 10.1 y con datos de la Secretaría del Trabajo y Previsión Social (STyPS) (2010).</w:t>
      </w:r>
    </w:p>
    <w:p>
      <w:pPr>
        <w:spacing w:after="0"/>
        <w:jc w:val="left"/>
        <w:rPr>
          <w:sz w:val="19"/>
        </w:rPr>
        <w:sectPr>
          <w:headerReference w:type="even" r:id="rId223"/>
          <w:footerReference w:type="even" r:id="rId224"/>
          <w:pgSz w:w="13040" w:h="9640" w:orient="landscape"/>
          <w:pgMar w:header="0" w:footer="0" w:top="0" w:bottom="280" w:left="400" w:right="1700"/>
        </w:sectPr>
      </w:pPr>
    </w:p>
    <w:p>
      <w:pPr>
        <w:pStyle w:val="BodyText"/>
        <w:rPr>
          <w:sz w:val="20"/>
        </w:rPr>
      </w:pPr>
    </w:p>
    <w:p>
      <w:pPr>
        <w:pStyle w:val="BodyText"/>
        <w:spacing w:before="10"/>
        <w:rPr>
          <w:sz w:val="17"/>
        </w:rPr>
      </w:pPr>
    </w:p>
    <w:p>
      <w:pPr>
        <w:pStyle w:val="BodyText"/>
        <w:spacing w:line="278" w:lineRule="auto"/>
        <w:ind w:left="103" w:right="710"/>
        <w:jc w:val="both"/>
      </w:pPr>
      <w:r>
        <w:rPr>
          <w:color w:val="231F20"/>
        </w:rPr>
        <w:t>Los</w:t>
      </w:r>
      <w:r>
        <w:rPr>
          <w:color w:val="231F20"/>
          <w:spacing w:val="-7"/>
        </w:rPr>
        <w:t> </w:t>
      </w:r>
      <w:r>
        <w:rPr>
          <w:color w:val="231F20"/>
        </w:rPr>
        <w:t>datos</w:t>
      </w:r>
      <w:r>
        <w:rPr>
          <w:color w:val="231F20"/>
          <w:spacing w:val="-7"/>
        </w:rPr>
        <w:t> </w:t>
      </w:r>
      <w:r>
        <w:rPr>
          <w:color w:val="231F20"/>
        </w:rPr>
        <w:t>mostrados</w:t>
      </w:r>
      <w:r>
        <w:rPr>
          <w:color w:val="231F20"/>
          <w:spacing w:val="-7"/>
        </w:rPr>
        <w:t> </w:t>
      </w:r>
      <w:r>
        <w:rPr>
          <w:color w:val="231F20"/>
        </w:rPr>
        <w:t>hasta</w:t>
      </w:r>
      <w:r>
        <w:rPr>
          <w:color w:val="231F20"/>
          <w:spacing w:val="-7"/>
        </w:rPr>
        <w:t> </w:t>
      </w:r>
      <w:r>
        <w:rPr>
          <w:color w:val="231F20"/>
        </w:rPr>
        <w:t>este</w:t>
      </w:r>
      <w:r>
        <w:rPr>
          <w:color w:val="231F20"/>
          <w:spacing w:val="-7"/>
        </w:rPr>
        <w:t> </w:t>
      </w:r>
      <w:r>
        <w:rPr>
          <w:color w:val="231F20"/>
        </w:rPr>
        <w:t>punto</w:t>
      </w:r>
      <w:r>
        <w:rPr>
          <w:color w:val="231F20"/>
          <w:spacing w:val="-7"/>
        </w:rPr>
        <w:t> </w:t>
      </w:r>
      <w:r>
        <w:rPr>
          <w:color w:val="231F20"/>
        </w:rPr>
        <w:t>dejan</w:t>
      </w:r>
      <w:r>
        <w:rPr>
          <w:color w:val="231F20"/>
          <w:spacing w:val="-7"/>
        </w:rPr>
        <w:t> </w:t>
      </w:r>
      <w:r>
        <w:rPr>
          <w:color w:val="231F20"/>
        </w:rPr>
        <w:t>ver</w:t>
      </w:r>
      <w:r>
        <w:rPr>
          <w:color w:val="231F20"/>
          <w:spacing w:val="-7"/>
        </w:rPr>
        <w:t> </w:t>
      </w:r>
      <w:r>
        <w:rPr>
          <w:color w:val="231F20"/>
        </w:rPr>
        <w:t>que</w:t>
      </w:r>
      <w:r>
        <w:rPr>
          <w:color w:val="231F20"/>
          <w:spacing w:val="-7"/>
        </w:rPr>
        <w:t> </w:t>
      </w:r>
      <w:r>
        <w:rPr>
          <w:color w:val="231F20"/>
        </w:rPr>
        <w:t>el</w:t>
      </w:r>
      <w:r>
        <w:rPr>
          <w:color w:val="231F20"/>
          <w:spacing w:val="-7"/>
        </w:rPr>
        <w:t> </w:t>
      </w:r>
      <w:r>
        <w:rPr>
          <w:color w:val="231F20"/>
        </w:rPr>
        <w:t>sector</w:t>
      </w:r>
      <w:r>
        <w:rPr>
          <w:color w:val="231F20"/>
          <w:spacing w:val="-7"/>
        </w:rPr>
        <w:t> </w:t>
      </w:r>
      <w:r>
        <w:rPr>
          <w:color w:val="231F20"/>
        </w:rPr>
        <w:t>automotriz</w:t>
      </w:r>
      <w:r>
        <w:rPr>
          <w:color w:val="231F20"/>
          <w:spacing w:val="-7"/>
        </w:rPr>
        <w:t> </w:t>
      </w:r>
      <w:r>
        <w:rPr>
          <w:color w:val="231F20"/>
        </w:rPr>
        <w:t>continúa</w:t>
      </w:r>
      <w:r>
        <w:rPr>
          <w:color w:val="231F20"/>
          <w:spacing w:val="-7"/>
        </w:rPr>
        <w:t> </w:t>
      </w:r>
      <w:r>
        <w:rPr>
          <w:color w:val="231F20"/>
        </w:rPr>
        <w:t>sien- do clave para la economía de la entidad, las aportaciones que hace al producto</w:t>
      </w:r>
      <w:r>
        <w:rPr>
          <w:color w:val="231F20"/>
          <w:spacing w:val="-28"/>
        </w:rPr>
        <w:t> </w:t>
      </w:r>
      <w:r>
        <w:rPr>
          <w:color w:val="231F20"/>
        </w:rPr>
        <w:t>interno bruto total, al manufacturero y al empleo, siguen siendo importantes; sin embargo, también es cierto que el sector ha sufrido durante las dos últimas décadas una fuerte disminución en las actividades presentes en territorio estatal. Esto se puede observar en el apartado siguiente, donde se analiza el desempeño de la industria automotriz   en el Estado de México durante los últimos años a partir de las siguientes variables: producción total, producción para mercado interno y para mercado externo, personal ocupado e inversión extranjera directa.</w:t>
      </w:r>
    </w:p>
    <w:p>
      <w:pPr>
        <w:pStyle w:val="Heading3"/>
        <w:numPr>
          <w:ilvl w:val="1"/>
          <w:numId w:val="19"/>
        </w:numPr>
        <w:tabs>
          <w:tab w:pos="518" w:val="left" w:leader="none"/>
        </w:tabs>
        <w:spacing w:line="240" w:lineRule="auto" w:before="172" w:after="0"/>
        <w:ind w:left="517" w:right="0" w:hanging="414"/>
        <w:jc w:val="both"/>
      </w:pPr>
      <w:r>
        <w:rPr>
          <w:color w:val="231F20"/>
          <w:w w:val="95"/>
        </w:rPr>
        <w:t>Desempeño</w:t>
      </w:r>
      <w:r>
        <w:rPr>
          <w:color w:val="231F20"/>
          <w:spacing w:val="-31"/>
          <w:w w:val="95"/>
        </w:rPr>
        <w:t> </w:t>
      </w:r>
      <w:r>
        <w:rPr>
          <w:color w:val="231F20"/>
          <w:w w:val="95"/>
        </w:rPr>
        <w:t>del</w:t>
      </w:r>
      <w:r>
        <w:rPr>
          <w:color w:val="231F20"/>
          <w:spacing w:val="-31"/>
          <w:w w:val="95"/>
        </w:rPr>
        <w:t> </w:t>
      </w:r>
      <w:r>
        <w:rPr>
          <w:color w:val="231F20"/>
          <w:w w:val="95"/>
        </w:rPr>
        <w:t>sector</w:t>
      </w:r>
      <w:r>
        <w:rPr>
          <w:color w:val="231F20"/>
          <w:spacing w:val="-31"/>
          <w:w w:val="95"/>
        </w:rPr>
        <w:t> </w:t>
      </w:r>
      <w:r>
        <w:rPr>
          <w:color w:val="231F20"/>
          <w:w w:val="95"/>
        </w:rPr>
        <w:t>automotriz</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Estado</w:t>
      </w:r>
      <w:r>
        <w:rPr>
          <w:color w:val="231F20"/>
          <w:spacing w:val="-31"/>
          <w:w w:val="95"/>
        </w:rPr>
        <w:t> </w:t>
      </w:r>
      <w:r>
        <w:rPr>
          <w:color w:val="231F20"/>
          <w:w w:val="95"/>
        </w:rPr>
        <w:t>de</w:t>
      </w:r>
      <w:r>
        <w:rPr>
          <w:color w:val="231F20"/>
          <w:spacing w:val="-31"/>
          <w:w w:val="95"/>
        </w:rPr>
        <w:t> </w:t>
      </w:r>
      <w:r>
        <w:rPr>
          <w:color w:val="231F20"/>
          <w:w w:val="95"/>
        </w:rPr>
        <w:t>México</w:t>
      </w:r>
    </w:p>
    <w:p>
      <w:pPr>
        <w:pStyle w:val="Heading4"/>
        <w:numPr>
          <w:ilvl w:val="2"/>
          <w:numId w:val="19"/>
        </w:numPr>
        <w:tabs>
          <w:tab w:pos="625" w:val="left" w:leader="none"/>
        </w:tabs>
        <w:spacing w:line="240" w:lineRule="auto" w:before="214" w:after="0"/>
        <w:ind w:left="624" w:right="0" w:hanging="521"/>
        <w:jc w:val="both"/>
      </w:pPr>
      <w:r>
        <w:rPr>
          <w:color w:val="231F20"/>
        </w:rPr>
        <w:t>Producción</w:t>
      </w:r>
    </w:p>
    <w:p>
      <w:pPr>
        <w:pStyle w:val="BodyText"/>
        <w:spacing w:line="278" w:lineRule="auto" w:before="134"/>
        <w:ind w:left="103" w:right="711"/>
        <w:jc w:val="both"/>
      </w:pPr>
      <w:r>
        <w:rPr>
          <w:color w:val="231F20"/>
        </w:rPr>
        <w:t>A</w:t>
      </w:r>
      <w:r>
        <w:rPr>
          <w:color w:val="231F20"/>
          <w:spacing w:val="-7"/>
        </w:rPr>
        <w:t> </w:t>
      </w:r>
      <w:r>
        <w:rPr>
          <w:color w:val="231F20"/>
        </w:rPr>
        <w:t>partir</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información</w:t>
      </w:r>
      <w:r>
        <w:rPr>
          <w:color w:val="231F20"/>
          <w:spacing w:val="-7"/>
        </w:rPr>
        <w:t> </w:t>
      </w:r>
      <w:r>
        <w:rPr>
          <w:color w:val="231F20"/>
        </w:rPr>
        <w:t>estadística</w:t>
      </w:r>
      <w:r>
        <w:rPr>
          <w:color w:val="231F20"/>
          <w:spacing w:val="-7"/>
        </w:rPr>
        <w:t> </w:t>
      </w:r>
      <w:r>
        <w:rPr>
          <w:color w:val="231F20"/>
        </w:rPr>
        <w:t>disponible,</w:t>
      </w:r>
      <w:r>
        <w:rPr>
          <w:color w:val="231F20"/>
          <w:spacing w:val="-7"/>
        </w:rPr>
        <w:t> </w:t>
      </w:r>
      <w:r>
        <w:rPr>
          <w:color w:val="231F20"/>
        </w:rPr>
        <w:t>para</w:t>
      </w:r>
      <w:r>
        <w:rPr>
          <w:color w:val="231F20"/>
          <w:spacing w:val="-7"/>
        </w:rPr>
        <w:t> </w:t>
      </w:r>
      <w:r>
        <w:rPr>
          <w:color w:val="231F20"/>
        </w:rPr>
        <w:t>el</w:t>
      </w:r>
      <w:r>
        <w:rPr>
          <w:color w:val="231F20"/>
          <w:spacing w:val="-7"/>
        </w:rPr>
        <w:t> </w:t>
      </w:r>
      <w:r>
        <w:rPr>
          <w:color w:val="231F20"/>
        </w:rPr>
        <w:t>periodo</w:t>
      </w:r>
      <w:r>
        <w:rPr>
          <w:color w:val="231F20"/>
          <w:spacing w:val="-7"/>
        </w:rPr>
        <w:t> </w:t>
      </w:r>
      <w:r>
        <w:rPr>
          <w:color w:val="231F20"/>
        </w:rPr>
        <w:t>1988-2008</w:t>
      </w:r>
      <w:r>
        <w:rPr>
          <w:color w:val="231F20"/>
          <w:spacing w:val="-7"/>
        </w:rPr>
        <w:t> </w:t>
      </w:r>
      <w:r>
        <w:rPr>
          <w:color w:val="231F20"/>
        </w:rPr>
        <w:t>se</w:t>
      </w:r>
      <w:r>
        <w:rPr>
          <w:color w:val="231F20"/>
          <w:spacing w:val="-7"/>
        </w:rPr>
        <w:t> </w:t>
      </w:r>
      <w:r>
        <w:rPr>
          <w:color w:val="231F20"/>
        </w:rPr>
        <w:t>pueden identificar</w:t>
      </w:r>
      <w:r>
        <w:rPr>
          <w:color w:val="231F20"/>
          <w:spacing w:val="-7"/>
        </w:rPr>
        <w:t> </w:t>
      </w:r>
      <w:r>
        <w:rPr>
          <w:color w:val="231F20"/>
        </w:rPr>
        <w:t>algunas</w:t>
      </w:r>
      <w:r>
        <w:rPr>
          <w:color w:val="231F20"/>
          <w:spacing w:val="-7"/>
        </w:rPr>
        <w:t> </w:t>
      </w:r>
      <w:r>
        <w:rPr>
          <w:color w:val="231F20"/>
        </w:rPr>
        <w:t>características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del</w:t>
      </w:r>
      <w:r>
        <w:rPr>
          <w:color w:val="231F20"/>
          <w:spacing w:val="-7"/>
        </w:rPr>
        <w:t> </w:t>
      </w:r>
      <w:r>
        <w:rPr>
          <w:color w:val="231F20"/>
        </w:rPr>
        <w:t>sector</w:t>
      </w:r>
      <w:r>
        <w:rPr>
          <w:color w:val="231F20"/>
          <w:spacing w:val="-7"/>
        </w:rPr>
        <w:t> </w:t>
      </w:r>
      <w:r>
        <w:rPr>
          <w:color w:val="231F20"/>
        </w:rPr>
        <w:t>automotriz</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entidad. </w:t>
      </w:r>
      <w:r>
        <w:rPr>
          <w:color w:val="231F20"/>
          <w:spacing w:val="-5"/>
        </w:rPr>
        <w:t>Todo </w:t>
      </w:r>
      <w:r>
        <w:rPr>
          <w:color w:val="231F20"/>
        </w:rPr>
        <w:t>indica que, salvo el incremento atípico de 2000 para la producción total, en</w:t>
      </w:r>
      <w:r>
        <w:rPr>
          <w:color w:val="231F20"/>
          <w:spacing w:val="-31"/>
        </w:rPr>
        <w:t> </w:t>
      </w:r>
      <w:r>
        <w:rPr>
          <w:color w:val="231F20"/>
        </w:rPr>
        <w:t>todo el</w:t>
      </w:r>
      <w:r>
        <w:rPr>
          <w:color w:val="231F20"/>
          <w:spacing w:val="-7"/>
        </w:rPr>
        <w:t> </w:t>
      </w:r>
      <w:r>
        <w:rPr>
          <w:color w:val="231F20"/>
        </w:rPr>
        <w:t>periodo</w:t>
      </w:r>
      <w:r>
        <w:rPr>
          <w:color w:val="231F20"/>
          <w:spacing w:val="-7"/>
        </w:rPr>
        <w:t> </w:t>
      </w:r>
      <w:r>
        <w:rPr>
          <w:color w:val="231F20"/>
        </w:rPr>
        <w:t>reciente</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de</w:t>
      </w:r>
      <w:r>
        <w:rPr>
          <w:color w:val="231F20"/>
          <w:spacing w:val="-7"/>
        </w:rPr>
        <w:t> </w:t>
      </w:r>
      <w:r>
        <w:rPr>
          <w:color w:val="231F20"/>
        </w:rPr>
        <w:t>vehículos</w:t>
      </w:r>
      <w:r>
        <w:rPr>
          <w:color w:val="231F20"/>
          <w:spacing w:val="-7"/>
        </w:rPr>
        <w:t> </w:t>
      </w:r>
      <w:r>
        <w:rPr>
          <w:color w:val="231F20"/>
        </w:rPr>
        <w:t>prácticamente</w:t>
      </w:r>
      <w:r>
        <w:rPr>
          <w:color w:val="231F20"/>
          <w:spacing w:val="-7"/>
        </w:rPr>
        <w:t> </w:t>
      </w:r>
      <w:r>
        <w:rPr>
          <w:color w:val="231F20"/>
        </w:rPr>
        <w:t>no</w:t>
      </w:r>
      <w:r>
        <w:rPr>
          <w:color w:val="231F20"/>
          <w:spacing w:val="-7"/>
        </w:rPr>
        <w:t> </w:t>
      </w:r>
      <w:r>
        <w:rPr>
          <w:color w:val="231F20"/>
        </w:rPr>
        <w:t>creció,</w:t>
      </w:r>
      <w:r>
        <w:rPr>
          <w:color w:val="231F20"/>
          <w:spacing w:val="-7"/>
        </w:rPr>
        <w:t> </w:t>
      </w:r>
      <w:r>
        <w:rPr>
          <w:color w:val="231F20"/>
        </w:rPr>
        <w:t>sobre</w:t>
      </w:r>
      <w:r>
        <w:rPr>
          <w:color w:val="231F20"/>
          <w:spacing w:val="-7"/>
        </w:rPr>
        <w:t> </w:t>
      </w:r>
      <w:r>
        <w:rPr>
          <w:color w:val="231F20"/>
        </w:rPr>
        <w:t>todo</w:t>
      </w:r>
      <w:r>
        <w:rPr>
          <w:color w:val="231F20"/>
          <w:spacing w:val="-7"/>
        </w:rPr>
        <w:t> </w:t>
      </w:r>
      <w:r>
        <w:rPr>
          <w:color w:val="231F20"/>
        </w:rPr>
        <w:t>por las</w:t>
      </w:r>
      <w:r>
        <w:rPr>
          <w:color w:val="231F20"/>
          <w:spacing w:val="-22"/>
        </w:rPr>
        <w:t> </w:t>
      </w:r>
      <w:r>
        <w:rPr>
          <w:color w:val="231F20"/>
        </w:rPr>
        <w:t>caídas</w:t>
      </w:r>
      <w:r>
        <w:rPr>
          <w:color w:val="231F20"/>
          <w:spacing w:val="-22"/>
        </w:rPr>
        <w:t> </w:t>
      </w:r>
      <w:r>
        <w:rPr>
          <w:color w:val="231F20"/>
        </w:rPr>
        <w:t>que</w:t>
      </w:r>
      <w:r>
        <w:rPr>
          <w:color w:val="231F20"/>
          <w:spacing w:val="-22"/>
        </w:rPr>
        <w:t> </w:t>
      </w:r>
      <w:r>
        <w:rPr>
          <w:color w:val="231F20"/>
        </w:rPr>
        <w:t>sufrió</w:t>
      </w:r>
      <w:r>
        <w:rPr>
          <w:color w:val="231F20"/>
          <w:spacing w:val="-22"/>
        </w:rPr>
        <w:t> </w:t>
      </w:r>
      <w:r>
        <w:rPr>
          <w:color w:val="231F20"/>
        </w:rPr>
        <w:t>en</w:t>
      </w:r>
      <w:r>
        <w:rPr>
          <w:color w:val="231F20"/>
          <w:spacing w:val="-22"/>
        </w:rPr>
        <w:t> </w:t>
      </w:r>
      <w:r>
        <w:rPr>
          <w:color w:val="231F20"/>
        </w:rPr>
        <w:t>los</w:t>
      </w:r>
      <w:r>
        <w:rPr>
          <w:color w:val="231F20"/>
          <w:spacing w:val="-22"/>
        </w:rPr>
        <w:t> </w:t>
      </w:r>
      <w:r>
        <w:rPr>
          <w:color w:val="231F20"/>
        </w:rPr>
        <w:t>años</w:t>
      </w:r>
      <w:r>
        <w:rPr>
          <w:color w:val="231F20"/>
          <w:spacing w:val="-22"/>
        </w:rPr>
        <w:t> </w:t>
      </w:r>
      <w:r>
        <w:rPr>
          <w:color w:val="231F20"/>
        </w:rPr>
        <w:t>1993,</w:t>
      </w:r>
      <w:r>
        <w:rPr>
          <w:color w:val="231F20"/>
          <w:spacing w:val="-22"/>
        </w:rPr>
        <w:t> </w:t>
      </w:r>
      <w:r>
        <w:rPr>
          <w:color w:val="231F20"/>
        </w:rPr>
        <w:t>1998,</w:t>
      </w:r>
      <w:r>
        <w:rPr>
          <w:color w:val="231F20"/>
          <w:spacing w:val="-22"/>
        </w:rPr>
        <w:t> </w:t>
      </w:r>
      <w:r>
        <w:rPr>
          <w:color w:val="231F20"/>
        </w:rPr>
        <w:t>2003</w:t>
      </w:r>
      <w:r>
        <w:rPr>
          <w:color w:val="231F20"/>
          <w:spacing w:val="-22"/>
        </w:rPr>
        <w:t> </w:t>
      </w:r>
      <w:r>
        <w:rPr>
          <w:color w:val="231F20"/>
        </w:rPr>
        <w:t>y</w:t>
      </w:r>
      <w:r>
        <w:rPr>
          <w:color w:val="231F20"/>
          <w:spacing w:val="-22"/>
        </w:rPr>
        <w:t> </w:t>
      </w:r>
      <w:r>
        <w:rPr>
          <w:color w:val="231F20"/>
        </w:rPr>
        <w:t>2007</w:t>
      </w:r>
      <w:r>
        <w:rPr>
          <w:color w:val="231F20"/>
          <w:spacing w:val="-22"/>
        </w:rPr>
        <w:t> </w:t>
      </w:r>
      <w:r>
        <w:rPr>
          <w:color w:val="231F20"/>
        </w:rPr>
        <w:t>(véase</w:t>
      </w:r>
      <w:r>
        <w:rPr>
          <w:color w:val="231F20"/>
          <w:spacing w:val="-22"/>
        </w:rPr>
        <w:t> </w:t>
      </w:r>
      <w:r>
        <w:rPr>
          <w:color w:val="231F20"/>
        </w:rPr>
        <w:t>gráfica</w:t>
      </w:r>
      <w:r>
        <w:rPr>
          <w:color w:val="231F20"/>
          <w:spacing w:val="-22"/>
        </w:rPr>
        <w:t> </w:t>
      </w:r>
      <w:r>
        <w:rPr>
          <w:color w:val="231F20"/>
          <w:spacing w:val="-6"/>
        </w:rPr>
        <w:t>IV.2).</w:t>
      </w:r>
      <w:r>
        <w:rPr>
          <w:color w:val="231F20"/>
          <w:spacing w:val="-22"/>
        </w:rPr>
        <w:t> </w:t>
      </w:r>
      <w:r>
        <w:rPr>
          <w:color w:val="231F20"/>
        </w:rPr>
        <w:t>Estos</w:t>
      </w:r>
      <w:r>
        <w:rPr>
          <w:color w:val="231F20"/>
          <w:spacing w:val="-22"/>
        </w:rPr>
        <w:t> </w:t>
      </w:r>
      <w:r>
        <w:rPr>
          <w:color w:val="231F20"/>
        </w:rPr>
        <w:t>años se</w:t>
      </w:r>
      <w:r>
        <w:rPr>
          <w:color w:val="231F20"/>
          <w:spacing w:val="-4"/>
        </w:rPr>
        <w:t> </w:t>
      </w:r>
      <w:r>
        <w:rPr>
          <w:color w:val="231F20"/>
        </w:rPr>
        <w:t>relacionan</w:t>
      </w:r>
      <w:r>
        <w:rPr>
          <w:color w:val="231F20"/>
          <w:spacing w:val="-4"/>
        </w:rPr>
        <w:t> </w:t>
      </w:r>
      <w:r>
        <w:rPr>
          <w:color w:val="231F20"/>
        </w:rPr>
        <w:t>con</w:t>
      </w:r>
      <w:r>
        <w:rPr>
          <w:color w:val="231F20"/>
          <w:spacing w:val="-4"/>
        </w:rPr>
        <w:t> </w:t>
      </w:r>
      <w:r>
        <w:rPr>
          <w:color w:val="231F20"/>
        </w:rPr>
        <w:t>el</w:t>
      </w:r>
      <w:r>
        <w:rPr>
          <w:color w:val="231F20"/>
          <w:spacing w:val="-4"/>
        </w:rPr>
        <w:t> </w:t>
      </w:r>
      <w:r>
        <w:rPr>
          <w:color w:val="231F20"/>
        </w:rPr>
        <w:t>escenario</w:t>
      </w:r>
      <w:r>
        <w:rPr>
          <w:color w:val="231F20"/>
          <w:spacing w:val="-4"/>
        </w:rPr>
        <w:t> </w:t>
      </w:r>
      <w:r>
        <w:rPr>
          <w:color w:val="231F20"/>
        </w:rPr>
        <w:t>macroeconómico</w:t>
      </w:r>
      <w:r>
        <w:rPr>
          <w:color w:val="231F20"/>
          <w:spacing w:val="-4"/>
        </w:rPr>
        <w:t> </w:t>
      </w:r>
      <w:r>
        <w:rPr>
          <w:color w:val="231F20"/>
        </w:rPr>
        <w:t>nacional</w:t>
      </w:r>
      <w:r>
        <w:rPr>
          <w:color w:val="231F20"/>
          <w:spacing w:val="-4"/>
        </w:rPr>
        <w:t> </w:t>
      </w:r>
      <w:r>
        <w:rPr>
          <w:color w:val="231F20"/>
        </w:rPr>
        <w:t>y</w:t>
      </w:r>
      <w:r>
        <w:rPr>
          <w:color w:val="231F20"/>
          <w:spacing w:val="-4"/>
        </w:rPr>
        <w:t> </w:t>
      </w:r>
      <w:r>
        <w:rPr>
          <w:color w:val="231F20"/>
        </w:rPr>
        <w:t>corresponden</w:t>
      </w:r>
      <w:r>
        <w:rPr>
          <w:color w:val="231F20"/>
          <w:spacing w:val="-4"/>
        </w:rPr>
        <w:t> </w:t>
      </w:r>
      <w:r>
        <w:rPr>
          <w:color w:val="231F20"/>
        </w:rPr>
        <w:t>con</w:t>
      </w:r>
      <w:r>
        <w:rPr>
          <w:color w:val="231F20"/>
          <w:spacing w:val="-4"/>
        </w:rPr>
        <w:t> </w:t>
      </w:r>
      <w:r>
        <w:rPr>
          <w:color w:val="231F20"/>
        </w:rPr>
        <w:t>las</w:t>
      </w:r>
      <w:r>
        <w:rPr>
          <w:color w:val="231F20"/>
          <w:spacing w:val="-4"/>
        </w:rPr>
        <w:t> </w:t>
      </w:r>
      <w:r>
        <w:rPr>
          <w:color w:val="231F20"/>
        </w:rPr>
        <w:t>fases recesivas</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economía</w:t>
      </w:r>
      <w:r>
        <w:rPr>
          <w:color w:val="231F20"/>
          <w:spacing w:val="-6"/>
        </w:rPr>
        <w:t> </w:t>
      </w:r>
      <w:r>
        <w:rPr>
          <w:color w:val="231F20"/>
        </w:rPr>
        <w:t>mexicana,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spacing w:val="-8"/>
        </w:rPr>
        <w:t>y,</w:t>
      </w:r>
      <w:r>
        <w:rPr>
          <w:color w:val="231F20"/>
          <w:spacing w:val="-6"/>
        </w:rPr>
        <w:t> </w:t>
      </w:r>
      <w:r>
        <w:rPr>
          <w:color w:val="231F20"/>
        </w:rPr>
        <w:t>en</w:t>
      </w:r>
      <w:r>
        <w:rPr>
          <w:color w:val="231F20"/>
          <w:spacing w:val="-6"/>
        </w:rPr>
        <w:t> </w:t>
      </w:r>
      <w:r>
        <w:rPr>
          <w:color w:val="231F20"/>
        </w:rPr>
        <w:t>específico,</w:t>
      </w:r>
      <w:r>
        <w:rPr>
          <w:color w:val="231F20"/>
          <w:spacing w:val="-6"/>
        </w:rPr>
        <w:t> </w:t>
      </w:r>
      <w:r>
        <w:rPr>
          <w:color w:val="231F20"/>
        </w:rPr>
        <w:t>el sector automotriz no son</w:t>
      </w:r>
      <w:r>
        <w:rPr>
          <w:color w:val="231F20"/>
          <w:spacing w:val="2"/>
        </w:rPr>
        <w:t> </w:t>
      </w:r>
      <w:r>
        <w:rPr>
          <w:color w:val="231F20"/>
        </w:rPr>
        <w:t>ajenos.</w:t>
      </w:r>
    </w:p>
    <w:p>
      <w:pPr>
        <w:pStyle w:val="BodyText"/>
        <w:spacing w:line="278" w:lineRule="auto" w:before="1"/>
        <w:ind w:left="103" w:right="711" w:firstLine="396"/>
        <w:jc w:val="both"/>
      </w:pPr>
      <w:r>
        <w:rPr>
          <w:color w:val="231F20"/>
        </w:rPr>
        <w:t>El incremento atípico del 2000 se debió a que, después de la crisis de 1995, la recuperación del sector ocurrió de manera lenta, especialmente porque la producción de</w:t>
      </w:r>
      <w:r>
        <w:rPr>
          <w:color w:val="231F20"/>
          <w:spacing w:val="-10"/>
        </w:rPr>
        <w:t> </w:t>
      </w:r>
      <w:r>
        <w:rPr>
          <w:color w:val="231F20"/>
        </w:rPr>
        <w:t>autos</w:t>
      </w:r>
      <w:r>
        <w:rPr>
          <w:color w:val="231F20"/>
          <w:spacing w:val="-10"/>
        </w:rPr>
        <w:t> </w:t>
      </w:r>
      <w:r>
        <w:rPr>
          <w:color w:val="231F20"/>
        </w:rPr>
        <w:t>siguió</w:t>
      </w:r>
      <w:r>
        <w:rPr>
          <w:color w:val="231F20"/>
          <w:spacing w:val="-10"/>
        </w:rPr>
        <w:t> </w:t>
      </w:r>
      <w:r>
        <w:rPr>
          <w:color w:val="231F20"/>
        </w:rPr>
        <w:t>cayendo</w:t>
      </w:r>
      <w:r>
        <w:rPr>
          <w:color w:val="231F20"/>
          <w:spacing w:val="-10"/>
        </w:rPr>
        <w:t> </w:t>
      </w:r>
      <w:r>
        <w:rPr>
          <w:color w:val="231F20"/>
        </w:rPr>
        <w:t>hasta</w:t>
      </w:r>
      <w:r>
        <w:rPr>
          <w:color w:val="231F20"/>
          <w:spacing w:val="-10"/>
        </w:rPr>
        <w:t> </w:t>
      </w:r>
      <w:r>
        <w:rPr>
          <w:color w:val="231F20"/>
        </w:rPr>
        <w:t>1998</w:t>
      </w:r>
      <w:r>
        <w:rPr>
          <w:color w:val="231F20"/>
          <w:spacing w:val="-10"/>
        </w:rPr>
        <w:t> </w:t>
      </w:r>
      <w:r>
        <w:rPr>
          <w:color w:val="231F20"/>
        </w:rPr>
        <w:t>(véase</w:t>
      </w:r>
      <w:r>
        <w:rPr>
          <w:color w:val="231F20"/>
          <w:spacing w:val="-10"/>
        </w:rPr>
        <w:t> </w:t>
      </w:r>
      <w:r>
        <w:rPr>
          <w:color w:val="231F20"/>
        </w:rPr>
        <w:t>gráfica</w:t>
      </w:r>
      <w:r>
        <w:rPr>
          <w:color w:val="231F20"/>
          <w:spacing w:val="-10"/>
        </w:rPr>
        <w:t> </w:t>
      </w:r>
      <w:r>
        <w:rPr>
          <w:color w:val="231F20"/>
          <w:spacing w:val="-7"/>
        </w:rPr>
        <w:t>IV.2)</w:t>
      </w:r>
      <w:r>
        <w:rPr>
          <w:color w:val="231F20"/>
          <w:spacing w:val="-10"/>
        </w:rPr>
        <w:t> </w:t>
      </w:r>
      <w:r>
        <w:rPr>
          <w:color w:val="231F20"/>
        </w:rPr>
        <w:t>y</w:t>
      </w:r>
      <w:r>
        <w:rPr>
          <w:color w:val="231F20"/>
          <w:spacing w:val="-10"/>
        </w:rPr>
        <w:t> </w:t>
      </w:r>
      <w:r>
        <w:rPr>
          <w:color w:val="231F20"/>
        </w:rPr>
        <w:t>fue</w:t>
      </w:r>
      <w:r>
        <w:rPr>
          <w:color w:val="231F20"/>
          <w:spacing w:val="-10"/>
        </w:rPr>
        <w:t> </w:t>
      </w:r>
      <w:r>
        <w:rPr>
          <w:color w:val="231F20"/>
        </w:rPr>
        <w:t>hasta</w:t>
      </w:r>
      <w:r>
        <w:rPr>
          <w:color w:val="231F20"/>
          <w:spacing w:val="-10"/>
        </w:rPr>
        <w:t> </w:t>
      </w:r>
      <w:r>
        <w:rPr>
          <w:color w:val="231F20"/>
        </w:rPr>
        <w:t>el</w:t>
      </w:r>
      <w:r>
        <w:rPr>
          <w:color w:val="231F20"/>
          <w:spacing w:val="-10"/>
        </w:rPr>
        <w:t> </w:t>
      </w:r>
      <w:r>
        <w:rPr>
          <w:color w:val="231F20"/>
        </w:rPr>
        <w:t>2000</w:t>
      </w:r>
      <w:r>
        <w:rPr>
          <w:color w:val="231F20"/>
          <w:spacing w:val="-10"/>
        </w:rPr>
        <w:t> </w:t>
      </w:r>
      <w:r>
        <w:rPr>
          <w:color w:val="231F20"/>
        </w:rPr>
        <w:t>que</w:t>
      </w:r>
      <w:r>
        <w:rPr>
          <w:color w:val="231F20"/>
          <w:spacing w:val="-10"/>
        </w:rPr>
        <w:t> </w:t>
      </w:r>
      <w:r>
        <w:rPr>
          <w:color w:val="231F20"/>
        </w:rPr>
        <w:t>tuvo</w:t>
      </w:r>
      <w:r>
        <w:rPr>
          <w:color w:val="231F20"/>
          <w:spacing w:val="-10"/>
        </w:rPr>
        <w:t> </w:t>
      </w:r>
      <w:r>
        <w:rPr>
          <w:color w:val="231F20"/>
        </w:rPr>
        <w:t>un repunte</w:t>
      </w:r>
      <w:r>
        <w:rPr>
          <w:color w:val="231F20"/>
          <w:spacing w:val="-8"/>
        </w:rPr>
        <w:t> </w:t>
      </w:r>
      <w:r>
        <w:rPr>
          <w:color w:val="231F20"/>
        </w:rPr>
        <w:t>importante,</w:t>
      </w:r>
      <w:r>
        <w:rPr>
          <w:color w:val="231F20"/>
          <w:spacing w:val="-8"/>
        </w:rPr>
        <w:t> </w:t>
      </w:r>
      <w:r>
        <w:rPr>
          <w:color w:val="231F20"/>
        </w:rPr>
        <w:t>el</w:t>
      </w:r>
      <w:r>
        <w:rPr>
          <w:color w:val="231F20"/>
          <w:spacing w:val="-8"/>
        </w:rPr>
        <w:t> </w:t>
      </w:r>
      <w:r>
        <w:rPr>
          <w:color w:val="231F20"/>
        </w:rPr>
        <w:t>cual</w:t>
      </w:r>
      <w:r>
        <w:rPr>
          <w:color w:val="231F20"/>
          <w:spacing w:val="-8"/>
        </w:rPr>
        <w:t> </w:t>
      </w:r>
      <w:r>
        <w:rPr>
          <w:color w:val="231F20"/>
        </w:rPr>
        <w:t>coincidió</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recuperación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producción</w:t>
      </w:r>
      <w:r>
        <w:rPr>
          <w:color w:val="231F20"/>
          <w:spacing w:val="-8"/>
        </w:rPr>
        <w:t> </w:t>
      </w:r>
      <w:r>
        <w:rPr>
          <w:color w:val="231F20"/>
        </w:rPr>
        <w:t>total</w:t>
      </w:r>
      <w:r>
        <w:rPr>
          <w:color w:val="231F20"/>
          <w:spacing w:val="-8"/>
        </w:rPr>
        <w:t> </w:t>
      </w:r>
      <w:r>
        <w:rPr>
          <w:color w:val="231F20"/>
        </w:rPr>
        <w:t>y</w:t>
      </w:r>
      <w:r>
        <w:rPr>
          <w:color w:val="231F20"/>
          <w:spacing w:val="-8"/>
        </w:rPr>
        <w:t> </w:t>
      </w:r>
      <w:r>
        <w:rPr>
          <w:color w:val="231F20"/>
        </w:rPr>
        <w:t>de</w:t>
      </w:r>
      <w:r>
        <w:rPr>
          <w:color w:val="231F20"/>
          <w:spacing w:val="-8"/>
        </w:rPr>
        <w:t> </w:t>
      </w:r>
      <w:r>
        <w:rPr>
          <w:color w:val="231F20"/>
        </w:rPr>
        <w:t>la manufactura. </w:t>
      </w:r>
      <w:r>
        <w:rPr>
          <w:color w:val="231F20"/>
          <w:spacing w:val="-4"/>
        </w:rPr>
        <w:t>Pero, </w:t>
      </w:r>
      <w:r>
        <w:rPr>
          <w:color w:val="231F20"/>
        </w:rPr>
        <w:t>sobre todo, este incremento tan fuerte se explica porque de 1995 a 1999 Chrysler prácticamente no tuvo producción de vehículos en su planta de </w:t>
      </w:r>
      <w:r>
        <w:rPr>
          <w:color w:val="231F20"/>
          <w:spacing w:val="-4"/>
        </w:rPr>
        <w:t>Toluca; </w:t>
      </w:r>
      <w:r>
        <w:rPr>
          <w:color w:val="231F20"/>
        </w:rPr>
        <w:t>la retomó en el 2000, año en que reportó una producción de 344, 424 unidades (véase cuadro</w:t>
      </w:r>
      <w:r>
        <w:rPr>
          <w:color w:val="231F20"/>
          <w:spacing w:val="-8"/>
        </w:rPr>
        <w:t> </w:t>
      </w:r>
      <w:r>
        <w:rPr>
          <w:color w:val="231F20"/>
          <w:spacing w:val="-6"/>
        </w:rPr>
        <w:t>IV.4).</w:t>
      </w:r>
      <w:r>
        <w:rPr>
          <w:color w:val="231F20"/>
          <w:spacing w:val="-8"/>
        </w:rPr>
        <w:t> </w:t>
      </w:r>
      <w:r>
        <w:rPr>
          <w:color w:val="231F20"/>
        </w:rPr>
        <w:t>Fuera</w:t>
      </w:r>
      <w:r>
        <w:rPr>
          <w:color w:val="231F20"/>
          <w:spacing w:val="-8"/>
        </w:rPr>
        <w:t> </w:t>
      </w:r>
      <w:r>
        <w:rPr>
          <w:color w:val="231F20"/>
        </w:rPr>
        <w:t>de</w:t>
      </w:r>
      <w:r>
        <w:rPr>
          <w:color w:val="231F20"/>
          <w:spacing w:val="-8"/>
        </w:rPr>
        <w:t> </w:t>
      </w:r>
      <w:r>
        <w:rPr>
          <w:color w:val="231F20"/>
          <w:spacing w:val="-3"/>
        </w:rPr>
        <w:t>esto,</w:t>
      </w:r>
      <w:r>
        <w:rPr>
          <w:color w:val="231F20"/>
          <w:spacing w:val="-8"/>
        </w:rPr>
        <w:t> </w:t>
      </w:r>
      <w:r>
        <w:rPr>
          <w:color w:val="231F20"/>
        </w:rPr>
        <w:t>los</w:t>
      </w:r>
      <w:r>
        <w:rPr>
          <w:color w:val="231F20"/>
          <w:spacing w:val="-8"/>
        </w:rPr>
        <w:t> </w:t>
      </w:r>
      <w:r>
        <w:rPr>
          <w:color w:val="231F20"/>
        </w:rPr>
        <w:t>datos</w:t>
      </w:r>
      <w:r>
        <w:rPr>
          <w:color w:val="231F20"/>
          <w:spacing w:val="-8"/>
        </w:rPr>
        <w:t> </w:t>
      </w:r>
      <w:r>
        <w:rPr>
          <w:color w:val="231F20"/>
        </w:rPr>
        <w:t>dejan</w:t>
      </w:r>
      <w:r>
        <w:rPr>
          <w:color w:val="231F20"/>
          <w:spacing w:val="-8"/>
        </w:rPr>
        <w:t> </w:t>
      </w:r>
      <w:r>
        <w:rPr>
          <w:color w:val="231F20"/>
        </w:rPr>
        <w:t>ver</w:t>
      </w:r>
      <w:r>
        <w:rPr>
          <w:color w:val="231F20"/>
          <w:spacing w:val="-8"/>
        </w:rPr>
        <w:t> </w:t>
      </w:r>
      <w:r>
        <w:rPr>
          <w:color w:val="231F20"/>
        </w:rPr>
        <w:t>que</w:t>
      </w:r>
      <w:r>
        <w:rPr>
          <w:color w:val="231F20"/>
          <w:spacing w:val="-8"/>
        </w:rPr>
        <w:t> </w:t>
      </w:r>
      <w:r>
        <w:rPr>
          <w:color w:val="231F20"/>
        </w:rPr>
        <w:t>en</w:t>
      </w:r>
      <w:r>
        <w:rPr>
          <w:color w:val="231F20"/>
          <w:spacing w:val="-8"/>
        </w:rPr>
        <w:t> </w:t>
      </w:r>
      <w:r>
        <w:rPr>
          <w:color w:val="231F20"/>
        </w:rPr>
        <w:t>estas</w:t>
      </w:r>
      <w:r>
        <w:rPr>
          <w:color w:val="231F20"/>
          <w:spacing w:val="-8"/>
        </w:rPr>
        <w:t> </w:t>
      </w:r>
      <w:r>
        <w:rPr>
          <w:color w:val="231F20"/>
        </w:rPr>
        <w:t>dos</w:t>
      </w:r>
      <w:r>
        <w:rPr>
          <w:color w:val="231F20"/>
          <w:spacing w:val="-8"/>
        </w:rPr>
        <w:t> </w:t>
      </w:r>
      <w:r>
        <w:rPr>
          <w:color w:val="231F20"/>
        </w:rPr>
        <w:t>décadas</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auto- motriz en el estado ha tenido un escaso o nulo</w:t>
      </w:r>
      <w:r>
        <w:rPr>
          <w:color w:val="231F20"/>
          <w:spacing w:val="-9"/>
        </w:rPr>
        <w:t> </w:t>
      </w:r>
      <w:r>
        <w:rPr>
          <w:color w:val="231F20"/>
        </w:rPr>
        <w:t>crecimiento.</w:t>
      </w:r>
    </w:p>
    <w:p>
      <w:pPr>
        <w:spacing w:after="0" w:line="278" w:lineRule="auto"/>
        <w:jc w:val="both"/>
        <w:sectPr>
          <w:headerReference w:type="default" r:id="rId226"/>
          <w:headerReference w:type="even" r:id="rId227"/>
          <w:footerReference w:type="default" r:id="rId228"/>
          <w:footerReference w:type="even" r:id="rId229"/>
          <w:pgSz w:w="9640" w:h="13040"/>
          <w:pgMar w:header="520" w:footer="654" w:top="880" w:bottom="840" w:left="1200" w:right="420"/>
        </w:sectPr>
      </w:pPr>
    </w:p>
    <w:p>
      <w:pPr>
        <w:pStyle w:val="BodyText"/>
        <w:rPr>
          <w:sz w:val="20"/>
        </w:rPr>
      </w:pPr>
    </w:p>
    <w:p>
      <w:pPr>
        <w:pStyle w:val="BodyText"/>
        <w:spacing w:before="3"/>
        <w:rPr>
          <w:sz w:val="20"/>
        </w:rPr>
      </w:pPr>
    </w:p>
    <w:p>
      <w:pPr>
        <w:pStyle w:val="Heading4"/>
        <w:spacing w:before="34"/>
        <w:ind w:left="775" w:right="166"/>
      </w:pPr>
      <w:r>
        <w:rPr>
          <w:color w:val="231F20"/>
          <w:w w:val="90"/>
        </w:rPr>
        <w:t>Gráfica IV.2</w:t>
      </w:r>
    </w:p>
    <w:p>
      <w:pPr>
        <w:spacing w:line="282" w:lineRule="exact" w:before="0"/>
        <w:ind w:left="775" w:right="166" w:firstLine="0"/>
        <w:jc w:val="center"/>
        <w:rPr>
          <w:rFonts w:ascii="Palatino Linotype" w:hAnsi="Palatino Linotype"/>
          <w:b/>
          <w:sz w:val="21"/>
        </w:rPr>
      </w:pPr>
      <w:r>
        <w:rPr>
          <w:rFonts w:ascii="Palatino Linotype" w:hAnsi="Palatino Linotype"/>
          <w:b/>
          <w:color w:val="231F20"/>
          <w:w w:val="95"/>
          <w:sz w:val="21"/>
        </w:rPr>
        <w:t>Estado de México: producción total de vehículos, 1988-2008</w:t>
      </w:r>
    </w:p>
    <w:p>
      <w:pPr>
        <w:spacing w:before="17"/>
        <w:ind w:left="775" w:right="166" w:firstLine="0"/>
        <w:jc w:val="center"/>
        <w:rPr>
          <w:rFonts w:ascii="Palatino Linotype"/>
          <w:b/>
          <w:sz w:val="19"/>
        </w:rPr>
      </w:pPr>
      <w:r>
        <w:rPr>
          <w:rFonts w:ascii="Palatino Linotype"/>
          <w:b/>
          <w:color w:val="231F20"/>
          <w:w w:val="90"/>
          <w:sz w:val="19"/>
        </w:rPr>
        <w:t>(Tasa de crecimiento media anual)</w:t>
      </w:r>
    </w:p>
    <w:p>
      <w:pPr>
        <w:pStyle w:val="BodyText"/>
        <w:spacing w:before="2"/>
        <w:rPr>
          <w:rFonts w:ascii="Palatino Linotype"/>
          <w:b/>
          <w:sz w:val="26"/>
        </w:rPr>
      </w:pPr>
    </w:p>
    <w:p>
      <w:pPr>
        <w:spacing w:before="70"/>
        <w:ind w:left="816" w:right="1617" w:firstLine="0"/>
        <w:jc w:val="left"/>
        <w:rPr>
          <w:sz w:val="19"/>
        </w:rPr>
      </w:pPr>
      <w:r>
        <w:rPr/>
        <w:pict>
          <v:group style="position:absolute;margin-left:83.363068pt;margin-top:8.765595pt;width:331.6pt;height:125.15pt;mso-position-horizontal-relative:page;mso-position-vertical-relative:paragraph;z-index:9832" coordorigin="1667,175" coordsize="6632,2503">
            <v:shape style="position:absolute;left:0;top:7079;width:9731;height:3502" coordorigin="0,7079" coordsize="9731,3502" path="m1675,189l8291,189m1675,681l8291,681m1675,1195l8291,1195m1675,1687l8291,1687m1675,2670l8291,2670m1675,2178l8291,2178m1675,2670l1675,182e" filled="false" stroked="true" strokeweight=".715372pt" strokecolor="#989b9d">
              <v:path arrowok="t"/>
            </v:shape>
            <v:shape style="position:absolute;left:1836;top:737;width:6295;height:1721" coordorigin="1836,737" coordsize="6295,1721" path="m1836,1988l2171,2190,2507,2078,2829,2123,3165,2324,3486,2301,3822,2458,4158,2011,4479,2123,4815,2324,5151,1988,5473,737,5808,2190,6144,2212,6466,2257,6802,2145,7137,2123,7459,2279,7795,2301,8130,2055e" filled="false" stroked="true" strokeweight="1.456985pt" strokecolor="#5c5d5f">
              <v:path arrowok="t"/>
            </v:shape>
            <w10:wrap type="none"/>
          </v:group>
        </w:pict>
      </w:r>
      <w:r>
        <w:rPr>
          <w:color w:val="231F20"/>
          <w:sz w:val="19"/>
        </w:rPr>
        <w:t>400</w:t>
      </w:r>
    </w:p>
    <w:p>
      <w:pPr>
        <w:pStyle w:val="BodyText"/>
        <w:spacing w:before="6"/>
        <w:rPr>
          <w:sz w:val="17"/>
        </w:rPr>
      </w:pPr>
    </w:p>
    <w:p>
      <w:pPr>
        <w:spacing w:before="69"/>
        <w:ind w:left="816" w:right="1617" w:firstLine="0"/>
        <w:jc w:val="left"/>
        <w:rPr>
          <w:sz w:val="19"/>
        </w:rPr>
      </w:pPr>
      <w:r>
        <w:rPr>
          <w:color w:val="231F20"/>
          <w:sz w:val="19"/>
        </w:rPr>
        <w:t>300</w:t>
      </w:r>
    </w:p>
    <w:p>
      <w:pPr>
        <w:pStyle w:val="BodyText"/>
        <w:spacing w:before="3"/>
        <w:rPr>
          <w:sz w:val="18"/>
        </w:rPr>
      </w:pPr>
    </w:p>
    <w:p>
      <w:pPr>
        <w:spacing w:before="69"/>
        <w:ind w:left="816" w:right="1617" w:firstLine="0"/>
        <w:jc w:val="left"/>
        <w:rPr>
          <w:sz w:val="19"/>
        </w:rPr>
      </w:pPr>
      <w:r>
        <w:rPr>
          <w:color w:val="231F20"/>
          <w:sz w:val="19"/>
        </w:rPr>
        <w:t>200</w:t>
      </w:r>
    </w:p>
    <w:p>
      <w:pPr>
        <w:pStyle w:val="BodyText"/>
        <w:spacing w:before="8"/>
        <w:rPr>
          <w:sz w:val="20"/>
        </w:rPr>
      </w:pPr>
    </w:p>
    <w:p>
      <w:pPr>
        <w:spacing w:before="69"/>
        <w:ind w:left="816" w:right="1617" w:firstLine="0"/>
        <w:jc w:val="left"/>
        <w:rPr>
          <w:sz w:val="19"/>
        </w:rPr>
      </w:pPr>
      <w:r>
        <w:rPr>
          <w:color w:val="231F20"/>
          <w:sz w:val="19"/>
        </w:rPr>
        <w:t>100</w:t>
      </w:r>
    </w:p>
    <w:p>
      <w:pPr>
        <w:pStyle w:val="BodyText"/>
        <w:spacing w:before="3"/>
        <w:rPr>
          <w:sz w:val="14"/>
        </w:rPr>
      </w:pPr>
    </w:p>
    <w:p>
      <w:pPr>
        <w:spacing w:before="69"/>
        <w:ind w:left="1003" w:right="0" w:firstLine="0"/>
        <w:jc w:val="left"/>
        <w:rPr>
          <w:sz w:val="19"/>
        </w:rPr>
      </w:pPr>
      <w:r>
        <w:rPr>
          <w:color w:val="231F20"/>
          <w:w w:val="95"/>
          <w:sz w:val="19"/>
        </w:rPr>
        <w:t>0</w:t>
      </w:r>
    </w:p>
    <w:p>
      <w:pPr>
        <w:pStyle w:val="BodyText"/>
        <w:spacing w:before="6"/>
      </w:pPr>
    </w:p>
    <w:p>
      <w:pPr>
        <w:spacing w:before="69"/>
        <w:ind w:left="753" w:right="1617" w:firstLine="0"/>
        <w:jc w:val="left"/>
        <w:rPr>
          <w:sz w:val="19"/>
        </w:rPr>
      </w:pPr>
      <w:r>
        <w:rPr/>
        <w:pict>
          <v:shape style="position:absolute;margin-left:87.304298pt;margin-top:13.322307pt;width:325.9pt;height:27.6pt;mso-position-horizontal-relative:page;mso-position-vertical-relative:paragraph;z-index:9856" type="#_x0000_t202" filled="false" stroked="false">
            <v:textbox inset="0,0,0,0" style="layout-flow:vertical;mso-layout-flow-alt:bottom-to-top">
              <w:txbxContent>
                <w:p>
                  <w:pPr>
                    <w:spacing w:line="199" w:lineRule="exact" w:before="0"/>
                    <w:ind w:left="73" w:right="0" w:firstLine="0"/>
                    <w:jc w:val="left"/>
                    <w:rPr>
                      <w:sz w:val="18"/>
                    </w:rPr>
                  </w:pPr>
                  <w:r>
                    <w:rPr>
                      <w:color w:val="231F20"/>
                      <w:spacing w:val="7"/>
                      <w:w w:val="106"/>
                      <w:sz w:val="18"/>
                    </w:rPr>
                    <w:t>8</w:t>
                  </w:r>
                  <w:r>
                    <w:rPr>
                      <w:color w:val="231F20"/>
                      <w:spacing w:val="-8"/>
                      <w:w w:val="106"/>
                      <w:sz w:val="18"/>
                    </w:rPr>
                    <w:t>8</w:t>
                  </w:r>
                  <w:r>
                    <w:rPr>
                      <w:color w:val="231F20"/>
                      <w:spacing w:val="9"/>
                      <w:w w:val="106"/>
                      <w:sz w:val="18"/>
                    </w:rPr>
                    <w:t>-</w:t>
                  </w:r>
                  <w:r>
                    <w:rPr>
                      <w:color w:val="231F20"/>
                      <w:spacing w:val="-8"/>
                      <w:w w:val="106"/>
                      <w:sz w:val="18"/>
                    </w:rPr>
                    <w:t>8</w:t>
                  </w:r>
                  <w:r>
                    <w:rPr>
                      <w:color w:val="231F20"/>
                      <w:w w:val="106"/>
                      <w:sz w:val="18"/>
                    </w:rPr>
                    <w:t>9</w:t>
                  </w:r>
                </w:p>
                <w:p>
                  <w:pPr>
                    <w:spacing w:before="124"/>
                    <w:ind w:left="73" w:right="0" w:firstLine="0"/>
                    <w:jc w:val="left"/>
                    <w:rPr>
                      <w:sz w:val="18"/>
                    </w:rPr>
                  </w:pPr>
                  <w:r>
                    <w:rPr>
                      <w:color w:val="231F20"/>
                      <w:spacing w:val="7"/>
                      <w:w w:val="106"/>
                      <w:sz w:val="18"/>
                    </w:rPr>
                    <w:t>8</w:t>
                  </w:r>
                  <w:r>
                    <w:rPr>
                      <w:color w:val="231F20"/>
                      <w:spacing w:val="-8"/>
                      <w:w w:val="106"/>
                      <w:sz w:val="18"/>
                    </w:rPr>
                    <w:t>9</w:t>
                  </w:r>
                  <w:r>
                    <w:rPr>
                      <w:color w:val="231F20"/>
                      <w:spacing w:val="9"/>
                      <w:w w:val="106"/>
                      <w:sz w:val="18"/>
                    </w:rPr>
                    <w:t>-</w:t>
                  </w:r>
                  <w:r>
                    <w:rPr>
                      <w:color w:val="231F20"/>
                      <w:spacing w:val="-8"/>
                      <w:w w:val="106"/>
                      <w:sz w:val="18"/>
                    </w:rPr>
                    <w:t>9</w:t>
                  </w:r>
                  <w:r>
                    <w:rPr>
                      <w:color w:val="231F20"/>
                      <w:w w:val="106"/>
                      <w:sz w:val="18"/>
                    </w:rPr>
                    <w:t>0</w:t>
                  </w:r>
                </w:p>
                <w:p>
                  <w:pPr>
                    <w:spacing w:before="124"/>
                    <w:ind w:left="73" w:right="0" w:firstLine="0"/>
                    <w:jc w:val="left"/>
                    <w:rPr>
                      <w:sz w:val="18"/>
                    </w:rPr>
                  </w:pPr>
                  <w:r>
                    <w:rPr>
                      <w:color w:val="231F20"/>
                      <w:spacing w:val="7"/>
                      <w:w w:val="106"/>
                      <w:sz w:val="18"/>
                    </w:rPr>
                    <w:t>9</w:t>
                  </w:r>
                  <w:r>
                    <w:rPr>
                      <w:color w:val="231F20"/>
                      <w:spacing w:val="-8"/>
                      <w:w w:val="106"/>
                      <w:sz w:val="18"/>
                    </w:rPr>
                    <w:t>0</w:t>
                  </w:r>
                  <w:r>
                    <w:rPr>
                      <w:color w:val="231F20"/>
                      <w:spacing w:val="9"/>
                      <w:w w:val="106"/>
                      <w:sz w:val="18"/>
                    </w:rPr>
                    <w:t>-</w:t>
                  </w:r>
                  <w:r>
                    <w:rPr>
                      <w:color w:val="231F20"/>
                      <w:spacing w:val="-8"/>
                      <w:w w:val="106"/>
                      <w:sz w:val="18"/>
                    </w:rPr>
                    <w:t>9</w:t>
                  </w:r>
                  <w:r>
                    <w:rPr>
                      <w:color w:val="231F20"/>
                      <w:w w:val="106"/>
                      <w:sz w:val="18"/>
                    </w:rPr>
                    <w:t>1</w:t>
                  </w:r>
                </w:p>
                <w:p>
                  <w:pPr>
                    <w:spacing w:before="124"/>
                    <w:ind w:left="73" w:right="0" w:firstLine="0"/>
                    <w:jc w:val="left"/>
                    <w:rPr>
                      <w:sz w:val="18"/>
                    </w:rPr>
                  </w:pPr>
                  <w:r>
                    <w:rPr>
                      <w:color w:val="231F20"/>
                      <w:spacing w:val="7"/>
                      <w:w w:val="106"/>
                      <w:sz w:val="18"/>
                    </w:rPr>
                    <w:t>9</w:t>
                  </w:r>
                  <w:r>
                    <w:rPr>
                      <w:color w:val="231F20"/>
                      <w:spacing w:val="-8"/>
                      <w:w w:val="106"/>
                      <w:sz w:val="18"/>
                    </w:rPr>
                    <w:t>1</w:t>
                  </w:r>
                  <w:r>
                    <w:rPr>
                      <w:color w:val="231F20"/>
                      <w:spacing w:val="9"/>
                      <w:w w:val="106"/>
                      <w:sz w:val="18"/>
                    </w:rPr>
                    <w:t>-</w:t>
                  </w:r>
                  <w:r>
                    <w:rPr>
                      <w:color w:val="231F20"/>
                      <w:spacing w:val="-8"/>
                      <w:w w:val="106"/>
                      <w:sz w:val="18"/>
                    </w:rPr>
                    <w:t>9</w:t>
                  </w:r>
                  <w:r>
                    <w:rPr>
                      <w:color w:val="231F20"/>
                      <w:w w:val="106"/>
                      <w:sz w:val="18"/>
                    </w:rPr>
                    <w:t>2</w:t>
                  </w:r>
                </w:p>
                <w:p>
                  <w:pPr>
                    <w:spacing w:before="124"/>
                    <w:ind w:left="73" w:right="0" w:firstLine="0"/>
                    <w:jc w:val="left"/>
                    <w:rPr>
                      <w:sz w:val="18"/>
                    </w:rPr>
                  </w:pPr>
                  <w:r>
                    <w:rPr>
                      <w:color w:val="231F20"/>
                      <w:spacing w:val="7"/>
                      <w:w w:val="106"/>
                      <w:sz w:val="18"/>
                    </w:rPr>
                    <w:t>9</w:t>
                  </w:r>
                  <w:r>
                    <w:rPr>
                      <w:color w:val="231F20"/>
                      <w:spacing w:val="-8"/>
                      <w:w w:val="106"/>
                      <w:sz w:val="18"/>
                    </w:rPr>
                    <w:t>2</w:t>
                  </w:r>
                  <w:r>
                    <w:rPr>
                      <w:color w:val="231F20"/>
                      <w:spacing w:val="9"/>
                      <w:w w:val="106"/>
                      <w:sz w:val="18"/>
                    </w:rPr>
                    <w:t>-</w:t>
                  </w:r>
                  <w:r>
                    <w:rPr>
                      <w:color w:val="231F20"/>
                      <w:spacing w:val="-8"/>
                      <w:w w:val="106"/>
                      <w:sz w:val="18"/>
                    </w:rPr>
                    <w:t>9</w:t>
                  </w:r>
                  <w:r>
                    <w:rPr>
                      <w:color w:val="231F20"/>
                      <w:w w:val="106"/>
                      <w:sz w:val="18"/>
                    </w:rPr>
                    <w:t>3</w:t>
                  </w:r>
                </w:p>
                <w:p>
                  <w:pPr>
                    <w:spacing w:before="124"/>
                    <w:ind w:left="73" w:right="0" w:firstLine="0"/>
                    <w:jc w:val="left"/>
                    <w:rPr>
                      <w:sz w:val="18"/>
                    </w:rPr>
                  </w:pPr>
                  <w:r>
                    <w:rPr>
                      <w:color w:val="231F20"/>
                      <w:spacing w:val="7"/>
                      <w:w w:val="106"/>
                      <w:sz w:val="18"/>
                    </w:rPr>
                    <w:t>9</w:t>
                  </w:r>
                  <w:r>
                    <w:rPr>
                      <w:color w:val="231F20"/>
                      <w:spacing w:val="-8"/>
                      <w:w w:val="106"/>
                      <w:sz w:val="18"/>
                    </w:rPr>
                    <w:t>3</w:t>
                  </w:r>
                  <w:r>
                    <w:rPr>
                      <w:color w:val="231F20"/>
                      <w:spacing w:val="9"/>
                      <w:w w:val="106"/>
                      <w:sz w:val="18"/>
                    </w:rPr>
                    <w:t>-</w:t>
                  </w:r>
                  <w:r>
                    <w:rPr>
                      <w:color w:val="231F20"/>
                      <w:spacing w:val="-8"/>
                      <w:w w:val="106"/>
                      <w:sz w:val="18"/>
                    </w:rPr>
                    <w:t>9</w:t>
                  </w:r>
                  <w:r>
                    <w:rPr>
                      <w:color w:val="231F20"/>
                      <w:w w:val="106"/>
                      <w:sz w:val="18"/>
                    </w:rPr>
                    <w:t>4</w:t>
                  </w:r>
                </w:p>
                <w:p>
                  <w:pPr>
                    <w:spacing w:before="124"/>
                    <w:ind w:left="73" w:right="0" w:firstLine="0"/>
                    <w:jc w:val="left"/>
                    <w:rPr>
                      <w:sz w:val="18"/>
                    </w:rPr>
                  </w:pPr>
                  <w:r>
                    <w:rPr>
                      <w:color w:val="231F20"/>
                      <w:spacing w:val="7"/>
                      <w:w w:val="106"/>
                      <w:sz w:val="18"/>
                    </w:rPr>
                    <w:t>9</w:t>
                  </w:r>
                  <w:r>
                    <w:rPr>
                      <w:color w:val="231F20"/>
                      <w:spacing w:val="-8"/>
                      <w:w w:val="106"/>
                      <w:sz w:val="18"/>
                    </w:rPr>
                    <w:t>4</w:t>
                  </w:r>
                  <w:r>
                    <w:rPr>
                      <w:color w:val="231F20"/>
                      <w:spacing w:val="9"/>
                      <w:w w:val="106"/>
                      <w:sz w:val="18"/>
                    </w:rPr>
                    <w:t>-</w:t>
                  </w:r>
                  <w:r>
                    <w:rPr>
                      <w:color w:val="231F20"/>
                      <w:spacing w:val="-8"/>
                      <w:w w:val="106"/>
                      <w:sz w:val="18"/>
                    </w:rPr>
                    <w:t>9</w:t>
                  </w:r>
                  <w:r>
                    <w:rPr>
                      <w:color w:val="231F20"/>
                      <w:w w:val="106"/>
                      <w:sz w:val="18"/>
                    </w:rPr>
                    <w:t>5</w:t>
                  </w:r>
                </w:p>
                <w:p>
                  <w:pPr>
                    <w:spacing w:before="124"/>
                    <w:ind w:left="73" w:right="0" w:firstLine="0"/>
                    <w:jc w:val="left"/>
                    <w:rPr>
                      <w:sz w:val="18"/>
                    </w:rPr>
                  </w:pPr>
                  <w:r>
                    <w:rPr>
                      <w:color w:val="231F20"/>
                      <w:spacing w:val="7"/>
                      <w:w w:val="106"/>
                      <w:sz w:val="18"/>
                    </w:rPr>
                    <w:t>9</w:t>
                  </w:r>
                  <w:r>
                    <w:rPr>
                      <w:color w:val="231F20"/>
                      <w:spacing w:val="-8"/>
                      <w:w w:val="106"/>
                      <w:sz w:val="18"/>
                    </w:rPr>
                    <w:t>5</w:t>
                  </w:r>
                  <w:r>
                    <w:rPr>
                      <w:color w:val="231F20"/>
                      <w:spacing w:val="9"/>
                      <w:w w:val="106"/>
                      <w:sz w:val="18"/>
                    </w:rPr>
                    <w:t>-</w:t>
                  </w:r>
                  <w:r>
                    <w:rPr>
                      <w:color w:val="231F20"/>
                      <w:spacing w:val="-8"/>
                      <w:w w:val="106"/>
                      <w:sz w:val="18"/>
                    </w:rPr>
                    <w:t>9</w:t>
                  </w:r>
                  <w:r>
                    <w:rPr>
                      <w:color w:val="231F20"/>
                      <w:w w:val="106"/>
                      <w:sz w:val="18"/>
                    </w:rPr>
                    <w:t>6</w:t>
                  </w:r>
                </w:p>
                <w:p>
                  <w:pPr>
                    <w:spacing w:before="124"/>
                    <w:ind w:left="73" w:right="0" w:firstLine="0"/>
                    <w:jc w:val="left"/>
                    <w:rPr>
                      <w:sz w:val="18"/>
                    </w:rPr>
                  </w:pPr>
                  <w:r>
                    <w:rPr>
                      <w:color w:val="231F20"/>
                      <w:spacing w:val="7"/>
                      <w:w w:val="106"/>
                      <w:sz w:val="18"/>
                    </w:rPr>
                    <w:t>9</w:t>
                  </w:r>
                  <w:r>
                    <w:rPr>
                      <w:color w:val="231F20"/>
                      <w:spacing w:val="-8"/>
                      <w:w w:val="106"/>
                      <w:sz w:val="18"/>
                    </w:rPr>
                    <w:t>6</w:t>
                  </w:r>
                  <w:r>
                    <w:rPr>
                      <w:color w:val="231F20"/>
                      <w:spacing w:val="9"/>
                      <w:w w:val="106"/>
                      <w:sz w:val="18"/>
                    </w:rPr>
                    <w:t>-</w:t>
                  </w:r>
                  <w:r>
                    <w:rPr>
                      <w:color w:val="231F20"/>
                      <w:spacing w:val="-8"/>
                      <w:w w:val="106"/>
                      <w:sz w:val="18"/>
                    </w:rPr>
                    <w:t>9</w:t>
                  </w:r>
                  <w:r>
                    <w:rPr>
                      <w:color w:val="231F20"/>
                      <w:w w:val="106"/>
                      <w:sz w:val="18"/>
                    </w:rPr>
                    <w:t>7</w:t>
                  </w:r>
                </w:p>
                <w:p>
                  <w:pPr>
                    <w:spacing w:before="124"/>
                    <w:ind w:left="73" w:right="0" w:firstLine="0"/>
                    <w:jc w:val="left"/>
                    <w:rPr>
                      <w:sz w:val="18"/>
                    </w:rPr>
                  </w:pPr>
                  <w:r>
                    <w:rPr>
                      <w:color w:val="231F20"/>
                      <w:spacing w:val="7"/>
                      <w:w w:val="106"/>
                      <w:sz w:val="18"/>
                    </w:rPr>
                    <w:t>9</w:t>
                  </w:r>
                  <w:r>
                    <w:rPr>
                      <w:color w:val="231F20"/>
                      <w:spacing w:val="-8"/>
                      <w:w w:val="106"/>
                      <w:sz w:val="18"/>
                    </w:rPr>
                    <w:t>7</w:t>
                  </w:r>
                  <w:r>
                    <w:rPr>
                      <w:color w:val="231F20"/>
                      <w:spacing w:val="9"/>
                      <w:w w:val="106"/>
                      <w:sz w:val="18"/>
                    </w:rPr>
                    <w:t>-</w:t>
                  </w:r>
                  <w:r>
                    <w:rPr>
                      <w:color w:val="231F20"/>
                      <w:spacing w:val="-8"/>
                      <w:w w:val="106"/>
                      <w:sz w:val="18"/>
                    </w:rPr>
                    <w:t>9</w:t>
                  </w:r>
                  <w:r>
                    <w:rPr>
                      <w:color w:val="231F20"/>
                      <w:w w:val="106"/>
                      <w:sz w:val="18"/>
                    </w:rPr>
                    <w:t>8</w:t>
                  </w:r>
                </w:p>
                <w:p>
                  <w:pPr>
                    <w:spacing w:before="124"/>
                    <w:ind w:left="73" w:right="0" w:firstLine="0"/>
                    <w:jc w:val="left"/>
                    <w:rPr>
                      <w:sz w:val="18"/>
                    </w:rPr>
                  </w:pPr>
                  <w:r>
                    <w:rPr>
                      <w:color w:val="231F20"/>
                      <w:spacing w:val="7"/>
                      <w:w w:val="106"/>
                      <w:sz w:val="18"/>
                    </w:rPr>
                    <w:t>9</w:t>
                  </w:r>
                  <w:r>
                    <w:rPr>
                      <w:color w:val="231F20"/>
                      <w:spacing w:val="-8"/>
                      <w:w w:val="106"/>
                      <w:sz w:val="18"/>
                    </w:rPr>
                    <w:t>8</w:t>
                  </w:r>
                  <w:r>
                    <w:rPr>
                      <w:color w:val="231F20"/>
                      <w:spacing w:val="9"/>
                      <w:w w:val="106"/>
                      <w:sz w:val="18"/>
                    </w:rPr>
                    <w:t>-</w:t>
                  </w:r>
                  <w:r>
                    <w:rPr>
                      <w:color w:val="231F20"/>
                      <w:spacing w:val="-8"/>
                      <w:w w:val="106"/>
                      <w:sz w:val="18"/>
                    </w:rPr>
                    <w:t>9</w:t>
                  </w:r>
                  <w:r>
                    <w:rPr>
                      <w:color w:val="231F20"/>
                      <w:w w:val="106"/>
                      <w:sz w:val="18"/>
                    </w:rPr>
                    <w:t>9</w:t>
                  </w:r>
                </w:p>
                <w:p>
                  <w:pPr>
                    <w:spacing w:before="124"/>
                    <w:ind w:left="73" w:right="0" w:firstLine="0"/>
                    <w:jc w:val="left"/>
                    <w:rPr>
                      <w:sz w:val="18"/>
                    </w:rPr>
                  </w:pPr>
                  <w:r>
                    <w:rPr>
                      <w:color w:val="231F20"/>
                      <w:spacing w:val="7"/>
                      <w:w w:val="106"/>
                      <w:sz w:val="18"/>
                    </w:rPr>
                    <w:t>9</w:t>
                  </w:r>
                  <w:r>
                    <w:rPr>
                      <w:color w:val="231F20"/>
                      <w:spacing w:val="-8"/>
                      <w:w w:val="106"/>
                      <w:sz w:val="18"/>
                    </w:rPr>
                    <w:t>9</w:t>
                  </w:r>
                  <w:r>
                    <w:rPr>
                      <w:color w:val="231F20"/>
                      <w:spacing w:val="9"/>
                      <w:w w:val="106"/>
                      <w:sz w:val="18"/>
                    </w:rPr>
                    <w:t>-</w:t>
                  </w:r>
                  <w:r>
                    <w:rPr>
                      <w:color w:val="231F20"/>
                      <w:spacing w:val="-8"/>
                      <w:w w:val="106"/>
                      <w:sz w:val="18"/>
                    </w:rPr>
                    <w:t>0</w:t>
                  </w:r>
                  <w:r>
                    <w:rPr>
                      <w:color w:val="231F20"/>
                      <w:w w:val="106"/>
                      <w:sz w:val="18"/>
                    </w:rPr>
                    <w:t>0</w:t>
                  </w:r>
                </w:p>
                <w:p>
                  <w:pPr>
                    <w:spacing w:before="124"/>
                    <w:ind w:left="20" w:right="0" w:firstLine="0"/>
                    <w:jc w:val="left"/>
                    <w:rPr>
                      <w:sz w:val="18"/>
                    </w:rPr>
                  </w:pPr>
                  <w:r>
                    <w:rPr>
                      <w:color w:val="231F20"/>
                      <w:spacing w:val="7"/>
                      <w:w w:val="106"/>
                      <w:sz w:val="18"/>
                    </w:rPr>
                    <w:t>00</w:t>
                  </w:r>
                  <w:r>
                    <w:rPr>
                      <w:color w:val="231F20"/>
                      <w:spacing w:val="-5"/>
                      <w:w w:val="106"/>
                      <w:sz w:val="18"/>
                    </w:rPr>
                    <w:t>-</w:t>
                  </w:r>
                  <w:r>
                    <w:rPr>
                      <w:color w:val="231F20"/>
                      <w:spacing w:val="7"/>
                      <w:w w:val="106"/>
                      <w:sz w:val="18"/>
                    </w:rPr>
                    <w:t>01</w:t>
                  </w:r>
                </w:p>
                <w:p>
                  <w:pPr>
                    <w:spacing w:before="124"/>
                    <w:ind w:left="68" w:right="0" w:firstLine="0"/>
                    <w:jc w:val="left"/>
                    <w:rPr>
                      <w:sz w:val="18"/>
                    </w:rPr>
                  </w:pPr>
                  <w:r>
                    <w:rPr>
                      <w:color w:val="231F20"/>
                      <w:spacing w:val="7"/>
                      <w:w w:val="106"/>
                      <w:sz w:val="18"/>
                    </w:rPr>
                    <w:t>01</w:t>
                  </w:r>
                  <w:r>
                    <w:rPr>
                      <w:color w:val="231F20"/>
                      <w:spacing w:val="-5"/>
                      <w:w w:val="106"/>
                      <w:sz w:val="18"/>
                    </w:rPr>
                    <w:t>-</w:t>
                  </w:r>
                  <w:r>
                    <w:rPr>
                      <w:color w:val="231F20"/>
                      <w:spacing w:val="7"/>
                      <w:w w:val="106"/>
                      <w:sz w:val="18"/>
                    </w:rPr>
                    <w:t>0</w:t>
                  </w:r>
                  <w:r>
                    <w:rPr>
                      <w:color w:val="231F20"/>
                      <w:w w:val="106"/>
                      <w:sz w:val="18"/>
                    </w:rPr>
                    <w:t>2</w:t>
                  </w:r>
                </w:p>
                <w:p>
                  <w:pPr>
                    <w:spacing w:before="124"/>
                    <w:ind w:left="20" w:right="0" w:firstLine="0"/>
                    <w:jc w:val="left"/>
                    <w:rPr>
                      <w:sz w:val="18"/>
                    </w:rPr>
                  </w:pPr>
                  <w:r>
                    <w:rPr>
                      <w:color w:val="231F20"/>
                      <w:spacing w:val="7"/>
                      <w:w w:val="106"/>
                      <w:sz w:val="18"/>
                    </w:rPr>
                    <w:t>02</w:t>
                  </w:r>
                  <w:r>
                    <w:rPr>
                      <w:color w:val="231F20"/>
                      <w:spacing w:val="-5"/>
                      <w:w w:val="106"/>
                      <w:sz w:val="18"/>
                    </w:rPr>
                    <w:t>-</w:t>
                  </w:r>
                  <w:r>
                    <w:rPr>
                      <w:color w:val="231F20"/>
                      <w:spacing w:val="7"/>
                      <w:w w:val="106"/>
                      <w:sz w:val="18"/>
                    </w:rPr>
                    <w:t>03</w:t>
                  </w:r>
                </w:p>
                <w:p>
                  <w:pPr>
                    <w:spacing w:before="124"/>
                    <w:ind w:left="68" w:right="0" w:firstLine="0"/>
                    <w:jc w:val="left"/>
                    <w:rPr>
                      <w:sz w:val="18"/>
                    </w:rPr>
                  </w:pPr>
                  <w:r>
                    <w:rPr>
                      <w:color w:val="231F20"/>
                      <w:spacing w:val="7"/>
                      <w:w w:val="106"/>
                      <w:sz w:val="18"/>
                    </w:rPr>
                    <w:t>03</w:t>
                  </w:r>
                  <w:r>
                    <w:rPr>
                      <w:color w:val="231F20"/>
                      <w:spacing w:val="-5"/>
                      <w:w w:val="106"/>
                      <w:sz w:val="18"/>
                    </w:rPr>
                    <w:t>-</w:t>
                  </w:r>
                  <w:r>
                    <w:rPr>
                      <w:color w:val="231F20"/>
                      <w:spacing w:val="7"/>
                      <w:w w:val="106"/>
                      <w:sz w:val="18"/>
                    </w:rPr>
                    <w:t>0</w:t>
                  </w:r>
                  <w:r>
                    <w:rPr>
                      <w:color w:val="231F20"/>
                      <w:w w:val="106"/>
                      <w:sz w:val="18"/>
                    </w:rPr>
                    <w:t>4</w:t>
                  </w:r>
                </w:p>
                <w:p>
                  <w:pPr>
                    <w:spacing w:before="124"/>
                    <w:ind w:left="68" w:right="0" w:firstLine="0"/>
                    <w:jc w:val="left"/>
                    <w:rPr>
                      <w:sz w:val="18"/>
                    </w:rPr>
                  </w:pPr>
                  <w:r>
                    <w:rPr>
                      <w:color w:val="231F20"/>
                      <w:spacing w:val="7"/>
                      <w:w w:val="106"/>
                      <w:sz w:val="18"/>
                    </w:rPr>
                    <w:t>04</w:t>
                  </w:r>
                  <w:r>
                    <w:rPr>
                      <w:color w:val="231F20"/>
                      <w:spacing w:val="-5"/>
                      <w:w w:val="106"/>
                      <w:sz w:val="18"/>
                    </w:rPr>
                    <w:t>-</w:t>
                  </w:r>
                  <w:r>
                    <w:rPr>
                      <w:color w:val="231F20"/>
                      <w:spacing w:val="7"/>
                      <w:w w:val="106"/>
                      <w:sz w:val="18"/>
                    </w:rPr>
                    <w:t>0</w:t>
                  </w:r>
                  <w:r>
                    <w:rPr>
                      <w:color w:val="231F20"/>
                      <w:w w:val="106"/>
                      <w:sz w:val="18"/>
                    </w:rPr>
                    <w:t>5</w:t>
                  </w:r>
                </w:p>
                <w:p>
                  <w:pPr>
                    <w:spacing w:before="124"/>
                    <w:ind w:left="20" w:right="0" w:firstLine="0"/>
                    <w:jc w:val="left"/>
                    <w:rPr>
                      <w:sz w:val="18"/>
                    </w:rPr>
                  </w:pPr>
                  <w:r>
                    <w:rPr>
                      <w:color w:val="231F20"/>
                      <w:spacing w:val="7"/>
                      <w:w w:val="106"/>
                      <w:sz w:val="18"/>
                    </w:rPr>
                    <w:t>05</w:t>
                  </w:r>
                  <w:r>
                    <w:rPr>
                      <w:color w:val="231F20"/>
                      <w:spacing w:val="-5"/>
                      <w:w w:val="106"/>
                      <w:sz w:val="18"/>
                    </w:rPr>
                    <w:t>-</w:t>
                  </w:r>
                  <w:r>
                    <w:rPr>
                      <w:color w:val="231F20"/>
                      <w:spacing w:val="7"/>
                      <w:w w:val="106"/>
                      <w:sz w:val="18"/>
                    </w:rPr>
                    <w:t>06</w:t>
                  </w:r>
                </w:p>
                <w:p>
                  <w:pPr>
                    <w:spacing w:before="124"/>
                    <w:ind w:left="68" w:right="0" w:firstLine="0"/>
                    <w:jc w:val="left"/>
                    <w:rPr>
                      <w:sz w:val="18"/>
                    </w:rPr>
                  </w:pPr>
                  <w:r>
                    <w:rPr>
                      <w:color w:val="231F20"/>
                      <w:spacing w:val="7"/>
                      <w:w w:val="106"/>
                      <w:sz w:val="18"/>
                    </w:rPr>
                    <w:t>06</w:t>
                  </w:r>
                  <w:r>
                    <w:rPr>
                      <w:color w:val="231F20"/>
                      <w:spacing w:val="-5"/>
                      <w:w w:val="106"/>
                      <w:sz w:val="18"/>
                    </w:rPr>
                    <w:t>-</w:t>
                  </w:r>
                  <w:r>
                    <w:rPr>
                      <w:color w:val="231F20"/>
                      <w:spacing w:val="7"/>
                      <w:w w:val="106"/>
                      <w:sz w:val="18"/>
                    </w:rPr>
                    <w:t>0</w:t>
                  </w:r>
                  <w:r>
                    <w:rPr>
                      <w:color w:val="231F20"/>
                      <w:w w:val="106"/>
                      <w:sz w:val="18"/>
                    </w:rPr>
                    <w:t>7</w:t>
                  </w:r>
                </w:p>
                <w:p>
                  <w:pPr>
                    <w:spacing w:before="124"/>
                    <w:ind w:left="68" w:right="0" w:firstLine="0"/>
                    <w:jc w:val="left"/>
                    <w:rPr>
                      <w:sz w:val="18"/>
                    </w:rPr>
                  </w:pPr>
                  <w:r>
                    <w:rPr>
                      <w:color w:val="231F20"/>
                      <w:spacing w:val="7"/>
                      <w:w w:val="106"/>
                      <w:sz w:val="18"/>
                    </w:rPr>
                    <w:t>07</w:t>
                  </w:r>
                  <w:r>
                    <w:rPr>
                      <w:color w:val="231F20"/>
                      <w:spacing w:val="-5"/>
                      <w:w w:val="106"/>
                      <w:sz w:val="18"/>
                    </w:rPr>
                    <w:t>-</w:t>
                  </w:r>
                  <w:r>
                    <w:rPr>
                      <w:color w:val="231F20"/>
                      <w:spacing w:val="7"/>
                      <w:w w:val="106"/>
                      <w:sz w:val="18"/>
                    </w:rPr>
                    <w:t>0</w:t>
                  </w:r>
                  <w:r>
                    <w:rPr>
                      <w:color w:val="231F20"/>
                      <w:w w:val="106"/>
                      <w:sz w:val="18"/>
                    </w:rPr>
                    <w:t>8</w:t>
                  </w:r>
                </w:p>
              </w:txbxContent>
            </v:textbox>
            <w10:wrap type="none"/>
          </v:shape>
        </w:pict>
      </w:r>
      <w:r>
        <w:rPr>
          <w:color w:val="231F20"/>
          <w:sz w:val="19"/>
        </w:rPr>
        <w:t>-100</w:t>
      </w:r>
    </w:p>
    <w:p>
      <w:pPr>
        <w:pStyle w:val="BodyText"/>
        <w:rPr>
          <w:sz w:val="20"/>
        </w:rPr>
      </w:pPr>
    </w:p>
    <w:p>
      <w:pPr>
        <w:pStyle w:val="BodyText"/>
        <w:rPr>
          <w:sz w:val="20"/>
        </w:rPr>
      </w:pPr>
    </w:p>
    <w:p>
      <w:pPr>
        <w:pStyle w:val="BodyText"/>
        <w:rPr>
          <w:sz w:val="20"/>
        </w:rPr>
      </w:pPr>
    </w:p>
    <w:p>
      <w:pPr>
        <w:pStyle w:val="BodyText"/>
        <w:rPr>
          <w:sz w:val="15"/>
        </w:rPr>
      </w:pPr>
    </w:p>
    <w:p>
      <w:pPr>
        <w:spacing w:before="0"/>
        <w:ind w:left="713" w:right="1617" w:firstLine="0"/>
        <w:jc w:val="left"/>
        <w:rPr>
          <w:sz w:val="19"/>
        </w:rPr>
      </w:pPr>
      <w:r>
        <w:rPr>
          <w:rFonts w:ascii="Palatino Linotype" w:hAnsi="Palatino Linotype"/>
          <w:i/>
          <w:color w:val="231F20"/>
          <w:sz w:val="19"/>
        </w:rPr>
        <w:t>Fuente: </w:t>
      </w:r>
      <w:r>
        <w:rPr>
          <w:color w:val="231F20"/>
          <w:sz w:val="19"/>
        </w:rPr>
        <w:t>Elaboración propia con datos de AMIA (2009).</w:t>
      </w:r>
    </w:p>
    <w:p>
      <w:pPr>
        <w:spacing w:after="0"/>
        <w:jc w:val="left"/>
        <w:rPr>
          <w:sz w:val="19"/>
        </w:rPr>
        <w:sectPr>
          <w:pgSz w:w="9640" w:h="13040"/>
          <w:pgMar w:header="581" w:footer="654" w:top="780" w:bottom="840" w:left="420" w:right="1200"/>
        </w:sectPr>
      </w:pPr>
    </w:p>
    <w:p>
      <w:pPr>
        <w:pStyle w:val="BodyText"/>
        <w:rPr>
          <w:sz w:val="20"/>
        </w:rPr>
      </w:pPr>
      <w:r>
        <w:rPr/>
        <w:pict>
          <v:shape style="position:absolute;margin-left:606.909912pt;margin-top:111.946198pt;width:20.1pt;height:266.5pt;mso-position-horizontal-relative:page;mso-position-vertical-relative:page;z-index:9976"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7"/>
                      <w:sz w:val="16"/>
                    </w:rPr>
                    <w:t>I</w:t>
                  </w:r>
                  <w:r>
                    <w:rPr>
                      <w:rFonts w:ascii="Arial Black" w:hAnsi="Arial Black"/>
                      <w:b/>
                      <w:color w:val="231F20"/>
                      <w:spacing w:val="-23"/>
                      <w:w w:val="91"/>
                      <w:sz w:val="16"/>
                    </w:rPr>
                    <w:t>V</w:t>
                  </w:r>
                  <w:r>
                    <w:rPr>
                      <w:rFonts w:ascii="Arial Black" w:hAnsi="Arial Black"/>
                      <w:b/>
                      <w:color w:val="231F20"/>
                      <w:w w:val="76"/>
                      <w:sz w:val="16"/>
                    </w:rPr>
                    <w:t>.</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spacing w:val="1"/>
                      <w:w w:val="92"/>
                      <w:sz w:val="16"/>
                    </w:rPr>
                    <w:t>E</w:t>
                  </w:r>
                  <w:r>
                    <w:rPr>
                      <w:rFonts w:ascii="Palatino Linotype" w:hAnsi="Palatino Linotype"/>
                      <w:color w:val="231F20"/>
                      <w:spacing w:val="-1"/>
                      <w:w w:val="96"/>
                      <w:sz w:val="16"/>
                    </w:rPr>
                    <w:t>s</w:t>
                  </w:r>
                  <w:r>
                    <w:rPr>
                      <w:rFonts w:ascii="Palatino Linotype" w:hAnsi="Palatino Linotype"/>
                      <w:color w:val="231F20"/>
                      <w:spacing w:val="-10"/>
                      <w:w w:val="156"/>
                      <w:sz w:val="16"/>
                    </w:rPr>
                    <w:t>t</w:t>
                  </w:r>
                  <w:r>
                    <w:rPr>
                      <w:rFonts w:ascii="Palatino Linotype" w:hAnsi="Palatino Linotype"/>
                      <w:color w:val="231F20"/>
                      <w:w w:val="103"/>
                      <w:sz w:val="16"/>
                    </w:rPr>
                    <w:t>a</w:t>
                  </w:r>
                  <w:r>
                    <w:rPr>
                      <w:rFonts w:ascii="Palatino Linotype" w:hAnsi="Palatino Linotype"/>
                      <w:color w:val="231F20"/>
                      <w:spacing w:val="3"/>
                      <w:w w:val="103"/>
                      <w:sz w:val="16"/>
                    </w:rPr>
                    <w:t>d</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spacing w:val="-3"/>
                      <w:w w:val="80"/>
                      <w:sz w:val="16"/>
                    </w:rPr>
                    <w:t>p</w:t>
                  </w:r>
                  <w:r>
                    <w:rPr>
                      <w:rFonts w:ascii="Palatino Linotype" w:hAnsi="Palatino Linotype"/>
                      <w:color w:val="231F20"/>
                      <w:w w:val="115"/>
                      <w:sz w:val="16"/>
                    </w:rPr>
                    <w:t>é</w:t>
                  </w:r>
                  <w:r>
                    <w:rPr>
                      <w:rFonts w:ascii="Palatino Linotype" w:hAnsi="Palatino Linotype"/>
                      <w:color w:val="231F20"/>
                      <w:spacing w:val="-2"/>
                      <w:w w:val="115"/>
                      <w:sz w:val="16"/>
                    </w:rPr>
                    <w:t>r</w:t>
                  </w:r>
                  <w:r>
                    <w:rPr>
                      <w:rFonts w:ascii="Palatino Linotype" w:hAnsi="Palatino Linotype"/>
                      <w:color w:val="231F20"/>
                      <w:spacing w:val="-1"/>
                      <w:w w:val="95"/>
                      <w:sz w:val="16"/>
                    </w:rPr>
                    <w:t>d</w:t>
                  </w:r>
                  <w:r>
                    <w:rPr>
                      <w:rFonts w:ascii="Palatino Linotype" w:hAnsi="Palatino Linotype"/>
                      <w:color w:val="231F20"/>
                      <w:w w:val="98"/>
                      <w:sz w:val="16"/>
                    </w:rPr>
                    <w:t>i</w:t>
                  </w:r>
                  <w:r>
                    <w:rPr>
                      <w:rFonts w:ascii="Palatino Linotype" w:hAnsi="Palatino Linotype"/>
                      <w:color w:val="231F20"/>
                      <w:spacing w:val="-5"/>
                      <w:w w:val="98"/>
                      <w:sz w:val="16"/>
                    </w:rPr>
                    <w:t>d</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1"/>
                      <w:sz w:val="16"/>
                    </w:rPr>
                    <w:t>i</w:t>
                  </w:r>
                  <w:r>
                    <w:rPr>
                      <w:rFonts w:ascii="Palatino Linotype" w:hAnsi="Palatino Linotype"/>
                      <w:color w:val="231F20"/>
                      <w:spacing w:val="-3"/>
                      <w:w w:val="101"/>
                      <w:sz w:val="16"/>
                    </w:rPr>
                    <w:t>n</w:t>
                  </w:r>
                  <w:r>
                    <w:rPr>
                      <w:rFonts w:ascii="Palatino Linotype" w:hAnsi="Palatino Linotype"/>
                      <w:color w:val="231F20"/>
                      <w:w w:val="94"/>
                      <w:sz w:val="16"/>
                    </w:rPr>
                    <w:t>ami</w:t>
                  </w:r>
                  <w:r>
                    <w:rPr>
                      <w:rFonts w:ascii="Palatino Linotype" w:hAnsi="Palatino Linotype"/>
                      <w:color w:val="231F20"/>
                      <w:spacing w:val="-1"/>
                      <w:w w:val="94"/>
                      <w:sz w:val="16"/>
                    </w:rPr>
                    <w:t>s</w:t>
                  </w:r>
                  <w:r>
                    <w:rPr>
                      <w:rFonts w:ascii="Palatino Linotype" w:hAnsi="Palatino Linotype"/>
                      <w:color w:val="231F20"/>
                      <w:spacing w:val="-1"/>
                      <w:w w:val="80"/>
                      <w:sz w:val="16"/>
                    </w:rPr>
                    <w:t>m</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6"/>
        </w:rPr>
      </w:pPr>
    </w:p>
    <w:p>
      <w:pPr>
        <w:pStyle w:val="Heading4"/>
        <w:spacing w:before="35"/>
        <w:ind w:left="70" w:right="133"/>
      </w:pPr>
      <w:r>
        <w:rPr>
          <w:color w:val="231F20"/>
          <w:w w:val="95"/>
        </w:rPr>
        <w:t>Cuadro IV.4</w:t>
      </w:r>
    </w:p>
    <w:p>
      <w:pPr>
        <w:spacing w:line="282" w:lineRule="exact" w:before="0"/>
        <w:ind w:left="70" w:right="133" w:firstLine="0"/>
        <w:jc w:val="center"/>
        <w:rPr>
          <w:rFonts w:ascii="Palatino Linotype" w:hAnsi="Palatino Linotype"/>
          <w:b/>
          <w:sz w:val="21"/>
        </w:rPr>
      </w:pPr>
      <w:r>
        <w:rPr>
          <w:rFonts w:ascii="Palatino Linotype" w:hAnsi="Palatino Linotype"/>
          <w:b/>
          <w:color w:val="231F20"/>
          <w:w w:val="95"/>
          <w:sz w:val="21"/>
        </w:rPr>
        <w:t>Estado de México: producción total por empresa y tipo de vehículo, 1988-2008</w:t>
      </w:r>
    </w:p>
    <w:p>
      <w:pPr>
        <w:spacing w:before="17"/>
        <w:ind w:left="70" w:right="133" w:firstLine="0"/>
        <w:jc w:val="center"/>
        <w:rPr>
          <w:rFonts w:ascii="Palatino Linotype"/>
          <w:b/>
          <w:sz w:val="19"/>
        </w:rPr>
      </w:pPr>
      <w:r>
        <w:rPr>
          <w:rFonts w:ascii="Palatino Linotype"/>
          <w:b/>
          <w:color w:val="231F20"/>
          <w:sz w:val="19"/>
        </w:rPr>
        <w:t>(Unidades)</w:t>
      </w:r>
    </w:p>
    <w:p>
      <w:pPr>
        <w:pStyle w:val="BodyText"/>
        <w:spacing w:before="5"/>
        <w:rPr>
          <w:rFonts w:ascii="Palatino Linotype"/>
          <w:b/>
          <w:sz w:val="11"/>
        </w:rPr>
      </w:pPr>
      <w:r>
        <w:rPr/>
        <w:pict>
          <v:group style="position:absolute;margin-left:43.687pt;margin-top:9.660384pt;width:546.35pt;height:.5pt;mso-position-horizontal-relative:page;mso-position-vertical-relative:paragraph;z-index:9880;mso-wrap-distance-left:0;mso-wrap-distance-right:0" coordorigin="874,193" coordsize="10927,10">
            <v:line style="position:absolute" from="879,198" to="1531,198" stroked="true" strokeweight=".5pt" strokecolor="#231f20"/>
            <v:line style="position:absolute" from="1531,198" to="2271,198" stroked="true" strokeweight=".5pt" strokecolor="#231f20"/>
            <v:line style="position:absolute" from="2271,198" to="2724,198" stroked="true" strokeweight=".5pt" strokecolor="#231f20"/>
            <v:line style="position:absolute" from="2724,198" to="3178,198" stroked="true" strokeweight=".5pt" strokecolor="#231f20"/>
            <v:line style="position:absolute" from="3178,198" to="3631,198" stroked="true" strokeweight=".5pt" strokecolor="#231f20"/>
            <v:line style="position:absolute" from="3631,198" to="4085,198" stroked="true" strokeweight=".5pt" strokecolor="#231f20"/>
            <v:line style="position:absolute" from="4085,198" to="4538,198" stroked="true" strokeweight=".5pt" strokecolor="#231f20"/>
            <v:line style="position:absolute" from="4538,198" to="4992,198" stroked="true" strokeweight=".5pt" strokecolor="#231f20"/>
            <v:line style="position:absolute" from="4992,198" to="5445,198" stroked="true" strokeweight=".5pt" strokecolor="#231f20"/>
            <v:line style="position:absolute" from="5445,198" to="5899,198" stroked="true" strokeweight=".5pt" strokecolor="#231f20"/>
            <v:line style="position:absolute" from="5899,198" to="6352,198" stroked="true" strokeweight=".5pt" strokecolor="#231f20"/>
            <v:line style="position:absolute" from="6352,198" to="6806,198" stroked="true" strokeweight=".5pt" strokecolor="#231f20"/>
            <v:line style="position:absolute" from="6806,198" to="7260,198" stroked="true" strokeweight=".5pt" strokecolor="#231f20"/>
            <v:line style="position:absolute" from="7260,198" to="7713,198" stroked="true" strokeweight=".5pt" strokecolor="#231f20"/>
            <v:line style="position:absolute" from="7713,198" to="8167,198" stroked="true" strokeweight=".5pt" strokecolor="#231f20"/>
            <v:line style="position:absolute" from="8167,198" to="8620,198" stroked="true" strokeweight=".5pt" strokecolor="#231f20"/>
            <v:line style="position:absolute" from="8620,198" to="9074,198" stroked="true" strokeweight=".5pt" strokecolor="#231f20"/>
            <v:line style="position:absolute" from="9074,198" to="9527,198" stroked="true" strokeweight=".5pt" strokecolor="#231f20"/>
            <v:line style="position:absolute" from="9527,198" to="9981,198" stroked="true" strokeweight=".5pt" strokecolor="#231f20"/>
            <v:line style="position:absolute" from="9981,198" to="10434,198" stroked="true" strokeweight=".5pt" strokecolor="#231f20"/>
            <v:line style="position:absolute" from="10434,198" to="10888,198" stroked="true" strokeweight=".5pt" strokecolor="#231f20"/>
            <v:line style="position:absolute" from="10888,198" to="11341,198" stroked="true" strokeweight=".5pt" strokecolor="#231f20"/>
            <v:line style="position:absolute" from="11341,198" to="11795,198" stroked="true" strokeweight=".5pt" strokecolor="#231f20"/>
            <w10:wrap type="topAndBottom"/>
          </v:group>
        </w:pict>
      </w:r>
    </w:p>
    <w:p>
      <w:pPr>
        <w:spacing w:line="123" w:lineRule="exact" w:before="60"/>
        <w:ind w:left="902" w:right="0" w:firstLine="0"/>
        <w:jc w:val="left"/>
        <w:rPr>
          <w:rFonts w:ascii="Palatino Linotype"/>
          <w:b/>
          <w:sz w:val="13"/>
        </w:rPr>
      </w:pPr>
      <w:r>
        <w:rPr>
          <w:rFonts w:ascii="Palatino Linotype"/>
          <w:b/>
          <w:color w:val="231F20"/>
          <w:w w:val="90"/>
          <w:sz w:val="13"/>
        </w:rPr>
        <w:t>Lugar de</w:t>
      </w:r>
    </w:p>
    <w:p>
      <w:pPr>
        <w:spacing w:line="193" w:lineRule="exact" w:before="0"/>
        <w:ind w:left="833" w:right="0" w:firstLine="0"/>
        <w:jc w:val="left"/>
        <w:rPr>
          <w:rFonts w:ascii="Palatino Linotype" w:hAnsi="Palatino Linotype"/>
          <w:b/>
          <w:sz w:val="13"/>
        </w:rPr>
      </w:pPr>
      <w:r>
        <w:rPr/>
        <w:pict>
          <v:group style="position:absolute;margin-left:43.687pt;margin-top:14.369794pt;width:546.35pt;height:.5pt;mso-position-horizontal-relative:page;mso-position-vertical-relative:paragraph;z-index:9904;mso-wrap-distance-left:0;mso-wrap-distance-right:0" coordorigin="874,287" coordsize="10927,10">
            <v:line style="position:absolute" from="879,292" to="1531,292" stroked="true" strokeweight=".5pt" strokecolor="#231f20"/>
            <v:line style="position:absolute" from="1531,292" to="2271,292" stroked="true" strokeweight=".5pt" strokecolor="#231f20"/>
            <v:line style="position:absolute" from="2271,292" to="2724,292" stroked="true" strokeweight=".5pt" strokecolor="#231f20"/>
            <v:line style="position:absolute" from="2724,292" to="3178,292" stroked="true" strokeweight=".5pt" strokecolor="#231f20"/>
            <v:line style="position:absolute" from="3178,292" to="3631,292" stroked="true" strokeweight=".5pt" strokecolor="#231f20"/>
            <v:line style="position:absolute" from="3631,292" to="4085,292" stroked="true" strokeweight=".5pt" strokecolor="#231f20"/>
            <v:line style="position:absolute" from="4085,292" to="4538,292" stroked="true" strokeweight=".5pt" strokecolor="#231f20"/>
            <v:line style="position:absolute" from="4538,292" to="4992,292" stroked="true" strokeweight=".5pt" strokecolor="#231f20"/>
            <v:line style="position:absolute" from="4992,292" to="5445,292" stroked="true" strokeweight=".5pt" strokecolor="#231f20"/>
            <v:line style="position:absolute" from="5445,292" to="5899,292" stroked="true" strokeweight=".5pt" strokecolor="#231f20"/>
            <v:line style="position:absolute" from="5899,292" to="6352,292" stroked="true" strokeweight=".5pt" strokecolor="#231f20"/>
            <v:line style="position:absolute" from="6352,292" to="6806,292" stroked="true" strokeweight=".5pt" strokecolor="#231f20"/>
            <v:line style="position:absolute" from="6806,292" to="7260,292" stroked="true" strokeweight=".5pt" strokecolor="#231f20"/>
            <v:line style="position:absolute" from="7260,292" to="7713,292" stroked="true" strokeweight=".5pt" strokecolor="#231f20"/>
            <v:line style="position:absolute" from="7713,292" to="8167,292" stroked="true" strokeweight=".5pt" strokecolor="#231f20"/>
            <v:line style="position:absolute" from="8167,292" to="8620,292" stroked="true" strokeweight=".5pt" strokecolor="#231f20"/>
            <v:line style="position:absolute" from="8620,292" to="9074,292" stroked="true" strokeweight=".5pt" strokecolor="#231f20"/>
            <v:line style="position:absolute" from="9074,292" to="9527,292" stroked="true" strokeweight=".5pt" strokecolor="#231f20"/>
            <v:line style="position:absolute" from="9527,292" to="9981,292" stroked="true" strokeweight=".5pt" strokecolor="#231f20"/>
            <v:line style="position:absolute" from="9981,292" to="10434,292" stroked="true" strokeweight=".5pt" strokecolor="#231f20"/>
            <v:line style="position:absolute" from="10434,292" to="10888,292" stroked="true" strokeweight=".5pt" strokecolor="#231f20"/>
            <v:line style="position:absolute" from="10888,292" to="11341,292" stroked="true" strokeweight=".5pt" strokecolor="#231f20"/>
            <v:line style="position:absolute" from="11341,292" to="11795,292" stroked="true" strokeweight=".5pt" strokecolor="#231f20"/>
            <w10:wrap type="topAndBottom"/>
          </v:group>
        </w:pict>
      </w:r>
      <w:r>
        <w:rPr/>
        <w:pict>
          <v:shape style="position:absolute;margin-left:48.399799pt;margin-top:-.582655pt;width:23.7pt;height:6.5pt;mso-position-horizontal-relative:page;mso-position-vertical-relative:paragraph;z-index:9952" type="#_x0000_t202" filled="false" stroked="false">
            <v:textbox inset="0,0,0,0">
              <w:txbxContent>
                <w:p>
                  <w:pPr>
                    <w:spacing w:line="130" w:lineRule="exact" w:before="0"/>
                    <w:ind w:left="0" w:right="-7" w:firstLine="0"/>
                    <w:jc w:val="left"/>
                    <w:rPr>
                      <w:rFonts w:ascii="Palatino Linotype"/>
                      <w:b/>
                      <w:sz w:val="13"/>
                    </w:rPr>
                  </w:pPr>
                  <w:r>
                    <w:rPr>
                      <w:rFonts w:ascii="Palatino Linotype"/>
                      <w:b/>
                      <w:color w:val="231F20"/>
                      <w:w w:val="90"/>
                      <w:sz w:val="13"/>
                    </w:rPr>
                    <w:t>Empresa</w:t>
                  </w:r>
                </w:p>
              </w:txbxContent>
            </v:textbox>
            <w10:wrap type="none"/>
          </v:shape>
        </w:pict>
      </w:r>
      <w:r>
        <w:rPr>
          <w:rFonts w:ascii="Palatino Linotype" w:hAnsi="Palatino Linotype"/>
          <w:b/>
          <w:color w:val="231F20"/>
          <w:position w:val="-6"/>
          <w:sz w:val="13"/>
        </w:rPr>
        <w:t>fabricación     </w:t>
      </w:r>
      <w:r>
        <w:rPr>
          <w:rFonts w:ascii="Palatino Linotype" w:hAnsi="Palatino Linotype"/>
          <w:b/>
          <w:color w:val="231F20"/>
          <w:sz w:val="13"/>
        </w:rPr>
        <w:t>1988      1989      1990      1991      1992      1993      1994      1995      1996      1997      1998      1999      2000      2001      2002      2003      2004      2005      2006      2007  2008</w:t>
      </w:r>
    </w:p>
    <w:p>
      <w:pPr>
        <w:tabs>
          <w:tab w:pos="1418" w:val="left" w:leader="none"/>
        </w:tabs>
        <w:spacing w:before="47"/>
        <w:ind w:left="70" w:right="0" w:firstLine="0"/>
        <w:jc w:val="center"/>
        <w:rPr>
          <w:rFonts w:ascii="Palatino Linotype"/>
          <w:b/>
          <w:sz w:val="13"/>
        </w:rPr>
      </w:pPr>
      <w:r>
        <w:rPr>
          <w:rFonts w:ascii="Palatino Linotype"/>
          <w:b/>
          <w:color w:val="231F20"/>
          <w:sz w:val="13"/>
        </w:rPr>
        <w:t>Chrysler</w:t>
        <w:tab/>
        <w:t>84,883  126,381 120,920 146,908 184,338 125,770  66,102     121     22,596  20,385  14,253     360    344,424 380,932 371,647 308,738 341,575 343,748 164,847 114,543 183,592</w:t>
      </w:r>
    </w:p>
    <w:p>
      <w:pPr>
        <w:pStyle w:val="BodyText"/>
        <w:spacing w:before="4"/>
        <w:rPr>
          <w:rFonts w:ascii="Palatino Linotype"/>
          <w:b/>
          <w:sz w:val="13"/>
        </w:rPr>
      </w:pPr>
    </w:p>
    <w:p>
      <w:pPr>
        <w:tabs>
          <w:tab w:pos="790" w:val="left" w:leader="none"/>
          <w:tab w:pos="1389" w:val="left" w:leader="none"/>
          <w:tab w:pos="4672" w:val="left" w:leader="none"/>
          <w:tab w:pos="5157" w:val="left" w:leader="none"/>
          <w:tab w:pos="5610" w:val="left" w:leader="none"/>
          <w:tab w:pos="6064" w:val="left" w:leader="none"/>
          <w:tab w:pos="6455" w:val="left" w:leader="none"/>
        </w:tabs>
        <w:spacing w:before="0"/>
        <w:ind w:left="115" w:right="0" w:firstLine="0"/>
        <w:jc w:val="center"/>
        <w:rPr>
          <w:sz w:val="13"/>
        </w:rPr>
      </w:pPr>
      <w:r>
        <w:rPr>
          <w:color w:val="231F20"/>
          <w:sz w:val="13"/>
        </w:rPr>
        <w:t>Autos</w:t>
        <w:tab/>
      </w:r>
      <w:r>
        <w:rPr>
          <w:color w:val="231F20"/>
          <w:spacing w:val="-3"/>
          <w:sz w:val="13"/>
        </w:rPr>
        <w:t>Toluca</w:t>
        <w:tab/>
      </w:r>
      <w:r>
        <w:rPr>
          <w:color w:val="231F20"/>
          <w:sz w:val="13"/>
        </w:rPr>
        <w:t>31,740   67,543   61,838   85,371  109,838</w:t>
      </w:r>
      <w:r>
        <w:rPr>
          <w:color w:val="231F20"/>
          <w:spacing w:val="-14"/>
          <w:sz w:val="13"/>
        </w:rPr>
        <w:t> </w:t>
      </w:r>
      <w:r>
        <w:rPr>
          <w:color w:val="231F20"/>
          <w:sz w:val="13"/>
        </w:rPr>
        <w:t>108,064</w:t>
      </w:r>
      <w:r>
        <w:rPr>
          <w:color w:val="231F20"/>
          <w:spacing w:val="32"/>
          <w:sz w:val="13"/>
        </w:rPr>
        <w:t> </w:t>
      </w:r>
      <w:r>
        <w:rPr>
          <w:color w:val="231F20"/>
          <w:sz w:val="13"/>
        </w:rPr>
        <w:t>66,102</w:t>
        <w:tab/>
        <w:t>63</w:t>
        <w:tab/>
        <w:t>9</w:t>
        <w:tab/>
        <w:t>4</w:t>
        <w:tab/>
        <w:t>0</w:t>
        <w:tab/>
        <w:t>360   145,100 200,743 173,363 137,669 156,543 157,494 159,708 114,508 </w:t>
      </w:r>
      <w:r>
        <w:rPr>
          <w:color w:val="231F20"/>
          <w:spacing w:val="19"/>
          <w:sz w:val="13"/>
        </w:rPr>
        <w:t> </w:t>
      </w:r>
      <w:r>
        <w:rPr>
          <w:color w:val="231F20"/>
          <w:sz w:val="13"/>
        </w:rPr>
        <w:t>60,227</w:t>
      </w:r>
    </w:p>
    <w:p>
      <w:pPr>
        <w:pStyle w:val="BodyText"/>
        <w:spacing w:before="6"/>
        <w:rPr>
          <w:sz w:val="16"/>
        </w:rPr>
      </w:pPr>
    </w:p>
    <w:p>
      <w:pPr>
        <w:tabs>
          <w:tab w:pos="822" w:val="left" w:leader="none"/>
          <w:tab w:pos="1421" w:val="left" w:leader="none"/>
          <w:tab w:pos="4282" w:val="left" w:leader="none"/>
          <w:tab w:pos="4704" w:val="left" w:leader="none"/>
          <w:tab w:pos="5049" w:val="left" w:leader="none"/>
          <w:tab w:pos="6550" w:val="left" w:leader="none"/>
          <w:tab w:pos="6833" w:val="left" w:leader="none"/>
          <w:tab w:pos="10147" w:val="left" w:leader="none"/>
        </w:tabs>
        <w:spacing w:before="0"/>
        <w:ind w:left="38" w:right="0" w:firstLine="0"/>
        <w:jc w:val="center"/>
        <w:rPr>
          <w:sz w:val="13"/>
        </w:rPr>
      </w:pPr>
      <w:r>
        <w:rPr>
          <w:color w:val="231F20"/>
          <w:sz w:val="13"/>
        </w:rPr>
        <w:t>Camiones</w:t>
        <w:tab/>
      </w:r>
      <w:r>
        <w:rPr>
          <w:color w:val="231F20"/>
          <w:spacing w:val="-3"/>
          <w:sz w:val="13"/>
        </w:rPr>
        <w:t>Toluca</w:t>
        <w:tab/>
      </w:r>
      <w:r>
        <w:rPr>
          <w:color w:val="231F20"/>
          <w:sz w:val="13"/>
        </w:rPr>
        <w:t>53,143   58,838   59,082   61,537 </w:t>
      </w:r>
      <w:r>
        <w:rPr>
          <w:color w:val="231F20"/>
          <w:spacing w:val="21"/>
          <w:sz w:val="13"/>
        </w:rPr>
        <w:t> </w:t>
      </w:r>
      <w:r>
        <w:rPr>
          <w:color w:val="231F20"/>
          <w:sz w:val="13"/>
        </w:rPr>
        <w:t>74,500 </w:t>
      </w:r>
      <w:r>
        <w:rPr>
          <w:color w:val="231F20"/>
          <w:spacing w:val="29"/>
          <w:sz w:val="13"/>
        </w:rPr>
        <w:t> </w:t>
      </w:r>
      <w:r>
        <w:rPr>
          <w:color w:val="231F20"/>
          <w:sz w:val="13"/>
        </w:rPr>
        <w:t>17,706</w:t>
        <w:tab/>
        <w:t>0</w:t>
        <w:tab/>
        <w:t>58</w:t>
        <w:tab/>
        <w:t>22,587 </w:t>
      </w:r>
      <w:r>
        <w:rPr>
          <w:color w:val="231F20"/>
          <w:spacing w:val="28"/>
          <w:sz w:val="13"/>
        </w:rPr>
        <w:t> </w:t>
      </w:r>
      <w:r>
        <w:rPr>
          <w:color w:val="231F20"/>
          <w:sz w:val="13"/>
        </w:rPr>
        <w:t>20,381 </w:t>
      </w:r>
      <w:r>
        <w:rPr>
          <w:color w:val="231F20"/>
          <w:spacing w:val="28"/>
          <w:sz w:val="13"/>
        </w:rPr>
        <w:t> </w:t>
      </w:r>
      <w:r>
        <w:rPr>
          <w:color w:val="231F20"/>
          <w:sz w:val="13"/>
        </w:rPr>
        <w:t>14,253</w:t>
        <w:tab/>
        <w:t>0</w:t>
        <w:tab/>
        <w:t>199,324 180,189 198,284 171,069 185,032</w:t>
      </w:r>
      <w:r>
        <w:rPr>
          <w:color w:val="231F20"/>
          <w:spacing w:val="12"/>
          <w:sz w:val="13"/>
        </w:rPr>
        <w:t> </w:t>
      </w:r>
      <w:r>
        <w:rPr>
          <w:color w:val="231F20"/>
          <w:sz w:val="13"/>
        </w:rPr>
        <w:t>186,254 </w:t>
      </w:r>
      <w:r>
        <w:rPr>
          <w:color w:val="231F20"/>
          <w:spacing w:val="14"/>
          <w:sz w:val="13"/>
        </w:rPr>
        <w:t> </w:t>
      </w:r>
      <w:r>
        <w:rPr>
          <w:color w:val="231F20"/>
          <w:sz w:val="13"/>
        </w:rPr>
        <w:t>5,139</w:t>
        <w:tab/>
        <w:t>35    </w:t>
      </w:r>
      <w:r>
        <w:rPr>
          <w:color w:val="231F20"/>
          <w:spacing w:val="2"/>
          <w:sz w:val="13"/>
        </w:rPr>
        <w:t> </w:t>
      </w:r>
      <w:r>
        <w:rPr>
          <w:color w:val="231F20"/>
          <w:sz w:val="13"/>
        </w:rPr>
        <w:t>123,365</w:t>
      </w:r>
    </w:p>
    <w:p>
      <w:pPr>
        <w:pStyle w:val="BodyText"/>
        <w:spacing w:before="3"/>
        <w:rPr>
          <w:sz w:val="15"/>
        </w:rPr>
      </w:pPr>
    </w:p>
    <w:p>
      <w:pPr>
        <w:tabs>
          <w:tab w:pos="1389" w:val="left" w:leader="none"/>
        </w:tabs>
        <w:spacing w:before="0"/>
        <w:ind w:left="204" w:right="0" w:firstLine="0"/>
        <w:jc w:val="center"/>
        <w:rPr>
          <w:rFonts w:ascii="Palatino Linotype"/>
          <w:b/>
          <w:sz w:val="13"/>
        </w:rPr>
      </w:pPr>
      <w:r>
        <w:rPr>
          <w:rFonts w:ascii="Palatino Linotype"/>
          <w:b/>
          <w:color w:val="231F20"/>
          <w:spacing w:val="-3"/>
          <w:sz w:val="13"/>
        </w:rPr>
        <w:t>Ford</w:t>
      </w:r>
      <w:r>
        <w:rPr>
          <w:rFonts w:ascii="Palatino Linotype"/>
          <w:b/>
          <w:color w:val="231F20"/>
          <w:spacing w:val="-16"/>
          <w:sz w:val="13"/>
        </w:rPr>
        <w:t> </w:t>
      </w:r>
      <w:r>
        <w:rPr>
          <w:rFonts w:ascii="Palatino Linotype"/>
          <w:b/>
          <w:color w:val="231F20"/>
          <w:spacing w:val="-3"/>
          <w:sz w:val="13"/>
        </w:rPr>
        <w:t>Motors</w:t>
      </w:r>
      <w:r>
        <w:rPr>
          <w:rFonts w:ascii="Palatino Linotype"/>
          <w:b/>
          <w:color w:val="231F20"/>
          <w:spacing w:val="-16"/>
          <w:sz w:val="13"/>
        </w:rPr>
        <w:t> </w:t>
      </w:r>
      <w:r>
        <w:rPr>
          <w:rFonts w:ascii="Palatino Linotype"/>
          <w:b/>
          <w:color w:val="231F20"/>
          <w:sz w:val="13"/>
        </w:rPr>
        <w:t>Co.</w:t>
        <w:tab/>
        <w:t>62,392  86,691  81,890  110,540 127,109  91,961  92,783  86,444  101,950 115,297  70,463  96,631  163,579 143,192 125,961 122,515  94,771  62,560  43,685  43,909      </w:t>
      </w:r>
      <w:r>
        <w:rPr>
          <w:rFonts w:ascii="Palatino Linotype"/>
          <w:b/>
          <w:color w:val="231F20"/>
          <w:spacing w:val="16"/>
          <w:sz w:val="13"/>
        </w:rPr>
        <w:t> </w:t>
      </w:r>
      <w:r>
        <w:rPr>
          <w:rFonts w:ascii="Palatino Linotype"/>
          <w:b/>
          <w:color w:val="231F20"/>
          <w:spacing w:val="-2"/>
          <w:sz w:val="13"/>
        </w:rPr>
        <w:t>34,271</w:t>
      </w:r>
    </w:p>
    <w:p>
      <w:pPr>
        <w:pStyle w:val="BodyText"/>
        <w:spacing w:before="4"/>
        <w:rPr>
          <w:rFonts w:ascii="Palatino Linotype"/>
          <w:b/>
          <w:sz w:val="13"/>
        </w:rPr>
      </w:pPr>
    </w:p>
    <w:p>
      <w:pPr>
        <w:tabs>
          <w:tab w:pos="868" w:val="left" w:leader="none"/>
          <w:tab w:pos="10780" w:val="left" w:leader="none"/>
        </w:tabs>
        <w:spacing w:before="0"/>
        <w:ind w:left="295" w:right="0" w:firstLine="0"/>
        <w:jc w:val="left"/>
        <w:rPr>
          <w:sz w:val="13"/>
        </w:rPr>
      </w:pPr>
      <w:r>
        <w:rPr>
          <w:color w:val="231F20"/>
          <w:sz w:val="13"/>
        </w:rPr>
        <w:t>Autos</w:t>
        <w:tab/>
        <w:t>Cuautitlán    32,454   47,580   45,987   55,021   68,167   52,533   42,738   66,646   57,416   41,978   25,148   33,188   86,315   79,165  101,900  72,570   70,871   30,137  </w:t>
      </w:r>
      <w:r>
        <w:rPr>
          <w:color w:val="231F20"/>
          <w:spacing w:val="27"/>
          <w:sz w:val="13"/>
        </w:rPr>
        <w:t> </w:t>
      </w:r>
      <w:r>
        <w:rPr>
          <w:color w:val="231F20"/>
          <w:sz w:val="13"/>
        </w:rPr>
        <w:t>6,495   </w:t>
      </w:r>
      <w:r>
        <w:rPr>
          <w:color w:val="231F20"/>
          <w:spacing w:val="20"/>
          <w:sz w:val="13"/>
        </w:rPr>
        <w:t> </w:t>
      </w:r>
      <w:r>
        <w:rPr>
          <w:color w:val="231F20"/>
          <w:sz w:val="13"/>
        </w:rPr>
        <w:t>5,975</w:t>
        <w:tab/>
        <w:t>0</w:t>
      </w:r>
    </w:p>
    <w:p>
      <w:pPr>
        <w:pStyle w:val="BodyText"/>
        <w:spacing w:before="9"/>
        <w:rPr>
          <w:sz w:val="12"/>
        </w:rPr>
      </w:pPr>
    </w:p>
    <w:p>
      <w:pPr>
        <w:spacing w:line="110" w:lineRule="exact" w:before="1"/>
        <w:ind w:left="186" w:right="0" w:firstLine="0"/>
        <w:jc w:val="left"/>
        <w:rPr>
          <w:sz w:val="13"/>
        </w:rPr>
      </w:pPr>
      <w:r>
        <w:rPr>
          <w:color w:val="231F20"/>
          <w:sz w:val="13"/>
        </w:rPr>
        <w:t>Camiones</w:t>
      </w:r>
    </w:p>
    <w:p>
      <w:pPr>
        <w:tabs>
          <w:tab w:pos="692" w:val="left" w:leader="none"/>
        </w:tabs>
        <w:spacing w:line="180" w:lineRule="exact" w:before="0"/>
        <w:ind w:left="99" w:right="0" w:firstLine="0"/>
        <w:jc w:val="center"/>
        <w:rPr>
          <w:sz w:val="13"/>
        </w:rPr>
      </w:pPr>
      <w:r>
        <w:rPr>
          <w:color w:val="231F20"/>
          <w:position w:val="-6"/>
          <w:sz w:val="13"/>
        </w:rPr>
        <w:t>ligeros</w:t>
        <w:tab/>
      </w:r>
      <w:r>
        <w:rPr>
          <w:color w:val="231F20"/>
          <w:sz w:val="13"/>
        </w:rPr>
        <w:t>Cuautitlán    29,938   39,111   35,903   55,519   58,942   39,428   50,045   19,798   44,534   73,319   45,315   63,443   77,264   64,027   24,061   49,945   23,900   32,423   37,190   37,934 </w:t>
      </w:r>
      <w:r>
        <w:rPr>
          <w:color w:val="231F20"/>
          <w:spacing w:val="3"/>
          <w:sz w:val="13"/>
        </w:rPr>
        <w:t> </w:t>
      </w:r>
      <w:r>
        <w:rPr>
          <w:color w:val="231F20"/>
          <w:sz w:val="13"/>
        </w:rPr>
        <w:t>34,271</w:t>
      </w:r>
    </w:p>
    <w:p>
      <w:pPr>
        <w:tabs>
          <w:tab w:pos="1426" w:val="left" w:leader="none"/>
        </w:tabs>
        <w:spacing w:before="134"/>
        <w:ind w:left="256" w:right="0" w:firstLine="0"/>
        <w:jc w:val="center"/>
        <w:rPr>
          <w:rFonts w:ascii="Palatino Linotype"/>
          <w:b/>
          <w:sz w:val="13"/>
        </w:rPr>
      </w:pPr>
      <w:r>
        <w:rPr>
          <w:rFonts w:ascii="Palatino Linotype"/>
          <w:b/>
          <w:color w:val="231F20"/>
          <w:w w:val="95"/>
          <w:sz w:val="13"/>
        </w:rPr>
        <w:t>General</w:t>
      </w:r>
      <w:r>
        <w:rPr>
          <w:rFonts w:ascii="Palatino Linotype"/>
          <w:b/>
          <w:color w:val="231F20"/>
          <w:spacing w:val="-13"/>
          <w:w w:val="95"/>
          <w:sz w:val="13"/>
        </w:rPr>
        <w:t> </w:t>
      </w:r>
      <w:r>
        <w:rPr>
          <w:rFonts w:ascii="Palatino Linotype"/>
          <w:b/>
          <w:color w:val="231F20"/>
          <w:w w:val="95"/>
          <w:sz w:val="13"/>
        </w:rPr>
        <w:t>Motors</w:t>
        <w:tab/>
      </w:r>
      <w:r>
        <w:rPr>
          <w:rFonts w:ascii="Palatino Linotype"/>
          <w:b/>
          <w:color w:val="231F20"/>
          <w:sz w:val="13"/>
        </w:rPr>
        <w:t>69,623   91,056   99,690  107,245  95,632   76,096   58,431   12,733    8,262    12,132   19,441   47,340   55,915   39,740   40,977   37,606   69,534</w:t>
      </w:r>
      <w:r>
        <w:rPr>
          <w:rFonts w:ascii="Palatino Linotype"/>
          <w:b/>
          <w:color w:val="231F20"/>
          <w:spacing w:val="-3"/>
          <w:sz w:val="13"/>
        </w:rPr>
        <w:t> </w:t>
      </w:r>
      <w:r>
        <w:rPr>
          <w:rFonts w:ascii="Palatino Linotype"/>
          <w:b/>
          <w:color w:val="231F20"/>
          <w:sz w:val="13"/>
        </w:rPr>
        <w:t>153,647 238,893 187,110 221,890</w:t>
      </w:r>
    </w:p>
    <w:p>
      <w:pPr>
        <w:pStyle w:val="BodyText"/>
        <w:spacing w:before="11"/>
        <w:rPr>
          <w:rFonts w:ascii="Palatino Linotype"/>
          <w:b/>
          <w:sz w:val="7"/>
        </w:rPr>
      </w:pPr>
    </w:p>
    <w:tbl>
      <w:tblPr>
        <w:tblW w:w="0" w:type="auto"/>
        <w:jc w:val="left"/>
        <w:tblInd w:w="1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26"/>
        <w:gridCol w:w="524"/>
        <w:gridCol w:w="454"/>
        <w:gridCol w:w="454"/>
        <w:gridCol w:w="454"/>
        <w:gridCol w:w="454"/>
        <w:gridCol w:w="454"/>
        <w:gridCol w:w="454"/>
        <w:gridCol w:w="469"/>
        <w:gridCol w:w="438"/>
        <w:gridCol w:w="438"/>
        <w:gridCol w:w="469"/>
        <w:gridCol w:w="454"/>
        <w:gridCol w:w="454"/>
        <w:gridCol w:w="454"/>
        <w:gridCol w:w="454"/>
        <w:gridCol w:w="453"/>
        <w:gridCol w:w="454"/>
        <w:gridCol w:w="1809"/>
      </w:tblGrid>
      <w:tr>
        <w:trPr>
          <w:trHeight w:val="349" w:hRule="exact"/>
        </w:trPr>
        <w:tc>
          <w:tcPr>
            <w:tcW w:w="1326" w:type="dxa"/>
          </w:tcPr>
          <w:p>
            <w:pPr>
              <w:pStyle w:val="TableParagraph"/>
              <w:tabs>
                <w:tab w:pos="853" w:val="left" w:leader="none"/>
              </w:tabs>
              <w:spacing w:before="74"/>
              <w:ind w:left="177"/>
              <w:jc w:val="left"/>
              <w:rPr>
                <w:sz w:val="13"/>
              </w:rPr>
            </w:pPr>
            <w:r>
              <w:rPr>
                <w:color w:val="231F20"/>
                <w:sz w:val="13"/>
              </w:rPr>
              <w:t>Autos</w:t>
              <w:tab/>
            </w:r>
            <w:r>
              <w:rPr>
                <w:color w:val="231F20"/>
                <w:spacing w:val="-3"/>
                <w:sz w:val="13"/>
              </w:rPr>
              <w:t>Toluca</w:t>
            </w:r>
          </w:p>
        </w:tc>
        <w:tc>
          <w:tcPr>
            <w:tcW w:w="524" w:type="dxa"/>
          </w:tcPr>
          <w:p>
            <w:pPr>
              <w:pStyle w:val="TableParagraph"/>
              <w:spacing w:before="74"/>
              <w:ind w:left="97" w:right="28"/>
              <w:rPr>
                <w:sz w:val="13"/>
              </w:rPr>
            </w:pPr>
            <w:r>
              <w:rPr>
                <w:color w:val="231F20"/>
                <w:sz w:val="13"/>
              </w:rPr>
              <w:t>42,465</w:t>
            </w:r>
          </w:p>
        </w:tc>
        <w:tc>
          <w:tcPr>
            <w:tcW w:w="454" w:type="dxa"/>
          </w:tcPr>
          <w:p>
            <w:pPr>
              <w:pStyle w:val="TableParagraph"/>
              <w:spacing w:before="74"/>
              <w:ind w:left="28" w:right="28"/>
              <w:rPr>
                <w:sz w:val="13"/>
              </w:rPr>
            </w:pPr>
            <w:r>
              <w:rPr>
                <w:color w:val="231F20"/>
                <w:sz w:val="13"/>
              </w:rPr>
              <w:t>49,597</w:t>
            </w:r>
          </w:p>
        </w:tc>
        <w:tc>
          <w:tcPr>
            <w:tcW w:w="454" w:type="dxa"/>
          </w:tcPr>
          <w:p>
            <w:pPr>
              <w:pStyle w:val="TableParagraph"/>
              <w:spacing w:before="74"/>
              <w:ind w:left="28" w:right="28"/>
              <w:rPr>
                <w:sz w:val="13"/>
              </w:rPr>
            </w:pPr>
            <w:r>
              <w:rPr>
                <w:color w:val="231F20"/>
                <w:sz w:val="13"/>
              </w:rPr>
              <w:t>45,075</w:t>
            </w:r>
          </w:p>
        </w:tc>
        <w:tc>
          <w:tcPr>
            <w:tcW w:w="454" w:type="dxa"/>
          </w:tcPr>
          <w:p>
            <w:pPr>
              <w:pStyle w:val="TableParagraph"/>
              <w:spacing w:before="74"/>
              <w:ind w:left="28" w:right="28"/>
              <w:rPr>
                <w:sz w:val="13"/>
              </w:rPr>
            </w:pPr>
            <w:r>
              <w:rPr>
                <w:color w:val="231F20"/>
                <w:sz w:val="13"/>
              </w:rPr>
              <w:t>51,528</w:t>
            </w:r>
          </w:p>
        </w:tc>
        <w:tc>
          <w:tcPr>
            <w:tcW w:w="454" w:type="dxa"/>
          </w:tcPr>
          <w:p>
            <w:pPr>
              <w:pStyle w:val="TableParagraph"/>
              <w:spacing w:before="74"/>
              <w:ind w:left="28" w:right="28"/>
              <w:rPr>
                <w:sz w:val="13"/>
              </w:rPr>
            </w:pPr>
            <w:r>
              <w:rPr>
                <w:color w:val="231F20"/>
                <w:sz w:val="13"/>
              </w:rPr>
              <w:t>38,779</w:t>
            </w:r>
          </w:p>
        </w:tc>
        <w:tc>
          <w:tcPr>
            <w:tcW w:w="454" w:type="dxa"/>
          </w:tcPr>
          <w:p>
            <w:pPr>
              <w:pStyle w:val="TableParagraph"/>
              <w:spacing w:before="74"/>
              <w:ind w:left="28" w:right="28"/>
              <w:rPr>
                <w:sz w:val="13"/>
              </w:rPr>
            </w:pPr>
            <w:r>
              <w:rPr>
                <w:color w:val="231F20"/>
                <w:sz w:val="13"/>
              </w:rPr>
              <w:t>44,105</w:t>
            </w:r>
          </w:p>
        </w:tc>
        <w:tc>
          <w:tcPr>
            <w:tcW w:w="454" w:type="dxa"/>
          </w:tcPr>
          <w:p>
            <w:pPr>
              <w:pStyle w:val="TableParagraph"/>
              <w:spacing w:before="74"/>
              <w:ind w:left="28" w:right="28"/>
              <w:rPr>
                <w:sz w:val="13"/>
              </w:rPr>
            </w:pPr>
            <w:r>
              <w:rPr>
                <w:color w:val="231F20"/>
                <w:sz w:val="13"/>
              </w:rPr>
              <w:t>24,474</w:t>
            </w:r>
          </w:p>
        </w:tc>
        <w:tc>
          <w:tcPr>
            <w:tcW w:w="469" w:type="dxa"/>
          </w:tcPr>
          <w:p>
            <w:pPr>
              <w:pStyle w:val="TableParagraph"/>
              <w:spacing w:before="74"/>
              <w:ind w:left="28" w:right="42"/>
              <w:rPr>
                <w:sz w:val="13"/>
              </w:rPr>
            </w:pPr>
            <w:r>
              <w:rPr>
                <w:color w:val="231F20"/>
                <w:sz w:val="13"/>
              </w:rPr>
              <w:t>1,905</w:t>
            </w:r>
          </w:p>
        </w:tc>
        <w:tc>
          <w:tcPr>
            <w:tcW w:w="438" w:type="dxa"/>
          </w:tcPr>
          <w:p>
            <w:pPr>
              <w:pStyle w:val="TableParagraph"/>
              <w:spacing w:before="74"/>
              <w:ind w:left="44" w:right="58"/>
              <w:rPr>
                <w:sz w:val="13"/>
              </w:rPr>
            </w:pPr>
            <w:r>
              <w:rPr>
                <w:color w:val="231F20"/>
                <w:sz w:val="13"/>
              </w:rPr>
              <w:t>3,332</w:t>
            </w:r>
          </w:p>
        </w:tc>
        <w:tc>
          <w:tcPr>
            <w:tcW w:w="438" w:type="dxa"/>
          </w:tcPr>
          <w:p>
            <w:pPr>
              <w:pStyle w:val="TableParagraph"/>
              <w:spacing w:before="74"/>
              <w:ind w:right="70"/>
              <w:jc w:val="right"/>
              <w:rPr>
                <w:sz w:val="13"/>
              </w:rPr>
            </w:pPr>
            <w:r>
              <w:rPr>
                <w:color w:val="231F20"/>
                <w:w w:val="95"/>
                <w:sz w:val="13"/>
              </w:rPr>
              <w:t>6,299</w:t>
            </w:r>
          </w:p>
        </w:tc>
        <w:tc>
          <w:tcPr>
            <w:tcW w:w="469" w:type="dxa"/>
          </w:tcPr>
          <w:p>
            <w:pPr>
              <w:pStyle w:val="TableParagraph"/>
              <w:spacing w:before="74"/>
              <w:ind w:left="42" w:right="28"/>
              <w:rPr>
                <w:sz w:val="13"/>
              </w:rPr>
            </w:pPr>
            <w:r>
              <w:rPr>
                <w:color w:val="231F20"/>
                <w:sz w:val="13"/>
              </w:rPr>
              <w:t>7,212</w:t>
            </w:r>
          </w:p>
        </w:tc>
        <w:tc>
          <w:tcPr>
            <w:tcW w:w="454" w:type="dxa"/>
          </w:tcPr>
          <w:p>
            <w:pPr>
              <w:pStyle w:val="TableParagraph"/>
              <w:spacing w:before="74"/>
              <w:ind w:left="28" w:right="28"/>
              <w:rPr>
                <w:sz w:val="13"/>
              </w:rPr>
            </w:pPr>
            <w:r>
              <w:rPr>
                <w:color w:val="231F20"/>
                <w:sz w:val="13"/>
              </w:rPr>
              <w:t>30,884</w:t>
            </w:r>
          </w:p>
        </w:tc>
        <w:tc>
          <w:tcPr>
            <w:tcW w:w="454" w:type="dxa"/>
          </w:tcPr>
          <w:p>
            <w:pPr>
              <w:pStyle w:val="TableParagraph"/>
              <w:spacing w:before="74"/>
              <w:ind w:left="28" w:right="28"/>
              <w:rPr>
                <w:sz w:val="13"/>
              </w:rPr>
            </w:pPr>
            <w:r>
              <w:rPr>
                <w:color w:val="231F20"/>
                <w:sz w:val="13"/>
              </w:rPr>
              <w:t>43,535</w:t>
            </w:r>
          </w:p>
        </w:tc>
        <w:tc>
          <w:tcPr>
            <w:tcW w:w="454" w:type="dxa"/>
          </w:tcPr>
          <w:p>
            <w:pPr>
              <w:pStyle w:val="TableParagraph"/>
              <w:spacing w:before="74"/>
              <w:ind w:left="28" w:right="28"/>
              <w:rPr>
                <w:sz w:val="13"/>
              </w:rPr>
            </w:pPr>
            <w:r>
              <w:rPr>
                <w:color w:val="231F20"/>
                <w:sz w:val="13"/>
              </w:rPr>
              <w:t>26,353</w:t>
            </w:r>
          </w:p>
        </w:tc>
        <w:tc>
          <w:tcPr>
            <w:tcW w:w="454" w:type="dxa"/>
          </w:tcPr>
          <w:p>
            <w:pPr>
              <w:pStyle w:val="TableParagraph"/>
              <w:spacing w:before="74"/>
              <w:ind w:left="28" w:right="28"/>
              <w:rPr>
                <w:sz w:val="13"/>
              </w:rPr>
            </w:pPr>
            <w:r>
              <w:rPr>
                <w:color w:val="231F20"/>
                <w:sz w:val="13"/>
              </w:rPr>
              <w:t>23,521</w:t>
            </w:r>
          </w:p>
        </w:tc>
        <w:tc>
          <w:tcPr>
            <w:tcW w:w="453" w:type="dxa"/>
          </w:tcPr>
          <w:p>
            <w:pPr>
              <w:pStyle w:val="TableParagraph"/>
              <w:spacing w:before="74"/>
              <w:ind w:left="27" w:right="27"/>
              <w:rPr>
                <w:sz w:val="13"/>
              </w:rPr>
            </w:pPr>
            <w:r>
              <w:rPr>
                <w:color w:val="231F20"/>
                <w:sz w:val="13"/>
              </w:rPr>
              <w:t>24,703</w:t>
            </w:r>
          </w:p>
        </w:tc>
        <w:tc>
          <w:tcPr>
            <w:tcW w:w="454" w:type="dxa"/>
          </w:tcPr>
          <w:p>
            <w:pPr>
              <w:pStyle w:val="TableParagraph"/>
              <w:spacing w:before="74"/>
              <w:ind w:left="28" w:right="28"/>
              <w:rPr>
                <w:sz w:val="13"/>
              </w:rPr>
            </w:pPr>
            <w:r>
              <w:rPr>
                <w:color w:val="231F20"/>
                <w:sz w:val="13"/>
              </w:rPr>
              <w:t>49,562</w:t>
            </w:r>
          </w:p>
        </w:tc>
        <w:tc>
          <w:tcPr>
            <w:tcW w:w="1809" w:type="dxa"/>
          </w:tcPr>
          <w:p>
            <w:pPr>
              <w:pStyle w:val="TableParagraph"/>
              <w:spacing w:before="74"/>
              <w:ind w:left="55"/>
              <w:jc w:val="left"/>
              <w:rPr>
                <w:sz w:val="13"/>
              </w:rPr>
            </w:pPr>
            <w:r>
              <w:rPr>
                <w:color w:val="231F20"/>
                <w:sz w:val="13"/>
              </w:rPr>
              <w:t>85,893 123,494 101,818 110,509</w:t>
            </w:r>
          </w:p>
        </w:tc>
      </w:tr>
      <w:tr>
        <w:trPr>
          <w:trHeight w:val="383" w:hRule="exact"/>
        </w:trPr>
        <w:tc>
          <w:tcPr>
            <w:tcW w:w="1326" w:type="dxa"/>
          </w:tcPr>
          <w:p>
            <w:pPr>
              <w:pStyle w:val="TableParagraph"/>
              <w:spacing w:line="111" w:lineRule="exact" w:before="22"/>
              <w:ind w:left="69"/>
              <w:jc w:val="left"/>
              <w:rPr>
                <w:sz w:val="13"/>
              </w:rPr>
            </w:pPr>
            <w:r>
              <w:rPr>
                <w:color w:val="231F20"/>
                <w:sz w:val="13"/>
              </w:rPr>
              <w:t>Camiones</w:t>
            </w:r>
          </w:p>
          <w:p>
            <w:pPr>
              <w:pStyle w:val="TableParagraph"/>
              <w:tabs>
                <w:tab w:pos="853" w:val="left" w:leader="none"/>
              </w:tabs>
              <w:spacing w:line="181" w:lineRule="exact"/>
              <w:ind w:left="159"/>
              <w:jc w:val="left"/>
              <w:rPr>
                <w:sz w:val="13"/>
              </w:rPr>
            </w:pPr>
            <w:r>
              <w:rPr>
                <w:color w:val="231F20"/>
                <w:sz w:val="13"/>
              </w:rPr>
              <w:t>ligeros</w:t>
              <w:tab/>
            </w:r>
            <w:r>
              <w:rPr>
                <w:color w:val="231F20"/>
                <w:spacing w:val="-3"/>
                <w:position w:val="7"/>
                <w:sz w:val="13"/>
              </w:rPr>
              <w:t>Toluca</w:t>
            </w:r>
          </w:p>
        </w:tc>
        <w:tc>
          <w:tcPr>
            <w:tcW w:w="524" w:type="dxa"/>
          </w:tcPr>
          <w:p>
            <w:pPr>
              <w:pStyle w:val="TableParagraph"/>
              <w:spacing w:before="93"/>
              <w:ind w:left="97" w:right="27"/>
              <w:rPr>
                <w:sz w:val="13"/>
              </w:rPr>
            </w:pPr>
            <w:r>
              <w:rPr>
                <w:color w:val="231F20"/>
                <w:sz w:val="13"/>
              </w:rPr>
              <w:t>27,158</w:t>
            </w:r>
          </w:p>
        </w:tc>
        <w:tc>
          <w:tcPr>
            <w:tcW w:w="454" w:type="dxa"/>
          </w:tcPr>
          <w:p>
            <w:pPr>
              <w:pStyle w:val="TableParagraph"/>
              <w:spacing w:before="93"/>
              <w:ind w:left="28" w:right="28"/>
              <w:rPr>
                <w:sz w:val="13"/>
              </w:rPr>
            </w:pPr>
            <w:r>
              <w:rPr>
                <w:color w:val="231F20"/>
                <w:sz w:val="13"/>
              </w:rPr>
              <w:t>41,459</w:t>
            </w:r>
          </w:p>
        </w:tc>
        <w:tc>
          <w:tcPr>
            <w:tcW w:w="454" w:type="dxa"/>
          </w:tcPr>
          <w:p>
            <w:pPr>
              <w:pStyle w:val="TableParagraph"/>
              <w:spacing w:before="93"/>
              <w:ind w:left="28" w:right="28"/>
              <w:rPr>
                <w:sz w:val="13"/>
              </w:rPr>
            </w:pPr>
            <w:r>
              <w:rPr>
                <w:color w:val="231F20"/>
                <w:sz w:val="13"/>
              </w:rPr>
              <w:t>54,615</w:t>
            </w:r>
          </w:p>
        </w:tc>
        <w:tc>
          <w:tcPr>
            <w:tcW w:w="454" w:type="dxa"/>
          </w:tcPr>
          <w:p>
            <w:pPr>
              <w:pStyle w:val="TableParagraph"/>
              <w:spacing w:before="93"/>
              <w:ind w:left="28" w:right="28"/>
              <w:rPr>
                <w:sz w:val="13"/>
              </w:rPr>
            </w:pPr>
            <w:r>
              <w:rPr>
                <w:color w:val="231F20"/>
                <w:sz w:val="13"/>
              </w:rPr>
              <w:t>55,717</w:t>
            </w:r>
          </w:p>
        </w:tc>
        <w:tc>
          <w:tcPr>
            <w:tcW w:w="454" w:type="dxa"/>
          </w:tcPr>
          <w:p>
            <w:pPr>
              <w:pStyle w:val="TableParagraph"/>
              <w:spacing w:before="93"/>
              <w:ind w:left="28" w:right="28"/>
              <w:rPr>
                <w:sz w:val="13"/>
              </w:rPr>
            </w:pPr>
            <w:r>
              <w:rPr>
                <w:color w:val="231F20"/>
                <w:sz w:val="13"/>
              </w:rPr>
              <w:t>56,853</w:t>
            </w:r>
          </w:p>
        </w:tc>
        <w:tc>
          <w:tcPr>
            <w:tcW w:w="454" w:type="dxa"/>
          </w:tcPr>
          <w:p>
            <w:pPr>
              <w:pStyle w:val="TableParagraph"/>
              <w:spacing w:before="93"/>
              <w:ind w:left="28" w:right="28"/>
              <w:rPr>
                <w:sz w:val="13"/>
              </w:rPr>
            </w:pPr>
            <w:r>
              <w:rPr>
                <w:color w:val="231F20"/>
                <w:sz w:val="13"/>
              </w:rPr>
              <w:t>31,991</w:t>
            </w:r>
          </w:p>
        </w:tc>
        <w:tc>
          <w:tcPr>
            <w:tcW w:w="454" w:type="dxa"/>
          </w:tcPr>
          <w:p>
            <w:pPr>
              <w:pStyle w:val="TableParagraph"/>
              <w:spacing w:before="93"/>
              <w:ind w:left="28" w:right="28"/>
              <w:rPr>
                <w:sz w:val="13"/>
              </w:rPr>
            </w:pPr>
            <w:r>
              <w:rPr>
                <w:color w:val="231F20"/>
                <w:sz w:val="13"/>
              </w:rPr>
              <w:t>33,952</w:t>
            </w:r>
          </w:p>
        </w:tc>
        <w:tc>
          <w:tcPr>
            <w:tcW w:w="469" w:type="dxa"/>
          </w:tcPr>
          <w:p>
            <w:pPr>
              <w:pStyle w:val="TableParagraph"/>
              <w:spacing w:before="93"/>
              <w:ind w:left="29" w:right="42"/>
              <w:rPr>
                <w:sz w:val="13"/>
              </w:rPr>
            </w:pPr>
            <w:r>
              <w:rPr>
                <w:color w:val="231F20"/>
                <w:sz w:val="13"/>
              </w:rPr>
              <w:t>10,412</w:t>
            </w:r>
          </w:p>
        </w:tc>
        <w:tc>
          <w:tcPr>
            <w:tcW w:w="438" w:type="dxa"/>
          </w:tcPr>
          <w:p>
            <w:pPr>
              <w:pStyle w:val="TableParagraph"/>
              <w:spacing w:before="93"/>
              <w:ind w:left="45" w:right="58"/>
              <w:rPr>
                <w:sz w:val="13"/>
              </w:rPr>
            </w:pPr>
            <w:r>
              <w:rPr>
                <w:color w:val="231F20"/>
                <w:sz w:val="13"/>
              </w:rPr>
              <w:t>3,809</w:t>
            </w:r>
          </w:p>
        </w:tc>
        <w:tc>
          <w:tcPr>
            <w:tcW w:w="438" w:type="dxa"/>
          </w:tcPr>
          <w:p>
            <w:pPr>
              <w:pStyle w:val="TableParagraph"/>
              <w:spacing w:before="93"/>
              <w:ind w:right="69"/>
              <w:jc w:val="right"/>
              <w:rPr>
                <w:sz w:val="13"/>
              </w:rPr>
            </w:pPr>
            <w:r>
              <w:rPr>
                <w:color w:val="231F20"/>
                <w:w w:val="95"/>
                <w:sz w:val="13"/>
              </w:rPr>
              <w:t>4,418</w:t>
            </w:r>
          </w:p>
        </w:tc>
        <w:tc>
          <w:tcPr>
            <w:tcW w:w="469" w:type="dxa"/>
          </w:tcPr>
          <w:p>
            <w:pPr>
              <w:pStyle w:val="TableParagraph"/>
              <w:spacing w:before="93"/>
              <w:ind w:left="43" w:right="28"/>
              <w:rPr>
                <w:sz w:val="13"/>
              </w:rPr>
            </w:pPr>
            <w:r>
              <w:rPr>
                <w:color w:val="231F20"/>
                <w:sz w:val="13"/>
              </w:rPr>
              <w:t>10,717</w:t>
            </w:r>
          </w:p>
        </w:tc>
        <w:tc>
          <w:tcPr>
            <w:tcW w:w="454" w:type="dxa"/>
          </w:tcPr>
          <w:p>
            <w:pPr>
              <w:pStyle w:val="TableParagraph"/>
              <w:spacing w:before="93"/>
              <w:ind w:left="28" w:right="28"/>
              <w:rPr>
                <w:sz w:val="13"/>
              </w:rPr>
            </w:pPr>
            <w:r>
              <w:rPr>
                <w:color w:val="231F20"/>
                <w:sz w:val="13"/>
              </w:rPr>
              <w:t>12,961</w:t>
            </w:r>
          </w:p>
        </w:tc>
        <w:tc>
          <w:tcPr>
            <w:tcW w:w="454" w:type="dxa"/>
          </w:tcPr>
          <w:p>
            <w:pPr>
              <w:pStyle w:val="TableParagraph"/>
              <w:spacing w:before="93"/>
              <w:ind w:left="28" w:right="28"/>
              <w:rPr>
                <w:sz w:val="13"/>
              </w:rPr>
            </w:pPr>
            <w:r>
              <w:rPr>
                <w:color w:val="231F20"/>
                <w:sz w:val="13"/>
              </w:rPr>
              <w:t>10,496</w:t>
            </w:r>
          </w:p>
        </w:tc>
        <w:tc>
          <w:tcPr>
            <w:tcW w:w="454" w:type="dxa"/>
          </w:tcPr>
          <w:p>
            <w:pPr>
              <w:pStyle w:val="TableParagraph"/>
              <w:spacing w:before="93"/>
              <w:ind w:left="28" w:right="28"/>
              <w:rPr>
                <w:sz w:val="13"/>
              </w:rPr>
            </w:pPr>
            <w:r>
              <w:rPr>
                <w:color w:val="231F20"/>
                <w:sz w:val="13"/>
              </w:rPr>
              <w:t>11,381</w:t>
            </w:r>
          </w:p>
        </w:tc>
        <w:tc>
          <w:tcPr>
            <w:tcW w:w="454" w:type="dxa"/>
          </w:tcPr>
          <w:p>
            <w:pPr>
              <w:pStyle w:val="TableParagraph"/>
              <w:spacing w:before="93"/>
              <w:ind w:left="28" w:right="28"/>
              <w:rPr>
                <w:sz w:val="13"/>
              </w:rPr>
            </w:pPr>
            <w:r>
              <w:rPr>
                <w:color w:val="231F20"/>
                <w:sz w:val="13"/>
              </w:rPr>
              <w:t>15,064</w:t>
            </w:r>
          </w:p>
        </w:tc>
        <w:tc>
          <w:tcPr>
            <w:tcW w:w="453" w:type="dxa"/>
          </w:tcPr>
          <w:p>
            <w:pPr>
              <w:pStyle w:val="TableParagraph"/>
              <w:spacing w:before="93"/>
              <w:ind w:left="27" w:right="27"/>
              <w:rPr>
                <w:sz w:val="13"/>
              </w:rPr>
            </w:pPr>
            <w:r>
              <w:rPr>
                <w:color w:val="231F20"/>
                <w:sz w:val="13"/>
              </w:rPr>
              <w:t>9,874</w:t>
            </w:r>
          </w:p>
        </w:tc>
        <w:tc>
          <w:tcPr>
            <w:tcW w:w="454" w:type="dxa"/>
          </w:tcPr>
          <w:p>
            <w:pPr>
              <w:pStyle w:val="TableParagraph"/>
              <w:spacing w:before="93"/>
              <w:ind w:left="28" w:right="28"/>
              <w:rPr>
                <w:sz w:val="13"/>
              </w:rPr>
            </w:pPr>
            <w:r>
              <w:rPr>
                <w:color w:val="231F20"/>
                <w:sz w:val="13"/>
              </w:rPr>
              <w:t>17,955</w:t>
            </w:r>
          </w:p>
        </w:tc>
        <w:tc>
          <w:tcPr>
            <w:tcW w:w="1809" w:type="dxa"/>
          </w:tcPr>
          <w:p>
            <w:pPr>
              <w:pStyle w:val="TableParagraph"/>
              <w:spacing w:before="93"/>
              <w:ind w:left="56"/>
              <w:jc w:val="left"/>
              <w:rPr>
                <w:sz w:val="13"/>
              </w:rPr>
            </w:pPr>
            <w:r>
              <w:rPr>
                <w:color w:val="231F20"/>
                <w:sz w:val="13"/>
              </w:rPr>
              <w:t>65,053  113,273  82,498 109,941</w:t>
            </w:r>
          </w:p>
        </w:tc>
      </w:tr>
      <w:tr>
        <w:trPr>
          <w:trHeight w:val="380" w:hRule="exact"/>
        </w:trPr>
        <w:tc>
          <w:tcPr>
            <w:tcW w:w="1326" w:type="dxa"/>
            <w:tcBorders>
              <w:bottom w:val="single" w:sz="4" w:space="0" w:color="231F20"/>
            </w:tcBorders>
          </w:tcPr>
          <w:p>
            <w:pPr>
              <w:pStyle w:val="TableParagraph"/>
              <w:spacing w:line="111" w:lineRule="exact" w:before="36"/>
              <w:ind w:left="69"/>
              <w:jc w:val="left"/>
              <w:rPr>
                <w:sz w:val="13"/>
              </w:rPr>
            </w:pPr>
            <w:r>
              <w:rPr>
                <w:color w:val="231F20"/>
                <w:sz w:val="13"/>
              </w:rPr>
              <w:t>Camiones</w:t>
            </w:r>
          </w:p>
          <w:p>
            <w:pPr>
              <w:pStyle w:val="TableParagraph"/>
              <w:tabs>
                <w:tab w:pos="854" w:val="left" w:leader="none"/>
              </w:tabs>
              <w:spacing w:line="181" w:lineRule="exact"/>
              <w:ind w:left="124"/>
              <w:jc w:val="left"/>
              <w:rPr>
                <w:sz w:val="13"/>
              </w:rPr>
            </w:pPr>
            <w:r>
              <w:rPr>
                <w:color w:val="231F20"/>
                <w:sz w:val="13"/>
              </w:rPr>
              <w:t>pesados</w:t>
              <w:tab/>
            </w:r>
            <w:r>
              <w:rPr>
                <w:color w:val="231F20"/>
                <w:spacing w:val="-3"/>
                <w:position w:val="7"/>
                <w:sz w:val="13"/>
              </w:rPr>
              <w:t>Toluca</w:t>
            </w:r>
          </w:p>
        </w:tc>
        <w:tc>
          <w:tcPr>
            <w:tcW w:w="524" w:type="dxa"/>
            <w:tcBorders>
              <w:bottom w:val="single" w:sz="4" w:space="0" w:color="231F20"/>
            </w:tcBorders>
          </w:tcPr>
          <w:p>
            <w:pPr>
              <w:pStyle w:val="TableParagraph"/>
              <w:spacing w:before="107"/>
              <w:ind w:left="7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0</w:t>
            </w:r>
          </w:p>
        </w:tc>
        <w:tc>
          <w:tcPr>
            <w:tcW w:w="454" w:type="dxa"/>
            <w:tcBorders>
              <w:bottom w:val="single" w:sz="4" w:space="0" w:color="231F20"/>
            </w:tcBorders>
          </w:tcPr>
          <w:p>
            <w:pPr>
              <w:pStyle w:val="TableParagraph"/>
              <w:spacing w:before="107"/>
              <w:ind w:left="1"/>
              <w:rPr>
                <w:sz w:val="13"/>
              </w:rPr>
            </w:pPr>
            <w:r>
              <w:rPr>
                <w:color w:val="231F20"/>
                <w:w w:val="96"/>
                <w:sz w:val="13"/>
              </w:rPr>
              <w:t>5</w:t>
            </w:r>
          </w:p>
        </w:tc>
        <w:tc>
          <w:tcPr>
            <w:tcW w:w="469" w:type="dxa"/>
            <w:tcBorders>
              <w:bottom w:val="single" w:sz="4" w:space="0" w:color="231F20"/>
            </w:tcBorders>
          </w:tcPr>
          <w:p>
            <w:pPr>
              <w:pStyle w:val="TableParagraph"/>
              <w:spacing w:before="107"/>
              <w:ind w:left="29" w:right="41"/>
              <w:rPr>
                <w:sz w:val="13"/>
              </w:rPr>
            </w:pPr>
            <w:r>
              <w:rPr>
                <w:color w:val="231F20"/>
                <w:sz w:val="13"/>
              </w:rPr>
              <w:t>416</w:t>
            </w:r>
          </w:p>
        </w:tc>
        <w:tc>
          <w:tcPr>
            <w:tcW w:w="438" w:type="dxa"/>
            <w:tcBorders>
              <w:bottom w:val="single" w:sz="4" w:space="0" w:color="231F20"/>
            </w:tcBorders>
          </w:tcPr>
          <w:p>
            <w:pPr>
              <w:pStyle w:val="TableParagraph"/>
              <w:spacing w:before="107"/>
              <w:ind w:left="45" w:right="57"/>
              <w:rPr>
                <w:sz w:val="13"/>
              </w:rPr>
            </w:pPr>
            <w:r>
              <w:rPr>
                <w:color w:val="231F20"/>
                <w:sz w:val="13"/>
              </w:rPr>
              <w:t>1,121</w:t>
            </w:r>
          </w:p>
        </w:tc>
        <w:tc>
          <w:tcPr>
            <w:tcW w:w="438" w:type="dxa"/>
            <w:tcBorders>
              <w:bottom w:val="single" w:sz="4" w:space="0" w:color="231F20"/>
            </w:tcBorders>
          </w:tcPr>
          <w:p>
            <w:pPr>
              <w:pStyle w:val="TableParagraph"/>
              <w:spacing w:before="107"/>
              <w:ind w:right="69"/>
              <w:jc w:val="right"/>
              <w:rPr>
                <w:sz w:val="13"/>
              </w:rPr>
            </w:pPr>
            <w:r>
              <w:rPr>
                <w:color w:val="231F20"/>
                <w:w w:val="95"/>
                <w:sz w:val="13"/>
              </w:rPr>
              <w:t>1,415</w:t>
            </w:r>
          </w:p>
        </w:tc>
        <w:tc>
          <w:tcPr>
            <w:tcW w:w="469" w:type="dxa"/>
            <w:tcBorders>
              <w:bottom w:val="single" w:sz="4" w:space="0" w:color="231F20"/>
            </w:tcBorders>
          </w:tcPr>
          <w:p>
            <w:pPr>
              <w:pStyle w:val="TableParagraph"/>
              <w:spacing w:before="107"/>
              <w:ind w:left="43" w:right="27"/>
              <w:rPr>
                <w:sz w:val="13"/>
              </w:rPr>
            </w:pPr>
            <w:r>
              <w:rPr>
                <w:color w:val="231F20"/>
                <w:sz w:val="13"/>
              </w:rPr>
              <w:t>1,512</w:t>
            </w:r>
          </w:p>
        </w:tc>
        <w:tc>
          <w:tcPr>
            <w:tcW w:w="454" w:type="dxa"/>
            <w:tcBorders>
              <w:bottom w:val="single" w:sz="4" w:space="0" w:color="231F20"/>
            </w:tcBorders>
          </w:tcPr>
          <w:p>
            <w:pPr>
              <w:pStyle w:val="TableParagraph"/>
              <w:spacing w:before="107"/>
              <w:ind w:left="28" w:right="27"/>
              <w:rPr>
                <w:sz w:val="13"/>
              </w:rPr>
            </w:pPr>
            <w:r>
              <w:rPr>
                <w:color w:val="231F20"/>
                <w:sz w:val="13"/>
              </w:rPr>
              <w:t>3,495</w:t>
            </w:r>
          </w:p>
        </w:tc>
        <w:tc>
          <w:tcPr>
            <w:tcW w:w="454" w:type="dxa"/>
            <w:tcBorders>
              <w:bottom w:val="single" w:sz="4" w:space="0" w:color="231F20"/>
            </w:tcBorders>
          </w:tcPr>
          <w:p>
            <w:pPr>
              <w:pStyle w:val="TableParagraph"/>
              <w:spacing w:before="107"/>
              <w:ind w:left="28" w:right="27"/>
              <w:rPr>
                <w:sz w:val="13"/>
              </w:rPr>
            </w:pPr>
            <w:r>
              <w:rPr>
                <w:color w:val="231F20"/>
                <w:sz w:val="13"/>
              </w:rPr>
              <w:t>1,884</w:t>
            </w:r>
          </w:p>
        </w:tc>
        <w:tc>
          <w:tcPr>
            <w:tcW w:w="454" w:type="dxa"/>
            <w:tcBorders>
              <w:bottom w:val="single" w:sz="4" w:space="0" w:color="231F20"/>
            </w:tcBorders>
          </w:tcPr>
          <w:p>
            <w:pPr>
              <w:pStyle w:val="TableParagraph"/>
              <w:spacing w:before="107"/>
              <w:ind w:left="28" w:right="27"/>
              <w:rPr>
                <w:sz w:val="13"/>
              </w:rPr>
            </w:pPr>
            <w:r>
              <w:rPr>
                <w:color w:val="231F20"/>
                <w:sz w:val="13"/>
              </w:rPr>
              <w:t>2,006</w:t>
            </w:r>
          </w:p>
        </w:tc>
        <w:tc>
          <w:tcPr>
            <w:tcW w:w="454" w:type="dxa"/>
            <w:tcBorders>
              <w:bottom w:val="single" w:sz="4" w:space="0" w:color="231F20"/>
            </w:tcBorders>
          </w:tcPr>
          <w:p>
            <w:pPr>
              <w:pStyle w:val="TableParagraph"/>
              <w:spacing w:before="107"/>
              <w:ind w:left="28" w:right="27"/>
              <w:rPr>
                <w:sz w:val="13"/>
              </w:rPr>
            </w:pPr>
            <w:r>
              <w:rPr>
                <w:color w:val="231F20"/>
                <w:sz w:val="13"/>
              </w:rPr>
              <w:t>2,392</w:t>
            </w:r>
          </w:p>
        </w:tc>
        <w:tc>
          <w:tcPr>
            <w:tcW w:w="453" w:type="dxa"/>
            <w:tcBorders>
              <w:bottom w:val="single" w:sz="4" w:space="0" w:color="231F20"/>
            </w:tcBorders>
          </w:tcPr>
          <w:p>
            <w:pPr>
              <w:pStyle w:val="TableParagraph"/>
              <w:spacing w:before="107"/>
              <w:ind w:left="27" w:right="26"/>
              <w:rPr>
                <w:sz w:val="13"/>
              </w:rPr>
            </w:pPr>
            <w:r>
              <w:rPr>
                <w:color w:val="231F20"/>
                <w:sz w:val="13"/>
              </w:rPr>
              <w:t>3,029</w:t>
            </w:r>
          </w:p>
        </w:tc>
        <w:tc>
          <w:tcPr>
            <w:tcW w:w="454" w:type="dxa"/>
            <w:tcBorders>
              <w:bottom w:val="single" w:sz="4" w:space="0" w:color="231F20"/>
            </w:tcBorders>
          </w:tcPr>
          <w:p>
            <w:pPr>
              <w:pStyle w:val="TableParagraph"/>
              <w:spacing w:before="107"/>
              <w:ind w:left="28" w:right="27"/>
              <w:rPr>
                <w:sz w:val="13"/>
              </w:rPr>
            </w:pPr>
            <w:r>
              <w:rPr>
                <w:color w:val="231F20"/>
                <w:sz w:val="13"/>
              </w:rPr>
              <w:t>2,017</w:t>
            </w:r>
          </w:p>
        </w:tc>
        <w:tc>
          <w:tcPr>
            <w:tcW w:w="1809" w:type="dxa"/>
            <w:tcBorders>
              <w:bottom w:val="single" w:sz="4" w:space="0" w:color="231F20"/>
            </w:tcBorders>
          </w:tcPr>
          <w:p>
            <w:pPr>
              <w:pStyle w:val="TableParagraph"/>
              <w:spacing w:before="107"/>
              <w:ind w:left="87"/>
              <w:jc w:val="left"/>
              <w:rPr>
                <w:sz w:val="13"/>
              </w:rPr>
            </w:pPr>
            <w:r>
              <w:rPr>
                <w:color w:val="231F20"/>
                <w:sz w:val="13"/>
              </w:rPr>
              <w:t>2,701     2,126     2,794    1,440</w:t>
            </w:r>
          </w:p>
        </w:tc>
      </w:tr>
    </w:tbl>
    <w:p>
      <w:pPr>
        <w:tabs>
          <w:tab w:pos="1535" w:val="left" w:leader="none"/>
        </w:tabs>
        <w:spacing w:before="99"/>
        <w:ind w:left="313" w:right="0" w:firstLine="0"/>
        <w:jc w:val="left"/>
        <w:rPr>
          <w:rFonts w:ascii="Palatino Linotype"/>
          <w:b/>
          <w:sz w:val="13"/>
        </w:rPr>
      </w:pPr>
      <w:r>
        <w:rPr/>
        <w:pict>
          <v:group style="position:absolute;margin-left:43.687pt;margin-top:19.070827pt;width:546.35pt;height:.5pt;mso-position-horizontal-relative:page;mso-position-vertical-relative:paragraph;z-index:9928;mso-wrap-distance-left:0;mso-wrap-distance-right:0" coordorigin="874,381" coordsize="10927,10">
            <v:line style="position:absolute" from="879,386" to="1531,386" stroked="true" strokeweight=".5pt" strokecolor="#231f20"/>
            <v:line style="position:absolute" from="1531,386" to="2271,386" stroked="true" strokeweight=".5pt" strokecolor="#231f20"/>
            <v:line style="position:absolute" from="2271,386" to="2724,386" stroked="true" strokeweight=".5pt" strokecolor="#231f20"/>
            <v:line style="position:absolute" from="2724,386" to="3178,386" stroked="true" strokeweight=".5pt" strokecolor="#231f20"/>
            <v:line style="position:absolute" from="3178,386" to="3631,386" stroked="true" strokeweight=".5pt" strokecolor="#231f20"/>
            <v:line style="position:absolute" from="3631,386" to="4085,386" stroked="true" strokeweight=".5pt" strokecolor="#231f20"/>
            <v:line style="position:absolute" from="4085,386" to="4538,386" stroked="true" strokeweight=".5pt" strokecolor="#231f20"/>
            <v:line style="position:absolute" from="4538,386" to="4992,386" stroked="true" strokeweight=".5pt" strokecolor="#231f20"/>
            <v:line style="position:absolute" from="4992,386" to="5445,386" stroked="true" strokeweight=".5pt" strokecolor="#231f20"/>
            <v:line style="position:absolute" from="5445,386" to="5899,386" stroked="true" strokeweight=".5pt" strokecolor="#231f20"/>
            <v:line style="position:absolute" from="5899,386" to="6352,386" stroked="true" strokeweight=".5pt" strokecolor="#231f20"/>
            <v:line style="position:absolute" from="6352,386" to="6806,386" stroked="true" strokeweight=".5pt" strokecolor="#231f20"/>
            <v:line style="position:absolute" from="6806,386" to="7260,386" stroked="true" strokeweight=".5pt" strokecolor="#231f20"/>
            <v:line style="position:absolute" from="7260,386" to="7713,386" stroked="true" strokeweight=".5pt" strokecolor="#231f20"/>
            <v:line style="position:absolute" from="7713,386" to="8167,386" stroked="true" strokeweight=".5pt" strokecolor="#231f20"/>
            <v:line style="position:absolute" from="8167,386" to="8620,386" stroked="true" strokeweight=".5pt" strokecolor="#231f20"/>
            <v:line style="position:absolute" from="8620,386" to="9074,386" stroked="true" strokeweight=".5pt" strokecolor="#231f20"/>
            <v:line style="position:absolute" from="9074,386" to="9527,386" stroked="true" strokeweight=".5pt" strokecolor="#231f20"/>
            <v:line style="position:absolute" from="9527,386" to="9981,386" stroked="true" strokeweight=".5pt" strokecolor="#231f20"/>
            <v:line style="position:absolute" from="9981,386" to="10434,386" stroked="true" strokeweight=".5pt" strokecolor="#231f20"/>
            <v:line style="position:absolute" from="10434,386" to="10888,386" stroked="true" strokeweight=".5pt" strokecolor="#231f20"/>
            <v:line style="position:absolute" from="10888,386" to="11341,386" stroked="true" strokeweight=".5pt" strokecolor="#231f20"/>
            <v:line style="position:absolute" from="11341,386" to="11795,386" stroked="true" strokeweight=".5pt" strokecolor="#231f20"/>
            <w10:wrap type="topAndBottom"/>
          </v:group>
        </w:pict>
      </w:r>
      <w:r>
        <w:rPr>
          <w:rFonts w:ascii="Palatino Linotype"/>
          <w:b/>
          <w:color w:val="231F20"/>
          <w:spacing w:val="-5"/>
          <w:sz w:val="13"/>
        </w:rPr>
        <w:t>Total</w:t>
        <w:tab/>
      </w:r>
      <w:r>
        <w:rPr>
          <w:rFonts w:ascii="Palatino Linotype"/>
          <w:b/>
          <w:color w:val="231F20"/>
          <w:sz w:val="13"/>
        </w:rPr>
        <w:t>216,898</w:t>
      </w:r>
      <w:r>
        <w:rPr>
          <w:rFonts w:ascii="Palatino Linotype"/>
          <w:b/>
          <w:color w:val="231F20"/>
          <w:spacing w:val="-7"/>
          <w:sz w:val="13"/>
        </w:rPr>
        <w:t> </w:t>
      </w:r>
      <w:r>
        <w:rPr>
          <w:rFonts w:ascii="Palatino Linotype"/>
          <w:b/>
          <w:color w:val="231F20"/>
          <w:sz w:val="13"/>
        </w:rPr>
        <w:t>304,128</w:t>
      </w:r>
      <w:r>
        <w:rPr>
          <w:rFonts w:ascii="Palatino Linotype"/>
          <w:b/>
          <w:color w:val="231F20"/>
          <w:spacing w:val="-7"/>
          <w:sz w:val="13"/>
        </w:rPr>
        <w:t> </w:t>
      </w:r>
      <w:r>
        <w:rPr>
          <w:rFonts w:ascii="Palatino Linotype"/>
          <w:b/>
          <w:color w:val="231F20"/>
          <w:sz w:val="13"/>
        </w:rPr>
        <w:t>302,500</w:t>
      </w:r>
      <w:r>
        <w:rPr>
          <w:rFonts w:ascii="Palatino Linotype"/>
          <w:b/>
          <w:color w:val="231F20"/>
          <w:spacing w:val="-7"/>
          <w:sz w:val="13"/>
        </w:rPr>
        <w:t> </w:t>
      </w:r>
      <w:r>
        <w:rPr>
          <w:rFonts w:ascii="Palatino Linotype"/>
          <w:b/>
          <w:color w:val="231F20"/>
          <w:sz w:val="13"/>
        </w:rPr>
        <w:t>364,693</w:t>
      </w:r>
      <w:r>
        <w:rPr>
          <w:rFonts w:ascii="Palatino Linotype"/>
          <w:b/>
          <w:color w:val="231F20"/>
          <w:spacing w:val="-7"/>
          <w:sz w:val="13"/>
        </w:rPr>
        <w:t> </w:t>
      </w:r>
      <w:r>
        <w:rPr>
          <w:rFonts w:ascii="Palatino Linotype"/>
          <w:b/>
          <w:color w:val="231F20"/>
          <w:sz w:val="13"/>
        </w:rPr>
        <w:t>407,079</w:t>
      </w:r>
      <w:r>
        <w:rPr>
          <w:rFonts w:ascii="Palatino Linotype"/>
          <w:b/>
          <w:color w:val="231F20"/>
          <w:spacing w:val="-7"/>
          <w:sz w:val="13"/>
        </w:rPr>
        <w:t> </w:t>
      </w:r>
      <w:r>
        <w:rPr>
          <w:rFonts w:ascii="Palatino Linotype"/>
          <w:b/>
          <w:color w:val="231F20"/>
          <w:sz w:val="13"/>
        </w:rPr>
        <w:t>293,827</w:t>
      </w:r>
      <w:r>
        <w:rPr>
          <w:rFonts w:ascii="Palatino Linotype"/>
          <w:b/>
          <w:color w:val="231F20"/>
          <w:spacing w:val="-7"/>
          <w:sz w:val="13"/>
        </w:rPr>
        <w:t> </w:t>
      </w:r>
      <w:r>
        <w:rPr>
          <w:rFonts w:ascii="Palatino Linotype"/>
          <w:b/>
          <w:color w:val="231F20"/>
          <w:sz w:val="13"/>
        </w:rPr>
        <w:t>217,316</w:t>
      </w:r>
      <w:r>
        <w:rPr>
          <w:rFonts w:ascii="Palatino Linotype"/>
          <w:b/>
          <w:color w:val="231F20"/>
          <w:spacing w:val="16"/>
          <w:sz w:val="13"/>
        </w:rPr>
        <w:t> </w:t>
      </w:r>
      <w:r>
        <w:rPr>
          <w:rFonts w:ascii="Palatino Linotype"/>
          <w:b/>
          <w:color w:val="231F20"/>
          <w:sz w:val="13"/>
        </w:rPr>
        <w:t>99,298</w:t>
      </w:r>
      <w:r>
        <w:rPr>
          <w:rFonts w:ascii="Palatino Linotype"/>
          <w:b/>
          <w:color w:val="231F20"/>
          <w:spacing w:val="16"/>
          <w:sz w:val="13"/>
        </w:rPr>
        <w:t> </w:t>
      </w:r>
      <w:r>
        <w:rPr>
          <w:rFonts w:ascii="Palatino Linotype"/>
          <w:b/>
          <w:color w:val="231F20"/>
          <w:sz w:val="13"/>
        </w:rPr>
        <w:t>132,808</w:t>
      </w:r>
      <w:r>
        <w:rPr>
          <w:rFonts w:ascii="Palatino Linotype"/>
          <w:b/>
          <w:color w:val="231F20"/>
          <w:spacing w:val="-7"/>
          <w:sz w:val="13"/>
        </w:rPr>
        <w:t> </w:t>
      </w:r>
      <w:r>
        <w:rPr>
          <w:rFonts w:ascii="Palatino Linotype"/>
          <w:b/>
          <w:color w:val="231F20"/>
          <w:sz w:val="13"/>
        </w:rPr>
        <w:t>147,814</w:t>
      </w:r>
      <w:r>
        <w:rPr>
          <w:rFonts w:ascii="Palatino Linotype"/>
          <w:b/>
          <w:color w:val="231F20"/>
          <w:spacing w:val="-7"/>
          <w:sz w:val="13"/>
        </w:rPr>
        <w:t> </w:t>
      </w:r>
      <w:r>
        <w:rPr>
          <w:rFonts w:ascii="Palatino Linotype"/>
          <w:b/>
          <w:color w:val="231F20"/>
          <w:sz w:val="13"/>
        </w:rPr>
        <w:t>104,157</w:t>
      </w:r>
      <w:r>
        <w:rPr>
          <w:rFonts w:ascii="Palatino Linotype"/>
          <w:b/>
          <w:color w:val="231F20"/>
          <w:spacing w:val="-7"/>
          <w:sz w:val="13"/>
        </w:rPr>
        <w:t> </w:t>
      </w:r>
      <w:r>
        <w:rPr>
          <w:rFonts w:ascii="Palatino Linotype"/>
          <w:b/>
          <w:color w:val="231F20"/>
          <w:sz w:val="13"/>
        </w:rPr>
        <w:t>144,331</w:t>
      </w:r>
      <w:r>
        <w:rPr>
          <w:rFonts w:ascii="Palatino Linotype"/>
          <w:b/>
          <w:color w:val="231F20"/>
          <w:spacing w:val="-7"/>
          <w:sz w:val="13"/>
        </w:rPr>
        <w:t> </w:t>
      </w:r>
      <w:r>
        <w:rPr>
          <w:rFonts w:ascii="Palatino Linotype"/>
          <w:b/>
          <w:color w:val="231F20"/>
          <w:sz w:val="13"/>
        </w:rPr>
        <w:t>563,918</w:t>
      </w:r>
      <w:r>
        <w:rPr>
          <w:rFonts w:ascii="Palatino Linotype"/>
          <w:b/>
          <w:color w:val="231F20"/>
          <w:spacing w:val="-7"/>
          <w:sz w:val="13"/>
        </w:rPr>
        <w:t> </w:t>
      </w:r>
      <w:r>
        <w:rPr>
          <w:rFonts w:ascii="Palatino Linotype"/>
          <w:b/>
          <w:color w:val="231F20"/>
          <w:sz w:val="13"/>
        </w:rPr>
        <w:t>563,864</w:t>
      </w:r>
      <w:r>
        <w:rPr>
          <w:rFonts w:ascii="Palatino Linotype"/>
          <w:b/>
          <w:color w:val="231F20"/>
          <w:spacing w:val="-7"/>
          <w:sz w:val="13"/>
        </w:rPr>
        <w:t> </w:t>
      </w:r>
      <w:r>
        <w:rPr>
          <w:rFonts w:ascii="Palatino Linotype"/>
          <w:b/>
          <w:color w:val="231F20"/>
          <w:sz w:val="13"/>
        </w:rPr>
        <w:t>538,585</w:t>
      </w:r>
      <w:r>
        <w:rPr>
          <w:rFonts w:ascii="Palatino Linotype"/>
          <w:b/>
          <w:color w:val="231F20"/>
          <w:spacing w:val="-7"/>
          <w:sz w:val="13"/>
        </w:rPr>
        <w:t> </w:t>
      </w:r>
      <w:r>
        <w:rPr>
          <w:rFonts w:ascii="Palatino Linotype"/>
          <w:b/>
          <w:color w:val="231F20"/>
          <w:sz w:val="13"/>
        </w:rPr>
        <w:t>468,859</w:t>
      </w:r>
      <w:r>
        <w:rPr>
          <w:rFonts w:ascii="Palatino Linotype"/>
          <w:b/>
          <w:color w:val="231F20"/>
          <w:spacing w:val="-7"/>
          <w:sz w:val="13"/>
        </w:rPr>
        <w:t> </w:t>
      </w:r>
      <w:r>
        <w:rPr>
          <w:rFonts w:ascii="Palatino Linotype"/>
          <w:b/>
          <w:color w:val="231F20"/>
          <w:sz w:val="13"/>
        </w:rPr>
        <w:t>505,880</w:t>
      </w:r>
      <w:r>
        <w:rPr>
          <w:rFonts w:ascii="Palatino Linotype"/>
          <w:b/>
          <w:color w:val="231F20"/>
          <w:spacing w:val="-7"/>
          <w:sz w:val="13"/>
        </w:rPr>
        <w:t> </w:t>
      </w:r>
      <w:r>
        <w:rPr>
          <w:rFonts w:ascii="Palatino Linotype"/>
          <w:b/>
          <w:color w:val="231F20"/>
          <w:sz w:val="13"/>
        </w:rPr>
        <w:t>559,955</w:t>
      </w:r>
      <w:r>
        <w:rPr>
          <w:rFonts w:ascii="Palatino Linotype"/>
          <w:b/>
          <w:color w:val="231F20"/>
          <w:spacing w:val="-7"/>
          <w:sz w:val="13"/>
        </w:rPr>
        <w:t> </w:t>
      </w:r>
      <w:r>
        <w:rPr>
          <w:rFonts w:ascii="Palatino Linotype"/>
          <w:b/>
          <w:color w:val="231F20"/>
          <w:sz w:val="13"/>
        </w:rPr>
        <w:t>447,425</w:t>
      </w:r>
      <w:r>
        <w:rPr>
          <w:rFonts w:ascii="Palatino Linotype"/>
          <w:b/>
          <w:color w:val="231F20"/>
          <w:spacing w:val="-7"/>
          <w:sz w:val="13"/>
        </w:rPr>
        <w:t> </w:t>
      </w:r>
      <w:r>
        <w:rPr>
          <w:rFonts w:ascii="Palatino Linotype"/>
          <w:b/>
          <w:color w:val="231F20"/>
          <w:sz w:val="13"/>
        </w:rPr>
        <w:t>345,562</w:t>
      </w:r>
      <w:r>
        <w:rPr>
          <w:rFonts w:ascii="Palatino Linotype"/>
          <w:b/>
          <w:color w:val="231F20"/>
          <w:spacing w:val="-7"/>
          <w:sz w:val="13"/>
        </w:rPr>
        <w:t> </w:t>
      </w:r>
      <w:r>
        <w:rPr>
          <w:rFonts w:ascii="Palatino Linotype"/>
          <w:b/>
          <w:color w:val="231F20"/>
          <w:sz w:val="13"/>
        </w:rPr>
        <w:t>439,753</w:t>
      </w:r>
    </w:p>
    <w:p>
      <w:pPr>
        <w:pStyle w:val="BodyText"/>
        <w:spacing w:before="9"/>
        <w:rPr>
          <w:rFonts w:ascii="Palatino Linotype"/>
          <w:b/>
          <w:sz w:val="9"/>
        </w:rPr>
      </w:pPr>
    </w:p>
    <w:p>
      <w:pPr>
        <w:spacing w:before="0"/>
        <w:ind w:left="118" w:right="0" w:firstLine="0"/>
        <w:jc w:val="left"/>
        <w:rPr>
          <w:sz w:val="20"/>
        </w:rPr>
      </w:pPr>
      <w:r>
        <w:rPr/>
        <w:pict>
          <v:shape style="position:absolute;margin-left:29.703428pt;margin-top:66.215652pt;width:14pt;height:19.5pt;mso-position-horizontal-relative:page;mso-position-vertical-relative:paragraph;z-index:-609592" type="#_x0000_t202" filled="false" stroked="false">
            <v:textbox inset="0,0,0,0" style="layout-flow:vertical">
              <w:txbxContent>
                <w:p>
                  <w:pPr>
                    <w:spacing w:line="248" w:lineRule="exact" w:before="0"/>
                    <w:ind w:left="20" w:right="-110" w:firstLine="0"/>
                    <w:jc w:val="left"/>
                    <w:rPr>
                      <w:sz w:val="24"/>
                    </w:rPr>
                  </w:pPr>
                  <w:r>
                    <w:rPr>
                      <w:color w:val="231F20"/>
                      <w:w w:val="97"/>
                      <w:sz w:val="24"/>
                    </w:rPr>
                    <w:t>113</w:t>
                  </w:r>
                </w:p>
              </w:txbxContent>
            </v:textbox>
            <w10:wrap type="none"/>
          </v:shape>
        </w:pict>
      </w:r>
      <w:r>
        <w:rPr>
          <w:rFonts w:ascii="Palatino Linotype" w:hAnsi="Palatino Linotype"/>
          <w:i/>
          <w:color w:val="231F20"/>
          <w:sz w:val="20"/>
        </w:rPr>
        <w:t>Fuente: </w:t>
      </w:r>
      <w:r>
        <w:rPr>
          <w:color w:val="231F20"/>
          <w:sz w:val="20"/>
        </w:rPr>
        <w:t>Elaboración propia con datos de AMIA (2009).</w:t>
      </w:r>
    </w:p>
    <w:p>
      <w:pPr>
        <w:spacing w:after="0"/>
        <w:jc w:val="left"/>
        <w:rPr>
          <w:sz w:val="20"/>
        </w:rPr>
        <w:sectPr>
          <w:headerReference w:type="default" r:id="rId230"/>
          <w:footerReference w:type="default" r:id="rId231"/>
          <w:pgSz w:w="13040" w:h="9640" w:orient="landscape"/>
          <w:pgMar w:header="0" w:footer="0" w:top="0" w:bottom="280" w:left="760" w:right="1120"/>
        </w:sectPr>
      </w:pPr>
    </w:p>
    <w:p>
      <w:pPr>
        <w:pStyle w:val="BodyText"/>
        <w:rPr>
          <w:sz w:val="20"/>
        </w:rPr>
      </w:pPr>
    </w:p>
    <w:p>
      <w:pPr>
        <w:pStyle w:val="BodyText"/>
        <w:spacing w:before="6"/>
      </w:pPr>
    </w:p>
    <w:p>
      <w:pPr>
        <w:pStyle w:val="BodyText"/>
        <w:spacing w:line="278" w:lineRule="auto" w:before="58"/>
        <w:ind w:left="713" w:right="100"/>
        <w:jc w:val="both"/>
      </w:pPr>
      <w:r>
        <w:rPr>
          <w:color w:val="231F20"/>
          <w:spacing w:val="-4"/>
        </w:rPr>
        <w:t>Por </w:t>
      </w:r>
      <w:r>
        <w:rPr>
          <w:color w:val="231F20"/>
        </w:rPr>
        <w:t>otro lado, el crecimiento de la producción por empresa a lo largo de este periodo ha sido </w:t>
      </w:r>
      <w:r>
        <w:rPr>
          <w:color w:val="231F20"/>
          <w:spacing w:val="-2"/>
        </w:rPr>
        <w:t>muy </w:t>
      </w:r>
      <w:r>
        <w:rPr>
          <w:color w:val="231F20"/>
        </w:rPr>
        <w:t>variable. En 1988, la producción por empresa era </w:t>
      </w:r>
      <w:r>
        <w:rPr>
          <w:color w:val="231F20"/>
          <w:spacing w:val="-2"/>
        </w:rPr>
        <w:t>muy </w:t>
      </w:r>
      <w:r>
        <w:rPr>
          <w:color w:val="231F20"/>
        </w:rPr>
        <w:t>pareja: Chrysler producía 39.1% del total de vehículos manufacturados en la entidad; </w:t>
      </w:r>
      <w:r>
        <w:rPr>
          <w:color w:val="231F20"/>
          <w:spacing w:val="-3"/>
        </w:rPr>
        <w:t>Ford, </w:t>
      </w:r>
      <w:r>
        <w:rPr>
          <w:color w:val="231F20"/>
        </w:rPr>
        <w:t>28.8%; y General</w:t>
      </w:r>
      <w:r>
        <w:rPr>
          <w:color w:val="231F20"/>
          <w:spacing w:val="-17"/>
        </w:rPr>
        <w:t> </w:t>
      </w:r>
      <w:r>
        <w:rPr>
          <w:color w:val="231F20"/>
          <w:spacing w:val="-3"/>
        </w:rPr>
        <w:t>Motors,</w:t>
      </w:r>
      <w:r>
        <w:rPr>
          <w:color w:val="231F20"/>
          <w:spacing w:val="-17"/>
        </w:rPr>
        <w:t> </w:t>
      </w:r>
      <w:r>
        <w:rPr>
          <w:color w:val="231F20"/>
        </w:rPr>
        <w:t>32.1%.</w:t>
      </w:r>
      <w:r>
        <w:rPr>
          <w:color w:val="231F20"/>
          <w:spacing w:val="-17"/>
        </w:rPr>
        <w:t> </w:t>
      </w:r>
      <w:r>
        <w:rPr>
          <w:color w:val="231F20"/>
        </w:rPr>
        <w:t>Para</w:t>
      </w:r>
      <w:r>
        <w:rPr>
          <w:color w:val="231F20"/>
          <w:spacing w:val="-17"/>
        </w:rPr>
        <w:t> </w:t>
      </w:r>
      <w:r>
        <w:rPr>
          <w:color w:val="231F20"/>
        </w:rPr>
        <w:t>2008</w:t>
      </w:r>
      <w:r>
        <w:rPr>
          <w:color w:val="231F20"/>
          <w:spacing w:val="-17"/>
        </w:rPr>
        <w:t> </w:t>
      </w:r>
      <w:r>
        <w:rPr>
          <w:color w:val="231F20"/>
          <w:spacing w:val="-3"/>
        </w:rPr>
        <w:t>Ford</w:t>
      </w:r>
      <w:r>
        <w:rPr>
          <w:color w:val="231F20"/>
          <w:spacing w:val="-17"/>
        </w:rPr>
        <w:t> </w:t>
      </w:r>
      <w:r>
        <w:rPr>
          <w:color w:val="231F20"/>
        </w:rPr>
        <w:t>disminuyó</w:t>
      </w:r>
      <w:r>
        <w:rPr>
          <w:color w:val="231F20"/>
          <w:spacing w:val="-17"/>
        </w:rPr>
        <w:t> </w:t>
      </w:r>
      <w:r>
        <w:rPr>
          <w:color w:val="231F20"/>
        </w:rPr>
        <w:t>su</w:t>
      </w:r>
      <w:r>
        <w:rPr>
          <w:color w:val="231F20"/>
          <w:spacing w:val="-17"/>
        </w:rPr>
        <w:t> </w:t>
      </w:r>
      <w:r>
        <w:rPr>
          <w:color w:val="231F20"/>
        </w:rPr>
        <w:t>producción</w:t>
      </w:r>
      <w:r>
        <w:rPr>
          <w:color w:val="231F20"/>
          <w:spacing w:val="-17"/>
        </w:rPr>
        <w:t> </w:t>
      </w:r>
      <w:r>
        <w:rPr>
          <w:color w:val="231F20"/>
        </w:rPr>
        <w:t>a</w:t>
      </w:r>
      <w:r>
        <w:rPr>
          <w:color w:val="231F20"/>
          <w:spacing w:val="-17"/>
        </w:rPr>
        <w:t> </w:t>
      </w:r>
      <w:r>
        <w:rPr>
          <w:color w:val="231F20"/>
        </w:rPr>
        <w:t>sólo</w:t>
      </w:r>
      <w:r>
        <w:rPr>
          <w:color w:val="231F20"/>
          <w:spacing w:val="-17"/>
        </w:rPr>
        <w:t> </w:t>
      </w:r>
      <w:r>
        <w:rPr>
          <w:color w:val="231F20"/>
        </w:rPr>
        <w:t>7.8%;</w:t>
      </w:r>
      <w:r>
        <w:rPr>
          <w:color w:val="231F20"/>
          <w:spacing w:val="-17"/>
        </w:rPr>
        <w:t> </w:t>
      </w:r>
      <w:r>
        <w:rPr>
          <w:color w:val="231F20"/>
        </w:rPr>
        <w:t>mientras que</w:t>
      </w:r>
      <w:r>
        <w:rPr>
          <w:color w:val="231F20"/>
          <w:spacing w:val="-10"/>
        </w:rPr>
        <w:t> </w:t>
      </w:r>
      <w:r>
        <w:rPr>
          <w:color w:val="231F20"/>
        </w:rPr>
        <w:t>Chrysler</w:t>
      </w:r>
      <w:r>
        <w:rPr>
          <w:color w:val="231F20"/>
          <w:spacing w:val="-10"/>
        </w:rPr>
        <w:t> </w:t>
      </w:r>
      <w:r>
        <w:rPr>
          <w:color w:val="231F20"/>
        </w:rPr>
        <w:t>la</w:t>
      </w:r>
      <w:r>
        <w:rPr>
          <w:color w:val="231F20"/>
          <w:spacing w:val="-10"/>
        </w:rPr>
        <w:t> </w:t>
      </w:r>
      <w:r>
        <w:rPr>
          <w:color w:val="231F20"/>
        </w:rPr>
        <w:t>incrementó</w:t>
      </w:r>
      <w:r>
        <w:rPr>
          <w:color w:val="231F20"/>
          <w:spacing w:val="-10"/>
        </w:rPr>
        <w:t> </w:t>
      </w:r>
      <w:r>
        <w:rPr>
          <w:color w:val="231F20"/>
        </w:rPr>
        <w:t>a</w:t>
      </w:r>
      <w:r>
        <w:rPr>
          <w:color w:val="231F20"/>
          <w:spacing w:val="-10"/>
        </w:rPr>
        <w:t> </w:t>
      </w:r>
      <w:r>
        <w:rPr>
          <w:color w:val="231F20"/>
        </w:rPr>
        <w:t>41.7%;</w:t>
      </w:r>
      <w:r>
        <w:rPr>
          <w:color w:val="231F20"/>
          <w:spacing w:val="-10"/>
        </w:rPr>
        <w:t> </w:t>
      </w:r>
      <w:r>
        <w:rPr>
          <w:color w:val="231F20"/>
        </w:rPr>
        <w:t>y</w:t>
      </w:r>
      <w:r>
        <w:rPr>
          <w:color w:val="231F20"/>
          <w:spacing w:val="-10"/>
        </w:rPr>
        <w:t> </w:t>
      </w:r>
      <w:r>
        <w:rPr>
          <w:color w:val="231F20"/>
        </w:rPr>
        <w:t>General</w:t>
      </w:r>
      <w:r>
        <w:rPr>
          <w:color w:val="231F20"/>
          <w:spacing w:val="-10"/>
        </w:rPr>
        <w:t> </w:t>
      </w:r>
      <w:r>
        <w:rPr>
          <w:color w:val="231F20"/>
          <w:spacing w:val="-3"/>
        </w:rPr>
        <w:t>Motors</w:t>
      </w:r>
      <w:r>
        <w:rPr>
          <w:color w:val="231F20"/>
          <w:spacing w:val="-10"/>
        </w:rPr>
        <w:t> </w:t>
      </w:r>
      <w:r>
        <w:rPr>
          <w:color w:val="231F20"/>
        </w:rPr>
        <w:t>a</w:t>
      </w:r>
      <w:r>
        <w:rPr>
          <w:color w:val="231F20"/>
          <w:spacing w:val="-10"/>
        </w:rPr>
        <w:t> </w:t>
      </w:r>
      <w:r>
        <w:rPr>
          <w:color w:val="231F20"/>
        </w:rPr>
        <w:t>50.5%</w:t>
      </w:r>
      <w:r>
        <w:rPr>
          <w:color w:val="231F20"/>
          <w:spacing w:val="-10"/>
        </w:rPr>
        <w:t> </w:t>
      </w:r>
      <w:r>
        <w:rPr>
          <w:color w:val="231F20"/>
        </w:rPr>
        <w:t>(véase</w:t>
      </w:r>
      <w:r>
        <w:rPr>
          <w:color w:val="231F20"/>
          <w:spacing w:val="-10"/>
        </w:rPr>
        <w:t> </w:t>
      </w:r>
      <w:r>
        <w:rPr>
          <w:color w:val="231F20"/>
        </w:rPr>
        <w:t>cuadro</w:t>
      </w:r>
      <w:r>
        <w:rPr>
          <w:color w:val="231F20"/>
          <w:spacing w:val="-10"/>
        </w:rPr>
        <w:t> </w:t>
      </w:r>
      <w:r>
        <w:rPr>
          <w:color w:val="231F20"/>
          <w:spacing w:val="-6"/>
        </w:rPr>
        <w:t>IV.5).</w:t>
      </w:r>
    </w:p>
    <w:p>
      <w:pPr>
        <w:pStyle w:val="BodyText"/>
        <w:spacing w:before="8"/>
        <w:rPr>
          <w:sz w:val="17"/>
        </w:rPr>
      </w:pPr>
    </w:p>
    <w:p>
      <w:pPr>
        <w:pStyle w:val="Heading4"/>
        <w:ind w:left="775" w:right="166"/>
      </w:pPr>
      <w:r>
        <w:rPr>
          <w:color w:val="231F20"/>
          <w:w w:val="95"/>
        </w:rPr>
        <w:t>Cuadro IV.5</w:t>
      </w:r>
    </w:p>
    <w:p>
      <w:pPr>
        <w:spacing w:line="282" w:lineRule="exact" w:before="0"/>
        <w:ind w:left="776" w:right="166" w:firstLine="0"/>
        <w:jc w:val="center"/>
        <w:rPr>
          <w:rFonts w:ascii="Palatino Linotype" w:hAnsi="Palatino Linotype"/>
          <w:b/>
          <w:sz w:val="21"/>
        </w:rPr>
      </w:pPr>
      <w:r>
        <w:rPr>
          <w:rFonts w:ascii="Palatino Linotype" w:hAnsi="Palatino Linotype"/>
          <w:b/>
          <w:color w:val="231F20"/>
          <w:w w:val="95"/>
          <w:sz w:val="21"/>
        </w:rPr>
        <w:t>Estado de México: producción de vehículos por empresa, 1988-2008</w:t>
      </w:r>
    </w:p>
    <w:p>
      <w:pPr>
        <w:spacing w:before="18"/>
        <w:ind w:left="775" w:right="166" w:firstLine="0"/>
        <w:jc w:val="center"/>
        <w:rPr>
          <w:rFonts w:ascii="Palatino Linotype"/>
          <w:b/>
          <w:sz w:val="19"/>
        </w:rPr>
      </w:pPr>
      <w:r>
        <w:rPr>
          <w:rFonts w:ascii="Palatino Linotype"/>
          <w:b/>
          <w:color w:val="231F20"/>
          <w:sz w:val="19"/>
        </w:rPr>
        <w:t>(Porcentaje)</w:t>
      </w:r>
    </w:p>
    <w:p>
      <w:pPr>
        <w:pStyle w:val="BodyText"/>
        <w:spacing w:before="9"/>
        <w:rPr>
          <w:rFonts w:ascii="Palatino Linotype"/>
          <w:b/>
          <w:sz w:val="14"/>
        </w:rPr>
      </w:pPr>
    </w:p>
    <w:tbl>
      <w:tblPr>
        <w:tblW w:w="0" w:type="auto"/>
        <w:jc w:val="left"/>
        <w:tblInd w:w="7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72"/>
        <w:gridCol w:w="1653"/>
        <w:gridCol w:w="1976"/>
        <w:gridCol w:w="1799"/>
      </w:tblGrid>
      <w:tr>
        <w:trPr>
          <w:trHeight w:val="334" w:hRule="exact"/>
        </w:trPr>
        <w:tc>
          <w:tcPr>
            <w:tcW w:w="1772" w:type="dxa"/>
            <w:tcBorders>
              <w:top w:val="single" w:sz="4" w:space="0" w:color="231F20"/>
              <w:bottom w:val="single" w:sz="4" w:space="0" w:color="231F20"/>
            </w:tcBorders>
          </w:tcPr>
          <w:p>
            <w:pPr>
              <w:pStyle w:val="TableParagraph"/>
              <w:spacing w:before="38"/>
              <w:ind w:left="505" w:right="517"/>
              <w:rPr>
                <w:rFonts w:ascii="Palatino Linotype"/>
                <w:b/>
                <w:sz w:val="18"/>
              </w:rPr>
            </w:pPr>
            <w:r>
              <w:rPr>
                <w:rFonts w:ascii="Palatino Linotype"/>
                <w:b/>
                <w:color w:val="231F20"/>
                <w:sz w:val="18"/>
              </w:rPr>
              <w:t>Empresa</w:t>
            </w:r>
          </w:p>
        </w:tc>
        <w:tc>
          <w:tcPr>
            <w:tcW w:w="1653" w:type="dxa"/>
            <w:tcBorders>
              <w:top w:val="single" w:sz="4" w:space="0" w:color="231F20"/>
              <w:bottom w:val="single" w:sz="4" w:space="0" w:color="231F20"/>
            </w:tcBorders>
          </w:tcPr>
          <w:p>
            <w:pPr>
              <w:pStyle w:val="TableParagraph"/>
              <w:spacing w:before="38"/>
              <w:ind w:left="516" w:right="385"/>
              <w:rPr>
                <w:rFonts w:ascii="Palatino Linotype"/>
                <w:b/>
                <w:sz w:val="18"/>
              </w:rPr>
            </w:pPr>
            <w:r>
              <w:rPr>
                <w:rFonts w:ascii="Palatino Linotype"/>
                <w:b/>
                <w:color w:val="231F20"/>
                <w:sz w:val="18"/>
              </w:rPr>
              <w:t>Chrysler</w:t>
            </w:r>
          </w:p>
        </w:tc>
        <w:tc>
          <w:tcPr>
            <w:tcW w:w="1976" w:type="dxa"/>
            <w:tcBorders>
              <w:top w:val="single" w:sz="4" w:space="0" w:color="231F20"/>
              <w:bottom w:val="single" w:sz="4" w:space="0" w:color="231F20"/>
            </w:tcBorders>
          </w:tcPr>
          <w:p>
            <w:pPr>
              <w:pStyle w:val="TableParagraph"/>
              <w:spacing w:before="38"/>
              <w:ind w:left="399" w:right="267"/>
              <w:rPr>
                <w:rFonts w:ascii="Palatino Linotype"/>
                <w:b/>
                <w:sz w:val="18"/>
              </w:rPr>
            </w:pPr>
            <w:r>
              <w:rPr>
                <w:rFonts w:ascii="Palatino Linotype"/>
                <w:b/>
                <w:color w:val="231F20"/>
                <w:w w:val="95"/>
                <w:sz w:val="18"/>
              </w:rPr>
              <w:t>Ford Motors Co.</w:t>
            </w:r>
          </w:p>
        </w:tc>
        <w:tc>
          <w:tcPr>
            <w:tcW w:w="1799" w:type="dxa"/>
            <w:tcBorders>
              <w:top w:val="single" w:sz="4" w:space="0" w:color="231F20"/>
              <w:bottom w:val="single" w:sz="4" w:space="0" w:color="231F20"/>
            </w:tcBorders>
          </w:tcPr>
          <w:p>
            <w:pPr>
              <w:pStyle w:val="TableParagraph"/>
              <w:spacing w:before="38"/>
              <w:ind w:left="290" w:right="302"/>
              <w:rPr>
                <w:rFonts w:ascii="Palatino Linotype"/>
                <w:b/>
                <w:sz w:val="18"/>
              </w:rPr>
            </w:pPr>
            <w:r>
              <w:rPr>
                <w:rFonts w:ascii="Palatino Linotype"/>
                <w:b/>
                <w:color w:val="231F20"/>
                <w:w w:val="90"/>
                <w:sz w:val="18"/>
              </w:rPr>
              <w:t>General Motors</w:t>
            </w:r>
          </w:p>
        </w:tc>
      </w:tr>
      <w:tr>
        <w:trPr>
          <w:trHeight w:val="357" w:hRule="exact"/>
        </w:trPr>
        <w:tc>
          <w:tcPr>
            <w:tcW w:w="1772" w:type="dxa"/>
            <w:tcBorders>
              <w:top w:val="single" w:sz="4" w:space="0" w:color="231F20"/>
            </w:tcBorders>
          </w:tcPr>
          <w:p>
            <w:pPr>
              <w:pStyle w:val="TableParagraph"/>
              <w:spacing w:before="38"/>
              <w:ind w:left="505" w:right="517"/>
              <w:rPr>
                <w:rFonts w:ascii="Palatino Linotype"/>
                <w:b/>
                <w:sz w:val="18"/>
              </w:rPr>
            </w:pPr>
            <w:r>
              <w:rPr>
                <w:rFonts w:ascii="Palatino Linotype"/>
                <w:b/>
                <w:color w:val="231F20"/>
                <w:sz w:val="18"/>
              </w:rPr>
              <w:t>1988</w:t>
            </w:r>
          </w:p>
        </w:tc>
        <w:tc>
          <w:tcPr>
            <w:tcW w:w="1653" w:type="dxa"/>
            <w:tcBorders>
              <w:top w:val="single" w:sz="4" w:space="0" w:color="231F20"/>
            </w:tcBorders>
          </w:tcPr>
          <w:p>
            <w:pPr>
              <w:pStyle w:val="TableParagraph"/>
              <w:spacing w:before="59"/>
              <w:ind w:left="516" w:right="384"/>
              <w:rPr>
                <w:sz w:val="18"/>
              </w:rPr>
            </w:pPr>
            <w:r>
              <w:rPr>
                <w:color w:val="231F20"/>
                <w:sz w:val="18"/>
              </w:rPr>
              <w:t>39.1</w:t>
            </w:r>
          </w:p>
        </w:tc>
        <w:tc>
          <w:tcPr>
            <w:tcW w:w="1976" w:type="dxa"/>
            <w:tcBorders>
              <w:top w:val="single" w:sz="4" w:space="0" w:color="231F20"/>
            </w:tcBorders>
          </w:tcPr>
          <w:p>
            <w:pPr>
              <w:pStyle w:val="TableParagraph"/>
              <w:spacing w:before="59"/>
              <w:ind w:left="399" w:right="267"/>
              <w:rPr>
                <w:sz w:val="18"/>
              </w:rPr>
            </w:pPr>
            <w:r>
              <w:rPr>
                <w:color w:val="231F20"/>
                <w:sz w:val="18"/>
              </w:rPr>
              <w:t>28.8</w:t>
            </w:r>
          </w:p>
        </w:tc>
        <w:tc>
          <w:tcPr>
            <w:tcW w:w="1799" w:type="dxa"/>
            <w:tcBorders>
              <w:top w:val="single" w:sz="4" w:space="0" w:color="231F20"/>
            </w:tcBorders>
          </w:tcPr>
          <w:p>
            <w:pPr>
              <w:pStyle w:val="TableParagraph"/>
              <w:spacing w:before="59"/>
              <w:ind w:left="290" w:right="302"/>
              <w:rPr>
                <w:sz w:val="18"/>
              </w:rPr>
            </w:pPr>
            <w:r>
              <w:rPr>
                <w:color w:val="231F20"/>
                <w:sz w:val="18"/>
              </w:rPr>
              <w:t>32.1</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1989</w:t>
            </w:r>
          </w:p>
        </w:tc>
        <w:tc>
          <w:tcPr>
            <w:tcW w:w="1653" w:type="dxa"/>
          </w:tcPr>
          <w:p>
            <w:pPr>
              <w:pStyle w:val="TableParagraph"/>
              <w:spacing w:before="41"/>
              <w:ind w:left="516" w:right="384"/>
              <w:rPr>
                <w:sz w:val="18"/>
              </w:rPr>
            </w:pPr>
            <w:r>
              <w:rPr>
                <w:color w:val="231F20"/>
                <w:sz w:val="18"/>
              </w:rPr>
              <w:t>41.6</w:t>
            </w:r>
          </w:p>
        </w:tc>
        <w:tc>
          <w:tcPr>
            <w:tcW w:w="1976" w:type="dxa"/>
          </w:tcPr>
          <w:p>
            <w:pPr>
              <w:pStyle w:val="TableParagraph"/>
              <w:spacing w:before="41"/>
              <w:ind w:left="399" w:right="267"/>
              <w:rPr>
                <w:sz w:val="18"/>
              </w:rPr>
            </w:pPr>
            <w:r>
              <w:rPr>
                <w:color w:val="231F20"/>
                <w:sz w:val="18"/>
              </w:rPr>
              <w:t>28.5</w:t>
            </w:r>
          </w:p>
        </w:tc>
        <w:tc>
          <w:tcPr>
            <w:tcW w:w="1799" w:type="dxa"/>
          </w:tcPr>
          <w:p>
            <w:pPr>
              <w:pStyle w:val="TableParagraph"/>
              <w:spacing w:before="41"/>
              <w:ind w:left="290" w:right="302"/>
              <w:rPr>
                <w:sz w:val="18"/>
              </w:rPr>
            </w:pPr>
            <w:r>
              <w:rPr>
                <w:color w:val="231F20"/>
                <w:sz w:val="18"/>
              </w:rPr>
              <w:t>29.9</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1990</w:t>
            </w:r>
          </w:p>
        </w:tc>
        <w:tc>
          <w:tcPr>
            <w:tcW w:w="1653" w:type="dxa"/>
          </w:tcPr>
          <w:p>
            <w:pPr>
              <w:pStyle w:val="TableParagraph"/>
              <w:spacing w:before="41"/>
              <w:ind w:left="516" w:right="384"/>
              <w:rPr>
                <w:sz w:val="18"/>
              </w:rPr>
            </w:pPr>
            <w:r>
              <w:rPr>
                <w:color w:val="231F20"/>
                <w:sz w:val="18"/>
              </w:rPr>
              <w:t>40.0</w:t>
            </w:r>
          </w:p>
        </w:tc>
        <w:tc>
          <w:tcPr>
            <w:tcW w:w="1976" w:type="dxa"/>
          </w:tcPr>
          <w:p>
            <w:pPr>
              <w:pStyle w:val="TableParagraph"/>
              <w:spacing w:before="41"/>
              <w:ind w:left="399" w:right="267"/>
              <w:rPr>
                <w:sz w:val="18"/>
              </w:rPr>
            </w:pPr>
            <w:r>
              <w:rPr>
                <w:color w:val="231F20"/>
                <w:sz w:val="18"/>
              </w:rPr>
              <w:t>27.1</w:t>
            </w:r>
          </w:p>
        </w:tc>
        <w:tc>
          <w:tcPr>
            <w:tcW w:w="1799" w:type="dxa"/>
          </w:tcPr>
          <w:p>
            <w:pPr>
              <w:pStyle w:val="TableParagraph"/>
              <w:spacing w:before="41"/>
              <w:ind w:left="290" w:right="302"/>
              <w:rPr>
                <w:sz w:val="18"/>
              </w:rPr>
            </w:pPr>
            <w:r>
              <w:rPr>
                <w:color w:val="231F20"/>
                <w:sz w:val="18"/>
              </w:rPr>
              <w:t>33.0</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1991</w:t>
            </w:r>
          </w:p>
        </w:tc>
        <w:tc>
          <w:tcPr>
            <w:tcW w:w="1653" w:type="dxa"/>
          </w:tcPr>
          <w:p>
            <w:pPr>
              <w:pStyle w:val="TableParagraph"/>
              <w:spacing w:before="41"/>
              <w:ind w:left="516" w:right="384"/>
              <w:rPr>
                <w:sz w:val="18"/>
              </w:rPr>
            </w:pPr>
            <w:r>
              <w:rPr>
                <w:color w:val="231F20"/>
                <w:sz w:val="18"/>
              </w:rPr>
              <w:t>40.3</w:t>
            </w:r>
          </w:p>
        </w:tc>
        <w:tc>
          <w:tcPr>
            <w:tcW w:w="1976" w:type="dxa"/>
          </w:tcPr>
          <w:p>
            <w:pPr>
              <w:pStyle w:val="TableParagraph"/>
              <w:spacing w:before="41"/>
              <w:ind w:left="399" w:right="267"/>
              <w:rPr>
                <w:sz w:val="18"/>
              </w:rPr>
            </w:pPr>
            <w:r>
              <w:rPr>
                <w:color w:val="231F20"/>
                <w:sz w:val="18"/>
              </w:rPr>
              <w:t>30.3</w:t>
            </w:r>
          </w:p>
        </w:tc>
        <w:tc>
          <w:tcPr>
            <w:tcW w:w="1799" w:type="dxa"/>
          </w:tcPr>
          <w:p>
            <w:pPr>
              <w:pStyle w:val="TableParagraph"/>
              <w:spacing w:before="41"/>
              <w:ind w:left="290" w:right="302"/>
              <w:rPr>
                <w:sz w:val="18"/>
              </w:rPr>
            </w:pPr>
            <w:r>
              <w:rPr>
                <w:color w:val="231F20"/>
                <w:sz w:val="18"/>
              </w:rPr>
              <w:t>29.4</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1992</w:t>
            </w:r>
          </w:p>
        </w:tc>
        <w:tc>
          <w:tcPr>
            <w:tcW w:w="1653" w:type="dxa"/>
          </w:tcPr>
          <w:p>
            <w:pPr>
              <w:pStyle w:val="TableParagraph"/>
              <w:spacing w:before="41"/>
              <w:ind w:left="516" w:right="384"/>
              <w:rPr>
                <w:sz w:val="18"/>
              </w:rPr>
            </w:pPr>
            <w:r>
              <w:rPr>
                <w:color w:val="231F20"/>
                <w:sz w:val="18"/>
              </w:rPr>
              <w:t>45.3</w:t>
            </w:r>
          </w:p>
        </w:tc>
        <w:tc>
          <w:tcPr>
            <w:tcW w:w="1976" w:type="dxa"/>
          </w:tcPr>
          <w:p>
            <w:pPr>
              <w:pStyle w:val="TableParagraph"/>
              <w:spacing w:before="41"/>
              <w:ind w:left="399" w:right="267"/>
              <w:rPr>
                <w:sz w:val="18"/>
              </w:rPr>
            </w:pPr>
            <w:r>
              <w:rPr>
                <w:color w:val="231F20"/>
                <w:sz w:val="18"/>
              </w:rPr>
              <w:t>31.2</w:t>
            </w:r>
          </w:p>
        </w:tc>
        <w:tc>
          <w:tcPr>
            <w:tcW w:w="1799" w:type="dxa"/>
          </w:tcPr>
          <w:p>
            <w:pPr>
              <w:pStyle w:val="TableParagraph"/>
              <w:spacing w:before="41"/>
              <w:ind w:left="290" w:right="302"/>
              <w:rPr>
                <w:sz w:val="18"/>
              </w:rPr>
            </w:pPr>
            <w:r>
              <w:rPr>
                <w:color w:val="231F20"/>
                <w:sz w:val="18"/>
              </w:rPr>
              <w:t>23.5</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1993</w:t>
            </w:r>
          </w:p>
        </w:tc>
        <w:tc>
          <w:tcPr>
            <w:tcW w:w="1653" w:type="dxa"/>
          </w:tcPr>
          <w:p>
            <w:pPr>
              <w:pStyle w:val="TableParagraph"/>
              <w:spacing w:before="41"/>
              <w:ind w:left="516" w:right="384"/>
              <w:rPr>
                <w:sz w:val="18"/>
              </w:rPr>
            </w:pPr>
            <w:r>
              <w:rPr>
                <w:color w:val="231F20"/>
                <w:sz w:val="18"/>
              </w:rPr>
              <w:t>42.8</w:t>
            </w:r>
          </w:p>
        </w:tc>
        <w:tc>
          <w:tcPr>
            <w:tcW w:w="1976" w:type="dxa"/>
          </w:tcPr>
          <w:p>
            <w:pPr>
              <w:pStyle w:val="TableParagraph"/>
              <w:spacing w:before="41"/>
              <w:ind w:left="399" w:right="267"/>
              <w:rPr>
                <w:sz w:val="18"/>
              </w:rPr>
            </w:pPr>
            <w:r>
              <w:rPr>
                <w:color w:val="231F20"/>
                <w:sz w:val="18"/>
              </w:rPr>
              <w:t>31.3</w:t>
            </w:r>
          </w:p>
        </w:tc>
        <w:tc>
          <w:tcPr>
            <w:tcW w:w="1799" w:type="dxa"/>
          </w:tcPr>
          <w:p>
            <w:pPr>
              <w:pStyle w:val="TableParagraph"/>
              <w:spacing w:before="41"/>
              <w:ind w:left="290" w:right="302"/>
              <w:rPr>
                <w:sz w:val="18"/>
              </w:rPr>
            </w:pPr>
            <w:r>
              <w:rPr>
                <w:color w:val="231F20"/>
                <w:sz w:val="18"/>
              </w:rPr>
              <w:t>25.9</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1994</w:t>
            </w:r>
          </w:p>
        </w:tc>
        <w:tc>
          <w:tcPr>
            <w:tcW w:w="1653" w:type="dxa"/>
          </w:tcPr>
          <w:p>
            <w:pPr>
              <w:pStyle w:val="TableParagraph"/>
              <w:spacing w:before="41"/>
              <w:ind w:left="516" w:right="384"/>
              <w:rPr>
                <w:sz w:val="18"/>
              </w:rPr>
            </w:pPr>
            <w:r>
              <w:rPr>
                <w:color w:val="231F20"/>
                <w:sz w:val="18"/>
              </w:rPr>
              <w:t>30.4</w:t>
            </w:r>
          </w:p>
        </w:tc>
        <w:tc>
          <w:tcPr>
            <w:tcW w:w="1976" w:type="dxa"/>
          </w:tcPr>
          <w:p>
            <w:pPr>
              <w:pStyle w:val="TableParagraph"/>
              <w:spacing w:before="41"/>
              <w:ind w:left="399" w:right="267"/>
              <w:rPr>
                <w:sz w:val="18"/>
              </w:rPr>
            </w:pPr>
            <w:r>
              <w:rPr>
                <w:color w:val="231F20"/>
                <w:sz w:val="18"/>
              </w:rPr>
              <w:t>42.7</w:t>
            </w:r>
          </w:p>
        </w:tc>
        <w:tc>
          <w:tcPr>
            <w:tcW w:w="1799" w:type="dxa"/>
          </w:tcPr>
          <w:p>
            <w:pPr>
              <w:pStyle w:val="TableParagraph"/>
              <w:spacing w:before="41"/>
              <w:ind w:left="290" w:right="302"/>
              <w:rPr>
                <w:sz w:val="18"/>
              </w:rPr>
            </w:pPr>
            <w:r>
              <w:rPr>
                <w:color w:val="231F20"/>
                <w:sz w:val="18"/>
              </w:rPr>
              <w:t>26.9</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1995</w:t>
            </w:r>
          </w:p>
        </w:tc>
        <w:tc>
          <w:tcPr>
            <w:tcW w:w="1653" w:type="dxa"/>
          </w:tcPr>
          <w:p>
            <w:pPr>
              <w:pStyle w:val="TableParagraph"/>
              <w:spacing w:before="41"/>
              <w:ind w:left="516" w:right="384"/>
              <w:rPr>
                <w:sz w:val="18"/>
              </w:rPr>
            </w:pPr>
            <w:r>
              <w:rPr>
                <w:color w:val="231F20"/>
                <w:sz w:val="18"/>
              </w:rPr>
              <w:t>0.1</w:t>
            </w:r>
          </w:p>
        </w:tc>
        <w:tc>
          <w:tcPr>
            <w:tcW w:w="1976" w:type="dxa"/>
          </w:tcPr>
          <w:p>
            <w:pPr>
              <w:pStyle w:val="TableParagraph"/>
              <w:spacing w:before="41"/>
              <w:ind w:left="399" w:right="267"/>
              <w:rPr>
                <w:sz w:val="18"/>
              </w:rPr>
            </w:pPr>
            <w:r>
              <w:rPr>
                <w:color w:val="231F20"/>
                <w:sz w:val="18"/>
              </w:rPr>
              <w:t>87.1</w:t>
            </w:r>
          </w:p>
        </w:tc>
        <w:tc>
          <w:tcPr>
            <w:tcW w:w="1799" w:type="dxa"/>
          </w:tcPr>
          <w:p>
            <w:pPr>
              <w:pStyle w:val="TableParagraph"/>
              <w:spacing w:before="41"/>
              <w:ind w:left="290" w:right="302"/>
              <w:rPr>
                <w:sz w:val="18"/>
              </w:rPr>
            </w:pPr>
            <w:r>
              <w:rPr>
                <w:color w:val="231F20"/>
                <w:sz w:val="18"/>
              </w:rPr>
              <w:t>12.8</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1996</w:t>
            </w:r>
          </w:p>
        </w:tc>
        <w:tc>
          <w:tcPr>
            <w:tcW w:w="1653" w:type="dxa"/>
          </w:tcPr>
          <w:p>
            <w:pPr>
              <w:pStyle w:val="TableParagraph"/>
              <w:spacing w:before="41"/>
              <w:ind w:left="516" w:right="384"/>
              <w:rPr>
                <w:sz w:val="18"/>
              </w:rPr>
            </w:pPr>
            <w:r>
              <w:rPr>
                <w:color w:val="231F20"/>
                <w:sz w:val="18"/>
              </w:rPr>
              <w:t>17.0</w:t>
            </w:r>
          </w:p>
        </w:tc>
        <w:tc>
          <w:tcPr>
            <w:tcW w:w="1976" w:type="dxa"/>
          </w:tcPr>
          <w:p>
            <w:pPr>
              <w:pStyle w:val="TableParagraph"/>
              <w:spacing w:before="41"/>
              <w:ind w:left="399" w:right="267"/>
              <w:rPr>
                <w:sz w:val="18"/>
              </w:rPr>
            </w:pPr>
            <w:r>
              <w:rPr>
                <w:color w:val="231F20"/>
                <w:sz w:val="18"/>
              </w:rPr>
              <w:t>76.8</w:t>
            </w:r>
          </w:p>
        </w:tc>
        <w:tc>
          <w:tcPr>
            <w:tcW w:w="1799" w:type="dxa"/>
          </w:tcPr>
          <w:p>
            <w:pPr>
              <w:pStyle w:val="TableParagraph"/>
              <w:spacing w:before="41"/>
              <w:ind w:left="290" w:right="302"/>
              <w:rPr>
                <w:sz w:val="18"/>
              </w:rPr>
            </w:pPr>
            <w:r>
              <w:rPr>
                <w:color w:val="231F20"/>
                <w:sz w:val="18"/>
              </w:rPr>
              <w:t>6.2</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1997</w:t>
            </w:r>
          </w:p>
        </w:tc>
        <w:tc>
          <w:tcPr>
            <w:tcW w:w="1653" w:type="dxa"/>
          </w:tcPr>
          <w:p>
            <w:pPr>
              <w:pStyle w:val="TableParagraph"/>
              <w:spacing w:before="41"/>
              <w:ind w:left="516" w:right="384"/>
              <w:rPr>
                <w:sz w:val="18"/>
              </w:rPr>
            </w:pPr>
            <w:r>
              <w:rPr>
                <w:color w:val="231F20"/>
                <w:sz w:val="18"/>
              </w:rPr>
              <w:t>13.8</w:t>
            </w:r>
          </w:p>
        </w:tc>
        <w:tc>
          <w:tcPr>
            <w:tcW w:w="1976" w:type="dxa"/>
          </w:tcPr>
          <w:p>
            <w:pPr>
              <w:pStyle w:val="TableParagraph"/>
              <w:spacing w:before="41"/>
              <w:ind w:left="399" w:right="267"/>
              <w:rPr>
                <w:sz w:val="18"/>
              </w:rPr>
            </w:pPr>
            <w:r>
              <w:rPr>
                <w:color w:val="231F20"/>
                <w:sz w:val="18"/>
              </w:rPr>
              <w:t>78.0</w:t>
            </w:r>
          </w:p>
        </w:tc>
        <w:tc>
          <w:tcPr>
            <w:tcW w:w="1799" w:type="dxa"/>
          </w:tcPr>
          <w:p>
            <w:pPr>
              <w:pStyle w:val="TableParagraph"/>
              <w:spacing w:before="41"/>
              <w:ind w:left="290" w:right="302"/>
              <w:rPr>
                <w:sz w:val="18"/>
              </w:rPr>
            </w:pPr>
            <w:r>
              <w:rPr>
                <w:color w:val="231F20"/>
                <w:sz w:val="18"/>
              </w:rPr>
              <w:t>8.2</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1998</w:t>
            </w:r>
          </w:p>
        </w:tc>
        <w:tc>
          <w:tcPr>
            <w:tcW w:w="1653" w:type="dxa"/>
          </w:tcPr>
          <w:p>
            <w:pPr>
              <w:pStyle w:val="TableParagraph"/>
              <w:spacing w:before="41"/>
              <w:ind w:left="516" w:right="384"/>
              <w:rPr>
                <w:sz w:val="18"/>
              </w:rPr>
            </w:pPr>
            <w:r>
              <w:rPr>
                <w:color w:val="231F20"/>
                <w:sz w:val="18"/>
              </w:rPr>
              <w:t>13.7</w:t>
            </w:r>
          </w:p>
        </w:tc>
        <w:tc>
          <w:tcPr>
            <w:tcW w:w="1976" w:type="dxa"/>
          </w:tcPr>
          <w:p>
            <w:pPr>
              <w:pStyle w:val="TableParagraph"/>
              <w:spacing w:before="41"/>
              <w:ind w:left="399" w:right="267"/>
              <w:rPr>
                <w:sz w:val="18"/>
              </w:rPr>
            </w:pPr>
            <w:r>
              <w:rPr>
                <w:color w:val="231F20"/>
                <w:sz w:val="18"/>
              </w:rPr>
              <w:t>67.7</w:t>
            </w:r>
          </w:p>
        </w:tc>
        <w:tc>
          <w:tcPr>
            <w:tcW w:w="1799" w:type="dxa"/>
          </w:tcPr>
          <w:p>
            <w:pPr>
              <w:pStyle w:val="TableParagraph"/>
              <w:spacing w:before="41"/>
              <w:ind w:left="290" w:right="302"/>
              <w:rPr>
                <w:sz w:val="18"/>
              </w:rPr>
            </w:pPr>
            <w:r>
              <w:rPr>
                <w:color w:val="231F20"/>
                <w:sz w:val="18"/>
              </w:rPr>
              <w:t>18.7</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1999</w:t>
            </w:r>
          </w:p>
        </w:tc>
        <w:tc>
          <w:tcPr>
            <w:tcW w:w="1653" w:type="dxa"/>
          </w:tcPr>
          <w:p>
            <w:pPr>
              <w:pStyle w:val="TableParagraph"/>
              <w:spacing w:before="41"/>
              <w:ind w:left="516" w:right="384"/>
              <w:rPr>
                <w:sz w:val="18"/>
              </w:rPr>
            </w:pPr>
            <w:r>
              <w:rPr>
                <w:color w:val="231F20"/>
                <w:sz w:val="18"/>
              </w:rPr>
              <w:t>0.2</w:t>
            </w:r>
          </w:p>
        </w:tc>
        <w:tc>
          <w:tcPr>
            <w:tcW w:w="1976" w:type="dxa"/>
          </w:tcPr>
          <w:p>
            <w:pPr>
              <w:pStyle w:val="TableParagraph"/>
              <w:spacing w:before="41"/>
              <w:ind w:left="399" w:right="267"/>
              <w:rPr>
                <w:sz w:val="18"/>
              </w:rPr>
            </w:pPr>
            <w:r>
              <w:rPr>
                <w:color w:val="231F20"/>
                <w:sz w:val="18"/>
              </w:rPr>
              <w:t>67.0</w:t>
            </w:r>
          </w:p>
        </w:tc>
        <w:tc>
          <w:tcPr>
            <w:tcW w:w="1799" w:type="dxa"/>
          </w:tcPr>
          <w:p>
            <w:pPr>
              <w:pStyle w:val="TableParagraph"/>
              <w:spacing w:before="41"/>
              <w:ind w:left="290" w:right="302"/>
              <w:rPr>
                <w:sz w:val="18"/>
              </w:rPr>
            </w:pPr>
            <w:r>
              <w:rPr>
                <w:color w:val="231F20"/>
                <w:sz w:val="18"/>
              </w:rPr>
              <w:t>32.8</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2000</w:t>
            </w:r>
          </w:p>
        </w:tc>
        <w:tc>
          <w:tcPr>
            <w:tcW w:w="1653" w:type="dxa"/>
          </w:tcPr>
          <w:p>
            <w:pPr>
              <w:pStyle w:val="TableParagraph"/>
              <w:spacing w:before="41"/>
              <w:ind w:left="516" w:right="384"/>
              <w:rPr>
                <w:sz w:val="18"/>
              </w:rPr>
            </w:pPr>
            <w:r>
              <w:rPr>
                <w:color w:val="231F20"/>
                <w:sz w:val="18"/>
              </w:rPr>
              <w:t>61.1</w:t>
            </w:r>
          </w:p>
        </w:tc>
        <w:tc>
          <w:tcPr>
            <w:tcW w:w="1976" w:type="dxa"/>
          </w:tcPr>
          <w:p>
            <w:pPr>
              <w:pStyle w:val="TableParagraph"/>
              <w:spacing w:before="41"/>
              <w:ind w:left="399" w:right="267"/>
              <w:rPr>
                <w:sz w:val="18"/>
              </w:rPr>
            </w:pPr>
            <w:r>
              <w:rPr>
                <w:color w:val="231F20"/>
                <w:sz w:val="18"/>
              </w:rPr>
              <w:t>29.0</w:t>
            </w:r>
          </w:p>
        </w:tc>
        <w:tc>
          <w:tcPr>
            <w:tcW w:w="1799" w:type="dxa"/>
          </w:tcPr>
          <w:p>
            <w:pPr>
              <w:pStyle w:val="TableParagraph"/>
              <w:spacing w:before="41"/>
              <w:ind w:left="290" w:right="302"/>
              <w:rPr>
                <w:sz w:val="18"/>
              </w:rPr>
            </w:pPr>
            <w:r>
              <w:rPr>
                <w:color w:val="231F20"/>
                <w:sz w:val="18"/>
              </w:rPr>
              <w:t>9.9</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2001</w:t>
            </w:r>
          </w:p>
        </w:tc>
        <w:tc>
          <w:tcPr>
            <w:tcW w:w="1653" w:type="dxa"/>
          </w:tcPr>
          <w:p>
            <w:pPr>
              <w:pStyle w:val="TableParagraph"/>
              <w:spacing w:before="41"/>
              <w:ind w:left="516" w:right="384"/>
              <w:rPr>
                <w:sz w:val="18"/>
              </w:rPr>
            </w:pPr>
            <w:r>
              <w:rPr>
                <w:color w:val="231F20"/>
                <w:sz w:val="18"/>
              </w:rPr>
              <w:t>67.6</w:t>
            </w:r>
          </w:p>
        </w:tc>
        <w:tc>
          <w:tcPr>
            <w:tcW w:w="1976" w:type="dxa"/>
          </w:tcPr>
          <w:p>
            <w:pPr>
              <w:pStyle w:val="TableParagraph"/>
              <w:spacing w:before="41"/>
              <w:ind w:left="399" w:right="267"/>
              <w:rPr>
                <w:sz w:val="18"/>
              </w:rPr>
            </w:pPr>
            <w:r>
              <w:rPr>
                <w:color w:val="231F20"/>
                <w:sz w:val="18"/>
              </w:rPr>
              <w:t>25.4</w:t>
            </w:r>
          </w:p>
        </w:tc>
        <w:tc>
          <w:tcPr>
            <w:tcW w:w="1799" w:type="dxa"/>
          </w:tcPr>
          <w:p>
            <w:pPr>
              <w:pStyle w:val="TableParagraph"/>
              <w:spacing w:before="41"/>
              <w:ind w:left="290" w:right="302"/>
              <w:rPr>
                <w:sz w:val="18"/>
              </w:rPr>
            </w:pPr>
            <w:r>
              <w:rPr>
                <w:color w:val="231F20"/>
                <w:sz w:val="18"/>
              </w:rPr>
              <w:t>7.0</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2002</w:t>
            </w:r>
          </w:p>
        </w:tc>
        <w:tc>
          <w:tcPr>
            <w:tcW w:w="1653" w:type="dxa"/>
          </w:tcPr>
          <w:p>
            <w:pPr>
              <w:pStyle w:val="TableParagraph"/>
              <w:spacing w:before="41"/>
              <w:ind w:left="516" w:right="384"/>
              <w:rPr>
                <w:sz w:val="18"/>
              </w:rPr>
            </w:pPr>
            <w:r>
              <w:rPr>
                <w:color w:val="231F20"/>
                <w:sz w:val="18"/>
              </w:rPr>
              <w:t>69.0</w:t>
            </w:r>
          </w:p>
        </w:tc>
        <w:tc>
          <w:tcPr>
            <w:tcW w:w="1976" w:type="dxa"/>
          </w:tcPr>
          <w:p>
            <w:pPr>
              <w:pStyle w:val="TableParagraph"/>
              <w:spacing w:before="41"/>
              <w:ind w:left="399" w:right="267"/>
              <w:rPr>
                <w:sz w:val="18"/>
              </w:rPr>
            </w:pPr>
            <w:r>
              <w:rPr>
                <w:color w:val="231F20"/>
                <w:sz w:val="18"/>
              </w:rPr>
              <w:t>23.4</w:t>
            </w:r>
          </w:p>
        </w:tc>
        <w:tc>
          <w:tcPr>
            <w:tcW w:w="1799" w:type="dxa"/>
          </w:tcPr>
          <w:p>
            <w:pPr>
              <w:pStyle w:val="TableParagraph"/>
              <w:spacing w:before="41"/>
              <w:ind w:left="290" w:right="302"/>
              <w:rPr>
                <w:sz w:val="18"/>
              </w:rPr>
            </w:pPr>
            <w:r>
              <w:rPr>
                <w:color w:val="231F20"/>
                <w:sz w:val="18"/>
              </w:rPr>
              <w:t>7.6</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2003</w:t>
            </w:r>
          </w:p>
        </w:tc>
        <w:tc>
          <w:tcPr>
            <w:tcW w:w="1653" w:type="dxa"/>
          </w:tcPr>
          <w:p>
            <w:pPr>
              <w:pStyle w:val="TableParagraph"/>
              <w:spacing w:before="41"/>
              <w:ind w:left="516" w:right="384"/>
              <w:rPr>
                <w:sz w:val="18"/>
              </w:rPr>
            </w:pPr>
            <w:r>
              <w:rPr>
                <w:color w:val="231F20"/>
                <w:sz w:val="18"/>
              </w:rPr>
              <w:t>65.8</w:t>
            </w:r>
          </w:p>
        </w:tc>
        <w:tc>
          <w:tcPr>
            <w:tcW w:w="1976" w:type="dxa"/>
          </w:tcPr>
          <w:p>
            <w:pPr>
              <w:pStyle w:val="TableParagraph"/>
              <w:spacing w:before="41"/>
              <w:ind w:left="399" w:right="267"/>
              <w:rPr>
                <w:sz w:val="18"/>
              </w:rPr>
            </w:pPr>
            <w:r>
              <w:rPr>
                <w:color w:val="231F20"/>
                <w:sz w:val="18"/>
              </w:rPr>
              <w:t>26.1</w:t>
            </w:r>
          </w:p>
        </w:tc>
        <w:tc>
          <w:tcPr>
            <w:tcW w:w="1799" w:type="dxa"/>
          </w:tcPr>
          <w:p>
            <w:pPr>
              <w:pStyle w:val="TableParagraph"/>
              <w:spacing w:before="41"/>
              <w:ind w:left="290" w:right="302"/>
              <w:rPr>
                <w:sz w:val="18"/>
              </w:rPr>
            </w:pPr>
            <w:r>
              <w:rPr>
                <w:color w:val="231F20"/>
                <w:sz w:val="18"/>
              </w:rPr>
              <w:t>8.0</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2004</w:t>
            </w:r>
          </w:p>
        </w:tc>
        <w:tc>
          <w:tcPr>
            <w:tcW w:w="1653" w:type="dxa"/>
          </w:tcPr>
          <w:p>
            <w:pPr>
              <w:pStyle w:val="TableParagraph"/>
              <w:spacing w:before="41"/>
              <w:ind w:left="516" w:right="384"/>
              <w:rPr>
                <w:sz w:val="18"/>
              </w:rPr>
            </w:pPr>
            <w:r>
              <w:rPr>
                <w:color w:val="231F20"/>
                <w:sz w:val="18"/>
              </w:rPr>
              <w:t>67.5</w:t>
            </w:r>
          </w:p>
        </w:tc>
        <w:tc>
          <w:tcPr>
            <w:tcW w:w="1976" w:type="dxa"/>
          </w:tcPr>
          <w:p>
            <w:pPr>
              <w:pStyle w:val="TableParagraph"/>
              <w:spacing w:before="41"/>
              <w:ind w:left="399" w:right="267"/>
              <w:rPr>
                <w:sz w:val="18"/>
              </w:rPr>
            </w:pPr>
            <w:r>
              <w:rPr>
                <w:color w:val="231F20"/>
                <w:sz w:val="18"/>
              </w:rPr>
              <w:t>18.7</w:t>
            </w:r>
          </w:p>
        </w:tc>
        <w:tc>
          <w:tcPr>
            <w:tcW w:w="1799" w:type="dxa"/>
          </w:tcPr>
          <w:p>
            <w:pPr>
              <w:pStyle w:val="TableParagraph"/>
              <w:spacing w:before="41"/>
              <w:ind w:left="290" w:right="302"/>
              <w:rPr>
                <w:sz w:val="18"/>
              </w:rPr>
            </w:pPr>
            <w:r>
              <w:rPr>
                <w:color w:val="231F20"/>
                <w:sz w:val="18"/>
              </w:rPr>
              <w:t>13.7</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2005</w:t>
            </w:r>
          </w:p>
        </w:tc>
        <w:tc>
          <w:tcPr>
            <w:tcW w:w="1653" w:type="dxa"/>
          </w:tcPr>
          <w:p>
            <w:pPr>
              <w:pStyle w:val="TableParagraph"/>
              <w:spacing w:before="41"/>
              <w:ind w:left="516" w:right="384"/>
              <w:rPr>
                <w:sz w:val="18"/>
              </w:rPr>
            </w:pPr>
            <w:r>
              <w:rPr>
                <w:color w:val="231F20"/>
                <w:sz w:val="18"/>
              </w:rPr>
              <w:t>61.4</w:t>
            </w:r>
          </w:p>
        </w:tc>
        <w:tc>
          <w:tcPr>
            <w:tcW w:w="1976" w:type="dxa"/>
          </w:tcPr>
          <w:p>
            <w:pPr>
              <w:pStyle w:val="TableParagraph"/>
              <w:spacing w:before="41"/>
              <w:ind w:left="399" w:right="267"/>
              <w:rPr>
                <w:sz w:val="18"/>
              </w:rPr>
            </w:pPr>
            <w:r>
              <w:rPr>
                <w:color w:val="231F20"/>
                <w:sz w:val="18"/>
              </w:rPr>
              <w:t>11.2</w:t>
            </w:r>
          </w:p>
        </w:tc>
        <w:tc>
          <w:tcPr>
            <w:tcW w:w="1799" w:type="dxa"/>
          </w:tcPr>
          <w:p>
            <w:pPr>
              <w:pStyle w:val="TableParagraph"/>
              <w:spacing w:before="41"/>
              <w:ind w:left="290" w:right="302"/>
              <w:rPr>
                <w:sz w:val="18"/>
              </w:rPr>
            </w:pPr>
            <w:r>
              <w:rPr>
                <w:color w:val="231F20"/>
                <w:sz w:val="18"/>
              </w:rPr>
              <w:t>27.4</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2006</w:t>
            </w:r>
          </w:p>
        </w:tc>
        <w:tc>
          <w:tcPr>
            <w:tcW w:w="1653" w:type="dxa"/>
          </w:tcPr>
          <w:p>
            <w:pPr>
              <w:pStyle w:val="TableParagraph"/>
              <w:spacing w:before="41"/>
              <w:ind w:left="516" w:right="384"/>
              <w:rPr>
                <w:sz w:val="18"/>
              </w:rPr>
            </w:pPr>
            <w:r>
              <w:rPr>
                <w:color w:val="231F20"/>
                <w:sz w:val="18"/>
              </w:rPr>
              <w:t>36.8</w:t>
            </w:r>
          </w:p>
        </w:tc>
        <w:tc>
          <w:tcPr>
            <w:tcW w:w="1976" w:type="dxa"/>
          </w:tcPr>
          <w:p>
            <w:pPr>
              <w:pStyle w:val="TableParagraph"/>
              <w:spacing w:before="41"/>
              <w:ind w:left="399" w:right="267"/>
              <w:rPr>
                <w:sz w:val="18"/>
              </w:rPr>
            </w:pPr>
            <w:r>
              <w:rPr>
                <w:color w:val="231F20"/>
                <w:sz w:val="18"/>
              </w:rPr>
              <w:t>9.8</w:t>
            </w:r>
          </w:p>
        </w:tc>
        <w:tc>
          <w:tcPr>
            <w:tcW w:w="1799" w:type="dxa"/>
          </w:tcPr>
          <w:p>
            <w:pPr>
              <w:pStyle w:val="TableParagraph"/>
              <w:spacing w:before="41"/>
              <w:ind w:left="290" w:right="302"/>
              <w:rPr>
                <w:sz w:val="18"/>
              </w:rPr>
            </w:pPr>
            <w:r>
              <w:rPr>
                <w:color w:val="231F20"/>
                <w:sz w:val="18"/>
              </w:rPr>
              <w:t>53.4</w:t>
            </w:r>
          </w:p>
        </w:tc>
      </w:tr>
      <w:tr>
        <w:trPr>
          <w:trHeight w:val="334" w:hRule="exact"/>
        </w:trPr>
        <w:tc>
          <w:tcPr>
            <w:tcW w:w="1772" w:type="dxa"/>
          </w:tcPr>
          <w:p>
            <w:pPr>
              <w:pStyle w:val="TableParagraph"/>
              <w:spacing w:before="21"/>
              <w:ind w:left="505" w:right="517"/>
              <w:rPr>
                <w:rFonts w:ascii="Palatino Linotype"/>
                <w:b/>
                <w:sz w:val="18"/>
              </w:rPr>
            </w:pPr>
            <w:r>
              <w:rPr>
                <w:rFonts w:ascii="Palatino Linotype"/>
                <w:b/>
                <w:color w:val="231F20"/>
                <w:sz w:val="18"/>
              </w:rPr>
              <w:t>2007</w:t>
            </w:r>
          </w:p>
        </w:tc>
        <w:tc>
          <w:tcPr>
            <w:tcW w:w="1653" w:type="dxa"/>
          </w:tcPr>
          <w:p>
            <w:pPr>
              <w:pStyle w:val="TableParagraph"/>
              <w:spacing w:before="41"/>
              <w:ind w:left="516" w:right="384"/>
              <w:rPr>
                <w:sz w:val="18"/>
              </w:rPr>
            </w:pPr>
            <w:r>
              <w:rPr>
                <w:color w:val="231F20"/>
                <w:sz w:val="18"/>
              </w:rPr>
              <w:t>33.1</w:t>
            </w:r>
          </w:p>
        </w:tc>
        <w:tc>
          <w:tcPr>
            <w:tcW w:w="1976" w:type="dxa"/>
          </w:tcPr>
          <w:p>
            <w:pPr>
              <w:pStyle w:val="TableParagraph"/>
              <w:spacing w:before="41"/>
              <w:ind w:left="399" w:right="267"/>
              <w:rPr>
                <w:sz w:val="18"/>
              </w:rPr>
            </w:pPr>
            <w:r>
              <w:rPr>
                <w:color w:val="231F20"/>
                <w:sz w:val="18"/>
              </w:rPr>
              <w:t>12.7</w:t>
            </w:r>
          </w:p>
        </w:tc>
        <w:tc>
          <w:tcPr>
            <w:tcW w:w="1799" w:type="dxa"/>
          </w:tcPr>
          <w:p>
            <w:pPr>
              <w:pStyle w:val="TableParagraph"/>
              <w:spacing w:before="41"/>
              <w:ind w:left="290" w:right="302"/>
              <w:rPr>
                <w:sz w:val="18"/>
              </w:rPr>
            </w:pPr>
            <w:r>
              <w:rPr>
                <w:color w:val="231F20"/>
                <w:sz w:val="18"/>
              </w:rPr>
              <w:t>54.1</w:t>
            </w:r>
          </w:p>
        </w:tc>
      </w:tr>
      <w:tr>
        <w:trPr>
          <w:trHeight w:val="313" w:hRule="exact"/>
        </w:trPr>
        <w:tc>
          <w:tcPr>
            <w:tcW w:w="1772" w:type="dxa"/>
            <w:tcBorders>
              <w:bottom w:val="single" w:sz="4" w:space="0" w:color="231F20"/>
            </w:tcBorders>
          </w:tcPr>
          <w:p>
            <w:pPr>
              <w:pStyle w:val="TableParagraph"/>
              <w:spacing w:before="21"/>
              <w:ind w:left="505" w:right="517"/>
              <w:rPr>
                <w:rFonts w:ascii="Palatino Linotype"/>
                <w:b/>
                <w:sz w:val="18"/>
              </w:rPr>
            </w:pPr>
            <w:r>
              <w:rPr>
                <w:rFonts w:ascii="Palatino Linotype"/>
                <w:b/>
                <w:color w:val="231F20"/>
                <w:sz w:val="18"/>
              </w:rPr>
              <w:t>2008</w:t>
            </w:r>
          </w:p>
        </w:tc>
        <w:tc>
          <w:tcPr>
            <w:tcW w:w="1653" w:type="dxa"/>
            <w:tcBorders>
              <w:bottom w:val="single" w:sz="4" w:space="0" w:color="231F20"/>
            </w:tcBorders>
          </w:tcPr>
          <w:p>
            <w:pPr>
              <w:pStyle w:val="TableParagraph"/>
              <w:spacing w:before="41"/>
              <w:ind w:left="516" w:right="384"/>
              <w:rPr>
                <w:sz w:val="18"/>
              </w:rPr>
            </w:pPr>
            <w:r>
              <w:rPr>
                <w:color w:val="231F20"/>
                <w:sz w:val="18"/>
              </w:rPr>
              <w:t>41.7</w:t>
            </w:r>
          </w:p>
        </w:tc>
        <w:tc>
          <w:tcPr>
            <w:tcW w:w="1976" w:type="dxa"/>
            <w:tcBorders>
              <w:bottom w:val="single" w:sz="4" w:space="0" w:color="231F20"/>
            </w:tcBorders>
          </w:tcPr>
          <w:p>
            <w:pPr>
              <w:pStyle w:val="TableParagraph"/>
              <w:spacing w:before="41"/>
              <w:ind w:left="399" w:right="267"/>
              <w:rPr>
                <w:sz w:val="18"/>
              </w:rPr>
            </w:pPr>
            <w:r>
              <w:rPr>
                <w:color w:val="231F20"/>
                <w:sz w:val="18"/>
              </w:rPr>
              <w:t>7.8</w:t>
            </w:r>
          </w:p>
        </w:tc>
        <w:tc>
          <w:tcPr>
            <w:tcW w:w="1799" w:type="dxa"/>
            <w:tcBorders>
              <w:bottom w:val="single" w:sz="4" w:space="0" w:color="231F20"/>
            </w:tcBorders>
          </w:tcPr>
          <w:p>
            <w:pPr>
              <w:pStyle w:val="TableParagraph"/>
              <w:spacing w:before="41"/>
              <w:ind w:left="290" w:right="302"/>
              <w:rPr>
                <w:sz w:val="18"/>
              </w:rPr>
            </w:pPr>
            <w:r>
              <w:rPr>
                <w:color w:val="231F20"/>
                <w:sz w:val="18"/>
              </w:rPr>
              <w:t>50.5</w:t>
            </w:r>
          </w:p>
        </w:tc>
      </w:tr>
    </w:tbl>
    <w:p>
      <w:pPr>
        <w:pStyle w:val="BodyText"/>
        <w:spacing w:before="3"/>
        <w:rPr>
          <w:rFonts w:ascii="Palatino Linotype"/>
          <w:b/>
          <w:sz w:val="9"/>
        </w:rPr>
      </w:pPr>
    </w:p>
    <w:p>
      <w:pPr>
        <w:spacing w:before="41"/>
        <w:ind w:left="713" w:right="1617" w:firstLine="0"/>
        <w:jc w:val="left"/>
        <w:rPr>
          <w:sz w:val="19"/>
        </w:rPr>
      </w:pPr>
      <w:r>
        <w:rPr>
          <w:rFonts w:ascii="Palatino Linotype" w:hAnsi="Palatino Linotype"/>
          <w:i/>
          <w:color w:val="231F20"/>
          <w:sz w:val="19"/>
        </w:rPr>
        <w:t>Fuente: </w:t>
      </w:r>
      <w:r>
        <w:rPr>
          <w:color w:val="231F20"/>
          <w:sz w:val="19"/>
        </w:rPr>
        <w:t>Elaboración propia con datos de AMIA (2009).</w:t>
      </w:r>
    </w:p>
    <w:p>
      <w:pPr>
        <w:spacing w:after="0"/>
        <w:jc w:val="left"/>
        <w:rPr>
          <w:sz w:val="19"/>
        </w:rPr>
        <w:sectPr>
          <w:headerReference w:type="even" r:id="rId232"/>
          <w:headerReference w:type="default" r:id="rId233"/>
          <w:footerReference w:type="even" r:id="rId234"/>
          <w:footerReference w:type="default" r:id="rId235"/>
          <w:pgSz w:w="9640" w:h="13040"/>
          <w:pgMar w:header="581" w:footer="654" w:top="780" w:bottom="840" w:left="420" w:right="1200"/>
          <w:pgNumType w:start="114"/>
        </w:sectPr>
      </w:pPr>
    </w:p>
    <w:p>
      <w:pPr>
        <w:pStyle w:val="BodyText"/>
        <w:rPr>
          <w:sz w:val="20"/>
        </w:rPr>
      </w:pPr>
    </w:p>
    <w:p>
      <w:pPr>
        <w:pStyle w:val="BodyText"/>
        <w:spacing w:before="10"/>
        <w:rPr>
          <w:sz w:val="17"/>
        </w:rPr>
      </w:pPr>
    </w:p>
    <w:p>
      <w:pPr>
        <w:pStyle w:val="BodyText"/>
        <w:spacing w:line="278" w:lineRule="auto"/>
        <w:ind w:left="123" w:right="711"/>
        <w:jc w:val="both"/>
      </w:pPr>
      <w:r>
        <w:rPr>
          <w:color w:val="231F20"/>
        </w:rPr>
        <w:t>Respecto a la producción para mercado externo, debe mencionarse que las plantas</w:t>
      </w:r>
      <w:r>
        <w:rPr>
          <w:color w:val="231F20"/>
          <w:spacing w:val="-36"/>
        </w:rPr>
        <w:t> </w:t>
      </w:r>
      <w:r>
        <w:rPr>
          <w:color w:val="231F20"/>
        </w:rPr>
        <w:t>en- sambladoras</w:t>
      </w:r>
      <w:r>
        <w:rPr>
          <w:color w:val="231F20"/>
          <w:spacing w:val="-14"/>
        </w:rPr>
        <w:t> </w:t>
      </w:r>
      <w:r>
        <w:rPr>
          <w:color w:val="231F20"/>
        </w:rPr>
        <w:t>de</w:t>
      </w:r>
      <w:r>
        <w:rPr>
          <w:color w:val="231F20"/>
          <w:spacing w:val="-14"/>
        </w:rPr>
        <w:t> </w:t>
      </w:r>
      <w:r>
        <w:rPr>
          <w:color w:val="231F20"/>
        </w:rPr>
        <w:t>vehículos</w:t>
      </w:r>
      <w:r>
        <w:rPr>
          <w:color w:val="231F20"/>
          <w:spacing w:val="-14"/>
        </w:rPr>
        <w:t> </w:t>
      </w:r>
      <w:r>
        <w:rPr>
          <w:color w:val="231F20"/>
        </w:rPr>
        <w:t>localizadas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fueron</w:t>
      </w:r>
      <w:r>
        <w:rPr>
          <w:color w:val="231F20"/>
          <w:spacing w:val="-14"/>
        </w:rPr>
        <w:t> </w:t>
      </w:r>
      <w:r>
        <w:rPr>
          <w:color w:val="231F20"/>
        </w:rPr>
        <w:t>fundadas</w:t>
      </w:r>
      <w:r>
        <w:rPr>
          <w:color w:val="231F20"/>
          <w:spacing w:val="-14"/>
        </w:rPr>
        <w:t> </w:t>
      </w:r>
      <w:r>
        <w:rPr>
          <w:color w:val="231F20"/>
        </w:rPr>
        <w:t>en</w:t>
      </w:r>
      <w:r>
        <w:rPr>
          <w:color w:val="231F20"/>
          <w:spacing w:val="-14"/>
        </w:rPr>
        <w:t> </w:t>
      </w:r>
      <w:r>
        <w:rPr>
          <w:color w:val="231F20"/>
        </w:rPr>
        <w:t>el</w:t>
      </w:r>
      <w:r>
        <w:rPr>
          <w:color w:val="231F20"/>
          <w:spacing w:val="-14"/>
        </w:rPr>
        <w:t> </w:t>
      </w:r>
      <w:r>
        <w:rPr>
          <w:color w:val="231F20"/>
        </w:rPr>
        <w:t>pe- riodo</w:t>
      </w:r>
      <w:r>
        <w:rPr>
          <w:color w:val="231F20"/>
          <w:spacing w:val="-7"/>
        </w:rPr>
        <w:t> </w:t>
      </w:r>
      <w:r>
        <w:rPr>
          <w:color w:val="231F20"/>
        </w:rPr>
        <w:t>de</w:t>
      </w:r>
      <w:r>
        <w:rPr>
          <w:color w:val="231F20"/>
          <w:spacing w:val="-7"/>
        </w:rPr>
        <w:t> </w:t>
      </w:r>
      <w:r>
        <w:rPr>
          <w:color w:val="231F20"/>
        </w:rPr>
        <w:t>sustitución</w:t>
      </w:r>
      <w:r>
        <w:rPr>
          <w:color w:val="231F20"/>
          <w:spacing w:val="-7"/>
        </w:rPr>
        <w:t> </w:t>
      </w:r>
      <w:r>
        <w:rPr>
          <w:color w:val="231F20"/>
        </w:rPr>
        <w:t>de</w:t>
      </w:r>
      <w:r>
        <w:rPr>
          <w:color w:val="231F20"/>
          <w:spacing w:val="-7"/>
        </w:rPr>
        <w:t> </w:t>
      </w:r>
      <w:r>
        <w:rPr>
          <w:color w:val="231F20"/>
        </w:rPr>
        <w:t>importaciones;</w:t>
      </w:r>
      <w:r>
        <w:rPr>
          <w:color w:val="231F20"/>
          <w:spacing w:val="-7"/>
        </w:rPr>
        <w:t> </w:t>
      </w:r>
      <w:r>
        <w:rPr>
          <w:color w:val="231F20"/>
        </w:rPr>
        <w:t>su</w:t>
      </w:r>
      <w:r>
        <w:rPr>
          <w:color w:val="231F20"/>
          <w:spacing w:val="-7"/>
        </w:rPr>
        <w:t> </w:t>
      </w:r>
      <w:r>
        <w:rPr>
          <w:color w:val="231F20"/>
        </w:rPr>
        <w:t>producción</w:t>
      </w:r>
      <w:r>
        <w:rPr>
          <w:color w:val="231F20"/>
          <w:spacing w:val="-7"/>
        </w:rPr>
        <w:t> </w:t>
      </w:r>
      <w:r>
        <w:rPr>
          <w:color w:val="231F20"/>
        </w:rPr>
        <w:t>se</w:t>
      </w:r>
      <w:r>
        <w:rPr>
          <w:color w:val="231F20"/>
          <w:spacing w:val="-7"/>
        </w:rPr>
        <w:t> </w:t>
      </w:r>
      <w:r>
        <w:rPr>
          <w:color w:val="231F20"/>
        </w:rPr>
        <w:t>destinaba</w:t>
      </w:r>
      <w:r>
        <w:rPr>
          <w:color w:val="231F20"/>
          <w:spacing w:val="-7"/>
        </w:rPr>
        <w:t> </w:t>
      </w:r>
      <w:r>
        <w:rPr>
          <w:color w:val="231F20"/>
        </w:rPr>
        <w:t>prácticamente</w:t>
      </w:r>
      <w:r>
        <w:rPr>
          <w:color w:val="231F20"/>
          <w:spacing w:val="-7"/>
        </w:rPr>
        <w:t> </w:t>
      </w:r>
      <w:r>
        <w:rPr>
          <w:color w:val="231F20"/>
        </w:rPr>
        <w:t>en</w:t>
      </w:r>
      <w:r>
        <w:rPr>
          <w:color w:val="231F20"/>
          <w:spacing w:val="-7"/>
        </w:rPr>
        <w:t> </w:t>
      </w:r>
      <w:r>
        <w:rPr>
          <w:color w:val="231F20"/>
        </w:rPr>
        <w:t>su totalidad al mercado interno. Sin embargo, a raíz del proceso de apertura económica, estas plantas de manera gradual empezaron a destinar cada vez una mayor proporción de su producción al mercado de</w:t>
      </w:r>
      <w:r>
        <w:rPr>
          <w:color w:val="231F20"/>
          <w:spacing w:val="6"/>
        </w:rPr>
        <w:t> </w:t>
      </w:r>
      <w:r>
        <w:rPr>
          <w:color w:val="231F20"/>
        </w:rPr>
        <w:t>exportación.</w:t>
      </w:r>
    </w:p>
    <w:p>
      <w:pPr>
        <w:pStyle w:val="BodyText"/>
        <w:spacing w:line="278" w:lineRule="auto" w:before="1"/>
        <w:ind w:left="123" w:right="711" w:firstLine="396"/>
        <w:jc w:val="both"/>
      </w:pPr>
      <w:r>
        <w:rPr>
          <w:color w:val="231F20"/>
        </w:rPr>
        <w:t>En</w:t>
      </w:r>
      <w:r>
        <w:rPr>
          <w:color w:val="231F20"/>
          <w:spacing w:val="-10"/>
        </w:rPr>
        <w:t> </w:t>
      </w:r>
      <w:r>
        <w:rPr>
          <w:color w:val="231F20"/>
        </w:rPr>
        <w:t>1988,</w:t>
      </w:r>
      <w:r>
        <w:rPr>
          <w:color w:val="231F20"/>
          <w:spacing w:val="-10"/>
        </w:rPr>
        <w:t> </w:t>
      </w:r>
      <w:r>
        <w:rPr>
          <w:color w:val="231F20"/>
        </w:rPr>
        <w:t>del</w:t>
      </w:r>
      <w:r>
        <w:rPr>
          <w:color w:val="231F20"/>
          <w:spacing w:val="-10"/>
        </w:rPr>
        <w:t> </w:t>
      </w:r>
      <w:r>
        <w:rPr>
          <w:color w:val="231F20"/>
        </w:rPr>
        <w:t>total</w:t>
      </w:r>
      <w:r>
        <w:rPr>
          <w:color w:val="231F20"/>
          <w:spacing w:val="-10"/>
        </w:rPr>
        <w:t> </w:t>
      </w:r>
      <w:r>
        <w:rPr>
          <w:color w:val="231F20"/>
        </w:rPr>
        <w:t>de</w:t>
      </w:r>
      <w:r>
        <w:rPr>
          <w:color w:val="231F20"/>
          <w:spacing w:val="-10"/>
        </w:rPr>
        <w:t> </w:t>
      </w:r>
      <w:r>
        <w:rPr>
          <w:color w:val="231F20"/>
        </w:rPr>
        <w:t>los</w:t>
      </w:r>
      <w:r>
        <w:rPr>
          <w:color w:val="231F20"/>
          <w:spacing w:val="-10"/>
        </w:rPr>
        <w:t> </w:t>
      </w:r>
      <w:r>
        <w:rPr>
          <w:color w:val="231F20"/>
        </w:rPr>
        <w:t>vehículos</w:t>
      </w:r>
      <w:r>
        <w:rPr>
          <w:color w:val="231F20"/>
          <w:spacing w:val="-10"/>
        </w:rPr>
        <w:t> </w:t>
      </w:r>
      <w:r>
        <w:rPr>
          <w:color w:val="231F20"/>
        </w:rPr>
        <w:t>producidos</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el</w:t>
      </w:r>
      <w:r>
        <w:rPr>
          <w:color w:val="231F20"/>
          <w:spacing w:val="-10"/>
        </w:rPr>
        <w:t> </w:t>
      </w:r>
      <w:r>
        <w:rPr>
          <w:color w:val="231F20"/>
        </w:rPr>
        <w:t>65.4%</w:t>
      </w:r>
      <w:r>
        <w:rPr>
          <w:color w:val="231F20"/>
          <w:spacing w:val="-10"/>
        </w:rPr>
        <w:t> </w:t>
      </w:r>
      <w:r>
        <w:rPr>
          <w:color w:val="231F20"/>
        </w:rPr>
        <w:t>se destinaba al consumo nacional y sólo 34.6% al mercado de exportación; mientras que en</w:t>
      </w:r>
      <w:r>
        <w:rPr>
          <w:color w:val="231F20"/>
          <w:spacing w:val="-12"/>
        </w:rPr>
        <w:t> </w:t>
      </w:r>
      <w:r>
        <w:rPr>
          <w:color w:val="231F20"/>
        </w:rPr>
        <w:t>el</w:t>
      </w:r>
      <w:r>
        <w:rPr>
          <w:color w:val="231F20"/>
          <w:spacing w:val="-12"/>
        </w:rPr>
        <w:t> </w:t>
      </w:r>
      <w:r>
        <w:rPr>
          <w:color w:val="231F20"/>
        </w:rPr>
        <w:t>2008</w:t>
      </w:r>
      <w:r>
        <w:rPr>
          <w:color w:val="231F20"/>
          <w:spacing w:val="-12"/>
        </w:rPr>
        <w:t> </w:t>
      </w:r>
      <w:r>
        <w:rPr>
          <w:color w:val="231F20"/>
        </w:rPr>
        <w:t>sólo</w:t>
      </w:r>
      <w:r>
        <w:rPr>
          <w:color w:val="231F20"/>
          <w:spacing w:val="-12"/>
        </w:rPr>
        <w:t> </w:t>
      </w:r>
      <w:r>
        <w:rPr>
          <w:color w:val="231F20"/>
        </w:rPr>
        <w:t>16.1%</w:t>
      </w:r>
      <w:r>
        <w:rPr>
          <w:color w:val="231F20"/>
          <w:spacing w:val="-12"/>
        </w:rPr>
        <w:t> </w:t>
      </w:r>
      <w:r>
        <w:rPr>
          <w:color w:val="231F20"/>
        </w:rPr>
        <w:t>se</w:t>
      </w:r>
      <w:r>
        <w:rPr>
          <w:color w:val="231F20"/>
          <w:spacing w:val="-12"/>
        </w:rPr>
        <w:t> </w:t>
      </w:r>
      <w:r>
        <w:rPr>
          <w:color w:val="231F20"/>
        </w:rPr>
        <w:t>destinó</w:t>
      </w:r>
      <w:r>
        <w:rPr>
          <w:color w:val="231F20"/>
          <w:spacing w:val="-12"/>
        </w:rPr>
        <w:t> </w:t>
      </w:r>
      <w:r>
        <w:rPr>
          <w:color w:val="231F20"/>
        </w:rPr>
        <w:t>al</w:t>
      </w:r>
      <w:r>
        <w:rPr>
          <w:color w:val="231F20"/>
          <w:spacing w:val="-12"/>
        </w:rPr>
        <w:t> </w:t>
      </w:r>
      <w:r>
        <w:rPr>
          <w:color w:val="231F20"/>
        </w:rPr>
        <w:t>mercado</w:t>
      </w:r>
      <w:r>
        <w:rPr>
          <w:color w:val="231F20"/>
          <w:spacing w:val="-12"/>
        </w:rPr>
        <w:t> </w:t>
      </w:r>
      <w:r>
        <w:rPr>
          <w:color w:val="231F20"/>
        </w:rPr>
        <w:t>nacional</w:t>
      </w:r>
      <w:r>
        <w:rPr>
          <w:color w:val="231F20"/>
          <w:spacing w:val="-12"/>
        </w:rPr>
        <w:t> </w:t>
      </w:r>
      <w:r>
        <w:rPr>
          <w:color w:val="231F20"/>
        </w:rPr>
        <w:t>y</w:t>
      </w:r>
      <w:r>
        <w:rPr>
          <w:color w:val="231F20"/>
          <w:spacing w:val="-12"/>
        </w:rPr>
        <w:t> </w:t>
      </w:r>
      <w:r>
        <w:rPr>
          <w:color w:val="231F20"/>
        </w:rPr>
        <w:t>83.9%</w:t>
      </w:r>
      <w:r>
        <w:rPr>
          <w:color w:val="231F20"/>
          <w:spacing w:val="-12"/>
        </w:rPr>
        <w:t> </w:t>
      </w:r>
      <w:r>
        <w:rPr>
          <w:color w:val="231F20"/>
        </w:rPr>
        <w:t>al</w:t>
      </w:r>
      <w:r>
        <w:rPr>
          <w:color w:val="231F20"/>
          <w:spacing w:val="-12"/>
        </w:rPr>
        <w:t> </w:t>
      </w:r>
      <w:r>
        <w:rPr>
          <w:color w:val="231F20"/>
        </w:rPr>
        <w:t>internacional.</w:t>
      </w:r>
    </w:p>
    <w:p>
      <w:pPr>
        <w:pStyle w:val="BodyText"/>
        <w:spacing w:line="278" w:lineRule="auto" w:before="1"/>
        <w:ind w:left="123" w:right="711" w:firstLine="396"/>
        <w:jc w:val="both"/>
      </w:pPr>
      <w:r>
        <w:rPr>
          <w:color w:val="231F20"/>
        </w:rPr>
        <w:t>La producción de automóviles estaba más equilibrada en cuanto a su mercado destino</w:t>
      </w:r>
      <w:r>
        <w:rPr>
          <w:color w:val="231F20"/>
          <w:spacing w:val="-4"/>
        </w:rPr>
        <w:t> </w:t>
      </w:r>
      <w:r>
        <w:rPr>
          <w:color w:val="231F20"/>
        </w:rPr>
        <w:t>en</w:t>
      </w:r>
      <w:r>
        <w:rPr>
          <w:color w:val="231F20"/>
          <w:spacing w:val="-4"/>
        </w:rPr>
        <w:t> </w:t>
      </w:r>
      <w:r>
        <w:rPr>
          <w:color w:val="231F20"/>
        </w:rPr>
        <w:t>1988,</w:t>
      </w:r>
      <w:r>
        <w:rPr>
          <w:color w:val="231F20"/>
          <w:spacing w:val="-4"/>
        </w:rPr>
        <w:t> </w:t>
      </w:r>
      <w:r>
        <w:rPr>
          <w:color w:val="231F20"/>
        </w:rPr>
        <w:t>pues</w:t>
      </w:r>
      <w:r>
        <w:rPr>
          <w:color w:val="231F20"/>
          <w:spacing w:val="-4"/>
        </w:rPr>
        <w:t> </w:t>
      </w:r>
      <w:r>
        <w:rPr>
          <w:color w:val="231F20"/>
        </w:rPr>
        <w:t>prácticamente</w:t>
      </w:r>
      <w:r>
        <w:rPr>
          <w:color w:val="231F20"/>
          <w:spacing w:val="-4"/>
        </w:rPr>
        <w:t> </w:t>
      </w:r>
      <w:r>
        <w:rPr>
          <w:color w:val="231F20"/>
        </w:rPr>
        <w:t>50%</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vehículos</w:t>
      </w:r>
      <w:r>
        <w:rPr>
          <w:color w:val="231F20"/>
          <w:spacing w:val="-4"/>
        </w:rPr>
        <w:t> </w:t>
      </w:r>
      <w:r>
        <w:rPr>
          <w:color w:val="231F20"/>
        </w:rPr>
        <w:t>producidos</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entidad</w:t>
      </w:r>
      <w:r>
        <w:rPr>
          <w:color w:val="231F20"/>
          <w:spacing w:val="-4"/>
        </w:rPr>
        <w:t> </w:t>
      </w:r>
      <w:r>
        <w:rPr>
          <w:color w:val="231F20"/>
        </w:rPr>
        <w:t>se exportaban</w:t>
      </w:r>
      <w:r>
        <w:rPr>
          <w:color w:val="231F20"/>
          <w:spacing w:val="-5"/>
        </w:rPr>
        <w:t> </w:t>
      </w:r>
      <w:r>
        <w:rPr>
          <w:color w:val="231F20"/>
        </w:rPr>
        <w:t>y</w:t>
      </w:r>
      <w:r>
        <w:rPr>
          <w:color w:val="231F20"/>
          <w:spacing w:val="-5"/>
        </w:rPr>
        <w:t> </w:t>
      </w:r>
      <w:r>
        <w:rPr>
          <w:color w:val="231F20"/>
        </w:rPr>
        <w:t>50%</w:t>
      </w:r>
      <w:r>
        <w:rPr>
          <w:color w:val="231F20"/>
          <w:spacing w:val="-5"/>
        </w:rPr>
        <w:t> </w:t>
      </w:r>
      <w:r>
        <w:rPr>
          <w:color w:val="231F20"/>
        </w:rPr>
        <w:t>eran</w:t>
      </w:r>
      <w:r>
        <w:rPr>
          <w:color w:val="231F20"/>
          <w:spacing w:val="-5"/>
        </w:rPr>
        <w:t> </w:t>
      </w:r>
      <w:r>
        <w:rPr>
          <w:color w:val="231F20"/>
        </w:rPr>
        <w:t>para</w:t>
      </w:r>
      <w:r>
        <w:rPr>
          <w:color w:val="231F20"/>
          <w:spacing w:val="-5"/>
        </w:rPr>
        <w:t> </w:t>
      </w:r>
      <w:r>
        <w:rPr>
          <w:color w:val="231F20"/>
        </w:rPr>
        <w:t>consumo</w:t>
      </w:r>
      <w:r>
        <w:rPr>
          <w:color w:val="231F20"/>
          <w:spacing w:val="-5"/>
        </w:rPr>
        <w:t> </w:t>
      </w:r>
      <w:r>
        <w:rPr>
          <w:color w:val="231F20"/>
        </w:rPr>
        <w:t>interno.</w:t>
      </w:r>
      <w:r>
        <w:rPr>
          <w:color w:val="231F20"/>
          <w:spacing w:val="-5"/>
        </w:rPr>
        <w:t> </w:t>
      </w:r>
      <w:r>
        <w:rPr>
          <w:color w:val="231F20"/>
        </w:rPr>
        <w:t>Sin</w:t>
      </w:r>
      <w:r>
        <w:rPr>
          <w:color w:val="231F20"/>
          <w:spacing w:val="-5"/>
        </w:rPr>
        <w:t> </w:t>
      </w:r>
      <w:r>
        <w:rPr>
          <w:color w:val="231F20"/>
        </w:rPr>
        <w:t>embargo,</w:t>
      </w:r>
      <w:r>
        <w:rPr>
          <w:color w:val="231F20"/>
          <w:spacing w:val="-5"/>
        </w:rPr>
        <w:t> </w:t>
      </w:r>
      <w:r>
        <w:rPr>
          <w:color w:val="231F20"/>
        </w:rPr>
        <w:t>esa</w:t>
      </w:r>
      <w:r>
        <w:rPr>
          <w:color w:val="231F20"/>
          <w:spacing w:val="-5"/>
        </w:rPr>
        <w:t> </w:t>
      </w:r>
      <w:r>
        <w:rPr>
          <w:color w:val="231F20"/>
        </w:rPr>
        <w:t>situación</w:t>
      </w:r>
      <w:r>
        <w:rPr>
          <w:color w:val="231F20"/>
          <w:spacing w:val="-5"/>
        </w:rPr>
        <w:t> </w:t>
      </w:r>
      <w:r>
        <w:rPr>
          <w:color w:val="231F20"/>
        </w:rPr>
        <w:t>cambió</w:t>
      </w:r>
      <w:r>
        <w:rPr>
          <w:color w:val="231F20"/>
          <w:spacing w:val="-5"/>
        </w:rPr>
        <w:t> </w:t>
      </w:r>
      <w:r>
        <w:rPr>
          <w:color w:val="231F20"/>
        </w:rPr>
        <w:t>dra- máticamente</w:t>
      </w:r>
      <w:r>
        <w:rPr>
          <w:color w:val="231F20"/>
          <w:spacing w:val="-15"/>
        </w:rPr>
        <w:t> </w:t>
      </w:r>
      <w:r>
        <w:rPr>
          <w:color w:val="231F20"/>
        </w:rPr>
        <w:t>para</w:t>
      </w:r>
      <w:r>
        <w:rPr>
          <w:color w:val="231F20"/>
          <w:spacing w:val="-15"/>
        </w:rPr>
        <w:t> </w:t>
      </w:r>
      <w:r>
        <w:rPr>
          <w:color w:val="231F20"/>
        </w:rPr>
        <w:t>2008,</w:t>
      </w:r>
      <w:r>
        <w:rPr>
          <w:color w:val="231F20"/>
          <w:spacing w:val="-15"/>
        </w:rPr>
        <w:t> </w:t>
      </w:r>
      <w:r>
        <w:rPr>
          <w:color w:val="231F20"/>
        </w:rPr>
        <w:t>año</w:t>
      </w:r>
      <w:r>
        <w:rPr>
          <w:color w:val="231F20"/>
          <w:spacing w:val="-15"/>
        </w:rPr>
        <w:t> </w:t>
      </w:r>
      <w:r>
        <w:rPr>
          <w:color w:val="231F20"/>
        </w:rPr>
        <w:t>en</w:t>
      </w:r>
      <w:r>
        <w:rPr>
          <w:color w:val="231F20"/>
          <w:spacing w:val="-15"/>
        </w:rPr>
        <w:t> </w:t>
      </w:r>
      <w:r>
        <w:rPr>
          <w:color w:val="231F20"/>
        </w:rPr>
        <w:t>que</w:t>
      </w:r>
      <w:r>
        <w:rPr>
          <w:color w:val="231F20"/>
          <w:spacing w:val="-15"/>
        </w:rPr>
        <w:t> </w:t>
      </w:r>
      <w:r>
        <w:rPr>
          <w:color w:val="231F20"/>
        </w:rPr>
        <w:t>el</w:t>
      </w:r>
      <w:r>
        <w:rPr>
          <w:color w:val="231F20"/>
          <w:spacing w:val="-15"/>
        </w:rPr>
        <w:t> </w:t>
      </w:r>
      <w:r>
        <w:rPr>
          <w:color w:val="231F20"/>
        </w:rPr>
        <w:t>99.3%</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producción</w:t>
      </w:r>
      <w:r>
        <w:rPr>
          <w:color w:val="231F20"/>
          <w:spacing w:val="-15"/>
        </w:rPr>
        <w:t> </w:t>
      </w:r>
      <w:r>
        <w:rPr>
          <w:color w:val="231F20"/>
        </w:rPr>
        <w:t>se</w:t>
      </w:r>
      <w:r>
        <w:rPr>
          <w:color w:val="231F20"/>
          <w:spacing w:val="-15"/>
        </w:rPr>
        <w:t> </w:t>
      </w:r>
      <w:r>
        <w:rPr>
          <w:color w:val="231F20"/>
        </w:rPr>
        <w:t>destinó</w:t>
      </w:r>
      <w:r>
        <w:rPr>
          <w:color w:val="231F20"/>
          <w:spacing w:val="-15"/>
        </w:rPr>
        <w:t> </w:t>
      </w:r>
      <w:r>
        <w:rPr>
          <w:color w:val="231F20"/>
        </w:rPr>
        <w:t>a</w:t>
      </w:r>
      <w:r>
        <w:rPr>
          <w:color w:val="231F20"/>
          <w:spacing w:val="-15"/>
        </w:rPr>
        <w:t> </w:t>
      </w:r>
      <w:r>
        <w:rPr>
          <w:color w:val="231F20"/>
        </w:rPr>
        <w:t>los</w:t>
      </w:r>
      <w:r>
        <w:rPr>
          <w:color w:val="231F20"/>
          <w:spacing w:val="-15"/>
        </w:rPr>
        <w:t> </w:t>
      </w:r>
      <w:r>
        <w:rPr>
          <w:color w:val="231F20"/>
        </w:rPr>
        <w:t>mercados internacionales. El mercado interno aún tiene un peso considerable para los camiones que se producen en esta entidad, pues 25.9% de la producción se destinó al consumo nacional</w:t>
      </w:r>
      <w:r>
        <w:rPr>
          <w:color w:val="231F20"/>
          <w:spacing w:val="-9"/>
        </w:rPr>
        <w:t> </w:t>
      </w:r>
      <w:r>
        <w:rPr>
          <w:color w:val="231F20"/>
        </w:rPr>
        <w:t>y</w:t>
      </w:r>
      <w:r>
        <w:rPr>
          <w:color w:val="231F20"/>
          <w:spacing w:val="-9"/>
        </w:rPr>
        <w:t> </w:t>
      </w:r>
      <w:r>
        <w:rPr>
          <w:color w:val="231F20"/>
        </w:rPr>
        <w:t>74.1%</w:t>
      </w:r>
      <w:r>
        <w:rPr>
          <w:color w:val="231F20"/>
          <w:spacing w:val="-9"/>
        </w:rPr>
        <w:t> </w:t>
      </w:r>
      <w:r>
        <w:rPr>
          <w:color w:val="231F20"/>
        </w:rPr>
        <w:t>al</w:t>
      </w:r>
      <w:r>
        <w:rPr>
          <w:color w:val="231F20"/>
          <w:spacing w:val="-9"/>
        </w:rPr>
        <w:t> </w:t>
      </w:r>
      <w:r>
        <w:rPr>
          <w:color w:val="231F20"/>
        </w:rPr>
        <w:t>mercado</w:t>
      </w:r>
      <w:r>
        <w:rPr>
          <w:color w:val="231F20"/>
          <w:spacing w:val="-9"/>
        </w:rPr>
        <w:t> </w:t>
      </w:r>
      <w:r>
        <w:rPr>
          <w:color w:val="231F20"/>
        </w:rPr>
        <w:t>internacional</w:t>
      </w:r>
      <w:r>
        <w:rPr>
          <w:color w:val="231F20"/>
          <w:spacing w:val="-9"/>
        </w:rPr>
        <w:t> </w:t>
      </w:r>
      <w:r>
        <w:rPr>
          <w:color w:val="231F20"/>
        </w:rPr>
        <w:t>en</w:t>
      </w:r>
      <w:r>
        <w:rPr>
          <w:color w:val="231F20"/>
          <w:spacing w:val="-9"/>
        </w:rPr>
        <w:t> </w:t>
      </w:r>
      <w:r>
        <w:rPr>
          <w:color w:val="231F20"/>
        </w:rPr>
        <w:t>2008</w:t>
      </w:r>
      <w:r>
        <w:rPr>
          <w:color w:val="231F20"/>
          <w:spacing w:val="-9"/>
        </w:rPr>
        <w:t> </w:t>
      </w:r>
      <w:r>
        <w:rPr>
          <w:color w:val="231F20"/>
        </w:rPr>
        <w:t>(véase</w:t>
      </w:r>
      <w:r>
        <w:rPr>
          <w:color w:val="231F20"/>
          <w:spacing w:val="-9"/>
        </w:rPr>
        <w:t> </w:t>
      </w:r>
      <w:r>
        <w:rPr>
          <w:color w:val="231F20"/>
        </w:rPr>
        <w:t>cuadro</w:t>
      </w:r>
      <w:r>
        <w:rPr>
          <w:color w:val="231F20"/>
          <w:spacing w:val="-9"/>
        </w:rPr>
        <w:t> </w:t>
      </w:r>
      <w:r>
        <w:rPr>
          <w:color w:val="231F20"/>
          <w:spacing w:val="-6"/>
        </w:rPr>
        <w:t>IV.6).</w:t>
      </w:r>
    </w:p>
    <w:p>
      <w:pPr>
        <w:pStyle w:val="BodyText"/>
        <w:spacing w:before="8"/>
        <w:rPr>
          <w:sz w:val="17"/>
        </w:rPr>
      </w:pPr>
    </w:p>
    <w:p>
      <w:pPr>
        <w:pStyle w:val="Heading4"/>
        <w:ind w:left="345" w:right="932"/>
      </w:pPr>
      <w:r>
        <w:rPr>
          <w:color w:val="231F20"/>
          <w:w w:val="95"/>
        </w:rPr>
        <w:t>Cuadro IV.6</w:t>
      </w:r>
    </w:p>
    <w:p>
      <w:pPr>
        <w:spacing w:line="237" w:lineRule="auto" w:before="0"/>
        <w:ind w:left="345" w:right="933" w:firstLine="0"/>
        <w:jc w:val="center"/>
        <w:rPr>
          <w:rFonts w:ascii="Palatino Linotype" w:hAnsi="Palatino Linotype"/>
          <w:b/>
          <w:sz w:val="21"/>
        </w:rPr>
      </w:pPr>
      <w:r>
        <w:rPr>
          <w:rFonts w:ascii="Palatino Linotype" w:hAnsi="Palatino Linotype"/>
          <w:b/>
          <w:color w:val="231F20"/>
          <w:w w:val="95"/>
          <w:sz w:val="21"/>
        </w:rPr>
        <w:t>Estado</w:t>
      </w:r>
      <w:r>
        <w:rPr>
          <w:rFonts w:ascii="Palatino Linotype" w:hAnsi="Palatino Linotype"/>
          <w:b/>
          <w:color w:val="231F20"/>
          <w:spacing w:val="-31"/>
          <w:w w:val="95"/>
          <w:sz w:val="21"/>
        </w:rPr>
        <w:t> </w:t>
      </w:r>
      <w:r>
        <w:rPr>
          <w:rFonts w:ascii="Palatino Linotype" w:hAnsi="Palatino Linotype"/>
          <w:b/>
          <w:color w:val="231F20"/>
          <w:w w:val="95"/>
          <w:sz w:val="21"/>
        </w:rPr>
        <w:t>de</w:t>
      </w:r>
      <w:r>
        <w:rPr>
          <w:rFonts w:ascii="Palatino Linotype" w:hAnsi="Palatino Linotype"/>
          <w:b/>
          <w:color w:val="231F20"/>
          <w:spacing w:val="-31"/>
          <w:w w:val="95"/>
          <w:sz w:val="21"/>
        </w:rPr>
        <w:t> </w:t>
      </w:r>
      <w:r>
        <w:rPr>
          <w:rFonts w:ascii="Palatino Linotype" w:hAnsi="Palatino Linotype"/>
          <w:b/>
          <w:color w:val="231F20"/>
          <w:w w:val="95"/>
          <w:sz w:val="21"/>
        </w:rPr>
        <w:t>México:</w:t>
      </w:r>
      <w:r>
        <w:rPr>
          <w:rFonts w:ascii="Palatino Linotype" w:hAnsi="Palatino Linotype"/>
          <w:b/>
          <w:color w:val="231F20"/>
          <w:spacing w:val="-31"/>
          <w:w w:val="95"/>
          <w:sz w:val="21"/>
        </w:rPr>
        <w:t> </w:t>
      </w:r>
      <w:r>
        <w:rPr>
          <w:rFonts w:ascii="Palatino Linotype" w:hAnsi="Palatino Linotype"/>
          <w:b/>
          <w:color w:val="231F20"/>
          <w:w w:val="95"/>
          <w:sz w:val="21"/>
        </w:rPr>
        <w:t>producción</w:t>
      </w:r>
      <w:r>
        <w:rPr>
          <w:rFonts w:ascii="Palatino Linotype" w:hAnsi="Palatino Linotype"/>
          <w:b/>
          <w:color w:val="231F20"/>
          <w:spacing w:val="-31"/>
          <w:w w:val="95"/>
          <w:sz w:val="21"/>
        </w:rPr>
        <w:t> </w:t>
      </w:r>
      <w:r>
        <w:rPr>
          <w:rFonts w:ascii="Palatino Linotype" w:hAnsi="Palatino Linotype"/>
          <w:b/>
          <w:color w:val="231F20"/>
          <w:w w:val="95"/>
          <w:sz w:val="21"/>
        </w:rPr>
        <w:t>total</w:t>
      </w:r>
      <w:r>
        <w:rPr>
          <w:rFonts w:ascii="Palatino Linotype" w:hAnsi="Palatino Linotype"/>
          <w:b/>
          <w:color w:val="231F20"/>
          <w:spacing w:val="-31"/>
          <w:w w:val="95"/>
          <w:sz w:val="21"/>
        </w:rPr>
        <w:t> </w:t>
      </w:r>
      <w:r>
        <w:rPr>
          <w:rFonts w:ascii="Palatino Linotype" w:hAnsi="Palatino Linotype"/>
          <w:b/>
          <w:color w:val="231F20"/>
          <w:w w:val="95"/>
          <w:sz w:val="21"/>
        </w:rPr>
        <w:t>por</w:t>
      </w:r>
      <w:r>
        <w:rPr>
          <w:rFonts w:ascii="Palatino Linotype" w:hAnsi="Palatino Linotype"/>
          <w:b/>
          <w:color w:val="231F20"/>
          <w:spacing w:val="-31"/>
          <w:w w:val="95"/>
          <w:sz w:val="21"/>
        </w:rPr>
        <w:t> </w:t>
      </w:r>
      <w:r>
        <w:rPr>
          <w:rFonts w:ascii="Palatino Linotype" w:hAnsi="Palatino Linotype"/>
          <w:b/>
          <w:color w:val="231F20"/>
          <w:w w:val="95"/>
          <w:sz w:val="21"/>
        </w:rPr>
        <w:t>tipo</w:t>
      </w:r>
      <w:r>
        <w:rPr>
          <w:rFonts w:ascii="Palatino Linotype" w:hAnsi="Palatino Linotype"/>
          <w:b/>
          <w:color w:val="231F20"/>
          <w:spacing w:val="-31"/>
          <w:w w:val="95"/>
          <w:sz w:val="21"/>
        </w:rPr>
        <w:t> </w:t>
      </w:r>
      <w:r>
        <w:rPr>
          <w:rFonts w:ascii="Palatino Linotype" w:hAnsi="Palatino Linotype"/>
          <w:b/>
          <w:color w:val="231F20"/>
          <w:w w:val="95"/>
          <w:sz w:val="21"/>
        </w:rPr>
        <w:t>de</w:t>
      </w:r>
      <w:r>
        <w:rPr>
          <w:rFonts w:ascii="Palatino Linotype" w:hAnsi="Palatino Linotype"/>
          <w:b/>
          <w:color w:val="231F20"/>
          <w:spacing w:val="-31"/>
          <w:w w:val="95"/>
          <w:sz w:val="21"/>
        </w:rPr>
        <w:t> </w:t>
      </w:r>
      <w:r>
        <w:rPr>
          <w:rFonts w:ascii="Palatino Linotype" w:hAnsi="Palatino Linotype"/>
          <w:b/>
          <w:color w:val="231F20"/>
          <w:w w:val="95"/>
          <w:sz w:val="21"/>
        </w:rPr>
        <w:t>vehículo</w:t>
      </w:r>
      <w:r>
        <w:rPr>
          <w:rFonts w:ascii="Palatino Linotype" w:hAnsi="Palatino Linotype"/>
          <w:b/>
          <w:color w:val="231F20"/>
          <w:spacing w:val="-31"/>
          <w:w w:val="95"/>
          <w:sz w:val="21"/>
        </w:rPr>
        <w:t> </w:t>
      </w:r>
      <w:r>
        <w:rPr>
          <w:rFonts w:ascii="Palatino Linotype" w:hAnsi="Palatino Linotype"/>
          <w:b/>
          <w:color w:val="231F20"/>
          <w:w w:val="95"/>
          <w:sz w:val="21"/>
        </w:rPr>
        <w:t>y</w:t>
      </w:r>
      <w:r>
        <w:rPr>
          <w:rFonts w:ascii="Palatino Linotype" w:hAnsi="Palatino Linotype"/>
          <w:b/>
          <w:color w:val="231F20"/>
          <w:spacing w:val="-31"/>
          <w:w w:val="95"/>
          <w:sz w:val="21"/>
        </w:rPr>
        <w:t> </w:t>
      </w:r>
      <w:r>
        <w:rPr>
          <w:rFonts w:ascii="Palatino Linotype" w:hAnsi="Palatino Linotype"/>
          <w:b/>
          <w:color w:val="231F20"/>
          <w:w w:val="95"/>
          <w:sz w:val="21"/>
        </w:rPr>
        <w:t>mercado</w:t>
      </w:r>
      <w:r>
        <w:rPr>
          <w:rFonts w:ascii="Palatino Linotype" w:hAnsi="Palatino Linotype"/>
          <w:b/>
          <w:color w:val="231F20"/>
          <w:spacing w:val="-31"/>
          <w:w w:val="95"/>
          <w:sz w:val="21"/>
        </w:rPr>
        <w:t> </w:t>
      </w:r>
      <w:r>
        <w:rPr>
          <w:rFonts w:ascii="Palatino Linotype" w:hAnsi="Palatino Linotype"/>
          <w:b/>
          <w:color w:val="231F20"/>
          <w:w w:val="95"/>
          <w:sz w:val="21"/>
        </w:rPr>
        <w:t>de</w:t>
      </w:r>
      <w:r>
        <w:rPr>
          <w:rFonts w:ascii="Palatino Linotype" w:hAnsi="Palatino Linotype"/>
          <w:b/>
          <w:color w:val="231F20"/>
          <w:spacing w:val="-31"/>
          <w:w w:val="95"/>
          <w:sz w:val="21"/>
        </w:rPr>
        <w:t> </w:t>
      </w:r>
      <w:r>
        <w:rPr>
          <w:rFonts w:ascii="Palatino Linotype" w:hAnsi="Palatino Linotype"/>
          <w:b/>
          <w:color w:val="231F20"/>
          <w:w w:val="95"/>
          <w:sz w:val="21"/>
        </w:rPr>
        <w:t>destino, 1988-2008</w:t>
      </w:r>
      <w:r>
        <w:rPr>
          <w:rFonts w:ascii="Palatino Linotype" w:hAnsi="Palatino Linotype"/>
          <w:b/>
          <w:color w:val="231F20"/>
          <w:spacing w:val="-4"/>
          <w:w w:val="95"/>
          <w:sz w:val="21"/>
        </w:rPr>
        <w:t> </w:t>
      </w:r>
      <w:r>
        <w:rPr>
          <w:rFonts w:ascii="Palatino Linotype" w:hAnsi="Palatino Linotype"/>
          <w:b/>
          <w:color w:val="231F20"/>
          <w:w w:val="95"/>
          <w:sz w:val="21"/>
        </w:rPr>
        <w:t>(Porcentaje)</w:t>
      </w:r>
    </w:p>
    <w:p>
      <w:pPr>
        <w:pStyle w:val="BodyText"/>
        <w:spacing w:before="1"/>
        <w:rPr>
          <w:rFonts w:ascii="Palatino Linotype"/>
          <w:b/>
          <w:sz w:val="11"/>
        </w:rPr>
      </w:pPr>
      <w:r>
        <w:rPr/>
        <w:pict>
          <v:group style="position:absolute;margin-left:64.946899pt;margin-top:9.454117pt;width:361.65pt;height:.5pt;mso-position-horizontal-relative:page;mso-position-vertical-relative:paragraph;z-index:10024;mso-wrap-distance-left:0;mso-wrap-distance-right:0" coordorigin="1299,189" coordsize="7233,10">
            <v:line style="position:absolute" from="1304,194" to="2336,194" stroked="true" strokeweight=".5pt" strokecolor="#231f20"/>
            <v:line style="position:absolute" from="2336,194" to="3368,194" stroked="true" strokeweight=".5pt" strokecolor="#231f20"/>
            <v:line style="position:absolute" from="3368,194" to="4399,194" stroked="true" strokeweight=".5pt" strokecolor="#231f20"/>
            <v:line style="position:absolute" from="4399,194" to="5431,194" stroked="true" strokeweight=".5pt" strokecolor="#231f20"/>
            <v:line style="position:absolute" from="5431,194" to="6463,194" stroked="true" strokeweight=".5pt" strokecolor="#231f20"/>
            <v:line style="position:absolute" from="6463,194" to="7495,194" stroked="true" strokeweight=".5pt" strokecolor="#231f20"/>
            <v:line style="position:absolute" from="7495,194" to="8527,194" stroked="true" strokeweight=".5pt" strokecolor="#231f20"/>
            <w10:wrap type="topAndBottom"/>
          </v:group>
        </w:pict>
      </w:r>
    </w:p>
    <w:p>
      <w:pPr>
        <w:tabs>
          <w:tab w:pos="5168" w:val="left" w:leader="none"/>
        </w:tabs>
        <w:spacing w:before="99" w:after="133"/>
        <w:ind w:left="1793" w:right="904" w:firstLine="0"/>
        <w:jc w:val="left"/>
        <w:rPr>
          <w:rFonts w:ascii="Palatino Linotype" w:hAnsi="Palatino Linotype"/>
          <w:b/>
          <w:sz w:val="18"/>
        </w:rPr>
      </w:pPr>
      <w:r>
        <w:rPr>
          <w:rFonts w:ascii="Palatino Linotype" w:hAnsi="Palatino Linotype"/>
          <w:b/>
          <w:color w:val="231F20"/>
          <w:w w:val="95"/>
          <w:sz w:val="18"/>
        </w:rPr>
        <w:t>Mercado</w:t>
      </w:r>
      <w:r>
        <w:rPr>
          <w:rFonts w:ascii="Palatino Linotype" w:hAnsi="Palatino Linotype"/>
          <w:b/>
          <w:color w:val="231F20"/>
          <w:spacing w:val="-13"/>
          <w:w w:val="95"/>
          <w:sz w:val="18"/>
        </w:rPr>
        <w:t> </w:t>
      </w:r>
      <w:r>
        <w:rPr>
          <w:rFonts w:ascii="Palatino Linotype" w:hAnsi="Palatino Linotype"/>
          <w:b/>
          <w:color w:val="231F20"/>
          <w:w w:val="95"/>
          <w:sz w:val="18"/>
        </w:rPr>
        <w:t>de</w:t>
      </w:r>
      <w:r>
        <w:rPr>
          <w:rFonts w:ascii="Palatino Linotype" w:hAnsi="Palatino Linotype"/>
          <w:b/>
          <w:color w:val="231F20"/>
          <w:spacing w:val="-13"/>
          <w:w w:val="95"/>
          <w:sz w:val="18"/>
        </w:rPr>
        <w:t> </w:t>
      </w:r>
      <w:r>
        <w:rPr>
          <w:rFonts w:ascii="Palatino Linotype" w:hAnsi="Palatino Linotype"/>
          <w:b/>
          <w:color w:val="231F20"/>
          <w:w w:val="95"/>
          <w:sz w:val="18"/>
        </w:rPr>
        <w:t>exportación</w:t>
        <w:tab/>
      </w:r>
      <w:r>
        <w:rPr>
          <w:rFonts w:ascii="Palatino Linotype" w:hAnsi="Palatino Linotype"/>
          <w:b/>
          <w:color w:val="231F20"/>
          <w:w w:val="90"/>
          <w:sz w:val="18"/>
        </w:rPr>
        <w:t>Mercado</w:t>
      </w:r>
      <w:r>
        <w:rPr>
          <w:rFonts w:ascii="Palatino Linotype" w:hAnsi="Palatino Linotype"/>
          <w:b/>
          <w:color w:val="231F20"/>
          <w:spacing w:val="28"/>
          <w:w w:val="90"/>
          <w:sz w:val="18"/>
        </w:rPr>
        <w:t> </w:t>
      </w:r>
      <w:r>
        <w:rPr>
          <w:rFonts w:ascii="Palatino Linotype" w:hAnsi="Palatino Linotype"/>
          <w:b/>
          <w:color w:val="231F20"/>
          <w:w w:val="90"/>
          <w:sz w:val="18"/>
        </w:rPr>
        <w:t>interno</w:t>
      </w:r>
    </w:p>
    <w:p>
      <w:pPr>
        <w:pStyle w:val="BodyText"/>
        <w:spacing w:line="20" w:lineRule="exact"/>
        <w:ind w:left="1150"/>
        <w:rPr>
          <w:rFonts w:ascii="Palatino Linotype"/>
          <w:sz w:val="2"/>
        </w:rPr>
      </w:pPr>
      <w:r>
        <w:rPr>
          <w:rFonts w:ascii="Palatino Linotype"/>
          <w:sz w:val="2"/>
        </w:rPr>
        <w:pict>
          <v:group style="width:310.05pt;height:.5pt;mso-position-horizontal-relative:char;mso-position-vertical-relative:line" coordorigin="0,0" coordsize="6201,10">
            <v:line style="position:absolute" from="5,5" to="1037,5" stroked="true" strokeweight=".5pt" strokecolor="#231f20"/>
            <v:line style="position:absolute" from="1037,5" to="2069,5" stroked="true" strokeweight=".5pt" strokecolor="#231f20"/>
            <v:line style="position:absolute" from="2069,5" to="3100,5" stroked="true" strokeweight=".5pt" strokecolor="#231f20"/>
            <v:line style="position:absolute" from="3100,5" to="4132,5" stroked="true" strokeweight=".5pt" strokecolor="#231f20"/>
            <v:line style="position:absolute" from="4132,5" to="5164,5" stroked="true" strokeweight=".5pt" strokecolor="#231f20"/>
            <v:line style="position:absolute" from="5164,5" to="6196,5" stroked="true" strokeweight=".5pt" strokecolor="#231f20"/>
          </v:group>
        </w:pict>
      </w:r>
      <w:r>
        <w:rPr>
          <w:rFonts w:ascii="Palatino Linotype"/>
          <w:sz w:val="2"/>
        </w:rPr>
      </w:r>
    </w:p>
    <w:p>
      <w:pPr>
        <w:pStyle w:val="BodyText"/>
        <w:spacing w:before="8"/>
        <w:rPr>
          <w:rFonts w:ascii="Palatino Linotype"/>
          <w:b/>
          <w:sz w:val="4"/>
        </w:rPr>
      </w:pPr>
    </w:p>
    <w:tbl>
      <w:tblPr>
        <w:tblW w:w="0" w:type="auto"/>
        <w:jc w:val="left"/>
        <w:tblInd w:w="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2"/>
        <w:gridCol w:w="1028"/>
        <w:gridCol w:w="968"/>
        <w:gridCol w:w="1202"/>
        <w:gridCol w:w="925"/>
        <w:gridCol w:w="968"/>
        <w:gridCol w:w="1110"/>
      </w:tblGrid>
      <w:tr>
        <w:trPr>
          <w:trHeight w:val="413" w:hRule="exact"/>
        </w:trPr>
        <w:tc>
          <w:tcPr>
            <w:tcW w:w="1022" w:type="dxa"/>
            <w:tcBorders>
              <w:bottom w:val="single" w:sz="4" w:space="0" w:color="231F20"/>
            </w:tcBorders>
          </w:tcPr>
          <w:p>
            <w:pPr/>
          </w:p>
        </w:tc>
        <w:tc>
          <w:tcPr>
            <w:tcW w:w="1028" w:type="dxa"/>
            <w:tcBorders>
              <w:bottom w:val="single" w:sz="4" w:space="0" w:color="231F20"/>
            </w:tcBorders>
          </w:tcPr>
          <w:p>
            <w:pPr>
              <w:pStyle w:val="TableParagraph"/>
              <w:spacing w:before="44"/>
              <w:ind w:left="290" w:right="266"/>
              <w:rPr>
                <w:rFonts w:ascii="Palatino Linotype"/>
                <w:b/>
                <w:sz w:val="18"/>
              </w:rPr>
            </w:pPr>
            <w:r>
              <w:rPr>
                <w:rFonts w:ascii="Palatino Linotype"/>
                <w:b/>
                <w:color w:val="231F20"/>
                <w:sz w:val="18"/>
              </w:rPr>
              <w:t>Total</w:t>
            </w:r>
          </w:p>
        </w:tc>
        <w:tc>
          <w:tcPr>
            <w:tcW w:w="968" w:type="dxa"/>
            <w:tcBorders>
              <w:bottom w:val="single" w:sz="4" w:space="0" w:color="231F20"/>
            </w:tcBorders>
          </w:tcPr>
          <w:p>
            <w:pPr>
              <w:pStyle w:val="TableParagraph"/>
              <w:spacing w:before="44"/>
              <w:ind w:left="265" w:right="173"/>
              <w:rPr>
                <w:rFonts w:ascii="Palatino Linotype"/>
                <w:b/>
                <w:sz w:val="18"/>
              </w:rPr>
            </w:pPr>
            <w:r>
              <w:rPr>
                <w:rFonts w:ascii="Palatino Linotype"/>
                <w:b/>
                <w:color w:val="231F20"/>
                <w:sz w:val="18"/>
              </w:rPr>
              <w:t>Autos</w:t>
            </w:r>
          </w:p>
        </w:tc>
        <w:tc>
          <w:tcPr>
            <w:tcW w:w="1202" w:type="dxa"/>
            <w:tcBorders>
              <w:bottom w:val="single" w:sz="4" w:space="0" w:color="231F20"/>
            </w:tcBorders>
          </w:tcPr>
          <w:p>
            <w:pPr>
              <w:pStyle w:val="TableParagraph"/>
              <w:spacing w:before="44"/>
              <w:ind w:left="165" w:right="177"/>
              <w:rPr>
                <w:rFonts w:ascii="Palatino Linotype"/>
                <w:b/>
                <w:sz w:val="18"/>
              </w:rPr>
            </w:pPr>
            <w:r>
              <w:rPr>
                <w:rFonts w:ascii="Palatino Linotype"/>
                <w:b/>
                <w:color w:val="231F20"/>
                <w:sz w:val="18"/>
              </w:rPr>
              <w:t>Camiones</w:t>
            </w:r>
          </w:p>
        </w:tc>
        <w:tc>
          <w:tcPr>
            <w:tcW w:w="925" w:type="dxa"/>
            <w:tcBorders>
              <w:bottom w:val="single" w:sz="4" w:space="0" w:color="231F20"/>
            </w:tcBorders>
          </w:tcPr>
          <w:p>
            <w:pPr>
              <w:pStyle w:val="TableParagraph"/>
              <w:spacing w:before="44"/>
              <w:ind w:left="230"/>
              <w:jc w:val="left"/>
              <w:rPr>
                <w:rFonts w:ascii="Palatino Linotype"/>
                <w:b/>
                <w:sz w:val="18"/>
              </w:rPr>
            </w:pPr>
            <w:r>
              <w:rPr>
                <w:rFonts w:ascii="Palatino Linotype"/>
                <w:b/>
                <w:color w:val="231F20"/>
                <w:sz w:val="18"/>
              </w:rPr>
              <w:t>Total</w:t>
            </w:r>
          </w:p>
        </w:tc>
        <w:tc>
          <w:tcPr>
            <w:tcW w:w="968" w:type="dxa"/>
            <w:tcBorders>
              <w:bottom w:val="single" w:sz="4" w:space="0" w:color="231F20"/>
            </w:tcBorders>
          </w:tcPr>
          <w:p>
            <w:pPr>
              <w:pStyle w:val="TableParagraph"/>
              <w:spacing w:before="44"/>
              <w:ind w:left="265" w:right="173"/>
              <w:rPr>
                <w:rFonts w:ascii="Palatino Linotype"/>
                <w:b/>
                <w:sz w:val="18"/>
              </w:rPr>
            </w:pPr>
            <w:r>
              <w:rPr>
                <w:rFonts w:ascii="Palatino Linotype"/>
                <w:b/>
                <w:color w:val="231F20"/>
                <w:sz w:val="18"/>
              </w:rPr>
              <w:t>Autos</w:t>
            </w:r>
          </w:p>
        </w:tc>
        <w:tc>
          <w:tcPr>
            <w:tcW w:w="1110" w:type="dxa"/>
            <w:tcBorders>
              <w:bottom w:val="single" w:sz="4" w:space="0" w:color="231F20"/>
            </w:tcBorders>
          </w:tcPr>
          <w:p>
            <w:pPr>
              <w:pStyle w:val="TableParagraph"/>
              <w:spacing w:before="44"/>
              <w:ind w:left="163" w:right="86"/>
              <w:rPr>
                <w:rFonts w:ascii="Palatino Linotype"/>
                <w:b/>
                <w:sz w:val="18"/>
              </w:rPr>
            </w:pPr>
            <w:r>
              <w:rPr>
                <w:rFonts w:ascii="Palatino Linotype"/>
                <w:b/>
                <w:color w:val="231F20"/>
                <w:sz w:val="18"/>
              </w:rPr>
              <w:t>Camiones</w:t>
            </w:r>
          </w:p>
        </w:tc>
      </w:tr>
      <w:tr>
        <w:trPr>
          <w:trHeight w:val="476" w:hRule="exact"/>
        </w:trPr>
        <w:tc>
          <w:tcPr>
            <w:tcW w:w="1022" w:type="dxa"/>
            <w:tcBorders>
              <w:top w:val="single" w:sz="4" w:space="0" w:color="231F20"/>
            </w:tcBorders>
          </w:tcPr>
          <w:p>
            <w:pPr>
              <w:pStyle w:val="TableParagraph"/>
              <w:spacing w:before="119"/>
              <w:ind w:right="332"/>
              <w:jc w:val="right"/>
              <w:rPr>
                <w:sz w:val="18"/>
              </w:rPr>
            </w:pPr>
            <w:r>
              <w:rPr>
                <w:color w:val="231F20"/>
                <w:w w:val="95"/>
                <w:sz w:val="18"/>
              </w:rPr>
              <w:t>1988</w:t>
            </w:r>
          </w:p>
        </w:tc>
        <w:tc>
          <w:tcPr>
            <w:tcW w:w="1028" w:type="dxa"/>
            <w:tcBorders>
              <w:top w:val="single" w:sz="4" w:space="0" w:color="231F20"/>
            </w:tcBorders>
          </w:tcPr>
          <w:p>
            <w:pPr>
              <w:pStyle w:val="TableParagraph"/>
              <w:spacing w:before="98"/>
              <w:ind w:left="290" w:right="266"/>
              <w:rPr>
                <w:rFonts w:ascii="Palatino Linotype"/>
                <w:b/>
                <w:sz w:val="18"/>
              </w:rPr>
            </w:pPr>
            <w:r>
              <w:rPr>
                <w:rFonts w:ascii="Palatino Linotype"/>
                <w:b/>
                <w:color w:val="231F20"/>
                <w:sz w:val="18"/>
              </w:rPr>
              <w:t>34.6</w:t>
            </w:r>
          </w:p>
        </w:tc>
        <w:tc>
          <w:tcPr>
            <w:tcW w:w="968" w:type="dxa"/>
            <w:tcBorders>
              <w:top w:val="single" w:sz="4" w:space="0" w:color="231F20"/>
            </w:tcBorders>
          </w:tcPr>
          <w:p>
            <w:pPr>
              <w:pStyle w:val="TableParagraph"/>
              <w:spacing w:before="119"/>
              <w:ind w:left="265" w:right="173"/>
              <w:rPr>
                <w:sz w:val="18"/>
              </w:rPr>
            </w:pPr>
            <w:r>
              <w:rPr>
                <w:color w:val="231F20"/>
                <w:sz w:val="18"/>
              </w:rPr>
              <w:t>49.8</w:t>
            </w:r>
          </w:p>
        </w:tc>
        <w:tc>
          <w:tcPr>
            <w:tcW w:w="1202" w:type="dxa"/>
            <w:tcBorders>
              <w:top w:val="single" w:sz="4" w:space="0" w:color="231F20"/>
            </w:tcBorders>
          </w:tcPr>
          <w:p>
            <w:pPr>
              <w:pStyle w:val="TableParagraph"/>
              <w:spacing w:before="119"/>
              <w:ind w:left="165" w:right="177"/>
              <w:rPr>
                <w:sz w:val="18"/>
              </w:rPr>
            </w:pPr>
            <w:r>
              <w:rPr>
                <w:color w:val="231F20"/>
                <w:sz w:val="18"/>
              </w:rPr>
              <w:t>19.8</w:t>
            </w:r>
          </w:p>
        </w:tc>
        <w:tc>
          <w:tcPr>
            <w:tcW w:w="925" w:type="dxa"/>
            <w:tcBorders>
              <w:top w:val="single" w:sz="4" w:space="0" w:color="231F20"/>
            </w:tcBorders>
          </w:tcPr>
          <w:p>
            <w:pPr>
              <w:pStyle w:val="TableParagraph"/>
              <w:spacing w:before="98"/>
              <w:ind w:left="265"/>
              <w:jc w:val="left"/>
              <w:rPr>
                <w:rFonts w:ascii="Palatino Linotype"/>
                <w:b/>
                <w:sz w:val="18"/>
              </w:rPr>
            </w:pPr>
            <w:r>
              <w:rPr>
                <w:rFonts w:ascii="Palatino Linotype"/>
                <w:b/>
                <w:color w:val="231F20"/>
                <w:sz w:val="18"/>
              </w:rPr>
              <w:t>65.4</w:t>
            </w:r>
          </w:p>
        </w:tc>
        <w:tc>
          <w:tcPr>
            <w:tcW w:w="968" w:type="dxa"/>
            <w:tcBorders>
              <w:top w:val="single" w:sz="4" w:space="0" w:color="231F20"/>
            </w:tcBorders>
          </w:tcPr>
          <w:p>
            <w:pPr>
              <w:pStyle w:val="TableParagraph"/>
              <w:spacing w:before="119"/>
              <w:ind w:left="264" w:right="173"/>
              <w:rPr>
                <w:sz w:val="18"/>
              </w:rPr>
            </w:pPr>
            <w:r>
              <w:rPr>
                <w:color w:val="231F20"/>
                <w:sz w:val="18"/>
              </w:rPr>
              <w:t>50.2</w:t>
            </w:r>
          </w:p>
        </w:tc>
        <w:tc>
          <w:tcPr>
            <w:tcW w:w="1110" w:type="dxa"/>
            <w:tcBorders>
              <w:top w:val="single" w:sz="4" w:space="0" w:color="231F20"/>
            </w:tcBorders>
          </w:tcPr>
          <w:p>
            <w:pPr>
              <w:pStyle w:val="TableParagraph"/>
              <w:spacing w:before="119"/>
              <w:ind w:left="163" w:right="86"/>
              <w:rPr>
                <w:sz w:val="18"/>
              </w:rPr>
            </w:pPr>
            <w:r>
              <w:rPr>
                <w:color w:val="231F20"/>
                <w:sz w:val="18"/>
              </w:rPr>
              <w:t>80.2</w:t>
            </w:r>
          </w:p>
        </w:tc>
      </w:tr>
      <w:tr>
        <w:trPr>
          <w:trHeight w:val="454" w:hRule="exact"/>
        </w:trPr>
        <w:tc>
          <w:tcPr>
            <w:tcW w:w="1022" w:type="dxa"/>
          </w:tcPr>
          <w:p>
            <w:pPr>
              <w:pStyle w:val="TableParagraph"/>
              <w:spacing w:before="101"/>
              <w:ind w:right="331"/>
              <w:jc w:val="right"/>
              <w:rPr>
                <w:sz w:val="18"/>
              </w:rPr>
            </w:pPr>
            <w:r>
              <w:rPr>
                <w:color w:val="231F20"/>
                <w:w w:val="95"/>
                <w:sz w:val="18"/>
              </w:rPr>
              <w:t>1989</w:t>
            </w:r>
          </w:p>
        </w:tc>
        <w:tc>
          <w:tcPr>
            <w:tcW w:w="1028" w:type="dxa"/>
          </w:tcPr>
          <w:p>
            <w:pPr>
              <w:pStyle w:val="TableParagraph"/>
              <w:spacing w:before="80"/>
              <w:ind w:left="289" w:right="266"/>
              <w:rPr>
                <w:rFonts w:ascii="Palatino Linotype"/>
                <w:b/>
                <w:sz w:val="18"/>
              </w:rPr>
            </w:pPr>
            <w:r>
              <w:rPr>
                <w:rFonts w:ascii="Palatino Linotype"/>
                <w:b/>
                <w:color w:val="231F20"/>
                <w:sz w:val="18"/>
              </w:rPr>
              <w:t>28.2</w:t>
            </w:r>
          </w:p>
        </w:tc>
        <w:tc>
          <w:tcPr>
            <w:tcW w:w="968" w:type="dxa"/>
          </w:tcPr>
          <w:p>
            <w:pPr>
              <w:pStyle w:val="TableParagraph"/>
              <w:spacing w:before="101"/>
              <w:ind w:left="264" w:right="173"/>
              <w:rPr>
                <w:sz w:val="18"/>
              </w:rPr>
            </w:pPr>
            <w:r>
              <w:rPr>
                <w:color w:val="231F20"/>
                <w:sz w:val="18"/>
              </w:rPr>
              <w:t>38.5</w:t>
            </w:r>
          </w:p>
        </w:tc>
        <w:tc>
          <w:tcPr>
            <w:tcW w:w="1202" w:type="dxa"/>
          </w:tcPr>
          <w:p>
            <w:pPr>
              <w:pStyle w:val="TableParagraph"/>
              <w:spacing w:before="101"/>
              <w:ind w:left="164" w:right="177"/>
              <w:rPr>
                <w:sz w:val="18"/>
              </w:rPr>
            </w:pPr>
            <w:r>
              <w:rPr>
                <w:color w:val="231F20"/>
                <w:sz w:val="18"/>
              </w:rPr>
              <w:t>16.0</w:t>
            </w:r>
          </w:p>
        </w:tc>
        <w:tc>
          <w:tcPr>
            <w:tcW w:w="925" w:type="dxa"/>
          </w:tcPr>
          <w:p>
            <w:pPr>
              <w:pStyle w:val="TableParagraph"/>
              <w:spacing w:before="80"/>
              <w:ind w:left="265"/>
              <w:jc w:val="left"/>
              <w:rPr>
                <w:rFonts w:ascii="Palatino Linotype"/>
                <w:b/>
                <w:sz w:val="18"/>
              </w:rPr>
            </w:pPr>
            <w:r>
              <w:rPr>
                <w:rFonts w:ascii="Palatino Linotype"/>
                <w:b/>
                <w:color w:val="231F20"/>
                <w:sz w:val="18"/>
              </w:rPr>
              <w:t>71.8</w:t>
            </w:r>
          </w:p>
        </w:tc>
        <w:tc>
          <w:tcPr>
            <w:tcW w:w="968" w:type="dxa"/>
          </w:tcPr>
          <w:p>
            <w:pPr>
              <w:pStyle w:val="TableParagraph"/>
              <w:spacing w:before="101"/>
              <w:ind w:left="263" w:right="173"/>
              <w:rPr>
                <w:sz w:val="18"/>
              </w:rPr>
            </w:pPr>
            <w:r>
              <w:rPr>
                <w:color w:val="231F20"/>
                <w:sz w:val="18"/>
              </w:rPr>
              <w:t>61.5</w:t>
            </w:r>
          </w:p>
        </w:tc>
        <w:tc>
          <w:tcPr>
            <w:tcW w:w="1110" w:type="dxa"/>
          </w:tcPr>
          <w:p>
            <w:pPr>
              <w:pStyle w:val="TableParagraph"/>
              <w:spacing w:before="101"/>
              <w:ind w:left="162" w:right="86"/>
              <w:rPr>
                <w:sz w:val="18"/>
              </w:rPr>
            </w:pPr>
            <w:r>
              <w:rPr>
                <w:color w:val="231F20"/>
                <w:sz w:val="18"/>
              </w:rPr>
              <w:t>84.0</w:t>
            </w:r>
          </w:p>
        </w:tc>
      </w:tr>
      <w:tr>
        <w:trPr>
          <w:trHeight w:val="454" w:hRule="exact"/>
        </w:trPr>
        <w:tc>
          <w:tcPr>
            <w:tcW w:w="1022" w:type="dxa"/>
          </w:tcPr>
          <w:p>
            <w:pPr>
              <w:pStyle w:val="TableParagraph"/>
              <w:spacing w:before="101"/>
              <w:ind w:right="331"/>
              <w:jc w:val="right"/>
              <w:rPr>
                <w:sz w:val="18"/>
              </w:rPr>
            </w:pPr>
            <w:r>
              <w:rPr>
                <w:color w:val="231F20"/>
                <w:w w:val="95"/>
                <w:sz w:val="18"/>
              </w:rPr>
              <w:t>1990</w:t>
            </w:r>
          </w:p>
        </w:tc>
        <w:tc>
          <w:tcPr>
            <w:tcW w:w="1028" w:type="dxa"/>
          </w:tcPr>
          <w:p>
            <w:pPr>
              <w:pStyle w:val="TableParagraph"/>
              <w:spacing w:before="80"/>
              <w:ind w:left="288" w:right="266"/>
              <w:rPr>
                <w:rFonts w:ascii="Palatino Linotype"/>
                <w:b/>
                <w:sz w:val="18"/>
              </w:rPr>
            </w:pPr>
            <w:r>
              <w:rPr>
                <w:rFonts w:ascii="Palatino Linotype"/>
                <w:b/>
                <w:color w:val="231F20"/>
                <w:sz w:val="18"/>
              </w:rPr>
              <w:t>25.0</w:t>
            </w:r>
          </w:p>
        </w:tc>
        <w:tc>
          <w:tcPr>
            <w:tcW w:w="968" w:type="dxa"/>
          </w:tcPr>
          <w:p>
            <w:pPr>
              <w:pStyle w:val="TableParagraph"/>
              <w:spacing w:before="101"/>
              <w:ind w:left="263" w:right="173"/>
              <w:rPr>
                <w:sz w:val="18"/>
              </w:rPr>
            </w:pPr>
            <w:r>
              <w:rPr>
                <w:color w:val="231F20"/>
                <w:sz w:val="18"/>
              </w:rPr>
              <w:t>36.1</w:t>
            </w:r>
          </w:p>
        </w:tc>
        <w:tc>
          <w:tcPr>
            <w:tcW w:w="1202" w:type="dxa"/>
          </w:tcPr>
          <w:p>
            <w:pPr>
              <w:pStyle w:val="TableParagraph"/>
              <w:spacing w:before="101"/>
              <w:ind w:left="164" w:right="177"/>
              <w:rPr>
                <w:sz w:val="18"/>
              </w:rPr>
            </w:pPr>
            <w:r>
              <w:rPr>
                <w:color w:val="231F20"/>
                <w:sz w:val="18"/>
              </w:rPr>
              <w:t>13.6</w:t>
            </w:r>
          </w:p>
        </w:tc>
        <w:tc>
          <w:tcPr>
            <w:tcW w:w="925" w:type="dxa"/>
          </w:tcPr>
          <w:p>
            <w:pPr>
              <w:pStyle w:val="TableParagraph"/>
              <w:spacing w:before="80"/>
              <w:ind w:left="264"/>
              <w:jc w:val="left"/>
              <w:rPr>
                <w:rFonts w:ascii="Palatino Linotype"/>
                <w:b/>
                <w:sz w:val="18"/>
              </w:rPr>
            </w:pPr>
            <w:r>
              <w:rPr>
                <w:rFonts w:ascii="Palatino Linotype"/>
                <w:b/>
                <w:color w:val="231F20"/>
                <w:sz w:val="18"/>
              </w:rPr>
              <w:t>75.0</w:t>
            </w:r>
          </w:p>
        </w:tc>
        <w:tc>
          <w:tcPr>
            <w:tcW w:w="968" w:type="dxa"/>
          </w:tcPr>
          <w:p>
            <w:pPr>
              <w:pStyle w:val="TableParagraph"/>
              <w:spacing w:before="101"/>
              <w:ind w:left="263" w:right="173"/>
              <w:rPr>
                <w:sz w:val="18"/>
              </w:rPr>
            </w:pPr>
            <w:r>
              <w:rPr>
                <w:color w:val="231F20"/>
                <w:sz w:val="18"/>
              </w:rPr>
              <w:t>63.9</w:t>
            </w:r>
          </w:p>
        </w:tc>
        <w:tc>
          <w:tcPr>
            <w:tcW w:w="1110" w:type="dxa"/>
          </w:tcPr>
          <w:p>
            <w:pPr>
              <w:pStyle w:val="TableParagraph"/>
              <w:spacing w:before="101"/>
              <w:ind w:left="161" w:right="86"/>
              <w:rPr>
                <w:sz w:val="18"/>
              </w:rPr>
            </w:pPr>
            <w:r>
              <w:rPr>
                <w:color w:val="231F20"/>
                <w:sz w:val="18"/>
              </w:rPr>
              <w:t>86.4</w:t>
            </w:r>
          </w:p>
        </w:tc>
      </w:tr>
      <w:tr>
        <w:trPr>
          <w:trHeight w:val="454" w:hRule="exact"/>
        </w:trPr>
        <w:tc>
          <w:tcPr>
            <w:tcW w:w="1022" w:type="dxa"/>
          </w:tcPr>
          <w:p>
            <w:pPr>
              <w:pStyle w:val="TableParagraph"/>
              <w:spacing w:before="101"/>
              <w:ind w:right="332"/>
              <w:jc w:val="right"/>
              <w:rPr>
                <w:sz w:val="18"/>
              </w:rPr>
            </w:pPr>
            <w:r>
              <w:rPr>
                <w:color w:val="231F20"/>
                <w:w w:val="95"/>
                <w:sz w:val="18"/>
              </w:rPr>
              <w:t>1991</w:t>
            </w:r>
          </w:p>
        </w:tc>
        <w:tc>
          <w:tcPr>
            <w:tcW w:w="1028" w:type="dxa"/>
          </w:tcPr>
          <w:p>
            <w:pPr>
              <w:pStyle w:val="TableParagraph"/>
              <w:spacing w:before="80"/>
              <w:ind w:left="288" w:right="266"/>
              <w:rPr>
                <w:rFonts w:ascii="Palatino Linotype"/>
                <w:b/>
                <w:sz w:val="18"/>
              </w:rPr>
            </w:pPr>
            <w:r>
              <w:rPr>
                <w:rFonts w:ascii="Palatino Linotype"/>
                <w:b/>
                <w:color w:val="231F20"/>
                <w:sz w:val="18"/>
              </w:rPr>
              <w:t>22.7</w:t>
            </w:r>
          </w:p>
        </w:tc>
        <w:tc>
          <w:tcPr>
            <w:tcW w:w="968" w:type="dxa"/>
          </w:tcPr>
          <w:p>
            <w:pPr>
              <w:pStyle w:val="TableParagraph"/>
              <w:spacing w:before="101"/>
              <w:ind w:left="262" w:right="173"/>
              <w:rPr>
                <w:sz w:val="18"/>
              </w:rPr>
            </w:pPr>
            <w:r>
              <w:rPr>
                <w:color w:val="231F20"/>
                <w:sz w:val="18"/>
              </w:rPr>
              <w:t>35.8</w:t>
            </w:r>
          </w:p>
        </w:tc>
        <w:tc>
          <w:tcPr>
            <w:tcW w:w="1202" w:type="dxa"/>
          </w:tcPr>
          <w:p>
            <w:pPr>
              <w:pStyle w:val="TableParagraph"/>
              <w:spacing w:before="101"/>
              <w:ind w:left="163" w:right="177"/>
              <w:rPr>
                <w:sz w:val="18"/>
              </w:rPr>
            </w:pPr>
            <w:r>
              <w:rPr>
                <w:color w:val="231F20"/>
                <w:sz w:val="18"/>
              </w:rPr>
              <w:t>8.1</w:t>
            </w:r>
          </w:p>
        </w:tc>
        <w:tc>
          <w:tcPr>
            <w:tcW w:w="925" w:type="dxa"/>
          </w:tcPr>
          <w:p>
            <w:pPr>
              <w:pStyle w:val="TableParagraph"/>
              <w:spacing w:before="80"/>
              <w:ind w:left="264"/>
              <w:jc w:val="left"/>
              <w:rPr>
                <w:rFonts w:ascii="Palatino Linotype"/>
                <w:b/>
                <w:sz w:val="18"/>
              </w:rPr>
            </w:pPr>
            <w:r>
              <w:rPr>
                <w:rFonts w:ascii="Palatino Linotype"/>
                <w:b/>
                <w:color w:val="231F20"/>
                <w:sz w:val="18"/>
              </w:rPr>
              <w:t>77.3</w:t>
            </w:r>
          </w:p>
        </w:tc>
        <w:tc>
          <w:tcPr>
            <w:tcW w:w="968" w:type="dxa"/>
          </w:tcPr>
          <w:p>
            <w:pPr>
              <w:pStyle w:val="TableParagraph"/>
              <w:spacing w:before="101"/>
              <w:ind w:left="262" w:right="173"/>
              <w:rPr>
                <w:sz w:val="18"/>
              </w:rPr>
            </w:pPr>
            <w:r>
              <w:rPr>
                <w:color w:val="231F20"/>
                <w:sz w:val="18"/>
              </w:rPr>
              <w:t>64.2</w:t>
            </w:r>
          </w:p>
        </w:tc>
        <w:tc>
          <w:tcPr>
            <w:tcW w:w="1110" w:type="dxa"/>
          </w:tcPr>
          <w:p>
            <w:pPr>
              <w:pStyle w:val="TableParagraph"/>
              <w:spacing w:before="101"/>
              <w:ind w:left="161" w:right="86"/>
              <w:rPr>
                <w:sz w:val="18"/>
              </w:rPr>
            </w:pPr>
            <w:r>
              <w:rPr>
                <w:color w:val="231F20"/>
                <w:sz w:val="18"/>
              </w:rPr>
              <w:t>91.9</w:t>
            </w:r>
          </w:p>
        </w:tc>
      </w:tr>
      <w:tr>
        <w:trPr>
          <w:trHeight w:val="454" w:hRule="exact"/>
        </w:trPr>
        <w:tc>
          <w:tcPr>
            <w:tcW w:w="1022" w:type="dxa"/>
          </w:tcPr>
          <w:p>
            <w:pPr>
              <w:pStyle w:val="TableParagraph"/>
              <w:spacing w:before="101"/>
              <w:ind w:right="332"/>
              <w:jc w:val="right"/>
              <w:rPr>
                <w:sz w:val="18"/>
              </w:rPr>
            </w:pPr>
            <w:r>
              <w:rPr>
                <w:color w:val="231F20"/>
                <w:w w:val="95"/>
                <w:sz w:val="18"/>
              </w:rPr>
              <w:t>1992</w:t>
            </w:r>
          </w:p>
        </w:tc>
        <w:tc>
          <w:tcPr>
            <w:tcW w:w="1028" w:type="dxa"/>
          </w:tcPr>
          <w:p>
            <w:pPr>
              <w:pStyle w:val="TableParagraph"/>
              <w:spacing w:before="80"/>
              <w:ind w:left="287" w:right="266"/>
              <w:rPr>
                <w:rFonts w:ascii="Palatino Linotype"/>
                <w:b/>
                <w:sz w:val="18"/>
              </w:rPr>
            </w:pPr>
            <w:r>
              <w:rPr>
                <w:rFonts w:ascii="Palatino Linotype"/>
                <w:b/>
                <w:color w:val="231F20"/>
                <w:sz w:val="18"/>
              </w:rPr>
              <w:t>24.5</w:t>
            </w:r>
          </w:p>
        </w:tc>
        <w:tc>
          <w:tcPr>
            <w:tcW w:w="968" w:type="dxa"/>
          </w:tcPr>
          <w:p>
            <w:pPr>
              <w:pStyle w:val="TableParagraph"/>
              <w:spacing w:before="101"/>
              <w:ind w:left="262" w:right="173"/>
              <w:rPr>
                <w:sz w:val="18"/>
              </w:rPr>
            </w:pPr>
            <w:r>
              <w:rPr>
                <w:color w:val="231F20"/>
                <w:sz w:val="18"/>
              </w:rPr>
              <w:t>31.7</w:t>
            </w:r>
          </w:p>
        </w:tc>
        <w:tc>
          <w:tcPr>
            <w:tcW w:w="1202" w:type="dxa"/>
          </w:tcPr>
          <w:p>
            <w:pPr>
              <w:pStyle w:val="TableParagraph"/>
              <w:spacing w:before="101"/>
              <w:ind w:left="162" w:right="177"/>
              <w:rPr>
                <w:sz w:val="18"/>
              </w:rPr>
            </w:pPr>
            <w:r>
              <w:rPr>
                <w:color w:val="231F20"/>
                <w:sz w:val="18"/>
              </w:rPr>
              <w:t>16.3</w:t>
            </w:r>
          </w:p>
        </w:tc>
        <w:tc>
          <w:tcPr>
            <w:tcW w:w="925" w:type="dxa"/>
          </w:tcPr>
          <w:p>
            <w:pPr>
              <w:pStyle w:val="TableParagraph"/>
              <w:spacing w:before="80"/>
              <w:ind w:left="264"/>
              <w:jc w:val="left"/>
              <w:rPr>
                <w:rFonts w:ascii="Palatino Linotype"/>
                <w:b/>
                <w:sz w:val="18"/>
              </w:rPr>
            </w:pPr>
            <w:r>
              <w:rPr>
                <w:rFonts w:ascii="Palatino Linotype"/>
                <w:b/>
                <w:color w:val="231F20"/>
                <w:sz w:val="18"/>
              </w:rPr>
              <w:t>75.5</w:t>
            </w:r>
          </w:p>
        </w:tc>
        <w:tc>
          <w:tcPr>
            <w:tcW w:w="968" w:type="dxa"/>
          </w:tcPr>
          <w:p>
            <w:pPr>
              <w:pStyle w:val="TableParagraph"/>
              <w:spacing w:before="101"/>
              <w:ind w:left="261" w:right="173"/>
              <w:rPr>
                <w:sz w:val="18"/>
              </w:rPr>
            </w:pPr>
            <w:r>
              <w:rPr>
                <w:color w:val="231F20"/>
                <w:sz w:val="18"/>
              </w:rPr>
              <w:t>68.3</w:t>
            </w:r>
          </w:p>
        </w:tc>
        <w:tc>
          <w:tcPr>
            <w:tcW w:w="1110" w:type="dxa"/>
          </w:tcPr>
          <w:p>
            <w:pPr>
              <w:pStyle w:val="TableParagraph"/>
              <w:spacing w:before="101"/>
              <w:ind w:left="160" w:right="86"/>
              <w:rPr>
                <w:sz w:val="18"/>
              </w:rPr>
            </w:pPr>
            <w:r>
              <w:rPr>
                <w:color w:val="231F20"/>
                <w:sz w:val="18"/>
              </w:rPr>
              <w:t>83.7</w:t>
            </w:r>
          </w:p>
        </w:tc>
      </w:tr>
      <w:tr>
        <w:trPr>
          <w:trHeight w:val="454" w:hRule="exact"/>
        </w:trPr>
        <w:tc>
          <w:tcPr>
            <w:tcW w:w="1022" w:type="dxa"/>
          </w:tcPr>
          <w:p>
            <w:pPr>
              <w:pStyle w:val="TableParagraph"/>
              <w:spacing w:before="101"/>
              <w:ind w:right="332"/>
              <w:jc w:val="right"/>
              <w:rPr>
                <w:sz w:val="18"/>
              </w:rPr>
            </w:pPr>
            <w:r>
              <w:rPr>
                <w:color w:val="231F20"/>
                <w:w w:val="95"/>
                <w:sz w:val="18"/>
              </w:rPr>
              <w:t>1993</w:t>
            </w:r>
          </w:p>
        </w:tc>
        <w:tc>
          <w:tcPr>
            <w:tcW w:w="1028" w:type="dxa"/>
          </w:tcPr>
          <w:p>
            <w:pPr>
              <w:pStyle w:val="TableParagraph"/>
              <w:spacing w:before="80"/>
              <w:ind w:left="286" w:right="266"/>
              <w:rPr>
                <w:rFonts w:ascii="Palatino Linotype"/>
                <w:b/>
                <w:sz w:val="18"/>
              </w:rPr>
            </w:pPr>
            <w:r>
              <w:rPr>
                <w:rFonts w:ascii="Palatino Linotype"/>
                <w:b/>
                <w:color w:val="231F20"/>
                <w:sz w:val="18"/>
              </w:rPr>
              <w:t>34.3</w:t>
            </w:r>
          </w:p>
        </w:tc>
        <w:tc>
          <w:tcPr>
            <w:tcW w:w="968" w:type="dxa"/>
          </w:tcPr>
          <w:p>
            <w:pPr>
              <w:pStyle w:val="TableParagraph"/>
              <w:spacing w:before="101"/>
              <w:ind w:left="261" w:right="173"/>
              <w:rPr>
                <w:sz w:val="18"/>
              </w:rPr>
            </w:pPr>
            <w:r>
              <w:rPr>
                <w:color w:val="231F20"/>
                <w:sz w:val="18"/>
              </w:rPr>
              <w:t>44.0</w:t>
            </w:r>
          </w:p>
        </w:tc>
        <w:tc>
          <w:tcPr>
            <w:tcW w:w="1202" w:type="dxa"/>
          </w:tcPr>
          <w:p>
            <w:pPr>
              <w:pStyle w:val="TableParagraph"/>
              <w:spacing w:before="101"/>
              <w:ind w:left="161" w:right="177"/>
              <w:rPr>
                <w:sz w:val="18"/>
              </w:rPr>
            </w:pPr>
            <w:r>
              <w:rPr>
                <w:color w:val="231F20"/>
                <w:sz w:val="18"/>
              </w:rPr>
              <w:t>12.1</w:t>
            </w:r>
          </w:p>
        </w:tc>
        <w:tc>
          <w:tcPr>
            <w:tcW w:w="925" w:type="dxa"/>
          </w:tcPr>
          <w:p>
            <w:pPr>
              <w:pStyle w:val="TableParagraph"/>
              <w:spacing w:before="80"/>
              <w:ind w:left="263"/>
              <w:jc w:val="left"/>
              <w:rPr>
                <w:rFonts w:ascii="Palatino Linotype"/>
                <w:b/>
                <w:sz w:val="18"/>
              </w:rPr>
            </w:pPr>
            <w:r>
              <w:rPr>
                <w:rFonts w:ascii="Palatino Linotype"/>
                <w:b/>
                <w:color w:val="231F20"/>
                <w:sz w:val="18"/>
              </w:rPr>
              <w:t>65.7</w:t>
            </w:r>
          </w:p>
        </w:tc>
        <w:tc>
          <w:tcPr>
            <w:tcW w:w="968" w:type="dxa"/>
          </w:tcPr>
          <w:p>
            <w:pPr>
              <w:pStyle w:val="TableParagraph"/>
              <w:spacing w:before="101"/>
              <w:ind w:left="261" w:right="173"/>
              <w:rPr>
                <w:sz w:val="18"/>
              </w:rPr>
            </w:pPr>
            <w:r>
              <w:rPr>
                <w:color w:val="231F20"/>
                <w:sz w:val="18"/>
              </w:rPr>
              <w:t>56.0</w:t>
            </w:r>
          </w:p>
        </w:tc>
        <w:tc>
          <w:tcPr>
            <w:tcW w:w="1110" w:type="dxa"/>
          </w:tcPr>
          <w:p>
            <w:pPr>
              <w:pStyle w:val="TableParagraph"/>
              <w:spacing w:before="101"/>
              <w:ind w:left="159" w:right="86"/>
              <w:rPr>
                <w:sz w:val="18"/>
              </w:rPr>
            </w:pPr>
            <w:r>
              <w:rPr>
                <w:color w:val="231F20"/>
                <w:sz w:val="18"/>
              </w:rPr>
              <w:t>87.9</w:t>
            </w:r>
          </w:p>
        </w:tc>
      </w:tr>
      <w:tr>
        <w:trPr>
          <w:trHeight w:val="454" w:hRule="exact"/>
        </w:trPr>
        <w:tc>
          <w:tcPr>
            <w:tcW w:w="1022" w:type="dxa"/>
          </w:tcPr>
          <w:p>
            <w:pPr>
              <w:pStyle w:val="TableParagraph"/>
              <w:spacing w:before="101"/>
              <w:ind w:right="333"/>
              <w:jc w:val="right"/>
              <w:rPr>
                <w:sz w:val="18"/>
              </w:rPr>
            </w:pPr>
            <w:r>
              <w:rPr>
                <w:color w:val="231F20"/>
                <w:w w:val="95"/>
                <w:sz w:val="18"/>
              </w:rPr>
              <w:t>1994</w:t>
            </w:r>
          </w:p>
        </w:tc>
        <w:tc>
          <w:tcPr>
            <w:tcW w:w="1028" w:type="dxa"/>
          </w:tcPr>
          <w:p>
            <w:pPr>
              <w:pStyle w:val="TableParagraph"/>
              <w:spacing w:before="80"/>
              <w:ind w:left="285" w:right="266"/>
              <w:rPr>
                <w:rFonts w:ascii="Palatino Linotype"/>
                <w:b/>
                <w:sz w:val="18"/>
              </w:rPr>
            </w:pPr>
            <w:r>
              <w:rPr>
                <w:rFonts w:ascii="Palatino Linotype"/>
                <w:b/>
                <w:color w:val="231F20"/>
                <w:sz w:val="18"/>
              </w:rPr>
              <w:t>39.2</w:t>
            </w:r>
          </w:p>
        </w:tc>
        <w:tc>
          <w:tcPr>
            <w:tcW w:w="968" w:type="dxa"/>
          </w:tcPr>
          <w:p>
            <w:pPr>
              <w:pStyle w:val="TableParagraph"/>
              <w:spacing w:before="101"/>
              <w:ind w:left="260" w:right="173"/>
              <w:rPr>
                <w:sz w:val="18"/>
              </w:rPr>
            </w:pPr>
            <w:r>
              <w:rPr>
                <w:color w:val="231F20"/>
                <w:sz w:val="18"/>
              </w:rPr>
              <w:t>53.1</w:t>
            </w:r>
          </w:p>
        </w:tc>
        <w:tc>
          <w:tcPr>
            <w:tcW w:w="1202" w:type="dxa"/>
          </w:tcPr>
          <w:p>
            <w:pPr>
              <w:pStyle w:val="TableParagraph"/>
              <w:spacing w:before="101"/>
              <w:ind w:left="161" w:right="177"/>
              <w:rPr>
                <w:sz w:val="18"/>
              </w:rPr>
            </w:pPr>
            <w:r>
              <w:rPr>
                <w:color w:val="231F20"/>
                <w:sz w:val="18"/>
              </w:rPr>
              <w:t>17.3</w:t>
            </w:r>
          </w:p>
        </w:tc>
        <w:tc>
          <w:tcPr>
            <w:tcW w:w="925" w:type="dxa"/>
          </w:tcPr>
          <w:p>
            <w:pPr>
              <w:pStyle w:val="TableParagraph"/>
              <w:spacing w:before="80"/>
              <w:ind w:left="263"/>
              <w:jc w:val="left"/>
              <w:rPr>
                <w:rFonts w:ascii="Palatino Linotype"/>
                <w:b/>
                <w:sz w:val="18"/>
              </w:rPr>
            </w:pPr>
            <w:r>
              <w:rPr>
                <w:rFonts w:ascii="Palatino Linotype"/>
                <w:b/>
                <w:color w:val="231F20"/>
                <w:sz w:val="18"/>
              </w:rPr>
              <w:t>60.8</w:t>
            </w:r>
          </w:p>
        </w:tc>
        <w:tc>
          <w:tcPr>
            <w:tcW w:w="968" w:type="dxa"/>
          </w:tcPr>
          <w:p>
            <w:pPr>
              <w:pStyle w:val="TableParagraph"/>
              <w:spacing w:before="101"/>
              <w:ind w:left="260" w:right="173"/>
              <w:rPr>
                <w:sz w:val="18"/>
              </w:rPr>
            </w:pPr>
            <w:r>
              <w:rPr>
                <w:color w:val="231F20"/>
                <w:sz w:val="18"/>
              </w:rPr>
              <w:t>46.9</w:t>
            </w:r>
          </w:p>
        </w:tc>
        <w:tc>
          <w:tcPr>
            <w:tcW w:w="1110" w:type="dxa"/>
          </w:tcPr>
          <w:p>
            <w:pPr>
              <w:pStyle w:val="TableParagraph"/>
              <w:spacing w:before="101"/>
              <w:ind w:left="159" w:right="86"/>
              <w:rPr>
                <w:sz w:val="18"/>
              </w:rPr>
            </w:pPr>
            <w:r>
              <w:rPr>
                <w:color w:val="231F20"/>
                <w:sz w:val="18"/>
              </w:rPr>
              <w:t>82.7</w:t>
            </w:r>
          </w:p>
        </w:tc>
      </w:tr>
      <w:tr>
        <w:trPr>
          <w:trHeight w:val="430" w:hRule="exact"/>
        </w:trPr>
        <w:tc>
          <w:tcPr>
            <w:tcW w:w="1022" w:type="dxa"/>
            <w:tcBorders>
              <w:bottom w:val="single" w:sz="4" w:space="0" w:color="231F20"/>
            </w:tcBorders>
          </w:tcPr>
          <w:p>
            <w:pPr>
              <w:pStyle w:val="TableParagraph"/>
              <w:spacing w:before="101"/>
              <w:ind w:right="333"/>
              <w:jc w:val="right"/>
              <w:rPr>
                <w:sz w:val="18"/>
              </w:rPr>
            </w:pPr>
            <w:r>
              <w:rPr>
                <w:color w:val="231F20"/>
                <w:w w:val="95"/>
                <w:sz w:val="18"/>
              </w:rPr>
              <w:t>1995</w:t>
            </w:r>
          </w:p>
        </w:tc>
        <w:tc>
          <w:tcPr>
            <w:tcW w:w="1028" w:type="dxa"/>
            <w:tcBorders>
              <w:bottom w:val="single" w:sz="4" w:space="0" w:color="231F20"/>
            </w:tcBorders>
          </w:tcPr>
          <w:p>
            <w:pPr>
              <w:pStyle w:val="TableParagraph"/>
              <w:spacing w:before="80"/>
              <w:ind w:left="285" w:right="266"/>
              <w:rPr>
                <w:rFonts w:ascii="Palatino Linotype"/>
                <w:b/>
                <w:sz w:val="18"/>
              </w:rPr>
            </w:pPr>
            <w:r>
              <w:rPr>
                <w:rFonts w:ascii="Palatino Linotype"/>
                <w:b/>
                <w:color w:val="231F20"/>
                <w:sz w:val="18"/>
              </w:rPr>
              <w:t>72.1</w:t>
            </w:r>
          </w:p>
        </w:tc>
        <w:tc>
          <w:tcPr>
            <w:tcW w:w="968" w:type="dxa"/>
            <w:tcBorders>
              <w:bottom w:val="single" w:sz="4" w:space="0" w:color="231F20"/>
            </w:tcBorders>
          </w:tcPr>
          <w:p>
            <w:pPr>
              <w:pStyle w:val="TableParagraph"/>
              <w:spacing w:before="101"/>
              <w:ind w:left="260" w:right="173"/>
              <w:rPr>
                <w:sz w:val="18"/>
              </w:rPr>
            </w:pPr>
            <w:r>
              <w:rPr>
                <w:color w:val="231F20"/>
                <w:sz w:val="18"/>
              </w:rPr>
              <w:t>85.1</w:t>
            </w:r>
          </w:p>
        </w:tc>
        <w:tc>
          <w:tcPr>
            <w:tcW w:w="1202" w:type="dxa"/>
            <w:tcBorders>
              <w:bottom w:val="single" w:sz="4" w:space="0" w:color="231F20"/>
            </w:tcBorders>
          </w:tcPr>
          <w:p>
            <w:pPr>
              <w:pStyle w:val="TableParagraph"/>
              <w:spacing w:before="101"/>
              <w:ind w:left="160" w:right="177"/>
              <w:rPr>
                <w:sz w:val="18"/>
              </w:rPr>
            </w:pPr>
            <w:r>
              <w:rPr>
                <w:color w:val="231F20"/>
                <w:sz w:val="18"/>
              </w:rPr>
              <w:t>42.9</w:t>
            </w:r>
          </w:p>
        </w:tc>
        <w:tc>
          <w:tcPr>
            <w:tcW w:w="925" w:type="dxa"/>
            <w:tcBorders>
              <w:bottom w:val="single" w:sz="4" w:space="0" w:color="231F20"/>
            </w:tcBorders>
          </w:tcPr>
          <w:p>
            <w:pPr>
              <w:pStyle w:val="TableParagraph"/>
              <w:spacing w:before="80"/>
              <w:ind w:left="263"/>
              <w:jc w:val="left"/>
              <w:rPr>
                <w:rFonts w:ascii="Palatino Linotype"/>
                <w:b/>
                <w:sz w:val="18"/>
              </w:rPr>
            </w:pPr>
            <w:r>
              <w:rPr>
                <w:rFonts w:ascii="Palatino Linotype"/>
                <w:b/>
                <w:color w:val="231F20"/>
                <w:sz w:val="18"/>
              </w:rPr>
              <w:t>27.9</w:t>
            </w:r>
          </w:p>
        </w:tc>
        <w:tc>
          <w:tcPr>
            <w:tcW w:w="968" w:type="dxa"/>
            <w:tcBorders>
              <w:bottom w:val="single" w:sz="4" w:space="0" w:color="231F20"/>
            </w:tcBorders>
          </w:tcPr>
          <w:p>
            <w:pPr>
              <w:pStyle w:val="TableParagraph"/>
              <w:spacing w:before="101"/>
              <w:ind w:left="259" w:right="173"/>
              <w:rPr>
                <w:sz w:val="18"/>
              </w:rPr>
            </w:pPr>
            <w:r>
              <w:rPr>
                <w:color w:val="231F20"/>
                <w:sz w:val="18"/>
              </w:rPr>
              <w:t>14.9</w:t>
            </w:r>
          </w:p>
        </w:tc>
        <w:tc>
          <w:tcPr>
            <w:tcW w:w="1110" w:type="dxa"/>
            <w:tcBorders>
              <w:bottom w:val="single" w:sz="4" w:space="0" w:color="231F20"/>
            </w:tcBorders>
          </w:tcPr>
          <w:p>
            <w:pPr>
              <w:pStyle w:val="TableParagraph"/>
              <w:spacing w:before="101"/>
              <w:ind w:left="158" w:right="86"/>
              <w:rPr>
                <w:sz w:val="18"/>
              </w:rPr>
            </w:pPr>
            <w:r>
              <w:rPr>
                <w:color w:val="231F20"/>
                <w:sz w:val="18"/>
              </w:rPr>
              <w:t>57.1</w:t>
            </w:r>
          </w:p>
        </w:tc>
      </w:tr>
    </w:tbl>
    <w:p>
      <w:pPr>
        <w:spacing w:after="0"/>
        <w:rPr>
          <w:sz w:val="18"/>
        </w:rPr>
        <w:sectPr>
          <w:pgSz w:w="9640" w:h="13040"/>
          <w:pgMar w:header="520" w:footer="654" w:top="880" w:bottom="840" w:left="1180" w:right="420"/>
        </w:sectPr>
      </w:pPr>
    </w:p>
    <w:p>
      <w:pPr>
        <w:pStyle w:val="BodyText"/>
        <w:rPr>
          <w:rFonts w:ascii="Palatino Linotype"/>
          <w:b/>
          <w:sz w:val="20"/>
        </w:rPr>
      </w:pPr>
    </w:p>
    <w:p>
      <w:pPr>
        <w:pStyle w:val="BodyText"/>
        <w:spacing w:before="4"/>
        <w:rPr>
          <w:rFonts w:ascii="Palatino Linotype"/>
          <w:b/>
          <w:sz w:val="15"/>
        </w:rPr>
      </w:pPr>
    </w:p>
    <w:p>
      <w:pPr>
        <w:pStyle w:val="Heading4"/>
        <w:spacing w:line="240" w:lineRule="auto" w:before="35"/>
        <w:ind w:left="3123" w:right="7"/>
        <w:jc w:val="left"/>
      </w:pPr>
      <w:r>
        <w:rPr>
          <w:color w:val="231F20"/>
          <w:w w:val="90"/>
        </w:rPr>
        <w:t>Cuadro  IV.6 (continuación)</w:t>
      </w:r>
    </w:p>
    <w:p>
      <w:pPr>
        <w:pStyle w:val="BodyText"/>
        <w:spacing w:before="9"/>
        <w:rPr>
          <w:rFonts w:ascii="Palatino Linotype"/>
          <w:b/>
          <w:sz w:val="13"/>
        </w:rPr>
      </w:pPr>
      <w:r>
        <w:rPr/>
        <w:pict>
          <v:group style="position:absolute;margin-left:56.442902pt;margin-top:11.201178pt;width:361.65pt;height:.5pt;mso-position-horizontal-relative:page;mso-position-vertical-relative:paragraph;z-index:10072;mso-wrap-distance-left:0;mso-wrap-distance-right:0" coordorigin="1129,224" coordsize="7233,10">
            <v:line style="position:absolute" from="1134,229" to="2166,229" stroked="true" strokeweight=".5pt" strokecolor="#231f20"/>
            <v:line style="position:absolute" from="2166,229" to="3197,229" stroked="true" strokeweight=".5pt" strokecolor="#231f20"/>
            <v:line style="position:absolute" from="3197,229" to="4229,229" stroked="true" strokeweight=".5pt" strokecolor="#231f20"/>
            <v:line style="position:absolute" from="4229,229" to="5261,229" stroked="true" strokeweight=".5pt" strokecolor="#231f20"/>
            <v:line style="position:absolute" from="5261,229" to="6293,229" stroked="true" strokeweight=".5pt" strokecolor="#231f20"/>
            <v:line style="position:absolute" from="6293,229" to="7325,229" stroked="true" strokeweight=".5pt" strokecolor="#231f20"/>
            <v:line style="position:absolute" from="7325,229" to="8357,229" stroked="true" strokeweight=".5pt" strokecolor="#231f20"/>
            <w10:wrap type="topAndBottom"/>
          </v:group>
        </w:pict>
      </w:r>
    </w:p>
    <w:tbl>
      <w:tblPr>
        <w:tblW w:w="0" w:type="auto"/>
        <w:jc w:val="left"/>
        <w:tblInd w:w="7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22"/>
        <w:gridCol w:w="1028"/>
        <w:gridCol w:w="968"/>
        <w:gridCol w:w="1202"/>
        <w:gridCol w:w="925"/>
        <w:gridCol w:w="968"/>
        <w:gridCol w:w="1110"/>
      </w:tblGrid>
      <w:tr>
        <w:trPr>
          <w:trHeight w:val="390" w:hRule="exact"/>
        </w:trPr>
        <w:tc>
          <w:tcPr>
            <w:tcW w:w="1022" w:type="dxa"/>
            <w:tcBorders>
              <w:bottom w:val="single" w:sz="4" w:space="0" w:color="231F20"/>
            </w:tcBorders>
          </w:tcPr>
          <w:p>
            <w:pPr/>
          </w:p>
        </w:tc>
        <w:tc>
          <w:tcPr>
            <w:tcW w:w="1028" w:type="dxa"/>
            <w:tcBorders>
              <w:bottom w:val="single" w:sz="4" w:space="0" w:color="231F20"/>
            </w:tcBorders>
          </w:tcPr>
          <w:p>
            <w:pPr>
              <w:pStyle w:val="TableParagraph"/>
              <w:spacing w:before="44"/>
              <w:ind w:left="332"/>
              <w:jc w:val="left"/>
              <w:rPr>
                <w:rFonts w:ascii="Palatino Linotype"/>
                <w:b/>
                <w:sz w:val="18"/>
              </w:rPr>
            </w:pPr>
            <w:r>
              <w:rPr>
                <w:rFonts w:ascii="Palatino Linotype"/>
                <w:b/>
                <w:color w:val="231F20"/>
                <w:sz w:val="18"/>
              </w:rPr>
              <w:t>Total</w:t>
            </w:r>
          </w:p>
        </w:tc>
        <w:tc>
          <w:tcPr>
            <w:tcW w:w="968" w:type="dxa"/>
            <w:tcBorders>
              <w:bottom w:val="single" w:sz="4" w:space="0" w:color="231F20"/>
            </w:tcBorders>
          </w:tcPr>
          <w:p>
            <w:pPr>
              <w:pStyle w:val="TableParagraph"/>
              <w:spacing w:before="44"/>
              <w:ind w:left="308"/>
              <w:jc w:val="left"/>
              <w:rPr>
                <w:rFonts w:ascii="Palatino Linotype"/>
                <w:b/>
                <w:sz w:val="18"/>
              </w:rPr>
            </w:pPr>
            <w:r>
              <w:rPr>
                <w:rFonts w:ascii="Palatino Linotype"/>
                <w:b/>
                <w:color w:val="231F20"/>
                <w:sz w:val="18"/>
              </w:rPr>
              <w:t>Autos</w:t>
            </w:r>
          </w:p>
        </w:tc>
        <w:tc>
          <w:tcPr>
            <w:tcW w:w="1202" w:type="dxa"/>
            <w:tcBorders>
              <w:bottom w:val="single" w:sz="4" w:space="0" w:color="231F20"/>
            </w:tcBorders>
          </w:tcPr>
          <w:p>
            <w:pPr>
              <w:pStyle w:val="TableParagraph"/>
              <w:spacing w:before="44"/>
              <w:ind w:left="165" w:right="177"/>
              <w:rPr>
                <w:rFonts w:ascii="Palatino Linotype"/>
                <w:b/>
                <w:sz w:val="18"/>
              </w:rPr>
            </w:pPr>
            <w:r>
              <w:rPr>
                <w:rFonts w:ascii="Palatino Linotype"/>
                <w:b/>
                <w:color w:val="231F20"/>
                <w:sz w:val="18"/>
              </w:rPr>
              <w:t>Camiones</w:t>
            </w:r>
          </w:p>
        </w:tc>
        <w:tc>
          <w:tcPr>
            <w:tcW w:w="925" w:type="dxa"/>
            <w:tcBorders>
              <w:bottom w:val="single" w:sz="4" w:space="0" w:color="231F20"/>
            </w:tcBorders>
          </w:tcPr>
          <w:p>
            <w:pPr>
              <w:pStyle w:val="TableParagraph"/>
              <w:spacing w:before="44"/>
              <w:ind w:left="230"/>
              <w:jc w:val="left"/>
              <w:rPr>
                <w:rFonts w:ascii="Palatino Linotype"/>
                <w:b/>
                <w:sz w:val="18"/>
              </w:rPr>
            </w:pPr>
            <w:r>
              <w:rPr>
                <w:rFonts w:ascii="Palatino Linotype"/>
                <w:b/>
                <w:color w:val="231F20"/>
                <w:sz w:val="18"/>
              </w:rPr>
              <w:t>Total</w:t>
            </w:r>
          </w:p>
        </w:tc>
        <w:tc>
          <w:tcPr>
            <w:tcW w:w="968" w:type="dxa"/>
            <w:tcBorders>
              <w:bottom w:val="single" w:sz="4" w:space="0" w:color="231F20"/>
            </w:tcBorders>
          </w:tcPr>
          <w:p>
            <w:pPr>
              <w:pStyle w:val="TableParagraph"/>
              <w:spacing w:before="44"/>
              <w:ind w:left="265" w:right="173"/>
              <w:rPr>
                <w:rFonts w:ascii="Palatino Linotype"/>
                <w:b/>
                <w:sz w:val="18"/>
              </w:rPr>
            </w:pPr>
            <w:r>
              <w:rPr>
                <w:rFonts w:ascii="Palatino Linotype"/>
                <w:b/>
                <w:color w:val="231F20"/>
                <w:sz w:val="18"/>
              </w:rPr>
              <w:t>Autos</w:t>
            </w:r>
          </w:p>
        </w:tc>
        <w:tc>
          <w:tcPr>
            <w:tcW w:w="1110" w:type="dxa"/>
            <w:tcBorders>
              <w:bottom w:val="single" w:sz="4" w:space="0" w:color="231F20"/>
            </w:tcBorders>
          </w:tcPr>
          <w:p>
            <w:pPr>
              <w:pStyle w:val="TableParagraph"/>
              <w:spacing w:before="44"/>
              <w:ind w:left="163" w:right="86"/>
              <w:rPr>
                <w:rFonts w:ascii="Palatino Linotype"/>
                <w:b/>
                <w:sz w:val="18"/>
              </w:rPr>
            </w:pPr>
            <w:r>
              <w:rPr>
                <w:rFonts w:ascii="Palatino Linotype"/>
                <w:b/>
                <w:color w:val="231F20"/>
                <w:sz w:val="18"/>
              </w:rPr>
              <w:t>Camiones</w:t>
            </w:r>
          </w:p>
        </w:tc>
      </w:tr>
      <w:tr>
        <w:trPr>
          <w:trHeight w:val="476" w:hRule="exact"/>
        </w:trPr>
        <w:tc>
          <w:tcPr>
            <w:tcW w:w="1022" w:type="dxa"/>
            <w:tcBorders>
              <w:top w:val="single" w:sz="4" w:space="0" w:color="231F20"/>
            </w:tcBorders>
          </w:tcPr>
          <w:p>
            <w:pPr>
              <w:pStyle w:val="TableParagraph"/>
              <w:spacing w:before="119"/>
              <w:ind w:left="311" w:right="301"/>
              <w:rPr>
                <w:sz w:val="18"/>
              </w:rPr>
            </w:pPr>
            <w:r>
              <w:rPr>
                <w:color w:val="231F20"/>
                <w:sz w:val="18"/>
              </w:rPr>
              <w:t>1996</w:t>
            </w:r>
          </w:p>
        </w:tc>
        <w:tc>
          <w:tcPr>
            <w:tcW w:w="1028" w:type="dxa"/>
            <w:tcBorders>
              <w:top w:val="single" w:sz="4" w:space="0" w:color="231F20"/>
            </w:tcBorders>
          </w:tcPr>
          <w:p>
            <w:pPr>
              <w:pStyle w:val="TableParagraph"/>
              <w:spacing w:before="98"/>
              <w:ind w:left="368"/>
              <w:jc w:val="left"/>
              <w:rPr>
                <w:rFonts w:ascii="Palatino Linotype"/>
                <w:b/>
                <w:sz w:val="18"/>
              </w:rPr>
            </w:pPr>
            <w:r>
              <w:rPr>
                <w:rFonts w:ascii="Palatino Linotype"/>
                <w:b/>
                <w:color w:val="231F20"/>
                <w:sz w:val="18"/>
              </w:rPr>
              <w:t>70.1</w:t>
            </w:r>
          </w:p>
        </w:tc>
        <w:tc>
          <w:tcPr>
            <w:tcW w:w="968" w:type="dxa"/>
            <w:tcBorders>
              <w:top w:val="single" w:sz="4" w:space="0" w:color="231F20"/>
            </w:tcBorders>
          </w:tcPr>
          <w:p>
            <w:pPr>
              <w:pStyle w:val="TableParagraph"/>
              <w:spacing w:before="119"/>
              <w:ind w:left="379"/>
              <w:jc w:val="left"/>
              <w:rPr>
                <w:sz w:val="18"/>
              </w:rPr>
            </w:pPr>
            <w:r>
              <w:rPr>
                <w:color w:val="231F20"/>
                <w:sz w:val="18"/>
              </w:rPr>
              <w:t>74.5</w:t>
            </w:r>
          </w:p>
        </w:tc>
        <w:tc>
          <w:tcPr>
            <w:tcW w:w="1202" w:type="dxa"/>
            <w:tcBorders>
              <w:top w:val="single" w:sz="4" w:space="0" w:color="231F20"/>
            </w:tcBorders>
          </w:tcPr>
          <w:p>
            <w:pPr>
              <w:pStyle w:val="TableParagraph"/>
              <w:spacing w:before="119"/>
              <w:ind w:left="165" w:right="177"/>
              <w:rPr>
                <w:sz w:val="18"/>
              </w:rPr>
            </w:pPr>
            <w:r>
              <w:rPr>
                <w:color w:val="231F20"/>
                <w:sz w:val="18"/>
              </w:rPr>
              <w:t>66.3</w:t>
            </w:r>
          </w:p>
        </w:tc>
        <w:tc>
          <w:tcPr>
            <w:tcW w:w="925" w:type="dxa"/>
            <w:tcBorders>
              <w:top w:val="single" w:sz="4" w:space="0" w:color="231F20"/>
            </w:tcBorders>
          </w:tcPr>
          <w:p>
            <w:pPr>
              <w:pStyle w:val="TableParagraph"/>
              <w:spacing w:before="98"/>
              <w:ind w:left="265"/>
              <w:jc w:val="left"/>
              <w:rPr>
                <w:rFonts w:ascii="Palatino Linotype"/>
                <w:b/>
                <w:sz w:val="18"/>
              </w:rPr>
            </w:pPr>
            <w:r>
              <w:rPr>
                <w:rFonts w:ascii="Palatino Linotype"/>
                <w:b/>
                <w:color w:val="231F20"/>
                <w:sz w:val="18"/>
              </w:rPr>
              <w:t>29.9</w:t>
            </w:r>
          </w:p>
        </w:tc>
        <w:tc>
          <w:tcPr>
            <w:tcW w:w="968" w:type="dxa"/>
            <w:tcBorders>
              <w:top w:val="single" w:sz="4" w:space="0" w:color="231F20"/>
            </w:tcBorders>
          </w:tcPr>
          <w:p>
            <w:pPr>
              <w:pStyle w:val="TableParagraph"/>
              <w:spacing w:before="119"/>
              <w:ind w:left="264" w:right="173"/>
              <w:rPr>
                <w:sz w:val="18"/>
              </w:rPr>
            </w:pPr>
            <w:r>
              <w:rPr>
                <w:color w:val="231F20"/>
                <w:sz w:val="18"/>
              </w:rPr>
              <w:t>25.5</w:t>
            </w:r>
          </w:p>
        </w:tc>
        <w:tc>
          <w:tcPr>
            <w:tcW w:w="1110" w:type="dxa"/>
            <w:tcBorders>
              <w:top w:val="single" w:sz="4" w:space="0" w:color="231F20"/>
            </w:tcBorders>
          </w:tcPr>
          <w:p>
            <w:pPr>
              <w:pStyle w:val="TableParagraph"/>
              <w:spacing w:before="119"/>
              <w:ind w:left="163" w:right="86"/>
              <w:rPr>
                <w:sz w:val="18"/>
              </w:rPr>
            </w:pPr>
            <w:r>
              <w:rPr>
                <w:color w:val="231F20"/>
                <w:sz w:val="18"/>
              </w:rPr>
              <w:t>33.7</w:t>
            </w:r>
          </w:p>
        </w:tc>
      </w:tr>
      <w:tr>
        <w:trPr>
          <w:trHeight w:val="454" w:hRule="exact"/>
        </w:trPr>
        <w:tc>
          <w:tcPr>
            <w:tcW w:w="1022" w:type="dxa"/>
          </w:tcPr>
          <w:p>
            <w:pPr>
              <w:pStyle w:val="TableParagraph"/>
              <w:spacing w:before="101"/>
              <w:ind w:left="311" w:right="302"/>
              <w:rPr>
                <w:sz w:val="18"/>
              </w:rPr>
            </w:pPr>
            <w:r>
              <w:rPr>
                <w:color w:val="231F20"/>
                <w:sz w:val="18"/>
              </w:rPr>
              <w:t>1997</w:t>
            </w:r>
          </w:p>
        </w:tc>
        <w:tc>
          <w:tcPr>
            <w:tcW w:w="1028" w:type="dxa"/>
          </w:tcPr>
          <w:p>
            <w:pPr>
              <w:pStyle w:val="TableParagraph"/>
              <w:spacing w:before="80"/>
              <w:ind w:left="367"/>
              <w:jc w:val="left"/>
              <w:rPr>
                <w:rFonts w:ascii="Palatino Linotype"/>
                <w:b/>
                <w:sz w:val="18"/>
              </w:rPr>
            </w:pPr>
            <w:r>
              <w:rPr>
                <w:rFonts w:ascii="Palatino Linotype"/>
                <w:b/>
                <w:color w:val="231F20"/>
                <w:sz w:val="18"/>
              </w:rPr>
              <w:t>70.8</w:t>
            </w:r>
          </w:p>
        </w:tc>
        <w:tc>
          <w:tcPr>
            <w:tcW w:w="968" w:type="dxa"/>
          </w:tcPr>
          <w:p>
            <w:pPr>
              <w:pStyle w:val="TableParagraph"/>
              <w:spacing w:before="101"/>
              <w:ind w:left="379"/>
              <w:jc w:val="left"/>
              <w:rPr>
                <w:sz w:val="18"/>
              </w:rPr>
            </w:pPr>
            <w:r>
              <w:rPr>
                <w:color w:val="231F20"/>
                <w:sz w:val="18"/>
              </w:rPr>
              <w:t>60.5</w:t>
            </w:r>
          </w:p>
        </w:tc>
        <w:tc>
          <w:tcPr>
            <w:tcW w:w="1202" w:type="dxa"/>
          </w:tcPr>
          <w:p>
            <w:pPr>
              <w:pStyle w:val="TableParagraph"/>
              <w:spacing w:before="101"/>
              <w:ind w:left="164" w:right="177"/>
              <w:rPr>
                <w:sz w:val="18"/>
              </w:rPr>
            </w:pPr>
            <w:r>
              <w:rPr>
                <w:color w:val="231F20"/>
                <w:sz w:val="18"/>
              </w:rPr>
              <w:t>75.7</w:t>
            </w:r>
          </w:p>
        </w:tc>
        <w:tc>
          <w:tcPr>
            <w:tcW w:w="925" w:type="dxa"/>
          </w:tcPr>
          <w:p>
            <w:pPr>
              <w:pStyle w:val="TableParagraph"/>
              <w:spacing w:before="80"/>
              <w:ind w:left="265"/>
              <w:jc w:val="left"/>
              <w:rPr>
                <w:rFonts w:ascii="Palatino Linotype"/>
                <w:b/>
                <w:sz w:val="18"/>
              </w:rPr>
            </w:pPr>
            <w:r>
              <w:rPr>
                <w:rFonts w:ascii="Palatino Linotype"/>
                <w:b/>
                <w:color w:val="231F20"/>
                <w:sz w:val="18"/>
              </w:rPr>
              <w:t>29.2</w:t>
            </w:r>
          </w:p>
        </w:tc>
        <w:tc>
          <w:tcPr>
            <w:tcW w:w="968" w:type="dxa"/>
          </w:tcPr>
          <w:p>
            <w:pPr>
              <w:pStyle w:val="TableParagraph"/>
              <w:spacing w:before="101"/>
              <w:ind w:left="263" w:right="173"/>
              <w:rPr>
                <w:sz w:val="18"/>
              </w:rPr>
            </w:pPr>
            <w:r>
              <w:rPr>
                <w:color w:val="231F20"/>
                <w:sz w:val="18"/>
              </w:rPr>
              <w:t>39.5</w:t>
            </w:r>
          </w:p>
        </w:tc>
        <w:tc>
          <w:tcPr>
            <w:tcW w:w="1110" w:type="dxa"/>
          </w:tcPr>
          <w:p>
            <w:pPr>
              <w:pStyle w:val="TableParagraph"/>
              <w:spacing w:before="101"/>
              <w:ind w:left="162" w:right="86"/>
              <w:rPr>
                <w:sz w:val="18"/>
              </w:rPr>
            </w:pPr>
            <w:r>
              <w:rPr>
                <w:color w:val="231F20"/>
                <w:sz w:val="18"/>
              </w:rPr>
              <w:t>24.3</w:t>
            </w:r>
          </w:p>
        </w:tc>
      </w:tr>
      <w:tr>
        <w:trPr>
          <w:trHeight w:val="454" w:hRule="exact"/>
        </w:trPr>
        <w:tc>
          <w:tcPr>
            <w:tcW w:w="1022" w:type="dxa"/>
          </w:tcPr>
          <w:p>
            <w:pPr>
              <w:pStyle w:val="TableParagraph"/>
              <w:spacing w:before="101"/>
              <w:ind w:left="311" w:right="303"/>
              <w:rPr>
                <w:sz w:val="18"/>
              </w:rPr>
            </w:pPr>
            <w:r>
              <w:rPr>
                <w:color w:val="231F20"/>
                <w:sz w:val="18"/>
              </w:rPr>
              <w:t>1998</w:t>
            </w:r>
          </w:p>
        </w:tc>
        <w:tc>
          <w:tcPr>
            <w:tcW w:w="1028" w:type="dxa"/>
          </w:tcPr>
          <w:p>
            <w:pPr>
              <w:pStyle w:val="TableParagraph"/>
              <w:spacing w:before="80"/>
              <w:ind w:left="367"/>
              <w:jc w:val="left"/>
              <w:rPr>
                <w:rFonts w:ascii="Palatino Linotype"/>
                <w:b/>
                <w:sz w:val="18"/>
              </w:rPr>
            </w:pPr>
            <w:r>
              <w:rPr>
                <w:rFonts w:ascii="Palatino Linotype"/>
                <w:b/>
                <w:color w:val="231F20"/>
                <w:sz w:val="18"/>
              </w:rPr>
              <w:t>53.0</w:t>
            </w:r>
          </w:p>
        </w:tc>
        <w:tc>
          <w:tcPr>
            <w:tcW w:w="968" w:type="dxa"/>
          </w:tcPr>
          <w:p>
            <w:pPr>
              <w:pStyle w:val="TableParagraph"/>
              <w:spacing w:before="101"/>
              <w:ind w:left="379"/>
              <w:jc w:val="left"/>
              <w:rPr>
                <w:sz w:val="18"/>
              </w:rPr>
            </w:pPr>
            <w:r>
              <w:rPr>
                <w:color w:val="231F20"/>
                <w:sz w:val="18"/>
              </w:rPr>
              <w:t>51.4</w:t>
            </w:r>
          </w:p>
        </w:tc>
        <w:tc>
          <w:tcPr>
            <w:tcW w:w="1202" w:type="dxa"/>
          </w:tcPr>
          <w:p>
            <w:pPr>
              <w:pStyle w:val="TableParagraph"/>
              <w:spacing w:before="101"/>
              <w:ind w:left="164" w:right="177"/>
              <w:rPr>
                <w:sz w:val="18"/>
              </w:rPr>
            </w:pPr>
            <w:r>
              <w:rPr>
                <w:color w:val="231F20"/>
                <w:sz w:val="18"/>
              </w:rPr>
              <w:t>53.8</w:t>
            </w:r>
          </w:p>
        </w:tc>
        <w:tc>
          <w:tcPr>
            <w:tcW w:w="925" w:type="dxa"/>
          </w:tcPr>
          <w:p>
            <w:pPr>
              <w:pStyle w:val="TableParagraph"/>
              <w:spacing w:before="80"/>
              <w:ind w:left="264"/>
              <w:jc w:val="left"/>
              <w:rPr>
                <w:rFonts w:ascii="Palatino Linotype"/>
                <w:b/>
                <w:sz w:val="18"/>
              </w:rPr>
            </w:pPr>
            <w:r>
              <w:rPr>
                <w:rFonts w:ascii="Palatino Linotype"/>
                <w:b/>
                <w:color w:val="231F20"/>
                <w:sz w:val="18"/>
              </w:rPr>
              <w:t>47.0</w:t>
            </w:r>
          </w:p>
        </w:tc>
        <w:tc>
          <w:tcPr>
            <w:tcW w:w="968" w:type="dxa"/>
          </w:tcPr>
          <w:p>
            <w:pPr>
              <w:pStyle w:val="TableParagraph"/>
              <w:spacing w:before="101"/>
              <w:ind w:left="263" w:right="173"/>
              <w:rPr>
                <w:sz w:val="18"/>
              </w:rPr>
            </w:pPr>
            <w:r>
              <w:rPr>
                <w:color w:val="231F20"/>
                <w:sz w:val="18"/>
              </w:rPr>
              <w:t>48.6</w:t>
            </w:r>
          </w:p>
        </w:tc>
        <w:tc>
          <w:tcPr>
            <w:tcW w:w="1110" w:type="dxa"/>
          </w:tcPr>
          <w:p>
            <w:pPr>
              <w:pStyle w:val="TableParagraph"/>
              <w:spacing w:before="101"/>
              <w:ind w:left="161" w:right="86"/>
              <w:rPr>
                <w:sz w:val="18"/>
              </w:rPr>
            </w:pPr>
            <w:r>
              <w:rPr>
                <w:color w:val="231F20"/>
                <w:sz w:val="18"/>
              </w:rPr>
              <w:t>46.2</w:t>
            </w:r>
          </w:p>
        </w:tc>
      </w:tr>
      <w:tr>
        <w:trPr>
          <w:trHeight w:val="454" w:hRule="exact"/>
        </w:trPr>
        <w:tc>
          <w:tcPr>
            <w:tcW w:w="1022" w:type="dxa"/>
          </w:tcPr>
          <w:p>
            <w:pPr>
              <w:pStyle w:val="TableParagraph"/>
              <w:spacing w:before="101"/>
              <w:ind w:left="311" w:right="304"/>
              <w:rPr>
                <w:sz w:val="18"/>
              </w:rPr>
            </w:pPr>
            <w:r>
              <w:rPr>
                <w:color w:val="231F20"/>
                <w:sz w:val="18"/>
              </w:rPr>
              <w:t>1999</w:t>
            </w:r>
          </w:p>
        </w:tc>
        <w:tc>
          <w:tcPr>
            <w:tcW w:w="1028" w:type="dxa"/>
          </w:tcPr>
          <w:p>
            <w:pPr>
              <w:pStyle w:val="TableParagraph"/>
              <w:spacing w:before="80"/>
              <w:ind w:left="367"/>
              <w:jc w:val="left"/>
              <w:rPr>
                <w:rFonts w:ascii="Palatino Linotype"/>
                <w:b/>
                <w:sz w:val="18"/>
              </w:rPr>
            </w:pPr>
            <w:r>
              <w:rPr>
                <w:rFonts w:ascii="Palatino Linotype"/>
                <w:b/>
                <w:color w:val="231F20"/>
                <w:sz w:val="18"/>
              </w:rPr>
              <w:t>56.0</w:t>
            </w:r>
          </w:p>
        </w:tc>
        <w:tc>
          <w:tcPr>
            <w:tcW w:w="968" w:type="dxa"/>
          </w:tcPr>
          <w:p>
            <w:pPr>
              <w:pStyle w:val="TableParagraph"/>
              <w:spacing w:before="101"/>
              <w:ind w:left="378"/>
              <w:jc w:val="left"/>
              <w:rPr>
                <w:sz w:val="18"/>
              </w:rPr>
            </w:pPr>
            <w:r>
              <w:rPr>
                <w:color w:val="231F20"/>
                <w:sz w:val="18"/>
              </w:rPr>
              <w:t>72.1</w:t>
            </w:r>
          </w:p>
        </w:tc>
        <w:tc>
          <w:tcPr>
            <w:tcW w:w="1202" w:type="dxa"/>
          </w:tcPr>
          <w:p>
            <w:pPr>
              <w:pStyle w:val="TableParagraph"/>
              <w:spacing w:before="101"/>
              <w:ind w:left="163" w:right="177"/>
              <w:rPr>
                <w:sz w:val="18"/>
              </w:rPr>
            </w:pPr>
            <w:r>
              <w:rPr>
                <w:color w:val="231F20"/>
                <w:sz w:val="18"/>
              </w:rPr>
              <w:t>43.0</w:t>
            </w:r>
          </w:p>
        </w:tc>
        <w:tc>
          <w:tcPr>
            <w:tcW w:w="925" w:type="dxa"/>
          </w:tcPr>
          <w:p>
            <w:pPr>
              <w:pStyle w:val="TableParagraph"/>
              <w:spacing w:before="80"/>
              <w:ind w:left="264"/>
              <w:jc w:val="left"/>
              <w:rPr>
                <w:rFonts w:ascii="Palatino Linotype"/>
                <w:b/>
                <w:sz w:val="18"/>
              </w:rPr>
            </w:pPr>
            <w:r>
              <w:rPr>
                <w:rFonts w:ascii="Palatino Linotype"/>
                <w:b/>
                <w:color w:val="231F20"/>
                <w:sz w:val="18"/>
              </w:rPr>
              <w:t>44.0</w:t>
            </w:r>
          </w:p>
        </w:tc>
        <w:tc>
          <w:tcPr>
            <w:tcW w:w="968" w:type="dxa"/>
          </w:tcPr>
          <w:p>
            <w:pPr>
              <w:pStyle w:val="TableParagraph"/>
              <w:spacing w:before="101"/>
              <w:ind w:left="262" w:right="173"/>
              <w:rPr>
                <w:sz w:val="18"/>
              </w:rPr>
            </w:pPr>
            <w:r>
              <w:rPr>
                <w:color w:val="231F20"/>
                <w:sz w:val="18"/>
              </w:rPr>
              <w:t>27.9</w:t>
            </w:r>
          </w:p>
        </w:tc>
        <w:tc>
          <w:tcPr>
            <w:tcW w:w="1110" w:type="dxa"/>
          </w:tcPr>
          <w:p>
            <w:pPr>
              <w:pStyle w:val="TableParagraph"/>
              <w:spacing w:before="101"/>
              <w:ind w:left="161" w:right="86"/>
              <w:rPr>
                <w:sz w:val="18"/>
              </w:rPr>
            </w:pPr>
            <w:r>
              <w:rPr>
                <w:color w:val="231F20"/>
                <w:sz w:val="18"/>
              </w:rPr>
              <w:t>57.0</w:t>
            </w:r>
          </w:p>
        </w:tc>
      </w:tr>
      <w:tr>
        <w:trPr>
          <w:trHeight w:val="454" w:hRule="exact"/>
        </w:trPr>
        <w:tc>
          <w:tcPr>
            <w:tcW w:w="1022" w:type="dxa"/>
          </w:tcPr>
          <w:p>
            <w:pPr>
              <w:pStyle w:val="TableParagraph"/>
              <w:spacing w:before="101"/>
              <w:ind w:left="311" w:right="304"/>
              <w:rPr>
                <w:sz w:val="18"/>
              </w:rPr>
            </w:pPr>
            <w:r>
              <w:rPr>
                <w:color w:val="231F20"/>
                <w:sz w:val="18"/>
              </w:rPr>
              <w:t>2000</w:t>
            </w:r>
          </w:p>
        </w:tc>
        <w:tc>
          <w:tcPr>
            <w:tcW w:w="1028" w:type="dxa"/>
          </w:tcPr>
          <w:p>
            <w:pPr>
              <w:pStyle w:val="TableParagraph"/>
              <w:spacing w:before="80"/>
              <w:ind w:left="366"/>
              <w:jc w:val="left"/>
              <w:rPr>
                <w:rFonts w:ascii="Palatino Linotype"/>
                <w:b/>
                <w:sz w:val="18"/>
              </w:rPr>
            </w:pPr>
            <w:r>
              <w:rPr>
                <w:rFonts w:ascii="Palatino Linotype"/>
                <w:b/>
                <w:color w:val="231F20"/>
                <w:sz w:val="18"/>
              </w:rPr>
              <w:t>89.0</w:t>
            </w:r>
          </w:p>
        </w:tc>
        <w:tc>
          <w:tcPr>
            <w:tcW w:w="968" w:type="dxa"/>
          </w:tcPr>
          <w:p>
            <w:pPr>
              <w:pStyle w:val="TableParagraph"/>
              <w:spacing w:before="101"/>
              <w:ind w:left="378"/>
              <w:jc w:val="left"/>
              <w:rPr>
                <w:sz w:val="18"/>
              </w:rPr>
            </w:pPr>
            <w:r>
              <w:rPr>
                <w:color w:val="231F20"/>
                <w:sz w:val="18"/>
              </w:rPr>
              <w:t>92.5</w:t>
            </w:r>
          </w:p>
        </w:tc>
        <w:tc>
          <w:tcPr>
            <w:tcW w:w="1202" w:type="dxa"/>
          </w:tcPr>
          <w:p>
            <w:pPr>
              <w:pStyle w:val="TableParagraph"/>
              <w:spacing w:before="101"/>
              <w:ind w:left="162" w:right="177"/>
              <w:rPr>
                <w:sz w:val="18"/>
              </w:rPr>
            </w:pPr>
            <w:r>
              <w:rPr>
                <w:color w:val="231F20"/>
                <w:sz w:val="18"/>
              </w:rPr>
              <w:t>85.7</w:t>
            </w:r>
          </w:p>
        </w:tc>
        <w:tc>
          <w:tcPr>
            <w:tcW w:w="925" w:type="dxa"/>
          </w:tcPr>
          <w:p>
            <w:pPr>
              <w:pStyle w:val="TableParagraph"/>
              <w:spacing w:before="80"/>
              <w:ind w:left="264"/>
              <w:jc w:val="left"/>
              <w:rPr>
                <w:rFonts w:ascii="Palatino Linotype"/>
                <w:b/>
                <w:sz w:val="18"/>
              </w:rPr>
            </w:pPr>
            <w:r>
              <w:rPr>
                <w:rFonts w:ascii="Palatino Linotype"/>
                <w:b/>
                <w:color w:val="231F20"/>
                <w:sz w:val="18"/>
              </w:rPr>
              <w:t>11.0</w:t>
            </w:r>
          </w:p>
        </w:tc>
        <w:tc>
          <w:tcPr>
            <w:tcW w:w="968" w:type="dxa"/>
          </w:tcPr>
          <w:p>
            <w:pPr>
              <w:pStyle w:val="TableParagraph"/>
              <w:spacing w:before="101"/>
              <w:ind w:left="261" w:right="173"/>
              <w:rPr>
                <w:sz w:val="18"/>
              </w:rPr>
            </w:pPr>
            <w:r>
              <w:rPr>
                <w:color w:val="231F20"/>
                <w:sz w:val="18"/>
              </w:rPr>
              <w:t>7.5</w:t>
            </w:r>
          </w:p>
        </w:tc>
        <w:tc>
          <w:tcPr>
            <w:tcW w:w="1110" w:type="dxa"/>
          </w:tcPr>
          <w:p>
            <w:pPr>
              <w:pStyle w:val="TableParagraph"/>
              <w:spacing w:before="101"/>
              <w:ind w:left="160" w:right="86"/>
              <w:rPr>
                <w:sz w:val="18"/>
              </w:rPr>
            </w:pPr>
            <w:r>
              <w:rPr>
                <w:color w:val="231F20"/>
                <w:sz w:val="18"/>
              </w:rPr>
              <w:t>14.3</w:t>
            </w:r>
          </w:p>
        </w:tc>
      </w:tr>
      <w:tr>
        <w:trPr>
          <w:trHeight w:val="454" w:hRule="exact"/>
        </w:trPr>
        <w:tc>
          <w:tcPr>
            <w:tcW w:w="1022" w:type="dxa"/>
          </w:tcPr>
          <w:p>
            <w:pPr>
              <w:pStyle w:val="TableParagraph"/>
              <w:spacing w:before="101"/>
              <w:ind w:left="311" w:right="305"/>
              <w:rPr>
                <w:sz w:val="18"/>
              </w:rPr>
            </w:pPr>
            <w:r>
              <w:rPr>
                <w:color w:val="231F20"/>
                <w:sz w:val="18"/>
              </w:rPr>
              <w:t>2001</w:t>
            </w:r>
          </w:p>
        </w:tc>
        <w:tc>
          <w:tcPr>
            <w:tcW w:w="1028" w:type="dxa"/>
          </w:tcPr>
          <w:p>
            <w:pPr>
              <w:pStyle w:val="TableParagraph"/>
              <w:spacing w:before="80"/>
              <w:ind w:left="366"/>
              <w:jc w:val="left"/>
              <w:rPr>
                <w:rFonts w:ascii="Palatino Linotype"/>
                <w:b/>
                <w:sz w:val="18"/>
              </w:rPr>
            </w:pPr>
            <w:r>
              <w:rPr>
                <w:rFonts w:ascii="Palatino Linotype"/>
                <w:b/>
                <w:color w:val="231F20"/>
                <w:sz w:val="18"/>
              </w:rPr>
              <w:t>89.4</w:t>
            </w:r>
          </w:p>
        </w:tc>
        <w:tc>
          <w:tcPr>
            <w:tcW w:w="968" w:type="dxa"/>
          </w:tcPr>
          <w:p>
            <w:pPr>
              <w:pStyle w:val="TableParagraph"/>
              <w:spacing w:before="101"/>
              <w:ind w:left="378"/>
              <w:jc w:val="left"/>
              <w:rPr>
                <w:sz w:val="18"/>
              </w:rPr>
            </w:pPr>
            <w:r>
              <w:rPr>
                <w:color w:val="231F20"/>
                <w:sz w:val="18"/>
              </w:rPr>
              <w:t>91.6</w:t>
            </w:r>
          </w:p>
        </w:tc>
        <w:tc>
          <w:tcPr>
            <w:tcW w:w="1202" w:type="dxa"/>
          </w:tcPr>
          <w:p>
            <w:pPr>
              <w:pStyle w:val="TableParagraph"/>
              <w:spacing w:before="101"/>
              <w:ind w:left="161" w:right="177"/>
              <w:rPr>
                <w:sz w:val="18"/>
              </w:rPr>
            </w:pPr>
            <w:r>
              <w:rPr>
                <w:color w:val="231F20"/>
                <w:sz w:val="18"/>
              </w:rPr>
              <w:t>86.9</w:t>
            </w:r>
          </w:p>
        </w:tc>
        <w:tc>
          <w:tcPr>
            <w:tcW w:w="925" w:type="dxa"/>
          </w:tcPr>
          <w:p>
            <w:pPr>
              <w:pStyle w:val="TableParagraph"/>
              <w:spacing w:before="80"/>
              <w:ind w:left="263"/>
              <w:jc w:val="left"/>
              <w:rPr>
                <w:rFonts w:ascii="Palatino Linotype"/>
                <w:b/>
                <w:sz w:val="18"/>
              </w:rPr>
            </w:pPr>
            <w:r>
              <w:rPr>
                <w:rFonts w:ascii="Palatino Linotype"/>
                <w:b/>
                <w:color w:val="231F20"/>
                <w:sz w:val="18"/>
              </w:rPr>
              <w:t>10.6</w:t>
            </w:r>
          </w:p>
        </w:tc>
        <w:tc>
          <w:tcPr>
            <w:tcW w:w="968" w:type="dxa"/>
          </w:tcPr>
          <w:p>
            <w:pPr>
              <w:pStyle w:val="TableParagraph"/>
              <w:spacing w:before="101"/>
              <w:ind w:left="261" w:right="173"/>
              <w:rPr>
                <w:sz w:val="18"/>
              </w:rPr>
            </w:pPr>
            <w:r>
              <w:rPr>
                <w:color w:val="231F20"/>
                <w:sz w:val="18"/>
              </w:rPr>
              <w:t>8.4</w:t>
            </w:r>
          </w:p>
        </w:tc>
        <w:tc>
          <w:tcPr>
            <w:tcW w:w="1110" w:type="dxa"/>
          </w:tcPr>
          <w:p>
            <w:pPr>
              <w:pStyle w:val="TableParagraph"/>
              <w:spacing w:before="101"/>
              <w:ind w:left="159" w:right="86"/>
              <w:rPr>
                <w:sz w:val="18"/>
              </w:rPr>
            </w:pPr>
            <w:r>
              <w:rPr>
                <w:color w:val="231F20"/>
                <w:sz w:val="18"/>
              </w:rPr>
              <w:t>13.1</w:t>
            </w:r>
          </w:p>
        </w:tc>
      </w:tr>
      <w:tr>
        <w:trPr>
          <w:trHeight w:val="454" w:hRule="exact"/>
        </w:trPr>
        <w:tc>
          <w:tcPr>
            <w:tcW w:w="1022" w:type="dxa"/>
          </w:tcPr>
          <w:p>
            <w:pPr>
              <w:pStyle w:val="TableParagraph"/>
              <w:spacing w:before="101"/>
              <w:ind w:left="310" w:right="305"/>
              <w:rPr>
                <w:sz w:val="18"/>
              </w:rPr>
            </w:pPr>
            <w:r>
              <w:rPr>
                <w:color w:val="231F20"/>
                <w:sz w:val="18"/>
              </w:rPr>
              <w:t>2002</w:t>
            </w:r>
          </w:p>
        </w:tc>
        <w:tc>
          <w:tcPr>
            <w:tcW w:w="1028" w:type="dxa"/>
          </w:tcPr>
          <w:p>
            <w:pPr>
              <w:pStyle w:val="TableParagraph"/>
              <w:spacing w:before="80"/>
              <w:ind w:left="365"/>
              <w:jc w:val="left"/>
              <w:rPr>
                <w:rFonts w:ascii="Palatino Linotype"/>
                <w:b/>
                <w:sz w:val="18"/>
              </w:rPr>
            </w:pPr>
            <w:r>
              <w:rPr>
                <w:rFonts w:ascii="Palatino Linotype"/>
                <w:b/>
                <w:color w:val="231F20"/>
                <w:sz w:val="18"/>
              </w:rPr>
              <w:t>87.6</w:t>
            </w:r>
          </w:p>
        </w:tc>
        <w:tc>
          <w:tcPr>
            <w:tcW w:w="968" w:type="dxa"/>
          </w:tcPr>
          <w:p>
            <w:pPr>
              <w:pStyle w:val="TableParagraph"/>
              <w:spacing w:before="101"/>
              <w:ind w:left="377"/>
              <w:jc w:val="left"/>
              <w:rPr>
                <w:sz w:val="18"/>
              </w:rPr>
            </w:pPr>
            <w:r>
              <w:rPr>
                <w:color w:val="231F20"/>
                <w:sz w:val="18"/>
              </w:rPr>
              <w:t>90.0</w:t>
            </w:r>
          </w:p>
        </w:tc>
        <w:tc>
          <w:tcPr>
            <w:tcW w:w="1202" w:type="dxa"/>
          </w:tcPr>
          <w:p>
            <w:pPr>
              <w:pStyle w:val="TableParagraph"/>
              <w:spacing w:before="101"/>
              <w:ind w:left="161" w:right="177"/>
              <w:rPr>
                <w:sz w:val="18"/>
              </w:rPr>
            </w:pPr>
            <w:r>
              <w:rPr>
                <w:color w:val="231F20"/>
                <w:sz w:val="18"/>
              </w:rPr>
              <w:t>84.6</w:t>
            </w:r>
          </w:p>
        </w:tc>
        <w:tc>
          <w:tcPr>
            <w:tcW w:w="925" w:type="dxa"/>
          </w:tcPr>
          <w:p>
            <w:pPr>
              <w:pStyle w:val="TableParagraph"/>
              <w:spacing w:before="80"/>
              <w:ind w:left="263"/>
              <w:jc w:val="left"/>
              <w:rPr>
                <w:rFonts w:ascii="Palatino Linotype"/>
                <w:b/>
                <w:sz w:val="18"/>
              </w:rPr>
            </w:pPr>
            <w:r>
              <w:rPr>
                <w:rFonts w:ascii="Palatino Linotype"/>
                <w:b/>
                <w:color w:val="231F20"/>
                <w:sz w:val="18"/>
              </w:rPr>
              <w:t>12.4</w:t>
            </w:r>
          </w:p>
        </w:tc>
        <w:tc>
          <w:tcPr>
            <w:tcW w:w="968" w:type="dxa"/>
          </w:tcPr>
          <w:p>
            <w:pPr>
              <w:pStyle w:val="TableParagraph"/>
              <w:spacing w:before="101"/>
              <w:ind w:left="260" w:right="173"/>
              <w:rPr>
                <w:sz w:val="18"/>
              </w:rPr>
            </w:pPr>
            <w:r>
              <w:rPr>
                <w:color w:val="231F20"/>
                <w:sz w:val="18"/>
              </w:rPr>
              <w:t>10.0</w:t>
            </w:r>
          </w:p>
        </w:tc>
        <w:tc>
          <w:tcPr>
            <w:tcW w:w="1110" w:type="dxa"/>
          </w:tcPr>
          <w:p>
            <w:pPr>
              <w:pStyle w:val="TableParagraph"/>
              <w:spacing w:before="101"/>
              <w:ind w:left="159" w:right="86"/>
              <w:rPr>
                <w:sz w:val="18"/>
              </w:rPr>
            </w:pPr>
            <w:r>
              <w:rPr>
                <w:color w:val="231F20"/>
                <w:sz w:val="18"/>
              </w:rPr>
              <w:t>15.4</w:t>
            </w:r>
          </w:p>
        </w:tc>
      </w:tr>
      <w:tr>
        <w:trPr>
          <w:trHeight w:val="454" w:hRule="exact"/>
        </w:trPr>
        <w:tc>
          <w:tcPr>
            <w:tcW w:w="1022" w:type="dxa"/>
          </w:tcPr>
          <w:p>
            <w:pPr>
              <w:pStyle w:val="TableParagraph"/>
              <w:spacing w:before="101"/>
              <w:ind w:left="310" w:right="305"/>
              <w:rPr>
                <w:sz w:val="18"/>
              </w:rPr>
            </w:pPr>
            <w:r>
              <w:rPr>
                <w:color w:val="231F20"/>
                <w:sz w:val="18"/>
              </w:rPr>
              <w:t>2003</w:t>
            </w:r>
          </w:p>
        </w:tc>
        <w:tc>
          <w:tcPr>
            <w:tcW w:w="1028" w:type="dxa"/>
          </w:tcPr>
          <w:p>
            <w:pPr>
              <w:pStyle w:val="TableParagraph"/>
              <w:spacing w:before="80"/>
              <w:ind w:left="365"/>
              <w:jc w:val="left"/>
              <w:rPr>
                <w:rFonts w:ascii="Palatino Linotype"/>
                <w:b/>
                <w:sz w:val="18"/>
              </w:rPr>
            </w:pPr>
            <w:r>
              <w:rPr>
                <w:rFonts w:ascii="Palatino Linotype"/>
                <w:b/>
                <w:color w:val="231F20"/>
                <w:sz w:val="18"/>
              </w:rPr>
              <w:t>88.4</w:t>
            </w:r>
          </w:p>
        </w:tc>
        <w:tc>
          <w:tcPr>
            <w:tcW w:w="968" w:type="dxa"/>
          </w:tcPr>
          <w:p>
            <w:pPr>
              <w:pStyle w:val="TableParagraph"/>
              <w:spacing w:before="101"/>
              <w:ind w:left="377"/>
              <w:jc w:val="left"/>
              <w:rPr>
                <w:sz w:val="18"/>
              </w:rPr>
            </w:pPr>
            <w:r>
              <w:rPr>
                <w:color w:val="231F20"/>
                <w:sz w:val="18"/>
              </w:rPr>
              <w:t>93.6</w:t>
            </w:r>
          </w:p>
        </w:tc>
        <w:tc>
          <w:tcPr>
            <w:tcW w:w="1202" w:type="dxa"/>
          </w:tcPr>
          <w:p>
            <w:pPr>
              <w:pStyle w:val="TableParagraph"/>
              <w:spacing w:before="101"/>
              <w:ind w:left="160" w:right="177"/>
              <w:rPr>
                <w:sz w:val="18"/>
              </w:rPr>
            </w:pPr>
            <w:r>
              <w:rPr>
                <w:color w:val="231F20"/>
                <w:sz w:val="18"/>
              </w:rPr>
              <w:t>83.3</w:t>
            </w:r>
          </w:p>
        </w:tc>
        <w:tc>
          <w:tcPr>
            <w:tcW w:w="925" w:type="dxa"/>
          </w:tcPr>
          <w:p>
            <w:pPr>
              <w:pStyle w:val="TableParagraph"/>
              <w:spacing w:before="80"/>
              <w:ind w:left="263"/>
              <w:jc w:val="left"/>
              <w:rPr>
                <w:rFonts w:ascii="Palatino Linotype"/>
                <w:b/>
                <w:sz w:val="18"/>
              </w:rPr>
            </w:pPr>
            <w:r>
              <w:rPr>
                <w:rFonts w:ascii="Palatino Linotype"/>
                <w:b/>
                <w:color w:val="231F20"/>
                <w:sz w:val="18"/>
              </w:rPr>
              <w:t>11.6</w:t>
            </w:r>
          </w:p>
        </w:tc>
        <w:tc>
          <w:tcPr>
            <w:tcW w:w="968" w:type="dxa"/>
          </w:tcPr>
          <w:p>
            <w:pPr>
              <w:pStyle w:val="TableParagraph"/>
              <w:spacing w:before="101"/>
              <w:ind w:left="259" w:right="173"/>
              <w:rPr>
                <w:sz w:val="18"/>
              </w:rPr>
            </w:pPr>
            <w:r>
              <w:rPr>
                <w:color w:val="231F20"/>
                <w:sz w:val="18"/>
              </w:rPr>
              <w:t>6.4</w:t>
            </w:r>
          </w:p>
        </w:tc>
        <w:tc>
          <w:tcPr>
            <w:tcW w:w="1110" w:type="dxa"/>
          </w:tcPr>
          <w:p>
            <w:pPr>
              <w:pStyle w:val="TableParagraph"/>
              <w:spacing w:before="101"/>
              <w:ind w:left="158" w:right="86"/>
              <w:rPr>
                <w:sz w:val="18"/>
              </w:rPr>
            </w:pPr>
            <w:r>
              <w:rPr>
                <w:color w:val="231F20"/>
                <w:sz w:val="18"/>
              </w:rPr>
              <w:t>16.7</w:t>
            </w:r>
          </w:p>
        </w:tc>
      </w:tr>
      <w:tr>
        <w:trPr>
          <w:trHeight w:val="454" w:hRule="exact"/>
        </w:trPr>
        <w:tc>
          <w:tcPr>
            <w:tcW w:w="1022" w:type="dxa"/>
          </w:tcPr>
          <w:p>
            <w:pPr>
              <w:pStyle w:val="TableParagraph"/>
              <w:spacing w:before="101"/>
              <w:ind w:left="309" w:right="305"/>
              <w:rPr>
                <w:sz w:val="18"/>
              </w:rPr>
            </w:pPr>
            <w:r>
              <w:rPr>
                <w:color w:val="231F20"/>
                <w:sz w:val="18"/>
              </w:rPr>
              <w:t>2004</w:t>
            </w:r>
          </w:p>
        </w:tc>
        <w:tc>
          <w:tcPr>
            <w:tcW w:w="1028" w:type="dxa"/>
          </w:tcPr>
          <w:p>
            <w:pPr>
              <w:pStyle w:val="TableParagraph"/>
              <w:spacing w:before="80"/>
              <w:ind w:left="365"/>
              <w:jc w:val="left"/>
              <w:rPr>
                <w:rFonts w:ascii="Palatino Linotype"/>
                <w:b/>
                <w:sz w:val="18"/>
              </w:rPr>
            </w:pPr>
            <w:r>
              <w:rPr>
                <w:rFonts w:ascii="Palatino Linotype"/>
                <w:b/>
                <w:color w:val="231F20"/>
                <w:sz w:val="18"/>
              </w:rPr>
              <w:t>88.4</w:t>
            </w:r>
          </w:p>
        </w:tc>
        <w:tc>
          <w:tcPr>
            <w:tcW w:w="968" w:type="dxa"/>
          </w:tcPr>
          <w:p>
            <w:pPr>
              <w:pStyle w:val="TableParagraph"/>
              <w:spacing w:before="101"/>
              <w:ind w:left="377"/>
              <w:jc w:val="left"/>
              <w:rPr>
                <w:sz w:val="18"/>
              </w:rPr>
            </w:pPr>
            <w:r>
              <w:rPr>
                <w:color w:val="231F20"/>
                <w:sz w:val="18"/>
              </w:rPr>
              <w:t>94.7</w:t>
            </w:r>
          </w:p>
        </w:tc>
        <w:tc>
          <w:tcPr>
            <w:tcW w:w="1202" w:type="dxa"/>
          </w:tcPr>
          <w:p>
            <w:pPr>
              <w:pStyle w:val="TableParagraph"/>
              <w:spacing w:before="101"/>
              <w:ind w:left="159" w:right="177"/>
              <w:rPr>
                <w:sz w:val="18"/>
              </w:rPr>
            </w:pPr>
            <w:r>
              <w:rPr>
                <w:color w:val="231F20"/>
                <w:sz w:val="18"/>
              </w:rPr>
              <w:t>80.8</w:t>
            </w:r>
          </w:p>
        </w:tc>
        <w:tc>
          <w:tcPr>
            <w:tcW w:w="925" w:type="dxa"/>
          </w:tcPr>
          <w:p>
            <w:pPr>
              <w:pStyle w:val="TableParagraph"/>
              <w:spacing w:before="80"/>
              <w:ind w:left="262"/>
              <w:jc w:val="left"/>
              <w:rPr>
                <w:rFonts w:ascii="Palatino Linotype"/>
                <w:b/>
                <w:sz w:val="18"/>
              </w:rPr>
            </w:pPr>
            <w:r>
              <w:rPr>
                <w:rFonts w:ascii="Palatino Linotype"/>
                <w:b/>
                <w:color w:val="231F20"/>
                <w:sz w:val="18"/>
              </w:rPr>
              <w:t>11.6</w:t>
            </w:r>
          </w:p>
        </w:tc>
        <w:tc>
          <w:tcPr>
            <w:tcW w:w="968" w:type="dxa"/>
          </w:tcPr>
          <w:p>
            <w:pPr>
              <w:pStyle w:val="TableParagraph"/>
              <w:spacing w:before="101"/>
              <w:ind w:left="258" w:right="173"/>
              <w:rPr>
                <w:sz w:val="18"/>
              </w:rPr>
            </w:pPr>
            <w:r>
              <w:rPr>
                <w:color w:val="231F20"/>
                <w:sz w:val="18"/>
              </w:rPr>
              <w:t>5.3</w:t>
            </w:r>
          </w:p>
        </w:tc>
        <w:tc>
          <w:tcPr>
            <w:tcW w:w="1110" w:type="dxa"/>
          </w:tcPr>
          <w:p>
            <w:pPr>
              <w:pStyle w:val="TableParagraph"/>
              <w:spacing w:before="101"/>
              <w:ind w:left="157" w:right="86"/>
              <w:rPr>
                <w:sz w:val="18"/>
              </w:rPr>
            </w:pPr>
            <w:r>
              <w:rPr>
                <w:color w:val="231F20"/>
                <w:sz w:val="18"/>
              </w:rPr>
              <w:t>19.2</w:t>
            </w:r>
          </w:p>
        </w:tc>
      </w:tr>
      <w:tr>
        <w:trPr>
          <w:trHeight w:val="454" w:hRule="exact"/>
        </w:trPr>
        <w:tc>
          <w:tcPr>
            <w:tcW w:w="1022" w:type="dxa"/>
          </w:tcPr>
          <w:p>
            <w:pPr>
              <w:pStyle w:val="TableParagraph"/>
              <w:spacing w:before="101"/>
              <w:ind w:left="308" w:right="305"/>
              <w:rPr>
                <w:sz w:val="18"/>
              </w:rPr>
            </w:pPr>
            <w:r>
              <w:rPr>
                <w:color w:val="231F20"/>
                <w:sz w:val="18"/>
              </w:rPr>
              <w:t>2005</w:t>
            </w:r>
          </w:p>
        </w:tc>
        <w:tc>
          <w:tcPr>
            <w:tcW w:w="1028" w:type="dxa"/>
          </w:tcPr>
          <w:p>
            <w:pPr>
              <w:pStyle w:val="TableParagraph"/>
              <w:spacing w:before="80"/>
              <w:ind w:left="364"/>
              <w:jc w:val="left"/>
              <w:rPr>
                <w:rFonts w:ascii="Palatino Linotype"/>
                <w:b/>
                <w:sz w:val="18"/>
              </w:rPr>
            </w:pPr>
            <w:r>
              <w:rPr>
                <w:rFonts w:ascii="Palatino Linotype"/>
                <w:b/>
                <w:color w:val="231F20"/>
                <w:sz w:val="18"/>
              </w:rPr>
              <w:t>88.7</w:t>
            </w:r>
          </w:p>
        </w:tc>
        <w:tc>
          <w:tcPr>
            <w:tcW w:w="968" w:type="dxa"/>
          </w:tcPr>
          <w:p>
            <w:pPr>
              <w:pStyle w:val="TableParagraph"/>
              <w:spacing w:before="101"/>
              <w:ind w:left="376"/>
              <w:jc w:val="left"/>
              <w:rPr>
                <w:sz w:val="18"/>
              </w:rPr>
            </w:pPr>
            <w:r>
              <w:rPr>
                <w:color w:val="231F20"/>
                <w:sz w:val="18"/>
              </w:rPr>
              <w:t>95.8</w:t>
            </w:r>
          </w:p>
        </w:tc>
        <w:tc>
          <w:tcPr>
            <w:tcW w:w="1202" w:type="dxa"/>
          </w:tcPr>
          <w:p>
            <w:pPr>
              <w:pStyle w:val="TableParagraph"/>
              <w:spacing w:before="101"/>
              <w:ind w:left="159" w:right="177"/>
              <w:rPr>
                <w:sz w:val="18"/>
              </w:rPr>
            </w:pPr>
            <w:r>
              <w:rPr>
                <w:color w:val="231F20"/>
                <w:sz w:val="18"/>
              </w:rPr>
              <w:t>81.9</w:t>
            </w:r>
          </w:p>
        </w:tc>
        <w:tc>
          <w:tcPr>
            <w:tcW w:w="925" w:type="dxa"/>
          </w:tcPr>
          <w:p>
            <w:pPr>
              <w:pStyle w:val="TableParagraph"/>
              <w:spacing w:before="80"/>
              <w:ind w:left="262"/>
              <w:jc w:val="left"/>
              <w:rPr>
                <w:rFonts w:ascii="Palatino Linotype"/>
                <w:b/>
                <w:sz w:val="18"/>
              </w:rPr>
            </w:pPr>
            <w:r>
              <w:rPr>
                <w:rFonts w:ascii="Palatino Linotype"/>
                <w:b/>
                <w:color w:val="231F20"/>
                <w:sz w:val="18"/>
              </w:rPr>
              <w:t>11.3</w:t>
            </w:r>
          </w:p>
        </w:tc>
        <w:tc>
          <w:tcPr>
            <w:tcW w:w="968" w:type="dxa"/>
          </w:tcPr>
          <w:p>
            <w:pPr>
              <w:pStyle w:val="TableParagraph"/>
              <w:spacing w:before="101"/>
              <w:ind w:left="258" w:right="173"/>
              <w:rPr>
                <w:sz w:val="18"/>
              </w:rPr>
            </w:pPr>
            <w:r>
              <w:rPr>
                <w:color w:val="231F20"/>
                <w:sz w:val="18"/>
              </w:rPr>
              <w:t>4.2</w:t>
            </w:r>
          </w:p>
        </w:tc>
        <w:tc>
          <w:tcPr>
            <w:tcW w:w="1110" w:type="dxa"/>
          </w:tcPr>
          <w:p>
            <w:pPr>
              <w:pStyle w:val="TableParagraph"/>
              <w:spacing w:before="101"/>
              <w:ind w:left="156" w:right="86"/>
              <w:rPr>
                <w:sz w:val="18"/>
              </w:rPr>
            </w:pPr>
            <w:r>
              <w:rPr>
                <w:color w:val="231F20"/>
                <w:sz w:val="18"/>
              </w:rPr>
              <w:t>18.1</w:t>
            </w:r>
          </w:p>
        </w:tc>
      </w:tr>
      <w:tr>
        <w:trPr>
          <w:trHeight w:val="454" w:hRule="exact"/>
        </w:trPr>
        <w:tc>
          <w:tcPr>
            <w:tcW w:w="1022" w:type="dxa"/>
          </w:tcPr>
          <w:p>
            <w:pPr>
              <w:pStyle w:val="TableParagraph"/>
              <w:spacing w:before="101"/>
              <w:ind w:left="307" w:right="305"/>
              <w:rPr>
                <w:sz w:val="18"/>
              </w:rPr>
            </w:pPr>
            <w:r>
              <w:rPr>
                <w:color w:val="231F20"/>
                <w:sz w:val="18"/>
              </w:rPr>
              <w:t>2006</w:t>
            </w:r>
          </w:p>
        </w:tc>
        <w:tc>
          <w:tcPr>
            <w:tcW w:w="1028" w:type="dxa"/>
          </w:tcPr>
          <w:p>
            <w:pPr>
              <w:pStyle w:val="TableParagraph"/>
              <w:spacing w:before="80"/>
              <w:ind w:left="364"/>
              <w:jc w:val="left"/>
              <w:rPr>
                <w:rFonts w:ascii="Palatino Linotype"/>
                <w:b/>
                <w:sz w:val="18"/>
              </w:rPr>
            </w:pPr>
            <w:r>
              <w:rPr>
                <w:rFonts w:ascii="Palatino Linotype"/>
                <w:b/>
                <w:color w:val="231F20"/>
                <w:sz w:val="18"/>
              </w:rPr>
              <w:t>84.2</w:t>
            </w:r>
          </w:p>
        </w:tc>
        <w:tc>
          <w:tcPr>
            <w:tcW w:w="968" w:type="dxa"/>
          </w:tcPr>
          <w:p>
            <w:pPr>
              <w:pStyle w:val="TableParagraph"/>
              <w:spacing w:before="101"/>
              <w:ind w:left="376"/>
              <w:jc w:val="left"/>
              <w:rPr>
                <w:sz w:val="18"/>
              </w:rPr>
            </w:pPr>
            <w:r>
              <w:rPr>
                <w:color w:val="231F20"/>
                <w:sz w:val="18"/>
              </w:rPr>
              <w:t>96.1</w:t>
            </w:r>
          </w:p>
        </w:tc>
        <w:tc>
          <w:tcPr>
            <w:tcW w:w="1202" w:type="dxa"/>
          </w:tcPr>
          <w:p>
            <w:pPr>
              <w:pStyle w:val="TableParagraph"/>
              <w:spacing w:before="101"/>
              <w:ind w:left="158" w:right="177"/>
              <w:rPr>
                <w:sz w:val="18"/>
              </w:rPr>
            </w:pPr>
            <w:r>
              <w:rPr>
                <w:color w:val="231F20"/>
                <w:sz w:val="18"/>
              </w:rPr>
              <w:t>62.4</w:t>
            </w:r>
          </w:p>
        </w:tc>
        <w:tc>
          <w:tcPr>
            <w:tcW w:w="925" w:type="dxa"/>
          </w:tcPr>
          <w:p>
            <w:pPr>
              <w:pStyle w:val="TableParagraph"/>
              <w:spacing w:before="80"/>
              <w:ind w:left="262"/>
              <w:jc w:val="left"/>
              <w:rPr>
                <w:rFonts w:ascii="Palatino Linotype"/>
                <w:b/>
                <w:sz w:val="18"/>
              </w:rPr>
            </w:pPr>
            <w:r>
              <w:rPr>
                <w:rFonts w:ascii="Palatino Linotype"/>
                <w:b/>
                <w:color w:val="231F20"/>
                <w:sz w:val="18"/>
              </w:rPr>
              <w:t>15.8</w:t>
            </w:r>
          </w:p>
        </w:tc>
        <w:tc>
          <w:tcPr>
            <w:tcW w:w="968" w:type="dxa"/>
          </w:tcPr>
          <w:p>
            <w:pPr>
              <w:pStyle w:val="TableParagraph"/>
              <w:spacing w:before="101"/>
              <w:ind w:left="257" w:right="173"/>
              <w:rPr>
                <w:sz w:val="18"/>
              </w:rPr>
            </w:pPr>
            <w:r>
              <w:rPr>
                <w:color w:val="231F20"/>
                <w:sz w:val="18"/>
              </w:rPr>
              <w:t>3.9</w:t>
            </w:r>
          </w:p>
        </w:tc>
        <w:tc>
          <w:tcPr>
            <w:tcW w:w="1110" w:type="dxa"/>
          </w:tcPr>
          <w:p>
            <w:pPr>
              <w:pStyle w:val="TableParagraph"/>
              <w:spacing w:before="101"/>
              <w:ind w:left="156" w:right="86"/>
              <w:rPr>
                <w:sz w:val="18"/>
              </w:rPr>
            </w:pPr>
            <w:r>
              <w:rPr>
                <w:color w:val="231F20"/>
                <w:sz w:val="18"/>
              </w:rPr>
              <w:t>37.6</w:t>
            </w:r>
          </w:p>
        </w:tc>
      </w:tr>
      <w:tr>
        <w:trPr>
          <w:trHeight w:val="454" w:hRule="exact"/>
        </w:trPr>
        <w:tc>
          <w:tcPr>
            <w:tcW w:w="1022" w:type="dxa"/>
          </w:tcPr>
          <w:p>
            <w:pPr>
              <w:pStyle w:val="TableParagraph"/>
              <w:spacing w:before="101"/>
              <w:ind w:left="307" w:right="305"/>
              <w:rPr>
                <w:sz w:val="18"/>
              </w:rPr>
            </w:pPr>
            <w:r>
              <w:rPr>
                <w:color w:val="231F20"/>
                <w:sz w:val="18"/>
              </w:rPr>
              <w:t>2007</w:t>
            </w:r>
          </w:p>
        </w:tc>
        <w:tc>
          <w:tcPr>
            <w:tcW w:w="1028" w:type="dxa"/>
          </w:tcPr>
          <w:p>
            <w:pPr>
              <w:pStyle w:val="TableParagraph"/>
              <w:spacing w:before="80"/>
              <w:ind w:left="364"/>
              <w:jc w:val="left"/>
              <w:rPr>
                <w:rFonts w:ascii="Palatino Linotype"/>
                <w:b/>
                <w:sz w:val="18"/>
              </w:rPr>
            </w:pPr>
            <w:r>
              <w:rPr>
                <w:rFonts w:ascii="Palatino Linotype"/>
                <w:b/>
                <w:color w:val="231F20"/>
                <w:sz w:val="18"/>
              </w:rPr>
              <w:t>85.3</w:t>
            </w:r>
          </w:p>
        </w:tc>
        <w:tc>
          <w:tcPr>
            <w:tcW w:w="968" w:type="dxa"/>
          </w:tcPr>
          <w:p>
            <w:pPr>
              <w:pStyle w:val="TableParagraph"/>
              <w:spacing w:before="101"/>
              <w:ind w:left="375"/>
              <w:jc w:val="left"/>
              <w:rPr>
                <w:sz w:val="18"/>
              </w:rPr>
            </w:pPr>
            <w:r>
              <w:rPr>
                <w:color w:val="231F20"/>
                <w:sz w:val="18"/>
              </w:rPr>
              <w:t>96.5</w:t>
            </w:r>
          </w:p>
        </w:tc>
        <w:tc>
          <w:tcPr>
            <w:tcW w:w="1202" w:type="dxa"/>
          </w:tcPr>
          <w:p>
            <w:pPr>
              <w:pStyle w:val="TableParagraph"/>
              <w:spacing w:before="101"/>
              <w:ind w:left="157" w:right="177"/>
              <w:rPr>
                <w:sz w:val="18"/>
              </w:rPr>
            </w:pPr>
            <w:r>
              <w:rPr>
                <w:color w:val="231F20"/>
                <w:sz w:val="18"/>
              </w:rPr>
              <w:t>65.1</w:t>
            </w:r>
          </w:p>
        </w:tc>
        <w:tc>
          <w:tcPr>
            <w:tcW w:w="925" w:type="dxa"/>
          </w:tcPr>
          <w:p>
            <w:pPr>
              <w:pStyle w:val="TableParagraph"/>
              <w:spacing w:before="80"/>
              <w:ind w:left="261"/>
              <w:jc w:val="left"/>
              <w:rPr>
                <w:rFonts w:ascii="Palatino Linotype"/>
                <w:b/>
                <w:sz w:val="18"/>
              </w:rPr>
            </w:pPr>
            <w:r>
              <w:rPr>
                <w:rFonts w:ascii="Palatino Linotype"/>
                <w:b/>
                <w:color w:val="231F20"/>
                <w:sz w:val="18"/>
              </w:rPr>
              <w:t>14.7</w:t>
            </w:r>
          </w:p>
        </w:tc>
        <w:tc>
          <w:tcPr>
            <w:tcW w:w="968" w:type="dxa"/>
          </w:tcPr>
          <w:p>
            <w:pPr>
              <w:pStyle w:val="TableParagraph"/>
              <w:spacing w:before="101"/>
              <w:ind w:left="256" w:right="173"/>
              <w:rPr>
                <w:sz w:val="18"/>
              </w:rPr>
            </w:pPr>
            <w:r>
              <w:rPr>
                <w:color w:val="231F20"/>
                <w:sz w:val="18"/>
              </w:rPr>
              <w:t>3.5</w:t>
            </w:r>
          </w:p>
        </w:tc>
        <w:tc>
          <w:tcPr>
            <w:tcW w:w="1110" w:type="dxa"/>
          </w:tcPr>
          <w:p>
            <w:pPr>
              <w:pStyle w:val="TableParagraph"/>
              <w:spacing w:before="101"/>
              <w:ind w:left="155" w:right="86"/>
              <w:rPr>
                <w:sz w:val="18"/>
              </w:rPr>
            </w:pPr>
            <w:r>
              <w:rPr>
                <w:color w:val="231F20"/>
                <w:sz w:val="18"/>
              </w:rPr>
              <w:t>34.9</w:t>
            </w:r>
          </w:p>
        </w:tc>
      </w:tr>
      <w:tr>
        <w:trPr>
          <w:trHeight w:val="430" w:hRule="exact"/>
        </w:trPr>
        <w:tc>
          <w:tcPr>
            <w:tcW w:w="1022" w:type="dxa"/>
            <w:tcBorders>
              <w:bottom w:val="single" w:sz="4" w:space="0" w:color="231F20"/>
            </w:tcBorders>
          </w:tcPr>
          <w:p>
            <w:pPr>
              <w:pStyle w:val="TableParagraph"/>
              <w:spacing w:before="101"/>
              <w:ind w:left="306" w:right="305"/>
              <w:rPr>
                <w:sz w:val="18"/>
              </w:rPr>
            </w:pPr>
            <w:r>
              <w:rPr>
                <w:color w:val="231F20"/>
                <w:sz w:val="18"/>
              </w:rPr>
              <w:t>2008</w:t>
            </w:r>
          </w:p>
        </w:tc>
        <w:tc>
          <w:tcPr>
            <w:tcW w:w="1028" w:type="dxa"/>
            <w:tcBorders>
              <w:bottom w:val="single" w:sz="4" w:space="0" w:color="231F20"/>
            </w:tcBorders>
          </w:tcPr>
          <w:p>
            <w:pPr>
              <w:pStyle w:val="TableParagraph"/>
              <w:spacing w:before="80"/>
              <w:ind w:left="363"/>
              <w:jc w:val="left"/>
              <w:rPr>
                <w:rFonts w:ascii="Palatino Linotype"/>
                <w:b/>
                <w:sz w:val="18"/>
              </w:rPr>
            </w:pPr>
            <w:r>
              <w:rPr>
                <w:rFonts w:ascii="Palatino Linotype"/>
                <w:b/>
                <w:color w:val="231F20"/>
                <w:sz w:val="18"/>
              </w:rPr>
              <w:t>83.9</w:t>
            </w:r>
          </w:p>
        </w:tc>
        <w:tc>
          <w:tcPr>
            <w:tcW w:w="968" w:type="dxa"/>
            <w:tcBorders>
              <w:bottom w:val="single" w:sz="4" w:space="0" w:color="231F20"/>
            </w:tcBorders>
          </w:tcPr>
          <w:p>
            <w:pPr>
              <w:pStyle w:val="TableParagraph"/>
              <w:spacing w:before="101"/>
              <w:ind w:left="375"/>
              <w:jc w:val="left"/>
              <w:rPr>
                <w:sz w:val="18"/>
              </w:rPr>
            </w:pPr>
            <w:r>
              <w:rPr>
                <w:color w:val="231F20"/>
                <w:sz w:val="18"/>
              </w:rPr>
              <w:t>99.3</w:t>
            </w:r>
          </w:p>
        </w:tc>
        <w:tc>
          <w:tcPr>
            <w:tcW w:w="1202" w:type="dxa"/>
            <w:tcBorders>
              <w:bottom w:val="single" w:sz="4" w:space="0" w:color="231F20"/>
            </w:tcBorders>
          </w:tcPr>
          <w:p>
            <w:pPr>
              <w:pStyle w:val="TableParagraph"/>
              <w:spacing w:before="101"/>
              <w:ind w:left="156" w:right="177"/>
              <w:rPr>
                <w:sz w:val="18"/>
              </w:rPr>
            </w:pPr>
            <w:r>
              <w:rPr>
                <w:color w:val="231F20"/>
                <w:sz w:val="18"/>
              </w:rPr>
              <w:t>74.1</w:t>
            </w:r>
          </w:p>
        </w:tc>
        <w:tc>
          <w:tcPr>
            <w:tcW w:w="925" w:type="dxa"/>
            <w:tcBorders>
              <w:bottom w:val="single" w:sz="4" w:space="0" w:color="231F20"/>
            </w:tcBorders>
          </w:tcPr>
          <w:p>
            <w:pPr>
              <w:pStyle w:val="TableParagraph"/>
              <w:spacing w:before="80"/>
              <w:ind w:left="261"/>
              <w:jc w:val="left"/>
              <w:rPr>
                <w:rFonts w:ascii="Palatino Linotype"/>
                <w:b/>
                <w:sz w:val="18"/>
              </w:rPr>
            </w:pPr>
            <w:r>
              <w:rPr>
                <w:rFonts w:ascii="Palatino Linotype"/>
                <w:b/>
                <w:color w:val="231F20"/>
                <w:sz w:val="18"/>
              </w:rPr>
              <w:t>16.1</w:t>
            </w:r>
          </w:p>
        </w:tc>
        <w:tc>
          <w:tcPr>
            <w:tcW w:w="968" w:type="dxa"/>
            <w:tcBorders>
              <w:bottom w:val="single" w:sz="4" w:space="0" w:color="231F20"/>
            </w:tcBorders>
          </w:tcPr>
          <w:p>
            <w:pPr>
              <w:pStyle w:val="TableParagraph"/>
              <w:spacing w:before="101"/>
              <w:ind w:left="256" w:right="173"/>
              <w:rPr>
                <w:sz w:val="18"/>
              </w:rPr>
            </w:pPr>
            <w:r>
              <w:rPr>
                <w:color w:val="231F20"/>
                <w:sz w:val="18"/>
              </w:rPr>
              <w:t>0.7</w:t>
            </w:r>
          </w:p>
        </w:tc>
        <w:tc>
          <w:tcPr>
            <w:tcW w:w="1110" w:type="dxa"/>
            <w:tcBorders>
              <w:bottom w:val="single" w:sz="4" w:space="0" w:color="231F20"/>
            </w:tcBorders>
          </w:tcPr>
          <w:p>
            <w:pPr>
              <w:pStyle w:val="TableParagraph"/>
              <w:spacing w:before="101"/>
              <w:ind w:left="154" w:right="86"/>
              <w:rPr>
                <w:sz w:val="18"/>
              </w:rPr>
            </w:pPr>
            <w:r>
              <w:rPr>
                <w:color w:val="231F20"/>
                <w:sz w:val="18"/>
              </w:rPr>
              <w:t>25.9</w:t>
            </w:r>
          </w:p>
        </w:tc>
      </w:tr>
    </w:tbl>
    <w:p>
      <w:pPr>
        <w:pStyle w:val="BodyText"/>
        <w:spacing w:before="3"/>
        <w:rPr>
          <w:rFonts w:ascii="Palatino Linotype"/>
          <w:b/>
          <w:sz w:val="10"/>
        </w:rPr>
      </w:pPr>
    </w:p>
    <w:p>
      <w:pPr>
        <w:spacing w:before="37"/>
        <w:ind w:left="713" w:right="7" w:firstLine="0"/>
        <w:jc w:val="left"/>
        <w:rPr>
          <w:sz w:val="20"/>
        </w:rPr>
      </w:pPr>
      <w:r>
        <w:rPr>
          <w:rFonts w:ascii="Palatino Linotype" w:hAnsi="Palatino Linotype"/>
          <w:i/>
          <w:color w:val="231F20"/>
          <w:sz w:val="20"/>
        </w:rPr>
        <w:t>Fuente: </w:t>
      </w:r>
      <w:r>
        <w:rPr>
          <w:color w:val="231F20"/>
          <w:sz w:val="20"/>
        </w:rPr>
        <w:t>Elaboración propia con datos de AMIA (2009).</w:t>
      </w:r>
    </w:p>
    <w:p>
      <w:pPr>
        <w:pStyle w:val="BodyText"/>
        <w:rPr>
          <w:sz w:val="20"/>
        </w:rPr>
      </w:pPr>
    </w:p>
    <w:p>
      <w:pPr>
        <w:pStyle w:val="BodyText"/>
        <w:spacing w:line="271" w:lineRule="auto" w:before="166"/>
        <w:ind w:left="713" w:right="7"/>
      </w:pPr>
      <w:r>
        <w:rPr>
          <w:rFonts w:ascii="Palatino Linotype" w:hAnsi="Palatino Linotype"/>
          <w:i/>
          <w:color w:val="231F20"/>
        </w:rPr>
        <w:t>En </w:t>
      </w:r>
      <w:r>
        <w:rPr>
          <w:color w:val="231F20"/>
        </w:rPr>
        <w:t>términos de empresas, General Motors y Chrysler han sido líderes en la produc- ción destinada a los mercados internacionales: en 2008 GM produjo 53% y Chrysler 46% (véase cuadro IV.7). El principal destino de los vehículos producidos en terri- torio mexiquense, al igual que a nivel nacional, son los Estados  Unidos.</w:t>
      </w:r>
    </w:p>
    <w:p>
      <w:pPr>
        <w:spacing w:after="0" w:line="271" w:lineRule="auto"/>
        <w:sectPr>
          <w:pgSz w:w="9640" w:h="13040"/>
          <w:pgMar w:header="581" w:footer="654" w:top="780" w:bottom="840" w:left="420" w:right="1160"/>
        </w:sectPr>
      </w:pPr>
    </w:p>
    <w:p>
      <w:pPr>
        <w:pStyle w:val="BodyText"/>
        <w:rPr>
          <w:sz w:val="20"/>
        </w:rPr>
      </w:pPr>
    </w:p>
    <w:p>
      <w:pPr>
        <w:pStyle w:val="BodyText"/>
        <w:spacing w:before="9"/>
        <w:rPr>
          <w:sz w:val="15"/>
        </w:rPr>
      </w:pPr>
    </w:p>
    <w:p>
      <w:pPr>
        <w:pStyle w:val="Heading4"/>
        <w:ind w:left="1017" w:right="1624"/>
      </w:pPr>
      <w:r>
        <w:rPr>
          <w:color w:val="231F20"/>
          <w:w w:val="95"/>
        </w:rPr>
        <w:t>Cuadro IV.7</w:t>
      </w:r>
    </w:p>
    <w:p>
      <w:pPr>
        <w:spacing w:line="237" w:lineRule="auto" w:before="0"/>
        <w:ind w:left="1017" w:right="1625" w:firstLine="0"/>
        <w:jc w:val="center"/>
        <w:rPr>
          <w:rFonts w:ascii="Palatino Linotype" w:hAnsi="Palatino Linotype"/>
          <w:b/>
          <w:sz w:val="21"/>
        </w:rPr>
      </w:pPr>
      <w:r>
        <w:rPr>
          <w:rFonts w:ascii="Palatino Linotype" w:hAnsi="Palatino Linotype"/>
          <w:b/>
          <w:color w:val="231F20"/>
          <w:w w:val="95"/>
          <w:sz w:val="21"/>
        </w:rPr>
        <w:t>Estado</w:t>
      </w:r>
      <w:r>
        <w:rPr>
          <w:rFonts w:ascii="Palatino Linotype" w:hAnsi="Palatino Linotype"/>
          <w:b/>
          <w:color w:val="231F20"/>
          <w:spacing w:val="-34"/>
          <w:w w:val="95"/>
          <w:sz w:val="21"/>
        </w:rPr>
        <w:t> </w:t>
      </w:r>
      <w:r>
        <w:rPr>
          <w:rFonts w:ascii="Palatino Linotype" w:hAnsi="Palatino Linotype"/>
          <w:b/>
          <w:color w:val="231F20"/>
          <w:w w:val="95"/>
          <w:sz w:val="21"/>
        </w:rPr>
        <w:t>de</w:t>
      </w:r>
      <w:r>
        <w:rPr>
          <w:rFonts w:ascii="Palatino Linotype" w:hAnsi="Palatino Linotype"/>
          <w:b/>
          <w:color w:val="231F20"/>
          <w:spacing w:val="-34"/>
          <w:w w:val="95"/>
          <w:sz w:val="21"/>
        </w:rPr>
        <w:t> </w:t>
      </w:r>
      <w:r>
        <w:rPr>
          <w:rFonts w:ascii="Palatino Linotype" w:hAnsi="Palatino Linotype"/>
          <w:b/>
          <w:color w:val="231F20"/>
          <w:w w:val="95"/>
          <w:sz w:val="21"/>
        </w:rPr>
        <w:t>México:</w:t>
      </w:r>
      <w:r>
        <w:rPr>
          <w:rFonts w:ascii="Palatino Linotype" w:hAnsi="Palatino Linotype"/>
          <w:b/>
          <w:color w:val="231F20"/>
          <w:spacing w:val="-34"/>
          <w:w w:val="95"/>
          <w:sz w:val="21"/>
        </w:rPr>
        <w:t> </w:t>
      </w:r>
      <w:r>
        <w:rPr>
          <w:rFonts w:ascii="Palatino Linotype" w:hAnsi="Palatino Linotype"/>
          <w:b/>
          <w:color w:val="231F20"/>
          <w:w w:val="95"/>
          <w:sz w:val="21"/>
        </w:rPr>
        <w:t>participación</w:t>
      </w:r>
      <w:r>
        <w:rPr>
          <w:rFonts w:ascii="Palatino Linotype" w:hAnsi="Palatino Linotype"/>
          <w:b/>
          <w:color w:val="231F20"/>
          <w:spacing w:val="-34"/>
          <w:w w:val="95"/>
          <w:sz w:val="21"/>
        </w:rPr>
        <w:t> </w:t>
      </w:r>
      <w:r>
        <w:rPr>
          <w:rFonts w:ascii="Palatino Linotype" w:hAnsi="Palatino Linotype"/>
          <w:b/>
          <w:color w:val="231F20"/>
          <w:w w:val="95"/>
          <w:sz w:val="21"/>
        </w:rPr>
        <w:t>en</w:t>
      </w:r>
      <w:r>
        <w:rPr>
          <w:rFonts w:ascii="Palatino Linotype" w:hAnsi="Palatino Linotype"/>
          <w:b/>
          <w:color w:val="231F20"/>
          <w:spacing w:val="-34"/>
          <w:w w:val="95"/>
          <w:sz w:val="21"/>
        </w:rPr>
        <w:t> </w:t>
      </w:r>
      <w:r>
        <w:rPr>
          <w:rFonts w:ascii="Palatino Linotype" w:hAnsi="Palatino Linotype"/>
          <w:b/>
          <w:color w:val="231F20"/>
          <w:w w:val="95"/>
          <w:sz w:val="21"/>
        </w:rPr>
        <w:t>producción</w:t>
      </w:r>
      <w:r>
        <w:rPr>
          <w:rFonts w:ascii="Palatino Linotype" w:hAnsi="Palatino Linotype"/>
          <w:b/>
          <w:color w:val="231F20"/>
          <w:spacing w:val="-34"/>
          <w:w w:val="95"/>
          <w:sz w:val="21"/>
        </w:rPr>
        <w:t> </w:t>
      </w:r>
      <w:r>
        <w:rPr>
          <w:rFonts w:ascii="Palatino Linotype" w:hAnsi="Palatino Linotype"/>
          <w:b/>
          <w:color w:val="231F20"/>
          <w:w w:val="95"/>
          <w:sz w:val="21"/>
        </w:rPr>
        <w:t>para</w:t>
      </w:r>
      <w:r>
        <w:rPr>
          <w:rFonts w:ascii="Palatino Linotype" w:hAnsi="Palatino Linotype"/>
          <w:b/>
          <w:color w:val="231F20"/>
          <w:spacing w:val="-34"/>
          <w:w w:val="95"/>
          <w:sz w:val="21"/>
        </w:rPr>
        <w:t> </w:t>
      </w:r>
      <w:r>
        <w:rPr>
          <w:rFonts w:ascii="Palatino Linotype" w:hAnsi="Palatino Linotype"/>
          <w:b/>
          <w:color w:val="231F20"/>
          <w:w w:val="95"/>
          <w:sz w:val="21"/>
        </w:rPr>
        <w:t>mercado de</w:t>
      </w:r>
      <w:r>
        <w:rPr>
          <w:rFonts w:ascii="Palatino Linotype" w:hAnsi="Palatino Linotype"/>
          <w:b/>
          <w:color w:val="231F20"/>
          <w:spacing w:val="-21"/>
          <w:w w:val="95"/>
          <w:sz w:val="21"/>
        </w:rPr>
        <w:t> </w:t>
      </w:r>
      <w:r>
        <w:rPr>
          <w:rFonts w:ascii="Palatino Linotype" w:hAnsi="Palatino Linotype"/>
          <w:b/>
          <w:color w:val="231F20"/>
          <w:w w:val="95"/>
          <w:sz w:val="21"/>
        </w:rPr>
        <w:t>exportación</w:t>
      </w:r>
      <w:r>
        <w:rPr>
          <w:rFonts w:ascii="Palatino Linotype" w:hAnsi="Palatino Linotype"/>
          <w:b/>
          <w:color w:val="231F20"/>
          <w:spacing w:val="-21"/>
          <w:w w:val="95"/>
          <w:sz w:val="21"/>
        </w:rPr>
        <w:t> </w:t>
      </w:r>
      <w:r>
        <w:rPr>
          <w:rFonts w:ascii="Palatino Linotype" w:hAnsi="Palatino Linotype"/>
          <w:b/>
          <w:color w:val="231F20"/>
          <w:w w:val="95"/>
          <w:sz w:val="21"/>
        </w:rPr>
        <w:t>por</w:t>
      </w:r>
      <w:r>
        <w:rPr>
          <w:rFonts w:ascii="Palatino Linotype" w:hAnsi="Palatino Linotype"/>
          <w:b/>
          <w:color w:val="231F20"/>
          <w:spacing w:val="-21"/>
          <w:w w:val="95"/>
          <w:sz w:val="21"/>
        </w:rPr>
        <w:t> </w:t>
      </w:r>
      <w:r>
        <w:rPr>
          <w:rFonts w:ascii="Palatino Linotype" w:hAnsi="Palatino Linotype"/>
          <w:b/>
          <w:color w:val="231F20"/>
          <w:w w:val="95"/>
          <w:sz w:val="21"/>
        </w:rPr>
        <w:t>empresa,</w:t>
      </w:r>
      <w:r>
        <w:rPr>
          <w:rFonts w:ascii="Palatino Linotype" w:hAnsi="Palatino Linotype"/>
          <w:b/>
          <w:color w:val="231F20"/>
          <w:spacing w:val="-21"/>
          <w:w w:val="95"/>
          <w:sz w:val="21"/>
        </w:rPr>
        <w:t> </w:t>
      </w:r>
      <w:r>
        <w:rPr>
          <w:rFonts w:ascii="Palatino Linotype" w:hAnsi="Palatino Linotype"/>
          <w:b/>
          <w:color w:val="231F20"/>
          <w:w w:val="95"/>
          <w:sz w:val="21"/>
        </w:rPr>
        <w:t>1988-2008</w:t>
      </w:r>
    </w:p>
    <w:p>
      <w:pPr>
        <w:spacing w:line="281" w:lineRule="exact" w:before="0"/>
        <w:ind w:left="1017" w:right="1625" w:firstLine="0"/>
        <w:jc w:val="center"/>
        <w:rPr>
          <w:rFonts w:ascii="Palatino Linotype"/>
          <w:b/>
          <w:sz w:val="21"/>
        </w:rPr>
      </w:pPr>
      <w:r>
        <w:rPr>
          <w:rFonts w:ascii="Palatino Linotype"/>
          <w:b/>
          <w:color w:val="231F20"/>
          <w:sz w:val="21"/>
        </w:rPr>
        <w:t>(Porcentaje)</w:t>
      </w:r>
    </w:p>
    <w:p>
      <w:pPr>
        <w:pStyle w:val="BodyText"/>
        <w:spacing w:before="3"/>
        <w:rPr>
          <w:rFonts w:ascii="Palatino Linotype"/>
          <w:b/>
          <w:sz w:val="14"/>
        </w:r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00"/>
        <w:gridCol w:w="1284"/>
        <w:gridCol w:w="1583"/>
        <w:gridCol w:w="1619"/>
        <w:gridCol w:w="1200"/>
      </w:tblGrid>
      <w:tr>
        <w:trPr>
          <w:trHeight w:val="369" w:hRule="exact"/>
        </w:trPr>
        <w:tc>
          <w:tcPr>
            <w:tcW w:w="1500" w:type="dxa"/>
            <w:tcBorders>
              <w:top w:val="single" w:sz="4" w:space="0" w:color="231F20"/>
              <w:bottom w:val="single" w:sz="4" w:space="0" w:color="231F20"/>
            </w:tcBorders>
          </w:tcPr>
          <w:p>
            <w:pPr>
              <w:pStyle w:val="TableParagraph"/>
              <w:spacing w:before="49"/>
              <w:ind w:left="363" w:right="347"/>
              <w:rPr>
                <w:rFonts w:ascii="Palatino Linotype"/>
                <w:b/>
                <w:sz w:val="19"/>
              </w:rPr>
            </w:pPr>
            <w:r>
              <w:rPr>
                <w:rFonts w:ascii="Palatino Linotype"/>
                <w:b/>
                <w:color w:val="231F20"/>
                <w:sz w:val="19"/>
              </w:rPr>
              <w:t>Empresa</w:t>
            </w:r>
          </w:p>
        </w:tc>
        <w:tc>
          <w:tcPr>
            <w:tcW w:w="1284" w:type="dxa"/>
            <w:tcBorders>
              <w:top w:val="single" w:sz="4" w:space="0" w:color="231F20"/>
              <w:bottom w:val="single" w:sz="4" w:space="0" w:color="231F20"/>
            </w:tcBorders>
          </w:tcPr>
          <w:p>
            <w:pPr>
              <w:pStyle w:val="TableParagraph"/>
              <w:spacing w:before="71"/>
              <w:ind w:left="378" w:right="212"/>
              <w:rPr>
                <w:sz w:val="19"/>
              </w:rPr>
            </w:pPr>
            <w:r>
              <w:rPr>
                <w:color w:val="231F20"/>
                <w:sz w:val="19"/>
              </w:rPr>
              <w:t>Chrysler</w:t>
            </w:r>
          </w:p>
        </w:tc>
        <w:tc>
          <w:tcPr>
            <w:tcW w:w="1583" w:type="dxa"/>
            <w:tcBorders>
              <w:top w:val="single" w:sz="4" w:space="0" w:color="231F20"/>
              <w:bottom w:val="single" w:sz="4" w:space="0" w:color="231F20"/>
            </w:tcBorders>
          </w:tcPr>
          <w:p>
            <w:pPr>
              <w:pStyle w:val="TableParagraph"/>
              <w:spacing w:before="71"/>
              <w:ind w:left="202" w:right="68"/>
              <w:rPr>
                <w:sz w:val="19"/>
              </w:rPr>
            </w:pPr>
            <w:r>
              <w:rPr>
                <w:color w:val="231F20"/>
                <w:sz w:val="19"/>
              </w:rPr>
              <w:t>Ford Motors Co.</w:t>
            </w:r>
          </w:p>
        </w:tc>
        <w:tc>
          <w:tcPr>
            <w:tcW w:w="1619" w:type="dxa"/>
            <w:tcBorders>
              <w:top w:val="single" w:sz="4" w:space="0" w:color="231F20"/>
              <w:bottom w:val="single" w:sz="4" w:space="0" w:color="231F20"/>
            </w:tcBorders>
          </w:tcPr>
          <w:p>
            <w:pPr>
              <w:pStyle w:val="TableParagraph"/>
              <w:spacing w:before="71"/>
              <w:ind w:left="75" w:right="305"/>
              <w:rPr>
                <w:sz w:val="19"/>
              </w:rPr>
            </w:pPr>
            <w:r>
              <w:rPr>
                <w:color w:val="231F20"/>
                <w:sz w:val="19"/>
              </w:rPr>
              <w:t>General Motors</w:t>
            </w:r>
          </w:p>
        </w:tc>
        <w:tc>
          <w:tcPr>
            <w:tcW w:w="1200" w:type="dxa"/>
            <w:tcBorders>
              <w:top w:val="single" w:sz="4" w:space="0" w:color="231F20"/>
              <w:bottom w:val="single" w:sz="4" w:space="0" w:color="231F20"/>
            </w:tcBorders>
          </w:tcPr>
          <w:p>
            <w:pPr>
              <w:pStyle w:val="TableParagraph"/>
              <w:spacing w:before="71"/>
              <w:ind w:left="327"/>
              <w:jc w:val="left"/>
              <w:rPr>
                <w:sz w:val="19"/>
              </w:rPr>
            </w:pPr>
            <w:r>
              <w:rPr>
                <w:color w:val="231F20"/>
                <w:sz w:val="19"/>
              </w:rPr>
              <w:t>Total</w:t>
            </w:r>
          </w:p>
        </w:tc>
      </w:tr>
      <w:tr>
        <w:trPr>
          <w:trHeight w:val="392" w:hRule="exact"/>
        </w:trPr>
        <w:tc>
          <w:tcPr>
            <w:tcW w:w="1500" w:type="dxa"/>
            <w:tcBorders>
              <w:top w:val="single" w:sz="4" w:space="0" w:color="231F20"/>
            </w:tcBorders>
          </w:tcPr>
          <w:p>
            <w:pPr>
              <w:pStyle w:val="TableParagraph"/>
              <w:spacing w:before="48"/>
              <w:ind w:left="363" w:right="347"/>
              <w:rPr>
                <w:rFonts w:ascii="Palatino Linotype"/>
                <w:b/>
                <w:sz w:val="19"/>
              </w:rPr>
            </w:pPr>
            <w:r>
              <w:rPr>
                <w:rFonts w:ascii="Palatino Linotype"/>
                <w:b/>
                <w:color w:val="231F20"/>
                <w:sz w:val="19"/>
              </w:rPr>
              <w:t>1988</w:t>
            </w:r>
          </w:p>
        </w:tc>
        <w:tc>
          <w:tcPr>
            <w:tcW w:w="1284" w:type="dxa"/>
            <w:tcBorders>
              <w:top w:val="single" w:sz="4" w:space="0" w:color="231F20"/>
            </w:tcBorders>
          </w:tcPr>
          <w:p>
            <w:pPr>
              <w:pStyle w:val="TableParagraph"/>
              <w:spacing w:before="71"/>
              <w:ind w:left="378" w:right="212"/>
              <w:rPr>
                <w:sz w:val="19"/>
              </w:rPr>
            </w:pPr>
            <w:r>
              <w:rPr>
                <w:color w:val="231F20"/>
                <w:sz w:val="19"/>
              </w:rPr>
              <w:t>51.5</w:t>
            </w:r>
          </w:p>
        </w:tc>
        <w:tc>
          <w:tcPr>
            <w:tcW w:w="1583" w:type="dxa"/>
            <w:tcBorders>
              <w:top w:val="single" w:sz="4" w:space="0" w:color="231F20"/>
            </w:tcBorders>
          </w:tcPr>
          <w:p>
            <w:pPr>
              <w:pStyle w:val="TableParagraph"/>
              <w:spacing w:before="71"/>
              <w:ind w:left="202" w:right="68"/>
              <w:rPr>
                <w:sz w:val="19"/>
              </w:rPr>
            </w:pPr>
            <w:r>
              <w:rPr>
                <w:color w:val="231F20"/>
                <w:sz w:val="19"/>
              </w:rPr>
              <w:t>0.0</w:t>
            </w:r>
          </w:p>
        </w:tc>
        <w:tc>
          <w:tcPr>
            <w:tcW w:w="1619" w:type="dxa"/>
            <w:tcBorders>
              <w:top w:val="single" w:sz="4" w:space="0" w:color="231F20"/>
            </w:tcBorders>
          </w:tcPr>
          <w:p>
            <w:pPr>
              <w:pStyle w:val="TableParagraph"/>
              <w:spacing w:before="71"/>
              <w:ind w:left="75" w:right="305"/>
              <w:rPr>
                <w:sz w:val="19"/>
              </w:rPr>
            </w:pPr>
            <w:r>
              <w:rPr>
                <w:color w:val="231F20"/>
                <w:sz w:val="19"/>
              </w:rPr>
              <w:t>48.5</w:t>
            </w:r>
          </w:p>
        </w:tc>
        <w:tc>
          <w:tcPr>
            <w:tcW w:w="1200" w:type="dxa"/>
            <w:tcBorders>
              <w:top w:val="single" w:sz="4" w:space="0" w:color="231F20"/>
            </w:tcBorders>
          </w:tcPr>
          <w:p>
            <w:pPr>
              <w:pStyle w:val="TableParagraph"/>
              <w:spacing w:before="71"/>
              <w:ind w:left="354"/>
              <w:jc w:val="left"/>
              <w:rPr>
                <w:sz w:val="19"/>
              </w:rPr>
            </w:pPr>
            <w:r>
              <w:rPr>
                <w:color w:val="231F20"/>
                <w:sz w:val="19"/>
              </w:rPr>
              <w:t>100</w:t>
            </w:r>
          </w:p>
        </w:tc>
      </w:tr>
      <w:tr>
        <w:trPr>
          <w:trHeight w:val="368" w:hRule="exact"/>
        </w:trPr>
        <w:tc>
          <w:tcPr>
            <w:tcW w:w="1500" w:type="dxa"/>
          </w:tcPr>
          <w:p>
            <w:pPr>
              <w:pStyle w:val="TableParagraph"/>
              <w:spacing w:before="29"/>
              <w:ind w:left="363" w:right="346"/>
              <w:rPr>
                <w:rFonts w:ascii="Palatino Linotype"/>
                <w:b/>
                <w:sz w:val="19"/>
              </w:rPr>
            </w:pPr>
            <w:r>
              <w:rPr>
                <w:rFonts w:ascii="Palatino Linotype"/>
                <w:b/>
                <w:color w:val="231F20"/>
                <w:sz w:val="19"/>
              </w:rPr>
              <w:t>1989</w:t>
            </w:r>
          </w:p>
        </w:tc>
        <w:tc>
          <w:tcPr>
            <w:tcW w:w="1284" w:type="dxa"/>
          </w:tcPr>
          <w:p>
            <w:pPr>
              <w:pStyle w:val="TableParagraph"/>
              <w:spacing w:before="51"/>
              <w:ind w:left="378" w:right="211"/>
              <w:rPr>
                <w:sz w:val="19"/>
              </w:rPr>
            </w:pPr>
            <w:r>
              <w:rPr>
                <w:color w:val="231F20"/>
                <w:sz w:val="19"/>
              </w:rPr>
              <w:t>53.1</w:t>
            </w:r>
          </w:p>
        </w:tc>
        <w:tc>
          <w:tcPr>
            <w:tcW w:w="1583" w:type="dxa"/>
          </w:tcPr>
          <w:p>
            <w:pPr>
              <w:pStyle w:val="TableParagraph"/>
              <w:spacing w:before="51"/>
              <w:ind w:left="202" w:right="67"/>
              <w:rPr>
                <w:sz w:val="19"/>
              </w:rPr>
            </w:pPr>
            <w:r>
              <w:rPr>
                <w:color w:val="231F20"/>
                <w:sz w:val="19"/>
              </w:rPr>
              <w:t>0.0</w:t>
            </w:r>
          </w:p>
        </w:tc>
        <w:tc>
          <w:tcPr>
            <w:tcW w:w="1619" w:type="dxa"/>
          </w:tcPr>
          <w:p>
            <w:pPr>
              <w:pStyle w:val="TableParagraph"/>
              <w:spacing w:before="51"/>
              <w:ind w:left="75" w:right="304"/>
              <w:rPr>
                <w:sz w:val="19"/>
              </w:rPr>
            </w:pPr>
            <w:r>
              <w:rPr>
                <w:color w:val="231F20"/>
                <w:sz w:val="19"/>
              </w:rPr>
              <w:t>46.9</w:t>
            </w:r>
          </w:p>
        </w:tc>
        <w:tc>
          <w:tcPr>
            <w:tcW w:w="1200" w:type="dxa"/>
          </w:tcPr>
          <w:p>
            <w:pPr>
              <w:pStyle w:val="TableParagraph"/>
              <w:spacing w:before="51"/>
              <w:ind w:left="355"/>
              <w:jc w:val="left"/>
              <w:rPr>
                <w:sz w:val="19"/>
              </w:rPr>
            </w:pPr>
            <w:r>
              <w:rPr>
                <w:color w:val="231F20"/>
                <w:sz w:val="19"/>
              </w:rPr>
              <w:t>100</w:t>
            </w:r>
          </w:p>
        </w:tc>
      </w:tr>
      <w:tr>
        <w:trPr>
          <w:trHeight w:val="368" w:hRule="exact"/>
        </w:trPr>
        <w:tc>
          <w:tcPr>
            <w:tcW w:w="1500" w:type="dxa"/>
          </w:tcPr>
          <w:p>
            <w:pPr>
              <w:pStyle w:val="TableParagraph"/>
              <w:spacing w:before="29"/>
              <w:ind w:left="363" w:right="345"/>
              <w:rPr>
                <w:rFonts w:ascii="Palatino Linotype"/>
                <w:b/>
                <w:sz w:val="19"/>
              </w:rPr>
            </w:pPr>
            <w:r>
              <w:rPr>
                <w:rFonts w:ascii="Palatino Linotype"/>
                <w:b/>
                <w:color w:val="231F20"/>
                <w:sz w:val="19"/>
              </w:rPr>
              <w:t>1990</w:t>
            </w:r>
          </w:p>
        </w:tc>
        <w:tc>
          <w:tcPr>
            <w:tcW w:w="1284" w:type="dxa"/>
          </w:tcPr>
          <w:p>
            <w:pPr>
              <w:pStyle w:val="TableParagraph"/>
              <w:spacing w:before="51"/>
              <w:ind w:left="378" w:right="210"/>
              <w:rPr>
                <w:sz w:val="19"/>
              </w:rPr>
            </w:pPr>
            <w:r>
              <w:rPr>
                <w:color w:val="231F20"/>
                <w:sz w:val="19"/>
              </w:rPr>
              <w:t>45.8</w:t>
            </w:r>
          </w:p>
        </w:tc>
        <w:tc>
          <w:tcPr>
            <w:tcW w:w="1583" w:type="dxa"/>
          </w:tcPr>
          <w:p>
            <w:pPr>
              <w:pStyle w:val="TableParagraph"/>
              <w:spacing w:before="51"/>
              <w:ind w:left="202" w:right="66"/>
              <w:rPr>
                <w:sz w:val="19"/>
              </w:rPr>
            </w:pPr>
            <w:r>
              <w:rPr>
                <w:color w:val="231F20"/>
                <w:sz w:val="19"/>
              </w:rPr>
              <w:t>0.0</w:t>
            </w:r>
          </w:p>
        </w:tc>
        <w:tc>
          <w:tcPr>
            <w:tcW w:w="1619" w:type="dxa"/>
          </w:tcPr>
          <w:p>
            <w:pPr>
              <w:pStyle w:val="TableParagraph"/>
              <w:spacing w:before="51"/>
              <w:ind w:left="75" w:right="303"/>
              <w:rPr>
                <w:sz w:val="19"/>
              </w:rPr>
            </w:pPr>
            <w:r>
              <w:rPr>
                <w:color w:val="231F20"/>
                <w:sz w:val="19"/>
              </w:rPr>
              <w:t>54.2</w:t>
            </w:r>
          </w:p>
        </w:tc>
        <w:tc>
          <w:tcPr>
            <w:tcW w:w="1200" w:type="dxa"/>
          </w:tcPr>
          <w:p>
            <w:pPr>
              <w:pStyle w:val="TableParagraph"/>
              <w:spacing w:before="51"/>
              <w:ind w:left="355"/>
              <w:jc w:val="left"/>
              <w:rPr>
                <w:sz w:val="19"/>
              </w:rPr>
            </w:pPr>
            <w:r>
              <w:rPr>
                <w:color w:val="231F20"/>
                <w:sz w:val="19"/>
              </w:rPr>
              <w:t>100</w:t>
            </w:r>
          </w:p>
        </w:tc>
      </w:tr>
      <w:tr>
        <w:trPr>
          <w:trHeight w:val="368" w:hRule="exact"/>
        </w:trPr>
        <w:tc>
          <w:tcPr>
            <w:tcW w:w="1500" w:type="dxa"/>
          </w:tcPr>
          <w:p>
            <w:pPr>
              <w:pStyle w:val="TableParagraph"/>
              <w:spacing w:before="29"/>
              <w:ind w:left="363" w:right="344"/>
              <w:rPr>
                <w:rFonts w:ascii="Palatino Linotype"/>
                <w:b/>
                <w:sz w:val="19"/>
              </w:rPr>
            </w:pPr>
            <w:r>
              <w:rPr>
                <w:rFonts w:ascii="Palatino Linotype"/>
                <w:b/>
                <w:color w:val="231F20"/>
                <w:sz w:val="19"/>
              </w:rPr>
              <w:t>1991</w:t>
            </w:r>
          </w:p>
        </w:tc>
        <w:tc>
          <w:tcPr>
            <w:tcW w:w="1284" w:type="dxa"/>
          </w:tcPr>
          <w:p>
            <w:pPr>
              <w:pStyle w:val="TableParagraph"/>
              <w:spacing w:before="51"/>
              <w:ind w:left="378" w:right="209"/>
              <w:rPr>
                <w:sz w:val="19"/>
              </w:rPr>
            </w:pPr>
            <w:r>
              <w:rPr>
                <w:color w:val="231F20"/>
                <w:sz w:val="19"/>
              </w:rPr>
              <w:t>51.1</w:t>
            </w:r>
          </w:p>
        </w:tc>
        <w:tc>
          <w:tcPr>
            <w:tcW w:w="1583" w:type="dxa"/>
          </w:tcPr>
          <w:p>
            <w:pPr>
              <w:pStyle w:val="TableParagraph"/>
              <w:spacing w:before="51"/>
              <w:ind w:left="202" w:right="66"/>
              <w:rPr>
                <w:sz w:val="19"/>
              </w:rPr>
            </w:pPr>
            <w:r>
              <w:rPr>
                <w:color w:val="231F20"/>
                <w:sz w:val="19"/>
              </w:rPr>
              <w:t>0.0</w:t>
            </w:r>
          </w:p>
        </w:tc>
        <w:tc>
          <w:tcPr>
            <w:tcW w:w="1619" w:type="dxa"/>
          </w:tcPr>
          <w:p>
            <w:pPr>
              <w:pStyle w:val="TableParagraph"/>
              <w:spacing w:before="51"/>
              <w:ind w:left="75" w:right="303"/>
              <w:rPr>
                <w:sz w:val="19"/>
              </w:rPr>
            </w:pPr>
            <w:r>
              <w:rPr>
                <w:color w:val="231F20"/>
                <w:sz w:val="19"/>
              </w:rPr>
              <w:t>48.9</w:t>
            </w:r>
          </w:p>
        </w:tc>
        <w:tc>
          <w:tcPr>
            <w:tcW w:w="1200" w:type="dxa"/>
          </w:tcPr>
          <w:p>
            <w:pPr>
              <w:pStyle w:val="TableParagraph"/>
              <w:spacing w:before="51"/>
              <w:ind w:left="355"/>
              <w:jc w:val="left"/>
              <w:rPr>
                <w:sz w:val="19"/>
              </w:rPr>
            </w:pPr>
            <w:r>
              <w:rPr>
                <w:color w:val="231F20"/>
                <w:sz w:val="19"/>
              </w:rPr>
              <w:t>100</w:t>
            </w:r>
          </w:p>
        </w:tc>
      </w:tr>
      <w:tr>
        <w:trPr>
          <w:trHeight w:val="368" w:hRule="exact"/>
        </w:trPr>
        <w:tc>
          <w:tcPr>
            <w:tcW w:w="1500" w:type="dxa"/>
          </w:tcPr>
          <w:p>
            <w:pPr>
              <w:pStyle w:val="TableParagraph"/>
              <w:spacing w:before="29"/>
              <w:ind w:left="363" w:right="344"/>
              <w:rPr>
                <w:rFonts w:ascii="Palatino Linotype"/>
                <w:b/>
                <w:sz w:val="19"/>
              </w:rPr>
            </w:pPr>
            <w:r>
              <w:rPr>
                <w:rFonts w:ascii="Palatino Linotype"/>
                <w:b/>
                <w:color w:val="231F20"/>
                <w:sz w:val="19"/>
              </w:rPr>
              <w:t>1992</w:t>
            </w:r>
          </w:p>
        </w:tc>
        <w:tc>
          <w:tcPr>
            <w:tcW w:w="1284" w:type="dxa"/>
          </w:tcPr>
          <w:p>
            <w:pPr>
              <w:pStyle w:val="TableParagraph"/>
              <w:spacing w:before="51"/>
              <w:ind w:left="378" w:right="209"/>
              <w:rPr>
                <w:sz w:val="19"/>
              </w:rPr>
            </w:pPr>
            <w:r>
              <w:rPr>
                <w:color w:val="231F20"/>
                <w:sz w:val="19"/>
              </w:rPr>
              <w:t>67.6</w:t>
            </w:r>
          </w:p>
        </w:tc>
        <w:tc>
          <w:tcPr>
            <w:tcW w:w="1583" w:type="dxa"/>
          </w:tcPr>
          <w:p>
            <w:pPr>
              <w:pStyle w:val="TableParagraph"/>
              <w:spacing w:before="51"/>
              <w:ind w:left="202" w:right="65"/>
              <w:rPr>
                <w:sz w:val="19"/>
              </w:rPr>
            </w:pPr>
            <w:r>
              <w:rPr>
                <w:color w:val="231F20"/>
                <w:sz w:val="19"/>
              </w:rPr>
              <w:t>0.0</w:t>
            </w:r>
          </w:p>
        </w:tc>
        <w:tc>
          <w:tcPr>
            <w:tcW w:w="1619" w:type="dxa"/>
          </w:tcPr>
          <w:p>
            <w:pPr>
              <w:pStyle w:val="TableParagraph"/>
              <w:spacing w:before="51"/>
              <w:ind w:left="75" w:right="302"/>
              <w:rPr>
                <w:sz w:val="19"/>
              </w:rPr>
            </w:pPr>
            <w:r>
              <w:rPr>
                <w:color w:val="231F20"/>
                <w:sz w:val="19"/>
              </w:rPr>
              <w:t>32.4</w:t>
            </w:r>
          </w:p>
        </w:tc>
        <w:tc>
          <w:tcPr>
            <w:tcW w:w="1200" w:type="dxa"/>
          </w:tcPr>
          <w:p>
            <w:pPr>
              <w:pStyle w:val="TableParagraph"/>
              <w:spacing w:before="51"/>
              <w:ind w:left="356"/>
              <w:jc w:val="left"/>
              <w:rPr>
                <w:sz w:val="19"/>
              </w:rPr>
            </w:pPr>
            <w:r>
              <w:rPr>
                <w:color w:val="231F20"/>
                <w:sz w:val="19"/>
              </w:rPr>
              <w:t>100</w:t>
            </w:r>
          </w:p>
        </w:tc>
      </w:tr>
      <w:tr>
        <w:trPr>
          <w:trHeight w:val="368" w:hRule="exact"/>
        </w:trPr>
        <w:tc>
          <w:tcPr>
            <w:tcW w:w="1500" w:type="dxa"/>
          </w:tcPr>
          <w:p>
            <w:pPr>
              <w:pStyle w:val="TableParagraph"/>
              <w:spacing w:before="29"/>
              <w:ind w:left="363" w:right="343"/>
              <w:rPr>
                <w:rFonts w:ascii="Palatino Linotype"/>
                <w:b/>
                <w:sz w:val="19"/>
              </w:rPr>
            </w:pPr>
            <w:r>
              <w:rPr>
                <w:rFonts w:ascii="Palatino Linotype"/>
                <w:b/>
                <w:color w:val="231F20"/>
                <w:sz w:val="19"/>
              </w:rPr>
              <w:t>1993</w:t>
            </w:r>
          </w:p>
        </w:tc>
        <w:tc>
          <w:tcPr>
            <w:tcW w:w="1284" w:type="dxa"/>
          </w:tcPr>
          <w:p>
            <w:pPr>
              <w:pStyle w:val="TableParagraph"/>
              <w:spacing w:before="51"/>
              <w:ind w:left="378" w:right="208"/>
              <w:rPr>
                <w:sz w:val="19"/>
              </w:rPr>
            </w:pPr>
            <w:r>
              <w:rPr>
                <w:color w:val="231F20"/>
                <w:sz w:val="19"/>
              </w:rPr>
              <w:t>66.1</w:t>
            </w:r>
          </w:p>
        </w:tc>
        <w:tc>
          <w:tcPr>
            <w:tcW w:w="1583" w:type="dxa"/>
          </w:tcPr>
          <w:p>
            <w:pPr>
              <w:pStyle w:val="TableParagraph"/>
              <w:spacing w:before="51"/>
              <w:ind w:left="202" w:right="64"/>
              <w:rPr>
                <w:sz w:val="19"/>
              </w:rPr>
            </w:pPr>
            <w:r>
              <w:rPr>
                <w:color w:val="231F20"/>
                <w:sz w:val="19"/>
              </w:rPr>
              <w:t>0.0</w:t>
            </w:r>
          </w:p>
        </w:tc>
        <w:tc>
          <w:tcPr>
            <w:tcW w:w="1619" w:type="dxa"/>
          </w:tcPr>
          <w:p>
            <w:pPr>
              <w:pStyle w:val="TableParagraph"/>
              <w:spacing w:before="51"/>
              <w:ind w:left="75" w:right="301"/>
              <w:rPr>
                <w:sz w:val="19"/>
              </w:rPr>
            </w:pPr>
            <w:r>
              <w:rPr>
                <w:color w:val="231F20"/>
                <w:sz w:val="19"/>
              </w:rPr>
              <w:t>33.9</w:t>
            </w:r>
          </w:p>
        </w:tc>
        <w:tc>
          <w:tcPr>
            <w:tcW w:w="1200" w:type="dxa"/>
          </w:tcPr>
          <w:p>
            <w:pPr>
              <w:pStyle w:val="TableParagraph"/>
              <w:spacing w:before="51"/>
              <w:ind w:left="356"/>
              <w:jc w:val="left"/>
              <w:rPr>
                <w:sz w:val="19"/>
              </w:rPr>
            </w:pPr>
            <w:r>
              <w:rPr>
                <w:color w:val="231F20"/>
                <w:sz w:val="19"/>
              </w:rPr>
              <w:t>100</w:t>
            </w:r>
          </w:p>
        </w:tc>
      </w:tr>
      <w:tr>
        <w:trPr>
          <w:trHeight w:val="368" w:hRule="exact"/>
        </w:trPr>
        <w:tc>
          <w:tcPr>
            <w:tcW w:w="1500" w:type="dxa"/>
          </w:tcPr>
          <w:p>
            <w:pPr>
              <w:pStyle w:val="TableParagraph"/>
              <w:spacing w:before="29"/>
              <w:ind w:left="363" w:right="342"/>
              <w:rPr>
                <w:rFonts w:ascii="Palatino Linotype"/>
                <w:b/>
                <w:sz w:val="19"/>
              </w:rPr>
            </w:pPr>
            <w:r>
              <w:rPr>
                <w:rFonts w:ascii="Palatino Linotype"/>
                <w:b/>
                <w:color w:val="231F20"/>
                <w:sz w:val="19"/>
              </w:rPr>
              <w:t>1994</w:t>
            </w:r>
          </w:p>
        </w:tc>
        <w:tc>
          <w:tcPr>
            <w:tcW w:w="1284" w:type="dxa"/>
          </w:tcPr>
          <w:p>
            <w:pPr>
              <w:pStyle w:val="TableParagraph"/>
              <w:spacing w:before="51"/>
              <w:ind w:left="378" w:right="207"/>
              <w:rPr>
                <w:sz w:val="19"/>
              </w:rPr>
            </w:pPr>
            <w:r>
              <w:rPr>
                <w:color w:val="231F20"/>
                <w:sz w:val="19"/>
              </w:rPr>
              <w:t>44.2</w:t>
            </w:r>
          </w:p>
        </w:tc>
        <w:tc>
          <w:tcPr>
            <w:tcW w:w="1583" w:type="dxa"/>
          </w:tcPr>
          <w:p>
            <w:pPr>
              <w:pStyle w:val="TableParagraph"/>
              <w:spacing w:before="51"/>
              <w:ind w:left="202" w:right="63"/>
              <w:rPr>
                <w:sz w:val="19"/>
              </w:rPr>
            </w:pPr>
            <w:r>
              <w:rPr>
                <w:color w:val="231F20"/>
                <w:sz w:val="19"/>
              </w:rPr>
              <w:t>35.7</w:t>
            </w:r>
          </w:p>
        </w:tc>
        <w:tc>
          <w:tcPr>
            <w:tcW w:w="1619" w:type="dxa"/>
          </w:tcPr>
          <w:p>
            <w:pPr>
              <w:pStyle w:val="TableParagraph"/>
              <w:spacing w:before="51"/>
              <w:ind w:left="75" w:right="300"/>
              <w:rPr>
                <w:sz w:val="19"/>
              </w:rPr>
            </w:pPr>
            <w:r>
              <w:rPr>
                <w:color w:val="231F20"/>
                <w:sz w:val="19"/>
              </w:rPr>
              <w:t>20.1</w:t>
            </w:r>
          </w:p>
        </w:tc>
        <w:tc>
          <w:tcPr>
            <w:tcW w:w="1200" w:type="dxa"/>
          </w:tcPr>
          <w:p>
            <w:pPr>
              <w:pStyle w:val="TableParagraph"/>
              <w:spacing w:before="51"/>
              <w:ind w:left="357"/>
              <w:jc w:val="left"/>
              <w:rPr>
                <w:sz w:val="19"/>
              </w:rPr>
            </w:pPr>
            <w:r>
              <w:rPr>
                <w:color w:val="231F20"/>
                <w:sz w:val="19"/>
              </w:rPr>
              <w:t>100</w:t>
            </w:r>
          </w:p>
        </w:tc>
      </w:tr>
      <w:tr>
        <w:trPr>
          <w:trHeight w:val="368" w:hRule="exact"/>
        </w:trPr>
        <w:tc>
          <w:tcPr>
            <w:tcW w:w="1500" w:type="dxa"/>
          </w:tcPr>
          <w:p>
            <w:pPr>
              <w:pStyle w:val="TableParagraph"/>
              <w:spacing w:before="29"/>
              <w:ind w:left="363" w:right="341"/>
              <w:rPr>
                <w:rFonts w:ascii="Palatino Linotype"/>
                <w:b/>
                <w:sz w:val="19"/>
              </w:rPr>
            </w:pPr>
            <w:r>
              <w:rPr>
                <w:rFonts w:ascii="Palatino Linotype"/>
                <w:b/>
                <w:color w:val="231F20"/>
                <w:sz w:val="19"/>
              </w:rPr>
              <w:t>1995</w:t>
            </w:r>
          </w:p>
        </w:tc>
        <w:tc>
          <w:tcPr>
            <w:tcW w:w="1284" w:type="dxa"/>
          </w:tcPr>
          <w:p>
            <w:pPr>
              <w:pStyle w:val="TableParagraph"/>
              <w:spacing w:before="51"/>
              <w:ind w:left="378" w:right="206"/>
              <w:rPr>
                <w:sz w:val="19"/>
              </w:rPr>
            </w:pPr>
            <w:r>
              <w:rPr>
                <w:color w:val="231F20"/>
                <w:sz w:val="19"/>
              </w:rPr>
              <w:t>0.1</w:t>
            </w:r>
          </w:p>
        </w:tc>
        <w:tc>
          <w:tcPr>
            <w:tcW w:w="1583" w:type="dxa"/>
          </w:tcPr>
          <w:p>
            <w:pPr>
              <w:pStyle w:val="TableParagraph"/>
              <w:spacing w:before="51"/>
              <w:ind w:left="202" w:right="62"/>
              <w:rPr>
                <w:sz w:val="19"/>
              </w:rPr>
            </w:pPr>
            <w:r>
              <w:rPr>
                <w:color w:val="231F20"/>
                <w:sz w:val="19"/>
              </w:rPr>
              <w:t>99.9</w:t>
            </w:r>
          </w:p>
        </w:tc>
        <w:tc>
          <w:tcPr>
            <w:tcW w:w="1619" w:type="dxa"/>
          </w:tcPr>
          <w:p>
            <w:pPr>
              <w:pStyle w:val="TableParagraph"/>
              <w:spacing w:before="51"/>
              <w:ind w:left="75" w:right="300"/>
              <w:rPr>
                <w:sz w:val="19"/>
              </w:rPr>
            </w:pPr>
            <w:r>
              <w:rPr>
                <w:color w:val="231F20"/>
                <w:sz w:val="19"/>
              </w:rPr>
              <w:t>0.0</w:t>
            </w:r>
          </w:p>
        </w:tc>
        <w:tc>
          <w:tcPr>
            <w:tcW w:w="1200" w:type="dxa"/>
          </w:tcPr>
          <w:p>
            <w:pPr>
              <w:pStyle w:val="TableParagraph"/>
              <w:spacing w:before="51"/>
              <w:ind w:left="357"/>
              <w:jc w:val="left"/>
              <w:rPr>
                <w:sz w:val="19"/>
              </w:rPr>
            </w:pPr>
            <w:r>
              <w:rPr>
                <w:color w:val="231F20"/>
                <w:sz w:val="19"/>
              </w:rPr>
              <w:t>100</w:t>
            </w:r>
          </w:p>
        </w:tc>
      </w:tr>
      <w:tr>
        <w:trPr>
          <w:trHeight w:val="368" w:hRule="exact"/>
        </w:trPr>
        <w:tc>
          <w:tcPr>
            <w:tcW w:w="1500" w:type="dxa"/>
          </w:tcPr>
          <w:p>
            <w:pPr>
              <w:pStyle w:val="TableParagraph"/>
              <w:spacing w:before="29"/>
              <w:ind w:left="363" w:right="341"/>
              <w:rPr>
                <w:rFonts w:ascii="Palatino Linotype"/>
                <w:b/>
                <w:sz w:val="19"/>
              </w:rPr>
            </w:pPr>
            <w:r>
              <w:rPr>
                <w:rFonts w:ascii="Palatino Linotype"/>
                <w:b/>
                <w:color w:val="231F20"/>
                <w:sz w:val="19"/>
              </w:rPr>
              <w:t>1996</w:t>
            </w:r>
          </w:p>
        </w:tc>
        <w:tc>
          <w:tcPr>
            <w:tcW w:w="1284" w:type="dxa"/>
          </w:tcPr>
          <w:p>
            <w:pPr>
              <w:pStyle w:val="TableParagraph"/>
              <w:spacing w:before="51"/>
              <w:ind w:left="378" w:right="205"/>
              <w:rPr>
                <w:sz w:val="19"/>
              </w:rPr>
            </w:pPr>
            <w:r>
              <w:rPr>
                <w:color w:val="231F20"/>
                <w:sz w:val="19"/>
              </w:rPr>
              <w:t>24.3</w:t>
            </w:r>
          </w:p>
        </w:tc>
        <w:tc>
          <w:tcPr>
            <w:tcW w:w="1583" w:type="dxa"/>
          </w:tcPr>
          <w:p>
            <w:pPr>
              <w:pStyle w:val="TableParagraph"/>
              <w:spacing w:before="51"/>
              <w:ind w:left="202" w:right="62"/>
              <w:rPr>
                <w:sz w:val="19"/>
              </w:rPr>
            </w:pPr>
            <w:r>
              <w:rPr>
                <w:color w:val="231F20"/>
                <w:sz w:val="19"/>
              </w:rPr>
              <w:t>74.8</w:t>
            </w:r>
          </w:p>
        </w:tc>
        <w:tc>
          <w:tcPr>
            <w:tcW w:w="1619" w:type="dxa"/>
          </w:tcPr>
          <w:p>
            <w:pPr>
              <w:pStyle w:val="TableParagraph"/>
              <w:spacing w:before="51"/>
              <w:ind w:left="75" w:right="299"/>
              <w:rPr>
                <w:sz w:val="19"/>
              </w:rPr>
            </w:pPr>
            <w:r>
              <w:rPr>
                <w:color w:val="231F20"/>
                <w:sz w:val="19"/>
              </w:rPr>
              <w:t>0.9</w:t>
            </w:r>
          </w:p>
        </w:tc>
        <w:tc>
          <w:tcPr>
            <w:tcW w:w="1200" w:type="dxa"/>
          </w:tcPr>
          <w:p>
            <w:pPr>
              <w:pStyle w:val="TableParagraph"/>
              <w:spacing w:before="51"/>
              <w:ind w:left="357"/>
              <w:jc w:val="left"/>
              <w:rPr>
                <w:sz w:val="19"/>
              </w:rPr>
            </w:pPr>
            <w:r>
              <w:rPr>
                <w:color w:val="231F20"/>
                <w:sz w:val="19"/>
              </w:rPr>
              <w:t>100</w:t>
            </w:r>
          </w:p>
        </w:tc>
      </w:tr>
      <w:tr>
        <w:trPr>
          <w:trHeight w:val="368" w:hRule="exact"/>
        </w:trPr>
        <w:tc>
          <w:tcPr>
            <w:tcW w:w="1500" w:type="dxa"/>
          </w:tcPr>
          <w:p>
            <w:pPr>
              <w:pStyle w:val="TableParagraph"/>
              <w:spacing w:before="29"/>
              <w:ind w:left="363" w:right="340"/>
              <w:rPr>
                <w:rFonts w:ascii="Palatino Linotype"/>
                <w:b/>
                <w:sz w:val="19"/>
              </w:rPr>
            </w:pPr>
            <w:r>
              <w:rPr>
                <w:rFonts w:ascii="Palatino Linotype"/>
                <w:b/>
                <w:color w:val="231F20"/>
                <w:sz w:val="19"/>
              </w:rPr>
              <w:t>1997</w:t>
            </w:r>
          </w:p>
        </w:tc>
        <w:tc>
          <w:tcPr>
            <w:tcW w:w="1284" w:type="dxa"/>
          </w:tcPr>
          <w:p>
            <w:pPr>
              <w:pStyle w:val="TableParagraph"/>
              <w:spacing w:before="51"/>
              <w:ind w:left="378" w:right="205"/>
              <w:rPr>
                <w:sz w:val="19"/>
              </w:rPr>
            </w:pPr>
            <w:r>
              <w:rPr>
                <w:color w:val="231F20"/>
                <w:sz w:val="19"/>
              </w:rPr>
              <w:t>19.5</w:t>
            </w:r>
          </w:p>
        </w:tc>
        <w:tc>
          <w:tcPr>
            <w:tcW w:w="1583" w:type="dxa"/>
          </w:tcPr>
          <w:p>
            <w:pPr>
              <w:pStyle w:val="TableParagraph"/>
              <w:spacing w:before="51"/>
              <w:ind w:left="202" w:right="61"/>
              <w:rPr>
                <w:sz w:val="19"/>
              </w:rPr>
            </w:pPr>
            <w:r>
              <w:rPr>
                <w:color w:val="231F20"/>
                <w:sz w:val="19"/>
              </w:rPr>
              <w:t>79.3</w:t>
            </w:r>
          </w:p>
        </w:tc>
        <w:tc>
          <w:tcPr>
            <w:tcW w:w="1619" w:type="dxa"/>
          </w:tcPr>
          <w:p>
            <w:pPr>
              <w:pStyle w:val="TableParagraph"/>
              <w:spacing w:before="51"/>
              <w:ind w:left="75" w:right="298"/>
              <w:rPr>
                <w:sz w:val="19"/>
              </w:rPr>
            </w:pPr>
            <w:r>
              <w:rPr>
                <w:color w:val="231F20"/>
                <w:sz w:val="19"/>
              </w:rPr>
              <w:t>1.2</w:t>
            </w:r>
          </w:p>
        </w:tc>
        <w:tc>
          <w:tcPr>
            <w:tcW w:w="1200" w:type="dxa"/>
          </w:tcPr>
          <w:p>
            <w:pPr>
              <w:pStyle w:val="TableParagraph"/>
              <w:spacing w:before="51"/>
              <w:ind w:left="358"/>
              <w:jc w:val="left"/>
              <w:rPr>
                <w:sz w:val="19"/>
              </w:rPr>
            </w:pPr>
            <w:r>
              <w:rPr>
                <w:color w:val="231F20"/>
                <w:sz w:val="19"/>
              </w:rPr>
              <w:t>100</w:t>
            </w:r>
          </w:p>
        </w:tc>
      </w:tr>
      <w:tr>
        <w:trPr>
          <w:trHeight w:val="368" w:hRule="exact"/>
        </w:trPr>
        <w:tc>
          <w:tcPr>
            <w:tcW w:w="1500" w:type="dxa"/>
          </w:tcPr>
          <w:p>
            <w:pPr>
              <w:pStyle w:val="TableParagraph"/>
              <w:spacing w:before="29"/>
              <w:ind w:left="363" w:right="339"/>
              <w:rPr>
                <w:rFonts w:ascii="Palatino Linotype"/>
                <w:b/>
                <w:sz w:val="19"/>
              </w:rPr>
            </w:pPr>
            <w:r>
              <w:rPr>
                <w:rFonts w:ascii="Palatino Linotype"/>
                <w:b/>
                <w:color w:val="231F20"/>
                <w:sz w:val="19"/>
              </w:rPr>
              <w:t>1998</w:t>
            </w:r>
          </w:p>
        </w:tc>
        <w:tc>
          <w:tcPr>
            <w:tcW w:w="1284" w:type="dxa"/>
          </w:tcPr>
          <w:p>
            <w:pPr>
              <w:pStyle w:val="TableParagraph"/>
              <w:spacing w:before="51"/>
              <w:ind w:left="378" w:right="204"/>
              <w:rPr>
                <w:sz w:val="19"/>
              </w:rPr>
            </w:pPr>
            <w:r>
              <w:rPr>
                <w:color w:val="231F20"/>
                <w:sz w:val="19"/>
              </w:rPr>
              <w:t>25.8</w:t>
            </w:r>
          </w:p>
        </w:tc>
        <w:tc>
          <w:tcPr>
            <w:tcW w:w="1583" w:type="dxa"/>
          </w:tcPr>
          <w:p>
            <w:pPr>
              <w:pStyle w:val="TableParagraph"/>
              <w:spacing w:before="51"/>
              <w:ind w:left="202" w:right="60"/>
              <w:rPr>
                <w:sz w:val="19"/>
              </w:rPr>
            </w:pPr>
            <w:r>
              <w:rPr>
                <w:color w:val="231F20"/>
                <w:sz w:val="19"/>
              </w:rPr>
              <w:t>70.1</w:t>
            </w:r>
          </w:p>
        </w:tc>
        <w:tc>
          <w:tcPr>
            <w:tcW w:w="1619" w:type="dxa"/>
          </w:tcPr>
          <w:p>
            <w:pPr>
              <w:pStyle w:val="TableParagraph"/>
              <w:spacing w:before="51"/>
              <w:ind w:left="75" w:right="297"/>
              <w:rPr>
                <w:sz w:val="19"/>
              </w:rPr>
            </w:pPr>
            <w:r>
              <w:rPr>
                <w:color w:val="231F20"/>
                <w:sz w:val="19"/>
              </w:rPr>
              <w:t>4.1</w:t>
            </w:r>
          </w:p>
        </w:tc>
        <w:tc>
          <w:tcPr>
            <w:tcW w:w="1200" w:type="dxa"/>
          </w:tcPr>
          <w:p>
            <w:pPr>
              <w:pStyle w:val="TableParagraph"/>
              <w:spacing w:before="51"/>
              <w:ind w:left="358"/>
              <w:jc w:val="left"/>
              <w:rPr>
                <w:sz w:val="19"/>
              </w:rPr>
            </w:pPr>
            <w:r>
              <w:rPr>
                <w:color w:val="231F20"/>
                <w:sz w:val="19"/>
              </w:rPr>
              <w:t>100</w:t>
            </w:r>
          </w:p>
        </w:tc>
      </w:tr>
      <w:tr>
        <w:trPr>
          <w:trHeight w:val="368" w:hRule="exact"/>
        </w:trPr>
        <w:tc>
          <w:tcPr>
            <w:tcW w:w="1500" w:type="dxa"/>
          </w:tcPr>
          <w:p>
            <w:pPr>
              <w:pStyle w:val="TableParagraph"/>
              <w:spacing w:before="29"/>
              <w:ind w:left="363" w:right="338"/>
              <w:rPr>
                <w:rFonts w:ascii="Palatino Linotype"/>
                <w:b/>
                <w:sz w:val="19"/>
              </w:rPr>
            </w:pPr>
            <w:r>
              <w:rPr>
                <w:rFonts w:ascii="Palatino Linotype"/>
                <w:b/>
                <w:color w:val="231F20"/>
                <w:sz w:val="19"/>
              </w:rPr>
              <w:t>1999</w:t>
            </w:r>
          </w:p>
        </w:tc>
        <w:tc>
          <w:tcPr>
            <w:tcW w:w="1284" w:type="dxa"/>
          </w:tcPr>
          <w:p>
            <w:pPr>
              <w:pStyle w:val="TableParagraph"/>
              <w:spacing w:before="51"/>
              <w:ind w:left="378" w:right="203"/>
              <w:rPr>
                <w:sz w:val="19"/>
              </w:rPr>
            </w:pPr>
            <w:r>
              <w:rPr>
                <w:color w:val="231F20"/>
                <w:sz w:val="19"/>
              </w:rPr>
              <w:t>0.4</w:t>
            </w:r>
          </w:p>
        </w:tc>
        <w:tc>
          <w:tcPr>
            <w:tcW w:w="1583" w:type="dxa"/>
          </w:tcPr>
          <w:p>
            <w:pPr>
              <w:pStyle w:val="TableParagraph"/>
              <w:spacing w:before="51"/>
              <w:ind w:left="202" w:right="59"/>
              <w:rPr>
                <w:sz w:val="19"/>
              </w:rPr>
            </w:pPr>
            <w:r>
              <w:rPr>
                <w:color w:val="231F20"/>
                <w:sz w:val="19"/>
              </w:rPr>
              <w:t>69.5</w:t>
            </w:r>
          </w:p>
        </w:tc>
        <w:tc>
          <w:tcPr>
            <w:tcW w:w="1619" w:type="dxa"/>
          </w:tcPr>
          <w:p>
            <w:pPr>
              <w:pStyle w:val="TableParagraph"/>
              <w:spacing w:before="51"/>
              <w:ind w:left="75" w:right="297"/>
              <w:rPr>
                <w:sz w:val="19"/>
              </w:rPr>
            </w:pPr>
            <w:r>
              <w:rPr>
                <w:color w:val="231F20"/>
                <w:sz w:val="19"/>
              </w:rPr>
              <w:t>30.0</w:t>
            </w:r>
          </w:p>
        </w:tc>
        <w:tc>
          <w:tcPr>
            <w:tcW w:w="1200" w:type="dxa"/>
          </w:tcPr>
          <w:p>
            <w:pPr>
              <w:pStyle w:val="TableParagraph"/>
              <w:spacing w:before="51"/>
              <w:ind w:left="358"/>
              <w:jc w:val="left"/>
              <w:rPr>
                <w:sz w:val="19"/>
              </w:rPr>
            </w:pPr>
            <w:r>
              <w:rPr>
                <w:color w:val="231F20"/>
                <w:sz w:val="19"/>
              </w:rPr>
              <w:t>100</w:t>
            </w:r>
          </w:p>
        </w:tc>
      </w:tr>
      <w:tr>
        <w:trPr>
          <w:trHeight w:val="368" w:hRule="exact"/>
        </w:trPr>
        <w:tc>
          <w:tcPr>
            <w:tcW w:w="1500" w:type="dxa"/>
          </w:tcPr>
          <w:p>
            <w:pPr>
              <w:pStyle w:val="TableParagraph"/>
              <w:spacing w:before="29"/>
              <w:ind w:left="363" w:right="337"/>
              <w:rPr>
                <w:rFonts w:ascii="Palatino Linotype"/>
                <w:b/>
                <w:sz w:val="19"/>
              </w:rPr>
            </w:pPr>
            <w:r>
              <w:rPr>
                <w:rFonts w:ascii="Palatino Linotype"/>
                <w:b/>
                <w:color w:val="231F20"/>
                <w:sz w:val="19"/>
              </w:rPr>
              <w:t>2000</w:t>
            </w:r>
          </w:p>
        </w:tc>
        <w:tc>
          <w:tcPr>
            <w:tcW w:w="1284" w:type="dxa"/>
          </w:tcPr>
          <w:p>
            <w:pPr>
              <w:pStyle w:val="TableParagraph"/>
              <w:spacing w:before="51"/>
              <w:ind w:left="378" w:right="202"/>
              <w:rPr>
                <w:sz w:val="19"/>
              </w:rPr>
            </w:pPr>
            <w:r>
              <w:rPr>
                <w:color w:val="231F20"/>
                <w:sz w:val="19"/>
              </w:rPr>
              <w:t>67.9</w:t>
            </w:r>
          </w:p>
        </w:tc>
        <w:tc>
          <w:tcPr>
            <w:tcW w:w="1583" w:type="dxa"/>
          </w:tcPr>
          <w:p>
            <w:pPr>
              <w:pStyle w:val="TableParagraph"/>
              <w:spacing w:before="51"/>
              <w:ind w:left="202" w:right="59"/>
              <w:rPr>
                <w:sz w:val="19"/>
              </w:rPr>
            </w:pPr>
            <w:r>
              <w:rPr>
                <w:color w:val="231F20"/>
                <w:sz w:val="19"/>
              </w:rPr>
              <w:t>23.9</w:t>
            </w:r>
          </w:p>
        </w:tc>
        <w:tc>
          <w:tcPr>
            <w:tcW w:w="1619" w:type="dxa"/>
          </w:tcPr>
          <w:p>
            <w:pPr>
              <w:pStyle w:val="TableParagraph"/>
              <w:spacing w:before="51"/>
              <w:ind w:left="75" w:right="296"/>
              <w:rPr>
                <w:sz w:val="19"/>
              </w:rPr>
            </w:pPr>
            <w:r>
              <w:rPr>
                <w:color w:val="231F20"/>
                <w:sz w:val="19"/>
              </w:rPr>
              <w:t>8.3</w:t>
            </w:r>
          </w:p>
        </w:tc>
        <w:tc>
          <w:tcPr>
            <w:tcW w:w="1200" w:type="dxa"/>
          </w:tcPr>
          <w:p>
            <w:pPr>
              <w:pStyle w:val="TableParagraph"/>
              <w:spacing w:before="51"/>
              <w:ind w:left="359"/>
              <w:jc w:val="left"/>
              <w:rPr>
                <w:sz w:val="19"/>
              </w:rPr>
            </w:pPr>
            <w:r>
              <w:rPr>
                <w:color w:val="231F20"/>
                <w:sz w:val="19"/>
              </w:rPr>
              <w:t>100</w:t>
            </w:r>
          </w:p>
        </w:tc>
      </w:tr>
      <w:tr>
        <w:trPr>
          <w:trHeight w:val="368" w:hRule="exact"/>
        </w:trPr>
        <w:tc>
          <w:tcPr>
            <w:tcW w:w="1500" w:type="dxa"/>
          </w:tcPr>
          <w:p>
            <w:pPr>
              <w:pStyle w:val="TableParagraph"/>
              <w:spacing w:before="29"/>
              <w:ind w:left="363" w:right="337"/>
              <w:rPr>
                <w:rFonts w:ascii="Palatino Linotype"/>
                <w:b/>
                <w:sz w:val="19"/>
              </w:rPr>
            </w:pPr>
            <w:r>
              <w:rPr>
                <w:rFonts w:ascii="Palatino Linotype"/>
                <w:b/>
                <w:color w:val="231F20"/>
                <w:sz w:val="19"/>
              </w:rPr>
              <w:t>2001</w:t>
            </w:r>
          </w:p>
        </w:tc>
        <w:tc>
          <w:tcPr>
            <w:tcW w:w="1284" w:type="dxa"/>
          </w:tcPr>
          <w:p>
            <w:pPr>
              <w:pStyle w:val="TableParagraph"/>
              <w:spacing w:before="51"/>
              <w:ind w:left="378" w:right="202"/>
              <w:rPr>
                <w:sz w:val="19"/>
              </w:rPr>
            </w:pPr>
            <w:r>
              <w:rPr>
                <w:color w:val="231F20"/>
                <w:sz w:val="19"/>
              </w:rPr>
              <w:t>75.3</w:t>
            </w:r>
          </w:p>
        </w:tc>
        <w:tc>
          <w:tcPr>
            <w:tcW w:w="1583" w:type="dxa"/>
          </w:tcPr>
          <w:p>
            <w:pPr>
              <w:pStyle w:val="TableParagraph"/>
              <w:spacing w:before="51"/>
              <w:ind w:left="202" w:right="58"/>
              <w:rPr>
                <w:sz w:val="19"/>
              </w:rPr>
            </w:pPr>
            <w:r>
              <w:rPr>
                <w:color w:val="231F20"/>
                <w:sz w:val="19"/>
              </w:rPr>
              <w:t>19.5</w:t>
            </w:r>
          </w:p>
        </w:tc>
        <w:tc>
          <w:tcPr>
            <w:tcW w:w="1619" w:type="dxa"/>
          </w:tcPr>
          <w:p>
            <w:pPr>
              <w:pStyle w:val="TableParagraph"/>
              <w:spacing w:before="51"/>
              <w:ind w:left="75" w:right="295"/>
              <w:rPr>
                <w:sz w:val="19"/>
              </w:rPr>
            </w:pPr>
            <w:r>
              <w:rPr>
                <w:color w:val="231F20"/>
                <w:sz w:val="19"/>
              </w:rPr>
              <w:t>5.2</w:t>
            </w:r>
          </w:p>
        </w:tc>
        <w:tc>
          <w:tcPr>
            <w:tcW w:w="1200" w:type="dxa"/>
          </w:tcPr>
          <w:p>
            <w:pPr>
              <w:pStyle w:val="TableParagraph"/>
              <w:spacing w:before="51"/>
              <w:ind w:left="359"/>
              <w:jc w:val="left"/>
              <w:rPr>
                <w:sz w:val="19"/>
              </w:rPr>
            </w:pPr>
            <w:r>
              <w:rPr>
                <w:color w:val="231F20"/>
                <w:sz w:val="19"/>
              </w:rPr>
              <w:t>100</w:t>
            </w:r>
          </w:p>
        </w:tc>
      </w:tr>
      <w:tr>
        <w:trPr>
          <w:trHeight w:val="368" w:hRule="exact"/>
        </w:trPr>
        <w:tc>
          <w:tcPr>
            <w:tcW w:w="1500" w:type="dxa"/>
          </w:tcPr>
          <w:p>
            <w:pPr>
              <w:pStyle w:val="TableParagraph"/>
              <w:spacing w:before="29"/>
              <w:ind w:left="363" w:right="336"/>
              <w:rPr>
                <w:rFonts w:ascii="Palatino Linotype"/>
                <w:b/>
                <w:sz w:val="19"/>
              </w:rPr>
            </w:pPr>
            <w:r>
              <w:rPr>
                <w:rFonts w:ascii="Palatino Linotype"/>
                <w:b/>
                <w:color w:val="231F20"/>
                <w:sz w:val="19"/>
              </w:rPr>
              <w:t>2002</w:t>
            </w:r>
          </w:p>
        </w:tc>
        <w:tc>
          <w:tcPr>
            <w:tcW w:w="1284" w:type="dxa"/>
          </w:tcPr>
          <w:p>
            <w:pPr>
              <w:pStyle w:val="TableParagraph"/>
              <w:spacing w:before="51"/>
              <w:ind w:left="378" w:right="201"/>
              <w:rPr>
                <w:sz w:val="19"/>
              </w:rPr>
            </w:pPr>
            <w:r>
              <w:rPr>
                <w:color w:val="231F20"/>
                <w:sz w:val="19"/>
              </w:rPr>
              <w:t>78.3</w:t>
            </w:r>
          </w:p>
        </w:tc>
        <w:tc>
          <w:tcPr>
            <w:tcW w:w="1583" w:type="dxa"/>
          </w:tcPr>
          <w:p>
            <w:pPr>
              <w:pStyle w:val="TableParagraph"/>
              <w:spacing w:before="51"/>
              <w:ind w:left="202" w:right="57"/>
              <w:rPr>
                <w:sz w:val="19"/>
              </w:rPr>
            </w:pPr>
            <w:r>
              <w:rPr>
                <w:color w:val="231F20"/>
                <w:sz w:val="19"/>
              </w:rPr>
              <w:t>16.7</w:t>
            </w:r>
          </w:p>
        </w:tc>
        <w:tc>
          <w:tcPr>
            <w:tcW w:w="1619" w:type="dxa"/>
          </w:tcPr>
          <w:p>
            <w:pPr>
              <w:pStyle w:val="TableParagraph"/>
              <w:spacing w:before="51"/>
              <w:ind w:left="75" w:right="294"/>
              <w:rPr>
                <w:sz w:val="19"/>
              </w:rPr>
            </w:pPr>
            <w:r>
              <w:rPr>
                <w:color w:val="231F20"/>
                <w:sz w:val="19"/>
              </w:rPr>
              <w:t>5.1</w:t>
            </w:r>
          </w:p>
        </w:tc>
        <w:tc>
          <w:tcPr>
            <w:tcW w:w="1200" w:type="dxa"/>
          </w:tcPr>
          <w:p>
            <w:pPr>
              <w:pStyle w:val="TableParagraph"/>
              <w:spacing w:before="51"/>
              <w:ind w:left="360"/>
              <w:jc w:val="left"/>
              <w:rPr>
                <w:sz w:val="19"/>
              </w:rPr>
            </w:pPr>
            <w:r>
              <w:rPr>
                <w:color w:val="231F20"/>
                <w:sz w:val="19"/>
              </w:rPr>
              <w:t>100</w:t>
            </w:r>
          </w:p>
        </w:tc>
      </w:tr>
      <w:tr>
        <w:trPr>
          <w:trHeight w:val="368" w:hRule="exact"/>
        </w:trPr>
        <w:tc>
          <w:tcPr>
            <w:tcW w:w="1500" w:type="dxa"/>
          </w:tcPr>
          <w:p>
            <w:pPr>
              <w:pStyle w:val="TableParagraph"/>
              <w:spacing w:before="29"/>
              <w:ind w:left="363" w:right="335"/>
              <w:rPr>
                <w:rFonts w:ascii="Palatino Linotype"/>
                <w:b/>
                <w:sz w:val="19"/>
              </w:rPr>
            </w:pPr>
            <w:r>
              <w:rPr>
                <w:rFonts w:ascii="Palatino Linotype"/>
                <w:b/>
                <w:color w:val="231F20"/>
                <w:sz w:val="19"/>
              </w:rPr>
              <w:t>2003</w:t>
            </w:r>
          </w:p>
        </w:tc>
        <w:tc>
          <w:tcPr>
            <w:tcW w:w="1284" w:type="dxa"/>
          </w:tcPr>
          <w:p>
            <w:pPr>
              <w:pStyle w:val="TableParagraph"/>
              <w:spacing w:before="51"/>
              <w:ind w:left="378" w:right="200"/>
              <w:rPr>
                <w:sz w:val="19"/>
              </w:rPr>
            </w:pPr>
            <w:r>
              <w:rPr>
                <w:color w:val="231F20"/>
                <w:sz w:val="19"/>
              </w:rPr>
              <w:t>73.9</w:t>
            </w:r>
          </w:p>
        </w:tc>
        <w:tc>
          <w:tcPr>
            <w:tcW w:w="1583" w:type="dxa"/>
          </w:tcPr>
          <w:p>
            <w:pPr>
              <w:pStyle w:val="TableParagraph"/>
              <w:spacing w:before="51"/>
              <w:ind w:left="202" w:right="56"/>
              <w:rPr>
                <w:sz w:val="19"/>
              </w:rPr>
            </w:pPr>
            <w:r>
              <w:rPr>
                <w:color w:val="231F20"/>
                <w:sz w:val="19"/>
              </w:rPr>
              <w:t>20.2</w:t>
            </w:r>
          </w:p>
        </w:tc>
        <w:tc>
          <w:tcPr>
            <w:tcW w:w="1619" w:type="dxa"/>
          </w:tcPr>
          <w:p>
            <w:pPr>
              <w:pStyle w:val="TableParagraph"/>
              <w:spacing w:before="51"/>
              <w:ind w:left="75" w:right="294"/>
              <w:rPr>
                <w:sz w:val="19"/>
              </w:rPr>
            </w:pPr>
            <w:r>
              <w:rPr>
                <w:color w:val="231F20"/>
                <w:sz w:val="19"/>
              </w:rPr>
              <w:t>5.9</w:t>
            </w:r>
          </w:p>
        </w:tc>
        <w:tc>
          <w:tcPr>
            <w:tcW w:w="1200" w:type="dxa"/>
          </w:tcPr>
          <w:p>
            <w:pPr>
              <w:pStyle w:val="TableParagraph"/>
              <w:spacing w:before="51"/>
              <w:ind w:left="360"/>
              <w:jc w:val="left"/>
              <w:rPr>
                <w:sz w:val="19"/>
              </w:rPr>
            </w:pPr>
            <w:r>
              <w:rPr>
                <w:color w:val="231F20"/>
                <w:sz w:val="19"/>
              </w:rPr>
              <w:t>100</w:t>
            </w:r>
          </w:p>
        </w:tc>
      </w:tr>
      <w:tr>
        <w:trPr>
          <w:trHeight w:val="368" w:hRule="exact"/>
        </w:trPr>
        <w:tc>
          <w:tcPr>
            <w:tcW w:w="1500" w:type="dxa"/>
          </w:tcPr>
          <w:p>
            <w:pPr>
              <w:pStyle w:val="TableParagraph"/>
              <w:spacing w:before="29"/>
              <w:ind w:left="363" w:right="334"/>
              <w:rPr>
                <w:rFonts w:ascii="Palatino Linotype"/>
                <w:b/>
                <w:sz w:val="19"/>
              </w:rPr>
            </w:pPr>
            <w:r>
              <w:rPr>
                <w:rFonts w:ascii="Palatino Linotype"/>
                <w:b/>
                <w:color w:val="231F20"/>
                <w:sz w:val="19"/>
              </w:rPr>
              <w:t>2004</w:t>
            </w:r>
          </w:p>
        </w:tc>
        <w:tc>
          <w:tcPr>
            <w:tcW w:w="1284" w:type="dxa"/>
          </w:tcPr>
          <w:p>
            <w:pPr>
              <w:pStyle w:val="TableParagraph"/>
              <w:spacing w:before="51"/>
              <w:ind w:left="378" w:right="199"/>
              <w:rPr>
                <w:sz w:val="19"/>
              </w:rPr>
            </w:pPr>
            <w:r>
              <w:rPr>
                <w:color w:val="231F20"/>
                <w:sz w:val="19"/>
              </w:rPr>
              <w:t>76.0</w:t>
            </w:r>
          </w:p>
        </w:tc>
        <w:tc>
          <w:tcPr>
            <w:tcW w:w="1583" w:type="dxa"/>
          </w:tcPr>
          <w:p>
            <w:pPr>
              <w:pStyle w:val="TableParagraph"/>
              <w:spacing w:before="51"/>
              <w:ind w:left="202" w:right="56"/>
              <w:rPr>
                <w:sz w:val="19"/>
              </w:rPr>
            </w:pPr>
            <w:r>
              <w:rPr>
                <w:color w:val="231F20"/>
                <w:sz w:val="19"/>
              </w:rPr>
              <w:t>13.3</w:t>
            </w:r>
          </w:p>
        </w:tc>
        <w:tc>
          <w:tcPr>
            <w:tcW w:w="1619" w:type="dxa"/>
          </w:tcPr>
          <w:p>
            <w:pPr>
              <w:pStyle w:val="TableParagraph"/>
              <w:spacing w:before="51"/>
              <w:ind w:left="75" w:right="293"/>
              <w:rPr>
                <w:sz w:val="19"/>
              </w:rPr>
            </w:pPr>
            <w:r>
              <w:rPr>
                <w:color w:val="231F20"/>
                <w:sz w:val="19"/>
              </w:rPr>
              <w:t>10.7</w:t>
            </w:r>
          </w:p>
        </w:tc>
        <w:tc>
          <w:tcPr>
            <w:tcW w:w="1200" w:type="dxa"/>
          </w:tcPr>
          <w:p>
            <w:pPr>
              <w:pStyle w:val="TableParagraph"/>
              <w:spacing w:before="51"/>
              <w:ind w:left="360"/>
              <w:jc w:val="left"/>
              <w:rPr>
                <w:sz w:val="19"/>
              </w:rPr>
            </w:pPr>
            <w:r>
              <w:rPr>
                <w:color w:val="231F20"/>
                <w:sz w:val="19"/>
              </w:rPr>
              <w:t>100</w:t>
            </w:r>
          </w:p>
        </w:tc>
      </w:tr>
      <w:tr>
        <w:trPr>
          <w:trHeight w:val="368" w:hRule="exact"/>
        </w:trPr>
        <w:tc>
          <w:tcPr>
            <w:tcW w:w="1500" w:type="dxa"/>
          </w:tcPr>
          <w:p>
            <w:pPr>
              <w:pStyle w:val="TableParagraph"/>
              <w:spacing w:before="29"/>
              <w:ind w:left="363" w:right="334"/>
              <w:rPr>
                <w:rFonts w:ascii="Palatino Linotype"/>
                <w:b/>
                <w:sz w:val="19"/>
              </w:rPr>
            </w:pPr>
            <w:r>
              <w:rPr>
                <w:rFonts w:ascii="Palatino Linotype"/>
                <w:b/>
                <w:color w:val="231F20"/>
                <w:sz w:val="19"/>
              </w:rPr>
              <w:t>2005</w:t>
            </w:r>
          </w:p>
        </w:tc>
        <w:tc>
          <w:tcPr>
            <w:tcW w:w="1284" w:type="dxa"/>
          </w:tcPr>
          <w:p>
            <w:pPr>
              <w:pStyle w:val="TableParagraph"/>
              <w:spacing w:before="51"/>
              <w:ind w:left="378" w:right="199"/>
              <w:rPr>
                <w:sz w:val="19"/>
              </w:rPr>
            </w:pPr>
            <w:r>
              <w:rPr>
                <w:color w:val="231F20"/>
                <w:sz w:val="19"/>
              </w:rPr>
              <w:t>68.5</w:t>
            </w:r>
          </w:p>
        </w:tc>
        <w:tc>
          <w:tcPr>
            <w:tcW w:w="1583" w:type="dxa"/>
          </w:tcPr>
          <w:p>
            <w:pPr>
              <w:pStyle w:val="TableParagraph"/>
              <w:spacing w:before="51"/>
              <w:ind w:left="202" w:right="55"/>
              <w:rPr>
                <w:sz w:val="19"/>
              </w:rPr>
            </w:pPr>
            <w:r>
              <w:rPr>
                <w:color w:val="231F20"/>
                <w:sz w:val="19"/>
              </w:rPr>
              <w:t>4.8</w:t>
            </w:r>
          </w:p>
        </w:tc>
        <w:tc>
          <w:tcPr>
            <w:tcW w:w="1619" w:type="dxa"/>
          </w:tcPr>
          <w:p>
            <w:pPr>
              <w:pStyle w:val="TableParagraph"/>
              <w:spacing w:before="51"/>
              <w:ind w:left="75" w:right="292"/>
              <w:rPr>
                <w:sz w:val="19"/>
              </w:rPr>
            </w:pPr>
            <w:r>
              <w:rPr>
                <w:color w:val="231F20"/>
                <w:sz w:val="19"/>
              </w:rPr>
              <w:t>26.7</w:t>
            </w:r>
          </w:p>
        </w:tc>
        <w:tc>
          <w:tcPr>
            <w:tcW w:w="1200" w:type="dxa"/>
          </w:tcPr>
          <w:p>
            <w:pPr>
              <w:pStyle w:val="TableParagraph"/>
              <w:spacing w:before="51"/>
              <w:ind w:left="361"/>
              <w:jc w:val="left"/>
              <w:rPr>
                <w:sz w:val="19"/>
              </w:rPr>
            </w:pPr>
            <w:r>
              <w:rPr>
                <w:color w:val="231F20"/>
                <w:sz w:val="19"/>
              </w:rPr>
              <w:t>100</w:t>
            </w:r>
          </w:p>
        </w:tc>
      </w:tr>
      <w:tr>
        <w:trPr>
          <w:trHeight w:val="368" w:hRule="exact"/>
        </w:trPr>
        <w:tc>
          <w:tcPr>
            <w:tcW w:w="1500" w:type="dxa"/>
          </w:tcPr>
          <w:p>
            <w:pPr>
              <w:pStyle w:val="TableParagraph"/>
              <w:spacing w:before="29"/>
              <w:ind w:left="363" w:right="333"/>
              <w:rPr>
                <w:rFonts w:ascii="Palatino Linotype"/>
                <w:b/>
                <w:sz w:val="19"/>
              </w:rPr>
            </w:pPr>
            <w:r>
              <w:rPr>
                <w:rFonts w:ascii="Palatino Linotype"/>
                <w:b/>
                <w:color w:val="231F20"/>
                <w:sz w:val="19"/>
              </w:rPr>
              <w:t>2006</w:t>
            </w:r>
          </w:p>
        </w:tc>
        <w:tc>
          <w:tcPr>
            <w:tcW w:w="1284" w:type="dxa"/>
          </w:tcPr>
          <w:p>
            <w:pPr>
              <w:pStyle w:val="TableParagraph"/>
              <w:spacing w:before="51"/>
              <w:ind w:left="378" w:right="198"/>
              <w:rPr>
                <w:sz w:val="19"/>
              </w:rPr>
            </w:pPr>
            <w:r>
              <w:rPr>
                <w:color w:val="231F20"/>
                <w:sz w:val="19"/>
              </w:rPr>
              <w:t>42.4</w:t>
            </w:r>
          </w:p>
        </w:tc>
        <w:tc>
          <w:tcPr>
            <w:tcW w:w="1583" w:type="dxa"/>
          </w:tcPr>
          <w:p>
            <w:pPr>
              <w:pStyle w:val="TableParagraph"/>
              <w:spacing w:before="51"/>
              <w:ind w:left="202" w:right="54"/>
              <w:rPr>
                <w:sz w:val="19"/>
              </w:rPr>
            </w:pPr>
            <w:r>
              <w:rPr>
                <w:color w:val="231F20"/>
                <w:sz w:val="19"/>
              </w:rPr>
              <w:t>0.8</w:t>
            </w:r>
          </w:p>
        </w:tc>
        <w:tc>
          <w:tcPr>
            <w:tcW w:w="1619" w:type="dxa"/>
          </w:tcPr>
          <w:p>
            <w:pPr>
              <w:pStyle w:val="TableParagraph"/>
              <w:spacing w:before="51"/>
              <w:ind w:left="75" w:right="291"/>
              <w:rPr>
                <w:sz w:val="19"/>
              </w:rPr>
            </w:pPr>
            <w:r>
              <w:rPr>
                <w:color w:val="231F20"/>
                <w:sz w:val="19"/>
              </w:rPr>
              <w:t>56.8</w:t>
            </w:r>
          </w:p>
        </w:tc>
        <w:tc>
          <w:tcPr>
            <w:tcW w:w="1200" w:type="dxa"/>
          </w:tcPr>
          <w:p>
            <w:pPr>
              <w:pStyle w:val="TableParagraph"/>
              <w:spacing w:before="51"/>
              <w:ind w:left="361"/>
              <w:jc w:val="left"/>
              <w:rPr>
                <w:sz w:val="19"/>
              </w:rPr>
            </w:pPr>
            <w:r>
              <w:rPr>
                <w:color w:val="231F20"/>
                <w:sz w:val="19"/>
              </w:rPr>
              <w:t>100</w:t>
            </w:r>
          </w:p>
        </w:tc>
      </w:tr>
      <w:tr>
        <w:trPr>
          <w:trHeight w:val="368" w:hRule="exact"/>
        </w:trPr>
        <w:tc>
          <w:tcPr>
            <w:tcW w:w="1500" w:type="dxa"/>
          </w:tcPr>
          <w:p>
            <w:pPr>
              <w:pStyle w:val="TableParagraph"/>
              <w:spacing w:before="29"/>
              <w:ind w:left="363" w:right="332"/>
              <w:rPr>
                <w:rFonts w:ascii="Palatino Linotype"/>
                <w:b/>
                <w:sz w:val="19"/>
              </w:rPr>
            </w:pPr>
            <w:r>
              <w:rPr>
                <w:rFonts w:ascii="Palatino Linotype"/>
                <w:b/>
                <w:color w:val="231F20"/>
                <w:sz w:val="19"/>
              </w:rPr>
              <w:t>2007</w:t>
            </w:r>
          </w:p>
        </w:tc>
        <w:tc>
          <w:tcPr>
            <w:tcW w:w="1284" w:type="dxa"/>
          </w:tcPr>
          <w:p>
            <w:pPr>
              <w:pStyle w:val="TableParagraph"/>
              <w:spacing w:before="51"/>
              <w:ind w:left="378" w:right="197"/>
              <w:rPr>
                <w:sz w:val="19"/>
              </w:rPr>
            </w:pPr>
            <w:r>
              <w:rPr>
                <w:color w:val="231F20"/>
                <w:sz w:val="19"/>
              </w:rPr>
              <w:t>38.2</w:t>
            </w:r>
          </w:p>
        </w:tc>
        <w:tc>
          <w:tcPr>
            <w:tcW w:w="1583" w:type="dxa"/>
          </w:tcPr>
          <w:p>
            <w:pPr>
              <w:pStyle w:val="TableParagraph"/>
              <w:spacing w:before="51"/>
              <w:ind w:left="202" w:right="53"/>
              <w:rPr>
                <w:sz w:val="19"/>
              </w:rPr>
            </w:pPr>
            <w:r>
              <w:rPr>
                <w:color w:val="231F20"/>
                <w:sz w:val="19"/>
              </w:rPr>
              <w:t>3.1</w:t>
            </w:r>
          </w:p>
        </w:tc>
        <w:tc>
          <w:tcPr>
            <w:tcW w:w="1619" w:type="dxa"/>
          </w:tcPr>
          <w:p>
            <w:pPr>
              <w:pStyle w:val="TableParagraph"/>
              <w:spacing w:before="51"/>
              <w:ind w:left="75" w:right="291"/>
              <w:rPr>
                <w:sz w:val="19"/>
              </w:rPr>
            </w:pPr>
            <w:r>
              <w:rPr>
                <w:color w:val="231F20"/>
                <w:sz w:val="19"/>
              </w:rPr>
              <w:t>58.7</w:t>
            </w:r>
          </w:p>
        </w:tc>
        <w:tc>
          <w:tcPr>
            <w:tcW w:w="1200" w:type="dxa"/>
          </w:tcPr>
          <w:p>
            <w:pPr>
              <w:pStyle w:val="TableParagraph"/>
              <w:spacing w:before="51"/>
              <w:ind w:left="361"/>
              <w:jc w:val="left"/>
              <w:rPr>
                <w:sz w:val="19"/>
              </w:rPr>
            </w:pPr>
            <w:r>
              <w:rPr>
                <w:color w:val="231F20"/>
                <w:sz w:val="19"/>
              </w:rPr>
              <w:t>100</w:t>
            </w:r>
          </w:p>
        </w:tc>
      </w:tr>
      <w:tr>
        <w:trPr>
          <w:trHeight w:val="346" w:hRule="exact"/>
        </w:trPr>
        <w:tc>
          <w:tcPr>
            <w:tcW w:w="1500" w:type="dxa"/>
            <w:tcBorders>
              <w:bottom w:val="single" w:sz="4" w:space="0" w:color="231F20"/>
            </w:tcBorders>
          </w:tcPr>
          <w:p>
            <w:pPr>
              <w:pStyle w:val="TableParagraph"/>
              <w:spacing w:before="29"/>
              <w:ind w:left="363" w:right="331"/>
              <w:rPr>
                <w:rFonts w:ascii="Palatino Linotype"/>
                <w:b/>
                <w:sz w:val="19"/>
              </w:rPr>
            </w:pPr>
            <w:r>
              <w:rPr>
                <w:rFonts w:ascii="Palatino Linotype"/>
                <w:b/>
                <w:color w:val="231F20"/>
                <w:sz w:val="19"/>
              </w:rPr>
              <w:t>2008</w:t>
            </w:r>
          </w:p>
        </w:tc>
        <w:tc>
          <w:tcPr>
            <w:tcW w:w="1284" w:type="dxa"/>
            <w:tcBorders>
              <w:bottom w:val="single" w:sz="4" w:space="0" w:color="231F20"/>
            </w:tcBorders>
          </w:tcPr>
          <w:p>
            <w:pPr>
              <w:pStyle w:val="TableParagraph"/>
              <w:spacing w:before="51"/>
              <w:ind w:left="378" w:right="196"/>
              <w:rPr>
                <w:sz w:val="19"/>
              </w:rPr>
            </w:pPr>
            <w:r>
              <w:rPr>
                <w:color w:val="231F20"/>
                <w:sz w:val="19"/>
              </w:rPr>
              <w:t>45.8</w:t>
            </w:r>
          </w:p>
        </w:tc>
        <w:tc>
          <w:tcPr>
            <w:tcW w:w="1583" w:type="dxa"/>
            <w:tcBorders>
              <w:bottom w:val="single" w:sz="4" w:space="0" w:color="231F20"/>
            </w:tcBorders>
          </w:tcPr>
          <w:p>
            <w:pPr>
              <w:pStyle w:val="TableParagraph"/>
              <w:spacing w:before="51"/>
              <w:ind w:left="202" w:right="53"/>
              <w:rPr>
                <w:sz w:val="19"/>
              </w:rPr>
            </w:pPr>
            <w:r>
              <w:rPr>
                <w:color w:val="231F20"/>
                <w:sz w:val="19"/>
              </w:rPr>
              <w:t>0.7</w:t>
            </w:r>
          </w:p>
        </w:tc>
        <w:tc>
          <w:tcPr>
            <w:tcW w:w="1619" w:type="dxa"/>
            <w:tcBorders>
              <w:bottom w:val="single" w:sz="4" w:space="0" w:color="231F20"/>
            </w:tcBorders>
          </w:tcPr>
          <w:p>
            <w:pPr>
              <w:pStyle w:val="TableParagraph"/>
              <w:spacing w:before="51"/>
              <w:ind w:left="75" w:right="290"/>
              <w:rPr>
                <w:sz w:val="19"/>
              </w:rPr>
            </w:pPr>
            <w:r>
              <w:rPr>
                <w:color w:val="231F20"/>
                <w:sz w:val="19"/>
              </w:rPr>
              <w:t>53.5</w:t>
            </w:r>
          </w:p>
        </w:tc>
        <w:tc>
          <w:tcPr>
            <w:tcW w:w="1200" w:type="dxa"/>
            <w:tcBorders>
              <w:bottom w:val="single" w:sz="4" w:space="0" w:color="231F20"/>
            </w:tcBorders>
          </w:tcPr>
          <w:p>
            <w:pPr>
              <w:pStyle w:val="TableParagraph"/>
              <w:spacing w:before="51"/>
              <w:ind w:left="362"/>
              <w:jc w:val="left"/>
              <w:rPr>
                <w:sz w:val="19"/>
              </w:rPr>
            </w:pPr>
            <w:r>
              <w:rPr>
                <w:color w:val="231F20"/>
                <w:sz w:val="19"/>
              </w:rPr>
              <w:t>100</w:t>
            </w:r>
          </w:p>
        </w:tc>
      </w:tr>
    </w:tbl>
    <w:p>
      <w:pPr>
        <w:pStyle w:val="BodyText"/>
        <w:spacing w:before="10"/>
        <w:rPr>
          <w:rFonts w:ascii="Palatino Linotype"/>
          <w:b/>
          <w:sz w:val="8"/>
        </w:rPr>
      </w:pPr>
    </w:p>
    <w:p>
      <w:pPr>
        <w:spacing w:before="37"/>
        <w:ind w:left="103" w:right="1617" w:firstLine="0"/>
        <w:jc w:val="left"/>
        <w:rPr>
          <w:sz w:val="20"/>
        </w:rPr>
      </w:pPr>
      <w:r>
        <w:rPr>
          <w:rFonts w:ascii="Palatino Linotype" w:hAnsi="Palatino Linotype"/>
          <w:i/>
          <w:color w:val="231F20"/>
          <w:sz w:val="20"/>
        </w:rPr>
        <w:t>Fuente: </w:t>
      </w:r>
      <w:r>
        <w:rPr>
          <w:color w:val="231F20"/>
          <w:sz w:val="20"/>
        </w:rPr>
        <w:t>Elaboración propia con datos de AMIA (2009).</w:t>
      </w:r>
    </w:p>
    <w:p>
      <w:pPr>
        <w:spacing w:after="0"/>
        <w:jc w:val="left"/>
        <w:rPr>
          <w:sz w:val="20"/>
        </w:rPr>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101"/>
        <w:jc w:val="both"/>
      </w:pPr>
      <w:r>
        <w:rPr>
          <w:color w:val="231F20"/>
        </w:rPr>
        <w:t>Algunos</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modelos</w:t>
      </w:r>
      <w:r>
        <w:rPr>
          <w:color w:val="231F20"/>
          <w:spacing w:val="-5"/>
        </w:rPr>
        <w:t> </w:t>
      </w:r>
      <w:r>
        <w:rPr>
          <w:color w:val="231F20"/>
          <w:spacing w:val="-3"/>
        </w:rPr>
        <w:t>producidos</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spacing w:val="-3"/>
        </w:rPr>
        <w:t>México</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de</w:t>
      </w:r>
      <w:r>
        <w:rPr>
          <w:color w:val="231F20"/>
          <w:spacing w:val="-5"/>
        </w:rPr>
        <w:t> </w:t>
      </w:r>
      <w:r>
        <w:rPr>
          <w:color w:val="231F20"/>
          <w:spacing w:val="-3"/>
        </w:rPr>
        <w:t>expor- </w:t>
      </w:r>
      <w:r>
        <w:rPr>
          <w:color w:val="231F20"/>
        </w:rPr>
        <w:t>tación son el </w:t>
      </w:r>
      <w:r>
        <w:rPr>
          <w:color w:val="231F20"/>
          <w:spacing w:val="-3"/>
        </w:rPr>
        <w:t>F-150 </w:t>
      </w:r>
      <w:r>
        <w:rPr>
          <w:color w:val="231F20"/>
        </w:rPr>
        <w:t>y el </w:t>
      </w:r>
      <w:r>
        <w:rPr>
          <w:color w:val="231F20"/>
          <w:spacing w:val="-3"/>
        </w:rPr>
        <w:t>F-250 </w:t>
      </w:r>
      <w:r>
        <w:rPr>
          <w:color w:val="231F20"/>
        </w:rPr>
        <w:t>de </w:t>
      </w:r>
      <w:r>
        <w:rPr>
          <w:color w:val="231F20"/>
          <w:spacing w:val="-4"/>
        </w:rPr>
        <w:t>Ford, </w:t>
      </w:r>
      <w:r>
        <w:rPr>
          <w:color w:val="231F20"/>
        </w:rPr>
        <w:t>en su </w:t>
      </w:r>
      <w:r>
        <w:rPr>
          <w:color w:val="231F20"/>
          <w:spacing w:val="-3"/>
        </w:rPr>
        <w:t>planta </w:t>
      </w:r>
      <w:r>
        <w:rPr>
          <w:color w:val="231F20"/>
        </w:rPr>
        <w:t>de </w:t>
      </w:r>
      <w:r>
        <w:rPr>
          <w:color w:val="231F20"/>
          <w:spacing w:val="-3"/>
        </w:rPr>
        <w:t>Cuautitlán </w:t>
      </w:r>
      <w:r>
        <w:rPr>
          <w:color w:val="231F20"/>
        </w:rPr>
        <w:t>Izcalli (hasta </w:t>
      </w:r>
      <w:r>
        <w:rPr>
          <w:color w:val="231F20"/>
          <w:spacing w:val="-2"/>
        </w:rPr>
        <w:t>2008); </w:t>
      </w:r>
      <w:r>
        <w:rPr>
          <w:color w:val="231F20"/>
          <w:spacing w:val="-3"/>
        </w:rPr>
        <w:t>actualmente, </w:t>
      </w:r>
      <w:r>
        <w:rPr>
          <w:color w:val="231F20"/>
        </w:rPr>
        <w:t>en esta </w:t>
      </w:r>
      <w:r>
        <w:rPr>
          <w:color w:val="231F20"/>
          <w:spacing w:val="-3"/>
        </w:rPr>
        <w:t>planta </w:t>
      </w:r>
      <w:r>
        <w:rPr>
          <w:color w:val="231F20"/>
        </w:rPr>
        <w:t>se </w:t>
      </w:r>
      <w:r>
        <w:rPr>
          <w:color w:val="231F20"/>
          <w:spacing w:val="-3"/>
        </w:rPr>
        <w:t>produce </w:t>
      </w:r>
      <w:r>
        <w:rPr>
          <w:color w:val="231F20"/>
        </w:rPr>
        <w:t>el </w:t>
      </w:r>
      <w:r>
        <w:rPr>
          <w:color w:val="231F20"/>
          <w:spacing w:val="-4"/>
        </w:rPr>
        <w:t>Ford </w:t>
      </w:r>
      <w:r>
        <w:rPr>
          <w:color w:val="231F20"/>
        </w:rPr>
        <w:t>Fiesta en </w:t>
      </w:r>
      <w:r>
        <w:rPr>
          <w:color w:val="231F20"/>
          <w:spacing w:val="-3"/>
        </w:rPr>
        <w:t>diferentes versiones, </w:t>
      </w:r>
      <w:r>
        <w:rPr>
          <w:color w:val="231F20"/>
        </w:rPr>
        <w:t>para con- sumo </w:t>
      </w:r>
      <w:r>
        <w:rPr>
          <w:color w:val="231F20"/>
          <w:spacing w:val="-3"/>
        </w:rPr>
        <w:t>interno </w:t>
      </w:r>
      <w:r>
        <w:rPr>
          <w:color w:val="231F20"/>
        </w:rPr>
        <w:t>y </w:t>
      </w:r>
      <w:r>
        <w:rPr>
          <w:color w:val="231F20"/>
          <w:spacing w:val="-3"/>
        </w:rPr>
        <w:t>también </w:t>
      </w:r>
      <w:r>
        <w:rPr>
          <w:color w:val="231F20"/>
        </w:rPr>
        <w:t>para exportar a Canadá, Estados </w:t>
      </w:r>
      <w:r>
        <w:rPr>
          <w:color w:val="231F20"/>
          <w:spacing w:val="-3"/>
        </w:rPr>
        <w:t>Unidos, </w:t>
      </w:r>
      <w:r>
        <w:rPr>
          <w:color w:val="231F20"/>
        </w:rPr>
        <w:t>Colombia, </w:t>
      </w:r>
      <w:r>
        <w:rPr>
          <w:color w:val="231F20"/>
          <w:spacing w:val="-3"/>
        </w:rPr>
        <w:t>Argentina </w:t>
      </w:r>
      <w:r>
        <w:rPr>
          <w:color w:val="231F20"/>
        </w:rPr>
        <w:t>y</w:t>
      </w:r>
      <w:r>
        <w:rPr>
          <w:color w:val="231F20"/>
          <w:spacing w:val="-19"/>
        </w:rPr>
        <w:t> </w:t>
      </w:r>
      <w:r>
        <w:rPr>
          <w:color w:val="231F20"/>
        </w:rPr>
        <w:t>Brasil.</w:t>
      </w:r>
      <w:r>
        <w:rPr>
          <w:color w:val="231F20"/>
          <w:spacing w:val="-19"/>
        </w:rPr>
        <w:t> </w:t>
      </w:r>
      <w:r>
        <w:rPr>
          <w:color w:val="231F20"/>
        </w:rPr>
        <w:t>Chrysler</w:t>
      </w:r>
      <w:r>
        <w:rPr>
          <w:color w:val="231F20"/>
          <w:spacing w:val="-19"/>
        </w:rPr>
        <w:t> </w:t>
      </w:r>
      <w:r>
        <w:rPr>
          <w:color w:val="231F20"/>
        </w:rPr>
        <w:t>fabrica</w:t>
      </w:r>
      <w:r>
        <w:rPr>
          <w:color w:val="231F20"/>
          <w:spacing w:val="-19"/>
        </w:rPr>
        <w:t> </w:t>
      </w:r>
      <w:r>
        <w:rPr>
          <w:color w:val="231F20"/>
        </w:rPr>
        <w:t>en</w:t>
      </w:r>
      <w:r>
        <w:rPr>
          <w:color w:val="231F20"/>
          <w:spacing w:val="-19"/>
        </w:rPr>
        <w:t> </w:t>
      </w:r>
      <w:r>
        <w:rPr>
          <w:color w:val="231F20"/>
        </w:rPr>
        <w:t>su</w:t>
      </w:r>
      <w:r>
        <w:rPr>
          <w:color w:val="231F20"/>
          <w:spacing w:val="-19"/>
        </w:rPr>
        <w:t> </w:t>
      </w:r>
      <w:r>
        <w:rPr>
          <w:color w:val="231F20"/>
          <w:spacing w:val="-3"/>
        </w:rPr>
        <w:t>planta</w:t>
      </w:r>
      <w:r>
        <w:rPr>
          <w:color w:val="231F20"/>
          <w:spacing w:val="-19"/>
        </w:rPr>
        <w:t> </w:t>
      </w:r>
      <w:r>
        <w:rPr>
          <w:color w:val="231F20"/>
        </w:rPr>
        <w:t>de</w:t>
      </w:r>
      <w:r>
        <w:rPr>
          <w:color w:val="231F20"/>
          <w:spacing w:val="-19"/>
        </w:rPr>
        <w:t> </w:t>
      </w:r>
      <w:r>
        <w:rPr>
          <w:color w:val="231F20"/>
          <w:spacing w:val="-6"/>
        </w:rPr>
        <w:t>Toluca</w:t>
      </w:r>
      <w:r>
        <w:rPr>
          <w:color w:val="231F20"/>
          <w:spacing w:val="-19"/>
        </w:rPr>
        <w:t> </w:t>
      </w:r>
      <w:r>
        <w:rPr>
          <w:color w:val="231F20"/>
        </w:rPr>
        <w:t>el</w:t>
      </w:r>
      <w:r>
        <w:rPr>
          <w:color w:val="231F20"/>
          <w:spacing w:val="-19"/>
        </w:rPr>
        <w:t> </w:t>
      </w:r>
      <w:r>
        <w:rPr>
          <w:color w:val="231F20"/>
        </w:rPr>
        <w:t>PT</w:t>
      </w:r>
      <w:r>
        <w:rPr>
          <w:color w:val="231F20"/>
          <w:spacing w:val="-19"/>
        </w:rPr>
        <w:t> </w:t>
      </w:r>
      <w:r>
        <w:rPr>
          <w:color w:val="231F20"/>
        </w:rPr>
        <w:t>Cruiser</w:t>
      </w:r>
      <w:r>
        <w:rPr>
          <w:color w:val="231F20"/>
          <w:spacing w:val="-19"/>
        </w:rPr>
        <w:t> </w:t>
      </w:r>
      <w:r>
        <w:rPr>
          <w:color w:val="231F20"/>
        </w:rPr>
        <w:t>y</w:t>
      </w:r>
      <w:r>
        <w:rPr>
          <w:color w:val="231F20"/>
          <w:spacing w:val="-19"/>
        </w:rPr>
        <w:t> </w:t>
      </w:r>
      <w:r>
        <w:rPr>
          <w:color w:val="231F20"/>
        </w:rPr>
        <w:t>el</w:t>
      </w:r>
      <w:r>
        <w:rPr>
          <w:color w:val="231F20"/>
          <w:spacing w:val="-19"/>
        </w:rPr>
        <w:t> </w:t>
      </w:r>
      <w:r>
        <w:rPr>
          <w:color w:val="231F20"/>
          <w:spacing w:val="-2"/>
        </w:rPr>
        <w:t>camión</w:t>
      </w:r>
      <w:r>
        <w:rPr>
          <w:color w:val="231F20"/>
          <w:spacing w:val="-19"/>
        </w:rPr>
        <w:t> </w:t>
      </w:r>
      <w:r>
        <w:rPr>
          <w:color w:val="231F20"/>
          <w:spacing w:val="-3"/>
        </w:rPr>
        <w:t>ligero</w:t>
      </w:r>
      <w:r>
        <w:rPr>
          <w:color w:val="231F20"/>
          <w:spacing w:val="-19"/>
        </w:rPr>
        <w:t> </w:t>
      </w:r>
      <w:r>
        <w:rPr>
          <w:color w:val="231F20"/>
          <w:spacing w:val="-4"/>
        </w:rPr>
        <w:t>Journey. </w:t>
      </w:r>
      <w:r>
        <w:rPr>
          <w:color w:val="231F20"/>
        </w:rPr>
        <w:t>General</w:t>
      </w:r>
      <w:r>
        <w:rPr>
          <w:color w:val="231F20"/>
          <w:spacing w:val="-15"/>
        </w:rPr>
        <w:t> </w:t>
      </w:r>
      <w:r>
        <w:rPr>
          <w:color w:val="231F20"/>
          <w:spacing w:val="-4"/>
        </w:rPr>
        <w:t>Motors,</w:t>
      </w:r>
      <w:r>
        <w:rPr>
          <w:color w:val="231F20"/>
          <w:spacing w:val="-15"/>
        </w:rPr>
        <w:t> </w:t>
      </w:r>
      <w:r>
        <w:rPr>
          <w:color w:val="231F20"/>
        </w:rPr>
        <w:t>en</w:t>
      </w:r>
      <w:r>
        <w:rPr>
          <w:color w:val="231F20"/>
          <w:spacing w:val="-15"/>
        </w:rPr>
        <w:t> </w:t>
      </w:r>
      <w:r>
        <w:rPr>
          <w:color w:val="231F20"/>
        </w:rPr>
        <w:t>su</w:t>
      </w:r>
      <w:r>
        <w:rPr>
          <w:color w:val="231F20"/>
          <w:spacing w:val="-15"/>
        </w:rPr>
        <w:t> </w:t>
      </w:r>
      <w:r>
        <w:rPr>
          <w:color w:val="231F20"/>
        </w:rPr>
        <w:t>planta</w:t>
      </w:r>
      <w:r>
        <w:rPr>
          <w:color w:val="231F20"/>
          <w:spacing w:val="-15"/>
        </w:rPr>
        <w:t> </w:t>
      </w:r>
      <w:r>
        <w:rPr>
          <w:color w:val="231F20"/>
        </w:rPr>
        <w:t>de</w:t>
      </w:r>
      <w:r>
        <w:rPr>
          <w:color w:val="231F20"/>
          <w:spacing w:val="-15"/>
        </w:rPr>
        <w:t> </w:t>
      </w:r>
      <w:r>
        <w:rPr>
          <w:color w:val="231F20"/>
          <w:spacing w:val="-5"/>
        </w:rPr>
        <w:t>Toluca,</w:t>
      </w:r>
      <w:r>
        <w:rPr>
          <w:color w:val="231F20"/>
          <w:spacing w:val="-15"/>
        </w:rPr>
        <w:t> </w:t>
      </w:r>
      <w:r>
        <w:rPr>
          <w:color w:val="231F20"/>
        </w:rPr>
        <w:t>hace</w:t>
      </w:r>
      <w:r>
        <w:rPr>
          <w:color w:val="231F20"/>
          <w:spacing w:val="-15"/>
        </w:rPr>
        <w:t> </w:t>
      </w:r>
      <w:r>
        <w:rPr>
          <w:color w:val="231F20"/>
        </w:rPr>
        <w:t>el</w:t>
      </w:r>
      <w:r>
        <w:rPr>
          <w:color w:val="231F20"/>
          <w:spacing w:val="-15"/>
        </w:rPr>
        <w:t> </w:t>
      </w:r>
      <w:r>
        <w:rPr>
          <w:color w:val="231F20"/>
        </w:rPr>
        <w:t>HHR</w:t>
      </w:r>
      <w:r>
        <w:rPr>
          <w:color w:val="231F20"/>
          <w:spacing w:val="-15"/>
        </w:rPr>
        <w:t> </w:t>
      </w:r>
      <w:r>
        <w:rPr>
          <w:color w:val="231F20"/>
        </w:rPr>
        <w:t>y</w:t>
      </w:r>
      <w:r>
        <w:rPr>
          <w:color w:val="231F20"/>
          <w:spacing w:val="-15"/>
        </w:rPr>
        <w:t> </w:t>
      </w:r>
      <w:r>
        <w:rPr>
          <w:color w:val="231F20"/>
        </w:rPr>
        <w:t>el</w:t>
      </w:r>
      <w:r>
        <w:rPr>
          <w:color w:val="231F20"/>
          <w:spacing w:val="-15"/>
        </w:rPr>
        <w:t> </w:t>
      </w:r>
      <w:r>
        <w:rPr>
          <w:color w:val="231F20"/>
        </w:rPr>
        <w:t>C-20/Silverado</w:t>
      </w:r>
      <w:r>
        <w:rPr>
          <w:color w:val="231F20"/>
          <w:spacing w:val="-15"/>
        </w:rPr>
        <w:t> </w:t>
      </w:r>
      <w:r>
        <w:rPr>
          <w:color w:val="231F20"/>
        </w:rPr>
        <w:t>2500.</w:t>
      </w:r>
    </w:p>
    <w:p>
      <w:pPr>
        <w:pStyle w:val="BodyText"/>
        <w:spacing w:line="278" w:lineRule="auto" w:before="1"/>
        <w:ind w:left="713" w:right="101" w:firstLine="396"/>
        <w:jc w:val="both"/>
      </w:pPr>
      <w:r>
        <w:rPr>
          <w:color w:val="231F20"/>
        </w:rPr>
        <w:t>La</w:t>
      </w:r>
      <w:r>
        <w:rPr>
          <w:color w:val="231F20"/>
          <w:spacing w:val="-5"/>
        </w:rPr>
        <w:t> </w:t>
      </w:r>
      <w:r>
        <w:rPr>
          <w:color w:val="231F20"/>
        </w:rPr>
        <w:t>producción</w:t>
      </w:r>
      <w:r>
        <w:rPr>
          <w:color w:val="231F20"/>
          <w:spacing w:val="-5"/>
        </w:rPr>
        <w:t> </w:t>
      </w:r>
      <w:r>
        <w:rPr>
          <w:color w:val="231F20"/>
        </w:rPr>
        <w:t>para</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interno</w:t>
      </w:r>
      <w:r>
        <w:rPr>
          <w:color w:val="231F20"/>
          <w:spacing w:val="-5"/>
        </w:rPr>
        <w:t> </w:t>
      </w:r>
      <w:r>
        <w:rPr>
          <w:color w:val="231F20"/>
        </w:rPr>
        <w:t>está</w:t>
      </w:r>
      <w:r>
        <w:rPr>
          <w:color w:val="231F20"/>
          <w:spacing w:val="-5"/>
        </w:rPr>
        <w:t> </w:t>
      </w:r>
      <w:r>
        <w:rPr>
          <w:color w:val="231F20"/>
        </w:rPr>
        <w:t>mucho</w:t>
      </w:r>
      <w:r>
        <w:rPr>
          <w:color w:val="231F20"/>
          <w:spacing w:val="-5"/>
        </w:rPr>
        <w:t> </w:t>
      </w:r>
      <w:r>
        <w:rPr>
          <w:color w:val="231F20"/>
        </w:rPr>
        <w:t>más</w:t>
      </w:r>
      <w:r>
        <w:rPr>
          <w:color w:val="231F20"/>
          <w:spacing w:val="-5"/>
        </w:rPr>
        <w:t> </w:t>
      </w:r>
      <w:r>
        <w:rPr>
          <w:color w:val="231F20"/>
        </w:rPr>
        <w:t>equilibrada:</w:t>
      </w:r>
      <w:r>
        <w:rPr>
          <w:color w:val="231F20"/>
          <w:spacing w:val="-5"/>
        </w:rPr>
        <w:t> </w:t>
      </w:r>
      <w:r>
        <w:rPr>
          <w:color w:val="231F20"/>
          <w:spacing w:val="-3"/>
        </w:rPr>
        <w:t>Ford</w:t>
      </w:r>
      <w:r>
        <w:rPr>
          <w:color w:val="231F20"/>
          <w:spacing w:val="-5"/>
        </w:rPr>
        <w:t> </w:t>
      </w:r>
      <w:r>
        <w:rPr>
          <w:color w:val="231F20"/>
        </w:rPr>
        <w:t>alcanza el 45%, con lo que supera a las otras dos ensambladoras, las cuales se quedan con el 35%,</w:t>
      </w:r>
      <w:r>
        <w:rPr>
          <w:color w:val="231F20"/>
          <w:spacing w:val="-9"/>
        </w:rPr>
        <w:t> </w:t>
      </w:r>
      <w:r>
        <w:rPr>
          <w:color w:val="231F20"/>
        </w:rPr>
        <w:t>para</w:t>
      </w:r>
      <w:r>
        <w:rPr>
          <w:color w:val="231F20"/>
          <w:spacing w:val="-9"/>
        </w:rPr>
        <w:t> </w:t>
      </w:r>
      <w:r>
        <w:rPr>
          <w:color w:val="231F20"/>
        </w:rPr>
        <w:t>General</w:t>
      </w:r>
      <w:r>
        <w:rPr>
          <w:color w:val="231F20"/>
          <w:spacing w:val="-9"/>
        </w:rPr>
        <w:t> </w:t>
      </w:r>
      <w:r>
        <w:rPr>
          <w:color w:val="231F20"/>
          <w:spacing w:val="-3"/>
        </w:rPr>
        <w:t>Motors,</w:t>
      </w:r>
      <w:r>
        <w:rPr>
          <w:color w:val="231F20"/>
          <w:spacing w:val="-9"/>
        </w:rPr>
        <w:t> </w:t>
      </w:r>
      <w:r>
        <w:rPr>
          <w:color w:val="231F20"/>
        </w:rPr>
        <w:t>y</w:t>
      </w:r>
      <w:r>
        <w:rPr>
          <w:color w:val="231F20"/>
          <w:spacing w:val="-9"/>
        </w:rPr>
        <w:t> </w:t>
      </w:r>
      <w:r>
        <w:rPr>
          <w:color w:val="231F20"/>
        </w:rPr>
        <w:t>21%,</w:t>
      </w:r>
      <w:r>
        <w:rPr>
          <w:color w:val="231F20"/>
          <w:spacing w:val="-9"/>
        </w:rPr>
        <w:t> </w:t>
      </w:r>
      <w:r>
        <w:rPr>
          <w:color w:val="231F20"/>
        </w:rPr>
        <w:t>para</w:t>
      </w:r>
      <w:r>
        <w:rPr>
          <w:color w:val="231F20"/>
          <w:spacing w:val="-9"/>
        </w:rPr>
        <w:t> </w:t>
      </w:r>
      <w:r>
        <w:rPr>
          <w:color w:val="231F20"/>
        </w:rPr>
        <w:t>Chrysler</w:t>
      </w:r>
      <w:r>
        <w:rPr>
          <w:color w:val="231F20"/>
          <w:spacing w:val="-9"/>
        </w:rPr>
        <w:t> </w:t>
      </w:r>
      <w:r>
        <w:rPr>
          <w:color w:val="231F20"/>
        </w:rPr>
        <w:t>(véase</w:t>
      </w:r>
      <w:r>
        <w:rPr>
          <w:color w:val="231F20"/>
          <w:spacing w:val="-9"/>
        </w:rPr>
        <w:t> </w:t>
      </w:r>
      <w:r>
        <w:rPr>
          <w:color w:val="231F20"/>
        </w:rPr>
        <w:t>cuadro</w:t>
      </w:r>
      <w:r>
        <w:rPr>
          <w:color w:val="231F20"/>
          <w:spacing w:val="-9"/>
        </w:rPr>
        <w:t> </w:t>
      </w:r>
      <w:r>
        <w:rPr>
          <w:color w:val="231F20"/>
          <w:spacing w:val="-6"/>
        </w:rPr>
        <w:t>IV.8).</w:t>
      </w:r>
    </w:p>
    <w:p>
      <w:pPr>
        <w:pStyle w:val="BodyText"/>
        <w:spacing w:line="278" w:lineRule="auto" w:before="1"/>
        <w:ind w:left="713" w:right="100" w:firstLine="396"/>
        <w:jc w:val="both"/>
      </w:pPr>
      <w:r>
        <w:rPr>
          <w:color w:val="231F20"/>
        </w:rPr>
        <w:t>Además, los cambios que se han presentado en el periodo que se analiza no son tan</w:t>
      </w:r>
      <w:r>
        <w:rPr>
          <w:color w:val="231F20"/>
          <w:spacing w:val="-10"/>
        </w:rPr>
        <w:t> </w:t>
      </w:r>
      <w:r>
        <w:rPr>
          <w:color w:val="231F20"/>
        </w:rPr>
        <w:t>drásticos:</w:t>
      </w:r>
      <w:r>
        <w:rPr>
          <w:color w:val="231F20"/>
          <w:spacing w:val="-10"/>
        </w:rPr>
        <w:t> </w:t>
      </w:r>
      <w:r>
        <w:rPr>
          <w:color w:val="231F20"/>
        </w:rPr>
        <w:t>entre</w:t>
      </w:r>
      <w:r>
        <w:rPr>
          <w:color w:val="231F20"/>
          <w:spacing w:val="-10"/>
        </w:rPr>
        <w:t> </w:t>
      </w:r>
      <w:r>
        <w:rPr>
          <w:color w:val="231F20"/>
        </w:rPr>
        <w:t>1988</w:t>
      </w:r>
      <w:r>
        <w:rPr>
          <w:color w:val="231F20"/>
          <w:spacing w:val="-10"/>
        </w:rPr>
        <w:t> </w:t>
      </w:r>
      <w:r>
        <w:rPr>
          <w:color w:val="231F20"/>
        </w:rPr>
        <w:t>y</w:t>
      </w:r>
      <w:r>
        <w:rPr>
          <w:color w:val="231F20"/>
          <w:spacing w:val="-10"/>
        </w:rPr>
        <w:t> </w:t>
      </w:r>
      <w:r>
        <w:rPr>
          <w:color w:val="231F20"/>
        </w:rPr>
        <w:t>2008,</w:t>
      </w:r>
      <w:r>
        <w:rPr>
          <w:color w:val="231F20"/>
          <w:spacing w:val="-10"/>
        </w:rPr>
        <w:t> </w:t>
      </w:r>
      <w:r>
        <w:rPr>
          <w:color w:val="231F20"/>
        </w:rPr>
        <w:t>Chrysler</w:t>
      </w:r>
      <w:r>
        <w:rPr>
          <w:color w:val="231F20"/>
          <w:spacing w:val="-10"/>
        </w:rPr>
        <w:t> </w:t>
      </w:r>
      <w:r>
        <w:rPr>
          <w:color w:val="231F20"/>
        </w:rPr>
        <w:t>disminuyó</w:t>
      </w:r>
      <w:r>
        <w:rPr>
          <w:color w:val="231F20"/>
          <w:spacing w:val="-10"/>
        </w:rPr>
        <w:t> </w:t>
      </w:r>
      <w:r>
        <w:rPr>
          <w:color w:val="231F20"/>
        </w:rPr>
        <w:t>su</w:t>
      </w:r>
      <w:r>
        <w:rPr>
          <w:color w:val="231F20"/>
          <w:spacing w:val="-10"/>
        </w:rPr>
        <w:t> </w:t>
      </w:r>
      <w:r>
        <w:rPr>
          <w:color w:val="231F20"/>
        </w:rPr>
        <w:t>participación</w:t>
      </w:r>
      <w:r>
        <w:rPr>
          <w:color w:val="231F20"/>
          <w:spacing w:val="-10"/>
        </w:rPr>
        <w:t> </w:t>
      </w:r>
      <w:r>
        <w:rPr>
          <w:color w:val="231F20"/>
        </w:rPr>
        <w:t>de</w:t>
      </w:r>
      <w:r>
        <w:rPr>
          <w:color w:val="231F20"/>
          <w:spacing w:val="-10"/>
        </w:rPr>
        <w:t> </w:t>
      </w:r>
      <w:r>
        <w:rPr>
          <w:color w:val="231F20"/>
        </w:rPr>
        <w:t>32.6</w:t>
      </w:r>
      <w:r>
        <w:rPr>
          <w:color w:val="231F20"/>
          <w:spacing w:val="-10"/>
        </w:rPr>
        <w:t> </w:t>
      </w:r>
      <w:r>
        <w:rPr>
          <w:color w:val="231F20"/>
        </w:rPr>
        <w:t>a</w:t>
      </w:r>
      <w:r>
        <w:rPr>
          <w:color w:val="231F20"/>
          <w:spacing w:val="-10"/>
        </w:rPr>
        <w:t> </w:t>
      </w:r>
      <w:r>
        <w:rPr>
          <w:color w:val="231F20"/>
        </w:rPr>
        <w:t>20.6%; </w:t>
      </w:r>
      <w:r>
        <w:rPr>
          <w:color w:val="231F20"/>
          <w:spacing w:val="-3"/>
        </w:rPr>
        <w:t>Ford </w:t>
      </w:r>
      <w:r>
        <w:rPr>
          <w:color w:val="231F20"/>
        </w:rPr>
        <w:t>la mantuvo prácticamente constante en casi 45%; y General </w:t>
      </w:r>
      <w:r>
        <w:rPr>
          <w:color w:val="231F20"/>
          <w:spacing w:val="-3"/>
        </w:rPr>
        <w:t>Motors </w:t>
      </w:r>
      <w:r>
        <w:rPr>
          <w:color w:val="231F20"/>
        </w:rPr>
        <w:t>ganó el mer- cado</w:t>
      </w:r>
      <w:r>
        <w:rPr>
          <w:color w:val="231F20"/>
          <w:spacing w:val="-9"/>
        </w:rPr>
        <w:t> </w:t>
      </w:r>
      <w:r>
        <w:rPr>
          <w:color w:val="231F20"/>
        </w:rPr>
        <w:t>perdido</w:t>
      </w:r>
      <w:r>
        <w:rPr>
          <w:color w:val="231F20"/>
          <w:spacing w:val="-9"/>
        </w:rPr>
        <w:t> </w:t>
      </w:r>
      <w:r>
        <w:rPr>
          <w:color w:val="231F20"/>
        </w:rPr>
        <w:t>por</w:t>
      </w:r>
      <w:r>
        <w:rPr>
          <w:color w:val="231F20"/>
          <w:spacing w:val="-9"/>
        </w:rPr>
        <w:t> </w:t>
      </w:r>
      <w:r>
        <w:rPr>
          <w:color w:val="231F20"/>
        </w:rPr>
        <w:t>Chrysler</w:t>
      </w:r>
      <w:r>
        <w:rPr>
          <w:color w:val="231F20"/>
          <w:spacing w:val="-9"/>
        </w:rPr>
        <w:t> </w:t>
      </w:r>
      <w:r>
        <w:rPr>
          <w:color w:val="231F20"/>
        </w:rPr>
        <w:t>al</w:t>
      </w:r>
      <w:r>
        <w:rPr>
          <w:color w:val="231F20"/>
          <w:spacing w:val="-9"/>
        </w:rPr>
        <w:t> </w:t>
      </w:r>
      <w:r>
        <w:rPr>
          <w:color w:val="231F20"/>
        </w:rPr>
        <w:t>pasar</w:t>
      </w:r>
      <w:r>
        <w:rPr>
          <w:color w:val="231F20"/>
          <w:spacing w:val="-9"/>
        </w:rPr>
        <w:t> </w:t>
      </w:r>
      <w:r>
        <w:rPr>
          <w:color w:val="231F20"/>
        </w:rPr>
        <w:t>de</w:t>
      </w:r>
      <w:r>
        <w:rPr>
          <w:color w:val="231F20"/>
          <w:spacing w:val="-9"/>
        </w:rPr>
        <w:t> </w:t>
      </w:r>
      <w:r>
        <w:rPr>
          <w:color w:val="231F20"/>
        </w:rPr>
        <w:t>23.4%</w:t>
      </w:r>
      <w:r>
        <w:rPr>
          <w:color w:val="231F20"/>
          <w:spacing w:val="-9"/>
        </w:rPr>
        <w:t> </w:t>
      </w:r>
      <w:r>
        <w:rPr>
          <w:color w:val="231F20"/>
        </w:rPr>
        <w:t>en</w:t>
      </w:r>
      <w:r>
        <w:rPr>
          <w:color w:val="231F20"/>
          <w:spacing w:val="-9"/>
        </w:rPr>
        <w:t> </w:t>
      </w:r>
      <w:r>
        <w:rPr>
          <w:color w:val="231F20"/>
        </w:rPr>
        <w:t>1988</w:t>
      </w:r>
      <w:r>
        <w:rPr>
          <w:color w:val="231F20"/>
          <w:spacing w:val="-9"/>
        </w:rPr>
        <w:t> </w:t>
      </w:r>
      <w:r>
        <w:rPr>
          <w:color w:val="231F20"/>
        </w:rPr>
        <w:t>a</w:t>
      </w:r>
      <w:r>
        <w:rPr>
          <w:color w:val="231F20"/>
          <w:spacing w:val="-9"/>
        </w:rPr>
        <w:t> </w:t>
      </w:r>
      <w:r>
        <w:rPr>
          <w:color w:val="231F20"/>
        </w:rPr>
        <w:t>34.5%</w:t>
      </w:r>
      <w:r>
        <w:rPr>
          <w:color w:val="231F20"/>
          <w:spacing w:val="-9"/>
        </w:rPr>
        <w:t> </w:t>
      </w:r>
      <w:r>
        <w:rPr>
          <w:color w:val="231F20"/>
        </w:rPr>
        <w:t>en</w:t>
      </w:r>
      <w:r>
        <w:rPr>
          <w:color w:val="231F20"/>
          <w:spacing w:val="-9"/>
        </w:rPr>
        <w:t> </w:t>
      </w:r>
      <w:r>
        <w:rPr>
          <w:color w:val="231F20"/>
        </w:rPr>
        <w:t>2008.</w:t>
      </w:r>
    </w:p>
    <w:p>
      <w:pPr>
        <w:pStyle w:val="BodyText"/>
        <w:spacing w:line="278" w:lineRule="auto" w:before="1"/>
        <w:ind w:left="713" w:right="100" w:firstLine="396"/>
        <w:jc w:val="both"/>
      </w:pPr>
      <w:r>
        <w:rPr>
          <w:color w:val="231F20"/>
          <w:spacing w:val="-3"/>
        </w:rPr>
        <w:t>Finalmente, </w:t>
      </w:r>
      <w:r>
        <w:rPr>
          <w:color w:val="231F20"/>
        </w:rPr>
        <w:t>debe destacarse </w:t>
      </w:r>
      <w:r>
        <w:rPr>
          <w:color w:val="231F20"/>
          <w:spacing w:val="-2"/>
        </w:rPr>
        <w:t>que </w:t>
      </w:r>
      <w:r>
        <w:rPr>
          <w:color w:val="231F20"/>
        </w:rPr>
        <w:t>ya desde 1992, pero </w:t>
      </w:r>
      <w:r>
        <w:rPr>
          <w:color w:val="231F20"/>
          <w:spacing w:val="-3"/>
        </w:rPr>
        <w:t>sobre </w:t>
      </w:r>
      <w:r>
        <w:rPr>
          <w:color w:val="231F20"/>
        </w:rPr>
        <w:t>todo a partir de 1994, año en </w:t>
      </w:r>
      <w:r>
        <w:rPr>
          <w:color w:val="231F20"/>
          <w:spacing w:val="-2"/>
        </w:rPr>
        <w:t>que </w:t>
      </w:r>
      <w:r>
        <w:rPr>
          <w:color w:val="231F20"/>
          <w:spacing w:val="-3"/>
        </w:rPr>
        <w:t>entró </w:t>
      </w:r>
      <w:r>
        <w:rPr>
          <w:color w:val="231F20"/>
        </w:rPr>
        <w:t>en vigor el TLCAN, la </w:t>
      </w:r>
      <w:r>
        <w:rPr>
          <w:color w:val="231F20"/>
          <w:spacing w:val="-3"/>
        </w:rPr>
        <w:t>producción </w:t>
      </w:r>
      <w:r>
        <w:rPr>
          <w:color w:val="231F20"/>
        </w:rPr>
        <w:t>para mercado </w:t>
      </w:r>
      <w:r>
        <w:rPr>
          <w:color w:val="231F20"/>
          <w:spacing w:val="-3"/>
        </w:rPr>
        <w:t>interno </w:t>
      </w:r>
      <w:r>
        <w:rPr>
          <w:color w:val="231F20"/>
        </w:rPr>
        <w:t>fue </w:t>
      </w:r>
      <w:r>
        <w:rPr>
          <w:color w:val="231F20"/>
          <w:spacing w:val="-3"/>
        </w:rPr>
        <w:t>disminu- </w:t>
      </w:r>
      <w:r>
        <w:rPr>
          <w:color w:val="231F20"/>
        </w:rPr>
        <w:t>yendo de manera notable en esta entidad. Se empezó a dar una fuerte caída en la </w:t>
      </w:r>
      <w:r>
        <w:rPr>
          <w:color w:val="231F20"/>
          <w:spacing w:val="-3"/>
        </w:rPr>
        <w:t>pro- ducción</w:t>
      </w:r>
      <w:r>
        <w:rPr>
          <w:color w:val="231F20"/>
          <w:spacing w:val="-8"/>
        </w:rPr>
        <w:t> </w:t>
      </w:r>
      <w:r>
        <w:rPr>
          <w:color w:val="231F20"/>
          <w:spacing w:val="-3"/>
        </w:rPr>
        <w:t>tanto</w:t>
      </w:r>
      <w:r>
        <w:rPr>
          <w:color w:val="231F20"/>
          <w:spacing w:val="-8"/>
        </w:rPr>
        <w:t> </w:t>
      </w:r>
      <w:r>
        <w:rPr>
          <w:color w:val="231F20"/>
        </w:rPr>
        <w:t>de</w:t>
      </w:r>
      <w:r>
        <w:rPr>
          <w:color w:val="231F20"/>
          <w:spacing w:val="-8"/>
        </w:rPr>
        <w:t> </w:t>
      </w:r>
      <w:r>
        <w:rPr>
          <w:color w:val="231F20"/>
          <w:spacing w:val="-3"/>
        </w:rPr>
        <w:t>automóviles</w:t>
      </w:r>
      <w:r>
        <w:rPr>
          <w:color w:val="231F20"/>
          <w:spacing w:val="-8"/>
        </w:rPr>
        <w:t> </w:t>
      </w:r>
      <w:r>
        <w:rPr>
          <w:color w:val="231F20"/>
        </w:rPr>
        <w:t>como</w:t>
      </w:r>
      <w:r>
        <w:rPr>
          <w:color w:val="231F20"/>
          <w:spacing w:val="-8"/>
        </w:rPr>
        <w:t> </w:t>
      </w:r>
      <w:r>
        <w:rPr>
          <w:color w:val="231F20"/>
        </w:rPr>
        <w:t>de</w:t>
      </w:r>
      <w:r>
        <w:rPr>
          <w:color w:val="231F20"/>
          <w:spacing w:val="-8"/>
        </w:rPr>
        <w:t> </w:t>
      </w:r>
      <w:r>
        <w:rPr>
          <w:color w:val="231F20"/>
        </w:rPr>
        <w:t>camiones</w:t>
      </w:r>
      <w:r>
        <w:rPr>
          <w:color w:val="231F20"/>
          <w:spacing w:val="-8"/>
        </w:rPr>
        <w:t> </w:t>
      </w:r>
      <w:r>
        <w:rPr>
          <w:color w:val="231F20"/>
        </w:rPr>
        <w:t>destinados</w:t>
      </w:r>
      <w:r>
        <w:rPr>
          <w:color w:val="231F20"/>
          <w:spacing w:val="-8"/>
        </w:rPr>
        <w:t> </w:t>
      </w:r>
      <w:r>
        <w:rPr>
          <w:color w:val="231F20"/>
        </w:rPr>
        <w:t>a</w:t>
      </w:r>
      <w:r>
        <w:rPr>
          <w:color w:val="231F20"/>
          <w:spacing w:val="-8"/>
        </w:rPr>
        <w:t> </w:t>
      </w:r>
      <w:r>
        <w:rPr>
          <w:color w:val="231F20"/>
        </w:rPr>
        <w:t>los</w:t>
      </w:r>
      <w:r>
        <w:rPr>
          <w:color w:val="231F20"/>
          <w:spacing w:val="-8"/>
        </w:rPr>
        <w:t> </w:t>
      </w:r>
      <w:r>
        <w:rPr>
          <w:color w:val="231F20"/>
        </w:rPr>
        <w:t>mercados</w:t>
      </w:r>
      <w:r>
        <w:rPr>
          <w:color w:val="231F20"/>
          <w:spacing w:val="-8"/>
        </w:rPr>
        <w:t> </w:t>
      </w:r>
      <w:r>
        <w:rPr>
          <w:color w:val="231F20"/>
        </w:rPr>
        <w:t>nacionales. De</w:t>
      </w:r>
      <w:r>
        <w:rPr>
          <w:color w:val="231F20"/>
          <w:spacing w:val="-16"/>
        </w:rPr>
        <w:t> </w:t>
      </w:r>
      <w:r>
        <w:rPr>
          <w:color w:val="231F20"/>
        </w:rPr>
        <w:t>esta</w:t>
      </w:r>
      <w:r>
        <w:rPr>
          <w:color w:val="231F20"/>
          <w:spacing w:val="-16"/>
        </w:rPr>
        <w:t> </w:t>
      </w:r>
      <w:r>
        <w:rPr>
          <w:color w:val="231F20"/>
        </w:rPr>
        <w:t>forma,</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spacing w:val="-3"/>
        </w:rPr>
        <w:t>automotriz</w:t>
      </w:r>
      <w:r>
        <w:rPr>
          <w:color w:val="231F20"/>
          <w:spacing w:val="-16"/>
        </w:rPr>
        <w:t> </w:t>
      </w:r>
      <w:r>
        <w:rPr>
          <w:color w:val="231F20"/>
        </w:rPr>
        <w:t>del</w:t>
      </w:r>
      <w:r>
        <w:rPr>
          <w:color w:val="231F20"/>
          <w:spacing w:val="-16"/>
        </w:rPr>
        <w:t> </w:t>
      </w:r>
      <w:r>
        <w:rPr>
          <w:color w:val="231F20"/>
        </w:rPr>
        <w:t>Estado</w:t>
      </w:r>
      <w:r>
        <w:rPr>
          <w:color w:val="231F20"/>
          <w:spacing w:val="-16"/>
        </w:rPr>
        <w:t> </w:t>
      </w:r>
      <w:r>
        <w:rPr>
          <w:color w:val="231F20"/>
        </w:rPr>
        <w:t>de</w:t>
      </w:r>
      <w:r>
        <w:rPr>
          <w:color w:val="231F20"/>
          <w:spacing w:val="-16"/>
        </w:rPr>
        <w:t> </w:t>
      </w:r>
      <w:r>
        <w:rPr>
          <w:color w:val="231F20"/>
          <w:spacing w:val="-3"/>
        </w:rPr>
        <w:t>México</w:t>
      </w:r>
      <w:r>
        <w:rPr>
          <w:color w:val="231F20"/>
          <w:spacing w:val="-16"/>
        </w:rPr>
        <w:t> </w:t>
      </w:r>
      <w:r>
        <w:rPr>
          <w:color w:val="231F20"/>
        </w:rPr>
        <w:t>empezó</w:t>
      </w:r>
      <w:r>
        <w:rPr>
          <w:color w:val="231F20"/>
          <w:spacing w:val="-16"/>
        </w:rPr>
        <w:t> </w:t>
      </w:r>
      <w:r>
        <w:rPr>
          <w:color w:val="231F20"/>
        </w:rPr>
        <w:t>a</w:t>
      </w:r>
      <w:r>
        <w:rPr>
          <w:color w:val="231F20"/>
          <w:spacing w:val="-16"/>
        </w:rPr>
        <w:t> </w:t>
      </w:r>
      <w:r>
        <w:rPr>
          <w:color w:val="231F20"/>
        </w:rPr>
        <w:t>basar</w:t>
      </w:r>
      <w:r>
        <w:rPr>
          <w:color w:val="231F20"/>
          <w:spacing w:val="-16"/>
        </w:rPr>
        <w:t> </w:t>
      </w:r>
      <w:r>
        <w:rPr>
          <w:color w:val="231F20"/>
        </w:rPr>
        <w:t>su</w:t>
      </w:r>
      <w:r>
        <w:rPr>
          <w:color w:val="231F20"/>
          <w:spacing w:val="-16"/>
        </w:rPr>
        <w:t> </w:t>
      </w:r>
      <w:r>
        <w:rPr>
          <w:color w:val="231F20"/>
          <w:spacing w:val="-3"/>
        </w:rPr>
        <w:t>crecimiento </w:t>
      </w:r>
      <w:r>
        <w:rPr>
          <w:color w:val="231F20"/>
        </w:rPr>
        <w:t>en</w:t>
      </w:r>
      <w:r>
        <w:rPr>
          <w:color w:val="231F20"/>
          <w:spacing w:val="-9"/>
        </w:rPr>
        <w:t> </w:t>
      </w:r>
      <w:r>
        <w:rPr>
          <w:color w:val="231F20"/>
        </w:rPr>
        <w:t>la</w:t>
      </w:r>
      <w:r>
        <w:rPr>
          <w:color w:val="231F20"/>
          <w:spacing w:val="-9"/>
        </w:rPr>
        <w:t> </w:t>
      </w:r>
      <w:r>
        <w:rPr>
          <w:color w:val="231F20"/>
          <w:spacing w:val="-3"/>
        </w:rPr>
        <w:t>producción</w:t>
      </w:r>
      <w:r>
        <w:rPr>
          <w:color w:val="231F20"/>
          <w:spacing w:val="-9"/>
        </w:rPr>
        <w:t> </w:t>
      </w:r>
      <w:r>
        <w:rPr>
          <w:color w:val="231F20"/>
        </w:rPr>
        <w:t>para</w:t>
      </w:r>
      <w:r>
        <w:rPr>
          <w:color w:val="231F20"/>
          <w:spacing w:val="-9"/>
        </w:rPr>
        <w:t> </w:t>
      </w:r>
      <w:r>
        <w:rPr>
          <w:color w:val="231F20"/>
        </w:rPr>
        <w:t>los</w:t>
      </w:r>
      <w:r>
        <w:rPr>
          <w:color w:val="231F20"/>
          <w:spacing w:val="-9"/>
        </w:rPr>
        <w:t> </w:t>
      </w:r>
      <w:r>
        <w:rPr>
          <w:color w:val="231F20"/>
        </w:rPr>
        <w:t>mercados</w:t>
      </w:r>
      <w:r>
        <w:rPr>
          <w:color w:val="231F20"/>
          <w:spacing w:val="-9"/>
        </w:rPr>
        <w:t> </w:t>
      </w:r>
      <w:r>
        <w:rPr>
          <w:color w:val="231F20"/>
          <w:spacing w:val="-3"/>
        </w:rPr>
        <w:t>internacionales</w:t>
      </w:r>
      <w:r>
        <w:rPr>
          <w:color w:val="231F20"/>
          <w:spacing w:val="-9"/>
        </w:rPr>
        <w:t> </w:t>
      </w:r>
      <w:r>
        <w:rPr>
          <w:color w:val="231F20"/>
        </w:rPr>
        <w:t>(véase</w:t>
      </w:r>
      <w:r>
        <w:rPr>
          <w:color w:val="231F20"/>
          <w:spacing w:val="-9"/>
        </w:rPr>
        <w:t> </w:t>
      </w:r>
      <w:r>
        <w:rPr>
          <w:color w:val="231F20"/>
        </w:rPr>
        <w:t>gráfica</w:t>
      </w:r>
      <w:r>
        <w:rPr>
          <w:color w:val="231F20"/>
          <w:spacing w:val="-9"/>
        </w:rPr>
        <w:t> </w:t>
      </w:r>
      <w:r>
        <w:rPr>
          <w:color w:val="231F20"/>
          <w:spacing w:val="-7"/>
        </w:rPr>
        <w:t>IV.3).</w:t>
      </w:r>
    </w:p>
    <w:p>
      <w:pPr>
        <w:pStyle w:val="BodyText"/>
        <w:spacing w:before="8"/>
        <w:rPr>
          <w:sz w:val="17"/>
        </w:rPr>
      </w:pPr>
    </w:p>
    <w:p>
      <w:pPr>
        <w:pStyle w:val="Heading4"/>
        <w:ind w:left="775" w:right="166"/>
      </w:pPr>
      <w:r>
        <w:rPr>
          <w:color w:val="231F20"/>
          <w:w w:val="90"/>
        </w:rPr>
        <w:t>Gráfica IV.3</w:t>
      </w:r>
    </w:p>
    <w:p>
      <w:pPr>
        <w:spacing w:line="237" w:lineRule="auto" w:before="0"/>
        <w:ind w:left="733" w:right="121" w:firstLine="0"/>
        <w:jc w:val="center"/>
        <w:rPr>
          <w:rFonts w:ascii="Palatino Linotype" w:hAnsi="Palatino Linotype"/>
          <w:b/>
          <w:sz w:val="21"/>
        </w:rPr>
      </w:pPr>
      <w:r>
        <w:rPr>
          <w:rFonts w:ascii="Palatino Linotype" w:hAnsi="Palatino Linotype"/>
          <w:b/>
          <w:color w:val="231F20"/>
          <w:w w:val="95"/>
          <w:sz w:val="21"/>
        </w:rPr>
        <w:t>Estado</w:t>
      </w:r>
      <w:r>
        <w:rPr>
          <w:rFonts w:ascii="Palatino Linotype" w:hAnsi="Palatino Linotype"/>
          <w:b/>
          <w:color w:val="231F20"/>
          <w:spacing w:val="-29"/>
          <w:w w:val="95"/>
          <w:sz w:val="21"/>
        </w:rPr>
        <w:t> </w:t>
      </w:r>
      <w:r>
        <w:rPr>
          <w:rFonts w:ascii="Palatino Linotype" w:hAnsi="Palatino Linotype"/>
          <w:b/>
          <w:color w:val="231F20"/>
          <w:w w:val="95"/>
          <w:sz w:val="21"/>
        </w:rPr>
        <w:t>de</w:t>
      </w:r>
      <w:r>
        <w:rPr>
          <w:rFonts w:ascii="Palatino Linotype" w:hAnsi="Palatino Linotype"/>
          <w:b/>
          <w:color w:val="231F20"/>
          <w:spacing w:val="-29"/>
          <w:w w:val="95"/>
          <w:sz w:val="21"/>
        </w:rPr>
        <w:t> </w:t>
      </w:r>
      <w:r>
        <w:rPr>
          <w:rFonts w:ascii="Palatino Linotype" w:hAnsi="Palatino Linotype"/>
          <w:b/>
          <w:color w:val="231F20"/>
          <w:w w:val="95"/>
          <w:sz w:val="21"/>
        </w:rPr>
        <w:t>México:</w:t>
      </w:r>
      <w:r>
        <w:rPr>
          <w:rFonts w:ascii="Palatino Linotype" w:hAnsi="Palatino Linotype"/>
          <w:b/>
          <w:color w:val="231F20"/>
          <w:spacing w:val="-29"/>
          <w:w w:val="95"/>
          <w:sz w:val="21"/>
        </w:rPr>
        <w:t> </w:t>
      </w:r>
      <w:r>
        <w:rPr>
          <w:rFonts w:ascii="Palatino Linotype" w:hAnsi="Palatino Linotype"/>
          <w:b/>
          <w:color w:val="231F20"/>
          <w:w w:val="95"/>
          <w:sz w:val="21"/>
        </w:rPr>
        <w:t>producción</w:t>
      </w:r>
      <w:r>
        <w:rPr>
          <w:rFonts w:ascii="Palatino Linotype" w:hAnsi="Palatino Linotype"/>
          <w:b/>
          <w:color w:val="231F20"/>
          <w:spacing w:val="-29"/>
          <w:w w:val="95"/>
          <w:sz w:val="21"/>
        </w:rPr>
        <w:t> </w:t>
      </w:r>
      <w:r>
        <w:rPr>
          <w:rFonts w:ascii="Palatino Linotype" w:hAnsi="Palatino Linotype"/>
          <w:b/>
          <w:color w:val="231F20"/>
          <w:w w:val="95"/>
          <w:sz w:val="21"/>
        </w:rPr>
        <w:t>de</w:t>
      </w:r>
      <w:r>
        <w:rPr>
          <w:rFonts w:ascii="Palatino Linotype" w:hAnsi="Palatino Linotype"/>
          <w:b/>
          <w:color w:val="231F20"/>
          <w:spacing w:val="-29"/>
          <w:w w:val="95"/>
          <w:sz w:val="21"/>
        </w:rPr>
        <w:t> </w:t>
      </w:r>
      <w:r>
        <w:rPr>
          <w:rFonts w:ascii="Palatino Linotype" w:hAnsi="Palatino Linotype"/>
          <w:b/>
          <w:color w:val="231F20"/>
          <w:w w:val="95"/>
          <w:sz w:val="21"/>
        </w:rPr>
        <w:t>vehículos</w:t>
      </w:r>
      <w:r>
        <w:rPr>
          <w:rFonts w:ascii="Palatino Linotype" w:hAnsi="Palatino Linotype"/>
          <w:b/>
          <w:color w:val="231F20"/>
          <w:spacing w:val="-29"/>
          <w:w w:val="95"/>
          <w:sz w:val="21"/>
        </w:rPr>
        <w:t> </w:t>
      </w:r>
      <w:r>
        <w:rPr>
          <w:rFonts w:ascii="Palatino Linotype" w:hAnsi="Palatino Linotype"/>
          <w:b/>
          <w:color w:val="231F20"/>
          <w:w w:val="95"/>
          <w:sz w:val="21"/>
        </w:rPr>
        <w:t>por</w:t>
      </w:r>
      <w:r>
        <w:rPr>
          <w:rFonts w:ascii="Palatino Linotype" w:hAnsi="Palatino Linotype"/>
          <w:b/>
          <w:color w:val="231F20"/>
          <w:spacing w:val="-29"/>
          <w:w w:val="95"/>
          <w:sz w:val="21"/>
        </w:rPr>
        <w:t> </w:t>
      </w:r>
      <w:r>
        <w:rPr>
          <w:rFonts w:ascii="Palatino Linotype" w:hAnsi="Palatino Linotype"/>
          <w:b/>
          <w:color w:val="231F20"/>
          <w:w w:val="95"/>
          <w:sz w:val="21"/>
        </w:rPr>
        <w:t>mercado</w:t>
      </w:r>
      <w:r>
        <w:rPr>
          <w:rFonts w:ascii="Palatino Linotype" w:hAnsi="Palatino Linotype"/>
          <w:b/>
          <w:color w:val="231F20"/>
          <w:spacing w:val="-29"/>
          <w:w w:val="95"/>
          <w:sz w:val="21"/>
        </w:rPr>
        <w:t> </w:t>
      </w:r>
      <w:r>
        <w:rPr>
          <w:rFonts w:ascii="Palatino Linotype" w:hAnsi="Palatino Linotype"/>
          <w:b/>
          <w:color w:val="231F20"/>
          <w:w w:val="95"/>
          <w:sz w:val="21"/>
        </w:rPr>
        <w:t>de</w:t>
      </w:r>
      <w:r>
        <w:rPr>
          <w:rFonts w:ascii="Palatino Linotype" w:hAnsi="Palatino Linotype"/>
          <w:b/>
          <w:color w:val="231F20"/>
          <w:spacing w:val="-29"/>
          <w:w w:val="95"/>
          <w:sz w:val="21"/>
        </w:rPr>
        <w:t> </w:t>
      </w:r>
      <w:r>
        <w:rPr>
          <w:rFonts w:ascii="Palatino Linotype" w:hAnsi="Palatino Linotype"/>
          <w:b/>
          <w:color w:val="231F20"/>
          <w:w w:val="95"/>
          <w:sz w:val="21"/>
        </w:rPr>
        <w:t>destino,</w:t>
      </w:r>
      <w:r>
        <w:rPr>
          <w:rFonts w:ascii="Palatino Linotype" w:hAnsi="Palatino Linotype"/>
          <w:b/>
          <w:color w:val="231F20"/>
          <w:spacing w:val="-29"/>
          <w:w w:val="95"/>
          <w:sz w:val="21"/>
        </w:rPr>
        <w:t> </w:t>
      </w:r>
      <w:r>
        <w:rPr>
          <w:rFonts w:ascii="Palatino Linotype" w:hAnsi="Palatino Linotype"/>
          <w:b/>
          <w:color w:val="231F20"/>
          <w:w w:val="95"/>
          <w:sz w:val="21"/>
        </w:rPr>
        <w:t>1988-2008 </w:t>
      </w:r>
      <w:r>
        <w:rPr>
          <w:rFonts w:ascii="Palatino Linotype" w:hAnsi="Palatino Linotype"/>
          <w:b/>
          <w:color w:val="231F20"/>
          <w:sz w:val="21"/>
        </w:rPr>
        <w:t>(Unidades)</w:t>
      </w:r>
    </w:p>
    <w:p>
      <w:pPr>
        <w:pStyle w:val="BodyText"/>
        <w:spacing w:before="13"/>
        <w:rPr>
          <w:rFonts w:ascii="Palatino Linotype"/>
          <w:b/>
          <w:sz w:val="9"/>
        </w:rPr>
      </w:pPr>
    </w:p>
    <w:p>
      <w:pPr>
        <w:spacing w:before="45"/>
        <w:ind w:left="841" w:right="1617" w:firstLine="0"/>
        <w:jc w:val="left"/>
        <w:rPr>
          <w:rFonts w:ascii="Palatino Linotype"/>
          <w:sz w:val="17"/>
        </w:rPr>
      </w:pPr>
      <w:r>
        <w:rPr/>
        <w:pict>
          <v:group style="position:absolute;margin-left:98.256599pt;margin-top:7.92754pt;width:305.25pt;height:114.05pt;mso-position-horizontal-relative:page;mso-position-vertical-relative:paragraph;z-index:10096" coordorigin="1965,159" coordsize="6105,2281">
            <v:shape style="position:absolute;left:0;top:5224;width:6092;height:2268" coordorigin="0,5224" coordsize="6092,2268" path="m1972,165l8063,165m1972,541l8063,541m1972,917l8063,917m1972,1293l3216,1293m1972,1668l3501,1668m1972,2057l8063,2057m1972,2433l1972,165m1972,2433l8063,2433m3332,1293l8063,1293m3618,1668l8063,1668e" filled="false" stroked="true" strokeweight=".648pt" strokecolor="#989b9d">
              <v:path arrowok="t"/>
            </v:shape>
            <v:shape style="position:absolute;left:2114;top:528;width:5807;height:1698" coordorigin="2114,528" coordsize="5807,1698" path="m2114,2148l2399,2109,2697,2148,2983,2122,3281,2057,3566,2044,3851,2109,4149,2161,4434,2083,4719,2031,5017,2226,5302,2122,5600,541,5886,528,6171,658,6469,865,6754,748,7052,554,7337,1007,7622,1318,7920,1033e" filled="false" stroked="true" strokeweight="1.944pt" strokecolor="#5c5d5f">
              <v:path arrowok="t"/>
            </v:shape>
            <v:shape style="position:absolute;left:2043;top:2077;width:143;height:143" type="#_x0000_t75" stroked="false">
              <v:imagedata r:id="rId236" o:title=""/>
            </v:shape>
            <v:shape style="position:absolute;left:2328;top:2038;width:143;height:143" type="#_x0000_t75" stroked="false">
              <v:imagedata r:id="rId236" o:title=""/>
            </v:shape>
            <v:shape style="position:absolute;left:2626;top:2077;width:143;height:143" type="#_x0000_t75" stroked="false">
              <v:imagedata r:id="rId236" o:title=""/>
            </v:shape>
            <v:shape style="position:absolute;left:2911;top:2051;width:143;height:143" type="#_x0000_t75" stroked="false">
              <v:imagedata r:id="rId237" o:title=""/>
            </v:shape>
            <v:shape style="position:absolute;left:3209;top:1986;width:143;height:143" type="#_x0000_t75" stroked="false">
              <v:imagedata r:id="rId236" o:title=""/>
            </v:shape>
            <v:shape style="position:absolute;left:3494;top:1973;width:143;height:143" type="#_x0000_t75" stroked="false">
              <v:imagedata r:id="rId238" o:title=""/>
            </v:shape>
            <v:shape style="position:absolute;left:3780;top:2038;width:143;height:143" type="#_x0000_t75" stroked="false">
              <v:imagedata r:id="rId239" o:title=""/>
            </v:shape>
            <v:shape style="position:absolute;left:4078;top:2090;width:143;height:143" type="#_x0000_t75" stroked="false">
              <v:imagedata r:id="rId240" o:title=""/>
            </v:shape>
            <v:shape style="position:absolute;left:4363;top:2012;width:143;height:143" type="#_x0000_t75" stroked="false">
              <v:imagedata r:id="rId241" o:title=""/>
            </v:shape>
            <v:shape style="position:absolute;left:4648;top:1960;width:143;height:143" type="#_x0000_t75" stroked="false">
              <v:imagedata r:id="rId242" o:title=""/>
            </v:shape>
            <v:shape style="position:absolute;left:4946;top:2154;width:143;height:143" type="#_x0000_t75" stroked="false">
              <v:imagedata r:id="rId243" o:title=""/>
            </v:shape>
            <v:shape style="position:absolute;left:5231;top:2051;width:143;height:143" type="#_x0000_t75" stroked="false">
              <v:imagedata r:id="rId244" o:title=""/>
            </v:shape>
            <v:shape style="position:absolute;left:5529;top:470;width:143;height:143" type="#_x0000_t75" stroked="false">
              <v:imagedata r:id="rId245" o:title=""/>
            </v:shape>
            <v:shape style="position:absolute;left:5814;top:457;width:143;height:143" type="#_x0000_t75" stroked="false">
              <v:imagedata r:id="rId244" o:title=""/>
            </v:shape>
            <v:shape style="position:absolute;left:6099;top:586;width:143;height:143" type="#_x0000_t75" stroked="false">
              <v:imagedata r:id="rId244" o:title=""/>
            </v:shape>
            <v:shape style="position:absolute;left:6397;top:794;width:143;height:143" type="#_x0000_t75" stroked="false">
              <v:imagedata r:id="rId245" o:title=""/>
            </v:shape>
            <v:shape style="position:absolute;left:6683;top:677;width:143;height:143" type="#_x0000_t75" stroked="false">
              <v:imagedata r:id="rId244" o:title=""/>
            </v:shape>
            <v:shape style="position:absolute;left:6981;top:483;width:143;height:143" type="#_x0000_t75" stroked="false">
              <v:imagedata r:id="rId244" o:title=""/>
            </v:shape>
            <v:shape style="position:absolute;left:7266;top:936;width:143;height:143" type="#_x0000_t75" stroked="false">
              <v:imagedata r:id="rId246" o:title=""/>
            </v:shape>
            <v:shape style="position:absolute;left:7551;top:1247;width:143;height:143" type="#_x0000_t75" stroked="false">
              <v:imagedata r:id="rId247" o:title=""/>
            </v:shape>
            <v:shape style="position:absolute;left:7849;top:962;width:143;height:143" type="#_x0000_t75" stroked="false">
              <v:imagedata r:id="rId247" o:title=""/>
            </v:shape>
            <v:shape style="position:absolute;left:2114;top:1267;width:5807;height:1063" coordorigin="2114,1267" coordsize="5807,1063" path="m2114,1889l2399,1604,2697,1578,2983,1370,3281,1267,3566,1707,3851,1928,4149,2329,4434,2278,4719,2265,5017,2239,5302,2187,5600,2200,5886,2200,6171,2174,6469,2226,6754,2213,7052,2187,7337,2161,7622,2239,7920,2161e" filled="false" stroked="true" strokeweight="1.944pt" strokecolor="#c4c6c8">
              <v:path arrowok="t"/>
            </v:shape>
            <v:shape style="position:absolute;left:2049;top:1202;width:5923;height:1180" coordorigin="2049,1202" coordsize="5923,1180" path="m2166,1824l2049,1824,2049,1941,2166,1941,2166,1824m2451,1539l2335,1539,2335,1655,2451,1655,2451,1539m2749,1513l2633,1513,2633,1630,2749,1630,2749,1513m3034,1306l2918,1306,2918,1422,3034,1422,3034,1306m3332,1202l3216,1202,3216,1318,3332,1318,3332,1202m3618,1642l3501,1642,3501,1759,3618,1759,3618,1642m3903,1863l3786,1863,3786,1979,3903,1979,3903,1863m4201,2265l4084,2265,4084,2381,4201,2381,4201,2265m4486,2213l4369,2213,4369,2329,4486,2329,4486,2213m4771,2200l4654,2200,4654,2316,4771,2316,4771,2200m5069,2174l4952,2174,4952,2291,5069,2291,5069,2174m5354,2122l5238,2122,5238,2239,5354,2239,5354,2122m5652,2135l5536,2135,5536,2252,5652,2252,5652,2135m5937,2135l5821,2135,5821,2252,5937,2252,5937,2135m6223,2109l6106,2109,6106,2226,6223,2226,6223,2109m6521,2161l6404,2161,6404,2278,6521,2278,6521,2161m6806,2148l6689,2148,6689,2265,6806,2265,6806,2148m7104,2122l6987,2122,6987,2239,7104,2239,7104,2122m7389,2096l7272,2096,7272,2213,7389,2213,7389,2096m7674,2174l7557,2174,7557,2291,7674,2291,7674,2174m7972,2096l7855,2096,7855,2213,7972,2213,7972,2096e" filled="true" fillcolor="#c4c6c8" stroked="false">
              <v:path arrowok="t"/>
              <v:fill type="solid"/>
            </v:shape>
            <w10:wrap type="none"/>
          </v:group>
        </w:pict>
      </w:r>
      <w:r>
        <w:rPr>
          <w:rFonts w:ascii="Palatino Linotype"/>
          <w:color w:val="231F20"/>
          <w:sz w:val="17"/>
        </w:rPr>
        <w:t>600,000</w:t>
      </w:r>
    </w:p>
    <w:p>
      <w:pPr>
        <w:pStyle w:val="BodyText"/>
        <w:spacing w:before="9"/>
        <w:rPr>
          <w:rFonts w:ascii="Palatino Linotype"/>
          <w:sz w:val="7"/>
        </w:rPr>
      </w:pPr>
    </w:p>
    <w:p>
      <w:pPr>
        <w:spacing w:before="45"/>
        <w:ind w:left="841" w:right="1617" w:firstLine="0"/>
        <w:jc w:val="left"/>
        <w:rPr>
          <w:rFonts w:ascii="Palatino Linotype"/>
          <w:sz w:val="17"/>
        </w:rPr>
      </w:pPr>
      <w:r>
        <w:rPr>
          <w:rFonts w:ascii="Palatino Linotype"/>
          <w:color w:val="231F20"/>
          <w:sz w:val="17"/>
        </w:rPr>
        <w:t>500,000</w:t>
      </w:r>
    </w:p>
    <w:p>
      <w:pPr>
        <w:pStyle w:val="BodyText"/>
        <w:spacing w:before="9"/>
        <w:rPr>
          <w:rFonts w:ascii="Palatino Linotype"/>
          <w:sz w:val="7"/>
        </w:rPr>
      </w:pPr>
    </w:p>
    <w:p>
      <w:pPr>
        <w:spacing w:before="45"/>
        <w:ind w:left="841" w:right="1617" w:firstLine="0"/>
        <w:jc w:val="left"/>
        <w:rPr>
          <w:rFonts w:ascii="Palatino Linotype"/>
          <w:sz w:val="17"/>
        </w:rPr>
      </w:pPr>
      <w:r>
        <w:rPr>
          <w:rFonts w:ascii="Palatino Linotype"/>
          <w:color w:val="231F20"/>
          <w:sz w:val="17"/>
        </w:rPr>
        <w:t>400,000</w:t>
      </w:r>
    </w:p>
    <w:p>
      <w:pPr>
        <w:pStyle w:val="BodyText"/>
        <w:spacing w:before="9"/>
        <w:rPr>
          <w:rFonts w:ascii="Palatino Linotype"/>
          <w:sz w:val="7"/>
        </w:rPr>
      </w:pPr>
    </w:p>
    <w:p>
      <w:pPr>
        <w:spacing w:before="45"/>
        <w:ind w:left="841" w:right="1617" w:firstLine="0"/>
        <w:jc w:val="left"/>
        <w:rPr>
          <w:rFonts w:ascii="Palatino Linotype"/>
          <w:sz w:val="17"/>
        </w:rPr>
      </w:pPr>
      <w:r>
        <w:rPr>
          <w:rFonts w:ascii="Palatino Linotype"/>
          <w:color w:val="231F20"/>
          <w:sz w:val="17"/>
        </w:rPr>
        <w:t>300,000</w:t>
      </w:r>
    </w:p>
    <w:p>
      <w:pPr>
        <w:pStyle w:val="BodyText"/>
        <w:spacing w:before="8"/>
        <w:rPr>
          <w:rFonts w:ascii="Palatino Linotype"/>
          <w:sz w:val="7"/>
        </w:rPr>
      </w:pPr>
    </w:p>
    <w:p>
      <w:pPr>
        <w:spacing w:before="46"/>
        <w:ind w:left="841" w:right="1617" w:firstLine="0"/>
        <w:jc w:val="left"/>
        <w:rPr>
          <w:rFonts w:ascii="Palatino Linotype"/>
          <w:sz w:val="17"/>
        </w:rPr>
      </w:pPr>
      <w:r>
        <w:rPr>
          <w:rFonts w:ascii="Palatino Linotype"/>
          <w:color w:val="231F20"/>
          <w:sz w:val="17"/>
        </w:rPr>
        <w:t>200,000</w:t>
      </w:r>
    </w:p>
    <w:p>
      <w:pPr>
        <w:pStyle w:val="BodyText"/>
        <w:spacing w:before="9"/>
        <w:rPr>
          <w:rFonts w:ascii="Palatino Linotype"/>
          <w:sz w:val="7"/>
        </w:rPr>
      </w:pPr>
    </w:p>
    <w:p>
      <w:pPr>
        <w:spacing w:before="45"/>
        <w:ind w:left="841" w:right="1617" w:firstLine="0"/>
        <w:jc w:val="left"/>
        <w:rPr>
          <w:rFonts w:ascii="Palatino Linotype"/>
          <w:sz w:val="17"/>
        </w:rPr>
      </w:pPr>
      <w:r>
        <w:rPr>
          <w:rFonts w:ascii="Palatino Linotype"/>
          <w:color w:val="231F20"/>
          <w:sz w:val="17"/>
        </w:rPr>
        <w:t>100,000</w:t>
      </w:r>
    </w:p>
    <w:p>
      <w:pPr>
        <w:pStyle w:val="BodyText"/>
        <w:spacing w:before="8"/>
        <w:rPr>
          <w:rFonts w:ascii="Palatino Linotype"/>
          <w:sz w:val="7"/>
        </w:rPr>
      </w:pPr>
    </w:p>
    <w:p>
      <w:pPr>
        <w:spacing w:before="46"/>
        <w:ind w:left="1317" w:right="0" w:firstLine="0"/>
        <w:jc w:val="left"/>
        <w:rPr>
          <w:rFonts w:ascii="Palatino Linotype"/>
          <w:sz w:val="17"/>
        </w:rPr>
      </w:pPr>
      <w:r>
        <w:rPr/>
        <w:pict>
          <v:shape style="position:absolute;margin-left:101.632622pt;margin-top:13.069464pt;width:301.05pt;height:18.9pt;mso-position-horizontal-relative:page;mso-position-vertical-relative:paragraph;z-index:10168" type="#_x0000_t202" filled="false" stroked="false">
            <v:textbox inset="0,0,0,0" style="layout-flow:vertical;mso-layout-flow-alt:bottom-to-top">
              <w:txbxContent>
                <w:p>
                  <w:pPr>
                    <w:spacing w:line="195" w:lineRule="exact" w:before="0"/>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88</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89</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90</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91</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92</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93</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94</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95</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96</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97</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98</w:t>
                  </w:r>
                </w:p>
                <w:p>
                  <w:pPr>
                    <w:spacing w:before="61"/>
                    <w:ind w:left="20" w:right="0" w:firstLine="0"/>
                    <w:jc w:val="left"/>
                    <w:rPr>
                      <w:rFonts w:ascii="Palatino Linotype"/>
                      <w:sz w:val="17"/>
                    </w:rPr>
                  </w:pPr>
                  <w:r>
                    <w:rPr>
                      <w:rFonts w:ascii="Palatino Linotype"/>
                      <w:color w:val="231F20"/>
                      <w:spacing w:val="6"/>
                      <w:w w:val="95"/>
                      <w:sz w:val="17"/>
                    </w:rPr>
                    <w:t>1</w:t>
                  </w:r>
                  <w:r>
                    <w:rPr>
                      <w:rFonts w:ascii="Palatino Linotype"/>
                      <w:color w:val="231F20"/>
                      <w:spacing w:val="-7"/>
                      <w:w w:val="95"/>
                      <w:sz w:val="17"/>
                    </w:rPr>
                    <w:t>9</w:t>
                  </w:r>
                  <w:r>
                    <w:rPr>
                      <w:rFonts w:ascii="Palatino Linotype"/>
                      <w:color w:val="231F20"/>
                      <w:spacing w:val="6"/>
                      <w:w w:val="95"/>
                      <w:sz w:val="17"/>
                    </w:rPr>
                    <w:t>99</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00</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01</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02</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03</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04</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05</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06</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07</w:t>
                  </w:r>
                </w:p>
                <w:p>
                  <w:pPr>
                    <w:spacing w:before="61"/>
                    <w:ind w:left="20" w:right="0" w:firstLine="0"/>
                    <w:jc w:val="left"/>
                    <w:rPr>
                      <w:rFonts w:ascii="Palatino Linotype"/>
                      <w:sz w:val="17"/>
                    </w:rPr>
                  </w:pPr>
                  <w:r>
                    <w:rPr>
                      <w:rFonts w:ascii="Palatino Linotype"/>
                      <w:color w:val="231F20"/>
                      <w:spacing w:val="6"/>
                      <w:w w:val="95"/>
                      <w:sz w:val="17"/>
                    </w:rPr>
                    <w:t>2</w:t>
                  </w:r>
                  <w:r>
                    <w:rPr>
                      <w:rFonts w:ascii="Palatino Linotype"/>
                      <w:color w:val="231F20"/>
                      <w:spacing w:val="-7"/>
                      <w:w w:val="95"/>
                      <w:sz w:val="17"/>
                    </w:rPr>
                    <w:t>0</w:t>
                  </w:r>
                  <w:r>
                    <w:rPr>
                      <w:rFonts w:ascii="Palatino Linotype"/>
                      <w:color w:val="231F20"/>
                      <w:spacing w:val="6"/>
                      <w:w w:val="95"/>
                      <w:sz w:val="17"/>
                    </w:rPr>
                    <w:t>08</w:t>
                  </w:r>
                </w:p>
              </w:txbxContent>
            </v:textbox>
            <w10:wrap type="none"/>
          </v:shape>
        </w:pict>
      </w:r>
      <w:r>
        <w:rPr>
          <w:rFonts w:ascii="Palatino Linotype"/>
          <w:color w:val="231F20"/>
          <w:w w:val="95"/>
          <w:sz w:val="17"/>
        </w:rPr>
        <w:t>0</w:t>
      </w:r>
    </w:p>
    <w:p>
      <w:pPr>
        <w:pStyle w:val="BodyText"/>
        <w:rPr>
          <w:rFonts w:ascii="Palatino Linotype"/>
          <w:sz w:val="20"/>
        </w:rPr>
      </w:pPr>
    </w:p>
    <w:p>
      <w:pPr>
        <w:pStyle w:val="BodyText"/>
        <w:spacing w:before="8"/>
        <w:rPr>
          <w:rFonts w:ascii="Palatino Linotype"/>
          <w:sz w:val="15"/>
        </w:rPr>
      </w:pPr>
    </w:p>
    <w:p>
      <w:pPr>
        <w:tabs>
          <w:tab w:pos="4953" w:val="left" w:leader="none"/>
        </w:tabs>
        <w:spacing w:before="0"/>
        <w:ind w:left="3547" w:right="1617" w:firstLine="0"/>
        <w:jc w:val="left"/>
        <w:rPr>
          <w:rFonts w:ascii="Palatino Linotype" w:hAnsi="Palatino Linotype"/>
          <w:sz w:val="17"/>
        </w:rPr>
      </w:pPr>
      <w:r>
        <w:rPr/>
        <w:drawing>
          <wp:anchor distT="0" distB="0" distL="0" distR="0" allowOverlap="1" layoutInCell="1" locked="0" behindDoc="0" simplePos="0" relativeHeight="10120">
            <wp:simplePos x="0" y="0"/>
            <wp:positionH relativeFrom="page">
              <wp:posOffset>2268344</wp:posOffset>
            </wp:positionH>
            <wp:positionV relativeFrom="paragraph">
              <wp:posOffset>33611</wp:posOffset>
            </wp:positionV>
            <wp:extent cx="238658" cy="74066"/>
            <wp:effectExtent l="0" t="0" r="0" b="0"/>
            <wp:wrapNone/>
            <wp:docPr id="25" name="image139.png" descr=""/>
            <wp:cNvGraphicFramePr>
              <a:graphicFrameLocks noChangeAspect="1"/>
            </wp:cNvGraphicFramePr>
            <a:graphic>
              <a:graphicData uri="http://schemas.openxmlformats.org/drawingml/2006/picture">
                <pic:pic>
                  <pic:nvPicPr>
                    <pic:cNvPr id="26" name="image139.png"/>
                    <pic:cNvPicPr/>
                  </pic:nvPicPr>
                  <pic:blipFill>
                    <a:blip r:embed="rId248" cstate="print"/>
                    <a:stretch>
                      <a:fillRect/>
                    </a:stretch>
                  </pic:blipFill>
                  <pic:spPr>
                    <a:xfrm>
                      <a:off x="0" y="0"/>
                      <a:ext cx="238658" cy="74066"/>
                    </a:xfrm>
                    <a:prstGeom prst="rect">
                      <a:avLst/>
                    </a:prstGeom>
                  </pic:spPr>
                </pic:pic>
              </a:graphicData>
            </a:graphic>
          </wp:anchor>
        </w:drawing>
      </w:r>
      <w:r>
        <w:rPr/>
        <w:pict>
          <v:group style="position:absolute;margin-left:249.238602pt;margin-top:2.847441pt;width:18.150pt;height:5.2pt;mso-position-horizontal-relative:page;mso-position-vertical-relative:paragraph;z-index:-609448" coordorigin="4985,57" coordsize="363,104">
            <v:shape style="position:absolute;left:0;top:2199;width:324;height:2" coordorigin="0,2199" coordsize="324,0" path="m5212,109l5328,109m5004,109l5108,109e" filled="false" stroked="true" strokeweight="1.944pt" strokecolor="#c4c6c8">
              <v:path arrowok="t"/>
            </v:shape>
            <v:rect style="position:absolute;left:5108;top:57;width:104;height:104" filled="true" fillcolor="#c4c6c8" stroked="false">
              <v:fill type="solid"/>
            </v:rect>
            <w10:wrap type="none"/>
          </v:group>
        </w:pict>
      </w:r>
      <w:r>
        <w:rPr>
          <w:rFonts w:ascii="Palatino Linotype" w:hAnsi="Palatino Linotype"/>
          <w:color w:val="231F20"/>
          <w:sz w:val="17"/>
        </w:rPr>
        <w:t>Exportación</w:t>
        <w:tab/>
        <w:t>Interno</w:t>
      </w:r>
    </w:p>
    <w:p>
      <w:pPr>
        <w:pStyle w:val="BodyText"/>
        <w:spacing w:before="7"/>
        <w:rPr>
          <w:rFonts w:ascii="Palatino Linotype"/>
        </w:rPr>
      </w:pPr>
    </w:p>
    <w:p>
      <w:pPr>
        <w:spacing w:before="41"/>
        <w:ind w:left="713" w:right="1617" w:firstLine="0"/>
        <w:jc w:val="left"/>
        <w:rPr>
          <w:sz w:val="19"/>
        </w:rPr>
      </w:pPr>
      <w:r>
        <w:rPr>
          <w:rFonts w:ascii="Palatino Linotype" w:hAnsi="Palatino Linotype"/>
          <w:i/>
          <w:color w:val="231F20"/>
          <w:sz w:val="19"/>
        </w:rPr>
        <w:t>Fuente: </w:t>
      </w:r>
      <w:r>
        <w:rPr>
          <w:color w:val="231F20"/>
          <w:sz w:val="19"/>
        </w:rPr>
        <w:t>Elaboración propia con datos de AMIA (2009).</w:t>
      </w:r>
    </w:p>
    <w:p>
      <w:pPr>
        <w:spacing w:after="0"/>
        <w:jc w:val="left"/>
        <w:rPr>
          <w:sz w:val="19"/>
        </w:rPr>
        <w:sectPr>
          <w:pgSz w:w="9640" w:h="13040"/>
          <w:pgMar w:header="581" w:footer="654" w:top="780" w:bottom="840" w:left="420" w:right="1200"/>
        </w:sectPr>
      </w:pPr>
    </w:p>
    <w:p>
      <w:pPr>
        <w:pStyle w:val="BodyText"/>
        <w:rPr>
          <w:sz w:val="20"/>
        </w:rPr>
      </w:pPr>
      <w:r>
        <w:rPr/>
        <w:pict>
          <v:shape style="position:absolute;margin-left:606.909912pt;margin-top:111.946198pt;width:20.1pt;height:266.5pt;mso-position-horizontal-relative:page;mso-position-vertical-relative:page;z-index:10264" type="#_x0000_t202" filled="false" stroked="false">
            <v:textbox inset="0,0,0,0" style="layout-flow:vertical">
              <w:txbxContent>
                <w:p>
                  <w:pPr>
                    <w:spacing w:line="179" w:lineRule="exact" w:before="0"/>
                    <w:ind w:left="0" w:right="0" w:firstLine="0"/>
                    <w:jc w:val="center"/>
                    <w:rPr>
                      <w:rFonts w:ascii="Palatino Linotype" w:hAnsi="Palatino Linotype"/>
                      <w:sz w:val="16"/>
                    </w:rPr>
                  </w:pPr>
                  <w:r>
                    <w:rPr>
                      <w:rFonts w:ascii="Arial Black" w:hAnsi="Arial Black"/>
                      <w:b/>
                      <w:color w:val="231F20"/>
                      <w:spacing w:val="2"/>
                      <w:w w:val="86"/>
                      <w:sz w:val="16"/>
                    </w:rPr>
                    <w:t>C</w:t>
                  </w:r>
                  <w:r>
                    <w:rPr>
                      <w:rFonts w:ascii="Arial Black" w:hAnsi="Arial Black"/>
                      <w:b/>
                      <w:color w:val="231F20"/>
                      <w:w w:val="86"/>
                      <w:sz w:val="16"/>
                    </w:rPr>
                    <w:t>a</w:t>
                  </w:r>
                  <w:r>
                    <w:rPr>
                      <w:rFonts w:ascii="Arial Black" w:hAnsi="Arial Black"/>
                      <w:b/>
                      <w:color w:val="231F20"/>
                      <w:spacing w:val="-3"/>
                      <w:w w:val="86"/>
                      <w:sz w:val="16"/>
                    </w:rPr>
                    <w:t>p</w:t>
                  </w:r>
                  <w:r>
                    <w:rPr>
                      <w:rFonts w:ascii="Arial Black" w:hAnsi="Arial Black"/>
                      <w:b/>
                      <w:color w:val="231F20"/>
                      <w:w w:val="111"/>
                      <w:sz w:val="16"/>
                    </w:rPr>
                    <w:t>ítu</w:t>
                  </w:r>
                  <w:r>
                    <w:rPr>
                      <w:rFonts w:ascii="Arial Black" w:hAnsi="Arial Black"/>
                      <w:b/>
                      <w:color w:val="231F20"/>
                      <w:spacing w:val="2"/>
                      <w:w w:val="111"/>
                      <w:sz w:val="16"/>
                    </w:rPr>
                    <w:t>l</w:t>
                  </w:r>
                  <w:r>
                    <w:rPr>
                      <w:rFonts w:ascii="Arial Black" w:hAnsi="Arial Black"/>
                      <w:b/>
                      <w:color w:val="231F20"/>
                      <w:w w:val="92"/>
                      <w:sz w:val="16"/>
                    </w:rPr>
                    <w:t>o</w:t>
                  </w:r>
                  <w:r>
                    <w:rPr>
                      <w:rFonts w:ascii="Arial Black" w:hAnsi="Arial Black"/>
                      <w:b/>
                      <w:color w:val="231F20"/>
                      <w:spacing w:val="-19"/>
                      <w:sz w:val="16"/>
                    </w:rPr>
                    <w:t> </w:t>
                  </w:r>
                  <w:r>
                    <w:rPr>
                      <w:rFonts w:ascii="Arial Black" w:hAnsi="Arial Black"/>
                      <w:b/>
                      <w:color w:val="231F20"/>
                      <w:w w:val="97"/>
                      <w:sz w:val="16"/>
                    </w:rPr>
                    <w:t>I</w:t>
                  </w:r>
                  <w:r>
                    <w:rPr>
                      <w:rFonts w:ascii="Arial Black" w:hAnsi="Arial Black"/>
                      <w:b/>
                      <w:color w:val="231F20"/>
                      <w:spacing w:val="-23"/>
                      <w:w w:val="91"/>
                      <w:sz w:val="16"/>
                    </w:rPr>
                    <w:t>V</w:t>
                  </w:r>
                  <w:r>
                    <w:rPr>
                      <w:rFonts w:ascii="Arial Black" w:hAnsi="Arial Black"/>
                      <w:b/>
                      <w:color w:val="231F20"/>
                      <w:w w:val="76"/>
                      <w:sz w:val="16"/>
                    </w:rPr>
                    <w:t>.</w:t>
                  </w:r>
                  <w:r>
                    <w:rPr>
                      <w:rFonts w:ascii="Arial Black" w:hAnsi="Arial Black"/>
                      <w:b/>
                      <w:color w:val="231F20"/>
                      <w:spacing w:val="-19"/>
                      <w:sz w:val="16"/>
                    </w:rPr>
                    <w:t> </w:t>
                  </w:r>
                  <w:r>
                    <w:rPr>
                      <w:rFonts w:ascii="Palatino Linotype" w:hAnsi="Palatino Linotype"/>
                      <w:color w:val="231F20"/>
                      <w:spacing w:val="4"/>
                      <w:w w:val="88"/>
                      <w:sz w:val="16"/>
                    </w:rPr>
                    <w:t>L</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w w:val="99"/>
                      <w:sz w:val="16"/>
                    </w:rPr>
                    <w:t>in</w:t>
                  </w:r>
                  <w:r>
                    <w:rPr>
                      <w:rFonts w:ascii="Palatino Linotype" w:hAnsi="Palatino Linotype"/>
                      <w:color w:val="231F20"/>
                      <w:spacing w:val="-1"/>
                      <w:w w:val="99"/>
                      <w:sz w:val="16"/>
                    </w:rPr>
                    <w:t>d</w:t>
                  </w:r>
                  <w:r>
                    <w:rPr>
                      <w:rFonts w:ascii="Palatino Linotype" w:hAnsi="Palatino Linotype"/>
                      <w:color w:val="231F20"/>
                      <w:w w:val="96"/>
                      <w:sz w:val="16"/>
                    </w:rPr>
                    <w:t>u</w:t>
                  </w:r>
                  <w:r>
                    <w:rPr>
                      <w:rFonts w:ascii="Palatino Linotype" w:hAnsi="Palatino Linotype"/>
                      <w:color w:val="231F20"/>
                      <w:spacing w:val="-1"/>
                      <w:w w:val="96"/>
                      <w:sz w:val="16"/>
                    </w:rPr>
                    <w:t>s</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spacing w:val="-3"/>
                      <w:w w:val="105"/>
                      <w:sz w:val="16"/>
                    </w:rPr>
                    <w:t>i</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9"/>
                      <w:w w:val="113"/>
                      <w:sz w:val="16"/>
                    </w:rPr>
                    <w:t>a</w:t>
                  </w:r>
                  <w:r>
                    <w:rPr>
                      <w:rFonts w:ascii="Palatino Linotype" w:hAnsi="Palatino Linotype"/>
                      <w:color w:val="231F20"/>
                      <w:spacing w:val="2"/>
                      <w:w w:val="96"/>
                      <w:sz w:val="16"/>
                    </w:rPr>
                    <w:t>u</w:t>
                  </w:r>
                  <w:r>
                    <w:rPr>
                      <w:rFonts w:ascii="Palatino Linotype" w:hAnsi="Palatino Linotype"/>
                      <w:color w:val="231F20"/>
                      <w:spacing w:val="-1"/>
                      <w:w w:val="156"/>
                      <w:sz w:val="16"/>
                    </w:rPr>
                    <w:t>t</w:t>
                  </w:r>
                  <w:r>
                    <w:rPr>
                      <w:rFonts w:ascii="Palatino Linotype" w:hAnsi="Palatino Linotype"/>
                      <w:color w:val="231F20"/>
                      <w:w w:val="90"/>
                      <w:sz w:val="16"/>
                    </w:rPr>
                    <w:t>o</w:t>
                  </w:r>
                  <w:r>
                    <w:rPr>
                      <w:rFonts w:ascii="Palatino Linotype" w:hAnsi="Palatino Linotype"/>
                      <w:color w:val="231F20"/>
                      <w:spacing w:val="-1"/>
                      <w:w w:val="90"/>
                      <w:sz w:val="16"/>
                    </w:rPr>
                    <w:t>m</w:t>
                  </w:r>
                  <w:r>
                    <w:rPr>
                      <w:rFonts w:ascii="Palatino Linotype" w:hAnsi="Palatino Linotype"/>
                      <w:color w:val="231F20"/>
                      <w:spacing w:val="-2"/>
                      <w:w w:val="106"/>
                      <w:sz w:val="16"/>
                    </w:rPr>
                    <w:t>o</w:t>
                  </w:r>
                  <w:r>
                    <w:rPr>
                      <w:rFonts w:ascii="Palatino Linotype" w:hAnsi="Palatino Linotype"/>
                      <w:color w:val="231F20"/>
                      <w:w w:val="143"/>
                      <w:sz w:val="16"/>
                    </w:rPr>
                    <w:t>t</w:t>
                  </w:r>
                  <w:r>
                    <w:rPr>
                      <w:rFonts w:ascii="Palatino Linotype" w:hAnsi="Palatino Linotype"/>
                      <w:color w:val="231F20"/>
                      <w:spacing w:val="-2"/>
                      <w:w w:val="143"/>
                      <w:sz w:val="16"/>
                    </w:rPr>
                    <w:t>r</w:t>
                  </w:r>
                  <w:r>
                    <w:rPr>
                      <w:rFonts w:ascii="Palatino Linotype" w:hAnsi="Palatino Linotype"/>
                      <w:color w:val="231F20"/>
                      <w:w w:val="101"/>
                      <w:sz w:val="16"/>
                    </w:rPr>
                    <w:t>iz</w:t>
                  </w:r>
                  <w:r>
                    <w:rPr>
                      <w:rFonts w:ascii="Palatino Linotype" w:hAnsi="Palatino Linotype"/>
                      <w:color w:val="231F20"/>
                      <w:spacing w:val="-4"/>
                      <w:sz w:val="16"/>
                    </w:rPr>
                    <w:t> </w:t>
                  </w:r>
                  <w:r>
                    <w:rPr>
                      <w:rFonts w:ascii="Palatino Linotype" w:hAnsi="Palatino Linotype"/>
                      <w:color w:val="231F20"/>
                      <w:w w:val="100"/>
                      <w:sz w:val="16"/>
                    </w:rPr>
                    <w:t>en</w:t>
                  </w:r>
                  <w:r>
                    <w:rPr>
                      <w:rFonts w:ascii="Palatino Linotype" w:hAnsi="Palatino Linotype"/>
                      <w:color w:val="231F20"/>
                      <w:spacing w:val="-4"/>
                      <w:sz w:val="16"/>
                    </w:rPr>
                    <w:t> </w:t>
                  </w:r>
                  <w:r>
                    <w:rPr>
                      <w:rFonts w:ascii="Palatino Linotype" w:hAnsi="Palatino Linotype"/>
                      <w:color w:val="231F20"/>
                      <w:w w:val="122"/>
                      <w:sz w:val="16"/>
                    </w:rPr>
                    <w:t>el</w:t>
                  </w:r>
                  <w:r>
                    <w:rPr>
                      <w:rFonts w:ascii="Palatino Linotype" w:hAnsi="Palatino Linotype"/>
                      <w:color w:val="231F20"/>
                      <w:spacing w:val="-4"/>
                      <w:sz w:val="16"/>
                    </w:rPr>
                    <w:t> </w:t>
                  </w:r>
                  <w:r>
                    <w:rPr>
                      <w:rFonts w:ascii="Palatino Linotype" w:hAnsi="Palatino Linotype"/>
                      <w:color w:val="231F20"/>
                      <w:spacing w:val="1"/>
                      <w:w w:val="92"/>
                      <w:sz w:val="16"/>
                    </w:rPr>
                    <w:t>E</w:t>
                  </w:r>
                  <w:r>
                    <w:rPr>
                      <w:rFonts w:ascii="Palatino Linotype" w:hAnsi="Palatino Linotype"/>
                      <w:color w:val="231F20"/>
                      <w:spacing w:val="-1"/>
                      <w:w w:val="96"/>
                      <w:sz w:val="16"/>
                    </w:rPr>
                    <w:t>s</w:t>
                  </w:r>
                  <w:r>
                    <w:rPr>
                      <w:rFonts w:ascii="Palatino Linotype" w:hAnsi="Palatino Linotype"/>
                      <w:color w:val="231F20"/>
                      <w:spacing w:val="-10"/>
                      <w:w w:val="156"/>
                      <w:sz w:val="16"/>
                    </w:rPr>
                    <w:t>t</w:t>
                  </w:r>
                  <w:r>
                    <w:rPr>
                      <w:rFonts w:ascii="Palatino Linotype" w:hAnsi="Palatino Linotype"/>
                      <w:color w:val="231F20"/>
                      <w:w w:val="103"/>
                      <w:sz w:val="16"/>
                    </w:rPr>
                    <w:t>a</w:t>
                  </w:r>
                  <w:r>
                    <w:rPr>
                      <w:rFonts w:ascii="Palatino Linotype" w:hAnsi="Palatino Linotype"/>
                      <w:color w:val="231F20"/>
                      <w:spacing w:val="3"/>
                      <w:w w:val="103"/>
                      <w:sz w:val="16"/>
                    </w:rPr>
                    <w:t>d</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2"/>
                      <w:w w:val="94"/>
                      <w:sz w:val="16"/>
                    </w:rPr>
                    <w:t>M</w:t>
                  </w:r>
                  <w:r>
                    <w:rPr>
                      <w:rFonts w:ascii="Palatino Linotype" w:hAnsi="Palatino Linotype"/>
                      <w:color w:val="231F20"/>
                      <w:w w:val="108"/>
                      <w:sz w:val="16"/>
                    </w:rPr>
                    <w:t>éxic</w:t>
                  </w:r>
                  <w:r>
                    <w:rPr>
                      <w:rFonts w:ascii="Palatino Linotype" w:hAnsi="Palatino Linotype"/>
                      <w:color w:val="231F20"/>
                      <w:spacing w:val="-5"/>
                      <w:w w:val="106"/>
                      <w:sz w:val="16"/>
                    </w:rPr>
                    <w:t>o</w:t>
                  </w:r>
                  <w:r>
                    <w:rPr>
                      <w:rFonts w:ascii="Palatino Linotype" w:hAnsi="Palatino Linotype"/>
                      <w:color w:val="231F20"/>
                      <w:w w:val="91"/>
                      <w:sz w:val="16"/>
                    </w:rPr>
                    <w:t>.</w:t>
                  </w:r>
                </w:p>
                <w:p>
                  <w:pPr>
                    <w:spacing w:line="207" w:lineRule="exact" w:before="0"/>
                    <w:ind w:left="0" w:right="0" w:firstLine="0"/>
                    <w:jc w:val="center"/>
                    <w:rPr>
                      <w:rFonts w:ascii="Palatino Linotype" w:hAnsi="Palatino Linotype"/>
                      <w:sz w:val="16"/>
                    </w:rPr>
                  </w:pPr>
                  <w:r>
                    <w:rPr>
                      <w:rFonts w:ascii="Palatino Linotype" w:hAnsi="Palatino Linotype"/>
                      <w:color w:val="231F20"/>
                      <w:spacing w:val="-2"/>
                      <w:w w:val="101"/>
                      <w:sz w:val="16"/>
                    </w:rPr>
                    <w:t>I</w:t>
                  </w:r>
                  <w:r>
                    <w:rPr>
                      <w:rFonts w:ascii="Palatino Linotype" w:hAnsi="Palatino Linotype"/>
                      <w:color w:val="231F20"/>
                      <w:w w:val="80"/>
                      <w:sz w:val="16"/>
                    </w:rPr>
                    <w:t>m</w:t>
                  </w:r>
                  <w:r>
                    <w:rPr>
                      <w:rFonts w:ascii="Palatino Linotype" w:hAnsi="Palatino Linotype"/>
                      <w:color w:val="231F20"/>
                      <w:spacing w:val="2"/>
                      <w:w w:val="80"/>
                      <w:sz w:val="16"/>
                    </w:rPr>
                    <w:t>p</w:t>
                  </w:r>
                  <w:r>
                    <w:rPr>
                      <w:rFonts w:ascii="Palatino Linotype" w:hAnsi="Palatino Linotype"/>
                      <w:color w:val="231F20"/>
                      <w:spacing w:val="-1"/>
                      <w:w w:val="106"/>
                      <w:sz w:val="16"/>
                    </w:rPr>
                    <w:t>o</w:t>
                  </w:r>
                  <w:r>
                    <w:rPr>
                      <w:rFonts w:ascii="Palatino Linotype" w:hAnsi="Palatino Linotype"/>
                      <w:color w:val="231F20"/>
                      <w:spacing w:val="-6"/>
                      <w:w w:val="133"/>
                      <w:sz w:val="16"/>
                    </w:rPr>
                    <w:t>r</w:t>
                  </w:r>
                  <w:r>
                    <w:rPr>
                      <w:rFonts w:ascii="Palatino Linotype" w:hAnsi="Palatino Linotype"/>
                      <w:color w:val="231F20"/>
                      <w:spacing w:val="-10"/>
                      <w:w w:val="156"/>
                      <w:sz w:val="16"/>
                    </w:rPr>
                    <w:t>t</w:t>
                  </w:r>
                  <w:r>
                    <w:rPr>
                      <w:rFonts w:ascii="Palatino Linotype" w:hAnsi="Palatino Linotype"/>
                      <w:color w:val="231F20"/>
                      <w:w w:val="109"/>
                      <w:sz w:val="16"/>
                    </w:rPr>
                    <w:t>anc</w:t>
                  </w:r>
                  <w:r>
                    <w:rPr>
                      <w:rFonts w:ascii="Palatino Linotype" w:hAnsi="Palatino Linotype"/>
                      <w:color w:val="231F20"/>
                      <w:spacing w:val="-3"/>
                      <w:w w:val="109"/>
                      <w:sz w:val="16"/>
                    </w:rPr>
                    <w:t>i</w:t>
                  </w:r>
                  <w:r>
                    <w:rPr>
                      <w:rFonts w:ascii="Palatino Linotype" w:hAnsi="Palatino Linotype"/>
                      <w:color w:val="231F20"/>
                      <w:w w:val="105"/>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85"/>
                      <w:sz w:val="16"/>
                    </w:rPr>
                    <w:t>em</w:t>
                  </w:r>
                  <w:r>
                    <w:rPr>
                      <w:rFonts w:ascii="Palatino Linotype" w:hAnsi="Palatino Linotype"/>
                      <w:color w:val="231F20"/>
                      <w:spacing w:val="-3"/>
                      <w:w w:val="85"/>
                      <w:sz w:val="16"/>
                    </w:rPr>
                    <w:t>p</w:t>
                  </w:r>
                  <w:r>
                    <w:rPr>
                      <w:rFonts w:ascii="Palatino Linotype" w:hAnsi="Palatino Linotype"/>
                      <w:color w:val="231F20"/>
                      <w:w w:val="102"/>
                      <w:sz w:val="16"/>
                    </w:rPr>
                    <w:t>eño</w:t>
                  </w:r>
                  <w:r>
                    <w:rPr>
                      <w:rFonts w:ascii="Palatino Linotype" w:hAnsi="Palatino Linotype"/>
                      <w:color w:val="231F20"/>
                      <w:spacing w:val="-4"/>
                      <w:sz w:val="16"/>
                    </w:rPr>
                    <w:t> </w:t>
                  </w:r>
                  <w:r>
                    <w:rPr>
                      <w:rFonts w:ascii="Palatino Linotype" w:hAnsi="Palatino Linotype"/>
                      <w:color w:val="231F20"/>
                      <w:w w:val="91"/>
                      <w:sz w:val="16"/>
                    </w:rPr>
                    <w:t>y</w:t>
                  </w:r>
                  <w:r>
                    <w:rPr>
                      <w:rFonts w:ascii="Palatino Linotype" w:hAnsi="Palatino Linotype"/>
                      <w:color w:val="231F20"/>
                      <w:spacing w:val="-4"/>
                      <w:sz w:val="16"/>
                    </w:rPr>
                    <w:t> </w:t>
                  </w:r>
                  <w:r>
                    <w:rPr>
                      <w:rFonts w:ascii="Palatino Linotype" w:hAnsi="Palatino Linotype"/>
                      <w:color w:val="231F20"/>
                      <w:spacing w:val="-3"/>
                      <w:w w:val="80"/>
                      <w:sz w:val="16"/>
                    </w:rPr>
                    <w:t>p</w:t>
                  </w:r>
                  <w:r>
                    <w:rPr>
                      <w:rFonts w:ascii="Palatino Linotype" w:hAnsi="Palatino Linotype"/>
                      <w:color w:val="231F20"/>
                      <w:w w:val="115"/>
                      <w:sz w:val="16"/>
                    </w:rPr>
                    <w:t>é</w:t>
                  </w:r>
                  <w:r>
                    <w:rPr>
                      <w:rFonts w:ascii="Palatino Linotype" w:hAnsi="Palatino Linotype"/>
                      <w:color w:val="231F20"/>
                      <w:spacing w:val="-2"/>
                      <w:w w:val="115"/>
                      <w:sz w:val="16"/>
                    </w:rPr>
                    <w:t>r</w:t>
                  </w:r>
                  <w:r>
                    <w:rPr>
                      <w:rFonts w:ascii="Palatino Linotype" w:hAnsi="Palatino Linotype"/>
                      <w:color w:val="231F20"/>
                      <w:spacing w:val="-1"/>
                      <w:w w:val="95"/>
                      <w:sz w:val="16"/>
                    </w:rPr>
                    <w:t>d</w:t>
                  </w:r>
                  <w:r>
                    <w:rPr>
                      <w:rFonts w:ascii="Palatino Linotype" w:hAnsi="Palatino Linotype"/>
                      <w:color w:val="231F20"/>
                      <w:w w:val="98"/>
                      <w:sz w:val="16"/>
                    </w:rPr>
                    <w:t>i</w:t>
                  </w:r>
                  <w:r>
                    <w:rPr>
                      <w:rFonts w:ascii="Palatino Linotype" w:hAnsi="Palatino Linotype"/>
                      <w:color w:val="231F20"/>
                      <w:spacing w:val="-5"/>
                      <w:w w:val="98"/>
                      <w:sz w:val="16"/>
                    </w:rPr>
                    <w:t>d</w:t>
                  </w:r>
                  <w:r>
                    <w:rPr>
                      <w:rFonts w:ascii="Palatino Linotype" w:hAnsi="Palatino Linotype"/>
                      <w:color w:val="231F20"/>
                      <w:w w:val="113"/>
                      <w:sz w:val="16"/>
                    </w:rPr>
                    <w:t>a</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1"/>
                      <w:sz w:val="16"/>
                    </w:rPr>
                    <w:t>i</w:t>
                  </w:r>
                  <w:r>
                    <w:rPr>
                      <w:rFonts w:ascii="Palatino Linotype" w:hAnsi="Palatino Linotype"/>
                      <w:color w:val="231F20"/>
                      <w:spacing w:val="-3"/>
                      <w:w w:val="101"/>
                      <w:sz w:val="16"/>
                    </w:rPr>
                    <w:t>n</w:t>
                  </w:r>
                  <w:r>
                    <w:rPr>
                      <w:rFonts w:ascii="Palatino Linotype" w:hAnsi="Palatino Linotype"/>
                      <w:color w:val="231F20"/>
                      <w:w w:val="94"/>
                      <w:sz w:val="16"/>
                    </w:rPr>
                    <w:t>ami</w:t>
                  </w:r>
                  <w:r>
                    <w:rPr>
                      <w:rFonts w:ascii="Palatino Linotype" w:hAnsi="Palatino Linotype"/>
                      <w:color w:val="231F20"/>
                      <w:spacing w:val="-1"/>
                      <w:w w:val="94"/>
                      <w:sz w:val="16"/>
                    </w:rPr>
                    <w:t>s</w:t>
                  </w:r>
                  <w:r>
                    <w:rPr>
                      <w:rFonts w:ascii="Palatino Linotype" w:hAnsi="Palatino Linotype"/>
                      <w:color w:val="231F20"/>
                      <w:spacing w:val="-1"/>
                      <w:w w:val="80"/>
                      <w:sz w:val="16"/>
                    </w:rPr>
                    <w:t>m</w:t>
                  </w:r>
                  <w:r>
                    <w:rPr>
                      <w:rFonts w:ascii="Palatino Linotype" w:hAnsi="Palatino Linotype"/>
                      <w:color w:val="231F20"/>
                      <w:w w:val="106"/>
                      <w:sz w:val="16"/>
                    </w:rPr>
                    <w:t>o</w:t>
                  </w:r>
                  <w:r>
                    <w:rPr>
                      <w:rFonts w:ascii="Palatino Linotype" w:hAnsi="Palatino Linotype"/>
                      <w:color w:val="231F20"/>
                      <w:spacing w:val="-4"/>
                      <w:sz w:val="16"/>
                    </w:rPr>
                    <w:t> </w:t>
                  </w:r>
                  <w:r>
                    <w:rPr>
                      <w:rFonts w:ascii="Palatino Linotype" w:hAnsi="Palatino Linotype"/>
                      <w:color w:val="231F20"/>
                      <w:spacing w:val="-1"/>
                      <w:w w:val="95"/>
                      <w:sz w:val="16"/>
                    </w:rPr>
                    <w:t>d</w:t>
                  </w:r>
                  <w:r>
                    <w:rPr>
                      <w:rFonts w:ascii="Palatino Linotype" w:hAnsi="Palatino Linotype"/>
                      <w:color w:val="231F20"/>
                      <w:w w:val="100"/>
                      <w:sz w:val="16"/>
                    </w:rPr>
                    <w:t>e</w:t>
                  </w:r>
                  <w:r>
                    <w:rPr>
                      <w:rFonts w:ascii="Palatino Linotype" w:hAnsi="Palatino Linotype"/>
                      <w:color w:val="231F20"/>
                      <w:spacing w:val="-4"/>
                      <w:sz w:val="16"/>
                    </w:rPr>
                    <w:t> </w:t>
                  </w:r>
                  <w:r>
                    <w:rPr>
                      <w:rFonts w:ascii="Palatino Linotype" w:hAnsi="Palatino Linotype"/>
                      <w:color w:val="231F20"/>
                      <w:w w:val="98"/>
                      <w:sz w:val="16"/>
                    </w:rPr>
                    <w:t>un</w:t>
                  </w:r>
                  <w:r>
                    <w:rPr>
                      <w:rFonts w:ascii="Palatino Linotype" w:hAnsi="Palatino Linotype"/>
                      <w:color w:val="231F20"/>
                      <w:spacing w:val="-4"/>
                      <w:sz w:val="16"/>
                    </w:rPr>
                    <w:t> </w:t>
                  </w:r>
                  <w:r>
                    <w:rPr>
                      <w:rFonts w:ascii="Palatino Linotype" w:hAnsi="Palatino Linotype"/>
                      <w:color w:val="231F20"/>
                      <w:spacing w:val="-1"/>
                      <w:w w:val="96"/>
                      <w:sz w:val="16"/>
                    </w:rPr>
                    <w:t>s</w:t>
                  </w:r>
                  <w:r>
                    <w:rPr>
                      <w:rFonts w:ascii="Palatino Linotype" w:hAnsi="Palatino Linotype"/>
                      <w:color w:val="231F20"/>
                      <w:w w:val="121"/>
                      <w:sz w:val="16"/>
                    </w:rPr>
                    <w:t>ec</w:t>
                  </w:r>
                  <w:r>
                    <w:rPr>
                      <w:rFonts w:ascii="Palatino Linotype" w:hAnsi="Palatino Linotype"/>
                      <w:color w:val="231F20"/>
                      <w:spacing w:val="-1"/>
                      <w:w w:val="121"/>
                      <w:sz w:val="16"/>
                    </w:rPr>
                    <w:t>t</w:t>
                  </w:r>
                  <w:r>
                    <w:rPr>
                      <w:rFonts w:ascii="Palatino Linotype" w:hAnsi="Palatino Linotype"/>
                      <w:color w:val="231F20"/>
                      <w:spacing w:val="-1"/>
                      <w:w w:val="106"/>
                      <w:sz w:val="16"/>
                    </w:rPr>
                    <w:t>o</w:t>
                  </w:r>
                  <w:r>
                    <w:rPr>
                      <w:rFonts w:ascii="Palatino Linotype" w:hAnsi="Palatino Linotype"/>
                      <w:color w:val="231F20"/>
                      <w:w w:val="133"/>
                      <w:sz w:val="16"/>
                    </w:rPr>
                    <w:t>r</w:t>
                  </w:r>
                  <w:r>
                    <w:rPr>
                      <w:rFonts w:ascii="Palatino Linotype" w:hAnsi="Palatino Linotype"/>
                      <w:color w:val="231F20"/>
                      <w:spacing w:val="-4"/>
                      <w:sz w:val="16"/>
                    </w:rPr>
                    <w:t> </w:t>
                  </w:r>
                  <w:r>
                    <w:rPr>
                      <w:rFonts w:ascii="Palatino Linotype" w:hAnsi="Palatino Linotype"/>
                      <w:color w:val="231F20"/>
                      <w:w w:val="98"/>
                      <w:sz w:val="16"/>
                    </w:rPr>
                    <w:t>e</w:t>
                  </w:r>
                  <w:r>
                    <w:rPr>
                      <w:rFonts w:ascii="Palatino Linotype" w:hAnsi="Palatino Linotype"/>
                      <w:color w:val="231F20"/>
                      <w:spacing w:val="-1"/>
                      <w:w w:val="98"/>
                      <w:sz w:val="16"/>
                    </w:rPr>
                    <w:t>s</w:t>
                  </w:r>
                  <w:r>
                    <w:rPr>
                      <w:rFonts w:ascii="Palatino Linotype" w:hAnsi="Palatino Linotype"/>
                      <w:color w:val="231F20"/>
                      <w:w w:val="131"/>
                      <w:sz w:val="16"/>
                    </w:rPr>
                    <w:t>tr</w:t>
                  </w:r>
                  <w:r>
                    <w:rPr>
                      <w:rFonts w:ascii="Palatino Linotype" w:hAnsi="Palatino Linotype"/>
                      <w:color w:val="231F20"/>
                      <w:spacing w:val="-11"/>
                      <w:w w:val="131"/>
                      <w:sz w:val="16"/>
                    </w:rPr>
                    <w:t>a</w:t>
                  </w:r>
                  <w:r>
                    <w:rPr>
                      <w:rFonts w:ascii="Palatino Linotype" w:hAnsi="Palatino Linotype"/>
                      <w:color w:val="231F20"/>
                      <w:w w:val="114"/>
                      <w:sz w:val="16"/>
                    </w:rPr>
                    <w:t>tégic</w:t>
                  </w:r>
                  <w:r>
                    <w:rPr>
                      <w:rFonts w:ascii="Palatino Linotype" w:hAnsi="Palatino Linotype"/>
                      <w:color w:val="231F20"/>
                      <w:w w:val="106"/>
                      <w:sz w:val="16"/>
                    </w:rPr>
                    <w:t>o</w:t>
                  </w:r>
                </w:p>
              </w:txbxContent>
            </v:textbox>
            <w10:wrap type="none"/>
          </v:shape>
        </w:pict>
      </w:r>
      <w:r>
        <w:rPr/>
        <w:pict>
          <v:shape style="position:absolute;margin-left:29.703428pt;margin-top:437.063202pt;width:14pt;height:19.5pt;mso-position-horizontal-relative:page;mso-position-vertical-relative:page;z-index:10288" type="#_x0000_t202" filled="false" stroked="false">
            <v:textbox inset="0,0,0,0" style="layout-flow:vertical">
              <w:txbxContent>
                <w:p>
                  <w:pPr>
                    <w:spacing w:line="248" w:lineRule="exact" w:before="0"/>
                    <w:ind w:left="20" w:right="-110" w:firstLine="0"/>
                    <w:jc w:val="left"/>
                    <w:rPr>
                      <w:sz w:val="24"/>
                    </w:rPr>
                  </w:pPr>
                  <w:r>
                    <w:rPr>
                      <w:color w:val="231F20"/>
                      <w:w w:val="97"/>
                      <w:sz w:val="24"/>
                    </w:rPr>
                    <w:t>119</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5"/>
        </w:rPr>
      </w:pPr>
    </w:p>
    <w:p>
      <w:pPr>
        <w:pStyle w:val="Heading4"/>
        <w:spacing w:before="34"/>
        <w:ind w:left="2442" w:right="2279"/>
      </w:pPr>
      <w:r>
        <w:rPr>
          <w:color w:val="231F20"/>
          <w:w w:val="95"/>
        </w:rPr>
        <w:t>Cuadro IV.8</w:t>
      </w:r>
    </w:p>
    <w:p>
      <w:pPr>
        <w:spacing w:line="237" w:lineRule="auto" w:before="0"/>
        <w:ind w:left="2445" w:right="2279" w:firstLine="0"/>
        <w:jc w:val="center"/>
        <w:rPr>
          <w:rFonts w:ascii="Palatino Linotype" w:hAnsi="Palatino Linotype"/>
          <w:b/>
          <w:sz w:val="21"/>
        </w:rPr>
      </w:pPr>
      <w:r>
        <w:rPr>
          <w:rFonts w:ascii="Palatino Linotype" w:hAnsi="Palatino Linotype"/>
          <w:b/>
          <w:color w:val="231F20"/>
          <w:w w:val="90"/>
          <w:sz w:val="21"/>
        </w:rPr>
        <w:t>Estado de México: producción para mercado interno, participación </w:t>
      </w:r>
      <w:r>
        <w:rPr>
          <w:rFonts w:ascii="Palatino Linotype" w:hAnsi="Palatino Linotype"/>
          <w:b/>
          <w:color w:val="231F20"/>
          <w:w w:val="95"/>
          <w:sz w:val="21"/>
        </w:rPr>
        <w:t>porcentual por empresa, 1988-2008</w:t>
      </w:r>
    </w:p>
    <w:p>
      <w:pPr>
        <w:pStyle w:val="BodyText"/>
        <w:rPr>
          <w:rFonts w:ascii="Palatino Linotype"/>
          <w:b/>
          <w:sz w:val="11"/>
        </w:rPr>
      </w:pPr>
      <w:r>
        <w:rPr/>
        <w:pict>
          <v:group style="position:absolute;margin-left:64.946899pt;margin-top:9.399514pt;width:511.9pt;height:.5pt;mso-position-horizontal-relative:page;mso-position-vertical-relative:paragraph;z-index:10192;mso-wrap-distance-left:0;mso-wrap-distance-right:0" coordorigin="1299,188" coordsize="10238,10">
            <v:line style="position:absolute" from="1304,193" to="2680,193" stroked="true" strokeweight=".5pt" strokecolor="#231f20"/>
            <v:line style="position:absolute" from="2680,193" to="3436,193" stroked="true" strokeweight=".5pt" strokecolor="#231f20"/>
            <v:line style="position:absolute" from="3436,193" to="3852,193" stroked="true" strokeweight=".5pt" strokecolor="#231f20"/>
            <v:line style="position:absolute" from="3852,193" to="4228,193" stroked="true" strokeweight=".5pt" strokecolor="#231f20"/>
            <v:line style="position:absolute" from="4228,193" to="4624,193" stroked="true" strokeweight=".5pt" strokecolor="#231f20"/>
            <v:line style="position:absolute" from="4624,193" to="4960,193" stroked="true" strokeweight=".5pt" strokecolor="#231f20"/>
            <v:line style="position:absolute" from="4960,193" to="5336,193" stroked="true" strokeweight=".5pt" strokecolor="#231f20"/>
            <v:line style="position:absolute" from="5336,193" to="5772,193" stroked="true" strokeweight=".5pt" strokecolor="#231f20"/>
            <v:line style="position:absolute" from="5772,193" to="6148,193" stroked="true" strokeweight=".5pt" strokecolor="#231f20"/>
            <v:line style="position:absolute" from="6148,193" to="6564,193" stroked="true" strokeweight=".5pt" strokecolor="#231f20"/>
            <v:line style="position:absolute" from="6564,193" to="6940,193" stroked="true" strokeweight=".5pt" strokecolor="#231f20"/>
            <v:line style="position:absolute" from="6940,193" to="7336,193" stroked="true" strokeweight=".5pt" strokecolor="#231f20"/>
            <v:line style="position:absolute" from="7336,193" to="7672,193" stroked="true" strokeweight=".5pt" strokecolor="#231f20"/>
            <v:line style="position:absolute" from="7672,193" to="8028,193" stroked="true" strokeweight=".5pt" strokecolor="#231f20"/>
            <v:line style="position:absolute" from="8028,193" to="8404,193" stroked="true" strokeweight=".5pt" strokecolor="#231f20"/>
            <v:line style="position:absolute" from="8404,193" to="8780,193" stroked="true" strokeweight=".5pt" strokecolor="#231f20"/>
            <v:line style="position:absolute" from="8780,193" to="9196,193" stroked="true" strokeweight=".5pt" strokecolor="#231f20"/>
            <v:line style="position:absolute" from="9196,193" to="9572,193" stroked="true" strokeweight=".5pt" strokecolor="#231f20"/>
            <v:line style="position:absolute" from="9572,193" to="9968,193" stroked="true" strokeweight=".5pt" strokecolor="#231f20"/>
            <v:line style="position:absolute" from="9968,193" to="10384,193" stroked="true" strokeweight=".5pt" strokecolor="#231f20"/>
            <v:line style="position:absolute" from="10384,193" to="10760,193" stroked="true" strokeweight=".5pt" strokecolor="#231f20"/>
            <v:line style="position:absolute" from="10760,193" to="11116,193" stroked="true" strokeweight=".5pt" strokecolor="#231f20"/>
            <v:line style="position:absolute" from="11116,193" to="11532,193" stroked="true" strokeweight=".5pt" strokecolor="#231f20"/>
            <w10:wrap type="topAndBottom"/>
          </v:group>
        </w:pict>
      </w:r>
    </w:p>
    <w:p>
      <w:pPr>
        <w:spacing w:line="119" w:lineRule="exact" w:before="17"/>
        <w:ind w:left="1632" w:right="0" w:firstLine="0"/>
        <w:jc w:val="left"/>
        <w:rPr>
          <w:sz w:val="14"/>
        </w:rPr>
      </w:pPr>
      <w:r>
        <w:rPr>
          <w:color w:val="231F20"/>
          <w:sz w:val="14"/>
        </w:rPr>
        <w:t>Lugar de</w:t>
      </w:r>
    </w:p>
    <w:p>
      <w:pPr>
        <w:spacing w:line="199" w:lineRule="exact" w:before="0"/>
        <w:ind w:left="1564" w:right="0" w:firstLine="0"/>
        <w:jc w:val="left"/>
        <w:rPr>
          <w:sz w:val="14"/>
        </w:rPr>
      </w:pPr>
      <w:r>
        <w:rPr/>
        <w:pict>
          <v:group style="position:absolute;margin-left:64.946899pt;margin-top:12.035388pt;width:511.9pt;height:.5pt;mso-position-horizontal-relative:page;mso-position-vertical-relative:paragraph;z-index:10216;mso-wrap-distance-left:0;mso-wrap-distance-right:0" coordorigin="1299,241" coordsize="10238,10">
            <v:line style="position:absolute" from="1304,246" to="2680,246" stroked="true" strokeweight=".5pt" strokecolor="#231f20"/>
            <v:line style="position:absolute" from="2680,246" to="3436,246" stroked="true" strokeweight=".5pt" strokecolor="#231f20"/>
            <v:line style="position:absolute" from="3436,246" to="3852,246" stroked="true" strokeweight=".5pt" strokecolor="#231f20"/>
            <v:line style="position:absolute" from="3852,246" to="4228,246" stroked="true" strokeweight=".5pt" strokecolor="#231f20"/>
            <v:line style="position:absolute" from="4228,246" to="4624,246" stroked="true" strokeweight=".5pt" strokecolor="#231f20"/>
            <v:line style="position:absolute" from="4624,246" to="4960,246" stroked="true" strokeweight=".5pt" strokecolor="#231f20"/>
            <v:line style="position:absolute" from="4960,246" to="5336,246" stroked="true" strokeweight=".5pt" strokecolor="#231f20"/>
            <v:line style="position:absolute" from="5336,246" to="5772,246" stroked="true" strokeweight=".5pt" strokecolor="#231f20"/>
            <v:line style="position:absolute" from="5772,246" to="6148,246" stroked="true" strokeweight=".5pt" strokecolor="#231f20"/>
            <v:line style="position:absolute" from="6148,246" to="6564,246" stroked="true" strokeweight=".5pt" strokecolor="#231f20"/>
            <v:line style="position:absolute" from="6564,246" to="6940,246" stroked="true" strokeweight=".5pt" strokecolor="#231f20"/>
            <v:line style="position:absolute" from="6940,246" to="7336,246" stroked="true" strokeweight=".5pt" strokecolor="#231f20"/>
            <v:line style="position:absolute" from="7336,246" to="7672,246" stroked="true" strokeweight=".5pt" strokecolor="#231f20"/>
            <v:line style="position:absolute" from="7672,246" to="8028,246" stroked="true" strokeweight=".5pt" strokecolor="#231f20"/>
            <v:line style="position:absolute" from="8028,246" to="8404,246" stroked="true" strokeweight=".5pt" strokecolor="#231f20"/>
            <v:line style="position:absolute" from="8404,246" to="8780,246" stroked="true" strokeweight=".5pt" strokecolor="#231f20"/>
            <v:line style="position:absolute" from="8780,246" to="9196,246" stroked="true" strokeweight=".5pt" strokecolor="#231f20"/>
            <v:line style="position:absolute" from="9196,246" to="9572,246" stroked="true" strokeweight=".5pt" strokecolor="#231f20"/>
            <v:line style="position:absolute" from="9572,246" to="9968,246" stroked="true" strokeweight=".5pt" strokecolor="#231f20"/>
            <v:line style="position:absolute" from="9968,246" to="10384,246" stroked="true" strokeweight=".5pt" strokecolor="#231f20"/>
            <v:line style="position:absolute" from="10384,246" to="10760,246" stroked="true" strokeweight=".5pt" strokecolor="#231f20"/>
            <v:line style="position:absolute" from="10760,246" to="11116,246" stroked="true" strokeweight=".5pt" strokecolor="#231f20"/>
            <v:line style="position:absolute" from="11116,246" to="11532,246" stroked="true" strokeweight=".5pt" strokecolor="#231f20"/>
            <w10:wrap type="topAndBottom"/>
          </v:group>
        </w:pict>
      </w:r>
      <w:r>
        <w:rPr/>
        <w:pict>
          <v:shape style="position:absolute;margin-left:87.434502pt;margin-top:-.696461pt;width:24.35pt;height:7pt;mso-position-horizontal-relative:page;mso-position-vertical-relative:paragraph;z-index:10240" type="#_x0000_t202" filled="false" stroked="false">
            <v:textbox inset="0,0,0,0">
              <w:txbxContent>
                <w:p>
                  <w:pPr>
                    <w:spacing w:line="133" w:lineRule="exact" w:before="0"/>
                    <w:ind w:left="0" w:right="-9" w:firstLine="0"/>
                    <w:jc w:val="left"/>
                    <w:rPr>
                      <w:sz w:val="14"/>
                    </w:rPr>
                  </w:pPr>
                  <w:r>
                    <w:rPr>
                      <w:color w:val="231F20"/>
                      <w:spacing w:val="-2"/>
                      <w:sz w:val="14"/>
                    </w:rPr>
                    <w:t>Empresa</w:t>
                  </w:r>
                </w:p>
              </w:txbxContent>
            </v:textbox>
            <w10:wrap type="none"/>
          </v:shape>
        </w:pict>
      </w:r>
      <w:r>
        <w:rPr>
          <w:color w:val="231F20"/>
          <w:position w:val="-7"/>
          <w:sz w:val="14"/>
        </w:rPr>
        <w:t>fabricación    </w:t>
      </w:r>
      <w:r>
        <w:rPr>
          <w:color w:val="231F20"/>
          <w:sz w:val="14"/>
        </w:rPr>
        <w:t>1988   1989   1990  1991  1992    1993    1994   1995   1996   1997  1998  1999  2000   2001   2002   2003   2004    2005   2006  2007    2008</w:t>
      </w:r>
    </w:p>
    <w:tbl>
      <w:tblPr>
        <w:tblW w:w="0" w:type="auto"/>
        <w:jc w:val="left"/>
        <w:tblInd w:w="12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86"/>
        <w:gridCol w:w="748"/>
        <w:gridCol w:w="404"/>
        <w:gridCol w:w="391"/>
        <w:gridCol w:w="376"/>
        <w:gridCol w:w="361"/>
        <w:gridCol w:w="381"/>
        <w:gridCol w:w="406"/>
        <w:gridCol w:w="401"/>
        <w:gridCol w:w="396"/>
        <w:gridCol w:w="391"/>
        <w:gridCol w:w="376"/>
        <w:gridCol w:w="356"/>
        <w:gridCol w:w="356"/>
        <w:gridCol w:w="371"/>
        <w:gridCol w:w="386"/>
        <w:gridCol w:w="396"/>
        <w:gridCol w:w="391"/>
        <w:gridCol w:w="396"/>
        <w:gridCol w:w="401"/>
        <w:gridCol w:w="381"/>
        <w:gridCol w:w="362"/>
        <w:gridCol w:w="414"/>
      </w:tblGrid>
      <w:tr>
        <w:trPr>
          <w:trHeight w:val="369" w:hRule="exact"/>
        </w:trPr>
        <w:tc>
          <w:tcPr>
            <w:tcW w:w="1386" w:type="dxa"/>
          </w:tcPr>
          <w:p>
            <w:pPr>
              <w:pStyle w:val="TableParagraph"/>
              <w:spacing w:before="56"/>
              <w:ind w:left="46" w:right="53"/>
              <w:rPr>
                <w:rFonts w:ascii="Palatino Linotype"/>
                <w:b/>
                <w:sz w:val="14"/>
              </w:rPr>
            </w:pPr>
            <w:r>
              <w:rPr>
                <w:rFonts w:ascii="Palatino Linotype"/>
                <w:b/>
                <w:color w:val="231F20"/>
                <w:sz w:val="14"/>
              </w:rPr>
              <w:t>CHRYSLER</w:t>
            </w:r>
          </w:p>
        </w:tc>
        <w:tc>
          <w:tcPr>
            <w:tcW w:w="748" w:type="dxa"/>
          </w:tcPr>
          <w:p>
            <w:pPr/>
          </w:p>
        </w:tc>
        <w:tc>
          <w:tcPr>
            <w:tcW w:w="404" w:type="dxa"/>
          </w:tcPr>
          <w:p>
            <w:pPr>
              <w:pStyle w:val="TableParagraph"/>
              <w:spacing w:before="56"/>
              <w:ind w:left="62" w:right="55"/>
              <w:rPr>
                <w:rFonts w:ascii="Palatino Linotype"/>
                <w:b/>
                <w:sz w:val="14"/>
              </w:rPr>
            </w:pPr>
            <w:r>
              <w:rPr>
                <w:rFonts w:ascii="Palatino Linotype"/>
                <w:b/>
                <w:color w:val="231F20"/>
                <w:sz w:val="14"/>
              </w:rPr>
              <w:t>32.6</w:t>
            </w:r>
          </w:p>
        </w:tc>
        <w:tc>
          <w:tcPr>
            <w:tcW w:w="391" w:type="dxa"/>
          </w:tcPr>
          <w:p>
            <w:pPr>
              <w:pStyle w:val="TableParagraph"/>
              <w:spacing w:before="56"/>
              <w:ind w:left="53" w:right="49"/>
              <w:rPr>
                <w:rFonts w:ascii="Palatino Linotype"/>
                <w:b/>
                <w:sz w:val="14"/>
              </w:rPr>
            </w:pPr>
            <w:r>
              <w:rPr>
                <w:rFonts w:ascii="Palatino Linotype"/>
                <w:b/>
                <w:color w:val="231F20"/>
                <w:sz w:val="14"/>
              </w:rPr>
              <w:t>37.0</w:t>
            </w:r>
          </w:p>
        </w:tc>
        <w:tc>
          <w:tcPr>
            <w:tcW w:w="376" w:type="dxa"/>
          </w:tcPr>
          <w:p>
            <w:pPr>
              <w:pStyle w:val="TableParagraph"/>
              <w:spacing w:before="56"/>
              <w:ind w:left="69"/>
              <w:jc w:val="left"/>
              <w:rPr>
                <w:rFonts w:ascii="Palatino Linotype"/>
                <w:b/>
                <w:sz w:val="14"/>
              </w:rPr>
            </w:pPr>
            <w:r>
              <w:rPr>
                <w:rFonts w:ascii="Palatino Linotype"/>
                <w:b/>
                <w:color w:val="231F20"/>
                <w:sz w:val="14"/>
              </w:rPr>
              <w:t>38.0</w:t>
            </w:r>
          </w:p>
        </w:tc>
        <w:tc>
          <w:tcPr>
            <w:tcW w:w="361" w:type="dxa"/>
          </w:tcPr>
          <w:p>
            <w:pPr>
              <w:pStyle w:val="TableParagraph"/>
              <w:spacing w:before="56"/>
              <w:ind w:left="59"/>
              <w:jc w:val="left"/>
              <w:rPr>
                <w:rFonts w:ascii="Palatino Linotype"/>
                <w:b/>
                <w:sz w:val="14"/>
              </w:rPr>
            </w:pPr>
            <w:r>
              <w:rPr>
                <w:rFonts w:ascii="Palatino Linotype"/>
                <w:b/>
                <w:color w:val="231F20"/>
                <w:sz w:val="14"/>
              </w:rPr>
              <w:t>37.1</w:t>
            </w:r>
          </w:p>
        </w:tc>
        <w:tc>
          <w:tcPr>
            <w:tcW w:w="381" w:type="dxa"/>
          </w:tcPr>
          <w:p>
            <w:pPr>
              <w:pStyle w:val="TableParagraph"/>
              <w:spacing w:before="56"/>
              <w:ind w:left="54"/>
              <w:jc w:val="left"/>
              <w:rPr>
                <w:rFonts w:ascii="Palatino Linotype"/>
                <w:b/>
                <w:sz w:val="14"/>
              </w:rPr>
            </w:pPr>
            <w:r>
              <w:rPr>
                <w:rFonts w:ascii="Palatino Linotype"/>
                <w:b/>
                <w:color w:val="231F20"/>
                <w:sz w:val="14"/>
              </w:rPr>
              <w:t>38.0</w:t>
            </w:r>
          </w:p>
        </w:tc>
        <w:tc>
          <w:tcPr>
            <w:tcW w:w="406" w:type="dxa"/>
          </w:tcPr>
          <w:p>
            <w:pPr>
              <w:pStyle w:val="TableParagraph"/>
              <w:spacing w:before="56"/>
              <w:ind w:left="79"/>
              <w:jc w:val="left"/>
              <w:rPr>
                <w:rFonts w:ascii="Palatino Linotype"/>
                <w:b/>
                <w:sz w:val="14"/>
              </w:rPr>
            </w:pPr>
            <w:r>
              <w:rPr>
                <w:rFonts w:ascii="Palatino Linotype"/>
                <w:b/>
                <w:color w:val="231F20"/>
                <w:sz w:val="14"/>
              </w:rPr>
              <w:t>30.6</w:t>
            </w:r>
          </w:p>
        </w:tc>
        <w:tc>
          <w:tcPr>
            <w:tcW w:w="401" w:type="dxa"/>
          </w:tcPr>
          <w:p>
            <w:pPr>
              <w:pStyle w:val="TableParagraph"/>
              <w:spacing w:before="56"/>
              <w:ind w:left="59" w:right="55"/>
              <w:rPr>
                <w:rFonts w:ascii="Palatino Linotype"/>
                <w:b/>
                <w:sz w:val="14"/>
              </w:rPr>
            </w:pPr>
            <w:r>
              <w:rPr>
                <w:rFonts w:ascii="Palatino Linotype"/>
                <w:b/>
                <w:color w:val="231F20"/>
                <w:sz w:val="14"/>
              </w:rPr>
              <w:t>21.5</w:t>
            </w:r>
          </w:p>
        </w:tc>
        <w:tc>
          <w:tcPr>
            <w:tcW w:w="396" w:type="dxa"/>
          </w:tcPr>
          <w:p>
            <w:pPr>
              <w:pStyle w:val="TableParagraph"/>
              <w:spacing w:before="56"/>
              <w:ind w:left="109"/>
              <w:jc w:val="left"/>
              <w:rPr>
                <w:rFonts w:ascii="Palatino Linotype"/>
                <w:b/>
                <w:sz w:val="14"/>
              </w:rPr>
            </w:pPr>
            <w:r>
              <w:rPr>
                <w:rFonts w:ascii="Palatino Linotype"/>
                <w:b/>
                <w:color w:val="231F20"/>
                <w:sz w:val="14"/>
              </w:rPr>
              <w:t>0.1</w:t>
            </w:r>
          </w:p>
        </w:tc>
        <w:tc>
          <w:tcPr>
            <w:tcW w:w="391" w:type="dxa"/>
          </w:tcPr>
          <w:p>
            <w:pPr>
              <w:pStyle w:val="TableParagraph"/>
              <w:spacing w:before="56"/>
              <w:ind w:left="109"/>
              <w:jc w:val="left"/>
              <w:rPr>
                <w:rFonts w:ascii="Palatino Linotype"/>
                <w:b/>
                <w:sz w:val="14"/>
              </w:rPr>
            </w:pPr>
            <w:r>
              <w:rPr>
                <w:rFonts w:ascii="Palatino Linotype"/>
                <w:b/>
                <w:color w:val="231F20"/>
                <w:sz w:val="14"/>
              </w:rPr>
              <w:t>0.0</w:t>
            </w:r>
          </w:p>
        </w:tc>
        <w:tc>
          <w:tcPr>
            <w:tcW w:w="376" w:type="dxa"/>
          </w:tcPr>
          <w:p>
            <w:pPr>
              <w:pStyle w:val="TableParagraph"/>
              <w:spacing w:before="56"/>
              <w:ind w:left="104"/>
              <w:jc w:val="left"/>
              <w:rPr>
                <w:rFonts w:ascii="Palatino Linotype"/>
                <w:b/>
                <w:sz w:val="14"/>
              </w:rPr>
            </w:pPr>
            <w:r>
              <w:rPr>
                <w:rFonts w:ascii="Palatino Linotype"/>
                <w:b/>
                <w:color w:val="231F20"/>
                <w:sz w:val="14"/>
              </w:rPr>
              <w:t>0.0</w:t>
            </w:r>
          </w:p>
        </w:tc>
        <w:tc>
          <w:tcPr>
            <w:tcW w:w="356" w:type="dxa"/>
          </w:tcPr>
          <w:p>
            <w:pPr>
              <w:pStyle w:val="TableParagraph"/>
              <w:spacing w:before="56"/>
              <w:ind w:left="94"/>
              <w:jc w:val="left"/>
              <w:rPr>
                <w:rFonts w:ascii="Palatino Linotype"/>
                <w:b/>
                <w:sz w:val="14"/>
              </w:rPr>
            </w:pPr>
            <w:r>
              <w:rPr>
                <w:rFonts w:ascii="Palatino Linotype"/>
                <w:b/>
                <w:color w:val="231F20"/>
                <w:sz w:val="14"/>
              </w:rPr>
              <w:t>0.0</w:t>
            </w:r>
          </w:p>
        </w:tc>
        <w:tc>
          <w:tcPr>
            <w:tcW w:w="356" w:type="dxa"/>
          </w:tcPr>
          <w:p>
            <w:pPr>
              <w:pStyle w:val="TableParagraph"/>
              <w:spacing w:before="56"/>
              <w:ind w:left="29" w:right="38"/>
              <w:rPr>
                <w:rFonts w:ascii="Palatino Linotype"/>
                <w:b/>
                <w:sz w:val="14"/>
              </w:rPr>
            </w:pPr>
            <w:r>
              <w:rPr>
                <w:rFonts w:ascii="Palatino Linotype"/>
                <w:b/>
                <w:color w:val="231F20"/>
                <w:sz w:val="14"/>
              </w:rPr>
              <w:t>0.0</w:t>
            </w:r>
          </w:p>
        </w:tc>
        <w:tc>
          <w:tcPr>
            <w:tcW w:w="371" w:type="dxa"/>
          </w:tcPr>
          <w:p>
            <w:pPr>
              <w:pStyle w:val="TableParagraph"/>
              <w:spacing w:before="56"/>
              <w:ind w:left="40" w:right="44"/>
              <w:rPr>
                <w:rFonts w:ascii="Palatino Linotype"/>
                <w:b/>
                <w:sz w:val="14"/>
              </w:rPr>
            </w:pPr>
            <w:r>
              <w:rPr>
                <w:rFonts w:ascii="Palatino Linotype"/>
                <w:b/>
                <w:color w:val="231F20"/>
                <w:sz w:val="14"/>
              </w:rPr>
              <w:t>6.0</w:t>
            </w:r>
          </w:p>
        </w:tc>
        <w:tc>
          <w:tcPr>
            <w:tcW w:w="386" w:type="dxa"/>
          </w:tcPr>
          <w:p>
            <w:pPr>
              <w:pStyle w:val="TableParagraph"/>
              <w:spacing w:before="56"/>
              <w:ind w:left="99"/>
              <w:jc w:val="left"/>
              <w:rPr>
                <w:rFonts w:ascii="Palatino Linotype"/>
                <w:b/>
                <w:sz w:val="14"/>
              </w:rPr>
            </w:pPr>
            <w:r>
              <w:rPr>
                <w:rFonts w:ascii="Palatino Linotype"/>
                <w:b/>
                <w:color w:val="231F20"/>
                <w:sz w:val="14"/>
              </w:rPr>
              <w:t>1.9</w:t>
            </w:r>
          </w:p>
        </w:tc>
        <w:tc>
          <w:tcPr>
            <w:tcW w:w="396" w:type="dxa"/>
          </w:tcPr>
          <w:p>
            <w:pPr>
              <w:pStyle w:val="TableParagraph"/>
              <w:spacing w:before="56"/>
              <w:ind w:left="109"/>
              <w:jc w:val="left"/>
              <w:rPr>
                <w:rFonts w:ascii="Palatino Linotype"/>
                <w:b/>
                <w:sz w:val="14"/>
              </w:rPr>
            </w:pPr>
            <w:r>
              <w:rPr>
                <w:rFonts w:ascii="Palatino Linotype"/>
                <w:b/>
                <w:color w:val="231F20"/>
                <w:sz w:val="14"/>
              </w:rPr>
              <w:t>3.7</w:t>
            </w:r>
          </w:p>
        </w:tc>
        <w:tc>
          <w:tcPr>
            <w:tcW w:w="391" w:type="dxa"/>
          </w:tcPr>
          <w:p>
            <w:pPr>
              <w:pStyle w:val="TableParagraph"/>
              <w:spacing w:before="56"/>
              <w:ind w:left="109"/>
              <w:jc w:val="left"/>
              <w:rPr>
                <w:rFonts w:ascii="Palatino Linotype"/>
                <w:b/>
                <w:sz w:val="14"/>
              </w:rPr>
            </w:pPr>
            <w:r>
              <w:rPr>
                <w:rFonts w:ascii="Palatino Linotype"/>
                <w:b/>
                <w:color w:val="231F20"/>
                <w:sz w:val="14"/>
              </w:rPr>
              <w:t>4.3</w:t>
            </w:r>
          </w:p>
        </w:tc>
        <w:tc>
          <w:tcPr>
            <w:tcW w:w="396" w:type="dxa"/>
          </w:tcPr>
          <w:p>
            <w:pPr>
              <w:pStyle w:val="TableParagraph"/>
              <w:spacing w:before="56"/>
              <w:ind w:left="104"/>
              <w:jc w:val="left"/>
              <w:rPr>
                <w:rFonts w:ascii="Palatino Linotype"/>
                <w:b/>
                <w:sz w:val="14"/>
              </w:rPr>
            </w:pPr>
            <w:r>
              <w:rPr>
                <w:rFonts w:ascii="Palatino Linotype"/>
                <w:b/>
                <w:color w:val="231F20"/>
                <w:sz w:val="14"/>
              </w:rPr>
              <w:t>2.6</w:t>
            </w:r>
          </w:p>
        </w:tc>
        <w:tc>
          <w:tcPr>
            <w:tcW w:w="401" w:type="dxa"/>
          </w:tcPr>
          <w:p>
            <w:pPr>
              <w:pStyle w:val="TableParagraph"/>
              <w:spacing w:before="56"/>
              <w:ind w:left="114"/>
              <w:jc w:val="left"/>
              <w:rPr>
                <w:rFonts w:ascii="Palatino Linotype"/>
                <w:b/>
                <w:sz w:val="14"/>
              </w:rPr>
            </w:pPr>
            <w:r>
              <w:rPr>
                <w:rFonts w:ascii="Palatino Linotype"/>
                <w:b/>
                <w:color w:val="231F20"/>
                <w:sz w:val="14"/>
              </w:rPr>
              <w:t>5.5</w:t>
            </w:r>
          </w:p>
        </w:tc>
        <w:tc>
          <w:tcPr>
            <w:tcW w:w="381" w:type="dxa"/>
          </w:tcPr>
          <w:p>
            <w:pPr>
              <w:pStyle w:val="TableParagraph"/>
              <w:spacing w:before="56"/>
              <w:ind w:left="54" w:right="40"/>
              <w:rPr>
                <w:rFonts w:ascii="Palatino Linotype"/>
                <w:b/>
                <w:sz w:val="14"/>
              </w:rPr>
            </w:pPr>
            <w:r>
              <w:rPr>
                <w:rFonts w:ascii="Palatino Linotype"/>
                <w:b/>
                <w:color w:val="231F20"/>
                <w:sz w:val="14"/>
              </w:rPr>
              <w:t>7.0</w:t>
            </w:r>
          </w:p>
        </w:tc>
        <w:tc>
          <w:tcPr>
            <w:tcW w:w="362" w:type="dxa"/>
          </w:tcPr>
          <w:p>
            <w:pPr>
              <w:pStyle w:val="TableParagraph"/>
              <w:spacing w:before="56"/>
              <w:ind w:left="38" w:right="36"/>
              <w:rPr>
                <w:rFonts w:ascii="Palatino Linotype"/>
                <w:b/>
                <w:sz w:val="14"/>
              </w:rPr>
            </w:pPr>
            <w:r>
              <w:rPr>
                <w:rFonts w:ascii="Palatino Linotype"/>
                <w:b/>
                <w:color w:val="231F20"/>
                <w:sz w:val="14"/>
              </w:rPr>
              <w:t>3.7</w:t>
            </w:r>
          </w:p>
        </w:tc>
        <w:tc>
          <w:tcPr>
            <w:tcW w:w="414" w:type="dxa"/>
          </w:tcPr>
          <w:p>
            <w:pPr>
              <w:pStyle w:val="TableParagraph"/>
              <w:spacing w:before="56"/>
              <w:ind w:left="29" w:right="30"/>
              <w:rPr>
                <w:rFonts w:ascii="Palatino Linotype"/>
                <w:b/>
                <w:sz w:val="14"/>
              </w:rPr>
            </w:pPr>
            <w:r>
              <w:rPr>
                <w:rFonts w:ascii="Palatino Linotype"/>
                <w:b/>
                <w:color w:val="231F20"/>
                <w:sz w:val="14"/>
              </w:rPr>
              <w:t>20.6</w:t>
            </w:r>
          </w:p>
        </w:tc>
      </w:tr>
      <w:tr>
        <w:trPr>
          <w:trHeight w:val="397" w:hRule="exact"/>
        </w:trPr>
        <w:tc>
          <w:tcPr>
            <w:tcW w:w="1386" w:type="dxa"/>
          </w:tcPr>
          <w:p>
            <w:pPr>
              <w:pStyle w:val="TableParagraph"/>
              <w:spacing w:before="101"/>
              <w:ind w:left="46" w:right="53"/>
              <w:rPr>
                <w:sz w:val="14"/>
              </w:rPr>
            </w:pPr>
            <w:r>
              <w:rPr>
                <w:color w:val="231F20"/>
                <w:sz w:val="14"/>
              </w:rPr>
              <w:t>Autos</w:t>
            </w:r>
          </w:p>
        </w:tc>
        <w:tc>
          <w:tcPr>
            <w:tcW w:w="748" w:type="dxa"/>
          </w:tcPr>
          <w:p>
            <w:pPr>
              <w:pStyle w:val="TableParagraph"/>
              <w:spacing w:before="101"/>
              <w:ind w:left="43" w:right="52"/>
              <w:rPr>
                <w:sz w:val="14"/>
              </w:rPr>
            </w:pPr>
            <w:r>
              <w:rPr>
                <w:color w:val="231F20"/>
                <w:sz w:val="14"/>
              </w:rPr>
              <w:t>Toluca</w:t>
            </w:r>
          </w:p>
        </w:tc>
        <w:tc>
          <w:tcPr>
            <w:tcW w:w="404" w:type="dxa"/>
          </w:tcPr>
          <w:p>
            <w:pPr>
              <w:pStyle w:val="TableParagraph"/>
              <w:spacing w:before="101"/>
              <w:ind w:left="62" w:right="55"/>
              <w:rPr>
                <w:sz w:val="14"/>
              </w:rPr>
            </w:pPr>
            <w:r>
              <w:rPr>
                <w:color w:val="231F20"/>
                <w:sz w:val="14"/>
              </w:rPr>
              <w:t>28.1</w:t>
            </w:r>
          </w:p>
        </w:tc>
        <w:tc>
          <w:tcPr>
            <w:tcW w:w="391" w:type="dxa"/>
          </w:tcPr>
          <w:p>
            <w:pPr>
              <w:pStyle w:val="TableParagraph"/>
              <w:spacing w:before="101"/>
              <w:ind w:left="53" w:right="49"/>
              <w:rPr>
                <w:sz w:val="14"/>
              </w:rPr>
            </w:pPr>
            <w:r>
              <w:rPr>
                <w:color w:val="231F20"/>
                <w:sz w:val="14"/>
              </w:rPr>
              <w:t>43.8</w:t>
            </w:r>
          </w:p>
        </w:tc>
        <w:tc>
          <w:tcPr>
            <w:tcW w:w="376" w:type="dxa"/>
          </w:tcPr>
          <w:p>
            <w:pPr>
              <w:pStyle w:val="TableParagraph"/>
              <w:spacing w:before="101"/>
              <w:ind w:left="76"/>
              <w:jc w:val="left"/>
              <w:rPr>
                <w:sz w:val="14"/>
              </w:rPr>
            </w:pPr>
            <w:r>
              <w:rPr>
                <w:color w:val="231F20"/>
                <w:sz w:val="14"/>
              </w:rPr>
              <w:t>48.7</w:t>
            </w:r>
          </w:p>
        </w:tc>
        <w:tc>
          <w:tcPr>
            <w:tcW w:w="361" w:type="dxa"/>
          </w:tcPr>
          <w:p>
            <w:pPr>
              <w:pStyle w:val="TableParagraph"/>
              <w:spacing w:before="101"/>
              <w:ind w:left="66"/>
              <w:jc w:val="left"/>
              <w:rPr>
                <w:sz w:val="14"/>
              </w:rPr>
            </w:pPr>
            <w:r>
              <w:rPr>
                <w:color w:val="231F20"/>
                <w:sz w:val="14"/>
              </w:rPr>
              <w:t>46.4</w:t>
            </w:r>
          </w:p>
        </w:tc>
        <w:tc>
          <w:tcPr>
            <w:tcW w:w="381" w:type="dxa"/>
          </w:tcPr>
          <w:p>
            <w:pPr>
              <w:pStyle w:val="TableParagraph"/>
              <w:spacing w:before="101"/>
              <w:ind w:left="61"/>
              <w:jc w:val="left"/>
              <w:rPr>
                <w:sz w:val="14"/>
              </w:rPr>
            </w:pPr>
            <w:r>
              <w:rPr>
                <w:color w:val="231F20"/>
                <w:sz w:val="14"/>
              </w:rPr>
              <w:t>49.6</w:t>
            </w:r>
          </w:p>
        </w:tc>
        <w:tc>
          <w:tcPr>
            <w:tcW w:w="406" w:type="dxa"/>
          </w:tcPr>
          <w:p>
            <w:pPr>
              <w:pStyle w:val="TableParagraph"/>
              <w:spacing w:before="101"/>
              <w:ind w:left="86"/>
              <w:jc w:val="left"/>
              <w:rPr>
                <w:sz w:val="14"/>
              </w:rPr>
            </w:pPr>
            <w:r>
              <w:rPr>
                <w:color w:val="231F20"/>
                <w:sz w:val="14"/>
              </w:rPr>
              <w:t>45.5</w:t>
            </w:r>
          </w:p>
        </w:tc>
        <w:tc>
          <w:tcPr>
            <w:tcW w:w="401" w:type="dxa"/>
          </w:tcPr>
          <w:p>
            <w:pPr>
              <w:pStyle w:val="TableParagraph"/>
              <w:spacing w:before="101"/>
              <w:ind w:left="59" w:right="55"/>
              <w:rPr>
                <w:sz w:val="14"/>
              </w:rPr>
            </w:pPr>
            <w:r>
              <w:rPr>
                <w:color w:val="231F20"/>
                <w:sz w:val="14"/>
              </w:rPr>
              <w:t>45.4</w:t>
            </w:r>
          </w:p>
        </w:tc>
        <w:tc>
          <w:tcPr>
            <w:tcW w:w="396" w:type="dxa"/>
          </w:tcPr>
          <w:p>
            <w:pPr>
              <w:pStyle w:val="TableParagraph"/>
              <w:spacing w:before="101"/>
              <w:ind w:left="114"/>
              <w:jc w:val="left"/>
              <w:rPr>
                <w:sz w:val="14"/>
              </w:rPr>
            </w:pPr>
            <w:r>
              <w:rPr>
                <w:color w:val="231F20"/>
                <w:sz w:val="14"/>
              </w:rPr>
              <w:t>0.4</w:t>
            </w:r>
          </w:p>
        </w:tc>
        <w:tc>
          <w:tcPr>
            <w:tcW w:w="391" w:type="dxa"/>
          </w:tcPr>
          <w:p>
            <w:pPr>
              <w:pStyle w:val="TableParagraph"/>
              <w:spacing w:before="101"/>
              <w:ind w:left="114"/>
              <w:jc w:val="left"/>
              <w:rPr>
                <w:sz w:val="14"/>
              </w:rPr>
            </w:pPr>
            <w:r>
              <w:rPr>
                <w:color w:val="231F20"/>
                <w:sz w:val="14"/>
              </w:rPr>
              <w:t>0.0</w:t>
            </w:r>
          </w:p>
        </w:tc>
        <w:tc>
          <w:tcPr>
            <w:tcW w:w="376" w:type="dxa"/>
          </w:tcPr>
          <w:p>
            <w:pPr>
              <w:pStyle w:val="TableParagraph"/>
              <w:spacing w:before="101"/>
              <w:ind w:left="109"/>
              <w:jc w:val="left"/>
              <w:rPr>
                <w:sz w:val="14"/>
              </w:rPr>
            </w:pPr>
            <w:r>
              <w:rPr>
                <w:color w:val="231F20"/>
                <w:sz w:val="14"/>
              </w:rPr>
              <w:t>0.0</w:t>
            </w:r>
          </w:p>
        </w:tc>
        <w:tc>
          <w:tcPr>
            <w:tcW w:w="356" w:type="dxa"/>
          </w:tcPr>
          <w:p>
            <w:pPr>
              <w:pStyle w:val="TableParagraph"/>
              <w:spacing w:before="101"/>
              <w:ind w:left="99"/>
              <w:jc w:val="left"/>
              <w:rPr>
                <w:sz w:val="14"/>
              </w:rPr>
            </w:pPr>
            <w:r>
              <w:rPr>
                <w:color w:val="231F20"/>
                <w:sz w:val="14"/>
              </w:rPr>
              <w:t>0.0</w:t>
            </w:r>
          </w:p>
        </w:tc>
        <w:tc>
          <w:tcPr>
            <w:tcW w:w="356" w:type="dxa"/>
          </w:tcPr>
          <w:p>
            <w:pPr>
              <w:pStyle w:val="TableParagraph"/>
              <w:spacing w:before="101"/>
              <w:ind w:left="30" w:right="38"/>
              <w:rPr>
                <w:sz w:val="14"/>
              </w:rPr>
            </w:pPr>
            <w:r>
              <w:rPr>
                <w:color w:val="231F20"/>
                <w:sz w:val="14"/>
              </w:rPr>
              <w:t>0.0</w:t>
            </w:r>
          </w:p>
        </w:tc>
        <w:tc>
          <w:tcPr>
            <w:tcW w:w="371" w:type="dxa"/>
          </w:tcPr>
          <w:p>
            <w:pPr>
              <w:pStyle w:val="TableParagraph"/>
              <w:spacing w:before="101"/>
              <w:ind w:left="41" w:right="44"/>
              <w:rPr>
                <w:sz w:val="14"/>
              </w:rPr>
            </w:pPr>
            <w:r>
              <w:rPr>
                <w:color w:val="231F20"/>
                <w:sz w:val="14"/>
              </w:rPr>
              <w:t>17.9</w:t>
            </w:r>
          </w:p>
        </w:tc>
        <w:tc>
          <w:tcPr>
            <w:tcW w:w="386" w:type="dxa"/>
          </w:tcPr>
          <w:p>
            <w:pPr>
              <w:pStyle w:val="TableParagraph"/>
              <w:spacing w:before="101"/>
              <w:ind w:left="104"/>
              <w:jc w:val="left"/>
              <w:rPr>
                <w:sz w:val="14"/>
              </w:rPr>
            </w:pPr>
            <w:r>
              <w:rPr>
                <w:color w:val="231F20"/>
                <w:sz w:val="14"/>
              </w:rPr>
              <w:t>4.4</w:t>
            </w:r>
          </w:p>
        </w:tc>
        <w:tc>
          <w:tcPr>
            <w:tcW w:w="396" w:type="dxa"/>
          </w:tcPr>
          <w:p>
            <w:pPr>
              <w:pStyle w:val="TableParagraph"/>
              <w:spacing w:before="101"/>
              <w:ind w:left="114"/>
              <w:jc w:val="left"/>
              <w:rPr>
                <w:sz w:val="14"/>
              </w:rPr>
            </w:pPr>
            <w:r>
              <w:rPr>
                <w:color w:val="231F20"/>
                <w:sz w:val="14"/>
              </w:rPr>
              <w:t>8.3</w:t>
            </w:r>
          </w:p>
        </w:tc>
        <w:tc>
          <w:tcPr>
            <w:tcW w:w="391" w:type="dxa"/>
          </w:tcPr>
          <w:p>
            <w:pPr>
              <w:pStyle w:val="TableParagraph"/>
              <w:spacing w:before="101"/>
              <w:ind w:left="80"/>
              <w:jc w:val="left"/>
              <w:rPr>
                <w:sz w:val="14"/>
              </w:rPr>
            </w:pPr>
            <w:r>
              <w:rPr>
                <w:color w:val="231F20"/>
                <w:sz w:val="14"/>
              </w:rPr>
              <w:t>15.5</w:t>
            </w:r>
          </w:p>
        </w:tc>
        <w:tc>
          <w:tcPr>
            <w:tcW w:w="396" w:type="dxa"/>
          </w:tcPr>
          <w:p>
            <w:pPr>
              <w:pStyle w:val="TableParagraph"/>
              <w:spacing w:before="101"/>
              <w:ind w:left="75"/>
              <w:jc w:val="left"/>
              <w:rPr>
                <w:sz w:val="14"/>
              </w:rPr>
            </w:pPr>
            <w:r>
              <w:rPr>
                <w:color w:val="231F20"/>
                <w:sz w:val="14"/>
              </w:rPr>
              <w:t>10.5</w:t>
            </w:r>
          </w:p>
        </w:tc>
        <w:tc>
          <w:tcPr>
            <w:tcW w:w="401" w:type="dxa"/>
          </w:tcPr>
          <w:p>
            <w:pPr>
              <w:pStyle w:val="TableParagraph"/>
              <w:spacing w:before="101"/>
              <w:ind w:left="85"/>
              <w:jc w:val="left"/>
              <w:rPr>
                <w:sz w:val="14"/>
              </w:rPr>
            </w:pPr>
            <w:r>
              <w:rPr>
                <w:color w:val="231F20"/>
                <w:sz w:val="14"/>
              </w:rPr>
              <w:t>30.2</w:t>
            </w:r>
          </w:p>
        </w:tc>
        <w:tc>
          <w:tcPr>
            <w:tcW w:w="381" w:type="dxa"/>
          </w:tcPr>
          <w:p>
            <w:pPr>
              <w:pStyle w:val="TableParagraph"/>
              <w:spacing w:before="101"/>
              <w:ind w:left="54" w:right="40"/>
              <w:rPr>
                <w:sz w:val="14"/>
              </w:rPr>
            </w:pPr>
            <w:r>
              <w:rPr>
                <w:color w:val="231F20"/>
                <w:sz w:val="14"/>
              </w:rPr>
              <w:t>43.2</w:t>
            </w:r>
          </w:p>
        </w:tc>
        <w:tc>
          <w:tcPr>
            <w:tcW w:w="362" w:type="dxa"/>
          </w:tcPr>
          <w:p>
            <w:pPr>
              <w:pStyle w:val="TableParagraph"/>
              <w:spacing w:before="101"/>
              <w:ind w:left="39" w:right="36"/>
              <w:rPr>
                <w:sz w:val="14"/>
              </w:rPr>
            </w:pPr>
            <w:r>
              <w:rPr>
                <w:color w:val="231F20"/>
                <w:sz w:val="14"/>
              </w:rPr>
              <w:t>24.0</w:t>
            </w:r>
          </w:p>
        </w:tc>
        <w:tc>
          <w:tcPr>
            <w:tcW w:w="414" w:type="dxa"/>
          </w:tcPr>
          <w:p>
            <w:pPr>
              <w:pStyle w:val="TableParagraph"/>
              <w:spacing w:before="101"/>
              <w:ind w:left="29" w:right="30"/>
              <w:rPr>
                <w:sz w:val="14"/>
              </w:rPr>
            </w:pPr>
            <w:r>
              <w:rPr>
                <w:color w:val="231F20"/>
                <w:sz w:val="14"/>
              </w:rPr>
              <w:t>100.0</w:t>
            </w:r>
          </w:p>
        </w:tc>
      </w:tr>
      <w:tr>
        <w:trPr>
          <w:trHeight w:val="379" w:hRule="exact"/>
        </w:trPr>
        <w:tc>
          <w:tcPr>
            <w:tcW w:w="1386" w:type="dxa"/>
            <w:tcBorders>
              <w:bottom w:val="single" w:sz="4" w:space="0" w:color="231F20"/>
            </w:tcBorders>
          </w:tcPr>
          <w:p>
            <w:pPr>
              <w:pStyle w:val="TableParagraph"/>
              <w:spacing w:before="100"/>
              <w:ind w:left="46" w:right="53"/>
              <w:rPr>
                <w:sz w:val="14"/>
              </w:rPr>
            </w:pPr>
            <w:r>
              <w:rPr>
                <w:color w:val="231F20"/>
                <w:sz w:val="14"/>
              </w:rPr>
              <w:t>Camiones</w:t>
            </w:r>
          </w:p>
        </w:tc>
        <w:tc>
          <w:tcPr>
            <w:tcW w:w="748" w:type="dxa"/>
            <w:tcBorders>
              <w:bottom w:val="single" w:sz="4" w:space="0" w:color="231F20"/>
            </w:tcBorders>
          </w:tcPr>
          <w:p>
            <w:pPr>
              <w:pStyle w:val="TableParagraph"/>
              <w:spacing w:before="100"/>
              <w:ind w:left="43" w:right="52"/>
              <w:rPr>
                <w:sz w:val="14"/>
              </w:rPr>
            </w:pPr>
            <w:r>
              <w:rPr>
                <w:color w:val="231F20"/>
                <w:sz w:val="14"/>
              </w:rPr>
              <w:t>Toluca</w:t>
            </w:r>
          </w:p>
        </w:tc>
        <w:tc>
          <w:tcPr>
            <w:tcW w:w="404" w:type="dxa"/>
            <w:tcBorders>
              <w:bottom w:val="single" w:sz="4" w:space="0" w:color="231F20"/>
            </w:tcBorders>
          </w:tcPr>
          <w:p>
            <w:pPr>
              <w:pStyle w:val="TableParagraph"/>
              <w:spacing w:before="100"/>
              <w:ind w:left="62" w:right="55"/>
              <w:rPr>
                <w:sz w:val="14"/>
              </w:rPr>
            </w:pPr>
            <w:r>
              <w:rPr>
                <w:color w:val="231F20"/>
                <w:sz w:val="14"/>
              </w:rPr>
              <w:t>35.4</w:t>
            </w:r>
          </w:p>
        </w:tc>
        <w:tc>
          <w:tcPr>
            <w:tcW w:w="391" w:type="dxa"/>
            <w:tcBorders>
              <w:bottom w:val="single" w:sz="4" w:space="0" w:color="231F20"/>
            </w:tcBorders>
          </w:tcPr>
          <w:p>
            <w:pPr>
              <w:pStyle w:val="TableParagraph"/>
              <w:spacing w:before="100"/>
              <w:ind w:left="53" w:right="49"/>
              <w:rPr>
                <w:sz w:val="14"/>
              </w:rPr>
            </w:pPr>
            <w:r>
              <w:rPr>
                <w:color w:val="231F20"/>
                <w:sz w:val="14"/>
              </w:rPr>
              <w:t>31.2</w:t>
            </w:r>
          </w:p>
        </w:tc>
        <w:tc>
          <w:tcPr>
            <w:tcW w:w="376" w:type="dxa"/>
            <w:tcBorders>
              <w:bottom w:val="single" w:sz="4" w:space="0" w:color="231F20"/>
            </w:tcBorders>
          </w:tcPr>
          <w:p>
            <w:pPr>
              <w:pStyle w:val="TableParagraph"/>
              <w:spacing w:before="100"/>
              <w:ind w:left="76"/>
              <w:jc w:val="left"/>
              <w:rPr>
                <w:sz w:val="14"/>
              </w:rPr>
            </w:pPr>
            <w:r>
              <w:rPr>
                <w:color w:val="231F20"/>
                <w:sz w:val="14"/>
              </w:rPr>
              <w:t>30.0</w:t>
            </w:r>
          </w:p>
        </w:tc>
        <w:tc>
          <w:tcPr>
            <w:tcW w:w="361" w:type="dxa"/>
            <w:tcBorders>
              <w:bottom w:val="single" w:sz="4" w:space="0" w:color="231F20"/>
            </w:tcBorders>
          </w:tcPr>
          <w:p>
            <w:pPr>
              <w:pStyle w:val="TableParagraph"/>
              <w:spacing w:before="100"/>
              <w:ind w:left="66"/>
              <w:jc w:val="left"/>
              <w:rPr>
                <w:sz w:val="14"/>
              </w:rPr>
            </w:pPr>
            <w:r>
              <w:rPr>
                <w:color w:val="231F20"/>
                <w:sz w:val="14"/>
              </w:rPr>
              <w:t>29.9</w:t>
            </w:r>
          </w:p>
        </w:tc>
        <w:tc>
          <w:tcPr>
            <w:tcW w:w="381" w:type="dxa"/>
            <w:tcBorders>
              <w:bottom w:val="single" w:sz="4" w:space="0" w:color="231F20"/>
            </w:tcBorders>
          </w:tcPr>
          <w:p>
            <w:pPr>
              <w:pStyle w:val="TableParagraph"/>
              <w:spacing w:before="100"/>
              <w:ind w:left="61"/>
              <w:jc w:val="left"/>
              <w:rPr>
                <w:sz w:val="14"/>
              </w:rPr>
            </w:pPr>
            <w:r>
              <w:rPr>
                <w:color w:val="231F20"/>
                <w:sz w:val="14"/>
              </w:rPr>
              <w:t>27.3</w:t>
            </w:r>
          </w:p>
        </w:tc>
        <w:tc>
          <w:tcPr>
            <w:tcW w:w="406" w:type="dxa"/>
            <w:tcBorders>
              <w:bottom w:val="single" w:sz="4" w:space="0" w:color="231F20"/>
            </w:tcBorders>
          </w:tcPr>
          <w:p>
            <w:pPr>
              <w:pStyle w:val="TableParagraph"/>
              <w:spacing w:before="100"/>
              <w:ind w:left="119"/>
              <w:jc w:val="left"/>
              <w:rPr>
                <w:sz w:val="14"/>
              </w:rPr>
            </w:pPr>
            <w:r>
              <w:rPr>
                <w:color w:val="231F20"/>
                <w:sz w:val="14"/>
              </w:rPr>
              <w:t>8.8</w:t>
            </w:r>
          </w:p>
        </w:tc>
        <w:tc>
          <w:tcPr>
            <w:tcW w:w="401" w:type="dxa"/>
            <w:tcBorders>
              <w:bottom w:val="single" w:sz="4" w:space="0" w:color="231F20"/>
            </w:tcBorders>
          </w:tcPr>
          <w:p>
            <w:pPr>
              <w:pStyle w:val="TableParagraph"/>
              <w:spacing w:before="100"/>
              <w:ind w:left="59" w:right="55"/>
              <w:rPr>
                <w:sz w:val="14"/>
              </w:rPr>
            </w:pPr>
            <w:r>
              <w:rPr>
                <w:color w:val="231F20"/>
                <w:sz w:val="14"/>
              </w:rPr>
              <w:t>0.0</w:t>
            </w:r>
          </w:p>
        </w:tc>
        <w:tc>
          <w:tcPr>
            <w:tcW w:w="396" w:type="dxa"/>
            <w:tcBorders>
              <w:bottom w:val="single" w:sz="4" w:space="0" w:color="231F20"/>
            </w:tcBorders>
          </w:tcPr>
          <w:p>
            <w:pPr>
              <w:pStyle w:val="TableParagraph"/>
              <w:spacing w:before="100"/>
              <w:ind w:left="114"/>
              <w:jc w:val="left"/>
              <w:rPr>
                <w:sz w:val="14"/>
              </w:rPr>
            </w:pPr>
            <w:r>
              <w:rPr>
                <w:color w:val="231F20"/>
                <w:sz w:val="14"/>
              </w:rPr>
              <w:t>0.0</w:t>
            </w:r>
          </w:p>
        </w:tc>
        <w:tc>
          <w:tcPr>
            <w:tcW w:w="391" w:type="dxa"/>
            <w:tcBorders>
              <w:bottom w:val="single" w:sz="4" w:space="0" w:color="231F20"/>
            </w:tcBorders>
          </w:tcPr>
          <w:p>
            <w:pPr>
              <w:pStyle w:val="TableParagraph"/>
              <w:spacing w:before="100"/>
              <w:ind w:left="114"/>
              <w:jc w:val="left"/>
              <w:rPr>
                <w:sz w:val="14"/>
              </w:rPr>
            </w:pPr>
            <w:r>
              <w:rPr>
                <w:color w:val="231F20"/>
                <w:sz w:val="14"/>
              </w:rPr>
              <w:t>0.0</w:t>
            </w:r>
          </w:p>
        </w:tc>
        <w:tc>
          <w:tcPr>
            <w:tcW w:w="376" w:type="dxa"/>
            <w:tcBorders>
              <w:bottom w:val="single" w:sz="4" w:space="0" w:color="231F20"/>
            </w:tcBorders>
          </w:tcPr>
          <w:p>
            <w:pPr>
              <w:pStyle w:val="TableParagraph"/>
              <w:spacing w:before="100"/>
              <w:ind w:left="109"/>
              <w:jc w:val="left"/>
              <w:rPr>
                <w:sz w:val="14"/>
              </w:rPr>
            </w:pPr>
            <w:r>
              <w:rPr>
                <w:color w:val="231F20"/>
                <w:sz w:val="14"/>
              </w:rPr>
              <w:t>0.0</w:t>
            </w:r>
          </w:p>
        </w:tc>
        <w:tc>
          <w:tcPr>
            <w:tcW w:w="356" w:type="dxa"/>
            <w:tcBorders>
              <w:bottom w:val="single" w:sz="4" w:space="0" w:color="231F20"/>
            </w:tcBorders>
          </w:tcPr>
          <w:p>
            <w:pPr>
              <w:pStyle w:val="TableParagraph"/>
              <w:spacing w:before="100"/>
              <w:ind w:left="99"/>
              <w:jc w:val="left"/>
              <w:rPr>
                <w:sz w:val="14"/>
              </w:rPr>
            </w:pPr>
            <w:r>
              <w:rPr>
                <w:color w:val="231F20"/>
                <w:sz w:val="14"/>
              </w:rPr>
              <w:t>0.0</w:t>
            </w:r>
          </w:p>
        </w:tc>
        <w:tc>
          <w:tcPr>
            <w:tcW w:w="356" w:type="dxa"/>
            <w:tcBorders>
              <w:bottom w:val="single" w:sz="4" w:space="0" w:color="231F20"/>
            </w:tcBorders>
          </w:tcPr>
          <w:p>
            <w:pPr>
              <w:pStyle w:val="TableParagraph"/>
              <w:spacing w:before="100"/>
              <w:ind w:left="30" w:right="38"/>
              <w:rPr>
                <w:sz w:val="14"/>
              </w:rPr>
            </w:pPr>
            <w:r>
              <w:rPr>
                <w:color w:val="231F20"/>
                <w:sz w:val="14"/>
              </w:rPr>
              <w:t>0.0</w:t>
            </w:r>
          </w:p>
        </w:tc>
        <w:tc>
          <w:tcPr>
            <w:tcW w:w="371" w:type="dxa"/>
            <w:tcBorders>
              <w:bottom w:val="single" w:sz="4" w:space="0" w:color="231F20"/>
            </w:tcBorders>
          </w:tcPr>
          <w:p>
            <w:pPr>
              <w:pStyle w:val="TableParagraph"/>
              <w:spacing w:before="100"/>
              <w:ind w:left="41" w:right="44"/>
              <w:rPr>
                <w:sz w:val="14"/>
              </w:rPr>
            </w:pPr>
            <w:r>
              <w:rPr>
                <w:color w:val="231F20"/>
                <w:sz w:val="14"/>
              </w:rPr>
              <w:t>0.0</w:t>
            </w:r>
          </w:p>
        </w:tc>
        <w:tc>
          <w:tcPr>
            <w:tcW w:w="386" w:type="dxa"/>
            <w:tcBorders>
              <w:bottom w:val="single" w:sz="4" w:space="0" w:color="231F20"/>
            </w:tcBorders>
          </w:tcPr>
          <w:p>
            <w:pPr>
              <w:pStyle w:val="TableParagraph"/>
              <w:spacing w:before="100"/>
              <w:ind w:left="104"/>
              <w:jc w:val="left"/>
              <w:rPr>
                <w:sz w:val="14"/>
              </w:rPr>
            </w:pPr>
            <w:r>
              <w:rPr>
                <w:color w:val="231F20"/>
                <w:sz w:val="14"/>
              </w:rPr>
              <w:t>0.0</w:t>
            </w:r>
          </w:p>
        </w:tc>
        <w:tc>
          <w:tcPr>
            <w:tcW w:w="396" w:type="dxa"/>
            <w:tcBorders>
              <w:bottom w:val="single" w:sz="4" w:space="0" w:color="231F20"/>
            </w:tcBorders>
          </w:tcPr>
          <w:p>
            <w:pPr>
              <w:pStyle w:val="TableParagraph"/>
              <w:spacing w:before="100"/>
              <w:ind w:left="114"/>
              <w:jc w:val="left"/>
              <w:rPr>
                <w:sz w:val="14"/>
              </w:rPr>
            </w:pPr>
            <w:r>
              <w:rPr>
                <w:color w:val="231F20"/>
                <w:sz w:val="14"/>
              </w:rPr>
              <w:t>0.0</w:t>
            </w:r>
          </w:p>
        </w:tc>
        <w:tc>
          <w:tcPr>
            <w:tcW w:w="391" w:type="dxa"/>
            <w:tcBorders>
              <w:bottom w:val="single" w:sz="4" w:space="0" w:color="231F20"/>
            </w:tcBorders>
          </w:tcPr>
          <w:p>
            <w:pPr>
              <w:pStyle w:val="TableParagraph"/>
              <w:spacing w:before="100"/>
              <w:ind w:left="114"/>
              <w:jc w:val="left"/>
              <w:rPr>
                <w:sz w:val="14"/>
              </w:rPr>
            </w:pPr>
            <w:r>
              <w:rPr>
                <w:color w:val="231F20"/>
                <w:sz w:val="14"/>
              </w:rPr>
              <w:t>0.0</w:t>
            </w:r>
          </w:p>
        </w:tc>
        <w:tc>
          <w:tcPr>
            <w:tcW w:w="396" w:type="dxa"/>
            <w:tcBorders>
              <w:bottom w:val="single" w:sz="4" w:space="0" w:color="231F20"/>
            </w:tcBorders>
          </w:tcPr>
          <w:p>
            <w:pPr>
              <w:pStyle w:val="TableParagraph"/>
              <w:spacing w:before="100"/>
              <w:ind w:left="109"/>
              <w:jc w:val="left"/>
              <w:rPr>
                <w:sz w:val="14"/>
              </w:rPr>
            </w:pPr>
            <w:r>
              <w:rPr>
                <w:color w:val="231F20"/>
                <w:sz w:val="14"/>
              </w:rPr>
              <w:t>0.0</w:t>
            </w:r>
          </w:p>
        </w:tc>
        <w:tc>
          <w:tcPr>
            <w:tcW w:w="401" w:type="dxa"/>
            <w:tcBorders>
              <w:bottom w:val="single" w:sz="4" w:space="0" w:color="231F20"/>
            </w:tcBorders>
          </w:tcPr>
          <w:p>
            <w:pPr>
              <w:pStyle w:val="TableParagraph"/>
              <w:spacing w:before="100"/>
              <w:ind w:left="119"/>
              <w:jc w:val="left"/>
              <w:rPr>
                <w:sz w:val="14"/>
              </w:rPr>
            </w:pPr>
            <w:r>
              <w:rPr>
                <w:color w:val="231F20"/>
                <w:sz w:val="14"/>
              </w:rPr>
              <w:t>0.0</w:t>
            </w:r>
          </w:p>
        </w:tc>
        <w:tc>
          <w:tcPr>
            <w:tcW w:w="381" w:type="dxa"/>
            <w:tcBorders>
              <w:bottom w:val="single" w:sz="4" w:space="0" w:color="231F20"/>
            </w:tcBorders>
          </w:tcPr>
          <w:p>
            <w:pPr>
              <w:pStyle w:val="TableParagraph"/>
              <w:spacing w:before="100"/>
              <w:ind w:left="54" w:right="40"/>
              <w:rPr>
                <w:sz w:val="14"/>
              </w:rPr>
            </w:pPr>
            <w:r>
              <w:rPr>
                <w:color w:val="231F20"/>
                <w:sz w:val="14"/>
              </w:rPr>
              <w:t>0.0</w:t>
            </w:r>
          </w:p>
        </w:tc>
        <w:tc>
          <w:tcPr>
            <w:tcW w:w="362" w:type="dxa"/>
            <w:tcBorders>
              <w:bottom w:val="single" w:sz="4" w:space="0" w:color="231F20"/>
            </w:tcBorders>
          </w:tcPr>
          <w:p>
            <w:pPr>
              <w:pStyle w:val="TableParagraph"/>
              <w:spacing w:before="100"/>
              <w:ind w:left="39" w:right="36"/>
              <w:rPr>
                <w:sz w:val="14"/>
              </w:rPr>
            </w:pPr>
            <w:r>
              <w:rPr>
                <w:color w:val="231F20"/>
                <w:sz w:val="14"/>
              </w:rPr>
              <w:t>0.0</w:t>
            </w:r>
          </w:p>
        </w:tc>
        <w:tc>
          <w:tcPr>
            <w:tcW w:w="414" w:type="dxa"/>
            <w:tcBorders>
              <w:bottom w:val="single" w:sz="4" w:space="0" w:color="231F20"/>
            </w:tcBorders>
          </w:tcPr>
          <w:p>
            <w:pPr>
              <w:pStyle w:val="TableParagraph"/>
              <w:spacing w:before="100"/>
              <w:ind w:left="29" w:right="29"/>
              <w:rPr>
                <w:sz w:val="14"/>
              </w:rPr>
            </w:pPr>
            <w:r>
              <w:rPr>
                <w:color w:val="231F20"/>
                <w:sz w:val="14"/>
              </w:rPr>
              <w:t>19.3</w:t>
            </w:r>
          </w:p>
        </w:tc>
      </w:tr>
      <w:tr>
        <w:trPr>
          <w:trHeight w:val="415" w:hRule="exact"/>
        </w:trPr>
        <w:tc>
          <w:tcPr>
            <w:tcW w:w="1386" w:type="dxa"/>
            <w:tcBorders>
              <w:top w:val="single" w:sz="4" w:space="0" w:color="231F20"/>
            </w:tcBorders>
          </w:tcPr>
          <w:p>
            <w:pPr>
              <w:pStyle w:val="TableParagraph"/>
              <w:spacing w:before="97"/>
              <w:ind w:left="46" w:right="53"/>
              <w:rPr>
                <w:rFonts w:ascii="Palatino Linotype"/>
                <w:b/>
                <w:sz w:val="14"/>
              </w:rPr>
            </w:pPr>
            <w:r>
              <w:rPr>
                <w:rFonts w:ascii="Palatino Linotype"/>
                <w:b/>
                <w:color w:val="231F20"/>
                <w:w w:val="90"/>
                <w:sz w:val="14"/>
              </w:rPr>
              <w:t>FORD MOTOR CO.</w:t>
            </w:r>
          </w:p>
        </w:tc>
        <w:tc>
          <w:tcPr>
            <w:tcW w:w="748" w:type="dxa"/>
            <w:tcBorders>
              <w:top w:val="single" w:sz="4" w:space="0" w:color="231F20"/>
            </w:tcBorders>
          </w:tcPr>
          <w:p>
            <w:pPr/>
          </w:p>
        </w:tc>
        <w:tc>
          <w:tcPr>
            <w:tcW w:w="404" w:type="dxa"/>
            <w:tcBorders>
              <w:top w:val="single" w:sz="4" w:space="0" w:color="231F20"/>
            </w:tcBorders>
          </w:tcPr>
          <w:p>
            <w:pPr>
              <w:pStyle w:val="TableParagraph"/>
              <w:spacing w:before="97"/>
              <w:ind w:left="62" w:right="55"/>
              <w:rPr>
                <w:rFonts w:ascii="Palatino Linotype"/>
                <w:b/>
                <w:sz w:val="14"/>
              </w:rPr>
            </w:pPr>
            <w:r>
              <w:rPr>
                <w:rFonts w:ascii="Palatino Linotype"/>
                <w:b/>
                <w:color w:val="231F20"/>
                <w:sz w:val="14"/>
              </w:rPr>
              <w:t>44.0</w:t>
            </w:r>
          </w:p>
        </w:tc>
        <w:tc>
          <w:tcPr>
            <w:tcW w:w="391" w:type="dxa"/>
            <w:tcBorders>
              <w:top w:val="single" w:sz="4" w:space="0" w:color="231F20"/>
            </w:tcBorders>
          </w:tcPr>
          <w:p>
            <w:pPr>
              <w:pStyle w:val="TableParagraph"/>
              <w:spacing w:before="97"/>
              <w:ind w:left="53" w:right="49"/>
              <w:rPr>
                <w:rFonts w:ascii="Palatino Linotype"/>
                <w:b/>
                <w:sz w:val="14"/>
              </w:rPr>
            </w:pPr>
            <w:r>
              <w:rPr>
                <w:rFonts w:ascii="Palatino Linotype"/>
                <w:b/>
                <w:color w:val="231F20"/>
                <w:sz w:val="14"/>
              </w:rPr>
              <w:t>39.7</w:t>
            </w:r>
          </w:p>
        </w:tc>
        <w:tc>
          <w:tcPr>
            <w:tcW w:w="376" w:type="dxa"/>
            <w:tcBorders>
              <w:top w:val="single" w:sz="4" w:space="0" w:color="231F20"/>
            </w:tcBorders>
          </w:tcPr>
          <w:p>
            <w:pPr>
              <w:pStyle w:val="TableParagraph"/>
              <w:spacing w:before="97"/>
              <w:ind w:left="70"/>
              <w:jc w:val="left"/>
              <w:rPr>
                <w:rFonts w:ascii="Palatino Linotype"/>
                <w:b/>
                <w:sz w:val="14"/>
              </w:rPr>
            </w:pPr>
            <w:r>
              <w:rPr>
                <w:rFonts w:ascii="Palatino Linotype"/>
                <w:b/>
                <w:color w:val="231F20"/>
                <w:sz w:val="14"/>
              </w:rPr>
              <w:t>36.1</w:t>
            </w:r>
          </w:p>
        </w:tc>
        <w:tc>
          <w:tcPr>
            <w:tcW w:w="361" w:type="dxa"/>
            <w:tcBorders>
              <w:top w:val="single" w:sz="4" w:space="0" w:color="231F20"/>
            </w:tcBorders>
          </w:tcPr>
          <w:p>
            <w:pPr>
              <w:pStyle w:val="TableParagraph"/>
              <w:spacing w:before="97"/>
              <w:ind w:left="60"/>
              <w:jc w:val="left"/>
              <w:rPr>
                <w:rFonts w:ascii="Palatino Linotype"/>
                <w:b/>
                <w:sz w:val="14"/>
              </w:rPr>
            </w:pPr>
            <w:r>
              <w:rPr>
                <w:rFonts w:ascii="Palatino Linotype"/>
                <w:b/>
                <w:color w:val="231F20"/>
                <w:sz w:val="14"/>
              </w:rPr>
              <w:t>39.2</w:t>
            </w:r>
          </w:p>
        </w:tc>
        <w:tc>
          <w:tcPr>
            <w:tcW w:w="381" w:type="dxa"/>
            <w:tcBorders>
              <w:top w:val="single" w:sz="4" w:space="0" w:color="231F20"/>
            </w:tcBorders>
          </w:tcPr>
          <w:p>
            <w:pPr>
              <w:pStyle w:val="TableParagraph"/>
              <w:spacing w:before="97"/>
              <w:ind w:left="55"/>
              <w:jc w:val="left"/>
              <w:rPr>
                <w:rFonts w:ascii="Palatino Linotype"/>
                <w:b/>
                <w:sz w:val="14"/>
              </w:rPr>
            </w:pPr>
            <w:r>
              <w:rPr>
                <w:rFonts w:ascii="Palatino Linotype"/>
                <w:b/>
                <w:color w:val="231F20"/>
                <w:sz w:val="14"/>
              </w:rPr>
              <w:t>41.4</w:t>
            </w:r>
          </w:p>
        </w:tc>
        <w:tc>
          <w:tcPr>
            <w:tcW w:w="406" w:type="dxa"/>
            <w:tcBorders>
              <w:top w:val="single" w:sz="4" w:space="0" w:color="231F20"/>
            </w:tcBorders>
          </w:tcPr>
          <w:p>
            <w:pPr>
              <w:pStyle w:val="TableParagraph"/>
              <w:spacing w:before="97"/>
              <w:ind w:left="80"/>
              <w:jc w:val="left"/>
              <w:rPr>
                <w:rFonts w:ascii="Palatino Linotype"/>
                <w:b/>
                <w:sz w:val="14"/>
              </w:rPr>
            </w:pPr>
            <w:r>
              <w:rPr>
                <w:rFonts w:ascii="Palatino Linotype"/>
                <w:b/>
                <w:color w:val="231F20"/>
                <w:sz w:val="14"/>
              </w:rPr>
              <w:t>47.6</w:t>
            </w:r>
          </w:p>
        </w:tc>
        <w:tc>
          <w:tcPr>
            <w:tcW w:w="401" w:type="dxa"/>
            <w:tcBorders>
              <w:top w:val="single" w:sz="4" w:space="0" w:color="231F20"/>
            </w:tcBorders>
          </w:tcPr>
          <w:p>
            <w:pPr>
              <w:pStyle w:val="TableParagraph"/>
              <w:spacing w:before="97"/>
              <w:ind w:left="59" w:right="55"/>
              <w:rPr>
                <w:rFonts w:ascii="Palatino Linotype"/>
                <w:b/>
                <w:sz w:val="14"/>
              </w:rPr>
            </w:pPr>
            <w:r>
              <w:rPr>
                <w:rFonts w:ascii="Palatino Linotype"/>
                <w:b/>
                <w:color w:val="231F20"/>
                <w:sz w:val="14"/>
              </w:rPr>
              <w:t>47.2</w:t>
            </w:r>
          </w:p>
        </w:tc>
        <w:tc>
          <w:tcPr>
            <w:tcW w:w="396" w:type="dxa"/>
            <w:tcBorders>
              <w:top w:val="single" w:sz="4" w:space="0" w:color="231F20"/>
            </w:tcBorders>
          </w:tcPr>
          <w:p>
            <w:pPr>
              <w:pStyle w:val="TableParagraph"/>
              <w:spacing w:before="97"/>
              <w:ind w:left="74"/>
              <w:jc w:val="left"/>
              <w:rPr>
                <w:rFonts w:ascii="Palatino Linotype"/>
                <w:b/>
                <w:sz w:val="14"/>
              </w:rPr>
            </w:pPr>
            <w:r>
              <w:rPr>
                <w:rFonts w:ascii="Palatino Linotype"/>
                <w:b/>
                <w:color w:val="231F20"/>
                <w:sz w:val="14"/>
              </w:rPr>
              <w:t>53.9</w:t>
            </w:r>
          </w:p>
        </w:tc>
        <w:tc>
          <w:tcPr>
            <w:tcW w:w="391" w:type="dxa"/>
            <w:tcBorders>
              <w:top w:val="single" w:sz="4" w:space="0" w:color="231F20"/>
            </w:tcBorders>
          </w:tcPr>
          <w:p>
            <w:pPr>
              <w:pStyle w:val="TableParagraph"/>
              <w:spacing w:before="97"/>
              <w:ind w:left="74"/>
              <w:jc w:val="left"/>
              <w:rPr>
                <w:rFonts w:ascii="Palatino Linotype"/>
                <w:b/>
                <w:sz w:val="14"/>
              </w:rPr>
            </w:pPr>
            <w:r>
              <w:rPr>
                <w:rFonts w:ascii="Palatino Linotype"/>
                <w:b/>
                <w:color w:val="231F20"/>
                <w:sz w:val="14"/>
              </w:rPr>
              <w:t>81.3</w:t>
            </w:r>
          </w:p>
        </w:tc>
        <w:tc>
          <w:tcPr>
            <w:tcW w:w="376" w:type="dxa"/>
            <w:tcBorders>
              <w:top w:val="single" w:sz="4" w:space="0" w:color="231F20"/>
            </w:tcBorders>
          </w:tcPr>
          <w:p>
            <w:pPr>
              <w:pStyle w:val="TableParagraph"/>
              <w:spacing w:before="97"/>
              <w:ind w:left="69"/>
              <w:jc w:val="left"/>
              <w:rPr>
                <w:rFonts w:ascii="Palatino Linotype"/>
                <w:b/>
                <w:sz w:val="14"/>
              </w:rPr>
            </w:pPr>
            <w:r>
              <w:rPr>
                <w:rFonts w:ascii="Palatino Linotype"/>
                <w:b/>
                <w:color w:val="231F20"/>
                <w:sz w:val="14"/>
              </w:rPr>
              <w:t>74.9</w:t>
            </w:r>
          </w:p>
        </w:tc>
        <w:tc>
          <w:tcPr>
            <w:tcW w:w="356" w:type="dxa"/>
            <w:tcBorders>
              <w:top w:val="single" w:sz="4" w:space="0" w:color="231F20"/>
            </w:tcBorders>
          </w:tcPr>
          <w:p>
            <w:pPr>
              <w:pStyle w:val="TableParagraph"/>
              <w:spacing w:before="97"/>
              <w:ind w:left="59"/>
              <w:jc w:val="left"/>
              <w:rPr>
                <w:rFonts w:ascii="Palatino Linotype"/>
                <w:b/>
                <w:sz w:val="14"/>
              </w:rPr>
            </w:pPr>
            <w:r>
              <w:rPr>
                <w:rFonts w:ascii="Palatino Linotype"/>
                <w:b/>
                <w:color w:val="231F20"/>
                <w:sz w:val="14"/>
              </w:rPr>
              <w:t>64.9</w:t>
            </w:r>
          </w:p>
        </w:tc>
        <w:tc>
          <w:tcPr>
            <w:tcW w:w="356" w:type="dxa"/>
            <w:tcBorders>
              <w:top w:val="single" w:sz="4" w:space="0" w:color="231F20"/>
            </w:tcBorders>
          </w:tcPr>
          <w:p>
            <w:pPr>
              <w:pStyle w:val="TableParagraph"/>
              <w:spacing w:before="97"/>
              <w:ind w:left="30" w:right="38"/>
              <w:rPr>
                <w:rFonts w:ascii="Palatino Linotype"/>
                <w:b/>
                <w:sz w:val="14"/>
              </w:rPr>
            </w:pPr>
            <w:r>
              <w:rPr>
                <w:rFonts w:ascii="Palatino Linotype"/>
                <w:b/>
                <w:color w:val="231F20"/>
                <w:sz w:val="14"/>
              </w:rPr>
              <w:t>63.6</w:t>
            </w:r>
          </w:p>
        </w:tc>
        <w:tc>
          <w:tcPr>
            <w:tcW w:w="371" w:type="dxa"/>
            <w:tcBorders>
              <w:top w:val="single" w:sz="4" w:space="0" w:color="231F20"/>
            </w:tcBorders>
          </w:tcPr>
          <w:p>
            <w:pPr>
              <w:pStyle w:val="TableParagraph"/>
              <w:spacing w:before="97"/>
              <w:ind w:left="41" w:right="44"/>
              <w:rPr>
                <w:rFonts w:ascii="Palatino Linotype"/>
                <w:b/>
                <w:sz w:val="14"/>
              </w:rPr>
            </w:pPr>
            <w:r>
              <w:rPr>
                <w:rFonts w:ascii="Palatino Linotype"/>
                <w:b/>
                <w:color w:val="231F20"/>
                <w:sz w:val="14"/>
              </w:rPr>
              <w:t>70.8</w:t>
            </w:r>
          </w:p>
        </w:tc>
        <w:tc>
          <w:tcPr>
            <w:tcW w:w="386" w:type="dxa"/>
            <w:tcBorders>
              <w:top w:val="single" w:sz="4" w:space="0" w:color="231F20"/>
            </w:tcBorders>
          </w:tcPr>
          <w:p>
            <w:pPr>
              <w:pStyle w:val="TableParagraph"/>
              <w:spacing w:before="97"/>
              <w:ind w:left="64"/>
              <w:jc w:val="left"/>
              <w:rPr>
                <w:rFonts w:ascii="Palatino Linotype"/>
                <w:b/>
                <w:sz w:val="14"/>
              </w:rPr>
            </w:pPr>
            <w:r>
              <w:rPr>
                <w:rFonts w:ascii="Palatino Linotype"/>
                <w:b/>
                <w:color w:val="231F20"/>
                <w:sz w:val="14"/>
              </w:rPr>
              <w:t>75.6</w:t>
            </w:r>
          </w:p>
        </w:tc>
        <w:tc>
          <w:tcPr>
            <w:tcW w:w="396" w:type="dxa"/>
            <w:tcBorders>
              <w:top w:val="single" w:sz="4" w:space="0" w:color="231F20"/>
            </w:tcBorders>
          </w:tcPr>
          <w:p>
            <w:pPr>
              <w:pStyle w:val="TableParagraph"/>
              <w:spacing w:before="97"/>
              <w:ind w:left="75"/>
              <w:jc w:val="left"/>
              <w:rPr>
                <w:rFonts w:ascii="Palatino Linotype"/>
                <w:b/>
                <w:sz w:val="14"/>
              </w:rPr>
            </w:pPr>
            <w:r>
              <w:rPr>
                <w:rFonts w:ascii="Palatino Linotype"/>
                <w:b/>
                <w:color w:val="231F20"/>
                <w:sz w:val="14"/>
              </w:rPr>
              <w:t>70.7</w:t>
            </w:r>
          </w:p>
        </w:tc>
        <w:tc>
          <w:tcPr>
            <w:tcW w:w="391" w:type="dxa"/>
            <w:tcBorders>
              <w:top w:val="single" w:sz="4" w:space="0" w:color="231F20"/>
            </w:tcBorders>
          </w:tcPr>
          <w:p>
            <w:pPr>
              <w:pStyle w:val="TableParagraph"/>
              <w:spacing w:before="97"/>
              <w:ind w:left="74"/>
              <w:jc w:val="left"/>
              <w:rPr>
                <w:rFonts w:ascii="Palatino Linotype"/>
                <w:b/>
                <w:sz w:val="14"/>
              </w:rPr>
            </w:pPr>
            <w:r>
              <w:rPr>
                <w:rFonts w:ascii="Palatino Linotype"/>
                <w:b/>
                <w:color w:val="231F20"/>
                <w:sz w:val="14"/>
              </w:rPr>
              <w:t>71.3</w:t>
            </w:r>
          </w:p>
        </w:tc>
        <w:tc>
          <w:tcPr>
            <w:tcW w:w="396" w:type="dxa"/>
            <w:tcBorders>
              <w:top w:val="single" w:sz="4" w:space="0" w:color="231F20"/>
            </w:tcBorders>
          </w:tcPr>
          <w:p>
            <w:pPr>
              <w:pStyle w:val="TableParagraph"/>
              <w:spacing w:before="97"/>
              <w:ind w:left="69"/>
              <w:jc w:val="left"/>
              <w:rPr>
                <w:rFonts w:ascii="Palatino Linotype"/>
                <w:b/>
                <w:sz w:val="14"/>
              </w:rPr>
            </w:pPr>
            <w:r>
              <w:rPr>
                <w:rFonts w:ascii="Palatino Linotype"/>
                <w:b/>
                <w:color w:val="231F20"/>
                <w:sz w:val="14"/>
              </w:rPr>
              <w:t>60.5</w:t>
            </w:r>
          </w:p>
        </w:tc>
        <w:tc>
          <w:tcPr>
            <w:tcW w:w="401" w:type="dxa"/>
            <w:tcBorders>
              <w:top w:val="single" w:sz="4" w:space="0" w:color="231F20"/>
            </w:tcBorders>
          </w:tcPr>
          <w:p>
            <w:pPr>
              <w:pStyle w:val="TableParagraph"/>
              <w:spacing w:before="97"/>
              <w:ind w:left="79"/>
              <w:jc w:val="left"/>
              <w:rPr>
                <w:rFonts w:ascii="Palatino Linotype"/>
                <w:b/>
                <w:sz w:val="14"/>
              </w:rPr>
            </w:pPr>
            <w:r>
              <w:rPr>
                <w:rFonts w:ascii="Palatino Linotype"/>
                <w:b/>
                <w:color w:val="231F20"/>
                <w:sz w:val="14"/>
              </w:rPr>
              <w:t>61.0</w:t>
            </w:r>
          </w:p>
        </w:tc>
        <w:tc>
          <w:tcPr>
            <w:tcW w:w="381" w:type="dxa"/>
            <w:tcBorders>
              <w:top w:val="single" w:sz="4" w:space="0" w:color="231F20"/>
            </w:tcBorders>
          </w:tcPr>
          <w:p>
            <w:pPr>
              <w:pStyle w:val="TableParagraph"/>
              <w:spacing w:before="97"/>
              <w:ind w:left="54" w:right="40"/>
              <w:rPr>
                <w:rFonts w:ascii="Palatino Linotype"/>
                <w:b/>
                <w:sz w:val="14"/>
              </w:rPr>
            </w:pPr>
            <w:r>
              <w:rPr>
                <w:rFonts w:ascii="Palatino Linotype"/>
                <w:b/>
                <w:color w:val="231F20"/>
                <w:sz w:val="14"/>
              </w:rPr>
              <w:t>57.7</w:t>
            </w:r>
          </w:p>
        </w:tc>
        <w:tc>
          <w:tcPr>
            <w:tcW w:w="362" w:type="dxa"/>
            <w:tcBorders>
              <w:top w:val="single" w:sz="4" w:space="0" w:color="231F20"/>
            </w:tcBorders>
          </w:tcPr>
          <w:p>
            <w:pPr>
              <w:pStyle w:val="TableParagraph"/>
              <w:spacing w:before="97"/>
              <w:ind w:left="39" w:right="36"/>
              <w:rPr>
                <w:rFonts w:ascii="Palatino Linotype"/>
                <w:b/>
                <w:sz w:val="14"/>
              </w:rPr>
            </w:pPr>
            <w:r>
              <w:rPr>
                <w:rFonts w:ascii="Palatino Linotype"/>
                <w:b/>
                <w:color w:val="231F20"/>
                <w:sz w:val="14"/>
              </w:rPr>
              <w:t>68.6</w:t>
            </w:r>
          </w:p>
        </w:tc>
        <w:tc>
          <w:tcPr>
            <w:tcW w:w="414" w:type="dxa"/>
            <w:tcBorders>
              <w:top w:val="single" w:sz="4" w:space="0" w:color="231F20"/>
            </w:tcBorders>
          </w:tcPr>
          <w:p>
            <w:pPr>
              <w:pStyle w:val="TableParagraph"/>
              <w:spacing w:before="97"/>
              <w:ind w:left="29" w:right="29"/>
              <w:rPr>
                <w:rFonts w:ascii="Palatino Linotype"/>
                <w:b/>
                <w:sz w:val="14"/>
              </w:rPr>
            </w:pPr>
            <w:r>
              <w:rPr>
                <w:rFonts w:ascii="Palatino Linotype"/>
                <w:b/>
                <w:color w:val="231F20"/>
                <w:sz w:val="14"/>
              </w:rPr>
              <w:t>44.9</w:t>
            </w:r>
          </w:p>
        </w:tc>
      </w:tr>
      <w:tr>
        <w:trPr>
          <w:trHeight w:val="397" w:hRule="exact"/>
        </w:trPr>
        <w:tc>
          <w:tcPr>
            <w:tcW w:w="1386" w:type="dxa"/>
          </w:tcPr>
          <w:p>
            <w:pPr>
              <w:pStyle w:val="TableParagraph"/>
              <w:spacing w:before="101"/>
              <w:ind w:left="46" w:right="53"/>
              <w:rPr>
                <w:sz w:val="14"/>
              </w:rPr>
            </w:pPr>
            <w:r>
              <w:rPr>
                <w:color w:val="231F20"/>
                <w:sz w:val="14"/>
              </w:rPr>
              <w:t>Autos</w:t>
            </w:r>
          </w:p>
        </w:tc>
        <w:tc>
          <w:tcPr>
            <w:tcW w:w="748" w:type="dxa"/>
          </w:tcPr>
          <w:p>
            <w:pPr>
              <w:pStyle w:val="TableParagraph"/>
              <w:spacing w:before="101"/>
              <w:ind w:left="43" w:right="52"/>
              <w:rPr>
                <w:sz w:val="14"/>
              </w:rPr>
            </w:pPr>
            <w:r>
              <w:rPr>
                <w:color w:val="231F20"/>
                <w:w w:val="105"/>
                <w:sz w:val="14"/>
              </w:rPr>
              <w:t>Cuautitlán</w:t>
            </w:r>
          </w:p>
        </w:tc>
        <w:tc>
          <w:tcPr>
            <w:tcW w:w="404" w:type="dxa"/>
          </w:tcPr>
          <w:p>
            <w:pPr>
              <w:pStyle w:val="TableParagraph"/>
              <w:spacing w:before="101"/>
              <w:ind w:left="63" w:right="55"/>
              <w:rPr>
                <w:sz w:val="14"/>
              </w:rPr>
            </w:pPr>
            <w:r>
              <w:rPr>
                <w:color w:val="231F20"/>
                <w:sz w:val="14"/>
              </w:rPr>
              <w:t>60.6</w:t>
            </w:r>
          </w:p>
        </w:tc>
        <w:tc>
          <w:tcPr>
            <w:tcW w:w="391" w:type="dxa"/>
          </w:tcPr>
          <w:p>
            <w:pPr>
              <w:pStyle w:val="TableParagraph"/>
              <w:spacing w:before="101"/>
              <w:ind w:left="54" w:right="49"/>
              <w:rPr>
                <w:sz w:val="14"/>
              </w:rPr>
            </w:pPr>
            <w:r>
              <w:rPr>
                <w:color w:val="231F20"/>
                <w:sz w:val="14"/>
              </w:rPr>
              <w:t>47.0</w:t>
            </w:r>
          </w:p>
        </w:tc>
        <w:tc>
          <w:tcPr>
            <w:tcW w:w="376" w:type="dxa"/>
          </w:tcPr>
          <w:p>
            <w:pPr>
              <w:pStyle w:val="TableParagraph"/>
              <w:spacing w:before="101"/>
              <w:ind w:left="76"/>
              <w:jc w:val="left"/>
              <w:rPr>
                <w:sz w:val="14"/>
              </w:rPr>
            </w:pPr>
            <w:r>
              <w:rPr>
                <w:color w:val="231F20"/>
                <w:sz w:val="14"/>
              </w:rPr>
              <w:t>47.1</w:t>
            </w:r>
          </w:p>
        </w:tc>
        <w:tc>
          <w:tcPr>
            <w:tcW w:w="361" w:type="dxa"/>
          </w:tcPr>
          <w:p>
            <w:pPr>
              <w:pStyle w:val="TableParagraph"/>
              <w:spacing w:before="101"/>
              <w:ind w:left="66"/>
              <w:jc w:val="left"/>
              <w:rPr>
                <w:sz w:val="14"/>
              </w:rPr>
            </w:pPr>
            <w:r>
              <w:rPr>
                <w:color w:val="231F20"/>
                <w:sz w:val="14"/>
              </w:rPr>
              <w:t>44.7</w:t>
            </w:r>
          </w:p>
        </w:tc>
        <w:tc>
          <w:tcPr>
            <w:tcW w:w="381" w:type="dxa"/>
          </w:tcPr>
          <w:p>
            <w:pPr>
              <w:pStyle w:val="TableParagraph"/>
              <w:spacing w:before="101"/>
              <w:ind w:left="61"/>
              <w:jc w:val="left"/>
              <w:rPr>
                <w:sz w:val="14"/>
              </w:rPr>
            </w:pPr>
            <w:r>
              <w:rPr>
                <w:color w:val="231F20"/>
                <w:sz w:val="14"/>
              </w:rPr>
              <w:t>46.1</w:t>
            </w:r>
          </w:p>
        </w:tc>
        <w:tc>
          <w:tcPr>
            <w:tcW w:w="406" w:type="dxa"/>
          </w:tcPr>
          <w:p>
            <w:pPr>
              <w:pStyle w:val="TableParagraph"/>
              <w:spacing w:before="101"/>
              <w:ind w:left="86"/>
              <w:jc w:val="left"/>
              <w:rPr>
                <w:sz w:val="14"/>
              </w:rPr>
            </w:pPr>
            <w:r>
              <w:rPr>
                <w:color w:val="231F20"/>
                <w:sz w:val="14"/>
              </w:rPr>
              <w:t>45.8</w:t>
            </w:r>
          </w:p>
        </w:tc>
        <w:tc>
          <w:tcPr>
            <w:tcW w:w="401" w:type="dxa"/>
          </w:tcPr>
          <w:p>
            <w:pPr>
              <w:pStyle w:val="TableParagraph"/>
              <w:spacing w:before="101"/>
              <w:ind w:left="59" w:right="55"/>
              <w:rPr>
                <w:sz w:val="14"/>
              </w:rPr>
            </w:pPr>
            <w:r>
              <w:rPr>
                <w:color w:val="231F20"/>
                <w:sz w:val="14"/>
              </w:rPr>
              <w:t>42.8</w:t>
            </w:r>
          </w:p>
        </w:tc>
        <w:tc>
          <w:tcPr>
            <w:tcW w:w="396" w:type="dxa"/>
          </w:tcPr>
          <w:p>
            <w:pPr>
              <w:pStyle w:val="TableParagraph"/>
              <w:spacing w:before="101"/>
              <w:ind w:left="81"/>
              <w:jc w:val="left"/>
              <w:rPr>
                <w:sz w:val="14"/>
              </w:rPr>
            </w:pPr>
            <w:r>
              <w:rPr>
                <w:color w:val="231F20"/>
                <w:sz w:val="14"/>
              </w:rPr>
              <w:t>81.0</w:t>
            </w:r>
          </w:p>
        </w:tc>
        <w:tc>
          <w:tcPr>
            <w:tcW w:w="391" w:type="dxa"/>
          </w:tcPr>
          <w:p>
            <w:pPr>
              <w:pStyle w:val="TableParagraph"/>
              <w:spacing w:before="101"/>
              <w:ind w:left="81"/>
              <w:jc w:val="left"/>
              <w:rPr>
                <w:sz w:val="14"/>
              </w:rPr>
            </w:pPr>
            <w:r>
              <w:rPr>
                <w:color w:val="231F20"/>
                <w:sz w:val="14"/>
              </w:rPr>
              <w:t>80.8</w:t>
            </w:r>
          </w:p>
        </w:tc>
        <w:tc>
          <w:tcPr>
            <w:tcW w:w="376" w:type="dxa"/>
          </w:tcPr>
          <w:p>
            <w:pPr>
              <w:pStyle w:val="TableParagraph"/>
              <w:spacing w:before="101"/>
              <w:ind w:left="76"/>
              <w:jc w:val="left"/>
              <w:rPr>
                <w:sz w:val="14"/>
              </w:rPr>
            </w:pPr>
            <w:r>
              <w:rPr>
                <w:color w:val="231F20"/>
                <w:sz w:val="14"/>
              </w:rPr>
              <w:t>70.6</w:t>
            </w:r>
          </w:p>
        </w:tc>
        <w:tc>
          <w:tcPr>
            <w:tcW w:w="356" w:type="dxa"/>
          </w:tcPr>
          <w:p>
            <w:pPr>
              <w:pStyle w:val="TableParagraph"/>
              <w:spacing w:before="101"/>
              <w:ind w:left="66"/>
              <w:jc w:val="left"/>
              <w:rPr>
                <w:sz w:val="14"/>
              </w:rPr>
            </w:pPr>
            <w:r>
              <w:rPr>
                <w:color w:val="231F20"/>
                <w:sz w:val="14"/>
              </w:rPr>
              <w:t>60.6</w:t>
            </w:r>
          </w:p>
        </w:tc>
        <w:tc>
          <w:tcPr>
            <w:tcW w:w="356" w:type="dxa"/>
          </w:tcPr>
          <w:p>
            <w:pPr>
              <w:pStyle w:val="TableParagraph"/>
              <w:spacing w:before="101"/>
              <w:ind w:left="30" w:right="38"/>
              <w:rPr>
                <w:sz w:val="14"/>
              </w:rPr>
            </w:pPr>
            <w:r>
              <w:rPr>
                <w:color w:val="231F20"/>
                <w:sz w:val="14"/>
              </w:rPr>
              <w:t>58.6</w:t>
            </w:r>
          </w:p>
        </w:tc>
        <w:tc>
          <w:tcPr>
            <w:tcW w:w="371" w:type="dxa"/>
          </w:tcPr>
          <w:p>
            <w:pPr>
              <w:pStyle w:val="TableParagraph"/>
              <w:spacing w:before="101"/>
              <w:ind w:left="41" w:right="44"/>
              <w:rPr>
                <w:sz w:val="14"/>
              </w:rPr>
            </w:pPr>
            <w:r>
              <w:rPr>
                <w:color w:val="231F20"/>
                <w:sz w:val="14"/>
              </w:rPr>
              <w:t>49.1</w:t>
            </w:r>
          </w:p>
        </w:tc>
        <w:tc>
          <w:tcPr>
            <w:tcW w:w="386" w:type="dxa"/>
          </w:tcPr>
          <w:p>
            <w:pPr>
              <w:pStyle w:val="TableParagraph"/>
              <w:spacing w:before="101"/>
              <w:ind w:left="71"/>
              <w:jc w:val="left"/>
              <w:rPr>
                <w:sz w:val="14"/>
              </w:rPr>
            </w:pPr>
            <w:r>
              <w:rPr>
                <w:color w:val="231F20"/>
                <w:sz w:val="14"/>
              </w:rPr>
              <w:t>85.7</w:t>
            </w:r>
          </w:p>
        </w:tc>
        <w:tc>
          <w:tcPr>
            <w:tcW w:w="396" w:type="dxa"/>
          </w:tcPr>
          <w:p>
            <w:pPr>
              <w:pStyle w:val="TableParagraph"/>
              <w:spacing w:before="101"/>
              <w:ind w:left="81"/>
              <w:jc w:val="left"/>
              <w:rPr>
                <w:sz w:val="14"/>
              </w:rPr>
            </w:pPr>
            <w:r>
              <w:rPr>
                <w:color w:val="231F20"/>
                <w:sz w:val="14"/>
              </w:rPr>
              <w:t>81.1</w:t>
            </w:r>
          </w:p>
        </w:tc>
        <w:tc>
          <w:tcPr>
            <w:tcW w:w="391" w:type="dxa"/>
          </w:tcPr>
          <w:p>
            <w:pPr>
              <w:pStyle w:val="TableParagraph"/>
              <w:spacing w:before="101"/>
              <w:ind w:left="81"/>
              <w:jc w:val="left"/>
              <w:rPr>
                <w:sz w:val="14"/>
              </w:rPr>
            </w:pPr>
            <w:r>
              <w:rPr>
                <w:color w:val="231F20"/>
                <w:sz w:val="14"/>
              </w:rPr>
              <w:t>82.5</w:t>
            </w:r>
          </w:p>
        </w:tc>
        <w:tc>
          <w:tcPr>
            <w:tcW w:w="396" w:type="dxa"/>
          </w:tcPr>
          <w:p>
            <w:pPr>
              <w:pStyle w:val="TableParagraph"/>
              <w:spacing w:before="101"/>
              <w:ind w:left="76"/>
              <w:jc w:val="left"/>
              <w:rPr>
                <w:sz w:val="14"/>
              </w:rPr>
            </w:pPr>
            <w:r>
              <w:rPr>
                <w:color w:val="231F20"/>
                <w:sz w:val="14"/>
              </w:rPr>
              <w:t>78.3</w:t>
            </w:r>
          </w:p>
        </w:tc>
        <w:tc>
          <w:tcPr>
            <w:tcW w:w="401" w:type="dxa"/>
          </w:tcPr>
          <w:p>
            <w:pPr>
              <w:pStyle w:val="TableParagraph"/>
              <w:spacing w:before="101"/>
              <w:ind w:left="86"/>
              <w:jc w:val="left"/>
              <w:rPr>
                <w:sz w:val="14"/>
              </w:rPr>
            </w:pPr>
            <w:r>
              <w:rPr>
                <w:color w:val="231F20"/>
                <w:sz w:val="14"/>
              </w:rPr>
              <w:t>67.7</w:t>
            </w:r>
          </w:p>
        </w:tc>
        <w:tc>
          <w:tcPr>
            <w:tcW w:w="381" w:type="dxa"/>
          </w:tcPr>
          <w:p>
            <w:pPr>
              <w:pStyle w:val="TableParagraph"/>
              <w:spacing w:before="101"/>
              <w:ind w:left="54" w:right="40"/>
              <w:rPr>
                <w:sz w:val="14"/>
              </w:rPr>
            </w:pPr>
            <w:r>
              <w:rPr>
                <w:color w:val="231F20"/>
                <w:sz w:val="14"/>
              </w:rPr>
              <w:t>56.8</w:t>
            </w:r>
          </w:p>
        </w:tc>
        <w:tc>
          <w:tcPr>
            <w:tcW w:w="362" w:type="dxa"/>
          </w:tcPr>
          <w:p>
            <w:pPr>
              <w:pStyle w:val="TableParagraph"/>
              <w:spacing w:before="101"/>
              <w:ind w:left="39" w:right="36"/>
              <w:rPr>
                <w:sz w:val="14"/>
              </w:rPr>
            </w:pPr>
            <w:r>
              <w:rPr>
                <w:color w:val="231F20"/>
                <w:sz w:val="14"/>
              </w:rPr>
              <w:t>76.0</w:t>
            </w:r>
          </w:p>
        </w:tc>
        <w:tc>
          <w:tcPr>
            <w:tcW w:w="414" w:type="dxa"/>
          </w:tcPr>
          <w:p>
            <w:pPr>
              <w:pStyle w:val="TableParagraph"/>
              <w:spacing w:before="101"/>
              <w:ind w:left="29" w:right="29"/>
              <w:rPr>
                <w:sz w:val="14"/>
              </w:rPr>
            </w:pPr>
            <w:r>
              <w:rPr>
                <w:color w:val="231F20"/>
                <w:sz w:val="14"/>
              </w:rPr>
              <w:t>0.0</w:t>
            </w:r>
          </w:p>
        </w:tc>
      </w:tr>
      <w:tr>
        <w:trPr>
          <w:trHeight w:val="378" w:hRule="exact"/>
        </w:trPr>
        <w:tc>
          <w:tcPr>
            <w:tcW w:w="1386" w:type="dxa"/>
            <w:tcBorders>
              <w:bottom w:val="single" w:sz="4" w:space="0" w:color="231F20"/>
            </w:tcBorders>
          </w:tcPr>
          <w:p>
            <w:pPr>
              <w:pStyle w:val="TableParagraph"/>
              <w:spacing w:before="100"/>
              <w:ind w:left="46" w:right="53"/>
              <w:rPr>
                <w:sz w:val="14"/>
              </w:rPr>
            </w:pPr>
            <w:r>
              <w:rPr>
                <w:color w:val="231F20"/>
                <w:sz w:val="14"/>
              </w:rPr>
              <w:t>Camiones</w:t>
            </w:r>
          </w:p>
        </w:tc>
        <w:tc>
          <w:tcPr>
            <w:tcW w:w="748" w:type="dxa"/>
            <w:tcBorders>
              <w:bottom w:val="single" w:sz="4" w:space="0" w:color="231F20"/>
            </w:tcBorders>
          </w:tcPr>
          <w:p>
            <w:pPr>
              <w:pStyle w:val="TableParagraph"/>
              <w:spacing w:before="100"/>
              <w:ind w:left="43" w:right="52"/>
              <w:rPr>
                <w:sz w:val="14"/>
              </w:rPr>
            </w:pPr>
            <w:r>
              <w:rPr>
                <w:color w:val="231F20"/>
                <w:w w:val="105"/>
                <w:sz w:val="14"/>
              </w:rPr>
              <w:t>Cuautitlán</w:t>
            </w:r>
          </w:p>
        </w:tc>
        <w:tc>
          <w:tcPr>
            <w:tcW w:w="404" w:type="dxa"/>
            <w:tcBorders>
              <w:bottom w:val="single" w:sz="4" w:space="0" w:color="231F20"/>
            </w:tcBorders>
          </w:tcPr>
          <w:p>
            <w:pPr>
              <w:pStyle w:val="TableParagraph"/>
              <w:spacing w:before="100"/>
              <w:ind w:left="63" w:right="55"/>
              <w:rPr>
                <w:sz w:val="14"/>
              </w:rPr>
            </w:pPr>
            <w:r>
              <w:rPr>
                <w:color w:val="231F20"/>
                <w:sz w:val="14"/>
              </w:rPr>
              <w:t>33.9</w:t>
            </w:r>
          </w:p>
        </w:tc>
        <w:tc>
          <w:tcPr>
            <w:tcW w:w="391" w:type="dxa"/>
            <w:tcBorders>
              <w:bottom w:val="single" w:sz="4" w:space="0" w:color="231F20"/>
            </w:tcBorders>
          </w:tcPr>
          <w:p>
            <w:pPr>
              <w:pStyle w:val="TableParagraph"/>
              <w:spacing w:before="100"/>
              <w:ind w:left="54" w:right="49"/>
              <w:rPr>
                <w:sz w:val="14"/>
              </w:rPr>
            </w:pPr>
            <w:r>
              <w:rPr>
                <w:color w:val="231F20"/>
                <w:sz w:val="14"/>
              </w:rPr>
              <w:t>33.4</w:t>
            </w:r>
          </w:p>
        </w:tc>
        <w:tc>
          <w:tcPr>
            <w:tcW w:w="376" w:type="dxa"/>
            <w:tcBorders>
              <w:bottom w:val="single" w:sz="4" w:space="0" w:color="231F20"/>
            </w:tcBorders>
          </w:tcPr>
          <w:p>
            <w:pPr>
              <w:pStyle w:val="TableParagraph"/>
              <w:spacing w:before="100"/>
              <w:ind w:left="76"/>
              <w:jc w:val="left"/>
              <w:rPr>
                <w:sz w:val="14"/>
              </w:rPr>
            </w:pPr>
            <w:r>
              <w:rPr>
                <w:color w:val="231F20"/>
                <w:sz w:val="14"/>
              </w:rPr>
              <w:t>27.8</w:t>
            </w:r>
          </w:p>
        </w:tc>
        <w:tc>
          <w:tcPr>
            <w:tcW w:w="361" w:type="dxa"/>
            <w:tcBorders>
              <w:bottom w:val="single" w:sz="4" w:space="0" w:color="231F20"/>
            </w:tcBorders>
          </w:tcPr>
          <w:p>
            <w:pPr>
              <w:pStyle w:val="TableParagraph"/>
              <w:spacing w:before="100"/>
              <w:ind w:left="66"/>
              <w:jc w:val="left"/>
              <w:rPr>
                <w:sz w:val="14"/>
              </w:rPr>
            </w:pPr>
            <w:r>
              <w:rPr>
                <w:color w:val="231F20"/>
                <w:sz w:val="14"/>
              </w:rPr>
              <w:t>35.0</w:t>
            </w:r>
          </w:p>
        </w:tc>
        <w:tc>
          <w:tcPr>
            <w:tcW w:w="381" w:type="dxa"/>
            <w:tcBorders>
              <w:bottom w:val="single" w:sz="4" w:space="0" w:color="231F20"/>
            </w:tcBorders>
          </w:tcPr>
          <w:p>
            <w:pPr>
              <w:pStyle w:val="TableParagraph"/>
              <w:spacing w:before="100"/>
              <w:ind w:left="61"/>
              <w:jc w:val="left"/>
              <w:rPr>
                <w:sz w:val="14"/>
              </w:rPr>
            </w:pPr>
            <w:r>
              <w:rPr>
                <w:color w:val="231F20"/>
                <w:sz w:val="14"/>
              </w:rPr>
              <w:t>37.0</w:t>
            </w:r>
          </w:p>
        </w:tc>
        <w:tc>
          <w:tcPr>
            <w:tcW w:w="406" w:type="dxa"/>
            <w:tcBorders>
              <w:bottom w:val="single" w:sz="4" w:space="0" w:color="231F20"/>
            </w:tcBorders>
          </w:tcPr>
          <w:p>
            <w:pPr>
              <w:pStyle w:val="TableParagraph"/>
              <w:spacing w:before="100"/>
              <w:ind w:left="86"/>
              <w:jc w:val="left"/>
              <w:rPr>
                <w:sz w:val="14"/>
              </w:rPr>
            </w:pPr>
            <w:r>
              <w:rPr>
                <w:color w:val="231F20"/>
                <w:sz w:val="14"/>
              </w:rPr>
              <w:t>50.3</w:t>
            </w:r>
          </w:p>
        </w:tc>
        <w:tc>
          <w:tcPr>
            <w:tcW w:w="401" w:type="dxa"/>
            <w:tcBorders>
              <w:bottom w:val="single" w:sz="4" w:space="0" w:color="231F20"/>
            </w:tcBorders>
          </w:tcPr>
          <w:p>
            <w:pPr>
              <w:pStyle w:val="TableParagraph"/>
              <w:spacing w:before="100"/>
              <w:ind w:left="60" w:right="55"/>
              <w:rPr>
                <w:sz w:val="14"/>
              </w:rPr>
            </w:pPr>
            <w:r>
              <w:rPr>
                <w:color w:val="231F20"/>
                <w:sz w:val="14"/>
              </w:rPr>
              <w:t>51.1</w:t>
            </w:r>
          </w:p>
        </w:tc>
        <w:tc>
          <w:tcPr>
            <w:tcW w:w="396" w:type="dxa"/>
            <w:tcBorders>
              <w:bottom w:val="single" w:sz="4" w:space="0" w:color="231F20"/>
            </w:tcBorders>
          </w:tcPr>
          <w:p>
            <w:pPr>
              <w:pStyle w:val="TableParagraph"/>
              <w:spacing w:before="100"/>
              <w:ind w:left="81"/>
              <w:jc w:val="left"/>
              <w:rPr>
                <w:sz w:val="14"/>
              </w:rPr>
            </w:pPr>
            <w:r>
              <w:rPr>
                <w:color w:val="231F20"/>
                <w:sz w:val="14"/>
              </w:rPr>
              <w:t>38.1</w:t>
            </w:r>
          </w:p>
        </w:tc>
        <w:tc>
          <w:tcPr>
            <w:tcW w:w="391" w:type="dxa"/>
            <w:tcBorders>
              <w:bottom w:val="single" w:sz="4" w:space="0" w:color="231F20"/>
            </w:tcBorders>
          </w:tcPr>
          <w:p>
            <w:pPr>
              <w:pStyle w:val="TableParagraph"/>
              <w:spacing w:before="100"/>
              <w:ind w:left="81"/>
              <w:jc w:val="left"/>
              <w:rPr>
                <w:sz w:val="14"/>
              </w:rPr>
            </w:pPr>
            <w:r>
              <w:rPr>
                <w:color w:val="231F20"/>
                <w:sz w:val="14"/>
              </w:rPr>
              <w:t>81.6</w:t>
            </w:r>
          </w:p>
        </w:tc>
        <w:tc>
          <w:tcPr>
            <w:tcW w:w="376" w:type="dxa"/>
            <w:tcBorders>
              <w:bottom w:val="single" w:sz="4" w:space="0" w:color="231F20"/>
            </w:tcBorders>
          </w:tcPr>
          <w:p>
            <w:pPr>
              <w:pStyle w:val="TableParagraph"/>
              <w:spacing w:before="100"/>
              <w:ind w:left="76"/>
              <w:jc w:val="left"/>
              <w:rPr>
                <w:sz w:val="14"/>
              </w:rPr>
            </w:pPr>
            <w:r>
              <w:rPr>
                <w:color w:val="231F20"/>
                <w:sz w:val="14"/>
              </w:rPr>
              <w:t>78.3</w:t>
            </w:r>
          </w:p>
        </w:tc>
        <w:tc>
          <w:tcPr>
            <w:tcW w:w="356" w:type="dxa"/>
            <w:tcBorders>
              <w:bottom w:val="single" w:sz="4" w:space="0" w:color="231F20"/>
            </w:tcBorders>
          </w:tcPr>
          <w:p>
            <w:pPr>
              <w:pStyle w:val="TableParagraph"/>
              <w:spacing w:before="100"/>
              <w:ind w:left="66"/>
              <w:jc w:val="left"/>
              <w:rPr>
                <w:sz w:val="14"/>
              </w:rPr>
            </w:pPr>
            <w:r>
              <w:rPr>
                <w:color w:val="231F20"/>
                <w:sz w:val="14"/>
              </w:rPr>
              <w:t>66.9</w:t>
            </w:r>
          </w:p>
        </w:tc>
        <w:tc>
          <w:tcPr>
            <w:tcW w:w="356" w:type="dxa"/>
            <w:tcBorders>
              <w:bottom w:val="single" w:sz="4" w:space="0" w:color="231F20"/>
            </w:tcBorders>
          </w:tcPr>
          <w:p>
            <w:pPr>
              <w:pStyle w:val="TableParagraph"/>
              <w:spacing w:before="100"/>
              <w:ind w:left="30" w:right="38"/>
              <w:rPr>
                <w:sz w:val="14"/>
              </w:rPr>
            </w:pPr>
            <w:r>
              <w:rPr>
                <w:color w:val="231F20"/>
                <w:sz w:val="14"/>
              </w:rPr>
              <w:t>65.6</w:t>
            </w:r>
          </w:p>
        </w:tc>
        <w:tc>
          <w:tcPr>
            <w:tcW w:w="371" w:type="dxa"/>
            <w:tcBorders>
              <w:bottom w:val="single" w:sz="4" w:space="0" w:color="231F20"/>
            </w:tcBorders>
          </w:tcPr>
          <w:p>
            <w:pPr>
              <w:pStyle w:val="TableParagraph"/>
              <w:spacing w:before="100"/>
              <w:ind w:left="41" w:right="44"/>
              <w:rPr>
                <w:sz w:val="14"/>
              </w:rPr>
            </w:pPr>
            <w:r>
              <w:rPr>
                <w:color w:val="231F20"/>
                <w:sz w:val="14"/>
              </w:rPr>
              <w:t>81.7</w:t>
            </w:r>
          </w:p>
        </w:tc>
        <w:tc>
          <w:tcPr>
            <w:tcW w:w="386" w:type="dxa"/>
            <w:tcBorders>
              <w:bottom w:val="single" w:sz="4" w:space="0" w:color="231F20"/>
            </w:tcBorders>
          </w:tcPr>
          <w:p>
            <w:pPr>
              <w:pStyle w:val="TableParagraph"/>
              <w:spacing w:before="100"/>
              <w:ind w:left="71"/>
              <w:jc w:val="left"/>
              <w:rPr>
                <w:sz w:val="14"/>
              </w:rPr>
            </w:pPr>
            <w:r>
              <w:rPr>
                <w:color w:val="231F20"/>
                <w:sz w:val="14"/>
              </w:rPr>
              <w:t>67.8</w:t>
            </w:r>
          </w:p>
        </w:tc>
        <w:tc>
          <w:tcPr>
            <w:tcW w:w="396" w:type="dxa"/>
            <w:tcBorders>
              <w:bottom w:val="single" w:sz="4" w:space="0" w:color="231F20"/>
            </w:tcBorders>
          </w:tcPr>
          <w:p>
            <w:pPr>
              <w:pStyle w:val="TableParagraph"/>
              <w:spacing w:before="100"/>
              <w:ind w:left="81"/>
              <w:jc w:val="left"/>
              <w:rPr>
                <w:sz w:val="14"/>
              </w:rPr>
            </w:pPr>
            <w:r>
              <w:rPr>
                <w:color w:val="231F20"/>
                <w:sz w:val="14"/>
              </w:rPr>
              <w:t>62.3</w:t>
            </w:r>
          </w:p>
        </w:tc>
        <w:tc>
          <w:tcPr>
            <w:tcW w:w="391" w:type="dxa"/>
            <w:tcBorders>
              <w:bottom w:val="single" w:sz="4" w:space="0" w:color="231F20"/>
            </w:tcBorders>
          </w:tcPr>
          <w:p>
            <w:pPr>
              <w:pStyle w:val="TableParagraph"/>
              <w:spacing w:before="100"/>
              <w:ind w:left="81"/>
              <w:jc w:val="left"/>
              <w:rPr>
                <w:sz w:val="14"/>
              </w:rPr>
            </w:pPr>
            <w:r>
              <w:rPr>
                <w:color w:val="231F20"/>
                <w:sz w:val="14"/>
              </w:rPr>
              <w:t>67.0</w:t>
            </w:r>
          </w:p>
        </w:tc>
        <w:tc>
          <w:tcPr>
            <w:tcW w:w="396" w:type="dxa"/>
            <w:tcBorders>
              <w:bottom w:val="single" w:sz="4" w:space="0" w:color="231F20"/>
            </w:tcBorders>
          </w:tcPr>
          <w:p>
            <w:pPr>
              <w:pStyle w:val="TableParagraph"/>
              <w:spacing w:before="100"/>
              <w:ind w:left="76"/>
              <w:jc w:val="left"/>
              <w:rPr>
                <w:sz w:val="14"/>
              </w:rPr>
            </w:pPr>
            <w:r>
              <w:rPr>
                <w:color w:val="231F20"/>
                <w:sz w:val="14"/>
              </w:rPr>
              <w:t>54.5</w:t>
            </w:r>
          </w:p>
        </w:tc>
        <w:tc>
          <w:tcPr>
            <w:tcW w:w="401" w:type="dxa"/>
            <w:tcBorders>
              <w:bottom w:val="single" w:sz="4" w:space="0" w:color="231F20"/>
            </w:tcBorders>
          </w:tcPr>
          <w:p>
            <w:pPr>
              <w:pStyle w:val="TableParagraph"/>
              <w:spacing w:before="100"/>
              <w:ind w:left="86"/>
              <w:jc w:val="left"/>
              <w:rPr>
                <w:sz w:val="14"/>
              </w:rPr>
            </w:pPr>
            <w:r>
              <w:rPr>
                <w:color w:val="231F20"/>
                <w:sz w:val="14"/>
              </w:rPr>
              <w:t>59.5</w:t>
            </w:r>
          </w:p>
        </w:tc>
        <w:tc>
          <w:tcPr>
            <w:tcW w:w="381" w:type="dxa"/>
            <w:tcBorders>
              <w:bottom w:val="single" w:sz="4" w:space="0" w:color="231F20"/>
            </w:tcBorders>
          </w:tcPr>
          <w:p>
            <w:pPr>
              <w:pStyle w:val="TableParagraph"/>
              <w:spacing w:before="100"/>
              <w:ind w:left="55" w:right="40"/>
              <w:rPr>
                <w:sz w:val="14"/>
              </w:rPr>
            </w:pPr>
            <w:r>
              <w:rPr>
                <w:color w:val="231F20"/>
                <w:sz w:val="14"/>
              </w:rPr>
              <w:t>57.8</w:t>
            </w:r>
          </w:p>
        </w:tc>
        <w:tc>
          <w:tcPr>
            <w:tcW w:w="362" w:type="dxa"/>
            <w:tcBorders>
              <w:bottom w:val="single" w:sz="4" w:space="0" w:color="231F20"/>
            </w:tcBorders>
          </w:tcPr>
          <w:p>
            <w:pPr>
              <w:pStyle w:val="TableParagraph"/>
              <w:spacing w:before="100"/>
              <w:ind w:left="39" w:right="36"/>
              <w:rPr>
                <w:sz w:val="14"/>
              </w:rPr>
            </w:pPr>
            <w:r>
              <w:rPr>
                <w:color w:val="231F20"/>
                <w:sz w:val="14"/>
              </w:rPr>
              <w:t>67.3</w:t>
            </w:r>
          </w:p>
        </w:tc>
        <w:tc>
          <w:tcPr>
            <w:tcW w:w="414" w:type="dxa"/>
            <w:tcBorders>
              <w:bottom w:val="single" w:sz="4" w:space="0" w:color="231F20"/>
            </w:tcBorders>
          </w:tcPr>
          <w:p>
            <w:pPr>
              <w:pStyle w:val="TableParagraph"/>
              <w:spacing w:before="100"/>
              <w:ind w:left="29" w:right="29"/>
              <w:rPr>
                <w:sz w:val="14"/>
              </w:rPr>
            </w:pPr>
            <w:r>
              <w:rPr>
                <w:color w:val="231F20"/>
                <w:sz w:val="14"/>
              </w:rPr>
              <w:t>45.7</w:t>
            </w:r>
          </w:p>
        </w:tc>
      </w:tr>
      <w:tr>
        <w:trPr>
          <w:trHeight w:val="414" w:hRule="exact"/>
        </w:trPr>
        <w:tc>
          <w:tcPr>
            <w:tcW w:w="1386" w:type="dxa"/>
            <w:tcBorders>
              <w:top w:val="single" w:sz="4" w:space="0" w:color="231F20"/>
            </w:tcBorders>
          </w:tcPr>
          <w:p>
            <w:pPr>
              <w:pStyle w:val="TableParagraph"/>
              <w:spacing w:before="97"/>
              <w:ind w:left="47" w:right="53"/>
              <w:rPr>
                <w:rFonts w:ascii="Palatino Linotype"/>
                <w:b/>
                <w:sz w:val="14"/>
              </w:rPr>
            </w:pPr>
            <w:r>
              <w:rPr>
                <w:rFonts w:ascii="Palatino Linotype"/>
                <w:b/>
                <w:color w:val="231F20"/>
                <w:w w:val="90"/>
                <w:sz w:val="14"/>
              </w:rPr>
              <w:t>GENERAL MOTORS</w:t>
            </w:r>
          </w:p>
        </w:tc>
        <w:tc>
          <w:tcPr>
            <w:tcW w:w="748" w:type="dxa"/>
            <w:tcBorders>
              <w:top w:val="single" w:sz="4" w:space="0" w:color="231F20"/>
            </w:tcBorders>
          </w:tcPr>
          <w:p>
            <w:pPr/>
          </w:p>
        </w:tc>
        <w:tc>
          <w:tcPr>
            <w:tcW w:w="404" w:type="dxa"/>
            <w:tcBorders>
              <w:top w:val="single" w:sz="4" w:space="0" w:color="231F20"/>
            </w:tcBorders>
          </w:tcPr>
          <w:p>
            <w:pPr>
              <w:pStyle w:val="TableParagraph"/>
              <w:spacing w:before="97"/>
              <w:ind w:left="63" w:right="55"/>
              <w:rPr>
                <w:rFonts w:ascii="Palatino Linotype"/>
                <w:b/>
                <w:sz w:val="14"/>
              </w:rPr>
            </w:pPr>
            <w:r>
              <w:rPr>
                <w:rFonts w:ascii="Palatino Linotype"/>
                <w:b/>
                <w:color w:val="231F20"/>
                <w:sz w:val="14"/>
              </w:rPr>
              <w:t>23.4</w:t>
            </w:r>
          </w:p>
        </w:tc>
        <w:tc>
          <w:tcPr>
            <w:tcW w:w="391" w:type="dxa"/>
            <w:tcBorders>
              <w:top w:val="single" w:sz="4" w:space="0" w:color="231F20"/>
            </w:tcBorders>
          </w:tcPr>
          <w:p>
            <w:pPr>
              <w:pStyle w:val="TableParagraph"/>
              <w:spacing w:before="97"/>
              <w:ind w:left="54" w:right="49"/>
              <w:rPr>
                <w:rFonts w:ascii="Palatino Linotype"/>
                <w:b/>
                <w:sz w:val="14"/>
              </w:rPr>
            </w:pPr>
            <w:r>
              <w:rPr>
                <w:rFonts w:ascii="Palatino Linotype"/>
                <w:b/>
                <w:color w:val="231F20"/>
                <w:sz w:val="14"/>
              </w:rPr>
              <w:t>23.3</w:t>
            </w:r>
          </w:p>
        </w:tc>
        <w:tc>
          <w:tcPr>
            <w:tcW w:w="376" w:type="dxa"/>
            <w:tcBorders>
              <w:top w:val="single" w:sz="4" w:space="0" w:color="231F20"/>
            </w:tcBorders>
          </w:tcPr>
          <w:p>
            <w:pPr>
              <w:pStyle w:val="TableParagraph"/>
              <w:spacing w:before="97"/>
              <w:ind w:left="70"/>
              <w:jc w:val="left"/>
              <w:rPr>
                <w:rFonts w:ascii="Palatino Linotype"/>
                <w:b/>
                <w:sz w:val="14"/>
              </w:rPr>
            </w:pPr>
            <w:r>
              <w:rPr>
                <w:rFonts w:ascii="Palatino Linotype"/>
                <w:b/>
                <w:color w:val="231F20"/>
                <w:sz w:val="14"/>
              </w:rPr>
              <w:t>25.9</w:t>
            </w:r>
          </w:p>
        </w:tc>
        <w:tc>
          <w:tcPr>
            <w:tcW w:w="361" w:type="dxa"/>
            <w:tcBorders>
              <w:top w:val="single" w:sz="4" w:space="0" w:color="231F20"/>
            </w:tcBorders>
          </w:tcPr>
          <w:p>
            <w:pPr>
              <w:pStyle w:val="TableParagraph"/>
              <w:spacing w:before="97"/>
              <w:ind w:left="60"/>
              <w:jc w:val="left"/>
              <w:rPr>
                <w:rFonts w:ascii="Palatino Linotype"/>
                <w:b/>
                <w:sz w:val="14"/>
              </w:rPr>
            </w:pPr>
            <w:r>
              <w:rPr>
                <w:rFonts w:ascii="Palatino Linotype"/>
                <w:b/>
                <w:color w:val="231F20"/>
                <w:sz w:val="14"/>
              </w:rPr>
              <w:t>23.7</w:t>
            </w:r>
          </w:p>
        </w:tc>
        <w:tc>
          <w:tcPr>
            <w:tcW w:w="381" w:type="dxa"/>
            <w:tcBorders>
              <w:top w:val="single" w:sz="4" w:space="0" w:color="231F20"/>
            </w:tcBorders>
          </w:tcPr>
          <w:p>
            <w:pPr>
              <w:pStyle w:val="TableParagraph"/>
              <w:spacing w:before="97"/>
              <w:ind w:left="55"/>
              <w:jc w:val="left"/>
              <w:rPr>
                <w:rFonts w:ascii="Palatino Linotype"/>
                <w:b/>
                <w:sz w:val="14"/>
              </w:rPr>
            </w:pPr>
            <w:r>
              <w:rPr>
                <w:rFonts w:ascii="Palatino Linotype"/>
                <w:b/>
                <w:color w:val="231F20"/>
                <w:sz w:val="14"/>
              </w:rPr>
              <w:t>20.6</w:t>
            </w:r>
          </w:p>
        </w:tc>
        <w:tc>
          <w:tcPr>
            <w:tcW w:w="406" w:type="dxa"/>
            <w:tcBorders>
              <w:top w:val="single" w:sz="4" w:space="0" w:color="231F20"/>
            </w:tcBorders>
          </w:tcPr>
          <w:p>
            <w:pPr>
              <w:pStyle w:val="TableParagraph"/>
              <w:spacing w:before="97"/>
              <w:ind w:left="80"/>
              <w:jc w:val="left"/>
              <w:rPr>
                <w:rFonts w:ascii="Palatino Linotype"/>
                <w:b/>
                <w:sz w:val="14"/>
              </w:rPr>
            </w:pPr>
            <w:r>
              <w:rPr>
                <w:rFonts w:ascii="Palatino Linotype"/>
                <w:b/>
                <w:color w:val="231F20"/>
                <w:sz w:val="14"/>
              </w:rPr>
              <w:t>21.7</w:t>
            </w:r>
          </w:p>
        </w:tc>
        <w:tc>
          <w:tcPr>
            <w:tcW w:w="401" w:type="dxa"/>
            <w:tcBorders>
              <w:top w:val="single" w:sz="4" w:space="0" w:color="231F20"/>
            </w:tcBorders>
          </w:tcPr>
          <w:p>
            <w:pPr>
              <w:pStyle w:val="TableParagraph"/>
              <w:spacing w:before="97"/>
              <w:ind w:left="60" w:right="55"/>
              <w:rPr>
                <w:rFonts w:ascii="Palatino Linotype"/>
                <w:b/>
                <w:sz w:val="14"/>
              </w:rPr>
            </w:pPr>
            <w:r>
              <w:rPr>
                <w:rFonts w:ascii="Palatino Linotype"/>
                <w:b/>
                <w:color w:val="231F20"/>
                <w:sz w:val="14"/>
              </w:rPr>
              <w:t>31.3</w:t>
            </w:r>
          </w:p>
        </w:tc>
        <w:tc>
          <w:tcPr>
            <w:tcW w:w="396" w:type="dxa"/>
            <w:tcBorders>
              <w:top w:val="single" w:sz="4" w:space="0" w:color="231F20"/>
            </w:tcBorders>
          </w:tcPr>
          <w:p>
            <w:pPr>
              <w:pStyle w:val="TableParagraph"/>
              <w:spacing w:before="97"/>
              <w:ind w:left="75"/>
              <w:jc w:val="left"/>
              <w:rPr>
                <w:rFonts w:ascii="Palatino Linotype"/>
                <w:b/>
                <w:sz w:val="14"/>
              </w:rPr>
            </w:pPr>
            <w:r>
              <w:rPr>
                <w:rFonts w:ascii="Palatino Linotype"/>
                <w:b/>
                <w:color w:val="231F20"/>
                <w:sz w:val="14"/>
              </w:rPr>
              <w:t>45.9</w:t>
            </w:r>
          </w:p>
        </w:tc>
        <w:tc>
          <w:tcPr>
            <w:tcW w:w="391" w:type="dxa"/>
            <w:tcBorders>
              <w:top w:val="single" w:sz="4" w:space="0" w:color="231F20"/>
            </w:tcBorders>
          </w:tcPr>
          <w:p>
            <w:pPr>
              <w:pStyle w:val="TableParagraph"/>
              <w:spacing w:before="97"/>
              <w:ind w:left="75"/>
              <w:jc w:val="left"/>
              <w:rPr>
                <w:rFonts w:ascii="Palatino Linotype"/>
                <w:b/>
                <w:sz w:val="14"/>
              </w:rPr>
            </w:pPr>
            <w:r>
              <w:rPr>
                <w:rFonts w:ascii="Palatino Linotype"/>
                <w:b/>
                <w:color w:val="231F20"/>
                <w:sz w:val="14"/>
              </w:rPr>
              <w:t>18.7</w:t>
            </w:r>
          </w:p>
        </w:tc>
        <w:tc>
          <w:tcPr>
            <w:tcW w:w="376" w:type="dxa"/>
            <w:tcBorders>
              <w:top w:val="single" w:sz="4" w:space="0" w:color="231F20"/>
            </w:tcBorders>
          </w:tcPr>
          <w:p>
            <w:pPr>
              <w:pStyle w:val="TableParagraph"/>
              <w:spacing w:before="97"/>
              <w:ind w:left="70"/>
              <w:jc w:val="left"/>
              <w:rPr>
                <w:rFonts w:ascii="Palatino Linotype"/>
                <w:b/>
                <w:sz w:val="14"/>
              </w:rPr>
            </w:pPr>
            <w:r>
              <w:rPr>
                <w:rFonts w:ascii="Palatino Linotype"/>
                <w:b/>
                <w:color w:val="231F20"/>
                <w:sz w:val="14"/>
              </w:rPr>
              <w:t>25.1</w:t>
            </w:r>
          </w:p>
        </w:tc>
        <w:tc>
          <w:tcPr>
            <w:tcW w:w="356" w:type="dxa"/>
            <w:tcBorders>
              <w:top w:val="single" w:sz="4" w:space="0" w:color="231F20"/>
            </w:tcBorders>
          </w:tcPr>
          <w:p>
            <w:pPr>
              <w:pStyle w:val="TableParagraph"/>
              <w:spacing w:before="97"/>
              <w:ind w:left="60"/>
              <w:jc w:val="left"/>
              <w:rPr>
                <w:rFonts w:ascii="Palatino Linotype"/>
                <w:b/>
                <w:sz w:val="14"/>
              </w:rPr>
            </w:pPr>
            <w:r>
              <w:rPr>
                <w:rFonts w:ascii="Palatino Linotype"/>
                <w:b/>
                <w:color w:val="231F20"/>
                <w:sz w:val="14"/>
              </w:rPr>
              <w:t>35.1</w:t>
            </w:r>
          </w:p>
        </w:tc>
        <w:tc>
          <w:tcPr>
            <w:tcW w:w="356" w:type="dxa"/>
            <w:tcBorders>
              <w:top w:val="single" w:sz="4" w:space="0" w:color="231F20"/>
            </w:tcBorders>
          </w:tcPr>
          <w:p>
            <w:pPr>
              <w:pStyle w:val="TableParagraph"/>
              <w:spacing w:before="97"/>
              <w:ind w:left="31" w:right="38"/>
              <w:rPr>
                <w:rFonts w:ascii="Palatino Linotype"/>
                <w:b/>
                <w:sz w:val="14"/>
              </w:rPr>
            </w:pPr>
            <w:r>
              <w:rPr>
                <w:rFonts w:ascii="Palatino Linotype"/>
                <w:b/>
                <w:color w:val="231F20"/>
                <w:sz w:val="14"/>
              </w:rPr>
              <w:t>36.4</w:t>
            </w:r>
          </w:p>
        </w:tc>
        <w:tc>
          <w:tcPr>
            <w:tcW w:w="371" w:type="dxa"/>
            <w:tcBorders>
              <w:top w:val="single" w:sz="4" w:space="0" w:color="231F20"/>
            </w:tcBorders>
          </w:tcPr>
          <w:p>
            <w:pPr>
              <w:pStyle w:val="TableParagraph"/>
              <w:spacing w:before="97"/>
              <w:ind w:left="41" w:right="43"/>
              <w:rPr>
                <w:rFonts w:ascii="Palatino Linotype"/>
                <w:b/>
                <w:sz w:val="14"/>
              </w:rPr>
            </w:pPr>
            <w:r>
              <w:rPr>
                <w:rFonts w:ascii="Palatino Linotype"/>
                <w:b/>
                <w:color w:val="231F20"/>
                <w:sz w:val="14"/>
              </w:rPr>
              <w:t>23.2</w:t>
            </w:r>
          </w:p>
        </w:tc>
        <w:tc>
          <w:tcPr>
            <w:tcW w:w="386" w:type="dxa"/>
            <w:tcBorders>
              <w:top w:val="single" w:sz="4" w:space="0" w:color="231F20"/>
            </w:tcBorders>
          </w:tcPr>
          <w:p>
            <w:pPr>
              <w:pStyle w:val="TableParagraph"/>
              <w:spacing w:before="97"/>
              <w:ind w:left="65"/>
              <w:jc w:val="left"/>
              <w:rPr>
                <w:rFonts w:ascii="Palatino Linotype"/>
                <w:b/>
                <w:sz w:val="14"/>
              </w:rPr>
            </w:pPr>
            <w:r>
              <w:rPr>
                <w:rFonts w:ascii="Palatino Linotype"/>
                <w:b/>
                <w:color w:val="231F20"/>
                <w:sz w:val="14"/>
              </w:rPr>
              <w:t>22.5</w:t>
            </w:r>
          </w:p>
        </w:tc>
        <w:tc>
          <w:tcPr>
            <w:tcW w:w="396" w:type="dxa"/>
            <w:tcBorders>
              <w:top w:val="single" w:sz="4" w:space="0" w:color="231F20"/>
            </w:tcBorders>
          </w:tcPr>
          <w:p>
            <w:pPr>
              <w:pStyle w:val="TableParagraph"/>
              <w:spacing w:before="97"/>
              <w:ind w:left="75"/>
              <w:jc w:val="left"/>
              <w:rPr>
                <w:rFonts w:ascii="Palatino Linotype"/>
                <w:b/>
                <w:sz w:val="14"/>
              </w:rPr>
            </w:pPr>
            <w:r>
              <w:rPr>
                <w:rFonts w:ascii="Palatino Linotype"/>
                <w:b/>
                <w:color w:val="231F20"/>
                <w:sz w:val="14"/>
              </w:rPr>
              <w:t>25.6</w:t>
            </w:r>
          </w:p>
        </w:tc>
        <w:tc>
          <w:tcPr>
            <w:tcW w:w="391" w:type="dxa"/>
            <w:tcBorders>
              <w:top w:val="single" w:sz="4" w:space="0" w:color="231F20"/>
            </w:tcBorders>
          </w:tcPr>
          <w:p>
            <w:pPr>
              <w:pStyle w:val="TableParagraph"/>
              <w:spacing w:before="97"/>
              <w:ind w:left="75"/>
              <w:jc w:val="left"/>
              <w:rPr>
                <w:rFonts w:ascii="Palatino Linotype"/>
                <w:b/>
                <w:sz w:val="14"/>
              </w:rPr>
            </w:pPr>
            <w:r>
              <w:rPr>
                <w:rFonts w:ascii="Palatino Linotype"/>
                <w:b/>
                <w:color w:val="231F20"/>
                <w:sz w:val="14"/>
              </w:rPr>
              <w:t>24.4</w:t>
            </w:r>
          </w:p>
        </w:tc>
        <w:tc>
          <w:tcPr>
            <w:tcW w:w="396" w:type="dxa"/>
            <w:tcBorders>
              <w:top w:val="single" w:sz="4" w:space="0" w:color="231F20"/>
            </w:tcBorders>
          </w:tcPr>
          <w:p>
            <w:pPr>
              <w:pStyle w:val="TableParagraph"/>
              <w:spacing w:before="97"/>
              <w:ind w:left="70"/>
              <w:jc w:val="left"/>
              <w:rPr>
                <w:rFonts w:ascii="Palatino Linotype"/>
                <w:b/>
                <w:sz w:val="14"/>
              </w:rPr>
            </w:pPr>
            <w:r>
              <w:rPr>
                <w:rFonts w:ascii="Palatino Linotype"/>
                <w:b/>
                <w:color w:val="231F20"/>
                <w:sz w:val="14"/>
              </w:rPr>
              <w:t>36.9</w:t>
            </w:r>
          </w:p>
        </w:tc>
        <w:tc>
          <w:tcPr>
            <w:tcW w:w="401" w:type="dxa"/>
            <w:tcBorders>
              <w:top w:val="single" w:sz="4" w:space="0" w:color="231F20"/>
            </w:tcBorders>
          </w:tcPr>
          <w:p>
            <w:pPr>
              <w:pStyle w:val="TableParagraph"/>
              <w:spacing w:before="97"/>
              <w:ind w:left="80"/>
              <w:jc w:val="left"/>
              <w:rPr>
                <w:rFonts w:ascii="Palatino Linotype"/>
                <w:b/>
                <w:sz w:val="14"/>
              </w:rPr>
            </w:pPr>
            <w:r>
              <w:rPr>
                <w:rFonts w:ascii="Palatino Linotype"/>
                <w:b/>
                <w:color w:val="231F20"/>
                <w:sz w:val="14"/>
              </w:rPr>
              <w:t>33.5</w:t>
            </w:r>
          </w:p>
        </w:tc>
        <w:tc>
          <w:tcPr>
            <w:tcW w:w="381" w:type="dxa"/>
            <w:tcBorders>
              <w:top w:val="single" w:sz="4" w:space="0" w:color="231F20"/>
            </w:tcBorders>
          </w:tcPr>
          <w:p>
            <w:pPr>
              <w:pStyle w:val="TableParagraph"/>
              <w:spacing w:before="97"/>
              <w:ind w:left="55" w:right="40"/>
              <w:rPr>
                <w:rFonts w:ascii="Palatino Linotype"/>
                <w:b/>
                <w:sz w:val="14"/>
              </w:rPr>
            </w:pPr>
            <w:r>
              <w:rPr>
                <w:rFonts w:ascii="Palatino Linotype"/>
                <w:b/>
                <w:color w:val="231F20"/>
                <w:sz w:val="14"/>
              </w:rPr>
              <w:t>35.4</w:t>
            </w:r>
          </w:p>
        </w:tc>
        <w:tc>
          <w:tcPr>
            <w:tcW w:w="362" w:type="dxa"/>
            <w:tcBorders>
              <w:top w:val="single" w:sz="4" w:space="0" w:color="231F20"/>
            </w:tcBorders>
          </w:tcPr>
          <w:p>
            <w:pPr>
              <w:pStyle w:val="TableParagraph"/>
              <w:spacing w:before="97"/>
              <w:ind w:left="40" w:right="36"/>
              <w:rPr>
                <w:rFonts w:ascii="Palatino Linotype"/>
                <w:b/>
                <w:sz w:val="14"/>
              </w:rPr>
            </w:pPr>
            <w:r>
              <w:rPr>
                <w:rFonts w:ascii="Palatino Linotype"/>
                <w:b/>
                <w:color w:val="231F20"/>
                <w:sz w:val="14"/>
              </w:rPr>
              <w:t>27.7</w:t>
            </w:r>
          </w:p>
        </w:tc>
        <w:tc>
          <w:tcPr>
            <w:tcW w:w="414" w:type="dxa"/>
            <w:tcBorders>
              <w:top w:val="single" w:sz="4" w:space="0" w:color="231F20"/>
            </w:tcBorders>
          </w:tcPr>
          <w:p>
            <w:pPr>
              <w:pStyle w:val="TableParagraph"/>
              <w:spacing w:before="97"/>
              <w:ind w:left="29" w:right="29"/>
              <w:rPr>
                <w:rFonts w:ascii="Palatino Linotype"/>
                <w:b/>
                <w:sz w:val="14"/>
              </w:rPr>
            </w:pPr>
            <w:r>
              <w:rPr>
                <w:rFonts w:ascii="Palatino Linotype"/>
                <w:b/>
                <w:color w:val="231F20"/>
                <w:sz w:val="14"/>
              </w:rPr>
              <w:t>34.5</w:t>
            </w:r>
          </w:p>
        </w:tc>
      </w:tr>
      <w:tr>
        <w:trPr>
          <w:trHeight w:val="397" w:hRule="exact"/>
        </w:trPr>
        <w:tc>
          <w:tcPr>
            <w:tcW w:w="1386" w:type="dxa"/>
          </w:tcPr>
          <w:p>
            <w:pPr>
              <w:pStyle w:val="TableParagraph"/>
              <w:spacing w:before="85"/>
              <w:ind w:left="47" w:right="53"/>
              <w:rPr>
                <w:rFonts w:ascii="Palatino Linotype"/>
                <w:b/>
                <w:sz w:val="14"/>
              </w:rPr>
            </w:pPr>
            <w:r>
              <w:rPr>
                <w:rFonts w:ascii="Palatino Linotype"/>
                <w:b/>
                <w:color w:val="231F20"/>
                <w:sz w:val="14"/>
              </w:rPr>
              <w:t>Autos</w:t>
            </w:r>
          </w:p>
        </w:tc>
        <w:tc>
          <w:tcPr>
            <w:tcW w:w="748" w:type="dxa"/>
          </w:tcPr>
          <w:p>
            <w:pPr>
              <w:pStyle w:val="TableParagraph"/>
              <w:spacing w:before="85"/>
              <w:ind w:left="43" w:right="51"/>
              <w:rPr>
                <w:rFonts w:ascii="Palatino Linotype"/>
                <w:b/>
                <w:sz w:val="14"/>
              </w:rPr>
            </w:pPr>
            <w:r>
              <w:rPr>
                <w:rFonts w:ascii="Palatino Linotype"/>
                <w:b/>
                <w:color w:val="231F20"/>
                <w:sz w:val="14"/>
              </w:rPr>
              <w:t>Toluca</w:t>
            </w:r>
          </w:p>
        </w:tc>
        <w:tc>
          <w:tcPr>
            <w:tcW w:w="404" w:type="dxa"/>
          </w:tcPr>
          <w:p>
            <w:pPr>
              <w:pStyle w:val="TableParagraph"/>
              <w:spacing w:before="85"/>
              <w:ind w:left="63" w:right="54"/>
              <w:rPr>
                <w:rFonts w:ascii="Palatino Linotype"/>
                <w:b/>
                <w:sz w:val="14"/>
              </w:rPr>
            </w:pPr>
            <w:r>
              <w:rPr>
                <w:rFonts w:ascii="Palatino Linotype"/>
                <w:b/>
                <w:color w:val="231F20"/>
                <w:sz w:val="14"/>
              </w:rPr>
              <w:t>11.4</w:t>
            </w:r>
          </w:p>
        </w:tc>
        <w:tc>
          <w:tcPr>
            <w:tcW w:w="391" w:type="dxa"/>
          </w:tcPr>
          <w:p>
            <w:pPr>
              <w:pStyle w:val="TableParagraph"/>
              <w:spacing w:before="85"/>
              <w:ind w:left="54" w:right="49"/>
              <w:rPr>
                <w:rFonts w:ascii="Palatino Linotype"/>
                <w:b/>
                <w:sz w:val="14"/>
              </w:rPr>
            </w:pPr>
            <w:r>
              <w:rPr>
                <w:rFonts w:ascii="Palatino Linotype"/>
                <w:b/>
                <w:color w:val="231F20"/>
                <w:sz w:val="14"/>
              </w:rPr>
              <w:t>9.3</w:t>
            </w:r>
          </w:p>
        </w:tc>
        <w:tc>
          <w:tcPr>
            <w:tcW w:w="376" w:type="dxa"/>
          </w:tcPr>
          <w:p>
            <w:pPr>
              <w:pStyle w:val="TableParagraph"/>
              <w:spacing w:before="85"/>
              <w:ind w:left="105"/>
              <w:jc w:val="left"/>
              <w:rPr>
                <w:rFonts w:ascii="Palatino Linotype"/>
                <w:b/>
                <w:sz w:val="14"/>
              </w:rPr>
            </w:pPr>
            <w:r>
              <w:rPr>
                <w:rFonts w:ascii="Palatino Linotype"/>
                <w:b/>
                <w:color w:val="231F20"/>
                <w:sz w:val="14"/>
              </w:rPr>
              <w:t>4.2</w:t>
            </w:r>
          </w:p>
        </w:tc>
        <w:tc>
          <w:tcPr>
            <w:tcW w:w="361" w:type="dxa"/>
          </w:tcPr>
          <w:p>
            <w:pPr>
              <w:pStyle w:val="TableParagraph"/>
              <w:spacing w:before="85"/>
              <w:ind w:left="95"/>
              <w:jc w:val="left"/>
              <w:rPr>
                <w:rFonts w:ascii="Palatino Linotype"/>
                <w:b/>
                <w:sz w:val="14"/>
              </w:rPr>
            </w:pPr>
            <w:r>
              <w:rPr>
                <w:rFonts w:ascii="Palatino Linotype"/>
                <w:b/>
                <w:color w:val="231F20"/>
                <w:sz w:val="14"/>
              </w:rPr>
              <w:t>9.0</w:t>
            </w:r>
          </w:p>
        </w:tc>
        <w:tc>
          <w:tcPr>
            <w:tcW w:w="381" w:type="dxa"/>
          </w:tcPr>
          <w:p>
            <w:pPr>
              <w:pStyle w:val="TableParagraph"/>
              <w:spacing w:before="85"/>
              <w:ind w:left="90"/>
              <w:jc w:val="left"/>
              <w:rPr>
                <w:rFonts w:ascii="Palatino Linotype"/>
                <w:b/>
                <w:sz w:val="14"/>
              </w:rPr>
            </w:pPr>
            <w:r>
              <w:rPr>
                <w:rFonts w:ascii="Palatino Linotype"/>
                <w:b/>
                <w:color w:val="231F20"/>
                <w:sz w:val="14"/>
              </w:rPr>
              <w:t>4.4</w:t>
            </w:r>
          </w:p>
        </w:tc>
        <w:tc>
          <w:tcPr>
            <w:tcW w:w="406" w:type="dxa"/>
          </w:tcPr>
          <w:p>
            <w:pPr>
              <w:pStyle w:val="TableParagraph"/>
              <w:spacing w:before="85"/>
              <w:ind w:left="115"/>
              <w:jc w:val="left"/>
              <w:rPr>
                <w:rFonts w:ascii="Palatino Linotype"/>
                <w:b/>
                <w:sz w:val="14"/>
              </w:rPr>
            </w:pPr>
            <w:r>
              <w:rPr>
                <w:rFonts w:ascii="Palatino Linotype"/>
                <w:b/>
                <w:color w:val="231F20"/>
                <w:sz w:val="14"/>
              </w:rPr>
              <w:t>8.7</w:t>
            </w:r>
          </w:p>
        </w:tc>
        <w:tc>
          <w:tcPr>
            <w:tcW w:w="401" w:type="dxa"/>
          </w:tcPr>
          <w:p>
            <w:pPr>
              <w:pStyle w:val="TableParagraph"/>
              <w:spacing w:before="85"/>
              <w:ind w:left="60" w:right="55"/>
              <w:rPr>
                <w:rFonts w:ascii="Palatino Linotype"/>
                <w:b/>
                <w:sz w:val="14"/>
              </w:rPr>
            </w:pPr>
            <w:r>
              <w:rPr>
                <w:rFonts w:ascii="Palatino Linotype"/>
                <w:b/>
                <w:color w:val="231F20"/>
                <w:sz w:val="14"/>
              </w:rPr>
              <w:t>11.7</w:t>
            </w:r>
          </w:p>
        </w:tc>
        <w:tc>
          <w:tcPr>
            <w:tcW w:w="396" w:type="dxa"/>
          </w:tcPr>
          <w:p>
            <w:pPr>
              <w:pStyle w:val="TableParagraph"/>
              <w:spacing w:before="85"/>
              <w:ind w:left="75"/>
              <w:jc w:val="left"/>
              <w:rPr>
                <w:rFonts w:ascii="Palatino Linotype"/>
                <w:b/>
                <w:sz w:val="14"/>
              </w:rPr>
            </w:pPr>
            <w:r>
              <w:rPr>
                <w:rFonts w:ascii="Palatino Linotype"/>
                <w:b/>
                <w:color w:val="231F20"/>
                <w:sz w:val="14"/>
              </w:rPr>
              <w:t>18.6</w:t>
            </w:r>
          </w:p>
        </w:tc>
        <w:tc>
          <w:tcPr>
            <w:tcW w:w="391" w:type="dxa"/>
          </w:tcPr>
          <w:p>
            <w:pPr>
              <w:pStyle w:val="TableParagraph"/>
              <w:spacing w:before="85"/>
              <w:ind w:left="75"/>
              <w:jc w:val="left"/>
              <w:rPr>
                <w:rFonts w:ascii="Palatino Linotype"/>
                <w:b/>
                <w:sz w:val="14"/>
              </w:rPr>
            </w:pPr>
            <w:r>
              <w:rPr>
                <w:rFonts w:ascii="Palatino Linotype"/>
                <w:b/>
                <w:color w:val="231F20"/>
                <w:sz w:val="14"/>
              </w:rPr>
              <w:t>19.2</w:t>
            </w:r>
          </w:p>
        </w:tc>
        <w:tc>
          <w:tcPr>
            <w:tcW w:w="376" w:type="dxa"/>
          </w:tcPr>
          <w:p>
            <w:pPr>
              <w:pStyle w:val="TableParagraph"/>
              <w:spacing w:before="85"/>
              <w:ind w:left="70"/>
              <w:jc w:val="left"/>
              <w:rPr>
                <w:rFonts w:ascii="Palatino Linotype"/>
                <w:b/>
                <w:sz w:val="14"/>
              </w:rPr>
            </w:pPr>
            <w:r>
              <w:rPr>
                <w:rFonts w:ascii="Palatino Linotype"/>
                <w:b/>
                <w:color w:val="231F20"/>
                <w:sz w:val="14"/>
              </w:rPr>
              <w:t>29.4</w:t>
            </w:r>
          </w:p>
        </w:tc>
        <w:tc>
          <w:tcPr>
            <w:tcW w:w="356" w:type="dxa"/>
          </w:tcPr>
          <w:p>
            <w:pPr>
              <w:pStyle w:val="TableParagraph"/>
              <w:spacing w:before="85"/>
              <w:ind w:left="60"/>
              <w:jc w:val="left"/>
              <w:rPr>
                <w:rFonts w:ascii="Palatino Linotype"/>
                <w:b/>
                <w:sz w:val="14"/>
              </w:rPr>
            </w:pPr>
            <w:r>
              <w:rPr>
                <w:rFonts w:ascii="Palatino Linotype"/>
                <w:b/>
                <w:color w:val="231F20"/>
                <w:sz w:val="14"/>
              </w:rPr>
              <w:t>39.4</w:t>
            </w:r>
          </w:p>
        </w:tc>
        <w:tc>
          <w:tcPr>
            <w:tcW w:w="356" w:type="dxa"/>
          </w:tcPr>
          <w:p>
            <w:pPr>
              <w:pStyle w:val="TableParagraph"/>
              <w:spacing w:before="85"/>
              <w:ind w:left="31" w:right="38"/>
              <w:rPr>
                <w:rFonts w:ascii="Palatino Linotype"/>
                <w:b/>
                <w:sz w:val="14"/>
              </w:rPr>
            </w:pPr>
            <w:r>
              <w:rPr>
                <w:rFonts w:ascii="Palatino Linotype"/>
                <w:b/>
                <w:color w:val="231F20"/>
                <w:sz w:val="14"/>
              </w:rPr>
              <w:t>41.4</w:t>
            </w:r>
          </w:p>
        </w:tc>
        <w:tc>
          <w:tcPr>
            <w:tcW w:w="371" w:type="dxa"/>
          </w:tcPr>
          <w:p>
            <w:pPr>
              <w:pStyle w:val="TableParagraph"/>
              <w:spacing w:before="85"/>
              <w:ind w:left="41" w:right="43"/>
              <w:rPr>
                <w:rFonts w:ascii="Palatino Linotype"/>
                <w:b/>
                <w:sz w:val="14"/>
              </w:rPr>
            </w:pPr>
            <w:r>
              <w:rPr>
                <w:rFonts w:ascii="Palatino Linotype"/>
                <w:b/>
                <w:color w:val="231F20"/>
                <w:sz w:val="14"/>
              </w:rPr>
              <w:t>33.0</w:t>
            </w:r>
          </w:p>
        </w:tc>
        <w:tc>
          <w:tcPr>
            <w:tcW w:w="386" w:type="dxa"/>
          </w:tcPr>
          <w:p>
            <w:pPr>
              <w:pStyle w:val="TableParagraph"/>
              <w:spacing w:before="85"/>
              <w:ind w:left="100"/>
              <w:jc w:val="left"/>
              <w:rPr>
                <w:rFonts w:ascii="Palatino Linotype"/>
                <w:b/>
                <w:sz w:val="14"/>
              </w:rPr>
            </w:pPr>
            <w:r>
              <w:rPr>
                <w:rFonts w:ascii="Palatino Linotype"/>
                <w:b/>
                <w:color w:val="231F20"/>
                <w:sz w:val="14"/>
              </w:rPr>
              <w:t>9.8</w:t>
            </w:r>
          </w:p>
        </w:tc>
        <w:tc>
          <w:tcPr>
            <w:tcW w:w="396" w:type="dxa"/>
          </w:tcPr>
          <w:p>
            <w:pPr>
              <w:pStyle w:val="TableParagraph"/>
              <w:spacing w:before="85"/>
              <w:ind w:left="75"/>
              <w:jc w:val="left"/>
              <w:rPr>
                <w:rFonts w:ascii="Palatino Linotype"/>
                <w:b/>
                <w:sz w:val="14"/>
              </w:rPr>
            </w:pPr>
            <w:r>
              <w:rPr>
                <w:rFonts w:ascii="Palatino Linotype"/>
                <w:b/>
                <w:color w:val="231F20"/>
                <w:sz w:val="14"/>
              </w:rPr>
              <w:t>10.6</w:t>
            </w:r>
          </w:p>
        </w:tc>
        <w:tc>
          <w:tcPr>
            <w:tcW w:w="391" w:type="dxa"/>
          </w:tcPr>
          <w:p>
            <w:pPr>
              <w:pStyle w:val="TableParagraph"/>
              <w:spacing w:before="85"/>
              <w:ind w:left="110"/>
              <w:jc w:val="left"/>
              <w:rPr>
                <w:rFonts w:ascii="Palatino Linotype"/>
                <w:b/>
                <w:sz w:val="14"/>
              </w:rPr>
            </w:pPr>
            <w:r>
              <w:rPr>
                <w:rFonts w:ascii="Palatino Linotype"/>
                <w:b/>
                <w:color w:val="231F20"/>
                <w:sz w:val="14"/>
              </w:rPr>
              <w:t>2.0</w:t>
            </w:r>
          </w:p>
        </w:tc>
        <w:tc>
          <w:tcPr>
            <w:tcW w:w="396" w:type="dxa"/>
          </w:tcPr>
          <w:p>
            <w:pPr>
              <w:pStyle w:val="TableParagraph"/>
              <w:spacing w:before="85"/>
              <w:ind w:left="70"/>
              <w:jc w:val="left"/>
              <w:rPr>
                <w:rFonts w:ascii="Palatino Linotype"/>
                <w:b/>
                <w:sz w:val="14"/>
              </w:rPr>
            </w:pPr>
            <w:r>
              <w:rPr>
                <w:rFonts w:ascii="Palatino Linotype"/>
                <w:b/>
                <w:color w:val="231F20"/>
                <w:sz w:val="14"/>
              </w:rPr>
              <w:t>11.2</w:t>
            </w:r>
          </w:p>
        </w:tc>
        <w:tc>
          <w:tcPr>
            <w:tcW w:w="401" w:type="dxa"/>
          </w:tcPr>
          <w:p>
            <w:pPr>
              <w:pStyle w:val="TableParagraph"/>
              <w:spacing w:before="85"/>
              <w:ind w:left="115"/>
              <w:jc w:val="left"/>
              <w:rPr>
                <w:rFonts w:ascii="Palatino Linotype"/>
                <w:b/>
                <w:sz w:val="14"/>
              </w:rPr>
            </w:pPr>
            <w:r>
              <w:rPr>
                <w:rFonts w:ascii="Palatino Linotype"/>
                <w:b/>
                <w:color w:val="231F20"/>
                <w:sz w:val="14"/>
              </w:rPr>
              <w:t>2.1</w:t>
            </w:r>
          </w:p>
        </w:tc>
        <w:tc>
          <w:tcPr>
            <w:tcW w:w="381" w:type="dxa"/>
          </w:tcPr>
          <w:p>
            <w:pPr>
              <w:pStyle w:val="TableParagraph"/>
              <w:spacing w:before="85"/>
              <w:ind w:left="55" w:right="40"/>
              <w:rPr>
                <w:rFonts w:ascii="Palatino Linotype"/>
                <w:b/>
                <w:sz w:val="14"/>
              </w:rPr>
            </w:pPr>
            <w:r>
              <w:rPr>
                <w:rFonts w:ascii="Palatino Linotype"/>
                <w:b/>
                <w:color w:val="231F20"/>
                <w:sz w:val="14"/>
              </w:rPr>
              <w:t>0.0</w:t>
            </w:r>
          </w:p>
        </w:tc>
        <w:tc>
          <w:tcPr>
            <w:tcW w:w="362" w:type="dxa"/>
          </w:tcPr>
          <w:p>
            <w:pPr>
              <w:pStyle w:val="TableParagraph"/>
              <w:spacing w:before="85"/>
              <w:ind w:left="40" w:right="36"/>
              <w:rPr>
                <w:rFonts w:ascii="Palatino Linotype"/>
                <w:b/>
                <w:sz w:val="14"/>
              </w:rPr>
            </w:pPr>
            <w:r>
              <w:rPr>
                <w:rFonts w:ascii="Palatino Linotype"/>
                <w:b/>
                <w:color w:val="231F20"/>
                <w:sz w:val="14"/>
              </w:rPr>
              <w:t>0.0</w:t>
            </w:r>
          </w:p>
        </w:tc>
        <w:tc>
          <w:tcPr>
            <w:tcW w:w="414" w:type="dxa"/>
          </w:tcPr>
          <w:p>
            <w:pPr>
              <w:pStyle w:val="TableParagraph"/>
              <w:spacing w:before="85"/>
              <w:ind w:left="29" w:right="29"/>
              <w:rPr>
                <w:rFonts w:ascii="Palatino Linotype"/>
                <w:b/>
                <w:sz w:val="14"/>
              </w:rPr>
            </w:pPr>
            <w:r>
              <w:rPr>
                <w:rFonts w:ascii="Palatino Linotype"/>
                <w:b/>
                <w:color w:val="231F20"/>
                <w:sz w:val="14"/>
              </w:rPr>
              <w:t>0.0</w:t>
            </w:r>
          </w:p>
        </w:tc>
      </w:tr>
      <w:tr>
        <w:trPr>
          <w:trHeight w:val="379" w:hRule="exact"/>
        </w:trPr>
        <w:tc>
          <w:tcPr>
            <w:tcW w:w="1386" w:type="dxa"/>
            <w:tcBorders>
              <w:bottom w:val="single" w:sz="4" w:space="0" w:color="231F20"/>
            </w:tcBorders>
          </w:tcPr>
          <w:p>
            <w:pPr>
              <w:pStyle w:val="TableParagraph"/>
              <w:spacing w:before="101"/>
              <w:ind w:left="47" w:right="53"/>
              <w:rPr>
                <w:sz w:val="14"/>
              </w:rPr>
            </w:pPr>
            <w:r>
              <w:rPr>
                <w:color w:val="231F20"/>
                <w:sz w:val="14"/>
              </w:rPr>
              <w:t>Camiones ligeros</w:t>
            </w:r>
          </w:p>
        </w:tc>
        <w:tc>
          <w:tcPr>
            <w:tcW w:w="748" w:type="dxa"/>
            <w:tcBorders>
              <w:bottom w:val="single" w:sz="4" w:space="0" w:color="231F20"/>
            </w:tcBorders>
          </w:tcPr>
          <w:p>
            <w:pPr>
              <w:pStyle w:val="TableParagraph"/>
              <w:spacing w:before="101"/>
              <w:ind w:left="43" w:right="51"/>
              <w:rPr>
                <w:sz w:val="14"/>
              </w:rPr>
            </w:pPr>
            <w:r>
              <w:rPr>
                <w:color w:val="231F20"/>
                <w:sz w:val="14"/>
              </w:rPr>
              <w:t>Toluca</w:t>
            </w:r>
          </w:p>
        </w:tc>
        <w:tc>
          <w:tcPr>
            <w:tcW w:w="404" w:type="dxa"/>
            <w:tcBorders>
              <w:bottom w:val="single" w:sz="4" w:space="0" w:color="231F20"/>
            </w:tcBorders>
          </w:tcPr>
          <w:p>
            <w:pPr>
              <w:pStyle w:val="TableParagraph"/>
              <w:spacing w:before="101"/>
              <w:ind w:left="63" w:right="54"/>
              <w:rPr>
                <w:sz w:val="14"/>
              </w:rPr>
            </w:pPr>
            <w:r>
              <w:rPr>
                <w:color w:val="231F20"/>
                <w:sz w:val="14"/>
              </w:rPr>
              <w:t>30.7</w:t>
            </w:r>
          </w:p>
        </w:tc>
        <w:tc>
          <w:tcPr>
            <w:tcW w:w="391" w:type="dxa"/>
            <w:tcBorders>
              <w:bottom w:val="single" w:sz="4" w:space="0" w:color="231F20"/>
            </w:tcBorders>
          </w:tcPr>
          <w:p>
            <w:pPr>
              <w:pStyle w:val="TableParagraph"/>
              <w:spacing w:before="101"/>
              <w:ind w:left="54" w:right="48"/>
              <w:rPr>
                <w:sz w:val="14"/>
              </w:rPr>
            </w:pPr>
            <w:r>
              <w:rPr>
                <w:color w:val="231F20"/>
                <w:sz w:val="14"/>
              </w:rPr>
              <w:t>35.4</w:t>
            </w:r>
          </w:p>
        </w:tc>
        <w:tc>
          <w:tcPr>
            <w:tcW w:w="376" w:type="dxa"/>
            <w:tcBorders>
              <w:bottom w:val="single" w:sz="4" w:space="0" w:color="231F20"/>
            </w:tcBorders>
          </w:tcPr>
          <w:p>
            <w:pPr>
              <w:pStyle w:val="TableParagraph"/>
              <w:spacing w:before="101"/>
              <w:ind w:left="76"/>
              <w:jc w:val="left"/>
              <w:rPr>
                <w:sz w:val="14"/>
              </w:rPr>
            </w:pPr>
            <w:r>
              <w:rPr>
                <w:color w:val="231F20"/>
                <w:sz w:val="14"/>
              </w:rPr>
              <w:t>42.2</w:t>
            </w:r>
          </w:p>
        </w:tc>
        <w:tc>
          <w:tcPr>
            <w:tcW w:w="361" w:type="dxa"/>
            <w:tcBorders>
              <w:bottom w:val="single" w:sz="4" w:space="0" w:color="231F20"/>
            </w:tcBorders>
          </w:tcPr>
          <w:p>
            <w:pPr>
              <w:pStyle w:val="TableParagraph"/>
              <w:spacing w:before="101"/>
              <w:ind w:left="66"/>
              <w:jc w:val="left"/>
              <w:rPr>
                <w:sz w:val="14"/>
              </w:rPr>
            </w:pPr>
            <w:r>
              <w:rPr>
                <w:color w:val="231F20"/>
                <w:sz w:val="14"/>
              </w:rPr>
              <w:t>35.1</w:t>
            </w:r>
          </w:p>
        </w:tc>
        <w:tc>
          <w:tcPr>
            <w:tcW w:w="381" w:type="dxa"/>
            <w:tcBorders>
              <w:bottom w:val="single" w:sz="4" w:space="0" w:color="231F20"/>
            </w:tcBorders>
          </w:tcPr>
          <w:p>
            <w:pPr>
              <w:pStyle w:val="TableParagraph"/>
              <w:spacing w:before="101"/>
              <w:ind w:left="61"/>
              <w:jc w:val="left"/>
              <w:rPr>
                <w:sz w:val="14"/>
              </w:rPr>
            </w:pPr>
            <w:r>
              <w:rPr>
                <w:color w:val="231F20"/>
                <w:sz w:val="14"/>
              </w:rPr>
              <w:t>35.7</w:t>
            </w:r>
          </w:p>
        </w:tc>
        <w:tc>
          <w:tcPr>
            <w:tcW w:w="406" w:type="dxa"/>
            <w:tcBorders>
              <w:bottom w:val="single" w:sz="4" w:space="0" w:color="231F20"/>
            </w:tcBorders>
          </w:tcPr>
          <w:p>
            <w:pPr>
              <w:pStyle w:val="TableParagraph"/>
              <w:spacing w:before="101"/>
              <w:ind w:left="86"/>
              <w:jc w:val="left"/>
              <w:rPr>
                <w:sz w:val="14"/>
              </w:rPr>
            </w:pPr>
            <w:r>
              <w:rPr>
                <w:color w:val="231F20"/>
                <w:sz w:val="14"/>
              </w:rPr>
              <w:t>40.8</w:t>
            </w:r>
          </w:p>
        </w:tc>
        <w:tc>
          <w:tcPr>
            <w:tcW w:w="401" w:type="dxa"/>
            <w:tcBorders>
              <w:bottom w:val="single" w:sz="4" w:space="0" w:color="231F20"/>
            </w:tcBorders>
          </w:tcPr>
          <w:p>
            <w:pPr>
              <w:pStyle w:val="TableParagraph"/>
              <w:spacing w:before="101"/>
              <w:ind w:left="60" w:right="54"/>
              <w:rPr>
                <w:sz w:val="14"/>
              </w:rPr>
            </w:pPr>
            <w:r>
              <w:rPr>
                <w:color w:val="231F20"/>
                <w:sz w:val="14"/>
              </w:rPr>
              <w:t>48.9</w:t>
            </w:r>
          </w:p>
        </w:tc>
        <w:tc>
          <w:tcPr>
            <w:tcW w:w="396" w:type="dxa"/>
            <w:tcBorders>
              <w:bottom w:val="single" w:sz="4" w:space="0" w:color="231F20"/>
            </w:tcBorders>
          </w:tcPr>
          <w:p>
            <w:pPr>
              <w:pStyle w:val="TableParagraph"/>
              <w:spacing w:before="101"/>
              <w:ind w:left="81"/>
              <w:jc w:val="left"/>
              <w:rPr>
                <w:sz w:val="14"/>
              </w:rPr>
            </w:pPr>
            <w:r>
              <w:rPr>
                <w:color w:val="231F20"/>
                <w:sz w:val="14"/>
              </w:rPr>
              <w:t>59.5</w:t>
            </w:r>
          </w:p>
        </w:tc>
        <w:tc>
          <w:tcPr>
            <w:tcW w:w="391" w:type="dxa"/>
            <w:tcBorders>
              <w:bottom w:val="single" w:sz="4" w:space="0" w:color="231F20"/>
            </w:tcBorders>
          </w:tcPr>
          <w:p>
            <w:pPr>
              <w:pStyle w:val="TableParagraph"/>
              <w:spacing w:before="101"/>
              <w:ind w:left="81"/>
              <w:jc w:val="left"/>
              <w:rPr>
                <w:sz w:val="14"/>
              </w:rPr>
            </w:pPr>
            <w:r>
              <w:rPr>
                <w:color w:val="231F20"/>
                <w:sz w:val="14"/>
              </w:rPr>
              <w:t>13.9</w:t>
            </w:r>
          </w:p>
        </w:tc>
        <w:tc>
          <w:tcPr>
            <w:tcW w:w="376" w:type="dxa"/>
            <w:tcBorders>
              <w:bottom w:val="single" w:sz="4" w:space="0" w:color="231F20"/>
            </w:tcBorders>
          </w:tcPr>
          <w:p>
            <w:pPr>
              <w:pStyle w:val="TableParagraph"/>
              <w:spacing w:before="101"/>
              <w:ind w:left="76"/>
              <w:jc w:val="left"/>
              <w:rPr>
                <w:sz w:val="14"/>
              </w:rPr>
            </w:pPr>
            <w:r>
              <w:rPr>
                <w:color w:val="231F20"/>
                <w:sz w:val="14"/>
              </w:rPr>
              <w:t>16.1</w:t>
            </w:r>
          </w:p>
        </w:tc>
        <w:tc>
          <w:tcPr>
            <w:tcW w:w="356" w:type="dxa"/>
            <w:tcBorders>
              <w:bottom w:val="single" w:sz="4" w:space="0" w:color="231F20"/>
            </w:tcBorders>
          </w:tcPr>
          <w:p>
            <w:pPr>
              <w:pStyle w:val="TableParagraph"/>
              <w:spacing w:before="101"/>
              <w:ind w:left="66"/>
              <w:jc w:val="left"/>
              <w:rPr>
                <w:sz w:val="14"/>
              </w:rPr>
            </w:pPr>
            <w:r>
              <w:rPr>
                <w:color w:val="231F20"/>
                <w:sz w:val="14"/>
              </w:rPr>
              <w:t>28.8</w:t>
            </w:r>
          </w:p>
        </w:tc>
        <w:tc>
          <w:tcPr>
            <w:tcW w:w="356" w:type="dxa"/>
            <w:tcBorders>
              <w:bottom w:val="single" w:sz="4" w:space="0" w:color="231F20"/>
            </w:tcBorders>
          </w:tcPr>
          <w:p>
            <w:pPr>
              <w:pStyle w:val="TableParagraph"/>
              <w:spacing w:before="101"/>
              <w:ind w:left="31" w:right="38"/>
              <w:rPr>
                <w:sz w:val="14"/>
              </w:rPr>
            </w:pPr>
            <w:r>
              <w:rPr>
                <w:color w:val="231F20"/>
                <w:sz w:val="14"/>
              </w:rPr>
              <w:t>26.9</w:t>
            </w:r>
          </w:p>
        </w:tc>
        <w:tc>
          <w:tcPr>
            <w:tcW w:w="371" w:type="dxa"/>
            <w:tcBorders>
              <w:bottom w:val="single" w:sz="4" w:space="0" w:color="231F20"/>
            </w:tcBorders>
          </w:tcPr>
          <w:p>
            <w:pPr>
              <w:pStyle w:val="TableParagraph"/>
              <w:spacing w:before="101"/>
              <w:ind w:left="41" w:right="43"/>
              <w:rPr>
                <w:sz w:val="14"/>
              </w:rPr>
            </w:pPr>
            <w:r>
              <w:rPr>
                <w:color w:val="231F20"/>
                <w:sz w:val="14"/>
              </w:rPr>
              <w:t>13.8</w:t>
            </w:r>
          </w:p>
        </w:tc>
        <w:tc>
          <w:tcPr>
            <w:tcW w:w="386" w:type="dxa"/>
            <w:tcBorders>
              <w:bottom w:val="single" w:sz="4" w:space="0" w:color="231F20"/>
            </w:tcBorders>
          </w:tcPr>
          <w:p>
            <w:pPr>
              <w:pStyle w:val="TableParagraph"/>
              <w:spacing w:before="101"/>
              <w:ind w:left="71"/>
              <w:jc w:val="left"/>
              <w:rPr>
                <w:sz w:val="14"/>
              </w:rPr>
            </w:pPr>
            <w:r>
              <w:rPr>
                <w:color w:val="231F20"/>
                <w:sz w:val="14"/>
              </w:rPr>
              <w:t>26.3</w:t>
            </w:r>
          </w:p>
        </w:tc>
        <w:tc>
          <w:tcPr>
            <w:tcW w:w="396" w:type="dxa"/>
            <w:tcBorders>
              <w:bottom w:val="single" w:sz="4" w:space="0" w:color="231F20"/>
            </w:tcBorders>
          </w:tcPr>
          <w:p>
            <w:pPr>
              <w:pStyle w:val="TableParagraph"/>
              <w:spacing w:before="101"/>
              <w:ind w:left="81"/>
              <w:jc w:val="left"/>
              <w:rPr>
                <w:sz w:val="14"/>
              </w:rPr>
            </w:pPr>
            <w:r>
              <w:rPr>
                <w:color w:val="231F20"/>
                <w:sz w:val="14"/>
              </w:rPr>
              <w:t>31.2</w:t>
            </w:r>
          </w:p>
        </w:tc>
        <w:tc>
          <w:tcPr>
            <w:tcW w:w="391" w:type="dxa"/>
            <w:tcBorders>
              <w:bottom w:val="single" w:sz="4" w:space="0" w:color="231F20"/>
            </w:tcBorders>
          </w:tcPr>
          <w:p>
            <w:pPr>
              <w:pStyle w:val="TableParagraph"/>
              <w:spacing w:before="101"/>
              <w:ind w:left="81"/>
              <w:jc w:val="left"/>
              <w:rPr>
                <w:sz w:val="14"/>
              </w:rPr>
            </w:pPr>
            <w:r>
              <w:rPr>
                <w:color w:val="231F20"/>
                <w:sz w:val="14"/>
              </w:rPr>
              <w:t>25.2</w:t>
            </w:r>
          </w:p>
        </w:tc>
        <w:tc>
          <w:tcPr>
            <w:tcW w:w="396" w:type="dxa"/>
            <w:tcBorders>
              <w:bottom w:val="single" w:sz="4" w:space="0" w:color="231F20"/>
            </w:tcBorders>
          </w:tcPr>
          <w:p>
            <w:pPr>
              <w:pStyle w:val="TableParagraph"/>
              <w:spacing w:before="101"/>
              <w:ind w:left="76"/>
              <w:jc w:val="left"/>
              <w:rPr>
                <w:sz w:val="14"/>
              </w:rPr>
            </w:pPr>
            <w:r>
              <w:rPr>
                <w:color w:val="231F20"/>
                <w:sz w:val="14"/>
              </w:rPr>
              <w:t>40.9</w:t>
            </w:r>
          </w:p>
        </w:tc>
        <w:tc>
          <w:tcPr>
            <w:tcW w:w="401" w:type="dxa"/>
            <w:tcBorders>
              <w:bottom w:val="single" w:sz="4" w:space="0" w:color="231F20"/>
            </w:tcBorders>
          </w:tcPr>
          <w:p>
            <w:pPr>
              <w:pStyle w:val="TableParagraph"/>
              <w:spacing w:before="101"/>
              <w:ind w:left="86"/>
              <w:jc w:val="left"/>
              <w:rPr>
                <w:sz w:val="14"/>
              </w:rPr>
            </w:pPr>
            <w:r>
              <w:rPr>
                <w:color w:val="231F20"/>
                <w:sz w:val="14"/>
              </w:rPr>
              <w:t>35.3</w:t>
            </w:r>
          </w:p>
        </w:tc>
        <w:tc>
          <w:tcPr>
            <w:tcW w:w="381" w:type="dxa"/>
            <w:tcBorders>
              <w:bottom w:val="single" w:sz="4" w:space="0" w:color="231F20"/>
            </w:tcBorders>
          </w:tcPr>
          <w:p>
            <w:pPr>
              <w:pStyle w:val="TableParagraph"/>
              <w:spacing w:before="101"/>
              <w:ind w:left="55" w:right="39"/>
              <w:rPr>
                <w:sz w:val="14"/>
              </w:rPr>
            </w:pPr>
            <w:r>
              <w:rPr>
                <w:color w:val="231F20"/>
                <w:sz w:val="14"/>
              </w:rPr>
              <w:t>38.6</w:t>
            </w:r>
          </w:p>
        </w:tc>
        <w:tc>
          <w:tcPr>
            <w:tcW w:w="362" w:type="dxa"/>
            <w:tcBorders>
              <w:bottom w:val="single" w:sz="4" w:space="0" w:color="231F20"/>
            </w:tcBorders>
          </w:tcPr>
          <w:p>
            <w:pPr>
              <w:pStyle w:val="TableParagraph"/>
              <w:spacing w:before="101"/>
              <w:ind w:left="40" w:right="36"/>
              <w:rPr>
                <w:sz w:val="14"/>
              </w:rPr>
            </w:pPr>
            <w:r>
              <w:rPr>
                <w:color w:val="231F20"/>
                <w:sz w:val="14"/>
              </w:rPr>
              <w:t>26.2</w:t>
            </w:r>
          </w:p>
        </w:tc>
        <w:tc>
          <w:tcPr>
            <w:tcW w:w="414" w:type="dxa"/>
            <w:tcBorders>
              <w:bottom w:val="single" w:sz="4" w:space="0" w:color="231F20"/>
            </w:tcBorders>
          </w:tcPr>
          <w:p>
            <w:pPr>
              <w:pStyle w:val="TableParagraph"/>
              <w:spacing w:before="101"/>
              <w:ind w:left="29" w:right="29"/>
              <w:rPr>
                <w:sz w:val="14"/>
              </w:rPr>
            </w:pPr>
            <w:r>
              <w:rPr>
                <w:color w:val="231F20"/>
                <w:sz w:val="14"/>
              </w:rPr>
              <w:t>33.0</w:t>
            </w:r>
          </w:p>
        </w:tc>
      </w:tr>
    </w:tbl>
    <w:p>
      <w:pPr>
        <w:pStyle w:val="BodyText"/>
        <w:spacing w:before="11"/>
        <w:rPr>
          <w:sz w:val="11"/>
        </w:rPr>
      </w:pPr>
    </w:p>
    <w:p>
      <w:pPr>
        <w:spacing w:line="307" w:lineRule="auto" w:before="62"/>
        <w:ind w:left="123" w:right="836" w:firstLine="0"/>
        <w:jc w:val="left"/>
        <w:rPr>
          <w:sz w:val="19"/>
        </w:rPr>
      </w:pPr>
      <w:r>
        <w:rPr>
          <w:color w:val="231F20"/>
          <w:sz w:val="19"/>
        </w:rPr>
        <w:t>Nota: A partir de 1994, General Motors reporta datos de producción de camiones pesados. La diferencia porcentual es la que corresponde a ese dato.</w:t>
      </w:r>
    </w:p>
    <w:p>
      <w:pPr>
        <w:spacing w:line="237" w:lineRule="exact" w:before="0"/>
        <w:ind w:left="123" w:right="0" w:firstLine="0"/>
        <w:jc w:val="left"/>
        <w:rPr>
          <w:sz w:val="19"/>
        </w:rPr>
      </w:pPr>
      <w:r>
        <w:rPr>
          <w:rFonts w:ascii="Palatino Linotype"/>
          <w:i/>
          <w:color w:val="231F20"/>
          <w:w w:val="95"/>
          <w:sz w:val="19"/>
        </w:rPr>
        <w:t>Fuente: </w:t>
      </w:r>
      <w:r>
        <w:rPr>
          <w:color w:val="231F20"/>
          <w:w w:val="95"/>
          <w:sz w:val="19"/>
        </w:rPr>
        <w:t>AMIA (2009).</w:t>
      </w:r>
    </w:p>
    <w:p>
      <w:pPr>
        <w:spacing w:after="0" w:line="237" w:lineRule="exact"/>
        <w:jc w:val="left"/>
        <w:rPr>
          <w:sz w:val="19"/>
        </w:rPr>
        <w:sectPr>
          <w:headerReference w:type="default" r:id="rId249"/>
          <w:footerReference w:type="default" r:id="rId250"/>
          <w:pgSz w:w="13040" w:h="9640" w:orient="landscape"/>
          <w:pgMar w:header="0" w:footer="0" w:top="0" w:bottom="280" w:left="1180" w:right="1400"/>
        </w:sectPr>
      </w:pPr>
    </w:p>
    <w:p>
      <w:pPr>
        <w:pStyle w:val="BodyText"/>
        <w:rPr>
          <w:sz w:val="20"/>
        </w:rPr>
      </w:pPr>
    </w:p>
    <w:p>
      <w:pPr>
        <w:pStyle w:val="BodyText"/>
        <w:spacing w:before="6"/>
        <w:rPr>
          <w:sz w:val="20"/>
        </w:rPr>
      </w:pPr>
    </w:p>
    <w:p>
      <w:pPr>
        <w:pStyle w:val="BodyText"/>
        <w:spacing w:line="278" w:lineRule="auto" w:before="58"/>
        <w:ind w:left="713" w:right="101"/>
        <w:jc w:val="both"/>
      </w:pPr>
      <w:r>
        <w:rPr>
          <w:color w:val="231F20"/>
        </w:rPr>
        <w:t>La información que se presenta a continuación significa la primera evidencia clara de cómo el sector automotriz localizado en el Estado de México ha ido perdiendo dina- mismo. Es decir, ha perdido participación en el mercado en comparación con otras empresas y considerando algunas variables específicas.</w:t>
      </w:r>
    </w:p>
    <w:p>
      <w:pPr>
        <w:pStyle w:val="Heading3"/>
        <w:numPr>
          <w:ilvl w:val="1"/>
          <w:numId w:val="19"/>
        </w:numPr>
        <w:tabs>
          <w:tab w:pos="1128" w:val="left" w:leader="none"/>
        </w:tabs>
        <w:spacing w:line="240" w:lineRule="auto" w:before="172" w:after="0"/>
        <w:ind w:left="1127" w:right="0" w:hanging="414"/>
        <w:jc w:val="both"/>
      </w:pPr>
      <w:r>
        <w:rPr>
          <w:color w:val="231F20"/>
          <w:w w:val="95"/>
        </w:rPr>
        <w:t>Pérdida</w:t>
      </w:r>
      <w:r>
        <w:rPr>
          <w:color w:val="231F20"/>
          <w:spacing w:val="-30"/>
          <w:w w:val="95"/>
        </w:rPr>
        <w:t> </w:t>
      </w:r>
      <w:r>
        <w:rPr>
          <w:color w:val="231F20"/>
          <w:w w:val="95"/>
        </w:rPr>
        <w:t>de</w:t>
      </w:r>
      <w:r>
        <w:rPr>
          <w:color w:val="231F20"/>
          <w:spacing w:val="-30"/>
          <w:w w:val="95"/>
        </w:rPr>
        <w:t> </w:t>
      </w:r>
      <w:r>
        <w:rPr>
          <w:color w:val="231F20"/>
          <w:w w:val="95"/>
        </w:rPr>
        <w:t>dinamismo</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w w:val="95"/>
        </w:rPr>
        <w:t>sector</w:t>
      </w:r>
      <w:r>
        <w:rPr>
          <w:color w:val="231F20"/>
          <w:spacing w:val="-30"/>
          <w:w w:val="95"/>
        </w:rPr>
        <w:t> </w:t>
      </w:r>
      <w:r>
        <w:rPr>
          <w:color w:val="231F20"/>
          <w:w w:val="95"/>
        </w:rPr>
        <w:t>estratégico</w:t>
      </w:r>
    </w:p>
    <w:p>
      <w:pPr>
        <w:pStyle w:val="BodyText"/>
        <w:spacing w:line="278" w:lineRule="auto" w:before="125"/>
        <w:ind w:left="674" w:right="100"/>
        <w:jc w:val="right"/>
      </w:pPr>
      <w:r>
        <w:rPr>
          <w:color w:val="231F20"/>
        </w:rPr>
        <w:t>Como ya se ha </w:t>
      </w:r>
      <w:r>
        <w:rPr>
          <w:color w:val="231F20"/>
          <w:spacing w:val="-3"/>
        </w:rPr>
        <w:t>comentado, </w:t>
      </w:r>
      <w:r>
        <w:rPr>
          <w:color w:val="231F20"/>
        </w:rPr>
        <w:t>la industria </w:t>
      </w:r>
      <w:r>
        <w:rPr>
          <w:color w:val="231F20"/>
          <w:spacing w:val="-3"/>
        </w:rPr>
        <w:t>automotriz </w:t>
      </w:r>
      <w:r>
        <w:rPr>
          <w:color w:val="231F20"/>
        </w:rPr>
        <w:t>mundial ha pasado por</w:t>
      </w:r>
      <w:r>
        <w:rPr>
          <w:color w:val="231F20"/>
          <w:spacing w:val="22"/>
        </w:rPr>
        <w:t> </w:t>
      </w:r>
      <w:r>
        <w:rPr>
          <w:color w:val="231F20"/>
        </w:rPr>
        <w:t>un</w:t>
      </w:r>
      <w:r>
        <w:rPr>
          <w:color w:val="231F20"/>
          <w:spacing w:val="5"/>
        </w:rPr>
        <w:t> </w:t>
      </w:r>
      <w:r>
        <w:rPr>
          <w:color w:val="231F20"/>
        </w:rPr>
        <w:t>proceso</w:t>
      </w:r>
      <w:r>
        <w:rPr>
          <w:color w:val="231F20"/>
          <w:w w:val="102"/>
        </w:rPr>
        <w:t> </w:t>
      </w:r>
      <w:r>
        <w:rPr>
          <w:color w:val="231F20"/>
          <w:spacing w:val="-3"/>
        </w:rPr>
        <w:t>intenso </w:t>
      </w:r>
      <w:r>
        <w:rPr>
          <w:color w:val="231F20"/>
        </w:rPr>
        <w:t>de reestructuración para ser más </w:t>
      </w:r>
      <w:r>
        <w:rPr>
          <w:color w:val="231F20"/>
          <w:spacing w:val="-3"/>
        </w:rPr>
        <w:t>competitiva </w:t>
      </w:r>
      <w:r>
        <w:rPr>
          <w:color w:val="231F20"/>
        </w:rPr>
        <w:t>y </w:t>
      </w:r>
      <w:r>
        <w:rPr>
          <w:color w:val="231F20"/>
          <w:spacing w:val="-3"/>
        </w:rPr>
        <w:t>apropiarse </w:t>
      </w:r>
      <w:r>
        <w:rPr>
          <w:color w:val="231F20"/>
        </w:rPr>
        <w:t>cada vez de</w:t>
      </w:r>
      <w:r>
        <w:rPr>
          <w:color w:val="231F20"/>
          <w:spacing w:val="-5"/>
        </w:rPr>
        <w:t> </w:t>
      </w:r>
      <w:r>
        <w:rPr>
          <w:color w:val="231F20"/>
        </w:rPr>
        <w:t>una</w:t>
      </w:r>
      <w:r>
        <w:rPr>
          <w:color w:val="231F20"/>
          <w:spacing w:val="-2"/>
        </w:rPr>
        <w:t> </w:t>
      </w:r>
      <w:r>
        <w:rPr>
          <w:color w:val="231F20"/>
        </w:rPr>
        <w:t>ma-</w:t>
      </w:r>
      <w:r>
        <w:rPr>
          <w:color w:val="231F20"/>
          <w:w w:val="106"/>
        </w:rPr>
        <w:t> </w:t>
      </w:r>
      <w:r>
        <w:rPr>
          <w:color w:val="231F20"/>
          <w:spacing w:val="-3"/>
        </w:rPr>
        <w:t>yor porción </w:t>
      </w:r>
      <w:r>
        <w:rPr>
          <w:color w:val="231F20"/>
        </w:rPr>
        <w:t>de </w:t>
      </w:r>
      <w:r>
        <w:rPr>
          <w:color w:val="231F20"/>
          <w:spacing w:val="-3"/>
        </w:rPr>
        <w:t>mercado. </w:t>
      </w:r>
      <w:r>
        <w:rPr>
          <w:color w:val="231F20"/>
        </w:rPr>
        <w:t>Este proceso ha resultado en la </w:t>
      </w:r>
      <w:r>
        <w:rPr>
          <w:color w:val="231F20"/>
          <w:spacing w:val="-3"/>
        </w:rPr>
        <w:t>reconfiguración</w:t>
      </w:r>
      <w:r>
        <w:rPr>
          <w:color w:val="231F20"/>
          <w:spacing w:val="9"/>
        </w:rPr>
        <w:t> </w:t>
      </w:r>
      <w:r>
        <w:rPr>
          <w:color w:val="231F20"/>
        </w:rPr>
        <w:t>del</w:t>
      </w:r>
      <w:r>
        <w:rPr>
          <w:color w:val="231F20"/>
          <w:spacing w:val="9"/>
        </w:rPr>
        <w:t> </w:t>
      </w:r>
      <w:r>
        <w:rPr>
          <w:color w:val="231F20"/>
          <w:spacing w:val="-3"/>
        </w:rPr>
        <w:t>mercado</w:t>
      </w:r>
      <w:r>
        <w:rPr>
          <w:color w:val="231F20"/>
          <w:spacing w:val="-2"/>
          <w:w w:val="102"/>
        </w:rPr>
        <w:t> </w:t>
      </w:r>
      <w:r>
        <w:rPr>
          <w:color w:val="231F20"/>
        </w:rPr>
        <w:t>mundial de vehículos y el </w:t>
      </w:r>
      <w:r>
        <w:rPr>
          <w:color w:val="231F20"/>
          <w:spacing w:val="-3"/>
        </w:rPr>
        <w:t>surgimiento </w:t>
      </w:r>
      <w:r>
        <w:rPr>
          <w:color w:val="231F20"/>
        </w:rPr>
        <w:t>de nuevos </w:t>
      </w:r>
      <w:r>
        <w:rPr>
          <w:color w:val="231F20"/>
          <w:spacing w:val="-3"/>
        </w:rPr>
        <w:t>competidores, tanto</w:t>
      </w:r>
      <w:r>
        <w:rPr>
          <w:color w:val="231F20"/>
          <w:spacing w:val="16"/>
        </w:rPr>
        <w:t> </w:t>
      </w:r>
      <w:r>
        <w:rPr>
          <w:color w:val="231F20"/>
        </w:rPr>
        <w:t>a nivel de</w:t>
      </w:r>
      <w:r>
        <w:rPr>
          <w:color w:val="231F20"/>
          <w:spacing w:val="13"/>
        </w:rPr>
        <w:t> </w:t>
      </w:r>
      <w:r>
        <w:rPr>
          <w:color w:val="231F20"/>
        </w:rPr>
        <w:t>país</w:t>
      </w:r>
      <w:r>
        <w:rPr>
          <w:color w:val="231F20"/>
          <w:w w:val="94"/>
        </w:rPr>
        <w:t> </w:t>
      </w:r>
      <w:r>
        <w:rPr>
          <w:color w:val="231F20"/>
        </w:rPr>
        <w:t>como</w:t>
      </w:r>
      <w:r>
        <w:rPr>
          <w:color w:val="231F20"/>
          <w:spacing w:val="-13"/>
        </w:rPr>
        <w:t> </w:t>
      </w:r>
      <w:r>
        <w:rPr>
          <w:color w:val="231F20"/>
        </w:rPr>
        <w:t>a</w:t>
      </w:r>
      <w:r>
        <w:rPr>
          <w:color w:val="231F20"/>
          <w:spacing w:val="-13"/>
        </w:rPr>
        <w:t> </w:t>
      </w:r>
      <w:r>
        <w:rPr>
          <w:color w:val="231F20"/>
        </w:rPr>
        <w:t>nivel</w:t>
      </w:r>
      <w:r>
        <w:rPr>
          <w:color w:val="231F20"/>
          <w:spacing w:val="-13"/>
        </w:rPr>
        <w:t> </w:t>
      </w:r>
      <w:r>
        <w:rPr>
          <w:color w:val="231F20"/>
        </w:rPr>
        <w:t>de</w:t>
      </w:r>
      <w:r>
        <w:rPr>
          <w:color w:val="231F20"/>
          <w:spacing w:val="-13"/>
        </w:rPr>
        <w:t> </w:t>
      </w:r>
      <w:r>
        <w:rPr>
          <w:color w:val="231F20"/>
          <w:spacing w:val="-3"/>
        </w:rPr>
        <w:t>empresa.</w:t>
      </w:r>
      <w:r>
        <w:rPr>
          <w:color w:val="231F20"/>
          <w:spacing w:val="-13"/>
        </w:rPr>
        <w:t> </w:t>
      </w:r>
      <w:r>
        <w:rPr>
          <w:color w:val="231F20"/>
        </w:rPr>
        <w:t>En</w:t>
      </w:r>
      <w:r>
        <w:rPr>
          <w:color w:val="231F20"/>
          <w:spacing w:val="-13"/>
        </w:rPr>
        <w:t> </w:t>
      </w:r>
      <w:r>
        <w:rPr>
          <w:color w:val="231F20"/>
          <w:spacing w:val="-4"/>
        </w:rPr>
        <w:t>México,</w:t>
      </w:r>
      <w:r>
        <w:rPr>
          <w:color w:val="231F20"/>
          <w:spacing w:val="-13"/>
        </w:rPr>
        <w:t> </w:t>
      </w:r>
      <w:r>
        <w:rPr>
          <w:color w:val="231F20"/>
        </w:rPr>
        <w:t>esta</w:t>
      </w:r>
      <w:r>
        <w:rPr>
          <w:color w:val="231F20"/>
          <w:spacing w:val="-13"/>
        </w:rPr>
        <w:t> </w:t>
      </w:r>
      <w:r>
        <w:rPr>
          <w:color w:val="231F20"/>
        </w:rPr>
        <w:t>reestructuración</w:t>
      </w:r>
      <w:r>
        <w:rPr>
          <w:color w:val="231F20"/>
          <w:spacing w:val="-13"/>
        </w:rPr>
        <w:t> </w:t>
      </w:r>
      <w:r>
        <w:rPr>
          <w:color w:val="231F20"/>
        </w:rPr>
        <w:t>se</w:t>
      </w:r>
      <w:r>
        <w:rPr>
          <w:color w:val="231F20"/>
          <w:spacing w:val="-13"/>
        </w:rPr>
        <w:t> </w:t>
      </w:r>
      <w:r>
        <w:rPr>
          <w:color w:val="231F20"/>
        </w:rPr>
        <w:t>materializa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relocali-</w:t>
      </w:r>
      <w:r>
        <w:rPr>
          <w:color w:val="231F20"/>
          <w:w w:val="106"/>
        </w:rPr>
        <w:t> </w:t>
      </w:r>
      <w:r>
        <w:rPr>
          <w:color w:val="231F20"/>
          <w:spacing w:val="-2"/>
        </w:rPr>
        <w:t>zación</w:t>
      </w:r>
      <w:r>
        <w:rPr>
          <w:color w:val="231F20"/>
          <w:spacing w:val="-11"/>
        </w:rPr>
        <w:t> </w:t>
      </w:r>
      <w:r>
        <w:rPr>
          <w:color w:val="231F20"/>
        </w:rPr>
        <w:t>de</w:t>
      </w:r>
      <w:r>
        <w:rPr>
          <w:color w:val="231F20"/>
          <w:spacing w:val="-11"/>
        </w:rPr>
        <w:t> </w:t>
      </w:r>
      <w:r>
        <w:rPr>
          <w:color w:val="231F20"/>
          <w:spacing w:val="-3"/>
        </w:rPr>
        <w:t>plantas</w:t>
      </w:r>
      <w:r>
        <w:rPr>
          <w:color w:val="231F20"/>
          <w:spacing w:val="-11"/>
        </w:rPr>
        <w:t> </w:t>
      </w:r>
      <w:r>
        <w:rPr>
          <w:color w:val="231F20"/>
          <w:spacing w:val="-2"/>
        </w:rPr>
        <w:t>con</w:t>
      </w:r>
      <w:r>
        <w:rPr>
          <w:color w:val="231F20"/>
          <w:spacing w:val="-11"/>
        </w:rPr>
        <w:t> </w:t>
      </w:r>
      <w:r>
        <w:rPr>
          <w:color w:val="231F20"/>
        </w:rPr>
        <w:t>mejores</w:t>
      </w:r>
      <w:r>
        <w:rPr>
          <w:color w:val="231F20"/>
          <w:spacing w:val="-11"/>
        </w:rPr>
        <w:t> </w:t>
      </w:r>
      <w:r>
        <w:rPr>
          <w:color w:val="231F20"/>
          <w:spacing w:val="-3"/>
        </w:rPr>
        <w:t>condiciones</w:t>
      </w:r>
      <w:r>
        <w:rPr>
          <w:color w:val="231F20"/>
          <w:spacing w:val="-11"/>
        </w:rPr>
        <w:t> </w:t>
      </w:r>
      <w:r>
        <w:rPr>
          <w:color w:val="231F20"/>
        </w:rPr>
        <w:t>tecnológicas,</w:t>
      </w:r>
      <w:r>
        <w:rPr>
          <w:color w:val="231F20"/>
          <w:spacing w:val="-11"/>
        </w:rPr>
        <w:t> </w:t>
      </w:r>
      <w:r>
        <w:rPr>
          <w:color w:val="231F20"/>
        </w:rPr>
        <w:t>de</w:t>
      </w:r>
      <w:r>
        <w:rPr>
          <w:color w:val="231F20"/>
          <w:spacing w:val="-11"/>
        </w:rPr>
        <w:t> </w:t>
      </w:r>
      <w:r>
        <w:rPr>
          <w:color w:val="231F20"/>
          <w:spacing w:val="-3"/>
        </w:rPr>
        <w:t>ubicación,</w:t>
      </w:r>
      <w:r>
        <w:rPr>
          <w:color w:val="231F20"/>
          <w:spacing w:val="-11"/>
        </w:rPr>
        <w:t> </w:t>
      </w:r>
      <w:r>
        <w:rPr>
          <w:color w:val="231F20"/>
        </w:rPr>
        <w:t>de</w:t>
      </w:r>
      <w:r>
        <w:rPr>
          <w:color w:val="231F20"/>
          <w:spacing w:val="-11"/>
        </w:rPr>
        <w:t> </w:t>
      </w:r>
      <w:r>
        <w:rPr>
          <w:color w:val="231F20"/>
        </w:rPr>
        <w:t>mano</w:t>
      </w:r>
      <w:r>
        <w:rPr>
          <w:color w:val="231F20"/>
          <w:spacing w:val="-11"/>
        </w:rPr>
        <w:t> </w:t>
      </w:r>
      <w:r>
        <w:rPr>
          <w:color w:val="231F20"/>
        </w:rPr>
        <w:t>de</w:t>
      </w:r>
      <w:r>
        <w:rPr>
          <w:color w:val="231F20"/>
          <w:spacing w:val="-11"/>
        </w:rPr>
        <w:t> </w:t>
      </w:r>
      <w:r>
        <w:rPr>
          <w:color w:val="231F20"/>
          <w:spacing w:val="-3"/>
        </w:rPr>
        <w:t>obra,</w:t>
      </w:r>
      <w:r>
        <w:rPr>
          <w:color w:val="231F20"/>
          <w:spacing w:val="-2"/>
          <w:w w:val="101"/>
        </w:rPr>
        <w:t> </w:t>
      </w:r>
      <w:r>
        <w:rPr>
          <w:color w:val="231F20"/>
        </w:rPr>
        <w:t>etcétera.</w:t>
      </w:r>
      <w:r>
        <w:rPr>
          <w:color w:val="231F20"/>
          <w:spacing w:val="-13"/>
        </w:rPr>
        <w:t> </w:t>
      </w:r>
      <w:r>
        <w:rPr>
          <w:color w:val="231F20"/>
        </w:rPr>
        <w:t>En</w:t>
      </w:r>
      <w:r>
        <w:rPr>
          <w:color w:val="231F20"/>
          <w:spacing w:val="-13"/>
        </w:rPr>
        <w:t> </w:t>
      </w:r>
      <w:r>
        <w:rPr>
          <w:color w:val="231F20"/>
        </w:rPr>
        <w:t>esta</w:t>
      </w:r>
      <w:r>
        <w:rPr>
          <w:color w:val="231F20"/>
          <w:spacing w:val="-13"/>
        </w:rPr>
        <w:t> </w:t>
      </w:r>
      <w:r>
        <w:rPr>
          <w:color w:val="231F20"/>
        </w:rPr>
        <w:t>lógica,</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spacing w:val="-3"/>
        </w:rPr>
        <w:t>automotriz</w:t>
      </w:r>
      <w:r>
        <w:rPr>
          <w:color w:val="231F20"/>
          <w:spacing w:val="-13"/>
        </w:rPr>
        <w:t> </w:t>
      </w:r>
      <w:r>
        <w:rPr>
          <w:color w:val="231F20"/>
        </w:rPr>
        <w:t>del</w:t>
      </w:r>
      <w:r>
        <w:rPr>
          <w:color w:val="231F20"/>
          <w:spacing w:val="-13"/>
        </w:rPr>
        <w:t> </w:t>
      </w:r>
      <w:r>
        <w:rPr>
          <w:color w:val="231F20"/>
        </w:rPr>
        <w:t>Estado</w:t>
      </w:r>
      <w:r>
        <w:rPr>
          <w:color w:val="231F20"/>
          <w:spacing w:val="-13"/>
        </w:rPr>
        <w:t> </w:t>
      </w:r>
      <w:r>
        <w:rPr>
          <w:color w:val="231F20"/>
        </w:rPr>
        <w:t>de</w:t>
      </w:r>
      <w:r>
        <w:rPr>
          <w:color w:val="231F20"/>
          <w:spacing w:val="-13"/>
        </w:rPr>
        <w:t> </w:t>
      </w:r>
      <w:r>
        <w:rPr>
          <w:color w:val="231F20"/>
          <w:spacing w:val="-3"/>
        </w:rPr>
        <w:t>México</w:t>
      </w:r>
      <w:r>
        <w:rPr>
          <w:color w:val="231F20"/>
          <w:spacing w:val="-13"/>
        </w:rPr>
        <w:t> </w:t>
      </w:r>
      <w:r>
        <w:rPr>
          <w:color w:val="231F20"/>
        </w:rPr>
        <w:t>ha</w:t>
      </w:r>
      <w:r>
        <w:rPr>
          <w:color w:val="231F20"/>
          <w:spacing w:val="-13"/>
        </w:rPr>
        <w:t> </w:t>
      </w:r>
      <w:r>
        <w:rPr>
          <w:color w:val="231F20"/>
        </w:rPr>
        <w:t>visto</w:t>
      </w:r>
      <w:r>
        <w:rPr>
          <w:color w:val="231F20"/>
          <w:spacing w:val="-13"/>
        </w:rPr>
        <w:t> </w:t>
      </w:r>
      <w:r>
        <w:rPr>
          <w:color w:val="231F20"/>
          <w:spacing w:val="-3"/>
        </w:rPr>
        <w:t>disminuir</w:t>
      </w:r>
      <w:r>
        <w:rPr>
          <w:color w:val="231F20"/>
          <w:spacing w:val="-2"/>
          <w:w w:val="105"/>
        </w:rPr>
        <w:t> </w:t>
      </w:r>
      <w:r>
        <w:rPr>
          <w:color w:val="231F20"/>
        </w:rPr>
        <w:t>su ritmo de </w:t>
      </w:r>
      <w:r>
        <w:rPr>
          <w:color w:val="231F20"/>
          <w:spacing w:val="-3"/>
        </w:rPr>
        <w:t>crecimiento, </w:t>
      </w:r>
      <w:r>
        <w:rPr>
          <w:color w:val="231F20"/>
        </w:rPr>
        <w:t>lo cual se evidencia </w:t>
      </w:r>
      <w:r>
        <w:rPr>
          <w:color w:val="231F20"/>
          <w:spacing w:val="-3"/>
        </w:rPr>
        <w:t>claramente </w:t>
      </w:r>
      <w:r>
        <w:rPr>
          <w:color w:val="231F20"/>
          <w:spacing w:val="-2"/>
        </w:rPr>
        <w:t>con </w:t>
      </w:r>
      <w:r>
        <w:rPr>
          <w:color w:val="231F20"/>
        </w:rPr>
        <w:t>la</w:t>
      </w:r>
      <w:r>
        <w:rPr>
          <w:color w:val="231F20"/>
          <w:spacing w:val="-34"/>
        </w:rPr>
        <w:t> </w:t>
      </w:r>
      <w:r>
        <w:rPr>
          <w:color w:val="231F20"/>
          <w:spacing w:val="-3"/>
        </w:rPr>
        <w:t>información</w:t>
      </w:r>
      <w:r>
        <w:rPr>
          <w:color w:val="231F20"/>
          <w:spacing w:val="-4"/>
        </w:rPr>
        <w:t> </w:t>
      </w:r>
      <w:r>
        <w:rPr>
          <w:color w:val="231F20"/>
          <w:spacing w:val="-3"/>
        </w:rPr>
        <w:t>disponible.</w:t>
      </w:r>
      <w:r>
        <w:rPr>
          <w:color w:val="231F20"/>
          <w:w w:val="91"/>
        </w:rPr>
        <w:t> </w:t>
      </w:r>
      <w:r>
        <w:rPr>
          <w:color w:val="231F20"/>
        </w:rPr>
        <w:t>A</w:t>
      </w:r>
      <w:r>
        <w:rPr>
          <w:color w:val="231F20"/>
          <w:spacing w:val="-14"/>
        </w:rPr>
        <w:t> </w:t>
      </w:r>
      <w:r>
        <w:rPr>
          <w:color w:val="231F20"/>
        </w:rPr>
        <w:t>partir</w:t>
      </w:r>
      <w:r>
        <w:rPr>
          <w:color w:val="231F20"/>
          <w:spacing w:val="-14"/>
        </w:rPr>
        <w:t> </w:t>
      </w:r>
      <w:r>
        <w:rPr>
          <w:color w:val="231F20"/>
        </w:rPr>
        <w:t>de</w:t>
      </w:r>
      <w:r>
        <w:rPr>
          <w:color w:val="231F20"/>
          <w:spacing w:val="-14"/>
        </w:rPr>
        <w:t> </w:t>
      </w:r>
      <w:r>
        <w:rPr>
          <w:color w:val="231F20"/>
        </w:rPr>
        <w:t>1998</w:t>
      </w:r>
      <w:r>
        <w:rPr>
          <w:color w:val="231F20"/>
          <w:spacing w:val="-14"/>
        </w:rPr>
        <w:t> </w:t>
      </w:r>
      <w:r>
        <w:rPr>
          <w:color w:val="231F20"/>
        </w:rPr>
        <w:t>se</w:t>
      </w:r>
      <w:r>
        <w:rPr>
          <w:color w:val="231F20"/>
          <w:spacing w:val="-14"/>
        </w:rPr>
        <w:t> </w:t>
      </w:r>
      <w:r>
        <w:rPr>
          <w:color w:val="231F20"/>
        </w:rPr>
        <w:t>han</w:t>
      </w:r>
      <w:r>
        <w:rPr>
          <w:color w:val="231F20"/>
          <w:spacing w:val="-14"/>
        </w:rPr>
        <w:t> </w:t>
      </w:r>
      <w:r>
        <w:rPr>
          <w:color w:val="231F20"/>
        </w:rPr>
        <w:t>reducido</w:t>
      </w:r>
      <w:r>
        <w:rPr>
          <w:color w:val="231F20"/>
          <w:spacing w:val="-14"/>
        </w:rPr>
        <w:t> </w:t>
      </w:r>
      <w:r>
        <w:rPr>
          <w:color w:val="231F20"/>
        </w:rPr>
        <w:t>de</w:t>
      </w:r>
      <w:r>
        <w:rPr>
          <w:color w:val="231F20"/>
          <w:spacing w:val="-14"/>
        </w:rPr>
        <w:t> </w:t>
      </w:r>
      <w:r>
        <w:rPr>
          <w:color w:val="231F20"/>
        </w:rPr>
        <w:t>manera</w:t>
      </w:r>
      <w:r>
        <w:rPr>
          <w:color w:val="231F20"/>
          <w:spacing w:val="-14"/>
        </w:rPr>
        <w:t> </w:t>
      </w:r>
      <w:r>
        <w:rPr>
          <w:color w:val="231F20"/>
        </w:rPr>
        <w:t>considerable</w:t>
      </w:r>
      <w:r>
        <w:rPr>
          <w:color w:val="231F20"/>
          <w:spacing w:val="-14"/>
        </w:rPr>
        <w:t> </w:t>
      </w:r>
      <w:r>
        <w:rPr>
          <w:color w:val="231F20"/>
        </w:rPr>
        <w:t>sus</w:t>
      </w:r>
      <w:r>
        <w:rPr>
          <w:color w:val="231F20"/>
          <w:spacing w:val="-14"/>
        </w:rPr>
        <w:t> </w:t>
      </w:r>
      <w:r>
        <w:rPr>
          <w:color w:val="231F20"/>
        </w:rPr>
        <w:t>unidades</w:t>
      </w:r>
      <w:r>
        <w:rPr>
          <w:color w:val="231F20"/>
          <w:spacing w:val="-14"/>
        </w:rPr>
        <w:t> </w:t>
      </w:r>
      <w:r>
        <w:rPr>
          <w:color w:val="231F20"/>
        </w:rPr>
        <w:t>económicas</w:t>
      </w:r>
      <w:r>
        <w:rPr>
          <w:color w:val="231F20"/>
          <w:w w:val="94"/>
        </w:rPr>
        <w:t> </w:t>
      </w:r>
      <w:r>
        <w:rPr>
          <w:color w:val="231F20"/>
        </w:rPr>
        <w:t>(que</w:t>
      </w:r>
      <w:r>
        <w:rPr>
          <w:color w:val="231F20"/>
          <w:spacing w:val="-7"/>
        </w:rPr>
        <w:t> </w:t>
      </w:r>
      <w:r>
        <w:rPr>
          <w:color w:val="231F20"/>
        </w:rPr>
        <w:t>se</w:t>
      </w:r>
      <w:r>
        <w:rPr>
          <w:color w:val="231F20"/>
          <w:spacing w:val="-7"/>
        </w:rPr>
        <w:t> </w:t>
      </w:r>
      <w:r>
        <w:rPr>
          <w:color w:val="231F20"/>
        </w:rPr>
        <w:t>refieren</w:t>
      </w:r>
      <w:r>
        <w:rPr>
          <w:color w:val="231F20"/>
          <w:spacing w:val="-7"/>
        </w:rPr>
        <w:t> </w:t>
      </w:r>
      <w:r>
        <w:rPr>
          <w:color w:val="231F20"/>
        </w:rPr>
        <w:t>a</w:t>
      </w:r>
      <w:r>
        <w:rPr>
          <w:color w:val="231F20"/>
          <w:spacing w:val="-7"/>
        </w:rPr>
        <w:t> </w:t>
      </w:r>
      <w:r>
        <w:rPr>
          <w:color w:val="231F20"/>
        </w:rPr>
        <w:t>la</w:t>
      </w:r>
      <w:r>
        <w:rPr>
          <w:color w:val="231F20"/>
          <w:spacing w:val="-7"/>
        </w:rPr>
        <w:t> </w:t>
      </w:r>
      <w:r>
        <w:rPr>
          <w:color w:val="231F20"/>
        </w:rPr>
        <w:t>instalación</w:t>
      </w:r>
      <w:r>
        <w:rPr>
          <w:color w:val="231F20"/>
          <w:spacing w:val="-7"/>
        </w:rPr>
        <w:t> </w:t>
      </w:r>
      <w:r>
        <w:rPr>
          <w:color w:val="231F20"/>
        </w:rPr>
        <w:t>de</w:t>
      </w:r>
      <w:r>
        <w:rPr>
          <w:color w:val="231F20"/>
          <w:spacing w:val="-7"/>
        </w:rPr>
        <w:t> </w:t>
      </w:r>
      <w:r>
        <w:rPr>
          <w:color w:val="231F20"/>
        </w:rPr>
        <w:t>empresas</w:t>
      </w:r>
      <w:r>
        <w:rPr>
          <w:color w:val="231F20"/>
          <w:spacing w:val="-7"/>
        </w:rPr>
        <w:t> </w:t>
      </w:r>
      <w:r>
        <w:rPr>
          <w:color w:val="231F20"/>
        </w:rPr>
        <w:t>relacionadas</w:t>
      </w:r>
      <w:r>
        <w:rPr>
          <w:color w:val="231F20"/>
          <w:spacing w:val="-7"/>
        </w:rPr>
        <w:t> </w:t>
      </w:r>
      <w:r>
        <w:rPr>
          <w:color w:val="231F20"/>
        </w:rPr>
        <w:t>con</w:t>
      </w:r>
      <w:r>
        <w:rPr>
          <w:color w:val="231F20"/>
          <w:spacing w:val="-7"/>
        </w:rPr>
        <w:t> </w:t>
      </w:r>
      <w:r>
        <w:rPr>
          <w:color w:val="231F20"/>
        </w:rPr>
        <w:t>la</w:t>
      </w:r>
      <w:r>
        <w:rPr>
          <w:color w:val="231F20"/>
          <w:spacing w:val="-7"/>
        </w:rPr>
        <w:t> </w:t>
      </w:r>
      <w:r>
        <w:rPr>
          <w:color w:val="231F20"/>
        </w:rPr>
        <w:t>industria</w:t>
      </w:r>
      <w:r>
        <w:rPr>
          <w:color w:val="231F20"/>
          <w:spacing w:val="-7"/>
        </w:rPr>
        <w:t> </w:t>
      </w:r>
      <w:r>
        <w:rPr>
          <w:color w:val="231F20"/>
        </w:rPr>
        <w:t>automotriz</w:t>
      </w:r>
      <w:r>
        <w:rPr>
          <w:color w:val="231F20"/>
          <w:spacing w:val="-7"/>
        </w:rPr>
        <w:t> </w:t>
      </w:r>
      <w:r>
        <w:rPr>
          <w:color w:val="231F20"/>
        </w:rPr>
        <w:t>y</w:t>
      </w:r>
      <w:r>
        <w:rPr>
          <w:color w:val="231F20"/>
          <w:w w:val="91"/>
        </w:rPr>
        <w:t> </w:t>
      </w:r>
      <w:r>
        <w:rPr>
          <w:color w:val="231F20"/>
        </w:rPr>
        <w:t>de autopartes) (véase gráfica </w:t>
      </w:r>
      <w:r>
        <w:rPr>
          <w:color w:val="231F20"/>
          <w:spacing w:val="-6"/>
        </w:rPr>
        <w:t>IV.4). </w:t>
      </w:r>
      <w:r>
        <w:rPr>
          <w:color w:val="231F20"/>
        </w:rPr>
        <w:t>Esta tendencia se podría explicar por</w:t>
      </w:r>
      <w:r>
        <w:rPr>
          <w:color w:val="231F20"/>
          <w:spacing w:val="14"/>
        </w:rPr>
        <w:t> </w:t>
      </w:r>
      <w:r>
        <w:rPr>
          <w:color w:val="231F20"/>
        </w:rPr>
        <w:t>dos razones:</w:t>
      </w:r>
      <w:r>
        <w:rPr>
          <w:color w:val="231F20"/>
          <w:w w:val="91"/>
        </w:rPr>
        <w:t> </w:t>
      </w:r>
      <w:r>
        <w:rPr>
          <w:color w:val="231F20"/>
        </w:rPr>
        <w:t>la</w:t>
      </w:r>
      <w:r>
        <w:rPr>
          <w:color w:val="231F20"/>
          <w:spacing w:val="18"/>
        </w:rPr>
        <w:t> </w:t>
      </w:r>
      <w:r>
        <w:rPr>
          <w:color w:val="231F20"/>
        </w:rPr>
        <w:t>primera,</w:t>
      </w:r>
      <w:r>
        <w:rPr>
          <w:color w:val="231F20"/>
          <w:spacing w:val="18"/>
        </w:rPr>
        <w:t> </w:t>
      </w:r>
      <w:r>
        <w:rPr>
          <w:color w:val="231F20"/>
        </w:rPr>
        <w:t>que</w:t>
      </w:r>
      <w:r>
        <w:rPr>
          <w:color w:val="231F20"/>
          <w:spacing w:val="18"/>
        </w:rPr>
        <w:t> </w:t>
      </w:r>
      <w:r>
        <w:rPr>
          <w:color w:val="231F20"/>
        </w:rPr>
        <w:t>la</w:t>
      </w:r>
      <w:r>
        <w:rPr>
          <w:color w:val="231F20"/>
          <w:spacing w:val="18"/>
        </w:rPr>
        <w:t> </w:t>
      </w:r>
      <w:r>
        <w:rPr>
          <w:color w:val="231F20"/>
        </w:rPr>
        <w:t>producción</w:t>
      </w:r>
      <w:r>
        <w:rPr>
          <w:color w:val="231F20"/>
          <w:spacing w:val="18"/>
        </w:rPr>
        <w:t> </w:t>
      </w:r>
      <w:r>
        <w:rPr>
          <w:color w:val="231F20"/>
        </w:rPr>
        <w:t>de</w:t>
      </w:r>
      <w:r>
        <w:rPr>
          <w:color w:val="231F20"/>
          <w:spacing w:val="18"/>
        </w:rPr>
        <w:t> </w:t>
      </w:r>
      <w:r>
        <w:rPr>
          <w:color w:val="231F20"/>
        </w:rPr>
        <w:t>vehículos</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industrial</w:t>
      </w:r>
      <w:r>
        <w:rPr>
          <w:color w:val="231F20"/>
          <w:spacing w:val="18"/>
        </w:rPr>
        <w:t> </w:t>
      </w:r>
      <w:r>
        <w:rPr>
          <w:color w:val="231F20"/>
        </w:rPr>
        <w:t>terminal</w:t>
      </w:r>
      <w:r>
        <w:rPr>
          <w:color w:val="231F20"/>
          <w:spacing w:val="18"/>
        </w:rPr>
        <w:t> </w:t>
      </w:r>
      <w:r>
        <w:rPr>
          <w:color w:val="231F20"/>
        </w:rPr>
        <w:t>ha</w:t>
      </w:r>
      <w:r>
        <w:rPr>
          <w:color w:val="231F20"/>
          <w:spacing w:val="18"/>
        </w:rPr>
        <w:t> </w:t>
      </w:r>
      <w:r>
        <w:rPr>
          <w:color w:val="231F20"/>
        </w:rPr>
        <w:t>disminuido</w:t>
      </w:r>
      <w:r>
        <w:rPr>
          <w:color w:val="231F20"/>
          <w:w w:val="103"/>
        </w:rPr>
        <w:t> </w:t>
      </w:r>
      <w:r>
        <w:rPr>
          <w:color w:val="231F20"/>
        </w:rPr>
        <w:t>de</w:t>
      </w:r>
      <w:r>
        <w:rPr>
          <w:color w:val="231F20"/>
          <w:spacing w:val="18"/>
        </w:rPr>
        <w:t> </w:t>
      </w:r>
      <w:r>
        <w:rPr>
          <w:color w:val="231F20"/>
        </w:rPr>
        <w:t>manera</w:t>
      </w:r>
      <w:r>
        <w:rPr>
          <w:color w:val="231F20"/>
          <w:spacing w:val="18"/>
        </w:rPr>
        <w:t> </w:t>
      </w:r>
      <w:r>
        <w:rPr>
          <w:color w:val="231F20"/>
        </w:rPr>
        <w:t>importante</w:t>
      </w:r>
      <w:r>
        <w:rPr>
          <w:color w:val="231F20"/>
          <w:spacing w:val="18"/>
        </w:rPr>
        <w:t> </w:t>
      </w:r>
      <w:r>
        <w:rPr>
          <w:color w:val="231F20"/>
        </w:rPr>
        <w:t>en</w:t>
      </w:r>
      <w:r>
        <w:rPr>
          <w:color w:val="231F20"/>
          <w:spacing w:val="18"/>
        </w:rPr>
        <w:t> </w:t>
      </w:r>
      <w:r>
        <w:rPr>
          <w:color w:val="231F20"/>
        </w:rPr>
        <w:t>los</w:t>
      </w:r>
      <w:r>
        <w:rPr>
          <w:color w:val="231F20"/>
          <w:spacing w:val="18"/>
        </w:rPr>
        <w:t> </w:t>
      </w:r>
      <w:r>
        <w:rPr>
          <w:color w:val="231F20"/>
        </w:rPr>
        <w:t>últimos</w:t>
      </w:r>
      <w:r>
        <w:rPr>
          <w:color w:val="231F20"/>
          <w:spacing w:val="18"/>
        </w:rPr>
        <w:t> </w:t>
      </w:r>
      <w:r>
        <w:rPr>
          <w:color w:val="231F20"/>
        </w:rPr>
        <w:t>años</w:t>
      </w:r>
      <w:r>
        <w:rPr>
          <w:color w:val="231F20"/>
          <w:spacing w:val="18"/>
        </w:rPr>
        <w:t> </w:t>
      </w:r>
      <w:r>
        <w:rPr>
          <w:color w:val="231F20"/>
        </w:rPr>
        <w:t>(como</w:t>
      </w:r>
      <w:r>
        <w:rPr>
          <w:color w:val="231F20"/>
          <w:spacing w:val="18"/>
        </w:rPr>
        <w:t> </w:t>
      </w:r>
      <w:r>
        <w:rPr>
          <w:color w:val="231F20"/>
        </w:rPr>
        <w:t>se</w:t>
      </w:r>
      <w:r>
        <w:rPr>
          <w:color w:val="231F20"/>
          <w:spacing w:val="18"/>
        </w:rPr>
        <w:t> </w:t>
      </w:r>
      <w:r>
        <w:rPr>
          <w:color w:val="231F20"/>
        </w:rPr>
        <w:t>ha</w:t>
      </w:r>
      <w:r>
        <w:rPr>
          <w:color w:val="231F20"/>
          <w:spacing w:val="18"/>
        </w:rPr>
        <w:t> </w:t>
      </w:r>
      <w:r>
        <w:rPr>
          <w:color w:val="231F20"/>
        </w:rPr>
        <w:t>comentado</w:t>
      </w:r>
      <w:r>
        <w:rPr>
          <w:color w:val="231F20"/>
          <w:spacing w:val="18"/>
        </w:rPr>
        <w:t> </w:t>
      </w:r>
      <w:r>
        <w:rPr>
          <w:color w:val="231F20"/>
        </w:rPr>
        <w:t>previamente),</w:t>
      </w:r>
      <w:r>
        <w:rPr>
          <w:color w:val="231F20"/>
          <w:spacing w:val="18"/>
        </w:rPr>
        <w:t> </w:t>
      </w:r>
      <w:r>
        <w:rPr>
          <w:color w:val="231F20"/>
        </w:rPr>
        <w:t>lo</w:t>
      </w:r>
      <w:r>
        <w:rPr>
          <w:color w:val="231F20"/>
          <w:w w:val="98"/>
        </w:rPr>
        <w:t> </w:t>
      </w:r>
      <w:r>
        <w:rPr>
          <w:color w:val="231F20"/>
        </w:rPr>
        <w:t>cual</w:t>
      </w:r>
      <w:r>
        <w:rPr>
          <w:color w:val="231F20"/>
          <w:spacing w:val="14"/>
        </w:rPr>
        <w:t> </w:t>
      </w:r>
      <w:r>
        <w:rPr>
          <w:color w:val="231F20"/>
        </w:rPr>
        <w:t>ha</w:t>
      </w:r>
      <w:r>
        <w:rPr>
          <w:color w:val="231F20"/>
          <w:spacing w:val="14"/>
        </w:rPr>
        <w:t> </w:t>
      </w:r>
      <w:r>
        <w:rPr>
          <w:color w:val="231F20"/>
        </w:rPr>
        <w:t>obligado</w:t>
      </w:r>
      <w:r>
        <w:rPr>
          <w:color w:val="231F20"/>
          <w:spacing w:val="14"/>
        </w:rPr>
        <w:t> </w:t>
      </w:r>
      <w:r>
        <w:rPr>
          <w:color w:val="231F20"/>
        </w:rPr>
        <w:t>al</w:t>
      </w:r>
      <w:r>
        <w:rPr>
          <w:color w:val="231F20"/>
          <w:spacing w:val="14"/>
        </w:rPr>
        <w:t> </w:t>
      </w:r>
      <w:r>
        <w:rPr>
          <w:color w:val="231F20"/>
        </w:rPr>
        <w:t>cierre</w:t>
      </w:r>
      <w:r>
        <w:rPr>
          <w:color w:val="231F20"/>
          <w:spacing w:val="14"/>
        </w:rPr>
        <w:t> </w:t>
      </w:r>
      <w:r>
        <w:rPr>
          <w:color w:val="231F20"/>
        </w:rPr>
        <w:t>de</w:t>
      </w:r>
      <w:r>
        <w:rPr>
          <w:color w:val="231F20"/>
          <w:spacing w:val="14"/>
        </w:rPr>
        <w:t> </w:t>
      </w:r>
      <w:r>
        <w:rPr>
          <w:color w:val="231F20"/>
        </w:rPr>
        <w:t>empresas</w:t>
      </w:r>
      <w:r>
        <w:rPr>
          <w:color w:val="231F20"/>
          <w:spacing w:val="14"/>
        </w:rPr>
        <w:t> </w:t>
      </w:r>
      <w:r>
        <w:rPr>
          <w:color w:val="231F20"/>
        </w:rPr>
        <w:t>de</w:t>
      </w:r>
      <w:r>
        <w:rPr>
          <w:color w:val="231F20"/>
          <w:spacing w:val="14"/>
        </w:rPr>
        <w:t> </w:t>
      </w:r>
      <w:r>
        <w:rPr>
          <w:color w:val="231F20"/>
        </w:rPr>
        <w:t>autopartes,</w:t>
      </w:r>
      <w:r>
        <w:rPr>
          <w:color w:val="231F20"/>
          <w:spacing w:val="14"/>
        </w:rPr>
        <w:t> </w:t>
      </w:r>
      <w:r>
        <w:rPr>
          <w:color w:val="231F20"/>
        </w:rPr>
        <w:t>o</w:t>
      </w:r>
      <w:r>
        <w:rPr>
          <w:color w:val="231F20"/>
          <w:spacing w:val="14"/>
        </w:rPr>
        <w:t> </w:t>
      </w:r>
      <w:r>
        <w:rPr>
          <w:color w:val="231F20"/>
        </w:rPr>
        <w:t>que</w:t>
      </w:r>
      <w:r>
        <w:rPr>
          <w:color w:val="231F20"/>
          <w:spacing w:val="14"/>
        </w:rPr>
        <w:t> </w:t>
      </w:r>
      <w:r>
        <w:rPr>
          <w:color w:val="231F20"/>
        </w:rPr>
        <w:t>cada</w:t>
      </w:r>
      <w:r>
        <w:rPr>
          <w:color w:val="231F20"/>
          <w:spacing w:val="14"/>
        </w:rPr>
        <w:t> </w:t>
      </w:r>
      <w:r>
        <w:rPr>
          <w:color w:val="231F20"/>
        </w:rPr>
        <w:t>vez</w:t>
      </w:r>
      <w:r>
        <w:rPr>
          <w:color w:val="231F20"/>
          <w:spacing w:val="14"/>
        </w:rPr>
        <w:t> </w:t>
      </w:r>
      <w:r>
        <w:rPr>
          <w:color w:val="231F20"/>
        </w:rPr>
        <w:t>la</w:t>
      </w:r>
      <w:r>
        <w:rPr>
          <w:color w:val="231F20"/>
          <w:spacing w:val="14"/>
        </w:rPr>
        <w:t> </w:t>
      </w:r>
      <w:r>
        <w:rPr>
          <w:color w:val="231F20"/>
        </w:rPr>
        <w:t>industria</w:t>
      </w:r>
      <w:r>
        <w:rPr>
          <w:color w:val="231F20"/>
          <w:spacing w:val="14"/>
        </w:rPr>
        <w:t> </w:t>
      </w:r>
      <w:r>
        <w:rPr>
          <w:color w:val="231F20"/>
        </w:rPr>
        <w:t>de</w:t>
      </w:r>
      <w:r>
        <w:rPr>
          <w:color w:val="231F20"/>
          <w:w w:val="100"/>
        </w:rPr>
        <w:t> </w:t>
      </w:r>
      <w:r>
        <w:rPr>
          <w:color w:val="231F20"/>
        </w:rPr>
        <w:t>autopartes se está afianzando de tal forma que está absorbiendo a</w:t>
      </w:r>
      <w:r>
        <w:rPr>
          <w:color w:val="231F20"/>
          <w:spacing w:val="-6"/>
        </w:rPr>
        <w:t> </w:t>
      </w:r>
      <w:r>
        <w:rPr>
          <w:color w:val="231F20"/>
        </w:rPr>
        <w:t>pequeñas</w:t>
      </w:r>
      <w:r>
        <w:rPr>
          <w:color w:val="231F20"/>
          <w:spacing w:val="-1"/>
        </w:rPr>
        <w:t> </w:t>
      </w:r>
      <w:r>
        <w:rPr>
          <w:color w:val="231F20"/>
        </w:rPr>
        <w:t>empresas,</w:t>
      </w:r>
      <w:r>
        <w:rPr>
          <w:color w:val="231F20"/>
          <w:w w:val="93"/>
        </w:rPr>
        <w:t> </w:t>
      </w:r>
      <w:r>
        <w:rPr>
          <w:color w:val="231F20"/>
        </w:rPr>
        <w:t>lo</w:t>
      </w:r>
      <w:r>
        <w:rPr>
          <w:color w:val="231F20"/>
          <w:spacing w:val="-5"/>
        </w:rPr>
        <w:t> </w:t>
      </w:r>
      <w:r>
        <w:rPr>
          <w:color w:val="231F20"/>
        </w:rPr>
        <w:t>que</w:t>
      </w:r>
      <w:r>
        <w:rPr>
          <w:color w:val="231F20"/>
          <w:spacing w:val="-5"/>
        </w:rPr>
        <w:t> </w:t>
      </w:r>
      <w:r>
        <w:rPr>
          <w:color w:val="231F20"/>
        </w:rPr>
        <w:t>supondría</w:t>
      </w:r>
      <w:r>
        <w:rPr>
          <w:color w:val="231F20"/>
          <w:spacing w:val="-5"/>
        </w:rPr>
        <w:t> </w:t>
      </w:r>
      <w:r>
        <w:rPr>
          <w:color w:val="231F20"/>
        </w:rPr>
        <w:t>problemas</w:t>
      </w:r>
      <w:r>
        <w:rPr>
          <w:color w:val="231F20"/>
          <w:spacing w:val="-5"/>
        </w:rPr>
        <w:t> </w:t>
      </w:r>
      <w:r>
        <w:rPr>
          <w:color w:val="231F20"/>
        </w:rPr>
        <w:t>de</w:t>
      </w:r>
      <w:r>
        <w:rPr>
          <w:color w:val="231F20"/>
          <w:spacing w:val="-5"/>
        </w:rPr>
        <w:t> </w:t>
      </w:r>
      <w:r>
        <w:rPr>
          <w:color w:val="231F20"/>
        </w:rPr>
        <w:t>competitividad</w:t>
      </w:r>
      <w:r>
        <w:rPr>
          <w:color w:val="231F20"/>
          <w:spacing w:val="-5"/>
        </w:rPr>
        <w:t> </w:t>
      </w:r>
      <w:r>
        <w:rPr>
          <w:color w:val="231F20"/>
        </w:rPr>
        <w:t>para</w:t>
      </w:r>
      <w:r>
        <w:rPr>
          <w:color w:val="231F20"/>
          <w:spacing w:val="-5"/>
        </w:rPr>
        <w:t> </w:t>
      </w:r>
      <w:r>
        <w:rPr>
          <w:color w:val="231F20"/>
        </w:rPr>
        <w:t>las</w:t>
      </w:r>
      <w:r>
        <w:rPr>
          <w:color w:val="231F20"/>
          <w:spacing w:val="-5"/>
        </w:rPr>
        <w:t> </w:t>
      </w:r>
      <w:r>
        <w:rPr>
          <w:color w:val="231F20"/>
        </w:rPr>
        <w:t>más</w:t>
      </w:r>
      <w:r>
        <w:rPr>
          <w:color w:val="231F20"/>
          <w:spacing w:val="-5"/>
        </w:rPr>
        <w:t> </w:t>
      </w:r>
      <w:r>
        <w:rPr>
          <w:color w:val="231F20"/>
        </w:rPr>
        <w:t>pequeñas;</w:t>
      </w:r>
      <w:r>
        <w:rPr>
          <w:color w:val="231F20"/>
          <w:spacing w:val="-5"/>
        </w:rPr>
        <w:t> </w:t>
      </w:r>
      <w:r>
        <w:rPr>
          <w:color w:val="231F20"/>
        </w:rPr>
        <w:t>la</w:t>
      </w:r>
      <w:r>
        <w:rPr>
          <w:color w:val="231F20"/>
          <w:spacing w:val="-5"/>
        </w:rPr>
        <w:t> </w:t>
      </w:r>
      <w:r>
        <w:rPr>
          <w:color w:val="231F20"/>
        </w:rPr>
        <w:t>segunda,</w:t>
      </w:r>
      <w:r>
        <w:rPr>
          <w:color w:val="231F20"/>
          <w:spacing w:val="-5"/>
        </w:rPr>
        <w:t> </w:t>
      </w:r>
      <w:r>
        <w:rPr>
          <w:color w:val="231F20"/>
        </w:rPr>
        <w:t>que</w:t>
      </w:r>
      <w:r>
        <w:rPr>
          <w:color w:val="231F20"/>
          <w:w w:val="101"/>
        </w:rPr>
        <w:t> </w:t>
      </w:r>
      <w:r>
        <w:rPr>
          <w:color w:val="231F20"/>
        </w:rPr>
        <w:t>han cerrado empresas, las cuales han cambiado su localización y se han reubicado</w:t>
      </w:r>
      <w:r>
        <w:rPr>
          <w:color w:val="231F20"/>
          <w:spacing w:val="39"/>
        </w:rPr>
        <w:t> </w:t>
      </w:r>
      <w:r>
        <w:rPr>
          <w:color w:val="231F20"/>
        </w:rPr>
        <w:t>en</w:t>
      </w:r>
    </w:p>
    <w:p>
      <w:pPr>
        <w:pStyle w:val="BodyText"/>
        <w:spacing w:before="1"/>
        <w:ind w:left="713"/>
        <w:jc w:val="both"/>
      </w:pPr>
      <w:r>
        <w:rPr>
          <w:color w:val="231F20"/>
        </w:rPr>
        <w:t>las regiones donde se han establecido las ensambladoras.</w:t>
      </w:r>
    </w:p>
    <w:p>
      <w:pPr>
        <w:pStyle w:val="BodyText"/>
        <w:spacing w:before="10"/>
        <w:rPr>
          <w:sz w:val="20"/>
        </w:rPr>
      </w:pPr>
    </w:p>
    <w:p>
      <w:pPr>
        <w:pStyle w:val="Heading4"/>
        <w:spacing w:before="1"/>
        <w:ind w:left="775" w:right="166"/>
      </w:pPr>
      <w:r>
        <w:rPr>
          <w:color w:val="231F20"/>
          <w:w w:val="90"/>
        </w:rPr>
        <w:t>Gráfica IV.4</w:t>
      </w:r>
    </w:p>
    <w:p>
      <w:pPr>
        <w:spacing w:line="282" w:lineRule="exact" w:before="0"/>
        <w:ind w:left="733" w:right="124" w:firstLine="0"/>
        <w:jc w:val="center"/>
        <w:rPr>
          <w:rFonts w:ascii="Palatino Linotype" w:hAnsi="Palatino Linotype"/>
          <w:b/>
          <w:sz w:val="21"/>
        </w:rPr>
      </w:pPr>
      <w:r>
        <w:rPr>
          <w:rFonts w:ascii="Palatino Linotype" w:hAnsi="Palatino Linotype"/>
          <w:b/>
          <w:color w:val="231F20"/>
          <w:w w:val="95"/>
          <w:sz w:val="21"/>
        </w:rPr>
        <w:t>Estado de México: unidades económicas de la industria automotriz, 1985-2009</w:t>
      </w:r>
    </w:p>
    <w:p>
      <w:pPr>
        <w:spacing w:before="19"/>
        <w:ind w:left="775" w:right="166" w:firstLine="0"/>
        <w:jc w:val="center"/>
        <w:rPr>
          <w:rFonts w:ascii="Palatino Linotype"/>
          <w:b/>
          <w:sz w:val="19"/>
        </w:rPr>
      </w:pPr>
      <w:r>
        <w:rPr/>
        <w:pict>
          <v:group style="position:absolute;margin-left:141.035995pt;margin-top:18.941147pt;width:208.25pt;height:111.5pt;mso-position-horizontal-relative:page;mso-position-vertical-relative:paragraph;z-index:-609280" coordorigin="2821,379" coordsize="4165,2230">
            <v:shape style="position:absolute;left:0;top:2005;width:4153;height:2218" coordorigin="0,2005" coordsize="4153,2218" path="m2827,2568l2827,385m2827,2568l6979,2568m6979,2568l6979,2602m6640,2568l6640,2602m5938,2568l5938,2602m5248,2568l5248,2602m4558,2568l4558,2602m3868,2568l3868,2602m3177,2568l3177,2602e" filled="false" stroked="true" strokeweight=".566pt" strokecolor="#989b9d">
              <v:path arrowok="t"/>
            </v:shape>
            <v:shape style="position:absolute;left:3177;top:521;width:3463;height:1222" coordorigin="3177,521" coordsize="3463,1222" path="m3177,1743l3868,1528,4558,1109,5248,521,5938,1335,6640,1471e" filled="false" stroked="true" strokeweight="1.697pt" strokecolor="#5c5d5f">
              <v:path arrowok="t"/>
            </v:shape>
            <v:shape style="position:absolute;left:3115;top:1680;width:124;height:124" type="#_x0000_t75" stroked="false">
              <v:imagedata r:id="rId255" o:title=""/>
            </v:shape>
            <v:shape style="position:absolute;left:3805;top:1465;width:124;height:124" type="#_x0000_t75" stroked="false">
              <v:imagedata r:id="rId256" o:title=""/>
            </v:shape>
            <v:shape style="position:absolute;left:4496;top:1047;width:124;height:124" type="#_x0000_t75" stroked="false">
              <v:imagedata r:id="rId257" o:title=""/>
            </v:shape>
            <v:shape style="position:absolute;left:5186;top:458;width:124;height:124" type="#_x0000_t75" stroked="false">
              <v:imagedata r:id="rId258" o:title=""/>
            </v:shape>
            <v:shape style="position:absolute;left:5876;top:1273;width:124;height:124" type="#_x0000_t75" stroked="false">
              <v:imagedata r:id="rId259" o:title=""/>
            </v:shape>
            <v:shape style="position:absolute;left:6577;top:1409;width:124;height:124" type="#_x0000_t75" stroked="false">
              <v:imagedata r:id="rId260" o:title=""/>
            </v:shape>
            <w10:wrap type="none"/>
          </v:group>
        </w:pict>
      </w:r>
      <w:r>
        <w:rPr>
          <w:rFonts w:ascii="Palatino Linotype"/>
          <w:b/>
          <w:color w:val="231F20"/>
          <w:sz w:val="19"/>
        </w:rPr>
        <w:t>(Unidades)</w:t>
      </w:r>
    </w:p>
    <w:p>
      <w:pPr>
        <w:spacing w:after="0"/>
        <w:jc w:val="center"/>
        <w:rPr>
          <w:rFonts w:ascii="Palatino Linotype"/>
          <w:sz w:val="19"/>
        </w:rPr>
        <w:sectPr>
          <w:headerReference w:type="even" r:id="rId251"/>
          <w:headerReference w:type="default" r:id="rId252"/>
          <w:footerReference w:type="even" r:id="rId253"/>
          <w:footerReference w:type="default" r:id="rId254"/>
          <w:pgSz w:w="9640" w:h="13040"/>
          <w:pgMar w:header="581" w:footer="654" w:top="780" w:bottom="840" w:left="420" w:right="1200"/>
        </w:sectPr>
      </w:pPr>
    </w:p>
    <w:p>
      <w:pPr>
        <w:spacing w:line="202" w:lineRule="exact" w:before="0"/>
        <w:ind w:left="0" w:right="4" w:firstLine="0"/>
        <w:jc w:val="right"/>
        <w:rPr>
          <w:rFonts w:ascii="Palatino Linotype"/>
          <w:sz w:val="16"/>
        </w:rPr>
      </w:pPr>
      <w:r>
        <w:rPr>
          <w:rFonts w:ascii="Palatino Linotype"/>
          <w:color w:val="231F20"/>
          <w:w w:val="95"/>
          <w:sz w:val="16"/>
        </w:rPr>
        <w:t>500</w:t>
      </w:r>
    </w:p>
    <w:p>
      <w:pPr>
        <w:spacing w:before="3"/>
        <w:ind w:left="0" w:right="4" w:firstLine="0"/>
        <w:jc w:val="right"/>
        <w:rPr>
          <w:rFonts w:ascii="Palatino Linotype"/>
          <w:sz w:val="16"/>
        </w:rPr>
      </w:pPr>
      <w:r>
        <w:rPr>
          <w:rFonts w:ascii="Palatino Linotype"/>
          <w:color w:val="231F20"/>
          <w:w w:val="95"/>
          <w:sz w:val="16"/>
        </w:rPr>
        <w:t>450</w:t>
      </w:r>
    </w:p>
    <w:p>
      <w:pPr>
        <w:spacing w:before="3"/>
        <w:ind w:left="0" w:right="4" w:firstLine="0"/>
        <w:jc w:val="right"/>
        <w:rPr>
          <w:rFonts w:ascii="Palatino Linotype"/>
          <w:sz w:val="16"/>
        </w:rPr>
      </w:pPr>
      <w:r>
        <w:rPr>
          <w:rFonts w:ascii="Palatino Linotype"/>
          <w:color w:val="231F20"/>
          <w:w w:val="95"/>
          <w:sz w:val="16"/>
        </w:rPr>
        <w:t>400</w:t>
      </w:r>
    </w:p>
    <w:p>
      <w:pPr>
        <w:spacing w:before="3"/>
        <w:ind w:left="0" w:right="4" w:firstLine="0"/>
        <w:jc w:val="right"/>
        <w:rPr>
          <w:rFonts w:ascii="Palatino Linotype"/>
          <w:sz w:val="16"/>
        </w:rPr>
      </w:pPr>
      <w:r>
        <w:rPr>
          <w:rFonts w:ascii="Palatino Linotype"/>
          <w:color w:val="231F20"/>
          <w:w w:val="95"/>
          <w:sz w:val="16"/>
        </w:rPr>
        <w:t>350</w:t>
      </w:r>
    </w:p>
    <w:p>
      <w:pPr>
        <w:spacing w:before="3"/>
        <w:ind w:left="0" w:right="4" w:firstLine="0"/>
        <w:jc w:val="right"/>
        <w:rPr>
          <w:rFonts w:ascii="Palatino Linotype"/>
          <w:sz w:val="16"/>
        </w:rPr>
      </w:pPr>
      <w:r>
        <w:rPr>
          <w:rFonts w:ascii="Palatino Linotype"/>
          <w:color w:val="231F20"/>
          <w:w w:val="95"/>
          <w:sz w:val="16"/>
        </w:rPr>
        <w:t>300</w:t>
      </w:r>
    </w:p>
    <w:p>
      <w:pPr>
        <w:spacing w:before="3"/>
        <w:ind w:left="0" w:right="4" w:firstLine="0"/>
        <w:jc w:val="right"/>
        <w:rPr>
          <w:rFonts w:ascii="Palatino Linotype"/>
          <w:sz w:val="16"/>
        </w:rPr>
      </w:pPr>
      <w:r>
        <w:rPr>
          <w:rFonts w:ascii="Palatino Linotype"/>
          <w:color w:val="231F20"/>
          <w:w w:val="95"/>
          <w:sz w:val="16"/>
        </w:rPr>
        <w:t>250</w:t>
      </w:r>
    </w:p>
    <w:p>
      <w:pPr>
        <w:spacing w:before="3"/>
        <w:ind w:left="0" w:right="4" w:firstLine="0"/>
        <w:jc w:val="right"/>
        <w:rPr>
          <w:rFonts w:ascii="Palatino Linotype"/>
          <w:sz w:val="16"/>
        </w:rPr>
      </w:pPr>
      <w:r>
        <w:rPr>
          <w:rFonts w:ascii="Palatino Linotype"/>
          <w:color w:val="231F20"/>
          <w:w w:val="95"/>
          <w:sz w:val="16"/>
        </w:rPr>
        <w:t>200</w:t>
      </w:r>
    </w:p>
    <w:p>
      <w:pPr>
        <w:spacing w:before="3"/>
        <w:ind w:left="0" w:right="4" w:firstLine="0"/>
        <w:jc w:val="right"/>
        <w:rPr>
          <w:rFonts w:ascii="Palatino Linotype"/>
          <w:sz w:val="16"/>
        </w:rPr>
      </w:pPr>
      <w:r>
        <w:rPr>
          <w:rFonts w:ascii="Palatino Linotype"/>
          <w:color w:val="231F20"/>
          <w:w w:val="95"/>
          <w:sz w:val="16"/>
        </w:rPr>
        <w:t>150</w:t>
      </w:r>
    </w:p>
    <w:p>
      <w:pPr>
        <w:spacing w:before="3"/>
        <w:ind w:left="0" w:right="4" w:firstLine="0"/>
        <w:jc w:val="right"/>
        <w:rPr>
          <w:rFonts w:ascii="Palatino Linotype"/>
          <w:sz w:val="16"/>
        </w:rPr>
      </w:pPr>
      <w:r>
        <w:rPr>
          <w:rFonts w:ascii="Palatino Linotype"/>
          <w:color w:val="231F20"/>
          <w:w w:val="95"/>
          <w:sz w:val="16"/>
        </w:rPr>
        <w:t>100</w:t>
      </w:r>
    </w:p>
    <w:p>
      <w:pPr>
        <w:spacing w:before="3"/>
        <w:ind w:left="0" w:right="1" w:firstLine="0"/>
        <w:jc w:val="right"/>
        <w:rPr>
          <w:rFonts w:ascii="Palatino Linotype"/>
          <w:sz w:val="16"/>
        </w:rPr>
      </w:pPr>
      <w:r>
        <w:rPr>
          <w:rFonts w:ascii="Palatino Linotype"/>
          <w:color w:val="231F20"/>
          <w:w w:val="95"/>
          <w:sz w:val="16"/>
        </w:rPr>
        <w:t>50</w:t>
      </w:r>
    </w:p>
    <w:p>
      <w:pPr>
        <w:spacing w:before="3"/>
        <w:ind w:left="0" w:right="0" w:firstLine="0"/>
        <w:jc w:val="right"/>
        <w:rPr>
          <w:rFonts w:ascii="Palatino Linotype"/>
          <w:sz w:val="16"/>
        </w:rPr>
      </w:pPr>
      <w:r>
        <w:rPr>
          <w:rFonts w:ascii="Palatino Linotype"/>
          <w:color w:val="231F20"/>
          <w:w w:val="95"/>
          <w:sz w:val="16"/>
        </w:rPr>
        <w:t>0</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spacing w:before="5"/>
        <w:rPr>
          <w:rFonts w:ascii="Palatino Linotype"/>
          <w:sz w:val="14"/>
        </w:rPr>
      </w:pPr>
    </w:p>
    <w:p>
      <w:pPr>
        <w:spacing w:before="1"/>
        <w:ind w:left="0" w:right="0" w:firstLine="0"/>
        <w:jc w:val="right"/>
        <w:rPr>
          <w:rFonts w:ascii="Palatino Linotype"/>
          <w:sz w:val="16"/>
        </w:rPr>
      </w:pPr>
      <w:r>
        <w:rPr>
          <w:rFonts w:ascii="Palatino Linotype"/>
          <w:color w:val="231F20"/>
          <w:w w:val="95"/>
          <w:sz w:val="16"/>
        </w:rPr>
        <w:t>188</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spacing w:before="13"/>
        <w:rPr>
          <w:rFonts w:ascii="Palatino Linotype"/>
          <w:sz w:val="20"/>
        </w:rPr>
      </w:pPr>
    </w:p>
    <w:p>
      <w:pPr>
        <w:spacing w:before="0"/>
        <w:ind w:left="380" w:right="-18" w:firstLine="0"/>
        <w:jc w:val="left"/>
        <w:rPr>
          <w:rFonts w:ascii="Palatino Linotype"/>
          <w:sz w:val="16"/>
        </w:rPr>
      </w:pPr>
      <w:r>
        <w:rPr>
          <w:rFonts w:ascii="Palatino Linotype"/>
          <w:color w:val="231F20"/>
          <w:w w:val="95"/>
          <w:sz w:val="16"/>
        </w:rPr>
        <w:t>238</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spacing w:before="6"/>
        <w:rPr>
          <w:rFonts w:ascii="Palatino Linotype"/>
        </w:rPr>
      </w:pPr>
    </w:p>
    <w:p>
      <w:pPr>
        <w:spacing w:before="0"/>
        <w:ind w:left="424" w:right="-18" w:firstLine="0"/>
        <w:jc w:val="left"/>
        <w:rPr>
          <w:rFonts w:ascii="Palatino Linotype"/>
          <w:sz w:val="16"/>
        </w:rPr>
      </w:pPr>
      <w:r>
        <w:rPr>
          <w:rFonts w:ascii="Palatino Linotype"/>
          <w:color w:val="231F20"/>
          <w:w w:val="95"/>
          <w:sz w:val="16"/>
        </w:rPr>
        <w:t>335</w:t>
      </w:r>
    </w:p>
    <w:p>
      <w:pPr>
        <w:spacing w:before="138"/>
        <w:ind w:left="424" w:right="-18" w:firstLine="0"/>
        <w:jc w:val="left"/>
        <w:rPr>
          <w:rFonts w:ascii="Palatino Linotype"/>
          <w:sz w:val="16"/>
        </w:rPr>
      </w:pPr>
      <w:r>
        <w:rPr/>
        <w:br w:type="column"/>
      </w:r>
      <w:r>
        <w:rPr>
          <w:rFonts w:ascii="Palatino Linotype"/>
          <w:color w:val="231F20"/>
          <w:w w:val="95"/>
          <w:sz w:val="16"/>
        </w:rPr>
        <w:t>468</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spacing w:before="5"/>
        <w:rPr>
          <w:rFonts w:ascii="Palatino Linotype"/>
          <w:sz w:val="11"/>
        </w:rPr>
      </w:pPr>
    </w:p>
    <w:p>
      <w:pPr>
        <w:spacing w:before="0"/>
        <w:ind w:left="424" w:right="-18" w:firstLine="0"/>
        <w:jc w:val="left"/>
        <w:rPr>
          <w:rFonts w:ascii="Palatino Linotype"/>
          <w:sz w:val="16"/>
        </w:rPr>
      </w:pPr>
      <w:r>
        <w:rPr>
          <w:rFonts w:ascii="Palatino Linotype"/>
          <w:color w:val="231F20"/>
          <w:w w:val="95"/>
          <w:sz w:val="16"/>
        </w:rPr>
        <w:t>282</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spacing w:before="10"/>
        <w:rPr>
          <w:rFonts w:ascii="Palatino Linotype"/>
          <w:sz w:val="16"/>
        </w:rPr>
      </w:pPr>
    </w:p>
    <w:p>
      <w:pPr>
        <w:spacing w:before="0"/>
        <w:ind w:left="424" w:right="0" w:firstLine="0"/>
        <w:jc w:val="left"/>
        <w:rPr>
          <w:rFonts w:ascii="Palatino Linotype"/>
          <w:sz w:val="16"/>
        </w:rPr>
      </w:pPr>
      <w:r>
        <w:rPr>
          <w:rFonts w:ascii="Palatino Linotype"/>
          <w:color w:val="231F20"/>
          <w:sz w:val="16"/>
        </w:rPr>
        <w:t>251</w:t>
      </w:r>
    </w:p>
    <w:p>
      <w:pPr>
        <w:spacing w:after="0"/>
        <w:jc w:val="left"/>
        <w:rPr>
          <w:rFonts w:ascii="Palatino Linotype"/>
          <w:sz w:val="16"/>
        </w:rPr>
        <w:sectPr>
          <w:type w:val="continuous"/>
          <w:pgSz w:w="9640" w:h="13040"/>
          <w:pgMar w:top="1200" w:bottom="280" w:left="420" w:right="1200"/>
          <w:cols w:num="7" w:equalWidth="0">
            <w:col w:w="2272" w:space="40"/>
            <w:col w:w="856" w:space="40"/>
            <w:col w:w="610" w:space="40"/>
            <w:col w:w="654" w:space="40"/>
            <w:col w:w="654" w:space="40"/>
            <w:col w:w="654" w:space="40"/>
            <w:col w:w="2080"/>
          </w:cols>
        </w:sectPr>
      </w:pPr>
    </w:p>
    <w:p>
      <w:pPr>
        <w:tabs>
          <w:tab w:pos="3291" w:val="left" w:leader="none"/>
          <w:tab w:pos="3984" w:val="left" w:leader="none"/>
          <w:tab w:pos="4678" w:val="left" w:leader="none"/>
          <w:tab w:pos="5371" w:val="left" w:leader="none"/>
          <w:tab w:pos="6065" w:val="left" w:leader="none"/>
        </w:tabs>
        <w:spacing w:line="187" w:lineRule="exact" w:before="0"/>
        <w:ind w:left="2598" w:right="96" w:firstLine="0"/>
        <w:jc w:val="left"/>
        <w:rPr>
          <w:rFonts w:ascii="Palatino Linotype"/>
          <w:sz w:val="16"/>
        </w:rPr>
      </w:pPr>
      <w:r>
        <w:rPr>
          <w:rFonts w:ascii="Palatino Linotype"/>
          <w:color w:val="231F20"/>
          <w:sz w:val="16"/>
        </w:rPr>
        <w:t>1985</w:t>
        <w:tab/>
        <w:t>1988</w:t>
        <w:tab/>
        <w:t>1993</w:t>
        <w:tab/>
        <w:t>1998</w:t>
        <w:tab/>
        <w:t>2003</w:t>
        <w:tab/>
        <w:t>2009</w:t>
      </w:r>
    </w:p>
    <w:p>
      <w:pPr>
        <w:spacing w:before="138"/>
        <w:ind w:left="713" w:right="1617" w:firstLine="0"/>
        <w:jc w:val="left"/>
        <w:rPr>
          <w:sz w:val="19"/>
        </w:rPr>
      </w:pPr>
      <w:r>
        <w:rPr>
          <w:rFonts w:ascii="Palatino Linotype" w:hAnsi="Palatino Linotype"/>
          <w:i/>
          <w:color w:val="231F20"/>
          <w:sz w:val="19"/>
        </w:rPr>
        <w:t>Fuente: </w:t>
      </w:r>
      <w:r>
        <w:rPr>
          <w:color w:val="231F20"/>
          <w:sz w:val="19"/>
        </w:rPr>
        <w:t>Elaboración propia con datos de INEGI (1998, 2003, 2010).</w:t>
      </w:r>
    </w:p>
    <w:p>
      <w:pPr>
        <w:spacing w:after="0"/>
        <w:jc w:val="left"/>
        <w:rPr>
          <w:sz w:val="19"/>
        </w:rPr>
        <w:sectPr>
          <w:type w:val="continuous"/>
          <w:pgSz w:w="9640" w:h="13040"/>
          <w:pgMar w:top="1200" w:bottom="280" w:left="420" w:right="1200"/>
        </w:sectPr>
      </w:pPr>
    </w:p>
    <w:p>
      <w:pPr>
        <w:pStyle w:val="BodyText"/>
        <w:rPr>
          <w:sz w:val="20"/>
        </w:rPr>
      </w:pPr>
    </w:p>
    <w:p>
      <w:pPr>
        <w:pStyle w:val="BodyText"/>
        <w:spacing w:before="10"/>
        <w:rPr>
          <w:sz w:val="16"/>
        </w:rPr>
      </w:pPr>
    </w:p>
    <w:p>
      <w:pPr>
        <w:pStyle w:val="BodyText"/>
        <w:spacing w:line="266" w:lineRule="auto"/>
        <w:ind w:left="103" w:right="711"/>
        <w:jc w:val="both"/>
      </w:pPr>
      <w:r>
        <w:rPr>
          <w:color w:val="231F20"/>
        </w:rPr>
        <w:t>Como</w:t>
      </w:r>
      <w:r>
        <w:rPr>
          <w:color w:val="231F20"/>
          <w:spacing w:val="-14"/>
        </w:rPr>
        <w:t> </w:t>
      </w:r>
      <w:r>
        <w:rPr>
          <w:color w:val="231F20"/>
        </w:rPr>
        <w:t>resultado</w:t>
      </w:r>
      <w:r>
        <w:rPr>
          <w:color w:val="231F20"/>
          <w:spacing w:val="-14"/>
        </w:rPr>
        <w:t> </w:t>
      </w:r>
      <w:r>
        <w:rPr>
          <w:color w:val="231F20"/>
        </w:rPr>
        <w:t>de</w:t>
      </w:r>
      <w:r>
        <w:rPr>
          <w:color w:val="231F20"/>
          <w:spacing w:val="-14"/>
        </w:rPr>
        <w:t> </w:t>
      </w:r>
      <w:r>
        <w:rPr>
          <w:color w:val="231F20"/>
        </w:rPr>
        <w:t>este</w:t>
      </w:r>
      <w:r>
        <w:rPr>
          <w:color w:val="231F20"/>
          <w:spacing w:val="-14"/>
        </w:rPr>
        <w:t> </w:t>
      </w:r>
      <w:r>
        <w:rPr>
          <w:color w:val="231F20"/>
        </w:rPr>
        <w:t>proceso</w:t>
      </w:r>
      <w:r>
        <w:rPr>
          <w:color w:val="231F20"/>
          <w:spacing w:val="-14"/>
        </w:rPr>
        <w:t> </w:t>
      </w:r>
      <w:r>
        <w:rPr>
          <w:color w:val="231F20"/>
        </w:rPr>
        <w:t>de</w:t>
      </w:r>
      <w:r>
        <w:rPr>
          <w:color w:val="231F20"/>
          <w:spacing w:val="-14"/>
        </w:rPr>
        <w:t> </w:t>
      </w:r>
      <w:r>
        <w:rPr>
          <w:color w:val="231F20"/>
        </w:rPr>
        <w:t>desaceleración</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actividad</w:t>
      </w:r>
      <w:r>
        <w:rPr>
          <w:color w:val="231F20"/>
          <w:spacing w:val="-14"/>
        </w:rPr>
        <w:t> </w:t>
      </w:r>
      <w:r>
        <w:rPr>
          <w:color w:val="231F20"/>
        </w:rPr>
        <w:t>económica</w:t>
      </w:r>
      <w:r>
        <w:rPr>
          <w:color w:val="231F20"/>
          <w:spacing w:val="-14"/>
        </w:rPr>
        <w:t> </w:t>
      </w:r>
      <w:r>
        <w:rPr>
          <w:color w:val="231F20"/>
        </w:rPr>
        <w:t>del</w:t>
      </w:r>
      <w:r>
        <w:rPr>
          <w:color w:val="231F20"/>
          <w:spacing w:val="-14"/>
        </w:rPr>
        <w:t> </w:t>
      </w:r>
      <w:r>
        <w:rPr>
          <w:color w:val="231F20"/>
          <w:spacing w:val="-3"/>
        </w:rPr>
        <w:t>sector, </w:t>
      </w:r>
      <w:r>
        <w:rPr>
          <w:color w:val="231F20"/>
        </w:rPr>
        <w:t>se</w:t>
      </w:r>
      <w:r>
        <w:rPr>
          <w:color w:val="231F20"/>
          <w:spacing w:val="-13"/>
        </w:rPr>
        <w:t> </w:t>
      </w:r>
      <w:r>
        <w:rPr>
          <w:color w:val="231F20"/>
        </w:rPr>
        <w:t>ha</w:t>
      </w:r>
      <w:r>
        <w:rPr>
          <w:color w:val="231F20"/>
          <w:spacing w:val="-13"/>
        </w:rPr>
        <w:t> </w:t>
      </w:r>
      <w:r>
        <w:rPr>
          <w:color w:val="231F20"/>
        </w:rPr>
        <w:t>presentado</w:t>
      </w:r>
      <w:r>
        <w:rPr>
          <w:color w:val="231F20"/>
          <w:spacing w:val="-13"/>
        </w:rPr>
        <w:t> </w:t>
      </w:r>
      <w:r>
        <w:rPr>
          <w:color w:val="231F20"/>
        </w:rPr>
        <w:t>una</w:t>
      </w:r>
      <w:r>
        <w:rPr>
          <w:color w:val="231F20"/>
          <w:spacing w:val="-13"/>
        </w:rPr>
        <w:t> </w:t>
      </w:r>
      <w:r>
        <w:rPr>
          <w:color w:val="231F20"/>
        </w:rPr>
        <w:t>disminución</w:t>
      </w:r>
      <w:r>
        <w:rPr>
          <w:color w:val="231F20"/>
          <w:spacing w:val="-13"/>
        </w:rPr>
        <w:t> </w:t>
      </w:r>
      <w:r>
        <w:rPr>
          <w:color w:val="231F20"/>
        </w:rPr>
        <w:t>de</w:t>
      </w:r>
      <w:r>
        <w:rPr>
          <w:color w:val="231F20"/>
          <w:spacing w:val="-13"/>
        </w:rPr>
        <w:t> </w:t>
      </w:r>
      <w:r>
        <w:rPr>
          <w:color w:val="231F20"/>
        </w:rPr>
        <w:t>los</w:t>
      </w:r>
      <w:r>
        <w:rPr>
          <w:color w:val="231F20"/>
          <w:spacing w:val="-13"/>
        </w:rPr>
        <w:t> </w:t>
      </w:r>
      <w:r>
        <w:rPr>
          <w:color w:val="231F20"/>
        </w:rPr>
        <w:t>activos</w:t>
      </w:r>
      <w:r>
        <w:rPr>
          <w:color w:val="231F20"/>
          <w:spacing w:val="-13"/>
        </w:rPr>
        <w:t> </w:t>
      </w:r>
      <w:r>
        <w:rPr>
          <w:color w:val="231F20"/>
        </w:rPr>
        <w:t>fijos</w:t>
      </w:r>
      <w:r>
        <w:rPr>
          <w:color w:val="231F20"/>
          <w:spacing w:val="-13"/>
        </w:rPr>
        <w:t> </w:t>
      </w:r>
      <w:r>
        <w:rPr>
          <w:color w:val="231F20"/>
        </w:rPr>
        <w:t>netos</w:t>
      </w:r>
      <w:r>
        <w:rPr>
          <w:color w:val="231F20"/>
          <w:spacing w:val="-13"/>
        </w:rPr>
        <w:t> </w:t>
      </w:r>
      <w:r>
        <w:rPr>
          <w:color w:val="231F20"/>
          <w:spacing w:val="-8"/>
        </w:rPr>
        <w:t>y,</w:t>
      </w:r>
      <w:r>
        <w:rPr>
          <w:color w:val="231F20"/>
          <w:spacing w:val="-13"/>
        </w:rPr>
        <w:t> </w:t>
      </w:r>
      <w:r>
        <w:rPr>
          <w:color w:val="231F20"/>
        </w:rPr>
        <w:t>sobre</w:t>
      </w:r>
      <w:r>
        <w:rPr>
          <w:color w:val="231F20"/>
          <w:spacing w:val="-13"/>
        </w:rPr>
        <w:t> </w:t>
      </w:r>
      <w:r>
        <w:rPr>
          <w:color w:val="231F20"/>
        </w:rPr>
        <w:t>todo,</w:t>
      </w:r>
      <w:r>
        <w:rPr>
          <w:color w:val="231F20"/>
          <w:spacing w:val="-13"/>
        </w:rPr>
        <w:t> </w:t>
      </w:r>
      <w:r>
        <w:rPr>
          <w:color w:val="231F20"/>
        </w:rPr>
        <w:t>una</w:t>
      </w:r>
      <w:r>
        <w:rPr>
          <w:color w:val="231F20"/>
          <w:spacing w:val="-13"/>
        </w:rPr>
        <w:t> </w:t>
      </w:r>
      <w:r>
        <w:rPr>
          <w:color w:val="231F20"/>
        </w:rPr>
        <w:t>caída</w:t>
      </w:r>
      <w:r>
        <w:rPr>
          <w:color w:val="231F20"/>
          <w:spacing w:val="-13"/>
        </w:rPr>
        <w:t> </w:t>
      </w:r>
      <w:r>
        <w:rPr>
          <w:color w:val="231F20"/>
        </w:rPr>
        <w:t>más pronunciada</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bruta</w:t>
      </w:r>
      <w:r>
        <w:rPr>
          <w:color w:val="231F20"/>
          <w:spacing w:val="-9"/>
        </w:rPr>
        <w:t> </w:t>
      </w:r>
      <w:r>
        <w:rPr>
          <w:color w:val="231F20"/>
        </w:rPr>
        <w:t>de</w:t>
      </w:r>
      <w:r>
        <w:rPr>
          <w:color w:val="231F20"/>
          <w:spacing w:val="-9"/>
        </w:rPr>
        <w:t> </w:t>
      </w:r>
      <w:r>
        <w:rPr>
          <w:color w:val="231F20"/>
        </w:rPr>
        <w:t>capital</w:t>
      </w:r>
      <w:r>
        <w:rPr>
          <w:color w:val="231F20"/>
          <w:spacing w:val="-9"/>
        </w:rPr>
        <w:t> </w:t>
      </w:r>
      <w:r>
        <w:rPr>
          <w:color w:val="231F20"/>
        </w:rPr>
        <w:t>(véase</w:t>
      </w:r>
      <w:r>
        <w:rPr>
          <w:color w:val="231F20"/>
          <w:spacing w:val="-9"/>
        </w:rPr>
        <w:t> </w:t>
      </w:r>
      <w:r>
        <w:rPr>
          <w:color w:val="231F20"/>
        </w:rPr>
        <w:t>gráficas</w:t>
      </w:r>
      <w:r>
        <w:rPr>
          <w:color w:val="231F20"/>
          <w:spacing w:val="-9"/>
        </w:rPr>
        <w:t> </w:t>
      </w:r>
      <w:r>
        <w:rPr>
          <w:color w:val="231F20"/>
          <w:spacing w:val="-7"/>
        </w:rPr>
        <w:t>IV.5a</w:t>
      </w:r>
      <w:r>
        <w:rPr>
          <w:color w:val="231F20"/>
          <w:spacing w:val="-9"/>
        </w:rPr>
        <w:t> </w:t>
      </w:r>
      <w:r>
        <w:rPr>
          <w:color w:val="231F20"/>
        </w:rPr>
        <w:t>y</w:t>
      </w:r>
      <w:r>
        <w:rPr>
          <w:color w:val="231F20"/>
          <w:spacing w:val="-9"/>
        </w:rPr>
        <w:t> </w:t>
      </w:r>
      <w:r>
        <w:rPr>
          <w:color w:val="231F20"/>
          <w:spacing w:val="-5"/>
        </w:rPr>
        <w:t>IV.5b).</w:t>
      </w:r>
      <w:r>
        <w:rPr>
          <w:color w:val="231F20"/>
          <w:spacing w:val="-9"/>
        </w:rPr>
        <w:t> </w:t>
      </w:r>
      <w:r>
        <w:rPr>
          <w:color w:val="231F20"/>
        </w:rPr>
        <w:t>Esta</w:t>
      </w:r>
      <w:r>
        <w:rPr>
          <w:color w:val="231F20"/>
          <w:spacing w:val="-9"/>
        </w:rPr>
        <w:t> </w:t>
      </w:r>
      <w:r>
        <w:rPr>
          <w:color w:val="231F20"/>
        </w:rPr>
        <w:t>varia- ble de flujo deja ver una disminución en el incremento del </w:t>
      </w:r>
      <w:r>
        <w:rPr>
          <w:rFonts w:ascii="Palatino Linotype" w:hAnsi="Palatino Linotype"/>
          <w:i/>
          <w:color w:val="231F20"/>
        </w:rPr>
        <w:t>stock </w:t>
      </w:r>
      <w:r>
        <w:rPr>
          <w:color w:val="231F20"/>
        </w:rPr>
        <w:t>de capital; que,</w:t>
      </w:r>
      <w:r>
        <w:rPr>
          <w:color w:val="231F20"/>
          <w:spacing w:val="-29"/>
        </w:rPr>
        <w:t> </w:t>
      </w:r>
      <w:r>
        <w:rPr>
          <w:color w:val="231F20"/>
        </w:rPr>
        <w:t>como se</w:t>
      </w:r>
      <w:r>
        <w:rPr>
          <w:color w:val="231F20"/>
          <w:spacing w:val="-4"/>
        </w:rPr>
        <w:t> </w:t>
      </w:r>
      <w:r>
        <w:rPr>
          <w:color w:val="231F20"/>
        </w:rPr>
        <w:t>sabe,</w:t>
      </w:r>
      <w:r>
        <w:rPr>
          <w:color w:val="231F20"/>
          <w:spacing w:val="-4"/>
        </w:rPr>
        <w:t> </w:t>
      </w:r>
      <w:r>
        <w:rPr>
          <w:color w:val="231F20"/>
        </w:rPr>
        <w:t>es</w:t>
      </w:r>
      <w:r>
        <w:rPr>
          <w:color w:val="231F20"/>
          <w:spacing w:val="-4"/>
        </w:rPr>
        <w:t> </w:t>
      </w:r>
      <w:r>
        <w:rPr>
          <w:color w:val="231F20"/>
        </w:rPr>
        <w:t>un</w:t>
      </w:r>
      <w:r>
        <w:rPr>
          <w:color w:val="231F20"/>
          <w:spacing w:val="-4"/>
        </w:rPr>
        <w:t> </w:t>
      </w:r>
      <w:r>
        <w:rPr>
          <w:color w:val="231F20"/>
        </w:rPr>
        <w:t>factor</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determinante</w:t>
      </w:r>
      <w:r>
        <w:rPr>
          <w:color w:val="231F20"/>
          <w:spacing w:val="-4"/>
        </w:rPr>
        <w:t> </w:t>
      </w:r>
      <w:r>
        <w:rPr>
          <w:color w:val="231F20"/>
        </w:rPr>
        <w:t>en</w:t>
      </w:r>
      <w:r>
        <w:rPr>
          <w:color w:val="231F20"/>
          <w:spacing w:val="-4"/>
        </w:rPr>
        <w:t> </w:t>
      </w:r>
      <w:r>
        <w:rPr>
          <w:color w:val="231F20"/>
        </w:rPr>
        <w:t>el</w:t>
      </w:r>
      <w:r>
        <w:rPr>
          <w:color w:val="231F20"/>
          <w:spacing w:val="-4"/>
        </w:rPr>
        <w:t> </w:t>
      </w:r>
      <w:r>
        <w:rPr>
          <w:color w:val="231F20"/>
        </w:rPr>
        <w:t>crecimiento.</w:t>
      </w:r>
    </w:p>
    <w:p>
      <w:pPr>
        <w:pStyle w:val="BodyText"/>
        <w:spacing w:before="8"/>
        <w:rPr>
          <w:sz w:val="18"/>
        </w:rPr>
      </w:pPr>
    </w:p>
    <w:p>
      <w:pPr>
        <w:pStyle w:val="Heading4"/>
        <w:ind w:left="1017" w:right="1624"/>
      </w:pPr>
      <w:r>
        <w:rPr>
          <w:color w:val="231F20"/>
          <w:w w:val="90"/>
        </w:rPr>
        <w:t>Gráfica IV.5</w:t>
      </w:r>
    </w:p>
    <w:p>
      <w:pPr>
        <w:spacing w:line="237" w:lineRule="auto" w:before="0"/>
        <w:ind w:left="733" w:right="1341" w:firstLine="0"/>
        <w:jc w:val="center"/>
        <w:rPr>
          <w:rFonts w:ascii="Palatino Linotype" w:hAnsi="Palatino Linotype"/>
          <w:b/>
          <w:sz w:val="21"/>
        </w:rPr>
      </w:pPr>
      <w:r>
        <w:rPr>
          <w:rFonts w:ascii="Palatino Linotype" w:hAnsi="Palatino Linotype"/>
          <w:b/>
          <w:color w:val="231F20"/>
          <w:w w:val="95"/>
          <w:sz w:val="21"/>
        </w:rPr>
        <w:t>Estado</w:t>
      </w:r>
      <w:r>
        <w:rPr>
          <w:rFonts w:ascii="Palatino Linotype" w:hAnsi="Palatino Linotype"/>
          <w:b/>
          <w:color w:val="231F20"/>
          <w:spacing w:val="-35"/>
          <w:w w:val="95"/>
          <w:sz w:val="21"/>
        </w:rPr>
        <w:t> </w:t>
      </w:r>
      <w:r>
        <w:rPr>
          <w:rFonts w:ascii="Palatino Linotype" w:hAnsi="Palatino Linotype"/>
          <w:b/>
          <w:color w:val="231F20"/>
          <w:w w:val="95"/>
          <w:sz w:val="21"/>
        </w:rPr>
        <w:t>de</w:t>
      </w:r>
      <w:r>
        <w:rPr>
          <w:rFonts w:ascii="Palatino Linotype" w:hAnsi="Palatino Linotype"/>
          <w:b/>
          <w:color w:val="231F20"/>
          <w:spacing w:val="-35"/>
          <w:w w:val="95"/>
          <w:sz w:val="21"/>
        </w:rPr>
        <w:t> </w:t>
      </w:r>
      <w:r>
        <w:rPr>
          <w:rFonts w:ascii="Palatino Linotype" w:hAnsi="Palatino Linotype"/>
          <w:b/>
          <w:color w:val="231F20"/>
          <w:w w:val="95"/>
          <w:sz w:val="21"/>
        </w:rPr>
        <w:t>México:</w:t>
      </w:r>
      <w:r>
        <w:rPr>
          <w:rFonts w:ascii="Palatino Linotype" w:hAnsi="Palatino Linotype"/>
          <w:b/>
          <w:color w:val="231F20"/>
          <w:spacing w:val="-35"/>
          <w:w w:val="95"/>
          <w:sz w:val="21"/>
        </w:rPr>
        <w:t> </w:t>
      </w:r>
      <w:r>
        <w:rPr>
          <w:rFonts w:ascii="Palatino Linotype" w:hAnsi="Palatino Linotype"/>
          <w:b/>
          <w:color w:val="231F20"/>
          <w:w w:val="95"/>
          <w:sz w:val="21"/>
        </w:rPr>
        <w:t>activos</w:t>
      </w:r>
      <w:r>
        <w:rPr>
          <w:rFonts w:ascii="Palatino Linotype" w:hAnsi="Palatino Linotype"/>
          <w:b/>
          <w:color w:val="231F20"/>
          <w:spacing w:val="-35"/>
          <w:w w:val="95"/>
          <w:sz w:val="21"/>
        </w:rPr>
        <w:t> </w:t>
      </w:r>
      <w:r>
        <w:rPr>
          <w:rFonts w:ascii="Palatino Linotype" w:hAnsi="Palatino Linotype"/>
          <w:b/>
          <w:color w:val="231F20"/>
          <w:w w:val="95"/>
          <w:sz w:val="21"/>
        </w:rPr>
        <w:t>fijos</w:t>
      </w:r>
      <w:r>
        <w:rPr>
          <w:rFonts w:ascii="Palatino Linotype" w:hAnsi="Palatino Linotype"/>
          <w:b/>
          <w:color w:val="231F20"/>
          <w:spacing w:val="-35"/>
          <w:w w:val="95"/>
          <w:sz w:val="21"/>
        </w:rPr>
        <w:t> </w:t>
      </w:r>
      <w:r>
        <w:rPr>
          <w:rFonts w:ascii="Palatino Linotype" w:hAnsi="Palatino Linotype"/>
          <w:b/>
          <w:color w:val="231F20"/>
          <w:w w:val="95"/>
          <w:sz w:val="21"/>
        </w:rPr>
        <w:t>netos</w:t>
      </w:r>
      <w:r>
        <w:rPr>
          <w:rFonts w:ascii="Palatino Linotype" w:hAnsi="Palatino Linotype"/>
          <w:b/>
          <w:color w:val="231F20"/>
          <w:spacing w:val="-35"/>
          <w:w w:val="95"/>
          <w:sz w:val="21"/>
        </w:rPr>
        <w:t> </w:t>
      </w:r>
      <w:r>
        <w:rPr>
          <w:rFonts w:ascii="Palatino Linotype" w:hAnsi="Palatino Linotype"/>
          <w:b/>
          <w:color w:val="231F20"/>
          <w:w w:val="95"/>
          <w:sz w:val="21"/>
        </w:rPr>
        <w:t>y</w:t>
      </w:r>
      <w:r>
        <w:rPr>
          <w:rFonts w:ascii="Palatino Linotype" w:hAnsi="Palatino Linotype"/>
          <w:b/>
          <w:color w:val="231F20"/>
          <w:spacing w:val="-35"/>
          <w:w w:val="95"/>
          <w:sz w:val="21"/>
        </w:rPr>
        <w:t> </w:t>
      </w:r>
      <w:r>
        <w:rPr>
          <w:rFonts w:ascii="Palatino Linotype" w:hAnsi="Palatino Linotype"/>
          <w:b/>
          <w:color w:val="231F20"/>
          <w:w w:val="95"/>
          <w:sz w:val="21"/>
        </w:rPr>
        <w:t>formación</w:t>
      </w:r>
      <w:r>
        <w:rPr>
          <w:rFonts w:ascii="Palatino Linotype" w:hAnsi="Palatino Linotype"/>
          <w:b/>
          <w:color w:val="231F20"/>
          <w:spacing w:val="-35"/>
          <w:w w:val="95"/>
          <w:sz w:val="21"/>
        </w:rPr>
        <w:t> </w:t>
      </w:r>
      <w:r>
        <w:rPr>
          <w:rFonts w:ascii="Palatino Linotype" w:hAnsi="Palatino Linotype"/>
          <w:b/>
          <w:color w:val="231F20"/>
          <w:w w:val="95"/>
          <w:sz w:val="21"/>
        </w:rPr>
        <w:t>bruta</w:t>
      </w:r>
      <w:r>
        <w:rPr>
          <w:rFonts w:ascii="Palatino Linotype" w:hAnsi="Palatino Linotype"/>
          <w:b/>
          <w:color w:val="231F20"/>
          <w:spacing w:val="-35"/>
          <w:w w:val="95"/>
          <w:sz w:val="21"/>
        </w:rPr>
        <w:t> </w:t>
      </w:r>
      <w:r>
        <w:rPr>
          <w:rFonts w:ascii="Palatino Linotype" w:hAnsi="Palatino Linotype"/>
          <w:b/>
          <w:color w:val="231F20"/>
          <w:w w:val="95"/>
          <w:sz w:val="21"/>
        </w:rPr>
        <w:t>de</w:t>
      </w:r>
      <w:r>
        <w:rPr>
          <w:rFonts w:ascii="Palatino Linotype" w:hAnsi="Palatino Linotype"/>
          <w:b/>
          <w:color w:val="231F20"/>
          <w:spacing w:val="-35"/>
          <w:w w:val="95"/>
          <w:sz w:val="21"/>
        </w:rPr>
        <w:t> </w:t>
      </w:r>
      <w:r>
        <w:rPr>
          <w:rFonts w:ascii="Palatino Linotype" w:hAnsi="Palatino Linotype"/>
          <w:b/>
          <w:color w:val="231F20"/>
          <w:w w:val="95"/>
          <w:sz w:val="21"/>
        </w:rPr>
        <w:t>capital</w:t>
      </w:r>
      <w:r>
        <w:rPr>
          <w:rFonts w:ascii="Palatino Linotype" w:hAnsi="Palatino Linotype"/>
          <w:b/>
          <w:color w:val="231F20"/>
          <w:spacing w:val="-35"/>
          <w:w w:val="95"/>
          <w:sz w:val="21"/>
        </w:rPr>
        <w:t> </w:t>
      </w:r>
      <w:r>
        <w:rPr>
          <w:rFonts w:ascii="Palatino Linotype" w:hAnsi="Palatino Linotype"/>
          <w:b/>
          <w:color w:val="231F20"/>
          <w:w w:val="95"/>
          <w:sz w:val="21"/>
        </w:rPr>
        <w:t>fijo en</w:t>
      </w:r>
      <w:r>
        <w:rPr>
          <w:rFonts w:ascii="Palatino Linotype" w:hAnsi="Palatino Linotype"/>
          <w:b/>
          <w:color w:val="231F20"/>
          <w:spacing w:val="-17"/>
          <w:w w:val="95"/>
          <w:sz w:val="21"/>
        </w:rPr>
        <w:t> </w:t>
      </w:r>
      <w:r>
        <w:rPr>
          <w:rFonts w:ascii="Palatino Linotype" w:hAnsi="Palatino Linotype"/>
          <w:b/>
          <w:color w:val="231F20"/>
          <w:w w:val="95"/>
          <w:sz w:val="21"/>
        </w:rPr>
        <w:t>el</w:t>
      </w:r>
      <w:r>
        <w:rPr>
          <w:rFonts w:ascii="Palatino Linotype" w:hAnsi="Palatino Linotype"/>
          <w:b/>
          <w:color w:val="231F20"/>
          <w:spacing w:val="-17"/>
          <w:w w:val="95"/>
          <w:sz w:val="21"/>
        </w:rPr>
        <w:t> </w:t>
      </w:r>
      <w:r>
        <w:rPr>
          <w:rFonts w:ascii="Palatino Linotype" w:hAnsi="Palatino Linotype"/>
          <w:b/>
          <w:color w:val="231F20"/>
          <w:w w:val="95"/>
          <w:sz w:val="21"/>
        </w:rPr>
        <w:t>sector</w:t>
      </w:r>
      <w:r>
        <w:rPr>
          <w:rFonts w:ascii="Palatino Linotype" w:hAnsi="Palatino Linotype"/>
          <w:b/>
          <w:color w:val="231F20"/>
          <w:spacing w:val="-17"/>
          <w:w w:val="95"/>
          <w:sz w:val="21"/>
        </w:rPr>
        <w:t> </w:t>
      </w:r>
      <w:r>
        <w:rPr>
          <w:rFonts w:ascii="Palatino Linotype" w:hAnsi="Palatino Linotype"/>
          <w:b/>
          <w:color w:val="231F20"/>
          <w:w w:val="95"/>
          <w:sz w:val="21"/>
        </w:rPr>
        <w:t>automotriz,</w:t>
      </w:r>
      <w:r>
        <w:rPr>
          <w:rFonts w:ascii="Palatino Linotype" w:hAnsi="Palatino Linotype"/>
          <w:b/>
          <w:color w:val="231F20"/>
          <w:spacing w:val="-17"/>
          <w:w w:val="95"/>
          <w:sz w:val="21"/>
        </w:rPr>
        <w:t> </w:t>
      </w:r>
      <w:r>
        <w:rPr>
          <w:rFonts w:ascii="Palatino Linotype" w:hAnsi="Palatino Linotype"/>
          <w:b/>
          <w:color w:val="231F20"/>
          <w:w w:val="95"/>
          <w:sz w:val="21"/>
        </w:rPr>
        <w:t>1985-2009</w:t>
      </w:r>
    </w:p>
    <w:p>
      <w:pPr>
        <w:spacing w:before="18"/>
        <w:ind w:left="1017" w:right="1624" w:firstLine="0"/>
        <w:jc w:val="center"/>
        <w:rPr>
          <w:rFonts w:ascii="Palatino Linotype"/>
          <w:b/>
          <w:sz w:val="19"/>
        </w:rPr>
      </w:pPr>
      <w:r>
        <w:rPr>
          <w:rFonts w:ascii="Palatino Linotype"/>
          <w:b/>
          <w:color w:val="231F20"/>
          <w:w w:val="90"/>
          <w:sz w:val="19"/>
        </w:rPr>
        <w:t>(Miles de pesos)</w:t>
      </w:r>
    </w:p>
    <w:p>
      <w:pPr>
        <w:pStyle w:val="BodyText"/>
        <w:spacing w:before="10"/>
        <w:rPr>
          <w:rFonts w:ascii="Palatino Linotype"/>
          <w:b/>
          <w:sz w:val="12"/>
        </w:rPr>
      </w:pPr>
    </w:p>
    <w:p>
      <w:pPr>
        <w:pStyle w:val="Heading4"/>
        <w:numPr>
          <w:ilvl w:val="0"/>
          <w:numId w:val="20"/>
        </w:numPr>
        <w:tabs>
          <w:tab w:pos="3030" w:val="left" w:leader="none"/>
        </w:tabs>
        <w:spacing w:line="240" w:lineRule="auto" w:before="1" w:after="0"/>
        <w:ind w:left="3029" w:right="0" w:hanging="215"/>
        <w:jc w:val="left"/>
      </w:pPr>
      <w:r>
        <w:rPr>
          <w:color w:val="231F20"/>
          <w:w w:val="90"/>
        </w:rPr>
        <w:t>Activos fijos</w:t>
      </w:r>
      <w:r>
        <w:rPr>
          <w:color w:val="231F20"/>
          <w:spacing w:val="-37"/>
          <w:w w:val="90"/>
        </w:rPr>
        <w:t> </w:t>
      </w:r>
      <w:r>
        <w:rPr>
          <w:color w:val="231F20"/>
          <w:w w:val="90"/>
        </w:rPr>
        <w:t>netos</w:t>
      </w:r>
    </w:p>
    <w:p>
      <w:pPr>
        <w:pStyle w:val="BodyText"/>
        <w:spacing w:before="3"/>
        <w:rPr>
          <w:rFonts w:ascii="Palatino Linotype"/>
          <w:b/>
          <w:sz w:val="8"/>
        </w:rPr>
      </w:pPr>
    </w:p>
    <w:p>
      <w:pPr>
        <w:spacing w:before="57"/>
        <w:ind w:left="1285" w:right="1617" w:firstLine="0"/>
        <w:jc w:val="left"/>
        <w:rPr>
          <w:rFonts w:ascii="Palatino Linotype"/>
          <w:sz w:val="15"/>
        </w:rPr>
      </w:pPr>
      <w:r>
        <w:rPr/>
        <w:pict>
          <v:group style="position:absolute;margin-left:166.819916pt;margin-top:7.719899pt;width:197.5pt;height:112.8pt;mso-position-horizontal-relative:page;mso-position-vertical-relative:paragraph;z-index:10336" coordorigin="3336,154" coordsize="3950,2256">
            <v:shape style="position:absolute;left:0;top:8385;width:6789;height:3868" coordorigin="0,8385" coordsize="6789,3868" path="m3342,2368l3342,160m3342,2368l7280,2368m7280,2368l7280,2404m6946,2368l6946,2404m6289,2368l6289,2404m5633,2368l5633,2404m4977,2368l4977,2404m4321,2368l4321,2404m3665,2368l3665,2404e" filled="false" stroked="true" strokeweight=".59682pt" strokecolor="#231f20">
              <v:path arrowok="t"/>
            </v:shape>
            <v:shape style="position:absolute;left:3665;top:602;width:3282;height:1206" coordorigin="3665,602" coordsize="3282,1206" path="m3665,1198l4321,602,4977,1807,5633,960,6289,1306,6946,1413e" filled="false" stroked="true" strokeweight="1.78988pt" strokecolor="#5c5d5f">
              <v:path arrowok="t"/>
            </v:shape>
            <v:shape style="position:absolute;left:3599;top:1133;width:131;height:131" type="#_x0000_t75" stroked="false">
              <v:imagedata r:id="rId259" o:title=""/>
            </v:shape>
            <v:shape style="position:absolute;left:4255;top:536;width:131;height:131" type="#_x0000_t75" stroked="false">
              <v:imagedata r:id="rId261" o:title=""/>
            </v:shape>
            <v:shape style="position:absolute;left:4911;top:1741;width:131;height:131" type="#_x0000_t75" stroked="false">
              <v:imagedata r:id="rId259" o:title=""/>
            </v:shape>
            <v:shape style="position:absolute;left:5568;top:894;width:131;height:131" type="#_x0000_t75" stroked="false">
              <v:imagedata r:id="rId262" o:title=""/>
            </v:shape>
            <v:shape style="position:absolute;left:6224;top:1240;width:131;height:131" type="#_x0000_t75" stroked="false">
              <v:imagedata r:id="rId263" o:title=""/>
            </v:shape>
            <v:shape style="position:absolute;left:6880;top:1348;width:131;height:131" type="#_x0000_t75" stroked="false">
              <v:imagedata r:id="rId262" o:title=""/>
            </v:shape>
            <w10:wrap type="none"/>
          </v:group>
        </w:pict>
      </w:r>
      <w:r>
        <w:rPr>
          <w:rFonts w:ascii="Palatino Linotype"/>
          <w:color w:val="231F20"/>
          <w:sz w:val="15"/>
        </w:rPr>
        <w:t>12,000,000</w:t>
      </w:r>
    </w:p>
    <w:p>
      <w:pPr>
        <w:pStyle w:val="BodyText"/>
        <w:spacing w:before="2"/>
        <w:rPr>
          <w:rFonts w:ascii="Palatino Linotype"/>
          <w:sz w:val="8"/>
        </w:rPr>
      </w:pPr>
    </w:p>
    <w:p>
      <w:pPr>
        <w:spacing w:before="57"/>
        <w:ind w:left="1285" w:right="1617" w:firstLine="0"/>
        <w:jc w:val="left"/>
        <w:rPr>
          <w:rFonts w:ascii="Palatino Linotype"/>
          <w:sz w:val="15"/>
        </w:rPr>
      </w:pPr>
      <w:r>
        <w:rPr>
          <w:rFonts w:ascii="Palatino Linotype"/>
          <w:color w:val="231F20"/>
          <w:sz w:val="15"/>
        </w:rPr>
        <w:t>10,000,000</w:t>
      </w:r>
    </w:p>
    <w:p>
      <w:pPr>
        <w:pStyle w:val="BodyText"/>
        <w:spacing w:before="2"/>
        <w:rPr>
          <w:rFonts w:ascii="Palatino Linotype"/>
          <w:sz w:val="8"/>
        </w:rPr>
      </w:pPr>
    </w:p>
    <w:p>
      <w:pPr>
        <w:spacing w:before="56"/>
        <w:ind w:left="1365" w:right="1617" w:firstLine="0"/>
        <w:jc w:val="left"/>
        <w:rPr>
          <w:rFonts w:ascii="Palatino Linotype"/>
          <w:sz w:val="15"/>
        </w:rPr>
      </w:pPr>
      <w:r>
        <w:rPr>
          <w:rFonts w:ascii="Palatino Linotype"/>
          <w:color w:val="231F20"/>
          <w:sz w:val="15"/>
        </w:rPr>
        <w:t>8,000,000</w:t>
      </w:r>
    </w:p>
    <w:p>
      <w:pPr>
        <w:pStyle w:val="BodyText"/>
        <w:spacing w:before="2"/>
        <w:rPr>
          <w:rFonts w:ascii="Palatino Linotype"/>
          <w:sz w:val="8"/>
        </w:rPr>
      </w:pPr>
    </w:p>
    <w:p>
      <w:pPr>
        <w:spacing w:before="56"/>
        <w:ind w:left="1365" w:right="1617" w:firstLine="0"/>
        <w:jc w:val="left"/>
        <w:rPr>
          <w:rFonts w:ascii="Palatino Linotype"/>
          <w:sz w:val="15"/>
        </w:rPr>
      </w:pPr>
      <w:r>
        <w:rPr>
          <w:rFonts w:ascii="Palatino Linotype"/>
          <w:color w:val="231F20"/>
          <w:sz w:val="15"/>
        </w:rPr>
        <w:t>6,000,000</w:t>
      </w:r>
    </w:p>
    <w:p>
      <w:pPr>
        <w:pStyle w:val="BodyText"/>
        <w:spacing w:before="2"/>
        <w:rPr>
          <w:rFonts w:ascii="Palatino Linotype"/>
          <w:sz w:val="8"/>
        </w:rPr>
      </w:pPr>
    </w:p>
    <w:p>
      <w:pPr>
        <w:spacing w:before="56"/>
        <w:ind w:left="1365" w:right="1617" w:firstLine="0"/>
        <w:jc w:val="left"/>
        <w:rPr>
          <w:rFonts w:ascii="Palatino Linotype"/>
          <w:sz w:val="15"/>
        </w:rPr>
      </w:pPr>
      <w:r>
        <w:rPr>
          <w:rFonts w:ascii="Palatino Linotype"/>
          <w:color w:val="231F20"/>
          <w:sz w:val="15"/>
        </w:rPr>
        <w:t>4,000,000</w:t>
      </w:r>
    </w:p>
    <w:p>
      <w:pPr>
        <w:pStyle w:val="BodyText"/>
        <w:spacing w:before="2"/>
        <w:rPr>
          <w:rFonts w:ascii="Palatino Linotype"/>
          <w:sz w:val="8"/>
        </w:rPr>
      </w:pPr>
    </w:p>
    <w:p>
      <w:pPr>
        <w:spacing w:before="57"/>
        <w:ind w:left="1365" w:right="1617" w:firstLine="0"/>
        <w:jc w:val="left"/>
        <w:rPr>
          <w:rFonts w:ascii="Palatino Linotype"/>
          <w:sz w:val="15"/>
        </w:rPr>
      </w:pPr>
      <w:r>
        <w:rPr>
          <w:rFonts w:ascii="Palatino Linotype"/>
          <w:color w:val="231F20"/>
          <w:sz w:val="15"/>
        </w:rPr>
        <w:t>2,000,000</w:t>
      </w:r>
    </w:p>
    <w:p>
      <w:pPr>
        <w:pStyle w:val="BodyText"/>
        <w:spacing w:before="2"/>
        <w:rPr>
          <w:rFonts w:ascii="Palatino Linotype"/>
          <w:sz w:val="8"/>
        </w:rPr>
      </w:pPr>
    </w:p>
    <w:p>
      <w:pPr>
        <w:spacing w:line="195" w:lineRule="exact" w:before="56"/>
        <w:ind w:left="1923" w:right="0" w:firstLine="0"/>
        <w:jc w:val="left"/>
        <w:rPr>
          <w:rFonts w:ascii="Palatino Linotype"/>
          <w:sz w:val="15"/>
        </w:rPr>
      </w:pPr>
      <w:r>
        <w:rPr>
          <w:rFonts w:ascii="Palatino Linotype"/>
          <w:color w:val="231F20"/>
          <w:w w:val="99"/>
          <w:sz w:val="15"/>
        </w:rPr>
        <w:t>0</w:t>
      </w:r>
    </w:p>
    <w:p>
      <w:pPr>
        <w:tabs>
          <w:tab w:pos="2966" w:val="left" w:leader="none"/>
          <w:tab w:pos="3625" w:val="left" w:leader="none"/>
          <w:tab w:pos="4283" w:val="left" w:leader="none"/>
          <w:tab w:pos="4942" w:val="left" w:leader="none"/>
          <w:tab w:pos="5600" w:val="left" w:leader="none"/>
        </w:tabs>
        <w:spacing w:line="195" w:lineRule="exact" w:before="0"/>
        <w:ind w:left="2308" w:right="1617" w:firstLine="0"/>
        <w:jc w:val="left"/>
        <w:rPr>
          <w:rFonts w:ascii="Palatino Linotype"/>
          <w:sz w:val="15"/>
        </w:rPr>
      </w:pPr>
      <w:r>
        <w:rPr>
          <w:rFonts w:ascii="Palatino Linotype"/>
          <w:color w:val="231F20"/>
          <w:sz w:val="15"/>
        </w:rPr>
        <w:t>1985</w:t>
        <w:tab/>
        <w:t>1988</w:t>
        <w:tab/>
        <w:t>1993</w:t>
        <w:tab/>
        <w:t>1998</w:t>
        <w:tab/>
        <w:t>2003</w:t>
        <w:tab/>
      </w:r>
      <w:r>
        <w:rPr>
          <w:rFonts w:ascii="Palatino Linotype"/>
          <w:color w:val="231F20"/>
          <w:spacing w:val="2"/>
          <w:sz w:val="15"/>
        </w:rPr>
        <w:t>2009</w:t>
      </w:r>
    </w:p>
    <w:p>
      <w:pPr>
        <w:pStyle w:val="BodyText"/>
        <w:rPr>
          <w:rFonts w:ascii="Palatino Linotype"/>
          <w:sz w:val="16"/>
        </w:rPr>
      </w:pPr>
    </w:p>
    <w:p>
      <w:pPr>
        <w:pStyle w:val="BodyText"/>
        <w:rPr>
          <w:rFonts w:ascii="Palatino Linotype"/>
          <w:sz w:val="16"/>
        </w:rPr>
      </w:pPr>
    </w:p>
    <w:p>
      <w:pPr>
        <w:pStyle w:val="BodyText"/>
        <w:spacing w:before="11"/>
        <w:rPr>
          <w:rFonts w:ascii="Palatino Linotype"/>
          <w:sz w:val="11"/>
        </w:rPr>
      </w:pPr>
    </w:p>
    <w:p>
      <w:pPr>
        <w:pStyle w:val="Heading4"/>
        <w:numPr>
          <w:ilvl w:val="0"/>
          <w:numId w:val="20"/>
        </w:numPr>
        <w:tabs>
          <w:tab w:pos="2488" w:val="left" w:leader="none"/>
        </w:tabs>
        <w:spacing w:line="240" w:lineRule="auto" w:before="0" w:after="0"/>
        <w:ind w:left="2487" w:right="0" w:hanging="230"/>
        <w:jc w:val="left"/>
      </w:pPr>
      <w:r>
        <w:rPr>
          <w:color w:val="231F20"/>
          <w:w w:val="90"/>
        </w:rPr>
        <w:t>Formación bruta de capital</w:t>
      </w:r>
      <w:r>
        <w:rPr>
          <w:color w:val="231F20"/>
          <w:spacing w:val="-4"/>
          <w:w w:val="90"/>
        </w:rPr>
        <w:t> </w:t>
      </w:r>
      <w:r>
        <w:rPr>
          <w:color w:val="231F20"/>
          <w:w w:val="90"/>
        </w:rPr>
        <w:t>fijo</w:t>
      </w:r>
    </w:p>
    <w:p>
      <w:pPr>
        <w:pStyle w:val="BodyText"/>
        <w:spacing w:before="3"/>
        <w:rPr>
          <w:rFonts w:ascii="Palatino Linotype"/>
          <w:b/>
          <w:sz w:val="15"/>
        </w:rPr>
      </w:pPr>
    </w:p>
    <w:p>
      <w:pPr>
        <w:spacing w:before="57"/>
        <w:ind w:left="1362" w:right="1617" w:firstLine="0"/>
        <w:jc w:val="left"/>
        <w:rPr>
          <w:rFonts w:ascii="Palatino Linotype"/>
          <w:sz w:val="15"/>
        </w:rPr>
      </w:pPr>
      <w:r>
        <w:rPr/>
        <w:pict>
          <v:group style="position:absolute;margin-left:166.465332pt;margin-top:7.719982pt;width:210pt;height:112.8pt;mso-position-horizontal-relative:page;mso-position-vertical-relative:paragraph;z-index:10360" coordorigin="3329,154" coordsize="4200,2256">
            <v:shape style="position:absolute;left:0;top:4644;width:7221;height:3868" coordorigin="0,4644" coordsize="7221,3868" path="m3335,2368l3335,160m3335,2368l7523,2368m7523,2368l7523,2404m7177,2368l7177,2404m6473,2368l6473,2404m5781,2368l5781,2404m5077,2368l5077,2404m4385,2368l4385,2404m3681,2368l3681,2404e" filled="false" stroked="true" strokeweight=".59682pt" strokecolor="#231f20">
              <v:path arrowok="t"/>
            </v:shape>
            <v:shape style="position:absolute;left:3681;top:435;width:3496;height:1862" coordorigin="3681,435" coordsize="3496,1862" path="m3681,1354l4385,1735,5077,1258,5781,435,6473,2296,7177,1676e" filled="false" stroked="true" strokeweight="1.78988pt" strokecolor="#5c5d5f">
              <v:path arrowok="t"/>
            </v:shape>
            <v:shape style="position:absolute;left:3616;top:1288;width:131;height:131" type="#_x0000_t75" stroked="false">
              <v:imagedata r:id="rId262" o:title=""/>
            </v:shape>
            <v:shape style="position:absolute;left:4320;top:1670;width:131;height:131" type="#_x0000_t75" stroked="false">
              <v:imagedata r:id="rId264" o:title=""/>
            </v:shape>
            <v:shape style="position:absolute;left:5012;top:1192;width:131;height:131" type="#_x0000_t75" stroked="false">
              <v:imagedata r:id="rId265" o:title=""/>
            </v:shape>
            <v:shape style="position:absolute;left:5716;top:369;width:131;height:131" type="#_x0000_t75" stroked="false">
              <v:imagedata r:id="rId266" o:title=""/>
            </v:shape>
            <v:shape style="position:absolute;left:6408;top:2230;width:131;height:131" type="#_x0000_t75" stroked="false">
              <v:imagedata r:id="rId267" o:title=""/>
            </v:shape>
            <v:shape style="position:absolute;left:7112;top:1610;width:131;height:131" type="#_x0000_t75" stroked="false">
              <v:imagedata r:id="rId268" o:title=""/>
            </v:shape>
            <w10:wrap type="none"/>
          </v:group>
        </w:pict>
      </w:r>
      <w:r>
        <w:rPr>
          <w:rFonts w:ascii="Palatino Linotype"/>
          <w:color w:val="231F20"/>
          <w:sz w:val="15"/>
        </w:rPr>
        <w:t>1,200,000</w:t>
      </w:r>
    </w:p>
    <w:p>
      <w:pPr>
        <w:pStyle w:val="BodyText"/>
        <w:spacing w:before="2"/>
        <w:rPr>
          <w:rFonts w:ascii="Palatino Linotype"/>
          <w:sz w:val="8"/>
        </w:rPr>
      </w:pPr>
    </w:p>
    <w:p>
      <w:pPr>
        <w:spacing w:before="57"/>
        <w:ind w:left="1362" w:right="1617" w:firstLine="0"/>
        <w:jc w:val="left"/>
        <w:rPr>
          <w:rFonts w:ascii="Palatino Linotype"/>
          <w:sz w:val="15"/>
        </w:rPr>
      </w:pPr>
      <w:r>
        <w:rPr>
          <w:rFonts w:ascii="Palatino Linotype"/>
          <w:color w:val="231F20"/>
          <w:sz w:val="15"/>
        </w:rPr>
        <w:t>1,000,000</w:t>
      </w:r>
    </w:p>
    <w:p>
      <w:pPr>
        <w:pStyle w:val="BodyText"/>
        <w:spacing w:before="2"/>
        <w:rPr>
          <w:rFonts w:ascii="Palatino Linotype"/>
          <w:sz w:val="8"/>
        </w:rPr>
      </w:pPr>
    </w:p>
    <w:p>
      <w:pPr>
        <w:spacing w:before="56"/>
        <w:ind w:left="1481" w:right="1617" w:firstLine="0"/>
        <w:jc w:val="left"/>
        <w:rPr>
          <w:rFonts w:ascii="Palatino Linotype"/>
          <w:sz w:val="15"/>
        </w:rPr>
      </w:pPr>
      <w:r>
        <w:rPr>
          <w:rFonts w:ascii="Palatino Linotype"/>
          <w:color w:val="231F20"/>
          <w:sz w:val="15"/>
        </w:rPr>
        <w:t>800,000</w:t>
      </w:r>
    </w:p>
    <w:p>
      <w:pPr>
        <w:pStyle w:val="BodyText"/>
        <w:spacing w:before="2"/>
        <w:rPr>
          <w:rFonts w:ascii="Palatino Linotype"/>
          <w:sz w:val="8"/>
        </w:rPr>
      </w:pPr>
    </w:p>
    <w:p>
      <w:pPr>
        <w:spacing w:before="56"/>
        <w:ind w:left="1481" w:right="1617" w:firstLine="0"/>
        <w:jc w:val="left"/>
        <w:rPr>
          <w:rFonts w:ascii="Palatino Linotype"/>
          <w:sz w:val="15"/>
        </w:rPr>
      </w:pPr>
      <w:r>
        <w:rPr>
          <w:rFonts w:ascii="Palatino Linotype"/>
          <w:color w:val="231F20"/>
          <w:sz w:val="15"/>
        </w:rPr>
        <w:t>600,000</w:t>
      </w:r>
    </w:p>
    <w:p>
      <w:pPr>
        <w:pStyle w:val="BodyText"/>
        <w:spacing w:before="2"/>
        <w:rPr>
          <w:rFonts w:ascii="Palatino Linotype"/>
          <w:sz w:val="8"/>
        </w:rPr>
      </w:pPr>
    </w:p>
    <w:p>
      <w:pPr>
        <w:spacing w:before="56"/>
        <w:ind w:left="1481" w:right="1617" w:firstLine="0"/>
        <w:jc w:val="left"/>
        <w:rPr>
          <w:rFonts w:ascii="Palatino Linotype"/>
          <w:sz w:val="15"/>
        </w:rPr>
      </w:pPr>
      <w:r>
        <w:rPr>
          <w:rFonts w:ascii="Palatino Linotype"/>
          <w:color w:val="231F20"/>
          <w:sz w:val="15"/>
        </w:rPr>
        <w:t>400,000</w:t>
      </w:r>
    </w:p>
    <w:p>
      <w:pPr>
        <w:pStyle w:val="BodyText"/>
        <w:spacing w:before="2"/>
        <w:rPr>
          <w:rFonts w:ascii="Palatino Linotype"/>
          <w:sz w:val="8"/>
        </w:rPr>
      </w:pPr>
    </w:p>
    <w:p>
      <w:pPr>
        <w:spacing w:before="57"/>
        <w:ind w:left="1481" w:right="1617" w:firstLine="0"/>
        <w:jc w:val="left"/>
        <w:rPr>
          <w:rFonts w:ascii="Palatino Linotype"/>
          <w:sz w:val="15"/>
        </w:rPr>
      </w:pPr>
      <w:r>
        <w:rPr>
          <w:rFonts w:ascii="Palatino Linotype"/>
          <w:color w:val="231F20"/>
          <w:sz w:val="15"/>
        </w:rPr>
        <w:t>200,000</w:t>
      </w:r>
    </w:p>
    <w:p>
      <w:pPr>
        <w:pStyle w:val="BodyText"/>
        <w:spacing w:before="2"/>
        <w:rPr>
          <w:rFonts w:ascii="Palatino Linotype"/>
          <w:sz w:val="8"/>
        </w:rPr>
      </w:pPr>
    </w:p>
    <w:p>
      <w:pPr>
        <w:spacing w:line="195" w:lineRule="exact" w:before="56"/>
        <w:ind w:left="1920" w:right="0" w:firstLine="0"/>
        <w:jc w:val="left"/>
        <w:rPr>
          <w:rFonts w:ascii="Palatino Linotype"/>
          <w:sz w:val="15"/>
        </w:rPr>
      </w:pPr>
      <w:r>
        <w:rPr>
          <w:rFonts w:ascii="Palatino Linotype"/>
          <w:color w:val="231F20"/>
          <w:w w:val="99"/>
          <w:sz w:val="15"/>
        </w:rPr>
        <w:t>0</w:t>
      </w:r>
    </w:p>
    <w:p>
      <w:pPr>
        <w:tabs>
          <w:tab w:pos="3025" w:val="left" w:leader="none"/>
          <w:tab w:pos="3724" w:val="left" w:leader="none"/>
          <w:tab w:pos="4424" w:val="left" w:leader="none"/>
          <w:tab w:pos="5123" w:val="left" w:leader="none"/>
          <w:tab w:pos="5823" w:val="left" w:leader="none"/>
        </w:tabs>
        <w:spacing w:line="195" w:lineRule="exact" w:before="0"/>
        <w:ind w:left="2325" w:right="1617" w:firstLine="0"/>
        <w:jc w:val="left"/>
        <w:rPr>
          <w:rFonts w:ascii="Palatino Linotype"/>
          <w:sz w:val="15"/>
        </w:rPr>
      </w:pPr>
      <w:r>
        <w:rPr>
          <w:rFonts w:ascii="Palatino Linotype"/>
          <w:color w:val="231F20"/>
          <w:sz w:val="15"/>
        </w:rPr>
        <w:t>1985</w:t>
        <w:tab/>
        <w:t>1988</w:t>
        <w:tab/>
        <w:t>1993</w:t>
        <w:tab/>
        <w:t>1998</w:t>
        <w:tab/>
        <w:t>2003</w:t>
        <w:tab/>
      </w:r>
      <w:r>
        <w:rPr>
          <w:rFonts w:ascii="Palatino Linotype"/>
          <w:color w:val="231F20"/>
          <w:spacing w:val="2"/>
          <w:sz w:val="15"/>
        </w:rPr>
        <w:t>2009</w:t>
      </w:r>
    </w:p>
    <w:p>
      <w:pPr>
        <w:pStyle w:val="BodyText"/>
        <w:spacing w:before="3"/>
        <w:rPr>
          <w:rFonts w:ascii="Palatino Linotype"/>
          <w:sz w:val="27"/>
        </w:rPr>
      </w:pPr>
    </w:p>
    <w:p>
      <w:pPr>
        <w:spacing w:before="41"/>
        <w:ind w:left="103" w:right="1617" w:firstLine="0"/>
        <w:jc w:val="left"/>
        <w:rPr>
          <w:sz w:val="19"/>
        </w:rPr>
      </w:pPr>
      <w:r>
        <w:rPr>
          <w:rFonts w:ascii="Palatino Linotype" w:hAnsi="Palatino Linotype"/>
          <w:i/>
          <w:color w:val="231F20"/>
          <w:sz w:val="19"/>
        </w:rPr>
        <w:t>Fuente: </w:t>
      </w:r>
      <w:r>
        <w:rPr>
          <w:color w:val="231F20"/>
          <w:sz w:val="19"/>
        </w:rPr>
        <w:t>Elaboración propia, datos de INEGI (1998, 2003, 2010).</w:t>
      </w:r>
    </w:p>
    <w:p>
      <w:pPr>
        <w:spacing w:after="0"/>
        <w:jc w:val="left"/>
        <w:rPr>
          <w:sz w:val="19"/>
        </w:rPr>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100"/>
        <w:jc w:val="both"/>
      </w:pPr>
      <w:r>
        <w:rPr>
          <w:color w:val="231F20"/>
        </w:rPr>
        <w:t>En relación con la generación de empleo, se observa que el personal ocupado en este sector a partir de 1993 ha disminuido de manera considerable: se perdieron cerca de  4 mil empleos de 1993 a 2003, mostrándose un ligero repunte en 2009 (véase gráfica </w:t>
      </w:r>
      <w:r>
        <w:rPr>
          <w:color w:val="231F20"/>
          <w:spacing w:val="-5"/>
        </w:rPr>
        <w:t>IV.6a). </w:t>
      </w:r>
      <w:r>
        <w:rPr>
          <w:color w:val="231F20"/>
        </w:rPr>
        <w:t>Sin embargo, a pesar de esta pérdida de empleos, la productividad media del trabajo</w:t>
      </w:r>
      <w:r>
        <w:rPr>
          <w:color w:val="231F20"/>
          <w:spacing w:val="-9"/>
        </w:rPr>
        <w:t> </w:t>
      </w:r>
      <w:r>
        <w:rPr>
          <w:color w:val="231F20"/>
        </w:rPr>
        <w:t>del</w:t>
      </w:r>
      <w:r>
        <w:rPr>
          <w:color w:val="231F20"/>
          <w:spacing w:val="-9"/>
        </w:rPr>
        <w:t> </w:t>
      </w:r>
      <w:r>
        <w:rPr>
          <w:color w:val="231F20"/>
        </w:rPr>
        <w:t>sector</w:t>
      </w:r>
      <w:r>
        <w:rPr>
          <w:rFonts w:ascii="Palatino Linotype" w:hAnsi="Palatino Linotype"/>
          <w:b/>
          <w:color w:val="231F20"/>
          <w:position w:val="7"/>
          <w:sz w:val="12"/>
        </w:rPr>
        <w:t>3</w:t>
      </w:r>
      <w:r>
        <w:rPr>
          <w:rFonts w:ascii="Palatino Linotype" w:hAnsi="Palatino Linotype"/>
          <w:b/>
          <w:color w:val="231F20"/>
          <w:spacing w:val="13"/>
          <w:position w:val="7"/>
          <w:sz w:val="12"/>
        </w:rPr>
        <w:t> </w:t>
      </w:r>
      <w:r>
        <w:rPr>
          <w:color w:val="231F20"/>
        </w:rPr>
        <w:t>ha</w:t>
      </w:r>
      <w:r>
        <w:rPr>
          <w:color w:val="231F20"/>
          <w:spacing w:val="-9"/>
        </w:rPr>
        <w:t> </w:t>
      </w:r>
      <w:r>
        <w:rPr>
          <w:color w:val="231F20"/>
        </w:rPr>
        <w:t>crecido,</w:t>
      </w:r>
      <w:r>
        <w:rPr>
          <w:color w:val="231F20"/>
          <w:spacing w:val="-9"/>
        </w:rPr>
        <w:t> </w:t>
      </w:r>
      <w:r>
        <w:rPr>
          <w:color w:val="231F20"/>
        </w:rPr>
        <w:t>lo</w:t>
      </w:r>
      <w:r>
        <w:rPr>
          <w:color w:val="231F20"/>
          <w:spacing w:val="-9"/>
        </w:rPr>
        <w:t> </w:t>
      </w:r>
      <w:r>
        <w:rPr>
          <w:color w:val="231F20"/>
        </w:rPr>
        <w:t>que</w:t>
      </w:r>
      <w:r>
        <w:rPr>
          <w:color w:val="231F20"/>
          <w:spacing w:val="-9"/>
        </w:rPr>
        <w:t> </w:t>
      </w:r>
      <w:r>
        <w:rPr>
          <w:color w:val="231F20"/>
        </w:rPr>
        <w:t>hace</w:t>
      </w:r>
      <w:r>
        <w:rPr>
          <w:color w:val="231F20"/>
          <w:spacing w:val="-9"/>
        </w:rPr>
        <w:t> </w:t>
      </w:r>
      <w:r>
        <w:rPr>
          <w:color w:val="231F20"/>
        </w:rPr>
        <w:t>suponer</w:t>
      </w:r>
      <w:r>
        <w:rPr>
          <w:color w:val="231F20"/>
          <w:spacing w:val="-9"/>
        </w:rPr>
        <w:t> </w:t>
      </w:r>
      <w:r>
        <w:rPr>
          <w:color w:val="231F20"/>
        </w:rPr>
        <w:t>una</w:t>
      </w:r>
      <w:r>
        <w:rPr>
          <w:color w:val="231F20"/>
          <w:spacing w:val="-9"/>
        </w:rPr>
        <w:t> </w:t>
      </w:r>
      <w:r>
        <w:rPr>
          <w:color w:val="231F20"/>
        </w:rPr>
        <w:t>mayor</w:t>
      </w:r>
      <w:r>
        <w:rPr>
          <w:color w:val="231F20"/>
          <w:spacing w:val="-9"/>
        </w:rPr>
        <w:t> </w:t>
      </w:r>
      <w:r>
        <w:rPr>
          <w:color w:val="231F20"/>
        </w:rPr>
        <w:t>intensificación</w:t>
      </w:r>
      <w:r>
        <w:rPr>
          <w:color w:val="231F20"/>
          <w:spacing w:val="-9"/>
        </w:rPr>
        <w:t> </w:t>
      </w:r>
      <w:r>
        <w:rPr>
          <w:color w:val="231F20"/>
        </w:rPr>
        <w:t>del</w:t>
      </w:r>
      <w:r>
        <w:rPr>
          <w:color w:val="231F20"/>
          <w:spacing w:val="-9"/>
        </w:rPr>
        <w:t> </w:t>
      </w:r>
      <w:r>
        <w:rPr>
          <w:color w:val="231F20"/>
        </w:rPr>
        <w:t>traba- jo</w:t>
      </w:r>
      <w:r>
        <w:rPr>
          <w:color w:val="231F20"/>
          <w:spacing w:val="-22"/>
        </w:rPr>
        <w:t> </w:t>
      </w:r>
      <w:r>
        <w:rPr>
          <w:color w:val="231F20"/>
        </w:rPr>
        <w:t>(véase</w:t>
      </w:r>
      <w:r>
        <w:rPr>
          <w:color w:val="231F20"/>
          <w:spacing w:val="-22"/>
        </w:rPr>
        <w:t> </w:t>
      </w:r>
      <w:r>
        <w:rPr>
          <w:color w:val="231F20"/>
        </w:rPr>
        <w:t>gráfica</w:t>
      </w:r>
      <w:r>
        <w:rPr>
          <w:color w:val="231F20"/>
          <w:spacing w:val="-22"/>
        </w:rPr>
        <w:t> </w:t>
      </w:r>
      <w:r>
        <w:rPr>
          <w:color w:val="231F20"/>
          <w:spacing w:val="-5"/>
        </w:rPr>
        <w:t>IV.6b).</w:t>
      </w:r>
    </w:p>
    <w:p>
      <w:pPr>
        <w:pStyle w:val="BodyText"/>
        <w:spacing w:before="8"/>
        <w:rPr>
          <w:sz w:val="17"/>
        </w:rPr>
      </w:pPr>
    </w:p>
    <w:p>
      <w:pPr>
        <w:pStyle w:val="Heading4"/>
        <w:ind w:left="775" w:right="166"/>
      </w:pPr>
      <w:r>
        <w:rPr>
          <w:color w:val="231F20"/>
          <w:w w:val="90"/>
        </w:rPr>
        <w:t>Gráficas IV.6</w:t>
      </w:r>
    </w:p>
    <w:p>
      <w:pPr>
        <w:spacing w:line="237" w:lineRule="auto" w:before="0"/>
        <w:ind w:left="778" w:right="166" w:firstLine="0"/>
        <w:jc w:val="center"/>
        <w:rPr>
          <w:rFonts w:ascii="Palatino Linotype" w:hAnsi="Palatino Linotype"/>
          <w:b/>
          <w:sz w:val="21"/>
        </w:rPr>
      </w:pPr>
      <w:r>
        <w:rPr>
          <w:rFonts w:ascii="Palatino Linotype" w:hAnsi="Palatino Linotype"/>
          <w:b/>
          <w:color w:val="231F20"/>
          <w:w w:val="95"/>
          <w:sz w:val="21"/>
        </w:rPr>
        <w:t>Estado</w:t>
      </w:r>
      <w:r>
        <w:rPr>
          <w:rFonts w:ascii="Palatino Linotype" w:hAnsi="Palatino Linotype"/>
          <w:b/>
          <w:color w:val="231F20"/>
          <w:spacing w:val="-33"/>
          <w:w w:val="95"/>
          <w:sz w:val="21"/>
        </w:rPr>
        <w:t> </w:t>
      </w:r>
      <w:r>
        <w:rPr>
          <w:rFonts w:ascii="Palatino Linotype" w:hAnsi="Palatino Linotype"/>
          <w:b/>
          <w:color w:val="231F20"/>
          <w:w w:val="95"/>
          <w:sz w:val="21"/>
        </w:rPr>
        <w:t>de</w:t>
      </w:r>
      <w:r>
        <w:rPr>
          <w:rFonts w:ascii="Palatino Linotype" w:hAnsi="Palatino Linotype"/>
          <w:b/>
          <w:color w:val="231F20"/>
          <w:spacing w:val="-33"/>
          <w:w w:val="95"/>
          <w:sz w:val="21"/>
        </w:rPr>
        <w:t> </w:t>
      </w:r>
      <w:r>
        <w:rPr>
          <w:rFonts w:ascii="Palatino Linotype" w:hAnsi="Palatino Linotype"/>
          <w:b/>
          <w:color w:val="231F20"/>
          <w:w w:val="95"/>
          <w:sz w:val="21"/>
        </w:rPr>
        <w:t>México:</w:t>
      </w:r>
      <w:r>
        <w:rPr>
          <w:rFonts w:ascii="Palatino Linotype" w:hAnsi="Palatino Linotype"/>
          <w:b/>
          <w:color w:val="231F20"/>
          <w:spacing w:val="-33"/>
          <w:w w:val="95"/>
          <w:sz w:val="21"/>
        </w:rPr>
        <w:t> </w:t>
      </w:r>
      <w:r>
        <w:rPr>
          <w:rFonts w:ascii="Palatino Linotype" w:hAnsi="Palatino Linotype"/>
          <w:b/>
          <w:color w:val="231F20"/>
          <w:w w:val="95"/>
          <w:sz w:val="21"/>
        </w:rPr>
        <w:t>personal</w:t>
      </w:r>
      <w:r>
        <w:rPr>
          <w:rFonts w:ascii="Palatino Linotype" w:hAnsi="Palatino Linotype"/>
          <w:b/>
          <w:color w:val="231F20"/>
          <w:spacing w:val="-33"/>
          <w:w w:val="95"/>
          <w:sz w:val="21"/>
        </w:rPr>
        <w:t> </w:t>
      </w:r>
      <w:r>
        <w:rPr>
          <w:rFonts w:ascii="Palatino Linotype" w:hAnsi="Palatino Linotype"/>
          <w:b/>
          <w:color w:val="231F20"/>
          <w:w w:val="95"/>
          <w:sz w:val="21"/>
        </w:rPr>
        <w:t>ocupado</w:t>
      </w:r>
      <w:r>
        <w:rPr>
          <w:rFonts w:ascii="Palatino Linotype" w:hAnsi="Palatino Linotype"/>
          <w:b/>
          <w:color w:val="231F20"/>
          <w:spacing w:val="-33"/>
          <w:w w:val="95"/>
          <w:sz w:val="21"/>
        </w:rPr>
        <w:t> </w:t>
      </w:r>
      <w:r>
        <w:rPr>
          <w:rFonts w:ascii="Palatino Linotype" w:hAnsi="Palatino Linotype"/>
          <w:b/>
          <w:color w:val="231F20"/>
          <w:w w:val="95"/>
          <w:sz w:val="21"/>
        </w:rPr>
        <w:t>e</w:t>
      </w:r>
      <w:r>
        <w:rPr>
          <w:rFonts w:ascii="Palatino Linotype" w:hAnsi="Palatino Linotype"/>
          <w:b/>
          <w:color w:val="231F20"/>
          <w:spacing w:val="-33"/>
          <w:w w:val="95"/>
          <w:sz w:val="21"/>
        </w:rPr>
        <w:t> </w:t>
      </w:r>
      <w:r>
        <w:rPr>
          <w:rFonts w:ascii="Palatino Linotype" w:hAnsi="Palatino Linotype"/>
          <w:b/>
          <w:color w:val="231F20"/>
          <w:w w:val="95"/>
          <w:sz w:val="21"/>
        </w:rPr>
        <w:t>índice</w:t>
      </w:r>
      <w:r>
        <w:rPr>
          <w:rFonts w:ascii="Palatino Linotype" w:hAnsi="Palatino Linotype"/>
          <w:b/>
          <w:color w:val="231F20"/>
          <w:spacing w:val="-33"/>
          <w:w w:val="95"/>
          <w:sz w:val="21"/>
        </w:rPr>
        <w:t> </w:t>
      </w:r>
      <w:r>
        <w:rPr>
          <w:rFonts w:ascii="Palatino Linotype" w:hAnsi="Palatino Linotype"/>
          <w:b/>
          <w:color w:val="231F20"/>
          <w:w w:val="95"/>
          <w:sz w:val="21"/>
        </w:rPr>
        <w:t>de</w:t>
      </w:r>
      <w:r>
        <w:rPr>
          <w:rFonts w:ascii="Palatino Linotype" w:hAnsi="Palatino Linotype"/>
          <w:b/>
          <w:color w:val="231F20"/>
          <w:spacing w:val="-33"/>
          <w:w w:val="95"/>
          <w:sz w:val="21"/>
        </w:rPr>
        <w:t> </w:t>
      </w:r>
      <w:r>
        <w:rPr>
          <w:rFonts w:ascii="Palatino Linotype" w:hAnsi="Palatino Linotype"/>
          <w:b/>
          <w:color w:val="231F20"/>
          <w:w w:val="95"/>
          <w:sz w:val="21"/>
        </w:rPr>
        <w:t>productividad</w:t>
      </w:r>
      <w:r>
        <w:rPr>
          <w:rFonts w:ascii="Palatino Linotype" w:hAnsi="Palatino Linotype"/>
          <w:b/>
          <w:color w:val="231F20"/>
          <w:spacing w:val="-33"/>
          <w:w w:val="95"/>
          <w:sz w:val="21"/>
        </w:rPr>
        <w:t> </w:t>
      </w:r>
      <w:r>
        <w:rPr>
          <w:rFonts w:ascii="Palatino Linotype" w:hAnsi="Palatino Linotype"/>
          <w:b/>
          <w:color w:val="231F20"/>
          <w:w w:val="95"/>
          <w:sz w:val="21"/>
        </w:rPr>
        <w:t>para</w:t>
      </w:r>
      <w:r>
        <w:rPr>
          <w:rFonts w:ascii="Palatino Linotype" w:hAnsi="Palatino Linotype"/>
          <w:b/>
          <w:color w:val="231F20"/>
          <w:spacing w:val="-33"/>
          <w:w w:val="95"/>
          <w:sz w:val="21"/>
        </w:rPr>
        <w:t> </w:t>
      </w:r>
      <w:r>
        <w:rPr>
          <w:rFonts w:ascii="Palatino Linotype" w:hAnsi="Palatino Linotype"/>
          <w:b/>
          <w:color w:val="231F20"/>
          <w:w w:val="95"/>
          <w:sz w:val="21"/>
        </w:rPr>
        <w:t>el</w:t>
      </w:r>
      <w:r>
        <w:rPr>
          <w:rFonts w:ascii="Palatino Linotype" w:hAnsi="Palatino Linotype"/>
          <w:b/>
          <w:color w:val="231F20"/>
          <w:spacing w:val="-33"/>
          <w:w w:val="95"/>
          <w:sz w:val="21"/>
        </w:rPr>
        <w:t> </w:t>
      </w:r>
      <w:r>
        <w:rPr>
          <w:rFonts w:ascii="Palatino Linotype" w:hAnsi="Palatino Linotype"/>
          <w:b/>
          <w:color w:val="231F20"/>
          <w:w w:val="95"/>
          <w:sz w:val="21"/>
        </w:rPr>
        <w:t>sector automotriz,</w:t>
      </w:r>
      <w:r>
        <w:rPr>
          <w:rFonts w:ascii="Palatino Linotype" w:hAnsi="Palatino Linotype"/>
          <w:b/>
          <w:color w:val="231F20"/>
          <w:spacing w:val="-4"/>
          <w:w w:val="95"/>
          <w:sz w:val="21"/>
        </w:rPr>
        <w:t> </w:t>
      </w:r>
      <w:r>
        <w:rPr>
          <w:rFonts w:ascii="Palatino Linotype" w:hAnsi="Palatino Linotype"/>
          <w:b/>
          <w:color w:val="231F20"/>
          <w:w w:val="95"/>
          <w:sz w:val="21"/>
        </w:rPr>
        <w:t>1985-2009</w:t>
      </w:r>
    </w:p>
    <w:p>
      <w:pPr>
        <w:pStyle w:val="ListParagraph"/>
        <w:numPr>
          <w:ilvl w:val="1"/>
          <w:numId w:val="20"/>
        </w:numPr>
        <w:tabs>
          <w:tab w:pos="3652" w:val="left" w:leader="none"/>
        </w:tabs>
        <w:spacing w:line="240" w:lineRule="auto" w:before="167" w:after="0"/>
        <w:ind w:left="3651" w:right="0" w:hanging="216"/>
        <w:jc w:val="left"/>
        <w:rPr>
          <w:rFonts w:ascii="Palatino Linotype"/>
          <w:b/>
          <w:sz w:val="21"/>
        </w:rPr>
      </w:pPr>
      <w:r>
        <w:rPr>
          <w:rFonts w:ascii="Palatino Linotype"/>
          <w:b/>
          <w:color w:val="231F20"/>
          <w:w w:val="90"/>
          <w:sz w:val="21"/>
        </w:rPr>
        <w:t>Personal</w:t>
      </w:r>
      <w:r>
        <w:rPr>
          <w:rFonts w:ascii="Palatino Linotype"/>
          <w:b/>
          <w:color w:val="231F20"/>
          <w:spacing w:val="8"/>
          <w:w w:val="90"/>
          <w:sz w:val="21"/>
        </w:rPr>
        <w:t> </w:t>
      </w:r>
      <w:r>
        <w:rPr>
          <w:rFonts w:ascii="Palatino Linotype"/>
          <w:b/>
          <w:color w:val="231F20"/>
          <w:w w:val="90"/>
          <w:sz w:val="21"/>
        </w:rPr>
        <w:t>ocupado</w:t>
      </w:r>
    </w:p>
    <w:p>
      <w:pPr>
        <w:pStyle w:val="BodyText"/>
        <w:spacing w:before="8"/>
        <w:rPr>
          <w:rFonts w:ascii="Palatino Linotype"/>
          <w:b/>
          <w:sz w:val="19"/>
        </w:rPr>
      </w:pPr>
    </w:p>
    <w:p>
      <w:pPr>
        <w:spacing w:after="0"/>
        <w:rPr>
          <w:rFonts w:ascii="Palatino Linotype"/>
          <w:sz w:val="19"/>
        </w:rPr>
        <w:sectPr>
          <w:footerReference w:type="even" r:id="rId269"/>
          <w:footerReference w:type="default" r:id="rId270"/>
          <w:pgSz w:w="9640" w:h="13040"/>
          <w:pgMar w:footer="654" w:header="581" w:top="780" w:bottom="840" w:left="420" w:right="1200"/>
          <w:pgNumType w:start="122"/>
        </w:sectPr>
      </w:pPr>
    </w:p>
    <w:p>
      <w:pPr>
        <w:spacing w:before="50"/>
        <w:ind w:left="0" w:right="0" w:firstLine="0"/>
        <w:jc w:val="right"/>
        <w:rPr>
          <w:rFonts w:ascii="Palatino Linotype"/>
          <w:sz w:val="16"/>
        </w:rPr>
      </w:pPr>
      <w:r>
        <w:rPr>
          <w:rFonts w:ascii="Palatino Linotype"/>
          <w:color w:val="231F20"/>
          <w:w w:val="95"/>
          <w:sz w:val="16"/>
        </w:rPr>
        <w:t>50,000</w:t>
      </w:r>
    </w:p>
    <w:p>
      <w:pPr>
        <w:spacing w:before="70"/>
        <w:ind w:left="0" w:right="0" w:firstLine="0"/>
        <w:jc w:val="right"/>
        <w:rPr>
          <w:rFonts w:ascii="Palatino Linotype"/>
          <w:sz w:val="16"/>
        </w:rPr>
      </w:pPr>
      <w:r>
        <w:rPr>
          <w:rFonts w:ascii="Palatino Linotype"/>
          <w:color w:val="231F20"/>
          <w:w w:val="95"/>
          <w:sz w:val="16"/>
        </w:rPr>
        <w:t>48,000</w:t>
      </w:r>
    </w:p>
    <w:p>
      <w:pPr>
        <w:spacing w:before="70"/>
        <w:ind w:left="0" w:right="0" w:firstLine="0"/>
        <w:jc w:val="right"/>
        <w:rPr>
          <w:rFonts w:ascii="Palatino Linotype"/>
          <w:sz w:val="16"/>
        </w:rPr>
      </w:pPr>
      <w:r>
        <w:rPr>
          <w:rFonts w:ascii="Palatino Linotype"/>
          <w:color w:val="231F20"/>
          <w:w w:val="95"/>
          <w:sz w:val="16"/>
        </w:rPr>
        <w:t>46,000</w:t>
      </w:r>
    </w:p>
    <w:p>
      <w:pPr>
        <w:spacing w:before="70"/>
        <w:ind w:left="0" w:right="0" w:firstLine="0"/>
        <w:jc w:val="right"/>
        <w:rPr>
          <w:rFonts w:ascii="Palatino Linotype"/>
          <w:sz w:val="16"/>
        </w:rPr>
      </w:pPr>
      <w:r>
        <w:rPr>
          <w:rFonts w:ascii="Palatino Linotype"/>
          <w:color w:val="231F20"/>
          <w:w w:val="95"/>
          <w:sz w:val="16"/>
        </w:rPr>
        <w:t>44,000</w:t>
      </w:r>
    </w:p>
    <w:p>
      <w:pPr>
        <w:spacing w:before="70"/>
        <w:ind w:left="0" w:right="0" w:firstLine="0"/>
        <w:jc w:val="right"/>
        <w:rPr>
          <w:rFonts w:ascii="Palatino Linotype"/>
          <w:sz w:val="16"/>
        </w:rPr>
      </w:pPr>
      <w:r>
        <w:rPr>
          <w:rFonts w:ascii="Palatino Linotype"/>
          <w:color w:val="231F20"/>
          <w:w w:val="95"/>
          <w:sz w:val="16"/>
        </w:rPr>
        <w:t>42,000</w:t>
      </w:r>
    </w:p>
    <w:p>
      <w:pPr>
        <w:spacing w:before="70"/>
        <w:ind w:left="0" w:right="0" w:firstLine="0"/>
        <w:jc w:val="right"/>
        <w:rPr>
          <w:rFonts w:ascii="Palatino Linotype"/>
          <w:sz w:val="16"/>
        </w:rPr>
      </w:pPr>
      <w:r>
        <w:rPr>
          <w:rFonts w:ascii="Palatino Linotype"/>
          <w:color w:val="231F20"/>
          <w:w w:val="95"/>
          <w:sz w:val="16"/>
        </w:rPr>
        <w:t>40,000</w:t>
      </w:r>
    </w:p>
    <w:p>
      <w:pPr>
        <w:spacing w:before="70"/>
        <w:ind w:left="0" w:right="0" w:firstLine="0"/>
        <w:jc w:val="right"/>
        <w:rPr>
          <w:rFonts w:ascii="Palatino Linotype"/>
          <w:sz w:val="16"/>
        </w:rPr>
      </w:pPr>
      <w:r>
        <w:rPr>
          <w:rFonts w:ascii="Palatino Linotype"/>
          <w:color w:val="231F20"/>
          <w:w w:val="95"/>
          <w:sz w:val="16"/>
        </w:rPr>
        <w:t>38,000</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spacing w:before="11"/>
        <w:rPr>
          <w:rFonts w:ascii="Palatino Linotype"/>
          <w:sz w:val="20"/>
        </w:rPr>
      </w:pPr>
    </w:p>
    <w:p>
      <w:pPr>
        <w:spacing w:before="0"/>
        <w:ind w:left="572" w:right="-6" w:firstLine="0"/>
        <w:jc w:val="left"/>
        <w:rPr>
          <w:rFonts w:ascii="Palatino Linotype"/>
          <w:sz w:val="16"/>
        </w:rPr>
      </w:pPr>
      <w:r>
        <w:rPr>
          <w:rFonts w:ascii="Palatino Linotype"/>
          <w:color w:val="231F20"/>
          <w:spacing w:val="-7"/>
          <w:w w:val="95"/>
          <w:sz w:val="16"/>
        </w:rPr>
        <w:t>42,361</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spacing w:before="3"/>
        <w:rPr>
          <w:rFonts w:ascii="Palatino Linotype"/>
          <w:sz w:val="17"/>
        </w:rPr>
      </w:pPr>
    </w:p>
    <w:p>
      <w:pPr>
        <w:spacing w:before="0"/>
        <w:ind w:left="142" w:right="-7" w:firstLine="0"/>
        <w:jc w:val="left"/>
        <w:rPr>
          <w:rFonts w:ascii="Palatino Linotype"/>
          <w:sz w:val="16"/>
        </w:rPr>
      </w:pPr>
      <w:r>
        <w:rPr>
          <w:rFonts w:ascii="Palatino Linotype"/>
          <w:color w:val="231F20"/>
          <w:spacing w:val="-7"/>
          <w:w w:val="95"/>
          <w:sz w:val="16"/>
        </w:rPr>
        <w:t>44,206</w:t>
      </w:r>
    </w:p>
    <w:p>
      <w:pPr>
        <w:pStyle w:val="BodyText"/>
        <w:rPr>
          <w:rFonts w:ascii="Palatino Linotype"/>
          <w:sz w:val="18"/>
        </w:rPr>
      </w:pPr>
      <w:r>
        <w:rPr/>
        <w:br w:type="column"/>
      </w:r>
      <w:r>
        <w:rPr>
          <w:rFonts w:ascii="Palatino Linotype"/>
          <w:sz w:val="18"/>
        </w:rPr>
      </w:r>
    </w:p>
    <w:p>
      <w:pPr>
        <w:spacing w:line="215" w:lineRule="exact" w:before="0"/>
        <w:ind w:left="142" w:right="-13" w:firstLine="0"/>
        <w:jc w:val="left"/>
        <w:rPr>
          <w:rFonts w:ascii="Palatino Linotype"/>
          <w:sz w:val="16"/>
        </w:rPr>
      </w:pPr>
      <w:r>
        <w:rPr>
          <w:rFonts w:ascii="Palatino Linotype"/>
          <w:color w:val="231F20"/>
          <w:sz w:val="16"/>
        </w:rPr>
        <w:t>48,042</w:t>
      </w:r>
    </w:p>
    <w:p>
      <w:pPr>
        <w:spacing w:line="215" w:lineRule="exact" w:before="0"/>
        <w:ind w:left="714" w:right="-7" w:firstLine="0"/>
        <w:jc w:val="left"/>
        <w:rPr>
          <w:rFonts w:ascii="Palatino Linotype"/>
          <w:sz w:val="16"/>
        </w:rPr>
      </w:pPr>
      <w:r>
        <w:rPr/>
        <w:pict>
          <v:group style="position:absolute;margin-left:159.689178pt;margin-top:-14.758025pt;width:171.6pt;height:87.7pt;mso-position-horizontal-relative:page;mso-position-vertical-relative:paragraph;z-index:-609184" coordorigin="3194,-295" coordsize="3432,1754">
            <v:shape style="position:absolute;left:0;top:7763;width:5699;height:2901" coordorigin="0,7763" coordsize="5699,2901" path="m3200,1415l3200,-289m3200,1415l6619,1415m6619,1415l6619,1452m6335,1415l6335,1452m5755,1415l5755,1452m5187,1415l5187,1452m4620,1415l4620,1452m4052,1415l4052,1452m3484,1415l3484,1452e" filled="false" stroked="true" strokeweight=".617404pt" strokecolor="#231f20">
              <v:path arrowok="t"/>
            </v:shape>
            <v:shape style="position:absolute;left:3484;top:-17;width:2852;height:815" coordorigin="3484,-17" coordsize="2852,815" path="m3484,798l4052,526,4620,-17,5187,106,5755,526,6335,353e" filled="false" stroked="true" strokeweight="1.851611pt" strokecolor="#5c5d5f">
              <v:path arrowok="t"/>
            </v:shape>
            <v:shape style="position:absolute;left:3416;top:730;width:136;height:136" type="#_x0000_t75" stroked="false">
              <v:imagedata r:id="rId271" o:title=""/>
            </v:shape>
            <v:shape style="position:absolute;left:3984;top:458;width:136;height:136" type="#_x0000_t75" stroked="false">
              <v:imagedata r:id="rId271" o:title=""/>
            </v:shape>
            <v:shape style="position:absolute;left:4552;top:-85;width:136;height:136" type="#_x0000_t75" stroked="false">
              <v:imagedata r:id="rId272" o:title=""/>
            </v:shape>
            <v:shape style="position:absolute;left:5120;top:38;width:136;height:136" type="#_x0000_t75" stroked="false">
              <v:imagedata r:id="rId273" o:title=""/>
            </v:shape>
            <v:shape style="position:absolute;left:5687;top:458;width:136;height:136" type="#_x0000_t75" stroked="false">
              <v:imagedata r:id="rId274" o:title=""/>
            </v:shape>
            <v:shape style="position:absolute;left:6267;top:285;width:136;height:136" type="#_x0000_t75" stroked="false">
              <v:imagedata r:id="rId275" o:title=""/>
            </v:shape>
            <w10:wrap type="none"/>
          </v:group>
        </w:pict>
      </w:r>
      <w:r>
        <w:rPr>
          <w:rFonts w:ascii="Palatino Linotype"/>
          <w:color w:val="231F20"/>
          <w:spacing w:val="-7"/>
          <w:w w:val="95"/>
          <w:sz w:val="16"/>
        </w:rPr>
        <w:t>47,170</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spacing w:before="137"/>
        <w:ind w:left="94" w:right="-7" w:firstLine="0"/>
        <w:jc w:val="left"/>
        <w:rPr>
          <w:rFonts w:ascii="Palatino Linotype"/>
          <w:sz w:val="16"/>
        </w:rPr>
      </w:pPr>
      <w:r>
        <w:rPr>
          <w:rFonts w:ascii="Palatino Linotype"/>
          <w:color w:val="231F20"/>
          <w:spacing w:val="-7"/>
          <w:w w:val="95"/>
          <w:sz w:val="16"/>
        </w:rPr>
        <w:t>44,291</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spacing w:before="1"/>
        <w:rPr>
          <w:rFonts w:ascii="Palatino Linotype"/>
          <w:sz w:val="20"/>
        </w:rPr>
      </w:pPr>
    </w:p>
    <w:p>
      <w:pPr>
        <w:spacing w:before="0"/>
        <w:ind w:left="123" w:right="0" w:firstLine="0"/>
        <w:jc w:val="left"/>
        <w:rPr>
          <w:rFonts w:ascii="Palatino Linotype"/>
          <w:sz w:val="16"/>
        </w:rPr>
      </w:pPr>
      <w:r>
        <w:rPr>
          <w:rFonts w:ascii="Palatino Linotype"/>
          <w:color w:val="231F20"/>
          <w:sz w:val="16"/>
        </w:rPr>
        <w:t>45,449</w:t>
      </w:r>
    </w:p>
    <w:p>
      <w:pPr>
        <w:spacing w:after="0"/>
        <w:jc w:val="left"/>
        <w:rPr>
          <w:rFonts w:ascii="Palatino Linotype"/>
          <w:sz w:val="16"/>
        </w:rPr>
        <w:sectPr>
          <w:type w:val="continuous"/>
          <w:pgSz w:w="9640" w:h="13040"/>
          <w:pgMar w:top="1200" w:bottom="280" w:left="420" w:right="1200"/>
          <w:cols w:num="6" w:equalWidth="0">
            <w:col w:w="2620" w:space="40"/>
            <w:col w:w="963" w:space="40"/>
            <w:col w:w="532" w:space="40"/>
            <w:col w:w="1104" w:space="40"/>
            <w:col w:w="484" w:space="40"/>
            <w:col w:w="2117"/>
          </w:cols>
        </w:sectPr>
      </w:pPr>
    </w:p>
    <w:p>
      <w:pPr>
        <w:tabs>
          <w:tab w:pos="3468" w:val="left" w:leader="none"/>
          <w:tab w:pos="4040" w:val="left" w:leader="none"/>
          <w:tab w:pos="4612" w:val="left" w:leader="none"/>
          <w:tab w:pos="5184" w:val="left" w:leader="none"/>
          <w:tab w:pos="5755" w:val="left" w:leader="none"/>
        </w:tabs>
        <w:spacing w:line="194" w:lineRule="exact" w:before="0"/>
        <w:ind w:left="2896" w:right="1617" w:firstLine="0"/>
        <w:jc w:val="left"/>
        <w:rPr>
          <w:rFonts w:ascii="Palatino Linotype"/>
          <w:sz w:val="16"/>
        </w:rPr>
      </w:pPr>
      <w:r>
        <w:rPr>
          <w:rFonts w:ascii="Palatino Linotype"/>
          <w:color w:val="231F20"/>
          <w:sz w:val="16"/>
        </w:rPr>
        <w:t>1985</w:t>
        <w:tab/>
        <w:t>1988</w:t>
        <w:tab/>
        <w:t>1993</w:t>
        <w:tab/>
        <w:t>1998</w:t>
        <w:tab/>
        <w:t>2003</w:t>
        <w:tab/>
      </w:r>
      <w:r>
        <w:rPr>
          <w:rFonts w:ascii="Palatino Linotype"/>
          <w:color w:val="231F20"/>
          <w:spacing w:val="2"/>
          <w:sz w:val="16"/>
        </w:rPr>
        <w:t>2009</w:t>
      </w:r>
    </w:p>
    <w:p>
      <w:pPr>
        <w:pStyle w:val="BodyText"/>
        <w:rPr>
          <w:rFonts w:ascii="Palatino Linotype"/>
          <w:sz w:val="16"/>
        </w:rPr>
      </w:pPr>
    </w:p>
    <w:p>
      <w:pPr>
        <w:pStyle w:val="BodyText"/>
        <w:spacing w:before="5"/>
        <w:rPr>
          <w:rFonts w:ascii="Palatino Linotype"/>
          <w:sz w:val="23"/>
        </w:rPr>
      </w:pPr>
    </w:p>
    <w:p>
      <w:pPr>
        <w:pStyle w:val="Heading4"/>
        <w:numPr>
          <w:ilvl w:val="1"/>
          <w:numId w:val="20"/>
        </w:numPr>
        <w:tabs>
          <w:tab w:pos="3393" w:val="left" w:leader="none"/>
        </w:tabs>
        <w:spacing w:line="240" w:lineRule="auto" w:before="0" w:after="0"/>
        <w:ind w:left="3392" w:right="0" w:hanging="230"/>
        <w:jc w:val="left"/>
      </w:pPr>
      <w:r>
        <w:rPr>
          <w:color w:val="231F20"/>
          <w:w w:val="90"/>
        </w:rPr>
        <w:t>Índice de</w:t>
      </w:r>
      <w:r>
        <w:rPr>
          <w:color w:val="231F20"/>
          <w:spacing w:val="-15"/>
          <w:w w:val="90"/>
        </w:rPr>
        <w:t> </w:t>
      </w:r>
      <w:r>
        <w:rPr>
          <w:color w:val="231F20"/>
          <w:w w:val="90"/>
        </w:rPr>
        <w:t>productividad</w:t>
      </w:r>
    </w:p>
    <w:p>
      <w:pPr>
        <w:pStyle w:val="BodyText"/>
        <w:spacing w:before="1"/>
        <w:rPr>
          <w:rFonts w:ascii="Palatino Linotype"/>
          <w:b/>
          <w:sz w:val="12"/>
        </w:rPr>
      </w:pPr>
    </w:p>
    <w:p>
      <w:pPr>
        <w:spacing w:before="112"/>
        <w:ind w:left="1017" w:right="4116" w:firstLine="0"/>
        <w:jc w:val="center"/>
        <w:rPr>
          <w:sz w:val="16"/>
        </w:rPr>
      </w:pPr>
      <w:r>
        <w:rPr/>
        <w:pict>
          <v:group style="position:absolute;margin-left:156.98407pt;margin-top:10.362376pt;width:194.35pt;height:88.3pt;mso-position-horizontal-relative:page;mso-position-vertical-relative:paragraph;z-index:10576" coordorigin="3140,207" coordsize="3887,1766">
            <v:shape style="position:absolute;left:0;top:5065;width:6254;height:2922" coordorigin="0,5065" coordsize="6254,2922" path="m3146,1929l3146,214m3146,1929l6898,1929m6898,1929l6898,1966m6590,1929l6590,1966m5960,1929l5960,1966m5343,1929l5343,1966m4714,1929l4714,1966m4084,1929l4084,1966m3455,1929l3455,1966e" filled="false" stroked="true" strokeweight=".617398pt" strokecolor="#231f20">
              <v:path arrowok="t"/>
            </v:shape>
            <v:shape style="position:absolute;left:3455;top:498;width:3136;height:358" coordorigin="3455,498" coordsize="3136,358" path="m3455,498l4084,547,4714,819,5343,856,5960,547,6590,621e" filled="false" stroked="true" strokeweight="1.851595pt" strokecolor="#5c5d5f">
              <v:path arrowok="t"/>
            </v:shape>
            <v:shape style="position:absolute;left:3387;top:430;width:136;height:136" type="#_x0000_t75" stroked="false">
              <v:imagedata r:id="rId274" o:title=""/>
            </v:shape>
            <v:shape style="position:absolute;left:4016;top:479;width:136;height:136" type="#_x0000_t75" stroked="false">
              <v:imagedata r:id="rId276" o:title=""/>
            </v:shape>
            <v:shape style="position:absolute;left:4646;top:751;width:136;height:136" type="#_x0000_t75" stroked="false">
              <v:imagedata r:id="rId277" o:title=""/>
            </v:shape>
            <v:shape style="position:absolute;left:5275;top:788;width:136;height:136" type="#_x0000_t75" stroked="false">
              <v:imagedata r:id="rId262" o:title=""/>
            </v:shape>
            <v:shape style="position:absolute;left:5892;top:479;width:136;height:136" type="#_x0000_t75" stroked="false">
              <v:imagedata r:id="rId278" o:title=""/>
            </v:shape>
            <v:shape style="position:absolute;left:6522;top:553;width:136;height:136" type="#_x0000_t75" stroked="false">
              <v:imagedata r:id="rId279" o:title=""/>
            </v:shape>
            <v:shape style="position:absolute;left:3591;top:213;width:223;height:162" type="#_x0000_t202" filled="false" stroked="false">
              <v:textbox inset="0,0,0,0">
                <w:txbxContent>
                  <w:p>
                    <w:pPr>
                      <w:spacing w:line="149" w:lineRule="exact" w:before="12"/>
                      <w:ind w:left="0" w:right="-17" w:firstLine="0"/>
                      <w:jc w:val="left"/>
                      <w:rPr>
                        <w:sz w:val="16"/>
                      </w:rPr>
                    </w:pPr>
                    <w:r>
                      <w:rPr>
                        <w:color w:val="231F20"/>
                        <w:spacing w:val="-7"/>
                        <w:sz w:val="16"/>
                      </w:rPr>
                      <w:t>100</w:t>
                    </w:r>
                  </w:p>
                </w:txbxContent>
              </v:textbox>
              <w10:wrap type="none"/>
            </v:shape>
            <v:shape style="position:absolute;left:6117;top:269;width:267;height:162" type="#_x0000_t202" filled="false" stroked="false">
              <v:textbox inset="0,0,0,0">
                <w:txbxContent>
                  <w:p>
                    <w:pPr>
                      <w:spacing w:line="149" w:lineRule="exact" w:before="12"/>
                      <w:ind w:left="0" w:right="-13" w:firstLine="0"/>
                      <w:jc w:val="left"/>
                      <w:rPr>
                        <w:sz w:val="16"/>
                      </w:rPr>
                    </w:pPr>
                    <w:r>
                      <w:rPr>
                        <w:color w:val="231F20"/>
                        <w:spacing w:val="-5"/>
                        <w:sz w:val="16"/>
                      </w:rPr>
                      <w:t>96.1</w:t>
                    </w:r>
                  </w:p>
                </w:txbxContent>
              </v:textbox>
              <w10:wrap type="none"/>
            </v:shape>
            <v:shape style="position:absolute;left:4250;top:443;width:264;height:162" type="#_x0000_t202" filled="false" stroked="false">
              <v:textbox inset="0,0,0,0">
                <w:txbxContent>
                  <w:p>
                    <w:pPr>
                      <w:spacing w:line="149" w:lineRule="exact" w:before="12"/>
                      <w:ind w:left="0" w:right="-12" w:firstLine="0"/>
                      <w:jc w:val="left"/>
                      <w:rPr>
                        <w:sz w:val="16"/>
                      </w:rPr>
                    </w:pPr>
                    <w:r>
                      <w:rPr>
                        <w:color w:val="231F20"/>
                        <w:spacing w:val="-6"/>
                        <w:sz w:val="16"/>
                      </w:rPr>
                      <w:t>96.3</w:t>
                    </w:r>
                  </w:p>
                </w:txbxContent>
              </v:textbox>
              <w10:wrap type="none"/>
            </v:shape>
            <v:shape style="position:absolute;left:4826;top:563;width:264;height:162" type="#_x0000_t202" filled="false" stroked="false">
              <v:textbox inset="0,0,0,0">
                <w:txbxContent>
                  <w:p>
                    <w:pPr>
                      <w:spacing w:line="149" w:lineRule="exact" w:before="12"/>
                      <w:ind w:left="0" w:right="-12" w:firstLine="0"/>
                      <w:jc w:val="left"/>
                      <w:rPr>
                        <w:sz w:val="16"/>
                      </w:rPr>
                    </w:pPr>
                    <w:r>
                      <w:rPr>
                        <w:color w:val="231F20"/>
                        <w:spacing w:val="-6"/>
                        <w:sz w:val="16"/>
                      </w:rPr>
                      <w:t>77.7</w:t>
                    </w:r>
                  </w:p>
                </w:txbxContent>
              </v:textbox>
              <w10:wrap type="none"/>
            </v:shape>
            <v:shape style="position:absolute;left:6763;top:517;width:264;height:162" type="#_x0000_t202" filled="false" stroked="false">
              <v:textbox inset="0,0,0,0">
                <w:txbxContent>
                  <w:p>
                    <w:pPr>
                      <w:spacing w:line="149" w:lineRule="exact" w:before="12"/>
                      <w:ind w:left="0" w:right="-12" w:firstLine="0"/>
                      <w:jc w:val="left"/>
                      <w:rPr>
                        <w:sz w:val="16"/>
                      </w:rPr>
                    </w:pPr>
                    <w:r>
                      <w:rPr>
                        <w:color w:val="231F20"/>
                        <w:spacing w:val="-6"/>
                        <w:sz w:val="16"/>
                      </w:rPr>
                      <w:t>91.1</w:t>
                    </w:r>
                  </w:p>
                </w:txbxContent>
              </v:textbox>
              <w10:wrap type="none"/>
            </v:shape>
            <v:shape style="position:absolute;left:5507;top:752;width:267;height:162" type="#_x0000_t202" filled="false" stroked="false">
              <v:textbox inset="0,0,0,0">
                <w:txbxContent>
                  <w:p>
                    <w:pPr>
                      <w:spacing w:line="149" w:lineRule="exact" w:before="12"/>
                      <w:ind w:left="0" w:right="-13" w:firstLine="0"/>
                      <w:jc w:val="left"/>
                      <w:rPr>
                        <w:sz w:val="16"/>
                      </w:rPr>
                    </w:pPr>
                    <w:r>
                      <w:rPr>
                        <w:color w:val="231F20"/>
                        <w:spacing w:val="-5"/>
                        <w:sz w:val="16"/>
                      </w:rPr>
                      <w:t>74.8</w:t>
                    </w:r>
                  </w:p>
                </w:txbxContent>
              </v:textbox>
              <w10:wrap type="none"/>
            </v:shape>
            <w10:wrap type="none"/>
          </v:group>
        </w:pict>
      </w:r>
      <w:r>
        <w:rPr>
          <w:color w:val="231F20"/>
          <w:sz w:val="16"/>
        </w:rPr>
        <w:t>120</w:t>
      </w:r>
    </w:p>
    <w:p>
      <w:pPr>
        <w:spacing w:before="104"/>
        <w:ind w:left="1017" w:right="4116" w:firstLine="0"/>
        <w:jc w:val="center"/>
        <w:rPr>
          <w:sz w:val="16"/>
        </w:rPr>
      </w:pPr>
      <w:r>
        <w:rPr>
          <w:color w:val="231F20"/>
          <w:sz w:val="16"/>
        </w:rPr>
        <w:t>100</w:t>
      </w:r>
    </w:p>
    <w:p>
      <w:pPr>
        <w:spacing w:before="104"/>
        <w:ind w:left="2420" w:right="1617" w:firstLine="0"/>
        <w:jc w:val="left"/>
        <w:rPr>
          <w:sz w:val="16"/>
        </w:rPr>
      </w:pPr>
      <w:r>
        <w:rPr>
          <w:color w:val="231F20"/>
          <w:sz w:val="16"/>
        </w:rPr>
        <w:t>80</w:t>
      </w:r>
    </w:p>
    <w:p>
      <w:pPr>
        <w:spacing w:before="104"/>
        <w:ind w:left="2420" w:right="1617" w:firstLine="0"/>
        <w:jc w:val="left"/>
        <w:rPr>
          <w:sz w:val="16"/>
        </w:rPr>
      </w:pPr>
      <w:r>
        <w:rPr>
          <w:color w:val="231F20"/>
          <w:sz w:val="16"/>
        </w:rPr>
        <w:t>60</w:t>
      </w:r>
    </w:p>
    <w:p>
      <w:pPr>
        <w:spacing w:before="104"/>
        <w:ind w:left="2420" w:right="1617" w:firstLine="0"/>
        <w:jc w:val="left"/>
        <w:rPr>
          <w:sz w:val="16"/>
        </w:rPr>
      </w:pPr>
      <w:r>
        <w:rPr>
          <w:color w:val="231F20"/>
          <w:sz w:val="16"/>
        </w:rPr>
        <w:t>40</w:t>
      </w:r>
    </w:p>
    <w:p>
      <w:pPr>
        <w:spacing w:before="104"/>
        <w:ind w:left="2420" w:right="1617" w:firstLine="0"/>
        <w:jc w:val="left"/>
        <w:rPr>
          <w:sz w:val="16"/>
        </w:rPr>
      </w:pPr>
      <w:r>
        <w:rPr>
          <w:color w:val="231F20"/>
          <w:sz w:val="16"/>
        </w:rPr>
        <w:t>20</w:t>
      </w:r>
    </w:p>
    <w:p>
      <w:pPr>
        <w:spacing w:before="104"/>
        <w:ind w:left="0" w:right="2930" w:firstLine="0"/>
        <w:jc w:val="center"/>
        <w:rPr>
          <w:sz w:val="16"/>
        </w:rPr>
      </w:pPr>
      <w:r>
        <w:rPr>
          <w:color w:val="231F20"/>
          <w:w w:val="100"/>
          <w:sz w:val="16"/>
        </w:rPr>
        <w:t>0</w:t>
      </w:r>
    </w:p>
    <w:p>
      <w:pPr>
        <w:tabs>
          <w:tab w:pos="3502" w:val="left" w:leader="none"/>
          <w:tab w:pos="4131" w:val="left" w:leader="none"/>
          <w:tab w:pos="4759" w:val="left" w:leader="none"/>
          <w:tab w:pos="5387" w:val="left" w:leader="none"/>
          <w:tab w:pos="6015" w:val="left" w:leader="none"/>
        </w:tabs>
        <w:spacing w:before="10"/>
        <w:ind w:left="2874" w:right="1617" w:firstLine="0"/>
        <w:jc w:val="left"/>
        <w:rPr>
          <w:sz w:val="16"/>
        </w:rPr>
      </w:pPr>
      <w:r>
        <w:rPr>
          <w:color w:val="231F20"/>
          <w:sz w:val="16"/>
        </w:rPr>
        <w:t>1985</w:t>
        <w:tab/>
        <w:t>1988</w:t>
        <w:tab/>
        <w:t>1993</w:t>
        <w:tab/>
        <w:t>1998</w:t>
        <w:tab/>
        <w:t>2003</w:t>
        <w:tab/>
      </w:r>
      <w:r>
        <w:rPr>
          <w:color w:val="231F20"/>
          <w:spacing w:val="2"/>
          <w:sz w:val="16"/>
        </w:rPr>
        <w:t>2009</w:t>
      </w:r>
    </w:p>
    <w:p>
      <w:pPr>
        <w:pStyle w:val="BodyText"/>
        <w:spacing w:before="6"/>
        <w:rPr>
          <w:sz w:val="25"/>
        </w:rPr>
      </w:pPr>
    </w:p>
    <w:p>
      <w:pPr>
        <w:spacing w:before="40"/>
        <w:ind w:left="713" w:right="1617" w:firstLine="0"/>
        <w:jc w:val="left"/>
        <w:rPr>
          <w:sz w:val="19"/>
        </w:rPr>
      </w:pPr>
      <w:r>
        <w:rPr>
          <w:rFonts w:ascii="Palatino Linotype" w:hAnsi="Palatino Linotype"/>
          <w:i/>
          <w:color w:val="231F20"/>
          <w:sz w:val="19"/>
        </w:rPr>
        <w:t>Fuente: </w:t>
      </w:r>
      <w:r>
        <w:rPr>
          <w:color w:val="231F20"/>
          <w:sz w:val="19"/>
        </w:rPr>
        <w:t>Elaboración propia datos de INEGI (1998, 2003, 2010).</w:t>
      </w:r>
    </w:p>
    <w:p>
      <w:pPr>
        <w:pStyle w:val="BodyText"/>
        <w:rPr>
          <w:sz w:val="20"/>
        </w:rPr>
      </w:pPr>
    </w:p>
    <w:p>
      <w:pPr>
        <w:pStyle w:val="BodyText"/>
        <w:spacing w:before="6"/>
        <w:rPr>
          <w:sz w:val="25"/>
        </w:rPr>
      </w:pPr>
      <w:r>
        <w:rPr/>
        <w:pict>
          <v:line style="position:absolute;mso-position-horizontal-relative:page;mso-position-vertical-relative:paragraph;z-index:10384;mso-wrap-distance-left:0;mso-wrap-distance-right:0" from="56.692902pt,16.882370pt" to="198.424902pt,16.882370pt" stroked="true" strokeweight=".5pt" strokecolor="#231f20">
            <w10:wrap type="topAndBottom"/>
          </v:line>
        </w:pict>
      </w:r>
    </w:p>
    <w:p>
      <w:pPr>
        <w:spacing w:line="288" w:lineRule="auto" w:before="43"/>
        <w:ind w:left="883" w:right="96" w:hanging="171"/>
        <w:jc w:val="left"/>
        <w:rPr>
          <w:sz w:val="16"/>
        </w:rPr>
      </w:pPr>
      <w:r>
        <w:rPr>
          <w:color w:val="231F20"/>
          <w:position w:val="5"/>
          <w:sz w:val="9"/>
        </w:rPr>
        <w:t>3 </w:t>
      </w:r>
      <w:r>
        <w:rPr>
          <w:color w:val="231F20"/>
          <w:sz w:val="16"/>
        </w:rPr>
        <w:t>Se refiere a la productividad media del trabajo, que es el cociente entre la producción bruta total y el personal ocupado en el sector.</w:t>
      </w:r>
    </w:p>
    <w:p>
      <w:pPr>
        <w:spacing w:after="0" w:line="288" w:lineRule="auto"/>
        <w:jc w:val="left"/>
        <w:rPr>
          <w:sz w:val="16"/>
        </w:rPr>
        <w:sectPr>
          <w:type w:val="continuous"/>
          <w:pgSz w:w="9640" w:h="13040"/>
          <w:pgMar w:top="1200" w:bottom="280" w:left="420" w:right="1200"/>
        </w:sectPr>
      </w:pPr>
    </w:p>
    <w:p>
      <w:pPr>
        <w:pStyle w:val="BodyText"/>
        <w:rPr>
          <w:sz w:val="20"/>
        </w:rPr>
      </w:pPr>
    </w:p>
    <w:p>
      <w:pPr>
        <w:pStyle w:val="BodyText"/>
        <w:spacing w:before="10"/>
        <w:rPr>
          <w:sz w:val="17"/>
        </w:rPr>
      </w:pPr>
    </w:p>
    <w:p>
      <w:pPr>
        <w:pStyle w:val="BodyText"/>
        <w:spacing w:line="278" w:lineRule="auto"/>
        <w:ind w:left="103" w:right="710"/>
        <w:jc w:val="both"/>
      </w:pPr>
      <w:r>
        <w:rPr>
          <w:color w:val="231F20"/>
        </w:rPr>
        <w:t>Los</w:t>
      </w:r>
      <w:r>
        <w:rPr>
          <w:color w:val="231F20"/>
          <w:spacing w:val="-9"/>
        </w:rPr>
        <w:t> </w:t>
      </w:r>
      <w:r>
        <w:rPr>
          <w:color w:val="231F20"/>
        </w:rPr>
        <w:t>datos</w:t>
      </w:r>
      <w:r>
        <w:rPr>
          <w:color w:val="231F20"/>
          <w:spacing w:val="-9"/>
        </w:rPr>
        <w:t> </w:t>
      </w:r>
      <w:r>
        <w:rPr>
          <w:color w:val="231F20"/>
        </w:rPr>
        <w:t>de</w:t>
      </w:r>
      <w:r>
        <w:rPr>
          <w:color w:val="231F20"/>
          <w:spacing w:val="-9"/>
        </w:rPr>
        <w:t> </w:t>
      </w:r>
      <w:r>
        <w:rPr>
          <w:color w:val="231F20"/>
        </w:rPr>
        <w:t>IED</w:t>
      </w:r>
      <w:r>
        <w:rPr>
          <w:color w:val="231F20"/>
          <w:spacing w:val="-9"/>
        </w:rPr>
        <w:t> </w:t>
      </w:r>
      <w:r>
        <w:rPr>
          <w:color w:val="231F20"/>
        </w:rPr>
        <w:t>para</w:t>
      </w:r>
      <w:r>
        <w:rPr>
          <w:color w:val="231F20"/>
          <w:spacing w:val="-9"/>
        </w:rPr>
        <w:t> </w:t>
      </w:r>
      <w:r>
        <w:rPr>
          <w:color w:val="231F20"/>
        </w:rPr>
        <w:t>el</w:t>
      </w:r>
      <w:r>
        <w:rPr>
          <w:color w:val="231F20"/>
          <w:spacing w:val="-9"/>
        </w:rPr>
        <w:t> </w:t>
      </w:r>
      <w:r>
        <w:rPr>
          <w:color w:val="231F20"/>
        </w:rPr>
        <w:t>sector</w:t>
      </w:r>
      <w:r>
        <w:rPr>
          <w:color w:val="231F20"/>
          <w:spacing w:val="-9"/>
        </w:rPr>
        <w:t> </w:t>
      </w:r>
      <w:r>
        <w:rPr>
          <w:color w:val="231F20"/>
        </w:rPr>
        <w:t>automotriz</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apuntan</w:t>
      </w:r>
      <w:r>
        <w:rPr>
          <w:color w:val="231F20"/>
          <w:spacing w:val="-9"/>
        </w:rPr>
        <w:t> </w:t>
      </w:r>
      <w:r>
        <w:rPr>
          <w:color w:val="231F20"/>
        </w:rPr>
        <w:t>a</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ha dado una disminución en el porcentaje que se destina al sector localizado en la enti- dad. </w:t>
      </w:r>
      <w:r>
        <w:rPr>
          <w:color w:val="231F20"/>
          <w:spacing w:val="-3"/>
        </w:rPr>
        <w:t>Aun </w:t>
      </w:r>
      <w:r>
        <w:rPr>
          <w:color w:val="231F20"/>
        </w:rPr>
        <w:t>cuando se han recibido algunas inversiones importantes para modernizar o ampliar</w:t>
      </w:r>
      <w:r>
        <w:rPr>
          <w:color w:val="231F20"/>
          <w:spacing w:val="-13"/>
        </w:rPr>
        <w:t> </w:t>
      </w:r>
      <w:r>
        <w:rPr>
          <w:color w:val="231F20"/>
        </w:rPr>
        <w:t>plantas</w:t>
      </w:r>
      <w:r>
        <w:rPr>
          <w:color w:val="231F20"/>
          <w:spacing w:val="-13"/>
        </w:rPr>
        <w:t> </w:t>
      </w:r>
      <w:r>
        <w:rPr>
          <w:color w:val="231F20"/>
        </w:rPr>
        <w:t>en</w:t>
      </w:r>
      <w:r>
        <w:rPr>
          <w:color w:val="231F20"/>
          <w:spacing w:val="-13"/>
        </w:rPr>
        <w:t> </w:t>
      </w:r>
      <w:r>
        <w:rPr>
          <w:color w:val="231F20"/>
        </w:rPr>
        <w:t>esta</w:t>
      </w:r>
      <w:r>
        <w:rPr>
          <w:color w:val="231F20"/>
          <w:spacing w:val="-13"/>
        </w:rPr>
        <w:t> </w:t>
      </w:r>
      <w:r>
        <w:rPr>
          <w:color w:val="231F20"/>
        </w:rPr>
        <w:t>entidad,</w:t>
      </w:r>
      <w:r>
        <w:rPr>
          <w:color w:val="231F20"/>
          <w:spacing w:val="-13"/>
        </w:rPr>
        <w:t> </w:t>
      </w:r>
      <w:r>
        <w:rPr>
          <w:color w:val="231F20"/>
        </w:rPr>
        <w:t>en</w:t>
      </w:r>
      <w:r>
        <w:rPr>
          <w:color w:val="231F20"/>
          <w:spacing w:val="-13"/>
        </w:rPr>
        <w:t> </w:t>
      </w:r>
      <w:r>
        <w:rPr>
          <w:color w:val="231F20"/>
        </w:rPr>
        <w:t>proporción,</w:t>
      </w:r>
      <w:r>
        <w:rPr>
          <w:color w:val="231F20"/>
          <w:spacing w:val="-13"/>
        </w:rPr>
        <w:t> </w:t>
      </w:r>
      <w:r>
        <w:rPr>
          <w:color w:val="231F20"/>
        </w:rPr>
        <w:t>esas</w:t>
      </w:r>
      <w:r>
        <w:rPr>
          <w:color w:val="231F20"/>
          <w:spacing w:val="-13"/>
        </w:rPr>
        <w:t> </w:t>
      </w:r>
      <w:r>
        <w:rPr>
          <w:color w:val="231F20"/>
        </w:rPr>
        <w:t>inversiones</w:t>
      </w:r>
      <w:r>
        <w:rPr>
          <w:color w:val="231F20"/>
          <w:spacing w:val="-13"/>
        </w:rPr>
        <w:t> </w:t>
      </w:r>
      <w:r>
        <w:rPr>
          <w:color w:val="231F20"/>
        </w:rPr>
        <w:t>son</w:t>
      </w:r>
      <w:r>
        <w:rPr>
          <w:color w:val="231F20"/>
          <w:spacing w:val="-13"/>
        </w:rPr>
        <w:t> </w:t>
      </w:r>
      <w:r>
        <w:rPr>
          <w:color w:val="231F20"/>
        </w:rPr>
        <w:t>considerablemente menores</w:t>
      </w:r>
      <w:r>
        <w:rPr>
          <w:color w:val="231F20"/>
          <w:spacing w:val="-12"/>
        </w:rPr>
        <w:t> </w:t>
      </w:r>
      <w:r>
        <w:rPr>
          <w:color w:val="231F20"/>
        </w:rPr>
        <w:t>a</w:t>
      </w:r>
      <w:r>
        <w:rPr>
          <w:color w:val="231F20"/>
          <w:spacing w:val="-12"/>
        </w:rPr>
        <w:t> </w:t>
      </w:r>
      <w:r>
        <w:rPr>
          <w:color w:val="231F20"/>
        </w:rPr>
        <w:t>las</w:t>
      </w:r>
      <w:r>
        <w:rPr>
          <w:color w:val="231F20"/>
          <w:spacing w:val="-12"/>
        </w:rPr>
        <w:t> </w:t>
      </w:r>
      <w:r>
        <w:rPr>
          <w:color w:val="231F20"/>
        </w:rPr>
        <w:t>recibidas</w:t>
      </w:r>
      <w:r>
        <w:rPr>
          <w:color w:val="231F20"/>
          <w:spacing w:val="-12"/>
        </w:rPr>
        <w:t> </w:t>
      </w:r>
      <w:r>
        <w:rPr>
          <w:color w:val="231F20"/>
        </w:rPr>
        <w:t>por</w:t>
      </w:r>
      <w:r>
        <w:rPr>
          <w:color w:val="231F20"/>
          <w:spacing w:val="-12"/>
        </w:rPr>
        <w:t> </w:t>
      </w:r>
      <w:r>
        <w:rPr>
          <w:color w:val="231F20"/>
        </w:rPr>
        <w:t>otras</w:t>
      </w:r>
      <w:r>
        <w:rPr>
          <w:color w:val="231F20"/>
          <w:spacing w:val="-12"/>
        </w:rPr>
        <w:t> </w:t>
      </w:r>
      <w:r>
        <w:rPr>
          <w:color w:val="231F20"/>
        </w:rPr>
        <w:t>entidades</w:t>
      </w:r>
      <w:r>
        <w:rPr>
          <w:color w:val="231F20"/>
          <w:spacing w:val="-12"/>
        </w:rPr>
        <w:t> </w:t>
      </w:r>
      <w:r>
        <w:rPr>
          <w:color w:val="231F20"/>
          <w:spacing w:val="-8"/>
        </w:rPr>
        <w:t>y,</w:t>
      </w:r>
      <w:r>
        <w:rPr>
          <w:color w:val="231F20"/>
          <w:spacing w:val="-12"/>
        </w:rPr>
        <w:t> </w:t>
      </w:r>
      <w:r>
        <w:rPr>
          <w:color w:val="231F20"/>
        </w:rPr>
        <w:t>desde</w:t>
      </w:r>
      <w:r>
        <w:rPr>
          <w:color w:val="231F20"/>
          <w:spacing w:val="-12"/>
        </w:rPr>
        <w:t> </w:t>
      </w:r>
      <w:r>
        <w:rPr>
          <w:color w:val="231F20"/>
        </w:rPr>
        <w:t>luego,</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sector</w:t>
      </w:r>
      <w:r>
        <w:rPr>
          <w:color w:val="231F20"/>
          <w:spacing w:val="-12"/>
        </w:rPr>
        <w:t> </w:t>
      </w:r>
      <w:r>
        <w:rPr>
          <w:color w:val="231F20"/>
        </w:rPr>
        <w:t>a</w:t>
      </w:r>
      <w:r>
        <w:rPr>
          <w:color w:val="231F20"/>
          <w:spacing w:val="-12"/>
        </w:rPr>
        <w:t> </w:t>
      </w:r>
      <w:r>
        <w:rPr>
          <w:color w:val="231F20"/>
        </w:rPr>
        <w:t>nivel</w:t>
      </w:r>
      <w:r>
        <w:rPr>
          <w:color w:val="231F20"/>
          <w:spacing w:val="-12"/>
        </w:rPr>
        <w:t> </w:t>
      </w:r>
      <w:r>
        <w:rPr>
          <w:color w:val="231F20"/>
        </w:rPr>
        <w:t>nacional (véase</w:t>
      </w:r>
      <w:r>
        <w:rPr>
          <w:color w:val="231F20"/>
          <w:spacing w:val="-30"/>
        </w:rPr>
        <w:t> </w:t>
      </w:r>
      <w:r>
        <w:rPr>
          <w:color w:val="231F20"/>
        </w:rPr>
        <w:t>gráfica</w:t>
      </w:r>
      <w:r>
        <w:rPr>
          <w:color w:val="231F20"/>
          <w:spacing w:val="-30"/>
        </w:rPr>
        <w:t> </w:t>
      </w:r>
      <w:r>
        <w:rPr>
          <w:color w:val="231F20"/>
          <w:spacing w:val="-6"/>
        </w:rPr>
        <w:t>IV.7).</w:t>
      </w:r>
    </w:p>
    <w:p>
      <w:pPr>
        <w:pStyle w:val="BodyText"/>
        <w:spacing w:before="8"/>
        <w:rPr>
          <w:sz w:val="17"/>
        </w:rPr>
      </w:pPr>
    </w:p>
    <w:p>
      <w:pPr>
        <w:pStyle w:val="Heading4"/>
        <w:ind w:left="1017" w:right="1624"/>
      </w:pPr>
      <w:r>
        <w:rPr>
          <w:color w:val="231F20"/>
          <w:w w:val="90"/>
        </w:rPr>
        <w:t>Gráfica IV.7</w:t>
      </w:r>
    </w:p>
    <w:p>
      <w:pPr>
        <w:spacing w:line="282" w:lineRule="exact" w:before="0"/>
        <w:ind w:left="0" w:right="607" w:firstLine="0"/>
        <w:jc w:val="center"/>
        <w:rPr>
          <w:rFonts w:ascii="Palatino Linotype" w:hAnsi="Palatino Linotype"/>
          <w:b/>
          <w:sz w:val="21"/>
        </w:rPr>
      </w:pPr>
      <w:r>
        <w:rPr>
          <w:rFonts w:ascii="Palatino Linotype" w:hAnsi="Palatino Linotype"/>
          <w:b/>
          <w:color w:val="231F20"/>
          <w:w w:val="95"/>
          <w:sz w:val="21"/>
        </w:rPr>
        <w:t>México y Estado de México: IED dentro del sector automotriz, 1997-2013</w:t>
      </w:r>
    </w:p>
    <w:p>
      <w:pPr>
        <w:spacing w:before="18"/>
        <w:ind w:left="1017" w:right="1624" w:firstLine="0"/>
        <w:jc w:val="center"/>
        <w:rPr>
          <w:rFonts w:ascii="Palatino Linotype" w:hAnsi="Palatino Linotype"/>
          <w:b/>
          <w:sz w:val="19"/>
        </w:rPr>
      </w:pPr>
      <w:r>
        <w:rPr>
          <w:rFonts w:ascii="Palatino Linotype" w:hAnsi="Palatino Linotype"/>
          <w:b/>
          <w:color w:val="231F20"/>
          <w:w w:val="90"/>
          <w:sz w:val="19"/>
        </w:rPr>
        <w:t>(Miles de dólares)</w:t>
      </w:r>
    </w:p>
    <w:p>
      <w:pPr>
        <w:pStyle w:val="BodyText"/>
        <w:spacing w:before="12"/>
        <w:rPr>
          <w:rFonts w:ascii="Palatino Linotype"/>
          <w:b/>
          <w:sz w:val="17"/>
        </w:rPr>
      </w:pPr>
    </w:p>
    <w:p>
      <w:pPr>
        <w:spacing w:before="53"/>
        <w:ind w:left="135" w:right="1617" w:firstLine="0"/>
        <w:jc w:val="left"/>
        <w:rPr>
          <w:rFonts w:ascii="Palatino Linotype"/>
          <w:sz w:val="15"/>
        </w:rPr>
      </w:pPr>
      <w:r>
        <w:rPr/>
        <w:pict>
          <v:group style="position:absolute;margin-left:103.7817pt;margin-top:7.781651pt;width:319.75pt;height:123.3pt;mso-position-horizontal-relative:page;mso-position-vertical-relative:paragraph;z-index:10624" coordorigin="2076,156" coordsize="6395,2466">
            <v:rect style="position:absolute;left:2157;top:1515;width:115;height:795" filled="true" fillcolor="#4a4a4c" stroked="false">
              <v:fill type="solid"/>
            </v:rect>
            <v:line style="position:absolute" from="2272,2293" to="2375,2293" stroked="true" strokeweight="1.728pt" strokecolor="#95979a"/>
            <v:rect style="position:absolute;left:2537;top:1930;width:104;height:380" filled="true" fillcolor="#4a4a4c" stroked="false">
              <v:fill type="solid"/>
            </v:rect>
            <v:line style="position:absolute" from="2640,2293" to="2756,2293" stroked="true" strokeweight="1.728pt" strokecolor="#95979a"/>
            <v:rect style="position:absolute;left:2917;top:882;width:104;height:1428" filled="true" fillcolor="#4a4a4c" stroked="false">
              <v:fill type="solid"/>
            </v:rect>
            <v:line style="position:absolute" from="3021,2276" to="3124,2276" stroked="true" strokeweight="3.456pt" strokecolor="#95979a"/>
            <v:rect style="position:absolute;left:3285;top:1319;width:115;height:991" filled="true" fillcolor="#4a4a4c" stroked="false">
              <v:fill type="solid"/>
            </v:rect>
            <v:rect style="position:absolute;left:3401;top:2126;width:104;height:184" filled="true" fillcolor="#95979a" stroked="false">
              <v:fill type="solid"/>
            </v:rect>
            <v:rect style="position:absolute;left:3666;top:1446;width:104;height:864" filled="true" fillcolor="#4a4a4c" stroked="false">
              <v:fill type="solid"/>
            </v:rect>
            <v:line style="position:absolute" from="3769,2299" to="3873,2299" stroked="true" strokeweight="1.152pt" strokecolor="#95979a"/>
            <v:rect style="position:absolute;left:4034;top:2126;width:115;height:184" filled="true" fillcolor="#4a4a4c" stroked="false">
              <v:fill type="solid"/>
            </v:rect>
            <v:line style="position:absolute" from="4149,2299" to="4253,2299" stroked="true" strokeweight="1.152pt" strokecolor="#95979a"/>
            <v:rect style="position:absolute;left:4414;top:1596;width:104;height:714" filled="true" fillcolor="#4a4a4c" stroked="false">
              <v:fill type="solid"/>
            </v:rect>
            <v:rect style="position:absolute;left:4518;top:2218;width:115;height:92" filled="true" fillcolor="#95979a" stroked="false">
              <v:fill type="solid"/>
            </v:rect>
            <v:rect style="position:absolute;left:4795;top:789;width:104;height:1521" filled="true" fillcolor="#4a4a4c" stroked="false">
              <v:fill type="solid"/>
            </v:rect>
            <v:rect style="position:absolute;left:4898;top:2206;width:104;height:104" filled="true" fillcolor="#95979a" stroked="false">
              <v:fill type="solid"/>
            </v:rect>
            <v:rect style="position:absolute;left:5163;top:1054;width:115;height:1256" filled="true" fillcolor="#4a4a4c" stroked="false">
              <v:fill type="solid"/>
            </v:rect>
            <v:line style="position:absolute" from="5278,2287" to="5382,2287" stroked="true" strokeweight="2.304pt" strokecolor="#95979a"/>
            <v:rect style="position:absolute;left:5543;top:1435;width:104;height:876" filled="true" fillcolor="#4a4a4c" stroked="false">
              <v:fill type="solid"/>
            </v:rect>
            <v:rect style="position:absolute;left:5647;top:2218;width:115;height:92" filled="true" fillcolor="#95979a" stroked="false">
              <v:fill type="solid"/>
            </v:rect>
            <v:rect style="position:absolute;left:5924;top:1204;width:104;height:1106" filled="true" fillcolor="#4a4a4c" stroked="false">
              <v:fill type="solid"/>
            </v:rect>
            <v:line style="position:absolute" from="6027,2293" to="6131,2293" stroked="true" strokeweight="1.728pt" strokecolor="#95979a"/>
            <v:rect style="position:absolute;left:6292;top:1262;width:115;height:1048" filled="true" fillcolor="#4a4a4c" stroked="false">
              <v:fill type="solid"/>
            </v:rect>
            <v:line style="position:absolute" from="6407,2322" to="6511,2322" stroked="true" strokeweight="1.152pt" strokecolor="#95979a"/>
            <v:rect style="position:absolute;left:6672;top:1342;width:104;height:968" filled="true" fillcolor="#4a4a4c" stroked="false">
              <v:fill type="solid"/>
            </v:rect>
            <v:rect style="position:absolute;left:6776;top:1930;width:104;height:380" filled="true" fillcolor="#95979a" stroked="false">
              <v:fill type="solid"/>
            </v:rect>
            <v:rect style="position:absolute;left:7041;top:1504;width:115;height:806" filled="true" fillcolor="#4a4a4c" stroked="false">
              <v:fill type="solid"/>
            </v:rect>
            <v:rect style="position:absolute;left:7156;top:1930;width:104;height:380" filled="true" fillcolor="#95979a" stroked="false">
              <v:fill type="solid"/>
            </v:rect>
            <v:rect style="position:absolute;left:7421;top:1527;width:104;height:783" filled="true" fillcolor="#4a4a4c" stroked="false">
              <v:fill type="solid"/>
            </v:rect>
            <v:line style="position:absolute" from="7525,2287" to="7640,2287" stroked="true" strokeweight="2.304pt" strokecolor="#95979a"/>
            <v:rect style="position:absolute;left:7801;top:859;width:104;height:1452" filled="true" fillcolor="#4a4a4c" stroked="false">
              <v:fill type="solid"/>
            </v:rect>
            <v:line style="position:absolute" from="7905,2299" to="8009,2299" stroked="true" strokeweight="1.152pt" strokecolor="#95979a"/>
            <v:rect style="position:absolute;left:8170;top:513;width:115;height:1797" filled="true" fillcolor="#4a4a4c" stroked="false">
              <v:fill type="solid"/>
            </v:rect>
            <v:line style="position:absolute" from="8285,2287" to="8389,2287" stroked="true" strokeweight="2.304pt" strokecolor="#95979a"/>
            <v:shape style="position:absolute;left:0;top:6307;width:6383;height:2454" coordorigin="0,6307" coordsize="6383,2454" path="m2082,2615l2082,162m2082,2304l8464,2304m8464,2304l8464,2339m8279,2304l8279,2339m7911,2304l7911,2339m7531,2304l7531,2339m7150,2304l7150,2339m6782,2304l6782,2339m6402,2304l6402,2339m6021,2304l6021,2339m5653,2304l5653,2339m5273,2304l5273,2339m4904,2304l4904,2339m4524,2304l4524,2339m4144,2304l4144,2339m3775,2304l3775,2339m3395,2304l3395,2339m3015,2304l3015,2339m2646,2304l2646,2339m2266,2304l2266,2339e" filled="false" stroked="true" strokeweight=".576pt" strokecolor="#989b9d">
              <v:path arrowok="t"/>
            </v:shape>
            <v:shape style="position:absolute;left:2076;top:156;width:6394;height:2466" type="#_x0000_t202" filled="false" stroked="false">
              <v:textbox inset="0,0,0,0">
                <w:txbxContent>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4"/>
                      </w:rPr>
                    </w:pPr>
                  </w:p>
                  <w:p>
                    <w:pPr>
                      <w:spacing w:line="240" w:lineRule="auto" w:before="0"/>
                      <w:rPr>
                        <w:sz w:val="12"/>
                      </w:rPr>
                    </w:pPr>
                  </w:p>
                  <w:p>
                    <w:pPr>
                      <w:spacing w:before="1"/>
                      <w:ind w:left="40" w:right="0" w:firstLine="0"/>
                      <w:jc w:val="left"/>
                      <w:rPr>
                        <w:rFonts w:ascii="Palatino Linotype"/>
                        <w:sz w:val="15"/>
                      </w:rPr>
                    </w:pPr>
                    <w:r>
                      <w:rPr>
                        <w:rFonts w:ascii="Palatino Linotype"/>
                        <w:color w:val="231F20"/>
                        <w:sz w:val="15"/>
                      </w:rPr>
                      <w:t>1997  1998  1999  2000  2001  2002  2003  2004  2005  2006  2007  2008  2009  2010  2011  2012 2013</w:t>
                    </w:r>
                  </w:p>
                </w:txbxContent>
              </v:textbox>
              <w10:wrap type="none"/>
            </v:shape>
            <w10:wrap type="none"/>
          </v:group>
        </w:pict>
      </w:r>
      <w:r>
        <w:rPr>
          <w:rFonts w:ascii="Palatino Linotype"/>
          <w:color w:val="231F20"/>
          <w:sz w:val="15"/>
        </w:rPr>
        <w:t>3,500,000</w:t>
      </w:r>
    </w:p>
    <w:p>
      <w:pPr>
        <w:spacing w:before="105"/>
        <w:ind w:left="135" w:right="1617" w:firstLine="0"/>
        <w:jc w:val="left"/>
        <w:rPr>
          <w:rFonts w:ascii="Palatino Linotype"/>
          <w:sz w:val="15"/>
        </w:rPr>
      </w:pPr>
      <w:r>
        <w:rPr>
          <w:rFonts w:ascii="Palatino Linotype"/>
          <w:color w:val="231F20"/>
          <w:sz w:val="15"/>
        </w:rPr>
        <w:t>3,000,000</w:t>
      </w:r>
    </w:p>
    <w:p>
      <w:pPr>
        <w:spacing w:before="105"/>
        <w:ind w:left="135" w:right="1617" w:firstLine="0"/>
        <w:jc w:val="left"/>
        <w:rPr>
          <w:rFonts w:ascii="Palatino Linotype"/>
          <w:sz w:val="15"/>
        </w:rPr>
      </w:pPr>
      <w:r>
        <w:rPr>
          <w:rFonts w:ascii="Palatino Linotype"/>
          <w:color w:val="231F20"/>
          <w:sz w:val="15"/>
        </w:rPr>
        <w:t>2,500,000</w:t>
      </w:r>
    </w:p>
    <w:p>
      <w:pPr>
        <w:spacing w:before="105"/>
        <w:ind w:left="135" w:right="1617" w:firstLine="0"/>
        <w:jc w:val="left"/>
        <w:rPr>
          <w:rFonts w:ascii="Palatino Linotype"/>
          <w:sz w:val="15"/>
        </w:rPr>
      </w:pPr>
      <w:r>
        <w:rPr>
          <w:rFonts w:ascii="Palatino Linotype"/>
          <w:color w:val="231F20"/>
          <w:sz w:val="15"/>
        </w:rPr>
        <w:t>2,000,000</w:t>
      </w:r>
    </w:p>
    <w:p>
      <w:pPr>
        <w:spacing w:before="105"/>
        <w:ind w:left="135" w:right="1617" w:firstLine="0"/>
        <w:jc w:val="left"/>
        <w:rPr>
          <w:rFonts w:ascii="Palatino Linotype"/>
          <w:sz w:val="15"/>
        </w:rPr>
      </w:pPr>
      <w:r>
        <w:rPr>
          <w:rFonts w:ascii="Palatino Linotype"/>
          <w:color w:val="231F20"/>
          <w:sz w:val="15"/>
        </w:rPr>
        <w:t>1,500,000</w:t>
      </w:r>
    </w:p>
    <w:p>
      <w:pPr>
        <w:spacing w:before="105"/>
        <w:ind w:left="135" w:right="1617" w:firstLine="0"/>
        <w:jc w:val="left"/>
        <w:rPr>
          <w:rFonts w:ascii="Palatino Linotype"/>
          <w:sz w:val="15"/>
        </w:rPr>
      </w:pPr>
      <w:r>
        <w:rPr>
          <w:rFonts w:ascii="Palatino Linotype"/>
          <w:color w:val="231F20"/>
          <w:sz w:val="15"/>
        </w:rPr>
        <w:t>1,000,000</w:t>
      </w:r>
    </w:p>
    <w:p>
      <w:pPr>
        <w:spacing w:before="105"/>
        <w:ind w:left="250" w:right="1617" w:firstLine="0"/>
        <w:jc w:val="left"/>
        <w:rPr>
          <w:rFonts w:ascii="Palatino Linotype"/>
          <w:sz w:val="15"/>
        </w:rPr>
      </w:pPr>
      <w:r>
        <w:rPr>
          <w:rFonts w:ascii="Palatino Linotype"/>
          <w:color w:val="231F20"/>
          <w:sz w:val="15"/>
        </w:rPr>
        <w:t>500,000</w:t>
      </w:r>
    </w:p>
    <w:p>
      <w:pPr>
        <w:spacing w:before="105"/>
        <w:ind w:left="673" w:right="0" w:firstLine="0"/>
        <w:jc w:val="left"/>
        <w:rPr>
          <w:rFonts w:ascii="Palatino Linotype"/>
          <w:sz w:val="15"/>
        </w:rPr>
      </w:pPr>
      <w:r>
        <w:rPr>
          <w:rFonts w:ascii="Palatino Linotype"/>
          <w:color w:val="231F20"/>
          <w:w w:val="95"/>
          <w:sz w:val="15"/>
        </w:rPr>
        <w:t>0</w:t>
      </w:r>
    </w:p>
    <w:p>
      <w:pPr>
        <w:spacing w:line="190" w:lineRule="exact" w:before="105"/>
        <w:ind w:left="199" w:right="1617" w:firstLine="0"/>
        <w:jc w:val="left"/>
        <w:rPr>
          <w:rFonts w:ascii="Palatino Linotype"/>
          <w:sz w:val="15"/>
        </w:rPr>
      </w:pPr>
      <w:r>
        <w:rPr>
          <w:rFonts w:ascii="Palatino Linotype"/>
          <w:color w:val="231F20"/>
          <w:sz w:val="15"/>
        </w:rPr>
        <w:t>-500,000</w:t>
      </w:r>
    </w:p>
    <w:p>
      <w:pPr>
        <w:tabs>
          <w:tab w:pos="1356" w:val="left" w:leader="none"/>
        </w:tabs>
        <w:spacing w:line="203" w:lineRule="exact" w:before="0"/>
        <w:ind w:left="0" w:right="166" w:firstLine="0"/>
        <w:jc w:val="center"/>
        <w:rPr>
          <w:rFonts w:ascii="Palatino Linotype" w:hAnsi="Palatino Linotype"/>
          <w:sz w:val="16"/>
        </w:rPr>
      </w:pPr>
      <w:r>
        <w:rPr/>
        <w:pict>
          <v:line style="position:absolute;mso-position-horizontal-relative:page;mso-position-vertical-relative:paragraph;z-index:10648" from="187.889999pt,4.80098pt" to="191.921999pt,4.80098pt" stroked="true" strokeweight="4.0330pt" strokecolor="#4a4a4c">
            <w10:wrap type="none"/>
          </v:line>
        </w:pict>
      </w:r>
      <w:r>
        <w:rPr/>
        <w:pict>
          <v:line style="position:absolute;mso-position-horizontal-relative:page;mso-position-vertical-relative:paragraph;z-index:-608920" from="255.281006pt,4.80098pt" to="259.314006pt,4.80098pt" stroked="true" strokeweight="4.0330pt" strokecolor="#95979a">
            <w10:wrap type="none"/>
          </v:line>
        </w:pict>
      </w:r>
      <w:r>
        <w:rPr>
          <w:rFonts w:ascii="Palatino Linotype" w:hAnsi="Palatino Linotype"/>
          <w:color w:val="231F20"/>
          <w:sz w:val="16"/>
        </w:rPr>
        <w:t>Nacional</w:t>
        <w:tab/>
      </w:r>
      <w:r>
        <w:rPr>
          <w:rFonts w:ascii="Palatino Linotype" w:hAnsi="Palatino Linotype"/>
          <w:color w:val="231F20"/>
          <w:w w:val="95"/>
          <w:sz w:val="16"/>
        </w:rPr>
        <w:t>Estado</w:t>
      </w:r>
      <w:r>
        <w:rPr>
          <w:rFonts w:ascii="Palatino Linotype" w:hAnsi="Palatino Linotype"/>
          <w:color w:val="231F20"/>
          <w:spacing w:val="-23"/>
          <w:w w:val="95"/>
          <w:sz w:val="16"/>
        </w:rPr>
        <w:t> </w:t>
      </w:r>
      <w:r>
        <w:rPr>
          <w:rFonts w:ascii="Palatino Linotype" w:hAnsi="Palatino Linotype"/>
          <w:color w:val="231F20"/>
          <w:w w:val="95"/>
          <w:sz w:val="16"/>
        </w:rPr>
        <w:t>de</w:t>
      </w:r>
      <w:r>
        <w:rPr>
          <w:rFonts w:ascii="Palatino Linotype" w:hAnsi="Palatino Linotype"/>
          <w:color w:val="231F20"/>
          <w:spacing w:val="-28"/>
          <w:w w:val="95"/>
          <w:sz w:val="16"/>
        </w:rPr>
        <w:t> </w:t>
      </w:r>
      <w:r>
        <w:rPr>
          <w:rFonts w:ascii="Palatino Linotype" w:hAnsi="Palatino Linotype"/>
          <w:color w:val="231F20"/>
          <w:w w:val="95"/>
          <w:sz w:val="16"/>
        </w:rPr>
        <w:t>México</w:t>
      </w:r>
    </w:p>
    <w:p>
      <w:pPr>
        <w:pStyle w:val="BodyText"/>
        <w:spacing w:before="12"/>
        <w:rPr>
          <w:rFonts w:ascii="Palatino Linotype"/>
          <w:sz w:val="18"/>
        </w:rPr>
      </w:pPr>
    </w:p>
    <w:p>
      <w:pPr>
        <w:spacing w:before="41"/>
        <w:ind w:left="103" w:right="0" w:firstLine="0"/>
        <w:jc w:val="both"/>
        <w:rPr>
          <w:sz w:val="19"/>
        </w:rPr>
      </w:pPr>
      <w:r>
        <w:rPr>
          <w:rFonts w:ascii="Palatino Linotype" w:hAnsi="Palatino Linotype"/>
          <w:i/>
          <w:color w:val="231F20"/>
          <w:sz w:val="19"/>
        </w:rPr>
        <w:t>Fuente: </w:t>
      </w:r>
      <w:r>
        <w:rPr>
          <w:color w:val="231F20"/>
          <w:sz w:val="19"/>
        </w:rPr>
        <w:t>Elaboración propia. Hasta 2008: INEGI (1985, 1993, 2008). 2009-2013: Secretaría de</w:t>
      </w:r>
    </w:p>
    <w:p>
      <w:pPr>
        <w:spacing w:before="46"/>
        <w:ind w:left="103" w:right="0" w:firstLine="0"/>
        <w:jc w:val="both"/>
        <w:rPr>
          <w:sz w:val="19"/>
        </w:rPr>
      </w:pPr>
      <w:r>
        <w:rPr>
          <w:color w:val="231F20"/>
          <w:sz w:val="19"/>
        </w:rPr>
        <w:t>Economía (2013).</w:t>
      </w:r>
    </w:p>
    <w:p>
      <w:pPr>
        <w:pStyle w:val="BodyText"/>
        <w:spacing w:before="5"/>
        <w:rPr>
          <w:sz w:val="23"/>
        </w:rPr>
      </w:pPr>
    </w:p>
    <w:p>
      <w:pPr>
        <w:pStyle w:val="BodyText"/>
        <w:spacing w:line="278" w:lineRule="auto"/>
        <w:ind w:left="103" w:right="711"/>
        <w:jc w:val="both"/>
      </w:pPr>
      <w:r>
        <w:rPr>
          <w:color w:val="231F20"/>
          <w:spacing w:val="2"/>
        </w:rPr>
        <w:t>Los </w:t>
      </w:r>
      <w:r>
        <w:rPr>
          <w:color w:val="231F20"/>
        </w:rPr>
        <w:t>datos presentados sugieren un crecimiento moderado para la industria auto- motriz de la entidad, a diferencia del crecimiento que ha tenido en otras entidades y regiones del país, y a nivel nacional. En el apartado siguiente, se contrasta el desem- peño de esta industria en el Estado de México con el que ha tenido a nivel nacional   y en otras</w:t>
      </w:r>
      <w:r>
        <w:rPr>
          <w:color w:val="231F20"/>
          <w:spacing w:val="17"/>
        </w:rPr>
        <w:t> </w:t>
      </w:r>
      <w:r>
        <w:rPr>
          <w:color w:val="231F20"/>
        </w:rPr>
        <w:t>regiones.</w:t>
      </w:r>
    </w:p>
    <w:p>
      <w:pPr>
        <w:pStyle w:val="BodyText"/>
        <w:spacing w:before="8"/>
        <w:rPr>
          <w:sz w:val="17"/>
        </w:rPr>
      </w:pPr>
    </w:p>
    <w:p>
      <w:pPr>
        <w:pStyle w:val="Heading4"/>
        <w:numPr>
          <w:ilvl w:val="2"/>
          <w:numId w:val="21"/>
        </w:numPr>
        <w:tabs>
          <w:tab w:pos="625" w:val="left" w:leader="none"/>
        </w:tabs>
        <w:spacing w:line="240" w:lineRule="auto" w:before="0" w:after="0"/>
        <w:ind w:left="624" w:right="0" w:hanging="521"/>
        <w:jc w:val="both"/>
      </w:pPr>
      <w:r>
        <w:rPr>
          <w:color w:val="231F20"/>
          <w:w w:val="95"/>
        </w:rPr>
        <w:t>Contraste</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w w:val="95"/>
        </w:rPr>
        <w:t>industria</w:t>
      </w:r>
      <w:r>
        <w:rPr>
          <w:color w:val="231F20"/>
          <w:spacing w:val="-24"/>
          <w:w w:val="95"/>
        </w:rPr>
        <w:t> </w:t>
      </w:r>
      <w:r>
        <w:rPr>
          <w:color w:val="231F20"/>
          <w:w w:val="95"/>
        </w:rPr>
        <w:t>nacional</w:t>
      </w:r>
      <w:r>
        <w:rPr>
          <w:color w:val="231F20"/>
          <w:spacing w:val="-24"/>
          <w:w w:val="95"/>
        </w:rPr>
        <w:t> </w:t>
      </w:r>
      <w:r>
        <w:rPr>
          <w:color w:val="231F20"/>
          <w:w w:val="95"/>
        </w:rPr>
        <w:t>y</w:t>
      </w:r>
      <w:r>
        <w:rPr>
          <w:color w:val="231F20"/>
          <w:spacing w:val="-24"/>
          <w:w w:val="95"/>
        </w:rPr>
        <w:t> </w:t>
      </w:r>
      <w:r>
        <w:rPr>
          <w:color w:val="231F20"/>
          <w:w w:val="95"/>
        </w:rPr>
        <w:t>con</w:t>
      </w:r>
      <w:r>
        <w:rPr>
          <w:color w:val="231F20"/>
          <w:spacing w:val="-24"/>
          <w:w w:val="95"/>
        </w:rPr>
        <w:t> </w:t>
      </w:r>
      <w:r>
        <w:rPr>
          <w:color w:val="231F20"/>
          <w:w w:val="95"/>
        </w:rPr>
        <w:t>otras</w:t>
      </w:r>
      <w:r>
        <w:rPr>
          <w:color w:val="231F20"/>
          <w:spacing w:val="-24"/>
          <w:w w:val="95"/>
        </w:rPr>
        <w:t> </w:t>
      </w:r>
      <w:r>
        <w:rPr>
          <w:color w:val="231F20"/>
          <w:w w:val="95"/>
        </w:rPr>
        <w:t>entidades</w:t>
      </w:r>
    </w:p>
    <w:p>
      <w:pPr>
        <w:pStyle w:val="BodyText"/>
        <w:spacing w:line="278" w:lineRule="auto" w:before="134"/>
        <w:ind w:left="103" w:right="710"/>
        <w:jc w:val="both"/>
      </w:pPr>
      <w:r>
        <w:rPr>
          <w:color w:val="231F20"/>
        </w:rPr>
        <w:t>Las regulaciones emitidas por el gobierno federal en la década de los setenta y princi- pios de los ochenta, las políticas que han favorecido el proceso de apertura económi- ca y la reconfiguración del mercado internacional que se estaba gestando dentro del sector automotriz mundial, marcaron la pauta para el proceso de reestructuración del sector nacional, caracterizado principalmente por el desarrollo de nuevos   complejos</w:t>
      </w:r>
    </w:p>
    <w:p>
      <w:pPr>
        <w:spacing w:after="0" w:line="278" w:lineRule="auto"/>
        <w:jc w:val="both"/>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100"/>
        <w:jc w:val="both"/>
      </w:pPr>
      <w:r>
        <w:rPr>
          <w:color w:val="231F20"/>
        </w:rPr>
        <w:t>automotrices y el establecimiento de nuevas plantas armadoras y de autopartes en zonas distintas a las tradicionales. Esto provocó que el sector automotriz establecido en</w:t>
      </w:r>
      <w:r>
        <w:rPr>
          <w:color w:val="231F20"/>
          <w:spacing w:val="-9"/>
        </w:rPr>
        <w:t> </w:t>
      </w:r>
      <w:r>
        <w:rPr>
          <w:color w:val="231F20"/>
        </w:rPr>
        <w:t>la</w:t>
      </w:r>
      <w:r>
        <w:rPr>
          <w:color w:val="231F20"/>
          <w:spacing w:val="-9"/>
        </w:rPr>
        <w:t> </w:t>
      </w:r>
      <w:r>
        <w:rPr>
          <w:color w:val="231F20"/>
        </w:rPr>
        <w:t>región</w:t>
      </w:r>
      <w:r>
        <w:rPr>
          <w:color w:val="231F20"/>
          <w:spacing w:val="-9"/>
        </w:rPr>
        <w:t> </w:t>
      </w:r>
      <w:r>
        <w:rPr>
          <w:color w:val="231F20"/>
        </w:rPr>
        <w:t>centro</w:t>
      </w:r>
      <w:r>
        <w:rPr>
          <w:color w:val="231F20"/>
          <w:spacing w:val="-9"/>
        </w:rPr>
        <w:t> </w:t>
      </w:r>
      <w:r>
        <w:rPr>
          <w:color w:val="231F20"/>
        </w:rPr>
        <w:t>del</w:t>
      </w:r>
      <w:r>
        <w:rPr>
          <w:color w:val="231F20"/>
          <w:spacing w:val="-9"/>
        </w:rPr>
        <w:t> </w:t>
      </w:r>
      <w:r>
        <w:rPr>
          <w:color w:val="231F20"/>
        </w:rPr>
        <w:t>país,</w:t>
      </w:r>
      <w:r>
        <w:rPr>
          <w:color w:val="231F20"/>
          <w:spacing w:val="-9"/>
        </w:rPr>
        <w:t> </w:t>
      </w:r>
      <w:r>
        <w:rPr>
          <w:color w:val="231F20"/>
        </w:rPr>
        <w:t>y</w:t>
      </w:r>
      <w:r>
        <w:rPr>
          <w:color w:val="231F20"/>
          <w:spacing w:val="-9"/>
        </w:rPr>
        <w:t> </w:t>
      </w:r>
      <w:r>
        <w:rPr>
          <w:color w:val="231F20"/>
        </w:rPr>
        <w:t>específicamente</w:t>
      </w:r>
      <w:r>
        <w:rPr>
          <w:color w:val="231F20"/>
          <w:spacing w:val="-9"/>
        </w:rPr>
        <w:t> </w:t>
      </w:r>
      <w:r>
        <w:rPr>
          <w:color w:val="231F20"/>
        </w:rPr>
        <w:t>el</w:t>
      </w:r>
      <w:r>
        <w:rPr>
          <w:color w:val="231F20"/>
          <w:spacing w:val="-9"/>
        </w:rPr>
        <w:t> </w:t>
      </w:r>
      <w:r>
        <w:rPr>
          <w:color w:val="231F20"/>
        </w:rPr>
        <w:t>localizado</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Estado</w:t>
      </w:r>
      <w:r>
        <w:rPr>
          <w:color w:val="231F20"/>
          <w:spacing w:val="-9"/>
        </w:rPr>
        <w:t> </w:t>
      </w:r>
      <w:r>
        <w:rPr>
          <w:color w:val="231F20"/>
        </w:rPr>
        <w:t>de</w:t>
      </w:r>
      <w:r>
        <w:rPr>
          <w:color w:val="231F20"/>
          <w:spacing w:val="-9"/>
        </w:rPr>
        <w:t> </w:t>
      </w:r>
      <w:r>
        <w:rPr>
          <w:color w:val="231F20"/>
        </w:rPr>
        <w:t>México,</w:t>
      </w:r>
      <w:r>
        <w:rPr>
          <w:color w:val="231F20"/>
          <w:spacing w:val="-9"/>
        </w:rPr>
        <w:t> </w:t>
      </w:r>
      <w:r>
        <w:rPr>
          <w:color w:val="231F20"/>
        </w:rPr>
        <w:t>se viera</w:t>
      </w:r>
      <w:r>
        <w:rPr>
          <w:color w:val="231F20"/>
          <w:spacing w:val="15"/>
        </w:rPr>
        <w:t> </w:t>
      </w:r>
      <w:r>
        <w:rPr>
          <w:color w:val="231F20"/>
        </w:rPr>
        <w:t>disminuido.</w:t>
      </w:r>
    </w:p>
    <w:p>
      <w:pPr>
        <w:pStyle w:val="BodyText"/>
        <w:spacing w:line="278" w:lineRule="auto" w:before="1"/>
        <w:ind w:left="713" w:right="100" w:firstLine="396"/>
        <w:jc w:val="both"/>
      </w:pPr>
      <w:r>
        <w:rPr>
          <w:color w:val="231F20"/>
        </w:rPr>
        <w:t>A </w:t>
      </w:r>
      <w:r>
        <w:rPr>
          <w:color w:val="231F20"/>
          <w:spacing w:val="3"/>
        </w:rPr>
        <w:t>partir </w:t>
      </w:r>
      <w:r>
        <w:rPr>
          <w:color w:val="231F20"/>
        </w:rPr>
        <w:t>de la </w:t>
      </w:r>
      <w:r>
        <w:rPr>
          <w:color w:val="231F20"/>
          <w:spacing w:val="3"/>
        </w:rPr>
        <w:t>década </w:t>
      </w:r>
      <w:r>
        <w:rPr>
          <w:color w:val="231F20"/>
        </w:rPr>
        <w:t>de </w:t>
      </w:r>
      <w:r>
        <w:rPr>
          <w:color w:val="231F20"/>
          <w:spacing w:val="2"/>
        </w:rPr>
        <w:t>los </w:t>
      </w:r>
      <w:r>
        <w:rPr>
          <w:color w:val="231F20"/>
          <w:spacing w:val="3"/>
        </w:rPr>
        <w:t>ochenta, </w:t>
      </w:r>
      <w:r>
        <w:rPr>
          <w:color w:val="231F20"/>
          <w:spacing w:val="2"/>
        </w:rPr>
        <w:t>las tres </w:t>
      </w:r>
      <w:r>
        <w:rPr>
          <w:color w:val="231F20"/>
          <w:spacing w:val="3"/>
        </w:rPr>
        <w:t>grandes </w:t>
      </w:r>
      <w:r>
        <w:rPr>
          <w:color w:val="231F20"/>
          <w:spacing w:val="2"/>
        </w:rPr>
        <w:t>empresas </w:t>
      </w:r>
      <w:r>
        <w:rPr>
          <w:color w:val="231F20"/>
          <w:spacing w:val="3"/>
        </w:rPr>
        <w:t>norteamerica- </w:t>
      </w:r>
      <w:r>
        <w:rPr>
          <w:color w:val="231F20"/>
        </w:rPr>
        <w:t>nas </w:t>
      </w:r>
      <w:r>
        <w:rPr>
          <w:color w:val="231F20"/>
          <w:spacing w:val="2"/>
        </w:rPr>
        <w:t>productoras </w:t>
      </w:r>
      <w:r>
        <w:rPr>
          <w:color w:val="231F20"/>
        </w:rPr>
        <w:t>de </w:t>
      </w:r>
      <w:r>
        <w:rPr>
          <w:color w:val="231F20"/>
          <w:spacing w:val="2"/>
        </w:rPr>
        <w:t>automóviles que </w:t>
      </w:r>
      <w:r>
        <w:rPr>
          <w:color w:val="231F20"/>
          <w:spacing w:val="3"/>
        </w:rPr>
        <w:t>operaban </w:t>
      </w:r>
      <w:r>
        <w:rPr>
          <w:color w:val="231F20"/>
        </w:rPr>
        <w:t>en </w:t>
      </w:r>
      <w:r>
        <w:rPr>
          <w:color w:val="231F20"/>
          <w:spacing w:val="2"/>
        </w:rPr>
        <w:t>México </w:t>
      </w:r>
      <w:r>
        <w:rPr>
          <w:color w:val="231F20"/>
        </w:rPr>
        <w:t>con </w:t>
      </w:r>
      <w:r>
        <w:rPr>
          <w:color w:val="231F20"/>
          <w:spacing w:val="2"/>
        </w:rPr>
        <w:t>plantas </w:t>
      </w:r>
      <w:r>
        <w:rPr>
          <w:color w:val="231F20"/>
          <w:spacing w:val="3"/>
        </w:rPr>
        <w:t>establecidas</w:t>
      </w:r>
      <w:r>
        <w:rPr>
          <w:color w:val="231F20"/>
          <w:spacing w:val="58"/>
        </w:rPr>
        <w:t> </w:t>
      </w:r>
      <w:r>
        <w:rPr>
          <w:color w:val="231F20"/>
        </w:rPr>
        <w:t>en el </w:t>
      </w:r>
      <w:r>
        <w:rPr>
          <w:color w:val="231F20"/>
          <w:spacing w:val="3"/>
        </w:rPr>
        <w:t>Estado </w:t>
      </w:r>
      <w:r>
        <w:rPr>
          <w:color w:val="231F20"/>
        </w:rPr>
        <w:t>de </w:t>
      </w:r>
      <w:r>
        <w:rPr>
          <w:color w:val="231F20"/>
          <w:spacing w:val="2"/>
        </w:rPr>
        <w:t>México </w:t>
      </w:r>
      <w:r>
        <w:rPr>
          <w:color w:val="231F20"/>
          <w:spacing w:val="3"/>
        </w:rPr>
        <w:t>—General </w:t>
      </w:r>
      <w:r>
        <w:rPr>
          <w:color w:val="231F20"/>
        </w:rPr>
        <w:t>Motors, Ford y </w:t>
      </w:r>
      <w:r>
        <w:rPr>
          <w:color w:val="231F20"/>
          <w:spacing w:val="3"/>
        </w:rPr>
        <w:t>Chrysler— </w:t>
      </w:r>
      <w:r>
        <w:rPr>
          <w:color w:val="231F20"/>
          <w:spacing w:val="2"/>
        </w:rPr>
        <w:t>realizaron </w:t>
      </w:r>
      <w:r>
        <w:rPr>
          <w:color w:val="231F20"/>
          <w:spacing w:val="3"/>
        </w:rPr>
        <w:t>importan- </w:t>
      </w:r>
      <w:r>
        <w:rPr>
          <w:color w:val="231F20"/>
          <w:spacing w:val="2"/>
        </w:rPr>
        <w:t>tes inversiones </w:t>
      </w:r>
      <w:r>
        <w:rPr>
          <w:color w:val="231F20"/>
        </w:rPr>
        <w:t>en </w:t>
      </w:r>
      <w:r>
        <w:rPr>
          <w:color w:val="231F20"/>
          <w:spacing w:val="2"/>
        </w:rPr>
        <w:t>plantas </w:t>
      </w:r>
      <w:r>
        <w:rPr>
          <w:color w:val="231F20"/>
          <w:spacing w:val="3"/>
        </w:rPr>
        <w:t>modernas </w:t>
      </w:r>
      <w:r>
        <w:rPr>
          <w:color w:val="231F20"/>
        </w:rPr>
        <w:t>con </w:t>
      </w:r>
      <w:r>
        <w:rPr>
          <w:color w:val="231F20"/>
          <w:spacing w:val="3"/>
        </w:rPr>
        <w:t>tecnología </w:t>
      </w:r>
      <w:r>
        <w:rPr>
          <w:color w:val="231F20"/>
        </w:rPr>
        <w:t>de </w:t>
      </w:r>
      <w:r>
        <w:rPr>
          <w:color w:val="231F20"/>
          <w:spacing w:val="2"/>
        </w:rPr>
        <w:t>punta, </w:t>
      </w:r>
      <w:r>
        <w:rPr>
          <w:color w:val="231F20"/>
        </w:rPr>
        <w:t>a </w:t>
      </w:r>
      <w:r>
        <w:rPr>
          <w:color w:val="231F20"/>
          <w:spacing w:val="3"/>
        </w:rPr>
        <w:t>fin </w:t>
      </w:r>
      <w:r>
        <w:rPr>
          <w:color w:val="231F20"/>
        </w:rPr>
        <w:t>de </w:t>
      </w:r>
      <w:r>
        <w:rPr>
          <w:color w:val="231F20"/>
          <w:spacing w:val="2"/>
        </w:rPr>
        <w:t>producir </w:t>
      </w:r>
      <w:r>
        <w:rPr>
          <w:color w:val="231F20"/>
        </w:rPr>
        <w:t>y </w:t>
      </w:r>
      <w:r>
        <w:rPr>
          <w:color w:val="231F20"/>
          <w:spacing w:val="3"/>
        </w:rPr>
        <w:t>exportar desde </w:t>
      </w:r>
      <w:r>
        <w:rPr>
          <w:color w:val="231F20"/>
          <w:spacing w:val="2"/>
        </w:rPr>
        <w:t>México al mercado </w:t>
      </w:r>
      <w:r>
        <w:rPr>
          <w:color w:val="231F20"/>
        </w:rPr>
        <w:t>de </w:t>
      </w:r>
      <w:r>
        <w:rPr>
          <w:color w:val="231F20"/>
          <w:spacing w:val="3"/>
        </w:rPr>
        <w:t>Estados </w:t>
      </w:r>
      <w:r>
        <w:rPr>
          <w:color w:val="231F20"/>
        </w:rPr>
        <w:t>Unidos y </w:t>
      </w:r>
      <w:r>
        <w:rPr>
          <w:color w:val="231F20"/>
          <w:spacing w:val="2"/>
        </w:rPr>
        <w:t>así enfrentar </w:t>
      </w:r>
      <w:r>
        <w:rPr>
          <w:color w:val="231F20"/>
        </w:rPr>
        <w:t>la </w:t>
      </w:r>
      <w:r>
        <w:rPr>
          <w:color w:val="231F20"/>
          <w:spacing w:val="2"/>
        </w:rPr>
        <w:t>competen- cia</w:t>
      </w:r>
      <w:r>
        <w:rPr>
          <w:color w:val="231F20"/>
          <w:spacing w:val="-2"/>
        </w:rPr>
        <w:t> </w:t>
      </w:r>
      <w:r>
        <w:rPr>
          <w:color w:val="231F20"/>
          <w:spacing w:val="3"/>
        </w:rPr>
        <w:t>japonesa.</w:t>
      </w:r>
    </w:p>
    <w:p>
      <w:pPr>
        <w:pStyle w:val="BodyText"/>
        <w:spacing w:line="278" w:lineRule="auto" w:before="1"/>
        <w:ind w:left="713" w:right="101" w:firstLine="396"/>
        <w:jc w:val="both"/>
      </w:pPr>
      <w:r>
        <w:rPr>
          <w:color w:val="231F20"/>
        </w:rPr>
        <w:t>En el periodo comprendido entre 1988 y 2008, claramente se observa que la pro- ducción total de vehículos nacional tuvo un crecimiento muy significativo, mientras que el crecimiento del sector estatal fue mucho más moderado (véase gráfica IV.8).</w:t>
      </w:r>
    </w:p>
    <w:p>
      <w:pPr>
        <w:pStyle w:val="BodyText"/>
        <w:spacing w:before="8"/>
        <w:rPr>
          <w:sz w:val="17"/>
        </w:rPr>
      </w:pPr>
    </w:p>
    <w:p>
      <w:pPr>
        <w:pStyle w:val="Heading4"/>
        <w:ind w:left="775" w:right="166"/>
      </w:pPr>
      <w:r>
        <w:rPr>
          <w:color w:val="231F20"/>
          <w:w w:val="90"/>
        </w:rPr>
        <w:t>Gráfica IV.8</w:t>
      </w:r>
    </w:p>
    <w:p>
      <w:pPr>
        <w:spacing w:line="282" w:lineRule="exact" w:before="0"/>
        <w:ind w:left="822" w:right="166" w:firstLine="0"/>
        <w:jc w:val="center"/>
        <w:rPr>
          <w:rFonts w:ascii="Palatino Linotype" w:hAnsi="Palatino Linotype"/>
          <w:b/>
          <w:sz w:val="21"/>
        </w:rPr>
      </w:pPr>
      <w:r>
        <w:rPr>
          <w:rFonts w:ascii="Palatino Linotype" w:hAnsi="Palatino Linotype"/>
          <w:b/>
          <w:color w:val="231F20"/>
          <w:w w:val="95"/>
          <w:sz w:val="21"/>
        </w:rPr>
        <w:t>Producción total de vehículos, México y Estado de México, 1988-2008</w:t>
      </w:r>
    </w:p>
    <w:p>
      <w:pPr>
        <w:spacing w:before="18"/>
        <w:ind w:left="775" w:right="166" w:firstLine="0"/>
        <w:jc w:val="center"/>
        <w:rPr>
          <w:rFonts w:ascii="Palatino Linotype"/>
          <w:b/>
          <w:sz w:val="19"/>
        </w:rPr>
      </w:pPr>
      <w:r>
        <w:rPr>
          <w:rFonts w:ascii="Palatino Linotype"/>
          <w:b/>
          <w:color w:val="231F20"/>
          <w:sz w:val="19"/>
        </w:rPr>
        <w:t>(Unidades)</w:t>
      </w:r>
    </w:p>
    <w:p>
      <w:pPr>
        <w:pStyle w:val="BodyText"/>
        <w:spacing w:before="2"/>
        <w:rPr>
          <w:rFonts w:ascii="Palatino Linotype"/>
          <w:b/>
          <w:sz w:val="15"/>
        </w:rPr>
      </w:pPr>
    </w:p>
    <w:p>
      <w:pPr>
        <w:spacing w:before="45"/>
        <w:ind w:left="1322" w:right="1617" w:firstLine="0"/>
        <w:jc w:val="left"/>
        <w:rPr>
          <w:rFonts w:ascii="Palatino Linotype"/>
          <w:sz w:val="17"/>
        </w:rPr>
      </w:pPr>
      <w:r>
        <w:rPr/>
        <w:pict>
          <v:group style="position:absolute;margin-left:128.606903pt;margin-top:8.320151pt;width:255.35pt;height:125.75pt;mso-position-horizontal-relative:page;mso-position-vertical-relative:paragraph;z-index:10696" coordorigin="2572,166" coordsize="5107,2515">
            <v:shape style="position:absolute;left:0;top:4375;width:5094;height:2502" coordorigin="0,4375" coordsize="5094,2502" path="m2579,2635l2579,173m2579,2635l7672,2635m7672,2635l7672,2674m7555,2635l7555,2674m7309,2635l7309,2674m7076,2635l7076,2674m6830,2635l6830,2674m6583,2635l6583,2674m6337,2635l6337,2674m6104,2635l6104,2674m5858,2635l5858,2674m5611,2635l5611,2674m5365,2635l5365,2674m5132,2635l5132,2674m4886,2635l4886,2674m4639,2635l4639,2674m4406,2635l4406,2674m4160,2635l4160,2674m3914,2635l3914,2674m3667,2635l3667,2674m3434,2635l3434,2674m3188,2635l3188,2674m2942,2635l2942,2674m2708,2635l2708,2674e" filled="false" stroked="true" strokeweight=".648pt" strokecolor="#989b9d">
              <v:path arrowok="t"/>
            </v:shape>
            <v:shape style="position:absolute;left:2708;top:2078;width:4847;height:454" coordorigin="2708,2078" coordsize="4847,454" path="m2708,2415l2942,2337,3188,2337,3434,2272,3667,2234,3914,2350,4160,2415,4406,2532,4639,2506,4886,2493,5132,2532,5365,2493,5611,2078,5858,2078,6104,2104,6337,2169,6583,2130,6830,2078,7076,2195,7309,2298,7555,2208e" filled="false" stroked="true" strokeweight="1.944pt" strokecolor="#5c5d5f">
              <v:path arrowok="t"/>
            </v:shape>
            <v:shape style="position:absolute;left:2637;top:2344;width:143;height:143" type="#_x0000_t75" stroked="false">
              <v:imagedata r:id="rId244" o:title=""/>
            </v:shape>
            <v:shape style="position:absolute;left:2870;top:2266;width:143;height:143" type="#_x0000_t75" stroked="false">
              <v:imagedata r:id="rId280" o:title=""/>
            </v:shape>
            <v:shape style="position:absolute;left:3116;top:2266;width:143;height:143" type="#_x0000_t75" stroked="false">
              <v:imagedata r:id="rId280" o:title=""/>
            </v:shape>
            <v:shape style="position:absolute;left:3363;top:2201;width:143;height:143" type="#_x0000_t75" stroked="false">
              <v:imagedata r:id="rId281" o:title=""/>
            </v:shape>
            <v:shape style="position:absolute;left:3596;top:2162;width:143;height:143" type="#_x0000_t75" stroked="false">
              <v:imagedata r:id="rId281" o:title=""/>
            </v:shape>
            <v:shape style="position:absolute;left:3842;top:2279;width:143;height:143" type="#_x0000_t75" stroked="false">
              <v:imagedata r:id="rId282" o:title=""/>
            </v:shape>
            <v:shape style="position:absolute;left:4088;top:2344;width:143;height:143" type="#_x0000_t75" stroked="false">
              <v:imagedata r:id="rId283" o:title=""/>
            </v:shape>
            <v:shape style="position:absolute;left:4335;top:2460;width:143;height:143" type="#_x0000_t75" stroked="false">
              <v:imagedata r:id="rId284" o:title=""/>
            </v:shape>
            <v:shape style="position:absolute;left:4568;top:2434;width:143;height:143" type="#_x0000_t75" stroked="false">
              <v:imagedata r:id="rId283" o:title=""/>
            </v:shape>
            <v:shape style="position:absolute;left:4814;top:2421;width:143;height:143" type="#_x0000_t75" stroked="false">
              <v:imagedata r:id="rId285" o:title=""/>
            </v:shape>
            <v:shape style="position:absolute;left:5060;top:2460;width:143;height:143" type="#_x0000_t75" stroked="false">
              <v:imagedata r:id="rId286" o:title=""/>
            </v:shape>
            <v:shape style="position:absolute;left:5294;top:2421;width:143;height:143" type="#_x0000_t75" stroked="false">
              <v:imagedata r:id="rId287" o:title=""/>
            </v:shape>
            <v:shape style="position:absolute;left:5540;top:2007;width:143;height:143" type="#_x0000_t75" stroked="false">
              <v:imagedata r:id="rId288" o:title=""/>
            </v:shape>
            <v:shape style="position:absolute;left:5786;top:2007;width:143;height:143" type="#_x0000_t75" stroked="false">
              <v:imagedata r:id="rId289" o:title=""/>
            </v:shape>
            <v:shape style="position:absolute;left:6032;top:2033;width:143;height:143" type="#_x0000_t75" stroked="false">
              <v:imagedata r:id="rId290" o:title=""/>
            </v:shape>
            <v:shape style="position:absolute;left:6266;top:2097;width:143;height:143" type="#_x0000_t75" stroked="false">
              <v:imagedata r:id="rId291" o:title=""/>
            </v:shape>
            <v:shape style="position:absolute;left:6512;top:2059;width:143;height:143" type="#_x0000_t75" stroked="false">
              <v:imagedata r:id="rId291" o:title=""/>
            </v:shape>
            <v:shape style="position:absolute;left:6758;top:2007;width:143;height:143" type="#_x0000_t75" stroked="false">
              <v:imagedata r:id="rId292" o:title=""/>
            </v:shape>
            <v:shape style="position:absolute;left:7004;top:2123;width:143;height:143" type="#_x0000_t75" stroked="false">
              <v:imagedata r:id="rId292" o:title=""/>
            </v:shape>
            <v:shape style="position:absolute;left:7238;top:2227;width:143;height:143" type="#_x0000_t75" stroked="false">
              <v:imagedata r:id="rId293" o:title=""/>
            </v:shape>
            <v:shape style="position:absolute;left:7484;top:2136;width:143;height:143" type="#_x0000_t75" stroked="false">
              <v:imagedata r:id="rId293" o:title=""/>
            </v:shape>
            <v:shape style="position:absolute;left:2708;top:627;width:4847;height:1517" coordorigin="2708,627" coordsize="4847,1517" path="m2708,2143l2942,2013,3188,1845,3434,1728,3667,1637,3914,1650,4160,1611,4406,1845,4639,1534,4886,1404,5132,1300,5365,1210,5611,847,5858,873,6104,925,6337,1145,6583,1171,6830,1067,7076,730,7309,691,7555,627e" filled="false" stroked="true" strokeweight="1.944pt" strokecolor="#c4c6c8">
              <v:path arrowok="t"/>
            </v:shape>
            <v:shape style="position:absolute;left:2643;top:562;width:4964;height:1633" coordorigin="2643,562" coordsize="4964,1633" path="m2760,2078l2643,2078,2643,2195,2760,2195,2760,2078m2993,1948l2877,1948,2877,2065,2993,2065,2993,1948m3240,1780l3123,1780,3123,1897,3240,1897,3240,1780m3486,1663l3369,1663,3369,1780,3486,1780,3486,1663m3719,1573l3602,1573,3602,1689,3719,1689,3719,1573m3965,1586l3849,1586,3849,1702,3965,1702,3965,1586m4212,1547l4095,1547,4095,1663,4212,1663,4212,1547m4458,1780l4341,1780,4341,1897,4458,1897,4458,1780m4691,1469l4574,1469,4574,1586,4691,1586,4691,1469m4937,1339l4821,1339,4821,1456,4937,1456,4937,1339m5184,1236l5067,1236,5067,1352,5184,1352,5184,1236m5417,1145l5300,1145,5300,1262,5417,1262,5417,1145m5663,782l5546,782,5546,899,5663,899,5663,782m5909,808l5793,808,5793,925,5909,925,5909,808m6156,860l6039,860,6039,976,6156,976,6156,860m6389,1080l6272,1080,6272,1197,6389,1197,6389,1080m6635,1106l6518,1106,6518,1223,6635,1223,6635,1106m6881,1002l6765,1002,6765,1119,6881,1119,6881,1002m7128,665l7011,665,7011,782,7128,782,7128,665m7361,627l7244,627,7244,743,7361,743,7361,627m7607,562l7490,562,7490,678,7607,678,7607,562e" filled="true" fillcolor="#c4c6c8" stroked="false">
              <v:path arrowok="t"/>
              <v:fill type="solid"/>
            </v:shape>
            <w10:wrap type="none"/>
          </v:group>
        </w:pict>
      </w:r>
      <w:r>
        <w:rPr>
          <w:rFonts w:ascii="Palatino Linotype"/>
          <w:color w:val="231F20"/>
          <w:sz w:val="17"/>
        </w:rPr>
        <w:t>2,500,000</w:t>
      </w:r>
    </w:p>
    <w:p>
      <w:pPr>
        <w:pStyle w:val="BodyText"/>
        <w:spacing w:before="4"/>
        <w:rPr>
          <w:rFonts w:ascii="Palatino Linotype"/>
          <w:sz w:val="16"/>
        </w:rPr>
      </w:pPr>
    </w:p>
    <w:p>
      <w:pPr>
        <w:spacing w:before="46"/>
        <w:ind w:left="1322" w:right="1617" w:firstLine="0"/>
        <w:jc w:val="left"/>
        <w:rPr>
          <w:rFonts w:ascii="Palatino Linotype"/>
          <w:sz w:val="17"/>
        </w:rPr>
      </w:pPr>
      <w:r>
        <w:rPr>
          <w:rFonts w:ascii="Palatino Linotype"/>
          <w:color w:val="231F20"/>
          <w:sz w:val="17"/>
        </w:rPr>
        <w:t>2,000,000</w:t>
      </w:r>
    </w:p>
    <w:p>
      <w:pPr>
        <w:pStyle w:val="BodyText"/>
        <w:spacing w:before="4"/>
        <w:rPr>
          <w:rFonts w:ascii="Palatino Linotype"/>
          <w:sz w:val="16"/>
        </w:rPr>
      </w:pPr>
    </w:p>
    <w:p>
      <w:pPr>
        <w:spacing w:before="46"/>
        <w:ind w:left="1322" w:right="1617" w:firstLine="0"/>
        <w:jc w:val="left"/>
        <w:rPr>
          <w:rFonts w:ascii="Palatino Linotype"/>
          <w:sz w:val="17"/>
        </w:rPr>
      </w:pPr>
      <w:r>
        <w:rPr>
          <w:rFonts w:ascii="Palatino Linotype"/>
          <w:color w:val="231F20"/>
          <w:sz w:val="17"/>
        </w:rPr>
        <w:t>1,500,000</w:t>
      </w:r>
    </w:p>
    <w:p>
      <w:pPr>
        <w:pStyle w:val="BodyText"/>
        <w:spacing w:before="4"/>
        <w:rPr>
          <w:rFonts w:ascii="Palatino Linotype"/>
          <w:sz w:val="16"/>
        </w:rPr>
      </w:pPr>
    </w:p>
    <w:p>
      <w:pPr>
        <w:spacing w:before="46"/>
        <w:ind w:left="1322" w:right="1617" w:firstLine="0"/>
        <w:jc w:val="left"/>
        <w:rPr>
          <w:rFonts w:ascii="Palatino Linotype"/>
          <w:sz w:val="17"/>
        </w:rPr>
      </w:pPr>
      <w:r>
        <w:rPr>
          <w:rFonts w:ascii="Palatino Linotype"/>
          <w:color w:val="231F20"/>
          <w:sz w:val="17"/>
        </w:rPr>
        <w:t>1,000,000</w:t>
      </w:r>
    </w:p>
    <w:p>
      <w:pPr>
        <w:pStyle w:val="BodyText"/>
        <w:spacing w:before="4"/>
        <w:rPr>
          <w:rFonts w:ascii="Palatino Linotype"/>
          <w:sz w:val="16"/>
        </w:rPr>
      </w:pPr>
    </w:p>
    <w:p>
      <w:pPr>
        <w:spacing w:before="46"/>
        <w:ind w:left="1452" w:right="1617" w:firstLine="0"/>
        <w:jc w:val="left"/>
        <w:rPr>
          <w:rFonts w:ascii="Palatino Linotype"/>
          <w:sz w:val="17"/>
        </w:rPr>
      </w:pPr>
      <w:r>
        <w:rPr>
          <w:rFonts w:ascii="Palatino Linotype"/>
          <w:color w:val="231F20"/>
          <w:sz w:val="17"/>
        </w:rPr>
        <w:t>500,000</w:t>
      </w:r>
    </w:p>
    <w:p>
      <w:pPr>
        <w:pStyle w:val="BodyText"/>
        <w:spacing w:before="4"/>
        <w:rPr>
          <w:rFonts w:ascii="Palatino Linotype"/>
          <w:sz w:val="16"/>
        </w:rPr>
      </w:pPr>
    </w:p>
    <w:p>
      <w:pPr>
        <w:spacing w:line="217" w:lineRule="exact" w:before="46"/>
        <w:ind w:left="1929" w:right="0" w:firstLine="0"/>
        <w:jc w:val="left"/>
        <w:rPr>
          <w:rFonts w:ascii="Palatino Linotype"/>
          <w:sz w:val="17"/>
        </w:rPr>
      </w:pPr>
      <w:r>
        <w:rPr>
          <w:rFonts w:ascii="Palatino Linotype"/>
          <w:color w:val="231F20"/>
          <w:w w:val="95"/>
          <w:sz w:val="17"/>
        </w:rPr>
        <w:t>0</w:t>
      </w:r>
    </w:p>
    <w:p>
      <w:pPr>
        <w:spacing w:line="217" w:lineRule="exact" w:before="0"/>
        <w:ind w:left="2111" w:right="96" w:firstLine="0"/>
        <w:jc w:val="left"/>
        <w:rPr>
          <w:rFonts w:ascii="Palatino Linotype"/>
          <w:sz w:val="17"/>
        </w:rPr>
      </w:pPr>
      <w:r>
        <w:rPr>
          <w:rFonts w:ascii="Palatino Linotype"/>
          <w:color w:val="231F20"/>
          <w:sz w:val="17"/>
        </w:rPr>
        <w:t>1988   1990   1992   1994   1996   1998   2000   2002   2004   2006      2008</w:t>
      </w:r>
    </w:p>
    <w:p>
      <w:pPr>
        <w:pStyle w:val="BodyText"/>
        <w:spacing w:before="5"/>
        <w:rPr>
          <w:rFonts w:ascii="Palatino Linotype"/>
          <w:sz w:val="13"/>
        </w:rPr>
      </w:pPr>
    </w:p>
    <w:p>
      <w:pPr>
        <w:tabs>
          <w:tab w:pos="5192" w:val="left" w:leader="none"/>
        </w:tabs>
        <w:spacing w:before="45"/>
        <w:ind w:left="3277" w:right="1617" w:firstLine="0"/>
        <w:jc w:val="left"/>
        <w:rPr>
          <w:rFonts w:ascii="Palatino Linotype" w:hAnsi="Palatino Linotype"/>
          <w:sz w:val="18"/>
        </w:rPr>
      </w:pPr>
      <w:r>
        <w:rPr/>
        <w:drawing>
          <wp:anchor distT="0" distB="0" distL="0" distR="0" allowOverlap="1" layoutInCell="1" locked="0" behindDoc="0" simplePos="0" relativeHeight="10720">
            <wp:simplePos x="0" y="0"/>
            <wp:positionH relativeFrom="page">
              <wp:posOffset>2102407</wp:posOffset>
            </wp:positionH>
            <wp:positionV relativeFrom="paragraph">
              <wp:posOffset>72012</wp:posOffset>
            </wp:positionV>
            <wp:extent cx="230428" cy="74066"/>
            <wp:effectExtent l="0" t="0" r="0" b="0"/>
            <wp:wrapNone/>
            <wp:docPr id="27" name="image177.png" descr=""/>
            <wp:cNvGraphicFramePr>
              <a:graphicFrameLocks noChangeAspect="1"/>
            </wp:cNvGraphicFramePr>
            <a:graphic>
              <a:graphicData uri="http://schemas.openxmlformats.org/drawingml/2006/picture">
                <pic:pic>
                  <pic:nvPicPr>
                    <pic:cNvPr id="28" name="image177.png"/>
                    <pic:cNvPicPr/>
                  </pic:nvPicPr>
                  <pic:blipFill>
                    <a:blip r:embed="rId294" cstate="print"/>
                    <a:stretch>
                      <a:fillRect/>
                    </a:stretch>
                  </pic:blipFill>
                  <pic:spPr>
                    <a:xfrm>
                      <a:off x="0" y="0"/>
                      <a:ext cx="230428" cy="74066"/>
                    </a:xfrm>
                    <a:prstGeom prst="rect">
                      <a:avLst/>
                    </a:prstGeom>
                  </pic:spPr>
                </pic:pic>
              </a:graphicData>
            </a:graphic>
          </wp:anchor>
        </w:drawing>
      </w:r>
      <w:r>
        <w:rPr/>
        <w:pict>
          <v:group style="position:absolute;margin-left:260.797516pt;margin-top:6.105942pt;width:18.8pt;height:5.2pt;mso-position-horizontal-relative:page;mso-position-vertical-relative:paragraph;z-index:-608848" coordorigin="5216,122" coordsize="376,104">
            <v:shape style="position:absolute;left:0;top:3702;width:337;height:2" coordorigin="0,3702" coordsize="337,0" path="m5456,174l5572,174m5235,174l5352,174e" filled="false" stroked="true" strokeweight="1.944pt" strokecolor="#c4c6c8">
              <v:path arrowok="t"/>
            </v:shape>
            <v:rect style="position:absolute;left:5352;top:122;width:104;height:104" filled="true" fillcolor="#c4c6c8" stroked="false">
              <v:fill type="solid"/>
            </v:rect>
            <w10:wrap type="none"/>
          </v:group>
        </w:pict>
      </w:r>
      <w:r>
        <w:rPr>
          <w:rFonts w:ascii="Palatino Linotype" w:hAnsi="Palatino Linotype"/>
          <w:color w:val="231F20"/>
          <w:sz w:val="18"/>
        </w:rPr>
        <w:t>Estado</w:t>
      </w:r>
      <w:r>
        <w:rPr>
          <w:rFonts w:ascii="Palatino Linotype" w:hAnsi="Palatino Linotype"/>
          <w:color w:val="231F20"/>
          <w:spacing w:val="-24"/>
          <w:sz w:val="18"/>
        </w:rPr>
        <w:t> </w:t>
      </w:r>
      <w:r>
        <w:rPr>
          <w:rFonts w:ascii="Palatino Linotype" w:hAnsi="Palatino Linotype"/>
          <w:color w:val="231F20"/>
          <w:sz w:val="18"/>
        </w:rPr>
        <w:t>de</w:t>
      </w:r>
      <w:r>
        <w:rPr>
          <w:rFonts w:ascii="Palatino Linotype" w:hAnsi="Palatino Linotype"/>
          <w:color w:val="231F20"/>
          <w:spacing w:val="-31"/>
          <w:sz w:val="18"/>
        </w:rPr>
        <w:t> </w:t>
      </w:r>
      <w:r>
        <w:rPr>
          <w:rFonts w:ascii="Palatino Linotype" w:hAnsi="Palatino Linotype"/>
          <w:color w:val="231F20"/>
          <w:sz w:val="18"/>
        </w:rPr>
        <w:t>México</w:t>
        <w:tab/>
        <w:t>Nacional</w:t>
      </w:r>
    </w:p>
    <w:p>
      <w:pPr>
        <w:pStyle w:val="BodyText"/>
        <w:spacing w:before="11"/>
        <w:rPr>
          <w:rFonts w:ascii="Palatino Linotype"/>
          <w:sz w:val="24"/>
        </w:rPr>
      </w:pPr>
    </w:p>
    <w:p>
      <w:pPr>
        <w:spacing w:before="41"/>
        <w:ind w:left="713" w:right="0" w:firstLine="0"/>
        <w:jc w:val="both"/>
        <w:rPr>
          <w:sz w:val="19"/>
        </w:rPr>
      </w:pPr>
      <w:r>
        <w:rPr>
          <w:rFonts w:ascii="Palatino Linotype" w:hAnsi="Palatino Linotype"/>
          <w:i/>
          <w:color w:val="231F20"/>
          <w:sz w:val="19"/>
        </w:rPr>
        <w:t>Fuente: </w:t>
      </w:r>
      <w:r>
        <w:rPr>
          <w:color w:val="231F20"/>
          <w:sz w:val="19"/>
        </w:rPr>
        <w:t>Elaboración propia con datos de AMIA (2009).</w:t>
      </w:r>
    </w:p>
    <w:p>
      <w:pPr>
        <w:pStyle w:val="BodyText"/>
        <w:rPr>
          <w:sz w:val="22"/>
        </w:rPr>
      </w:pPr>
    </w:p>
    <w:p>
      <w:pPr>
        <w:pStyle w:val="BodyText"/>
        <w:spacing w:line="278" w:lineRule="auto" w:before="1"/>
        <w:ind w:left="713" w:right="101"/>
        <w:jc w:val="both"/>
      </w:pPr>
      <w:r>
        <w:rPr>
          <w:color w:val="231F20"/>
        </w:rPr>
        <w:t>En</w:t>
      </w:r>
      <w:r>
        <w:rPr>
          <w:color w:val="231F20"/>
          <w:spacing w:val="-5"/>
        </w:rPr>
        <w:t> </w:t>
      </w:r>
      <w:r>
        <w:rPr>
          <w:color w:val="231F20"/>
        </w:rPr>
        <w:t>el</w:t>
      </w:r>
      <w:r>
        <w:rPr>
          <w:color w:val="231F20"/>
          <w:spacing w:val="-5"/>
        </w:rPr>
        <w:t> </w:t>
      </w:r>
      <w:r>
        <w:rPr>
          <w:color w:val="231F20"/>
        </w:rPr>
        <w:t>caso</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producción</w:t>
      </w:r>
      <w:r>
        <w:rPr>
          <w:color w:val="231F20"/>
          <w:spacing w:val="-5"/>
        </w:rPr>
        <w:t> </w:t>
      </w:r>
      <w:r>
        <w:rPr>
          <w:color w:val="231F20"/>
        </w:rPr>
        <w:t>por</w:t>
      </w:r>
      <w:r>
        <w:rPr>
          <w:color w:val="231F20"/>
          <w:spacing w:val="-5"/>
        </w:rPr>
        <w:t> </w:t>
      </w:r>
      <w:r>
        <w:rPr>
          <w:color w:val="231F20"/>
        </w:rPr>
        <w:t>mercado</w:t>
      </w:r>
      <w:r>
        <w:rPr>
          <w:color w:val="231F20"/>
          <w:spacing w:val="-5"/>
        </w:rPr>
        <w:t> </w:t>
      </w:r>
      <w:r>
        <w:rPr>
          <w:color w:val="231F20"/>
        </w:rPr>
        <w:t>de</w:t>
      </w:r>
      <w:r>
        <w:rPr>
          <w:color w:val="231F20"/>
          <w:spacing w:val="-5"/>
        </w:rPr>
        <w:t> </w:t>
      </w:r>
      <w:r>
        <w:rPr>
          <w:color w:val="231F20"/>
        </w:rPr>
        <w:t>destino</w:t>
      </w:r>
      <w:r>
        <w:rPr>
          <w:color w:val="231F20"/>
          <w:spacing w:val="-5"/>
        </w:rPr>
        <w:t> </w:t>
      </w:r>
      <w:r>
        <w:rPr>
          <w:color w:val="231F20"/>
        </w:rPr>
        <w:t>la</w:t>
      </w:r>
      <w:r>
        <w:rPr>
          <w:color w:val="231F20"/>
          <w:spacing w:val="-5"/>
        </w:rPr>
        <w:t> </w:t>
      </w:r>
      <w:r>
        <w:rPr>
          <w:color w:val="231F20"/>
        </w:rPr>
        <w:t>situación</w:t>
      </w:r>
      <w:r>
        <w:rPr>
          <w:color w:val="231F20"/>
          <w:spacing w:val="-5"/>
        </w:rPr>
        <w:t> </w:t>
      </w:r>
      <w:r>
        <w:rPr>
          <w:color w:val="231F20"/>
        </w:rPr>
        <w:t>es</w:t>
      </w:r>
      <w:r>
        <w:rPr>
          <w:color w:val="231F20"/>
          <w:spacing w:val="-5"/>
        </w:rPr>
        <w:t> </w:t>
      </w:r>
      <w:r>
        <w:rPr>
          <w:color w:val="231F20"/>
          <w:spacing w:val="-2"/>
        </w:rPr>
        <w:t>muy</w:t>
      </w:r>
      <w:r>
        <w:rPr>
          <w:color w:val="231F20"/>
          <w:spacing w:val="-5"/>
        </w:rPr>
        <w:t> </w:t>
      </w:r>
      <w:r>
        <w:rPr>
          <w:color w:val="231F20"/>
        </w:rPr>
        <w:t>parecida,</w:t>
      </w:r>
      <w:r>
        <w:rPr>
          <w:color w:val="231F20"/>
          <w:spacing w:val="-5"/>
        </w:rPr>
        <w:t> </w:t>
      </w:r>
      <w:r>
        <w:rPr>
          <w:color w:val="231F20"/>
        </w:rPr>
        <w:t>aun- que la brecha es más amplia para la producción destinada al mercado de exportación que para la destinada al mercado nacional; en el Estado de México esta última no ha tenido</w:t>
      </w:r>
      <w:r>
        <w:rPr>
          <w:color w:val="231F20"/>
          <w:spacing w:val="-10"/>
        </w:rPr>
        <w:t> </w:t>
      </w:r>
      <w:r>
        <w:rPr>
          <w:color w:val="231F20"/>
        </w:rPr>
        <w:t>crecimiento</w:t>
      </w:r>
      <w:r>
        <w:rPr>
          <w:color w:val="231F20"/>
          <w:spacing w:val="-10"/>
        </w:rPr>
        <w:t> </w:t>
      </w:r>
      <w:r>
        <w:rPr>
          <w:color w:val="231F20"/>
        </w:rPr>
        <w:t>prácticamente</w:t>
      </w:r>
      <w:r>
        <w:rPr>
          <w:color w:val="231F20"/>
          <w:spacing w:val="-10"/>
        </w:rPr>
        <w:t> </w:t>
      </w:r>
      <w:r>
        <w:rPr>
          <w:color w:val="231F20"/>
        </w:rPr>
        <w:t>desde</w:t>
      </w:r>
      <w:r>
        <w:rPr>
          <w:color w:val="231F20"/>
          <w:spacing w:val="-10"/>
        </w:rPr>
        <w:t> </w:t>
      </w:r>
      <w:r>
        <w:rPr>
          <w:color w:val="231F20"/>
        </w:rPr>
        <w:t>1995</w:t>
      </w:r>
      <w:r>
        <w:rPr>
          <w:color w:val="231F20"/>
          <w:spacing w:val="-10"/>
        </w:rPr>
        <w:t> </w:t>
      </w:r>
      <w:r>
        <w:rPr>
          <w:color w:val="231F20"/>
        </w:rPr>
        <w:t>(véase</w:t>
      </w:r>
      <w:r>
        <w:rPr>
          <w:color w:val="231F20"/>
          <w:spacing w:val="-10"/>
        </w:rPr>
        <w:t> </w:t>
      </w:r>
      <w:r>
        <w:rPr>
          <w:color w:val="231F20"/>
        </w:rPr>
        <w:t>gráfica</w:t>
      </w:r>
      <w:r>
        <w:rPr>
          <w:color w:val="231F20"/>
          <w:spacing w:val="-10"/>
        </w:rPr>
        <w:t> </w:t>
      </w:r>
      <w:r>
        <w:rPr>
          <w:color w:val="231F20"/>
          <w:spacing w:val="-7"/>
        </w:rPr>
        <w:t>IV.9a</w:t>
      </w:r>
      <w:r>
        <w:rPr>
          <w:color w:val="231F20"/>
          <w:spacing w:val="-10"/>
        </w:rPr>
        <w:t> </w:t>
      </w:r>
      <w:r>
        <w:rPr>
          <w:color w:val="231F20"/>
        </w:rPr>
        <w:t>y</w:t>
      </w:r>
      <w:r>
        <w:rPr>
          <w:color w:val="231F20"/>
          <w:spacing w:val="-10"/>
        </w:rPr>
        <w:t> </w:t>
      </w:r>
      <w:r>
        <w:rPr>
          <w:color w:val="231F20"/>
        </w:rPr>
        <w:t>b).</w:t>
      </w:r>
    </w:p>
    <w:p>
      <w:pPr>
        <w:spacing w:after="0" w:line="278" w:lineRule="auto"/>
        <w:jc w:val="both"/>
        <w:sectPr>
          <w:pgSz w:w="9640" w:h="13040"/>
          <w:pgMar w:header="581" w:footer="654" w:top="780" w:bottom="840" w:left="420" w:right="1200"/>
        </w:sectPr>
      </w:pPr>
    </w:p>
    <w:p>
      <w:pPr>
        <w:pStyle w:val="BodyText"/>
        <w:rPr>
          <w:sz w:val="20"/>
        </w:rPr>
      </w:pPr>
    </w:p>
    <w:p>
      <w:pPr>
        <w:pStyle w:val="BodyText"/>
        <w:spacing w:before="9"/>
        <w:rPr>
          <w:sz w:val="15"/>
        </w:rPr>
      </w:pPr>
    </w:p>
    <w:p>
      <w:pPr>
        <w:pStyle w:val="Heading4"/>
        <w:ind w:left="1017" w:right="1624"/>
      </w:pPr>
      <w:r>
        <w:rPr>
          <w:color w:val="231F20"/>
          <w:w w:val="90"/>
        </w:rPr>
        <w:t>Gráfica IV.9</w:t>
      </w:r>
    </w:p>
    <w:p>
      <w:pPr>
        <w:spacing w:line="282" w:lineRule="exact" w:before="0"/>
        <w:ind w:left="0" w:right="611" w:firstLine="0"/>
        <w:jc w:val="center"/>
        <w:rPr>
          <w:rFonts w:ascii="Palatino Linotype" w:hAnsi="Palatino Linotype"/>
          <w:b/>
          <w:sz w:val="21"/>
        </w:rPr>
      </w:pPr>
      <w:r>
        <w:rPr>
          <w:rFonts w:ascii="Palatino Linotype" w:hAnsi="Palatino Linotype"/>
          <w:b/>
          <w:color w:val="231F20"/>
          <w:w w:val="95"/>
          <w:sz w:val="21"/>
        </w:rPr>
        <w:t>México y Estado de México: producción por mercado de destino, 1988-2008</w:t>
      </w:r>
    </w:p>
    <w:p>
      <w:pPr>
        <w:spacing w:before="17"/>
        <w:ind w:left="1017" w:right="1628" w:firstLine="0"/>
        <w:jc w:val="center"/>
        <w:rPr>
          <w:rFonts w:ascii="Palatino Linotype" w:hAnsi="Palatino Linotype"/>
          <w:b/>
          <w:sz w:val="19"/>
        </w:rPr>
      </w:pPr>
      <w:r>
        <w:rPr>
          <w:rFonts w:ascii="Palatino Linotype" w:hAnsi="Palatino Linotype"/>
          <w:b/>
          <w:color w:val="231F20"/>
          <w:sz w:val="19"/>
        </w:rPr>
        <w:t>(Vehículos)</w:t>
      </w:r>
    </w:p>
    <w:p>
      <w:pPr>
        <w:pStyle w:val="BodyText"/>
        <w:spacing w:before="3"/>
        <w:rPr>
          <w:rFonts w:ascii="Palatino Linotype"/>
          <w:b/>
          <w:sz w:val="10"/>
        </w:rPr>
      </w:pPr>
    </w:p>
    <w:p>
      <w:pPr>
        <w:spacing w:after="0"/>
        <w:rPr>
          <w:rFonts w:ascii="Palatino Linotype"/>
          <w:sz w:val="10"/>
        </w:rPr>
        <w:sectPr>
          <w:pgSz w:w="9640" w:h="13040"/>
          <w:pgMar w:header="520" w:footer="654" w:top="880" w:bottom="840" w:left="1200" w:right="420"/>
        </w:sectPr>
      </w:pPr>
    </w:p>
    <w:p>
      <w:pPr>
        <w:pStyle w:val="BodyText"/>
        <w:rPr>
          <w:rFonts w:ascii="Palatino Linotype"/>
          <w:b/>
          <w:sz w:val="16"/>
        </w:rPr>
      </w:pPr>
    </w:p>
    <w:p>
      <w:pPr>
        <w:pStyle w:val="BodyText"/>
        <w:spacing w:before="12"/>
        <w:rPr>
          <w:rFonts w:ascii="Palatino Linotype"/>
          <w:b/>
          <w:sz w:val="10"/>
        </w:rPr>
      </w:pPr>
    </w:p>
    <w:p>
      <w:pPr>
        <w:spacing w:before="0"/>
        <w:ind w:left="0" w:right="14" w:firstLine="0"/>
        <w:jc w:val="right"/>
        <w:rPr>
          <w:rFonts w:ascii="Palatino Linotype"/>
          <w:sz w:val="16"/>
        </w:rPr>
      </w:pPr>
      <w:r>
        <w:rPr>
          <w:rFonts w:ascii="Palatino Linotype"/>
          <w:color w:val="231F20"/>
          <w:w w:val="95"/>
          <w:sz w:val="16"/>
        </w:rPr>
        <w:t>1,800,000</w:t>
      </w:r>
    </w:p>
    <w:p>
      <w:pPr>
        <w:spacing w:before="48"/>
        <w:ind w:left="0" w:right="14" w:firstLine="0"/>
        <w:jc w:val="right"/>
        <w:rPr>
          <w:rFonts w:ascii="Palatino Linotype"/>
          <w:sz w:val="16"/>
        </w:rPr>
      </w:pPr>
      <w:r>
        <w:rPr>
          <w:rFonts w:ascii="Palatino Linotype"/>
          <w:color w:val="231F20"/>
          <w:w w:val="95"/>
          <w:sz w:val="16"/>
        </w:rPr>
        <w:t>1,600,000</w:t>
      </w:r>
    </w:p>
    <w:p>
      <w:pPr>
        <w:spacing w:before="48"/>
        <w:ind w:left="0" w:right="14" w:firstLine="0"/>
        <w:jc w:val="right"/>
        <w:rPr>
          <w:rFonts w:ascii="Palatino Linotype"/>
          <w:sz w:val="16"/>
        </w:rPr>
      </w:pPr>
      <w:r>
        <w:rPr>
          <w:rFonts w:ascii="Palatino Linotype"/>
          <w:color w:val="231F20"/>
          <w:w w:val="95"/>
          <w:sz w:val="16"/>
        </w:rPr>
        <w:t>1,400,000</w:t>
      </w:r>
    </w:p>
    <w:p>
      <w:pPr>
        <w:spacing w:before="48"/>
        <w:ind w:left="0" w:right="14" w:firstLine="0"/>
        <w:jc w:val="right"/>
        <w:rPr>
          <w:rFonts w:ascii="Palatino Linotype"/>
          <w:sz w:val="16"/>
        </w:rPr>
      </w:pPr>
      <w:r>
        <w:rPr>
          <w:rFonts w:ascii="Palatino Linotype"/>
          <w:color w:val="231F20"/>
          <w:w w:val="95"/>
          <w:sz w:val="16"/>
        </w:rPr>
        <w:t>1,200,000</w:t>
      </w:r>
    </w:p>
    <w:p>
      <w:pPr>
        <w:spacing w:before="48"/>
        <w:ind w:left="0" w:right="14" w:firstLine="0"/>
        <w:jc w:val="right"/>
        <w:rPr>
          <w:rFonts w:ascii="Palatino Linotype"/>
          <w:sz w:val="16"/>
        </w:rPr>
      </w:pPr>
      <w:r>
        <w:rPr>
          <w:rFonts w:ascii="Palatino Linotype"/>
          <w:color w:val="231F20"/>
          <w:w w:val="95"/>
          <w:sz w:val="16"/>
        </w:rPr>
        <w:t>1,000,000</w:t>
      </w:r>
    </w:p>
    <w:p>
      <w:pPr>
        <w:spacing w:before="48"/>
        <w:ind w:left="0" w:right="7" w:firstLine="0"/>
        <w:jc w:val="right"/>
        <w:rPr>
          <w:rFonts w:ascii="Palatino Linotype"/>
          <w:sz w:val="16"/>
        </w:rPr>
      </w:pPr>
      <w:r>
        <w:rPr>
          <w:rFonts w:ascii="Palatino Linotype"/>
          <w:color w:val="231F20"/>
          <w:w w:val="95"/>
          <w:sz w:val="16"/>
        </w:rPr>
        <w:t>800,000</w:t>
      </w:r>
    </w:p>
    <w:p>
      <w:pPr>
        <w:spacing w:before="48"/>
        <w:ind w:left="0" w:right="7" w:firstLine="0"/>
        <w:jc w:val="right"/>
        <w:rPr>
          <w:rFonts w:ascii="Palatino Linotype"/>
          <w:sz w:val="16"/>
        </w:rPr>
      </w:pPr>
      <w:r>
        <w:rPr>
          <w:rFonts w:ascii="Palatino Linotype"/>
          <w:color w:val="231F20"/>
          <w:w w:val="95"/>
          <w:sz w:val="16"/>
        </w:rPr>
        <w:t>600,000</w:t>
      </w:r>
    </w:p>
    <w:p>
      <w:pPr>
        <w:spacing w:before="48"/>
        <w:ind w:left="0" w:right="7" w:firstLine="0"/>
        <w:jc w:val="right"/>
        <w:rPr>
          <w:rFonts w:ascii="Palatino Linotype"/>
          <w:sz w:val="16"/>
        </w:rPr>
      </w:pPr>
      <w:r>
        <w:rPr>
          <w:rFonts w:ascii="Palatino Linotype"/>
          <w:color w:val="231F20"/>
          <w:w w:val="95"/>
          <w:sz w:val="16"/>
        </w:rPr>
        <w:t>400,000</w:t>
      </w:r>
    </w:p>
    <w:p>
      <w:pPr>
        <w:spacing w:before="48"/>
        <w:ind w:left="0" w:right="7" w:firstLine="0"/>
        <w:jc w:val="right"/>
        <w:rPr>
          <w:rFonts w:ascii="Palatino Linotype"/>
          <w:sz w:val="16"/>
        </w:rPr>
      </w:pPr>
      <w:r>
        <w:rPr>
          <w:rFonts w:ascii="Palatino Linotype"/>
          <w:color w:val="231F20"/>
          <w:w w:val="95"/>
          <w:sz w:val="16"/>
        </w:rPr>
        <w:t>200,000</w:t>
      </w:r>
    </w:p>
    <w:p>
      <w:pPr>
        <w:spacing w:before="48"/>
        <w:ind w:left="0" w:right="0" w:firstLine="0"/>
        <w:jc w:val="right"/>
        <w:rPr>
          <w:rFonts w:ascii="Palatino Linotype"/>
          <w:sz w:val="16"/>
        </w:rPr>
      </w:pPr>
      <w:r>
        <w:rPr>
          <w:rFonts w:ascii="Palatino Linotype"/>
          <w:color w:val="231F20"/>
          <w:w w:val="98"/>
          <w:sz w:val="16"/>
        </w:rPr>
        <w:t>0</w:t>
      </w:r>
    </w:p>
    <w:p>
      <w:pPr>
        <w:pStyle w:val="Heading4"/>
        <w:numPr>
          <w:ilvl w:val="3"/>
          <w:numId w:val="21"/>
        </w:numPr>
        <w:tabs>
          <w:tab w:pos="1230" w:val="left" w:leader="none"/>
        </w:tabs>
        <w:spacing w:line="240" w:lineRule="auto" w:before="35" w:after="0"/>
        <w:ind w:left="1229" w:right="0" w:hanging="216"/>
        <w:jc w:val="left"/>
      </w:pPr>
      <w:r>
        <w:rPr>
          <w:color w:val="231F20"/>
          <w:spacing w:val="-5"/>
          <w:w w:val="88"/>
        </w:rPr>
        <w:br w:type="column"/>
      </w:r>
      <w:r>
        <w:rPr>
          <w:color w:val="231F20"/>
          <w:w w:val="90"/>
        </w:rPr>
        <w:t>Mercado de</w:t>
      </w:r>
      <w:r>
        <w:rPr>
          <w:color w:val="231F20"/>
          <w:spacing w:val="18"/>
          <w:w w:val="90"/>
        </w:rPr>
        <w:t> </w:t>
      </w:r>
      <w:r>
        <w:rPr>
          <w:color w:val="231F20"/>
          <w:w w:val="90"/>
        </w:rPr>
        <w:t>exportación</w:t>
      </w:r>
    </w:p>
    <w:p>
      <w:pPr>
        <w:pStyle w:val="BodyText"/>
        <w:spacing w:before="6"/>
        <w:rPr>
          <w:rFonts w:ascii="Palatino Linotype"/>
          <w:b/>
          <w:sz w:val="8"/>
        </w:rPr>
      </w:pPr>
      <w:r>
        <w:rPr/>
        <w:pict>
          <v:group style="position:absolute;margin-left:151.503799pt;margin-top:7.64836pt;width:225.3pt;height:121.15pt;mso-position-horizontal-relative:page;mso-position-vertical-relative:paragraph;z-index:10768;mso-wrap-distance-left:0;mso-wrap-distance-right:0" coordorigin="3030,153" coordsize="4506,2423">
            <v:line style="position:absolute" from="3037,2531" to="3037,159" stroked="true" strokeweight=".627pt" strokecolor="#989b9d"/>
            <v:line style="position:absolute" from="3037,2531" to="7529,2531" stroked="true" strokeweight=".627pt" strokecolor="#989b9d"/>
            <v:line style="position:absolute" from="7529,2531" to="7529,2569" stroked="true" strokeweight=".627pt" strokecolor="#989b9d"/>
            <v:line style="position:absolute" from="7416,2531" to="7416,2569" stroked="true" strokeweight=".627pt" strokecolor="#989b9d"/>
            <v:line style="position:absolute" from="7203,2531" to="7203,2569" stroked="true" strokeweight=".627pt" strokecolor="#989b9d"/>
            <v:line style="position:absolute" from="6989,2531" to="6989,2569" stroked="true" strokeweight=".627pt" strokecolor="#989b9d"/>
            <v:line style="position:absolute" from="6776,2531" to="6776,2569" stroked="true" strokeweight=".627pt" strokecolor="#989b9d"/>
            <v:line style="position:absolute" from="6563,2531" to="6563,2569" stroked="true" strokeweight=".627pt" strokecolor="#989b9d"/>
            <v:line style="position:absolute" from="6349,2531" to="6349,2569" stroked="true" strokeweight=".627pt" strokecolor="#989b9d"/>
            <v:line style="position:absolute" from="6136,2531" to="6136,2569" stroked="true" strokeweight=".627pt" strokecolor="#989b9d"/>
            <v:line style="position:absolute" from="5923,2531" to="5923,2569" stroked="true" strokeweight=".627pt" strokecolor="#989b9d"/>
            <v:line style="position:absolute" from="5709,2531" to="5709,2569" stroked="true" strokeweight=".627pt" strokecolor="#989b9d"/>
            <v:line style="position:absolute" from="5496,2531" to="5496,2569" stroked="true" strokeweight=".627pt" strokecolor="#989b9d"/>
            <v:line style="position:absolute" from="5283,2531" to="5283,2569" stroked="true" strokeweight=".627pt" strokecolor="#989b9d"/>
            <v:line style="position:absolute" from="5069,2531" to="5069,2569" stroked="true" strokeweight=".627pt" strokecolor="#989b9d"/>
            <v:line style="position:absolute" from="4856,2531" to="4856,2569" stroked="true" strokeweight=".627pt" strokecolor="#989b9d"/>
            <v:line style="position:absolute" from="4643,2531" to="4643,2569" stroked="true" strokeweight=".627pt" strokecolor="#989b9d"/>
            <v:line style="position:absolute" from="4429,2531" to="4429,2569" stroked="true" strokeweight=".627pt" strokecolor="#989b9d"/>
            <v:line style="position:absolute" from="4216,2531" to="4216,2569" stroked="true" strokeweight=".627pt" strokecolor="#989b9d"/>
            <v:line style="position:absolute" from="4003,2531" to="4003,2569" stroked="true" strokeweight=".627pt" strokecolor="#989b9d"/>
            <v:line style="position:absolute" from="3789,2531" to="3789,2569" stroked="true" strokeweight=".627pt" strokecolor="#989b9d"/>
            <v:line style="position:absolute" from="3576,2531" to="3576,2569" stroked="true" strokeweight=".627pt" strokecolor="#989b9d"/>
            <v:line style="position:absolute" from="3363,2531" to="3363,2569" stroked="true" strokeweight=".627pt" strokecolor="#989b9d"/>
            <v:line style="position:absolute" from="3150,2531" to="3150,2569" stroked="true" strokeweight=".627pt" strokecolor="#989b9d"/>
            <v:shape style="position:absolute;left:3150;top:335;width:4267;height:1971" coordorigin="3150,335" coordsize="4267,1971" path="m3150,2305l3363,2268,3576,2167,3789,2104,4003,2079,4216,1954,4429,1841,4643,1665,4856,1377,5069,1339,5283,1326,5496,1176,5709,749,5923,749,6136,825,6349,1013,6563,1088,6776,963,6989,473,7203,385,7416,335e" filled="false" stroked="true" strokeweight="1.882pt" strokecolor="#5c5d5f">
              <v:path arrowok="t"/>
            </v:shape>
            <v:shape style="position:absolute;left:3080;top:2236;width:138;height:138" type="#_x0000_t75" stroked="false">
              <v:imagedata r:id="rId295" o:title=""/>
            </v:shape>
            <v:shape style="position:absolute;left:3294;top:2199;width:138;height:138" type="#_x0000_t75" stroked="false">
              <v:imagedata r:id="rId296" o:title=""/>
            </v:shape>
            <v:shape style="position:absolute;left:3507;top:2098;width:138;height:138" type="#_x0000_t75" stroked="false">
              <v:imagedata r:id="rId297" o:title=""/>
            </v:shape>
            <v:shape style="position:absolute;left:3720;top:2035;width:138;height:138" type="#_x0000_t75" stroked="false">
              <v:imagedata r:id="rId298" o:title=""/>
            </v:shape>
            <v:shape style="position:absolute;left:3934;top:2010;width:138;height:138" type="#_x0000_t75" stroked="false">
              <v:imagedata r:id="rId299" o:title=""/>
            </v:shape>
            <v:shape style="position:absolute;left:4147;top:1885;width:138;height:138" type="#_x0000_t75" stroked="false">
              <v:imagedata r:id="rId300" o:title=""/>
            </v:shape>
            <v:shape style="position:absolute;left:4360;top:1772;width:138;height:138" type="#_x0000_t75" stroked="false">
              <v:imagedata r:id="rId301" o:title=""/>
            </v:shape>
            <v:shape style="position:absolute;left:4574;top:1596;width:138;height:138" type="#_x0000_t75" stroked="false">
              <v:imagedata r:id="rId302" o:title=""/>
            </v:shape>
            <v:shape style="position:absolute;left:4787;top:1308;width:138;height:138" type="#_x0000_t75" stroked="false">
              <v:imagedata r:id="rId301" o:title=""/>
            </v:shape>
            <v:shape style="position:absolute;left:5000;top:1270;width:138;height:138" type="#_x0000_t75" stroked="false">
              <v:imagedata r:id="rId303" o:title=""/>
            </v:shape>
            <v:shape style="position:absolute;left:5214;top:1257;width:138;height:138" type="#_x0000_t75" stroked="false">
              <v:imagedata r:id="rId304" o:title=""/>
            </v:shape>
            <v:shape style="position:absolute;left:5427;top:1107;width:138;height:138" type="#_x0000_t75" stroked="false">
              <v:imagedata r:id="rId305" o:title=""/>
            </v:shape>
            <v:shape style="position:absolute;left:5640;top:680;width:138;height:138" type="#_x0000_t75" stroked="false">
              <v:imagedata r:id="rId303" o:title=""/>
            </v:shape>
            <v:shape style="position:absolute;left:5854;top:680;width:138;height:138" type="#_x0000_t75" stroked="false">
              <v:imagedata r:id="rId301" o:title=""/>
            </v:shape>
            <v:shape style="position:absolute;left:6067;top:756;width:138;height:138" type="#_x0000_t75" stroked="false">
              <v:imagedata r:id="rId306" o:title=""/>
            </v:shape>
            <v:shape style="position:absolute;left:6280;top:944;width:138;height:138" type="#_x0000_t75" stroked="false">
              <v:imagedata r:id="rId307" o:title=""/>
            </v:shape>
            <v:shape style="position:absolute;left:6494;top:1019;width:138;height:138" type="#_x0000_t75" stroked="false">
              <v:imagedata r:id="rId308" o:title=""/>
            </v:shape>
            <v:shape style="position:absolute;left:6707;top:894;width:138;height:138" type="#_x0000_t75" stroked="false">
              <v:imagedata r:id="rId309" o:title=""/>
            </v:shape>
            <v:shape style="position:absolute;left:6920;top:404;width:138;height:138" type="#_x0000_t75" stroked="false">
              <v:imagedata r:id="rId310" o:title=""/>
            </v:shape>
            <v:shape style="position:absolute;left:7134;top:316;width:138;height:138" type="#_x0000_t75" stroked="false">
              <v:imagedata r:id="rId311" o:title=""/>
            </v:shape>
            <v:shape style="position:absolute;left:7347;top:266;width:138;height:138" type="#_x0000_t75" stroked="false">
              <v:imagedata r:id="rId306" o:title=""/>
            </v:shape>
            <v:shape style="position:absolute;left:3150;top:1866;width:4267;height:590" coordorigin="3150,1866" coordsize="4267,590" path="m3150,2431l3363,2418,3576,2431,3789,2418,4003,2393,4216,2393,4429,2418,4643,2431,4856,2406,5069,2393,5283,2456,5496,2418,5709,1866,5923,1866,6136,1904,6349,1979,6563,1941,6776,1879,6989,2029,7203,2142,7416,2042e" filled="false" stroked="true" strokeweight="1.882pt" strokecolor="#c4c6c8">
              <v:path arrowok="t"/>
            </v:shape>
            <v:rect style="position:absolute;left:3087;top:2368;width:113;height:113" filled="true" fillcolor="#c4c6c8" stroked="false">
              <v:fill type="solid"/>
            </v:rect>
            <v:rect style="position:absolute;left:3300;top:2355;width:113;height:113" filled="true" fillcolor="#c4c6c8" stroked="false">
              <v:fill type="solid"/>
            </v:rect>
            <v:rect style="position:absolute;left:3513;top:2368;width:113;height:113" filled="true" fillcolor="#c4c6c8" stroked="false">
              <v:fill type="solid"/>
            </v:rect>
            <v:rect style="position:absolute;left:3727;top:2355;width:113;height:113" filled="true" fillcolor="#c4c6c8" stroked="false">
              <v:fill type="solid"/>
            </v:rect>
            <v:rect style="position:absolute;left:3940;top:2330;width:113;height:113" filled="true" fillcolor="#c4c6c8" stroked="false">
              <v:fill type="solid"/>
            </v:rect>
            <v:rect style="position:absolute;left:4153;top:2330;width:113;height:113" filled="true" fillcolor="#c4c6c8" stroked="false">
              <v:fill type="solid"/>
            </v:rect>
            <v:rect style="position:absolute;left:4367;top:2355;width:113;height:113" filled="true" fillcolor="#c4c6c8" stroked="false">
              <v:fill type="solid"/>
            </v:rect>
            <v:rect style="position:absolute;left:4580;top:2368;width:113;height:113" filled="true" fillcolor="#c4c6c8" stroked="false">
              <v:fill type="solid"/>
            </v:rect>
            <v:rect style="position:absolute;left:4793;top:2343;width:113;height:113" filled="true" fillcolor="#c4c6c8" stroked="false">
              <v:fill type="solid"/>
            </v:rect>
            <v:rect style="position:absolute;left:5007;top:2330;width:113;height:113" filled="true" fillcolor="#c4c6c8" stroked="false">
              <v:fill type="solid"/>
            </v:rect>
            <v:rect style="position:absolute;left:5220;top:2393;width:113;height:113" filled="true" fillcolor="#c4c6c8" stroked="false">
              <v:fill type="solid"/>
            </v:rect>
            <v:rect style="position:absolute;left:5433;top:2355;width:113;height:113" filled="true" fillcolor="#c4c6c8" stroked="false">
              <v:fill type="solid"/>
            </v:rect>
            <v:rect style="position:absolute;left:5647;top:1803;width:113;height:113" filled="true" fillcolor="#c4c6c8" stroked="false">
              <v:fill type="solid"/>
            </v:rect>
            <v:rect style="position:absolute;left:5860;top:1803;width:113;height:113" filled="true" fillcolor="#c4c6c8" stroked="false">
              <v:fill type="solid"/>
            </v:rect>
            <v:rect style="position:absolute;left:6073;top:1841;width:113;height:113" filled="true" fillcolor="#c4c6c8" stroked="false">
              <v:fill type="solid"/>
            </v:rect>
            <v:rect style="position:absolute;left:6287;top:1916;width:113;height:113" filled="true" fillcolor="#c4c6c8" stroked="false">
              <v:fill type="solid"/>
            </v:rect>
            <v:rect style="position:absolute;left:6500;top:1879;width:113;height:113" filled="true" fillcolor="#c4c6c8" stroked="false">
              <v:fill type="solid"/>
            </v:rect>
            <v:rect style="position:absolute;left:6713;top:1816;width:113;height:113" filled="true" fillcolor="#c4c6c8" stroked="false">
              <v:fill type="solid"/>
            </v:rect>
            <v:rect style="position:absolute;left:6927;top:1966;width:113;height:113" filled="true" fillcolor="#c4c6c8" stroked="false">
              <v:fill type="solid"/>
            </v:rect>
            <v:rect style="position:absolute;left:7140;top:2079;width:113;height:113" filled="true" fillcolor="#c4c6c8" stroked="false">
              <v:fill type="solid"/>
            </v:rect>
            <v:rect style="position:absolute;left:7353;top:1979;width:113;height:113" filled="true" fillcolor="#c4c6c8" stroked="false">
              <v:fill type="solid"/>
            </v:rect>
            <w10:wrap type="topAndBottom"/>
          </v:group>
        </w:pict>
      </w:r>
    </w:p>
    <w:p>
      <w:pPr>
        <w:spacing w:before="17"/>
        <w:ind w:left="47" w:right="0" w:firstLine="0"/>
        <w:jc w:val="left"/>
        <w:rPr>
          <w:rFonts w:ascii="Palatino Linotype"/>
          <w:sz w:val="16"/>
        </w:rPr>
      </w:pPr>
      <w:r>
        <w:rPr>
          <w:rFonts w:ascii="Palatino Linotype"/>
          <w:color w:val="231F20"/>
          <w:sz w:val="16"/>
        </w:rPr>
        <w:t>1988  1990  1992  1994  1996  1998  2000  2002  2004  2006        2008</w:t>
      </w:r>
    </w:p>
    <w:p>
      <w:pPr>
        <w:spacing w:after="0"/>
        <w:jc w:val="left"/>
        <w:rPr>
          <w:rFonts w:ascii="Palatino Linotype"/>
          <w:sz w:val="16"/>
        </w:rPr>
        <w:sectPr>
          <w:type w:val="continuous"/>
          <w:pgSz w:w="9640" w:h="13040"/>
          <w:pgMar w:top="1200" w:bottom="280" w:left="1200" w:right="420"/>
          <w:cols w:num="2" w:equalWidth="0">
            <w:col w:w="1693" w:space="40"/>
            <w:col w:w="6287"/>
          </w:cols>
        </w:sectPr>
      </w:pPr>
    </w:p>
    <w:p>
      <w:pPr>
        <w:pStyle w:val="BodyText"/>
        <w:spacing w:before="3"/>
        <w:rPr>
          <w:rFonts w:ascii="Palatino Linotype"/>
          <w:sz w:val="9"/>
        </w:rPr>
      </w:pPr>
    </w:p>
    <w:p>
      <w:pPr>
        <w:spacing w:after="0"/>
        <w:rPr>
          <w:rFonts w:ascii="Palatino Linotype"/>
          <w:sz w:val="9"/>
        </w:rPr>
        <w:sectPr>
          <w:type w:val="continuous"/>
          <w:pgSz w:w="9640" w:h="13040"/>
          <w:pgMar w:top="1200" w:bottom="280" w:left="1200" w:right="420"/>
        </w:sect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7"/>
        </w:rPr>
      </w:pPr>
    </w:p>
    <w:p>
      <w:pPr>
        <w:spacing w:before="0"/>
        <w:ind w:left="1055" w:right="-1" w:firstLine="0"/>
        <w:jc w:val="left"/>
        <w:rPr>
          <w:rFonts w:ascii="Palatino Linotype"/>
          <w:sz w:val="16"/>
        </w:rPr>
      </w:pPr>
      <w:r>
        <w:rPr>
          <w:rFonts w:ascii="Palatino Linotype"/>
          <w:color w:val="231F20"/>
          <w:sz w:val="16"/>
        </w:rPr>
        <w:t>700,000</w:t>
      </w:r>
    </w:p>
    <w:p>
      <w:pPr>
        <w:spacing w:before="117"/>
        <w:ind w:left="1055" w:right="-1" w:firstLine="0"/>
        <w:jc w:val="left"/>
        <w:rPr>
          <w:rFonts w:ascii="Palatino Linotype"/>
          <w:sz w:val="16"/>
        </w:rPr>
      </w:pPr>
      <w:r>
        <w:rPr>
          <w:rFonts w:ascii="Palatino Linotype"/>
          <w:color w:val="231F20"/>
          <w:sz w:val="16"/>
        </w:rPr>
        <w:t>600,000</w:t>
      </w:r>
    </w:p>
    <w:p>
      <w:pPr>
        <w:spacing w:before="117"/>
        <w:ind w:left="1055" w:right="-1" w:firstLine="0"/>
        <w:jc w:val="left"/>
        <w:rPr>
          <w:rFonts w:ascii="Palatino Linotype"/>
          <w:sz w:val="16"/>
        </w:rPr>
      </w:pPr>
      <w:r>
        <w:rPr>
          <w:rFonts w:ascii="Palatino Linotype"/>
          <w:color w:val="231F20"/>
          <w:sz w:val="16"/>
        </w:rPr>
        <w:t>500,000</w:t>
      </w:r>
    </w:p>
    <w:p>
      <w:pPr>
        <w:tabs>
          <w:tab w:pos="2285" w:val="left" w:leader="none"/>
        </w:tabs>
        <w:spacing w:before="51"/>
        <w:ind w:left="1066" w:right="0" w:firstLine="0"/>
        <w:jc w:val="left"/>
        <w:rPr>
          <w:rFonts w:ascii="Palatino Linotype" w:hAnsi="Palatino Linotype"/>
          <w:sz w:val="17"/>
        </w:rPr>
      </w:pPr>
      <w:r>
        <w:rPr/>
        <w:br w:type="column"/>
      </w:r>
      <w:r>
        <w:rPr>
          <w:rFonts w:ascii="Palatino Linotype" w:hAnsi="Palatino Linotype"/>
          <w:color w:val="231F20"/>
          <w:sz w:val="17"/>
        </w:rPr>
        <w:t>Nacional</w:t>
        <w:tab/>
      </w:r>
      <w:r>
        <w:rPr>
          <w:rFonts w:ascii="Palatino Linotype" w:hAnsi="Palatino Linotype"/>
          <w:color w:val="231F20"/>
          <w:w w:val="95"/>
          <w:sz w:val="17"/>
        </w:rPr>
        <w:t>Estado de</w:t>
      </w:r>
      <w:r>
        <w:rPr>
          <w:rFonts w:ascii="Palatino Linotype" w:hAnsi="Palatino Linotype"/>
          <w:color w:val="231F20"/>
          <w:spacing w:val="-21"/>
          <w:w w:val="95"/>
          <w:sz w:val="17"/>
        </w:rPr>
        <w:t> </w:t>
      </w:r>
      <w:r>
        <w:rPr>
          <w:rFonts w:ascii="Palatino Linotype" w:hAnsi="Palatino Linotype"/>
          <w:color w:val="231F20"/>
          <w:w w:val="95"/>
          <w:sz w:val="17"/>
        </w:rPr>
        <w:t>México</w:t>
      </w:r>
    </w:p>
    <w:p>
      <w:pPr>
        <w:pStyle w:val="BodyText"/>
        <w:spacing w:before="1"/>
        <w:rPr>
          <w:rFonts w:ascii="Palatino Linotype"/>
          <w:sz w:val="17"/>
        </w:rPr>
      </w:pPr>
    </w:p>
    <w:p>
      <w:pPr>
        <w:pStyle w:val="Heading4"/>
        <w:numPr>
          <w:ilvl w:val="3"/>
          <w:numId w:val="21"/>
        </w:numPr>
        <w:tabs>
          <w:tab w:pos="1659" w:val="left" w:leader="none"/>
        </w:tabs>
        <w:spacing w:line="240" w:lineRule="auto" w:before="1" w:after="0"/>
        <w:ind w:left="1658" w:right="0" w:hanging="230"/>
        <w:jc w:val="left"/>
      </w:pPr>
      <w:r>
        <w:rPr/>
        <w:drawing>
          <wp:anchor distT="0" distB="0" distL="0" distR="0" allowOverlap="1" layoutInCell="1" locked="0" behindDoc="0" simplePos="0" relativeHeight="10792">
            <wp:simplePos x="0" y="0"/>
            <wp:positionH relativeFrom="page">
              <wp:posOffset>2235009</wp:posOffset>
            </wp:positionH>
            <wp:positionV relativeFrom="paragraph">
              <wp:posOffset>-252525</wp:posOffset>
            </wp:positionV>
            <wp:extent cx="231076" cy="71704"/>
            <wp:effectExtent l="0" t="0" r="0" b="0"/>
            <wp:wrapNone/>
            <wp:docPr id="29" name="image195.png" descr=""/>
            <wp:cNvGraphicFramePr>
              <a:graphicFrameLocks noChangeAspect="1"/>
            </wp:cNvGraphicFramePr>
            <a:graphic>
              <a:graphicData uri="http://schemas.openxmlformats.org/drawingml/2006/picture">
                <pic:pic>
                  <pic:nvPicPr>
                    <pic:cNvPr id="30" name="image195.png"/>
                    <pic:cNvPicPr/>
                  </pic:nvPicPr>
                  <pic:blipFill>
                    <a:blip r:embed="rId312" cstate="print"/>
                    <a:stretch>
                      <a:fillRect/>
                    </a:stretch>
                  </pic:blipFill>
                  <pic:spPr>
                    <a:xfrm>
                      <a:off x="0" y="0"/>
                      <a:ext cx="231076" cy="71704"/>
                    </a:xfrm>
                    <a:prstGeom prst="rect">
                      <a:avLst/>
                    </a:prstGeom>
                  </pic:spPr>
                </pic:pic>
              </a:graphicData>
            </a:graphic>
          </wp:anchor>
        </w:drawing>
      </w:r>
      <w:r>
        <w:rPr/>
        <w:pict>
          <v:group style="position:absolute;margin-left:236.836899pt;margin-top:-19.462837pt;width:18.25pt;height:5.05pt;mso-position-horizontal-relative:page;mso-position-vertical-relative:paragraph;z-index:-608776" coordorigin="4737,-389" coordsize="365,101">
            <v:shape style="position:absolute;left:0;top:6981;width:327;height:2" coordorigin="0,6981" coordsize="327,0" path="m4969,-339l5082,-339m4756,-339l4869,-339e" filled="false" stroked="true" strokeweight="1.882pt" strokecolor="#c4c6c8">
              <v:path arrowok="t"/>
            </v:shape>
            <v:rect style="position:absolute;left:4869;top:-389;width:100;height:100" filled="true" fillcolor="#c4c6c8" stroked="false">
              <v:fill type="solid"/>
            </v:rect>
            <w10:wrap type="none"/>
          </v:group>
        </w:pict>
      </w:r>
      <w:r>
        <w:rPr/>
        <w:pict>
          <v:group style="position:absolute;margin-left:147.173996pt;margin-top:23.487564pt;width:227.7pt;height:118.65pt;mso-position-horizontal-relative:page;mso-position-vertical-relative:paragraph;z-index:10840" coordorigin="2943,470" coordsize="4554,2373">
            <v:shape style="position:absolute;left:0;top:4659;width:4541;height:2360" coordorigin="0,4659" coordsize="4541,2360" path="m2950,2798l2950,476m2950,2798l7491,2798m7491,2798l7491,2836m7388,2798l7388,2836m7172,2798l7172,2836m6955,2798l6955,2836m6738,2798l6738,2836m6521,2798l6521,2836m6304,2798l6304,2836m6088,2798l6088,2836m5871,2798l5871,2836m5654,2798l5654,2836m5437,2798l5437,2836m5220,2798l5220,2836m5003,2798l5003,2836m4787,2798l4787,2836m4570,2798l4570,2836m4353,2798l4353,2836m4136,2798l4136,2836m3919,2798l3919,2836m3715,2798l3715,2836m3498,2798l3498,2836m3282,2798l3282,2836m3065,2798l3065,2836e" filled="false" stroked="true" strokeweight=".638pt" strokecolor="#989b9d">
              <v:path arrowok="t"/>
            </v:shape>
            <v:shape style="position:absolute;left:3065;top:617;width:4324;height:1684" coordorigin="3065,617" coordsize="4324,1684" path="m3065,1701l3282,1356,3498,1063,3715,821,3919,617,4136,935,4353,1063,4570,2300,4787,2007,5003,1624,5220,1318,5437,1420,5654,1293,5871,1356,6088,1293,6304,1573,6521,1458,6738,1433,6955,1395,7172,1484,7388,1344e" filled="false" stroked="true" strokeweight="1.913pt" strokecolor="#5c5d5f">
              <v:path arrowok="t"/>
            </v:shape>
            <v:shape style="position:absolute;left:2995;top:1631;width:140;height:140" type="#_x0000_t75" stroked="false">
              <v:imagedata r:id="rId313" o:title=""/>
            </v:shape>
            <v:shape style="position:absolute;left:3211;top:1286;width:140;height:140" type="#_x0000_t75" stroked="false">
              <v:imagedata r:id="rId314" o:title=""/>
            </v:shape>
            <v:shape style="position:absolute;left:3428;top:993;width:140;height:140" type="#_x0000_t75" stroked="false">
              <v:imagedata r:id="rId315" o:title=""/>
            </v:shape>
            <v:shape style="position:absolute;left:3645;top:750;width:140;height:140" type="#_x0000_t75" stroked="false">
              <v:imagedata r:id="rId316" o:title=""/>
            </v:shape>
            <v:shape style="position:absolute;left:3849;top:546;width:140;height:140" type="#_x0000_t75" stroked="false">
              <v:imagedata r:id="rId317" o:title=""/>
            </v:shape>
            <v:shape style="position:absolute;left:4066;top:865;width:140;height:140" type="#_x0000_t75" stroked="false">
              <v:imagedata r:id="rId318" o:title=""/>
            </v:shape>
            <v:shape style="position:absolute;left:4283;top:993;width:140;height:140" type="#_x0000_t75" stroked="false">
              <v:imagedata r:id="rId319" o:title=""/>
            </v:shape>
            <v:shape style="position:absolute;left:4500;top:2230;width:140;height:140" type="#_x0000_t75" stroked="false">
              <v:imagedata r:id="rId320" o:title=""/>
            </v:shape>
            <v:shape style="position:absolute;left:4716;top:1937;width:140;height:140" type="#_x0000_t75" stroked="false">
              <v:imagedata r:id="rId321" o:title=""/>
            </v:shape>
            <v:shape style="position:absolute;left:4933;top:1554;width:140;height:140" type="#_x0000_t75" stroked="false">
              <v:imagedata r:id="rId322" o:title=""/>
            </v:shape>
            <v:shape style="position:absolute;left:5150;top:1248;width:140;height:140" type="#_x0000_t75" stroked="false">
              <v:imagedata r:id="rId323" o:title=""/>
            </v:shape>
            <v:shape style="position:absolute;left:5367;top:1350;width:140;height:140" type="#_x0000_t75" stroked="false">
              <v:imagedata r:id="rId324" o:title=""/>
            </v:shape>
            <v:shape style="position:absolute;left:5584;top:1222;width:140;height:140" type="#_x0000_t75" stroked="false">
              <v:imagedata r:id="rId325" o:title=""/>
            </v:shape>
            <v:shape style="position:absolute;left:5801;top:1286;width:140;height:140" type="#_x0000_t75" stroked="false">
              <v:imagedata r:id="rId326" o:title=""/>
            </v:shape>
            <v:shape style="position:absolute;left:6017;top:1222;width:140;height:140" type="#_x0000_t75" stroked="false">
              <v:imagedata r:id="rId327" o:title=""/>
            </v:shape>
            <v:shape style="position:absolute;left:6234;top:1503;width:140;height:140" type="#_x0000_t75" stroked="false">
              <v:imagedata r:id="rId315" o:title=""/>
            </v:shape>
            <v:shape style="position:absolute;left:6451;top:1388;width:140;height:140" type="#_x0000_t75" stroked="false">
              <v:imagedata r:id="rId328" o:title=""/>
            </v:shape>
            <v:shape style="position:absolute;left:6668;top:1363;width:140;height:140" type="#_x0000_t75" stroked="false">
              <v:imagedata r:id="rId328" o:title=""/>
            </v:shape>
            <v:shape style="position:absolute;left:6885;top:1324;width:140;height:140" type="#_x0000_t75" stroked="false">
              <v:imagedata r:id="rId329" o:title=""/>
            </v:shape>
            <v:shape style="position:absolute;left:7102;top:1414;width:140;height:140" type="#_x0000_t75" stroked="false">
              <v:imagedata r:id="rId330" o:title=""/>
            </v:shape>
            <v:shape style="position:absolute;left:7318;top:1273;width:140;height:140" type="#_x0000_t75" stroked="false">
              <v:imagedata r:id="rId331" o:title=""/>
            </v:shape>
            <v:shape style="position:absolute;left:3065;top:1777;width:4324;height:932" coordorigin="3065,1777" coordsize="4324,932" path="m3065,2326l3282,2071,3498,2045,3715,1866,3919,1777,4136,2160,4353,2364,4570,2708,4787,2670,5003,2657,5220,2644,5437,2593,5654,2593,5871,2606,6088,2581,6304,2619,6521,2606,6738,2593,6955,2568,7172,2632,7388,2568e" filled="false" stroked="true" strokeweight="1.913pt" strokecolor="#c4c6c8">
              <v:path arrowok="t"/>
            </v:shape>
            <v:shape style="position:absolute;left:3001;top:1713;width:4439;height:1046" coordorigin="3001,1713" coordsize="4439,1046" path="m3116,2262l3001,2262,3001,2377,3116,2377,3116,2262m3333,2007l3218,2007,3218,2122,3333,2122,3333,2007m3549,1981l3435,1981,3435,2096,3549,2096,3549,1981m3766,1803l3651,1803,3651,1918,3766,1918,3766,1803m3970,1713l3856,1713,3856,1828,3970,1828,3970,1713m4187,2096l4072,2096,4072,2211,4187,2211,4187,2096m4404,2300l4289,2300,4289,2415,4404,2415,4404,2300m4621,2644l4506,2644,4506,2759,4621,2759,4621,2644m4838,2606l4723,2606,4723,2721,4838,2721,4838,2606m5054,2593l4940,2593,4940,2708,5054,2708,5054,2593m5271,2581l5156,2581,5156,2696,5271,2696,5271,2581m5488,2530l5373,2530,5373,2645,5488,2645,5488,2530m5705,2530l5590,2530,5590,2645,5705,2645,5705,2530m5922,2542l5807,2542,5807,2657,5922,2657,5922,2542m6139,2517l6024,2517,6024,2632,6139,2632,6139,2517m6355,2555l6241,2555,6241,2670,6355,2670,6355,2555m6572,2542l6457,2542,6457,2657,6572,2657,6572,2542m6789,2530l6674,2530,6674,2645,6789,2645,6789,2530m7006,2504l6891,2504,6891,2619,7006,2619,7006,2504m7223,2568l7108,2568,7108,2683,7223,2683,7223,2568m7439,2504l7325,2504,7325,2619,7439,2619,7439,2504e" filled="true" fillcolor="#c4c6c8" stroked="false">
              <v:path arrowok="t"/>
              <v:fill type="solid"/>
            </v:shape>
            <w10:wrap type="none"/>
          </v:group>
        </w:pict>
      </w:r>
      <w:r>
        <w:rPr>
          <w:color w:val="231F20"/>
          <w:w w:val="90"/>
        </w:rPr>
        <w:t>Mercado</w:t>
      </w:r>
      <w:r>
        <w:rPr>
          <w:color w:val="231F20"/>
          <w:spacing w:val="10"/>
          <w:w w:val="90"/>
        </w:rPr>
        <w:t> </w:t>
      </w:r>
      <w:r>
        <w:rPr>
          <w:color w:val="231F20"/>
          <w:w w:val="90"/>
        </w:rPr>
        <w:t>interno</w:t>
      </w:r>
    </w:p>
    <w:p>
      <w:pPr>
        <w:spacing w:after="0" w:line="240" w:lineRule="auto"/>
        <w:jc w:val="left"/>
        <w:sectPr>
          <w:type w:val="continuous"/>
          <w:pgSz w:w="9640" w:h="13040"/>
          <w:pgMar w:top="1200" w:bottom="280" w:left="1200" w:right="420"/>
          <w:cols w:num="2" w:equalWidth="0">
            <w:col w:w="1594" w:space="40"/>
            <w:col w:w="6386"/>
          </w:cols>
        </w:sectPr>
      </w:pPr>
    </w:p>
    <w:p>
      <w:pPr>
        <w:spacing w:before="117"/>
        <w:ind w:left="1055" w:right="0" w:firstLine="0"/>
        <w:jc w:val="left"/>
        <w:rPr>
          <w:rFonts w:ascii="Palatino Linotype"/>
          <w:sz w:val="16"/>
        </w:rPr>
      </w:pPr>
      <w:r>
        <w:rPr>
          <w:rFonts w:ascii="Palatino Linotype"/>
          <w:color w:val="231F20"/>
          <w:sz w:val="16"/>
        </w:rPr>
        <w:t>400,000</w:t>
      </w:r>
    </w:p>
    <w:p>
      <w:pPr>
        <w:spacing w:before="117"/>
        <w:ind w:left="1055" w:right="0" w:firstLine="0"/>
        <w:jc w:val="left"/>
        <w:rPr>
          <w:rFonts w:ascii="Palatino Linotype"/>
          <w:sz w:val="16"/>
        </w:rPr>
      </w:pPr>
      <w:r>
        <w:rPr>
          <w:rFonts w:ascii="Palatino Linotype"/>
          <w:color w:val="231F20"/>
          <w:sz w:val="16"/>
        </w:rPr>
        <w:t>300,000</w:t>
      </w:r>
    </w:p>
    <w:p>
      <w:pPr>
        <w:spacing w:before="117"/>
        <w:ind w:left="1055" w:right="0" w:firstLine="0"/>
        <w:jc w:val="left"/>
        <w:rPr>
          <w:rFonts w:ascii="Palatino Linotype"/>
          <w:sz w:val="16"/>
        </w:rPr>
      </w:pPr>
      <w:r>
        <w:rPr>
          <w:rFonts w:ascii="Palatino Linotype"/>
          <w:color w:val="231F20"/>
          <w:sz w:val="16"/>
        </w:rPr>
        <w:t>200,000</w:t>
      </w:r>
    </w:p>
    <w:p>
      <w:pPr>
        <w:spacing w:before="117"/>
        <w:ind w:left="1055" w:right="0" w:firstLine="0"/>
        <w:jc w:val="left"/>
        <w:rPr>
          <w:rFonts w:ascii="Palatino Linotype"/>
          <w:sz w:val="16"/>
        </w:rPr>
      </w:pPr>
      <w:r>
        <w:rPr>
          <w:rFonts w:ascii="Palatino Linotype"/>
          <w:color w:val="231F20"/>
          <w:sz w:val="16"/>
        </w:rPr>
        <w:t>100,000</w:t>
      </w:r>
    </w:p>
    <w:p>
      <w:pPr>
        <w:spacing w:before="117"/>
        <w:ind w:left="0" w:right="0" w:firstLine="0"/>
        <w:jc w:val="right"/>
        <w:rPr>
          <w:rFonts w:ascii="Palatino Linotype"/>
          <w:sz w:val="16"/>
        </w:rPr>
      </w:pPr>
      <w:r>
        <w:rPr>
          <w:rFonts w:ascii="Palatino Linotype"/>
          <w:color w:val="231F20"/>
          <w:w w:val="99"/>
          <w:sz w:val="16"/>
        </w:rPr>
        <w:t>0</w:t>
      </w:r>
    </w:p>
    <w:p>
      <w:pPr>
        <w:pStyle w:val="BodyText"/>
        <w:rPr>
          <w:rFonts w:ascii="Palatino Linotype"/>
          <w:sz w:val="16"/>
        </w:rPr>
      </w:pPr>
      <w:r>
        <w:rPr/>
        <w:br w:type="column"/>
      </w:r>
      <w:r>
        <w:rPr>
          <w:rFonts w:ascii="Palatino Linotype"/>
          <w:sz w:val="16"/>
        </w:rPr>
      </w: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pStyle w:val="BodyText"/>
        <w:rPr>
          <w:rFonts w:ascii="Palatino Linotype"/>
          <w:sz w:val="16"/>
        </w:rPr>
      </w:pPr>
    </w:p>
    <w:p>
      <w:pPr>
        <w:spacing w:before="137"/>
        <w:ind w:left="48" w:right="0" w:firstLine="0"/>
        <w:jc w:val="left"/>
        <w:rPr>
          <w:rFonts w:ascii="Palatino Linotype"/>
          <w:sz w:val="16"/>
        </w:rPr>
      </w:pPr>
      <w:r>
        <w:rPr>
          <w:rFonts w:ascii="Palatino Linotype"/>
          <w:color w:val="231F20"/>
          <w:sz w:val="16"/>
        </w:rPr>
        <w:t>1988   1990   1992   1994   1996   1998   2000   2002   2004   2006 2008</w:t>
      </w:r>
    </w:p>
    <w:p>
      <w:pPr>
        <w:spacing w:after="0"/>
        <w:jc w:val="left"/>
        <w:rPr>
          <w:rFonts w:ascii="Palatino Linotype"/>
          <w:sz w:val="16"/>
        </w:rPr>
        <w:sectPr>
          <w:type w:val="continuous"/>
          <w:pgSz w:w="9640" w:h="13040"/>
          <w:pgMar w:top="1200" w:bottom="280" w:left="1200" w:right="420"/>
          <w:cols w:num="2" w:equalWidth="0">
            <w:col w:w="1604" w:space="40"/>
            <w:col w:w="6376"/>
          </w:cols>
        </w:sectPr>
      </w:pPr>
    </w:p>
    <w:p>
      <w:pPr>
        <w:pStyle w:val="BodyText"/>
        <w:spacing w:before="2"/>
        <w:rPr>
          <w:rFonts w:ascii="Palatino Linotype"/>
          <w:sz w:val="16"/>
        </w:rPr>
      </w:pPr>
    </w:p>
    <w:p>
      <w:pPr>
        <w:tabs>
          <w:tab w:pos="1380" w:val="left" w:leader="none"/>
        </w:tabs>
        <w:spacing w:before="42"/>
        <w:ind w:left="88" w:right="0" w:firstLine="0"/>
        <w:jc w:val="center"/>
        <w:rPr>
          <w:rFonts w:ascii="Palatino Linotype" w:hAnsi="Palatino Linotype"/>
          <w:sz w:val="18"/>
        </w:rPr>
      </w:pPr>
      <w:r>
        <w:rPr/>
        <w:drawing>
          <wp:anchor distT="0" distB="0" distL="0" distR="0" allowOverlap="1" layoutInCell="1" locked="0" behindDoc="0" simplePos="0" relativeHeight="10864">
            <wp:simplePos x="0" y="0"/>
            <wp:positionH relativeFrom="page">
              <wp:posOffset>2282238</wp:posOffset>
            </wp:positionH>
            <wp:positionV relativeFrom="paragraph">
              <wp:posOffset>71383</wp:posOffset>
            </wp:positionV>
            <wp:extent cx="226771" cy="72885"/>
            <wp:effectExtent l="0" t="0" r="0" b="0"/>
            <wp:wrapNone/>
            <wp:docPr id="31" name="image215.png" descr=""/>
            <wp:cNvGraphicFramePr>
              <a:graphicFrameLocks noChangeAspect="1"/>
            </wp:cNvGraphicFramePr>
            <a:graphic>
              <a:graphicData uri="http://schemas.openxmlformats.org/drawingml/2006/picture">
                <pic:pic>
                  <pic:nvPicPr>
                    <pic:cNvPr id="32" name="image215.png"/>
                    <pic:cNvPicPr/>
                  </pic:nvPicPr>
                  <pic:blipFill>
                    <a:blip r:embed="rId332" cstate="print"/>
                    <a:stretch>
                      <a:fillRect/>
                    </a:stretch>
                  </pic:blipFill>
                  <pic:spPr>
                    <a:xfrm>
                      <a:off x="0" y="0"/>
                      <a:ext cx="226771" cy="72885"/>
                    </a:xfrm>
                    <a:prstGeom prst="rect">
                      <a:avLst/>
                    </a:prstGeom>
                  </pic:spPr>
                </pic:pic>
              </a:graphicData>
            </a:graphic>
          </wp:anchor>
        </w:drawing>
      </w:r>
      <w:r>
        <w:rPr/>
        <w:pict>
          <v:group style="position:absolute;margin-left:244.094604pt;margin-top:5.845747pt;width:17.9pt;height:5.15pt;mso-position-horizontal-relative:page;mso-position-vertical-relative:paragraph;z-index:-608704" coordorigin="4882,117" coordsize="358,103">
            <v:shape style="position:absolute;left:0;top:3650;width:319;height:2" coordorigin="0,3650" coordsize="319,0" path="m5105,168l5220,168m4901,168l5003,168e" filled="false" stroked="true" strokeweight="1.913pt" strokecolor="#c4c6c8">
              <v:path arrowok="t"/>
            </v:shape>
            <v:rect style="position:absolute;left:5003;top:117;width:102;height:102" filled="true" fillcolor="#c4c6c8" stroked="false">
              <v:fill type="solid"/>
            </v:rect>
            <w10:wrap type="none"/>
          </v:group>
        </w:pict>
      </w:r>
      <w:r>
        <w:rPr>
          <w:rFonts w:ascii="Palatino Linotype" w:hAnsi="Palatino Linotype"/>
          <w:color w:val="231F20"/>
          <w:sz w:val="18"/>
        </w:rPr>
        <w:t>Nacional</w:t>
        <w:tab/>
      </w:r>
      <w:r>
        <w:rPr>
          <w:rFonts w:ascii="Palatino Linotype" w:hAnsi="Palatino Linotype"/>
          <w:color w:val="231F20"/>
          <w:w w:val="90"/>
          <w:sz w:val="18"/>
        </w:rPr>
        <w:t>Estado de</w:t>
      </w:r>
      <w:r>
        <w:rPr>
          <w:rFonts w:ascii="Palatino Linotype" w:hAnsi="Palatino Linotype"/>
          <w:color w:val="231F20"/>
          <w:spacing w:val="-4"/>
          <w:w w:val="90"/>
          <w:sz w:val="18"/>
        </w:rPr>
        <w:t> </w:t>
      </w:r>
      <w:r>
        <w:rPr>
          <w:rFonts w:ascii="Palatino Linotype" w:hAnsi="Palatino Linotype"/>
          <w:color w:val="231F20"/>
          <w:w w:val="90"/>
          <w:sz w:val="18"/>
        </w:rPr>
        <w:t>México</w:t>
      </w:r>
    </w:p>
    <w:p>
      <w:pPr>
        <w:pStyle w:val="BodyText"/>
        <w:rPr>
          <w:rFonts w:ascii="Palatino Linotype"/>
          <w:sz w:val="13"/>
        </w:rPr>
      </w:pPr>
    </w:p>
    <w:p>
      <w:pPr>
        <w:spacing w:before="40"/>
        <w:ind w:left="103" w:right="0" w:firstLine="0"/>
        <w:jc w:val="both"/>
        <w:rPr>
          <w:sz w:val="19"/>
        </w:rPr>
      </w:pPr>
      <w:r>
        <w:rPr>
          <w:rFonts w:ascii="Palatino Linotype" w:hAnsi="Palatino Linotype"/>
          <w:i/>
          <w:color w:val="231F20"/>
          <w:sz w:val="19"/>
        </w:rPr>
        <w:t>Fuente: </w:t>
      </w:r>
      <w:r>
        <w:rPr>
          <w:color w:val="231F20"/>
          <w:sz w:val="19"/>
        </w:rPr>
        <w:t>Elaboración propia con datos de AMIA (2009).</w:t>
      </w:r>
    </w:p>
    <w:p>
      <w:pPr>
        <w:pStyle w:val="BodyText"/>
        <w:rPr>
          <w:sz w:val="22"/>
        </w:rPr>
      </w:pPr>
    </w:p>
    <w:p>
      <w:pPr>
        <w:pStyle w:val="BodyText"/>
        <w:spacing w:line="278" w:lineRule="auto" w:before="1"/>
        <w:ind w:left="103" w:right="710"/>
        <w:jc w:val="both"/>
      </w:pPr>
      <w:r>
        <w:rPr>
          <w:color w:val="231F20"/>
        </w:rPr>
        <w:t>De manera específica, el crecimiento que han tenido las empresas localizadas en el norte del país contrasta con el crecimiento del sector estatal. Hasta antes de 1993, las plantas del Estado de México manufacturaban la mayor parte de la producción nacio- nal de vehículos; sin embargo, a partir de ese año las plantas del norte incrementaron de manera considerable su producción, como se aprecia en el cuadro IV.9.</w:t>
      </w:r>
    </w:p>
    <w:p>
      <w:pPr>
        <w:spacing w:after="0" w:line="278" w:lineRule="auto"/>
        <w:jc w:val="both"/>
        <w:sectPr>
          <w:type w:val="continuous"/>
          <w:pgSz w:w="9640" w:h="13040"/>
          <w:pgMar w:top="1200" w:bottom="280" w:left="1200" w:right="420"/>
        </w:sectPr>
      </w:pPr>
    </w:p>
    <w:p>
      <w:pPr>
        <w:pStyle w:val="BodyText"/>
        <w:rPr>
          <w:sz w:val="20"/>
        </w:rPr>
      </w:pPr>
    </w:p>
    <w:p>
      <w:pPr>
        <w:pStyle w:val="Heading4"/>
        <w:spacing w:before="179"/>
        <w:ind w:left="63"/>
      </w:pPr>
      <w:r>
        <w:rPr>
          <w:color w:val="231F20"/>
          <w:w w:val="95"/>
        </w:rPr>
        <w:t>Cuadro IV.9</w:t>
      </w:r>
    </w:p>
    <w:p>
      <w:pPr>
        <w:spacing w:line="282" w:lineRule="exact" w:before="0"/>
        <w:ind w:left="63" w:right="0" w:firstLine="0"/>
        <w:jc w:val="center"/>
        <w:rPr>
          <w:rFonts w:ascii="Palatino Linotype" w:hAnsi="Palatino Linotype"/>
          <w:b/>
          <w:sz w:val="19"/>
        </w:rPr>
      </w:pPr>
      <w:r>
        <w:rPr>
          <w:rFonts w:ascii="Palatino Linotype" w:hAnsi="Palatino Linotype"/>
          <w:b/>
          <w:color w:val="231F20"/>
          <w:w w:val="95"/>
          <w:sz w:val="21"/>
        </w:rPr>
        <w:t>Producción total de vehículos por empresa, segmento y lugar de fabricación, 1988-2008 </w:t>
      </w:r>
      <w:r>
        <w:rPr>
          <w:rFonts w:ascii="Palatino Linotype" w:hAnsi="Palatino Linotype"/>
          <w:b/>
          <w:color w:val="231F20"/>
          <w:w w:val="95"/>
          <w:sz w:val="19"/>
        </w:rPr>
        <w:t>(Unidades)</w:t>
      </w:r>
    </w:p>
    <w:p>
      <w:pPr>
        <w:pStyle w:val="BodyText"/>
        <w:spacing w:before="11" w:after="1"/>
        <w:rPr>
          <w:rFonts w:ascii="Palatino Linotype"/>
          <w:b/>
          <w:sz w:val="13"/>
        </w:rPr>
      </w:pPr>
    </w:p>
    <w:p>
      <w:pPr>
        <w:pStyle w:val="BodyText"/>
        <w:spacing w:line="20" w:lineRule="exact"/>
        <w:ind w:left="154"/>
        <w:rPr>
          <w:rFonts w:ascii="Palatino Linotype"/>
          <w:sz w:val="2"/>
        </w:rPr>
      </w:pPr>
      <w:r>
        <w:rPr>
          <w:rFonts w:ascii="Palatino Linotype"/>
          <w:sz w:val="2"/>
        </w:rPr>
        <w:pict>
          <v:group style="width:592.8pt;height:.5pt;mso-position-horizontal-relative:char;mso-position-vertical-relative:line" coordorigin="0,0" coordsize="11856,10">
            <v:line style="position:absolute" from="5,5" to="1034,5" stroked="true" strokeweight=".5pt" strokecolor="#231f20"/>
            <v:line style="position:absolute" from="1034,5" to="2088,5" stroked="true" strokeweight=".5pt" strokecolor="#231f20"/>
            <v:line style="position:absolute" from="2088,5" to="2553,5" stroked="true" strokeweight=".5pt" strokecolor="#231f20"/>
            <v:line style="position:absolute" from="2553,5" to="3018,5" stroked="true" strokeweight=".5pt" strokecolor="#231f20"/>
            <v:line style="position:absolute" from="3018,5" to="3483,5" stroked="true" strokeweight=".5pt" strokecolor="#231f20"/>
            <v:line style="position:absolute" from="3483,5" to="3948,5" stroked="true" strokeweight=".5pt" strokecolor="#231f20"/>
            <v:line style="position:absolute" from="3948,5" to="4413,5" stroked="true" strokeweight=".5pt" strokecolor="#231f20"/>
            <v:line style="position:absolute" from="4413,5" to="4878,5" stroked="true" strokeweight=".5pt" strokecolor="#231f20"/>
            <v:line style="position:absolute" from="4878,5" to="5343,5" stroked="true" strokeweight=".5pt" strokecolor="#231f20"/>
            <v:line style="position:absolute" from="5343,5" to="5808,5" stroked="true" strokeweight=".5pt" strokecolor="#231f20"/>
            <v:line style="position:absolute" from="5808,5" to="6272,5" stroked="true" strokeweight=".5pt" strokecolor="#231f20"/>
            <v:line style="position:absolute" from="6272,5" to="6737,5" stroked="true" strokeweight=".5pt" strokecolor="#231f20"/>
            <v:line style="position:absolute" from="6737,5" to="7202,5" stroked="true" strokeweight=".5pt" strokecolor="#231f20"/>
            <v:line style="position:absolute" from="7202,5" to="7667,5" stroked="true" strokeweight=".5pt" strokecolor="#231f20"/>
            <v:line style="position:absolute" from="7667,5" to="8132,5" stroked="true" strokeweight=".5pt" strokecolor="#231f20"/>
            <v:line style="position:absolute" from="8132,5" to="8597,5" stroked="true" strokeweight=".5pt" strokecolor="#231f20"/>
            <v:line style="position:absolute" from="8597,5" to="9062,5" stroked="true" strokeweight=".5pt" strokecolor="#231f20"/>
            <v:line style="position:absolute" from="9062,5" to="9527,5" stroked="true" strokeweight=".5pt" strokecolor="#231f20"/>
            <v:line style="position:absolute" from="9527,5" to="9991,5" stroked="true" strokeweight=".5pt" strokecolor="#231f20"/>
            <v:line style="position:absolute" from="9991,5" to="10456,5" stroked="true" strokeweight=".5pt" strokecolor="#231f20"/>
            <v:line style="position:absolute" from="10456,5" to="10921,5" stroked="true" strokeweight=".5pt" strokecolor="#231f20"/>
            <v:line style="position:absolute" from="10921,5" to="11386,5" stroked="true" strokeweight=".5pt" strokecolor="#231f20"/>
            <v:line style="position:absolute" from="11386,5" to="11851,5" stroked="true" strokeweight=".5pt" strokecolor="#231f20"/>
          </v:group>
        </w:pict>
      </w:r>
      <w:r>
        <w:rPr>
          <w:rFonts w:ascii="Palatino Linotype"/>
          <w:sz w:val="2"/>
        </w:rPr>
      </w:r>
    </w:p>
    <w:p>
      <w:pPr>
        <w:spacing w:after="0" w:line="20" w:lineRule="exact"/>
        <w:rPr>
          <w:rFonts w:ascii="Palatino Linotype"/>
          <w:sz w:val="2"/>
        </w:rPr>
        <w:sectPr>
          <w:headerReference w:type="even" r:id="rId333"/>
          <w:footerReference w:type="even" r:id="rId334"/>
          <w:pgSz w:w="13040" w:h="9640" w:orient="landscape"/>
          <w:pgMar w:header="0" w:footer="0" w:top="860" w:bottom="280" w:left="400" w:right="520"/>
        </w:sectPr>
      </w:pPr>
    </w:p>
    <w:p>
      <w:pPr>
        <w:spacing w:line="142" w:lineRule="exact" w:before="46"/>
        <w:ind w:left="413" w:right="-18" w:firstLine="3"/>
        <w:jc w:val="left"/>
        <w:rPr>
          <w:rFonts w:ascii="Palatino Linotype"/>
          <w:b/>
          <w:sz w:val="13"/>
        </w:rPr>
      </w:pPr>
      <w:r>
        <w:rPr>
          <w:rFonts w:ascii="Palatino Linotype"/>
          <w:b/>
          <w:color w:val="231F20"/>
          <w:spacing w:val="-1"/>
          <w:w w:val="95"/>
          <w:sz w:val="13"/>
        </w:rPr>
        <w:t>Empresa/ </w:t>
      </w:r>
      <w:r>
        <w:rPr>
          <w:rFonts w:ascii="Palatino Linotype"/>
          <w:b/>
          <w:color w:val="231F20"/>
          <w:spacing w:val="-1"/>
          <w:w w:val="90"/>
          <w:sz w:val="13"/>
        </w:rPr>
        <w:t>segmento</w:t>
      </w:r>
    </w:p>
    <w:p>
      <w:pPr>
        <w:spacing w:line="123" w:lineRule="exact" w:before="23"/>
        <w:ind w:left="482" w:right="0" w:firstLine="0"/>
        <w:jc w:val="left"/>
        <w:rPr>
          <w:rFonts w:ascii="Palatino Linotype"/>
          <w:b/>
          <w:sz w:val="13"/>
        </w:rPr>
      </w:pPr>
      <w:r>
        <w:rPr/>
        <w:br w:type="column"/>
      </w:r>
      <w:r>
        <w:rPr>
          <w:rFonts w:ascii="Palatino Linotype"/>
          <w:b/>
          <w:color w:val="231F20"/>
          <w:w w:val="90"/>
          <w:sz w:val="13"/>
        </w:rPr>
        <w:t>Lugar de</w:t>
      </w:r>
    </w:p>
    <w:p>
      <w:pPr>
        <w:tabs>
          <w:tab w:pos="1350" w:val="left" w:leader="none"/>
          <w:tab w:pos="1815" w:val="left" w:leader="none"/>
          <w:tab w:pos="2280" w:val="left" w:leader="none"/>
          <w:tab w:pos="2744" w:val="left" w:leader="none"/>
          <w:tab w:pos="3209" w:val="left" w:leader="none"/>
          <w:tab w:pos="3674" w:val="left" w:leader="none"/>
          <w:tab w:pos="4139" w:val="left" w:leader="none"/>
          <w:tab w:pos="4604" w:val="left" w:leader="none"/>
          <w:tab w:pos="5069" w:val="left" w:leader="none"/>
          <w:tab w:pos="5534" w:val="left" w:leader="none"/>
          <w:tab w:pos="5999" w:val="left" w:leader="none"/>
          <w:tab w:pos="6464" w:val="left" w:leader="none"/>
          <w:tab w:pos="6928" w:val="left" w:leader="none"/>
          <w:tab w:pos="7393" w:val="left" w:leader="none"/>
          <w:tab w:pos="7858" w:val="left" w:leader="none"/>
          <w:tab w:pos="8323" w:val="left" w:leader="none"/>
          <w:tab w:pos="8788" w:val="left" w:leader="none"/>
          <w:tab w:pos="9253" w:val="left" w:leader="none"/>
          <w:tab w:pos="9718" w:val="left" w:leader="none"/>
          <w:tab w:pos="10183" w:val="left" w:leader="none"/>
          <w:tab w:pos="10647" w:val="left" w:leader="none"/>
        </w:tabs>
        <w:spacing w:line="193" w:lineRule="exact" w:before="0"/>
        <w:ind w:left="413" w:right="0" w:firstLine="0"/>
        <w:jc w:val="left"/>
        <w:rPr>
          <w:rFonts w:ascii="Palatino Linotype" w:hAnsi="Palatino Linotype"/>
          <w:b/>
          <w:sz w:val="13"/>
        </w:rPr>
      </w:pPr>
      <w:r>
        <w:rPr>
          <w:rFonts w:ascii="Palatino Linotype" w:hAnsi="Palatino Linotype"/>
          <w:b/>
          <w:color w:val="231F20"/>
          <w:position w:val="-6"/>
          <w:sz w:val="13"/>
        </w:rPr>
        <w:t>fabricación</w:t>
        <w:tab/>
      </w:r>
      <w:r>
        <w:rPr>
          <w:rFonts w:ascii="Palatino Linotype" w:hAnsi="Palatino Linotype"/>
          <w:b/>
          <w:color w:val="231F20"/>
          <w:sz w:val="13"/>
        </w:rPr>
        <w:t>1988</w:t>
        <w:tab/>
        <w:t>1989</w:t>
        <w:tab/>
        <w:t>1990</w:t>
        <w:tab/>
        <w:t>1991</w:t>
        <w:tab/>
        <w:t>1992</w:t>
        <w:tab/>
        <w:t>1993</w:t>
        <w:tab/>
        <w:t>1994</w:t>
        <w:tab/>
        <w:t>1995</w:t>
        <w:tab/>
        <w:t>1996</w:t>
        <w:tab/>
        <w:t>1997</w:t>
        <w:tab/>
        <w:t>1998</w:t>
        <w:tab/>
        <w:t>1999</w:t>
        <w:tab/>
        <w:t>2000</w:t>
        <w:tab/>
        <w:t>2001</w:t>
        <w:tab/>
        <w:t>2002</w:t>
        <w:tab/>
        <w:t>2003</w:t>
        <w:tab/>
        <w:t>2004</w:t>
        <w:tab/>
        <w:t>2005</w:t>
        <w:tab/>
        <w:t>2006</w:t>
        <w:tab/>
        <w:t>2007</w:t>
        <w:tab/>
        <w:t>2008</w:t>
      </w:r>
    </w:p>
    <w:p>
      <w:pPr>
        <w:spacing w:after="0" w:line="193" w:lineRule="exact"/>
        <w:jc w:val="left"/>
        <w:rPr>
          <w:rFonts w:ascii="Palatino Linotype" w:hAnsi="Palatino Linotype"/>
          <w:sz w:val="13"/>
        </w:rPr>
        <w:sectPr>
          <w:type w:val="continuous"/>
          <w:pgSz w:w="13040" w:h="9640" w:orient="landscape"/>
          <w:pgMar w:top="1200" w:bottom="280" w:left="400" w:right="520"/>
          <w:cols w:num="2" w:equalWidth="0">
            <w:col w:w="934" w:space="61"/>
            <w:col w:w="11125"/>
          </w:cols>
        </w:sectPr>
      </w:pPr>
    </w:p>
    <w:p>
      <w:pPr>
        <w:pStyle w:val="BodyText"/>
        <w:spacing w:before="10"/>
        <w:rPr>
          <w:rFonts w:ascii="Palatino Linotype"/>
          <w:b/>
          <w:sz w:val="2"/>
        </w:rPr>
      </w:pPr>
      <w:r>
        <w:rPr/>
        <w:pict>
          <v:shape style="position:absolute;margin-left:29.703428pt;margin-top:25.3309pt;width:14pt;height:19.5pt;mso-position-horizontal-relative:page;mso-position-vertical-relative:page;z-index:11080" type="#_x0000_t202" filled="false" stroked="false">
            <v:textbox inset="0,0,0,0" style="layout-flow:vertical">
              <w:txbxContent>
                <w:p>
                  <w:pPr>
                    <w:spacing w:line="248" w:lineRule="exact" w:before="0"/>
                    <w:ind w:left="20" w:right="-110" w:firstLine="0"/>
                    <w:jc w:val="left"/>
                    <w:rPr>
                      <w:sz w:val="24"/>
                    </w:rPr>
                  </w:pPr>
                  <w:r>
                    <w:rPr>
                      <w:color w:val="231F20"/>
                      <w:w w:val="97"/>
                      <w:sz w:val="24"/>
                    </w:rPr>
                    <w:t>126</w:t>
                  </w:r>
                </w:p>
              </w:txbxContent>
            </v:textbox>
            <w10:wrap type="none"/>
          </v:shape>
        </w:pict>
      </w:r>
    </w:p>
    <w:p>
      <w:pPr>
        <w:pStyle w:val="BodyText"/>
        <w:spacing w:line="20" w:lineRule="exact"/>
        <w:ind w:left="154"/>
        <w:rPr>
          <w:rFonts w:ascii="Palatino Linotype"/>
          <w:sz w:val="2"/>
        </w:rPr>
      </w:pPr>
      <w:r>
        <w:rPr>
          <w:rFonts w:ascii="Palatino Linotype"/>
          <w:sz w:val="2"/>
        </w:rPr>
        <w:pict>
          <v:group style="width:592.8pt;height:.5pt;mso-position-horizontal-relative:char;mso-position-vertical-relative:line" coordorigin="0,0" coordsize="11856,10">
            <v:line style="position:absolute" from="5,5" to="1034,5" stroked="true" strokeweight=".5pt" strokecolor="#231f20"/>
            <v:line style="position:absolute" from="1034,5" to="2088,5" stroked="true" strokeweight=".5pt" strokecolor="#231f20"/>
            <v:line style="position:absolute" from="2088,5" to="2553,5" stroked="true" strokeweight=".5pt" strokecolor="#231f20"/>
            <v:line style="position:absolute" from="2553,5" to="3018,5" stroked="true" strokeweight=".5pt" strokecolor="#231f20"/>
            <v:line style="position:absolute" from="3018,5" to="3483,5" stroked="true" strokeweight=".5pt" strokecolor="#231f20"/>
            <v:line style="position:absolute" from="3483,5" to="3948,5" stroked="true" strokeweight=".5pt" strokecolor="#231f20"/>
            <v:line style="position:absolute" from="3948,5" to="4413,5" stroked="true" strokeweight=".5pt" strokecolor="#231f20"/>
            <v:line style="position:absolute" from="4413,5" to="4878,5" stroked="true" strokeweight=".5pt" strokecolor="#231f20"/>
            <v:line style="position:absolute" from="4878,5" to="5343,5" stroked="true" strokeweight=".5pt" strokecolor="#231f20"/>
            <v:line style="position:absolute" from="5343,5" to="5808,5" stroked="true" strokeweight=".5pt" strokecolor="#231f20"/>
            <v:line style="position:absolute" from="5808,5" to="6272,5" stroked="true" strokeweight=".5pt" strokecolor="#231f20"/>
            <v:line style="position:absolute" from="6272,5" to="6737,5" stroked="true" strokeweight=".5pt" strokecolor="#231f20"/>
            <v:line style="position:absolute" from="6737,5" to="7202,5" stroked="true" strokeweight=".5pt" strokecolor="#231f20"/>
            <v:line style="position:absolute" from="7202,5" to="7667,5" stroked="true" strokeweight=".5pt" strokecolor="#231f20"/>
            <v:line style="position:absolute" from="7667,5" to="8132,5" stroked="true" strokeweight=".5pt" strokecolor="#231f20"/>
            <v:line style="position:absolute" from="8132,5" to="8597,5" stroked="true" strokeweight=".5pt" strokecolor="#231f20"/>
            <v:line style="position:absolute" from="8597,5" to="9062,5" stroked="true" strokeweight=".5pt" strokecolor="#231f20"/>
            <v:line style="position:absolute" from="9062,5" to="9527,5" stroked="true" strokeweight=".5pt" strokecolor="#231f20"/>
            <v:line style="position:absolute" from="9527,5" to="9991,5" stroked="true" strokeweight=".5pt" strokecolor="#231f20"/>
            <v:line style="position:absolute" from="9991,5" to="10456,5" stroked="true" strokeweight=".5pt" strokecolor="#231f20"/>
            <v:line style="position:absolute" from="10456,5" to="10921,5" stroked="true" strokeweight=".5pt" strokecolor="#231f20"/>
            <v:line style="position:absolute" from="10921,5" to="11386,5" stroked="true" strokeweight=".5pt" strokecolor="#231f20"/>
            <v:line style="position:absolute" from="11386,5" to="11851,5" stroked="true" strokeweight=".5pt" strokecolor="#231f20"/>
          </v:group>
        </w:pict>
      </w:r>
      <w:r>
        <w:rPr>
          <w:rFonts w:ascii="Palatino Linotype"/>
          <w:sz w:val="2"/>
        </w:rPr>
      </w:r>
    </w:p>
    <w:p>
      <w:pPr>
        <w:tabs>
          <w:tab w:pos="2130" w:val="left" w:leader="none"/>
        </w:tabs>
        <w:spacing w:before="38"/>
        <w:ind w:left="207" w:right="0" w:firstLine="0"/>
        <w:jc w:val="center"/>
        <w:rPr>
          <w:sz w:val="13"/>
        </w:rPr>
      </w:pPr>
      <w:r>
        <w:rPr>
          <w:rFonts w:ascii="Palatino Linotype"/>
          <w:b/>
          <w:color w:val="231F20"/>
          <w:w w:val="95"/>
          <w:sz w:val="13"/>
        </w:rPr>
        <w:t>CHRYSLER</w:t>
        <w:tab/>
      </w:r>
      <w:r>
        <w:rPr>
          <w:color w:val="231F20"/>
          <w:sz w:val="13"/>
        </w:rPr>
        <w:t>130,475</w:t>
      </w:r>
      <w:r>
        <w:rPr>
          <w:color w:val="231F20"/>
          <w:spacing w:val="8"/>
          <w:sz w:val="13"/>
        </w:rPr>
        <w:t> </w:t>
      </w:r>
      <w:r>
        <w:rPr>
          <w:color w:val="231F20"/>
          <w:sz w:val="13"/>
        </w:rPr>
        <w:t>161,572</w:t>
      </w:r>
      <w:r>
        <w:rPr>
          <w:color w:val="231F20"/>
          <w:spacing w:val="8"/>
          <w:sz w:val="13"/>
        </w:rPr>
        <w:t> </w:t>
      </w:r>
      <w:r>
        <w:rPr>
          <w:color w:val="231F20"/>
          <w:sz w:val="13"/>
        </w:rPr>
        <w:t>167,453</w:t>
      </w:r>
      <w:r>
        <w:rPr>
          <w:color w:val="231F20"/>
          <w:spacing w:val="8"/>
          <w:sz w:val="13"/>
        </w:rPr>
        <w:t> </w:t>
      </w:r>
      <w:r>
        <w:rPr>
          <w:color w:val="231F20"/>
          <w:sz w:val="13"/>
        </w:rPr>
        <w:t>194,121</w:t>
      </w:r>
      <w:r>
        <w:rPr>
          <w:color w:val="231F20"/>
          <w:spacing w:val="8"/>
          <w:sz w:val="13"/>
        </w:rPr>
        <w:t> </w:t>
      </w:r>
      <w:r>
        <w:rPr>
          <w:color w:val="231F20"/>
          <w:sz w:val="13"/>
        </w:rPr>
        <w:t>234,797</w:t>
      </w:r>
      <w:r>
        <w:rPr>
          <w:color w:val="231F20"/>
          <w:spacing w:val="8"/>
          <w:sz w:val="13"/>
        </w:rPr>
        <w:t> </w:t>
      </w:r>
      <w:r>
        <w:rPr>
          <w:color w:val="231F20"/>
          <w:sz w:val="13"/>
        </w:rPr>
        <w:t>228,428</w:t>
      </w:r>
      <w:r>
        <w:rPr>
          <w:color w:val="231F20"/>
          <w:spacing w:val="8"/>
          <w:sz w:val="13"/>
        </w:rPr>
        <w:t> </w:t>
      </w:r>
      <w:r>
        <w:rPr>
          <w:color w:val="231F20"/>
          <w:sz w:val="13"/>
        </w:rPr>
        <w:t>243,701</w:t>
      </w:r>
      <w:r>
        <w:rPr>
          <w:color w:val="231F20"/>
          <w:spacing w:val="8"/>
          <w:sz w:val="13"/>
        </w:rPr>
        <w:t> </w:t>
      </w:r>
      <w:r>
        <w:rPr>
          <w:color w:val="231F20"/>
          <w:sz w:val="13"/>
        </w:rPr>
        <w:t>205,575</w:t>
      </w:r>
      <w:r>
        <w:rPr>
          <w:color w:val="231F20"/>
          <w:spacing w:val="8"/>
          <w:sz w:val="13"/>
        </w:rPr>
        <w:t> </w:t>
      </w:r>
      <w:r>
        <w:rPr>
          <w:color w:val="231F20"/>
          <w:sz w:val="13"/>
        </w:rPr>
        <w:t>361,212</w:t>
      </w:r>
      <w:r>
        <w:rPr>
          <w:color w:val="231F20"/>
          <w:spacing w:val="8"/>
          <w:sz w:val="13"/>
        </w:rPr>
        <w:t> </w:t>
      </w:r>
      <w:r>
        <w:rPr>
          <w:color w:val="231F20"/>
          <w:sz w:val="13"/>
        </w:rPr>
        <w:t>355,914</w:t>
      </w:r>
      <w:r>
        <w:rPr>
          <w:color w:val="231F20"/>
          <w:spacing w:val="8"/>
          <w:sz w:val="13"/>
        </w:rPr>
        <w:t> </w:t>
      </w:r>
      <w:r>
        <w:rPr>
          <w:color w:val="231F20"/>
          <w:sz w:val="13"/>
        </w:rPr>
        <w:t>359,422</w:t>
      </w:r>
      <w:r>
        <w:rPr>
          <w:color w:val="231F20"/>
          <w:spacing w:val="8"/>
          <w:sz w:val="13"/>
        </w:rPr>
        <w:t> </w:t>
      </w:r>
      <w:r>
        <w:rPr>
          <w:color w:val="231F20"/>
          <w:sz w:val="13"/>
        </w:rPr>
        <w:t>330,290</w:t>
      </w:r>
      <w:r>
        <w:rPr>
          <w:color w:val="231F20"/>
          <w:spacing w:val="8"/>
          <w:sz w:val="13"/>
        </w:rPr>
        <w:t> </w:t>
      </w:r>
      <w:r>
        <w:rPr>
          <w:color w:val="231F20"/>
          <w:sz w:val="13"/>
        </w:rPr>
        <w:t>404,637</w:t>
      </w:r>
      <w:r>
        <w:rPr>
          <w:color w:val="231F20"/>
          <w:spacing w:val="8"/>
          <w:sz w:val="13"/>
        </w:rPr>
        <w:t> </w:t>
      </w:r>
      <w:r>
        <w:rPr>
          <w:color w:val="231F20"/>
          <w:sz w:val="13"/>
        </w:rPr>
        <w:t>395,119</w:t>
      </w:r>
      <w:r>
        <w:rPr>
          <w:color w:val="231F20"/>
          <w:spacing w:val="8"/>
          <w:sz w:val="13"/>
        </w:rPr>
        <w:t> </w:t>
      </w:r>
      <w:r>
        <w:rPr>
          <w:color w:val="231F20"/>
          <w:sz w:val="13"/>
        </w:rPr>
        <w:t>380,518</w:t>
      </w:r>
      <w:r>
        <w:rPr>
          <w:color w:val="231F20"/>
          <w:spacing w:val="8"/>
          <w:sz w:val="13"/>
        </w:rPr>
        <w:t> </w:t>
      </w:r>
      <w:r>
        <w:rPr>
          <w:color w:val="231F20"/>
          <w:sz w:val="13"/>
        </w:rPr>
        <w:t>308,738</w:t>
      </w:r>
      <w:r>
        <w:rPr>
          <w:color w:val="231F20"/>
          <w:spacing w:val="8"/>
          <w:sz w:val="13"/>
        </w:rPr>
        <w:t> </w:t>
      </w:r>
      <w:r>
        <w:rPr>
          <w:color w:val="231F20"/>
          <w:sz w:val="13"/>
        </w:rPr>
        <w:t>341,575</w:t>
      </w:r>
      <w:r>
        <w:rPr>
          <w:color w:val="231F20"/>
          <w:spacing w:val="8"/>
          <w:sz w:val="13"/>
        </w:rPr>
        <w:t> </w:t>
      </w:r>
      <w:r>
        <w:rPr>
          <w:color w:val="231F20"/>
          <w:sz w:val="13"/>
        </w:rPr>
        <w:t>343,748</w:t>
      </w:r>
      <w:r>
        <w:rPr>
          <w:color w:val="231F20"/>
          <w:spacing w:val="8"/>
          <w:sz w:val="13"/>
        </w:rPr>
        <w:t> </w:t>
      </w:r>
      <w:r>
        <w:rPr>
          <w:color w:val="231F20"/>
          <w:sz w:val="13"/>
        </w:rPr>
        <w:t>313,387</w:t>
      </w:r>
      <w:r>
        <w:rPr>
          <w:color w:val="231F20"/>
          <w:spacing w:val="8"/>
          <w:sz w:val="13"/>
        </w:rPr>
        <w:t> </w:t>
      </w:r>
      <w:r>
        <w:rPr>
          <w:color w:val="231F20"/>
          <w:sz w:val="13"/>
        </w:rPr>
        <w:t>283,960</w:t>
      </w:r>
      <w:r>
        <w:rPr>
          <w:color w:val="231F20"/>
          <w:spacing w:val="8"/>
          <w:sz w:val="13"/>
        </w:rPr>
        <w:t> </w:t>
      </w:r>
      <w:r>
        <w:rPr>
          <w:color w:val="231F20"/>
          <w:sz w:val="13"/>
        </w:rPr>
        <w:t>281,147</w:t>
      </w:r>
    </w:p>
    <w:p>
      <w:pPr>
        <w:spacing w:line="110" w:lineRule="exact" w:before="85"/>
        <w:ind w:left="1188" w:right="0" w:firstLine="0"/>
        <w:jc w:val="left"/>
        <w:rPr>
          <w:sz w:val="13"/>
        </w:rPr>
      </w:pPr>
      <w:r>
        <w:rPr/>
        <w:pict>
          <v:shape style="position:absolute;margin-left:27.9995pt;margin-top:9.127965pt;width:13.75pt;height:6.5pt;mso-position-horizontal-relative:page;mso-position-vertical-relative:paragraph;z-index:10984" type="#_x0000_t202" filled="false" stroked="false">
            <v:textbox inset="0,0,0,0">
              <w:txbxContent>
                <w:p>
                  <w:pPr>
                    <w:spacing w:line="123" w:lineRule="exact" w:before="0"/>
                    <w:ind w:left="0" w:right="-20" w:firstLine="0"/>
                    <w:jc w:val="left"/>
                    <w:rPr>
                      <w:sz w:val="13"/>
                    </w:rPr>
                  </w:pPr>
                  <w:r>
                    <w:rPr>
                      <w:color w:val="231F20"/>
                      <w:sz w:val="13"/>
                    </w:rPr>
                    <w:t>autos</w:t>
                  </w:r>
                </w:p>
              </w:txbxContent>
            </v:textbox>
            <w10:wrap type="none"/>
          </v:shape>
        </w:pict>
      </w:r>
      <w:r>
        <w:rPr>
          <w:color w:val="231F20"/>
          <w:sz w:val="13"/>
        </w:rPr>
        <w:t>Ramos Arizpe,</w:t>
      </w:r>
    </w:p>
    <w:p>
      <w:pPr>
        <w:tabs>
          <w:tab w:pos="2304" w:val="left" w:leader="none"/>
          <w:tab w:pos="8487" w:val="left" w:leader="none"/>
          <w:tab w:pos="8952" w:val="left" w:leader="none"/>
          <w:tab w:pos="9417" w:val="left" w:leader="none"/>
          <w:tab w:pos="9882" w:val="left" w:leader="none"/>
          <w:tab w:pos="10347" w:val="left" w:leader="none"/>
          <w:tab w:pos="10812" w:val="left" w:leader="none"/>
          <w:tab w:pos="11277" w:val="left" w:leader="none"/>
          <w:tab w:pos="11742" w:val="left" w:leader="none"/>
        </w:tabs>
        <w:spacing w:line="180" w:lineRule="exact" w:before="0"/>
        <w:ind w:left="1188" w:right="0" w:firstLine="0"/>
        <w:jc w:val="left"/>
        <w:rPr>
          <w:sz w:val="13"/>
        </w:rPr>
      </w:pPr>
      <w:r>
        <w:rPr>
          <w:color w:val="231F20"/>
          <w:position w:val="-6"/>
          <w:sz w:val="13"/>
        </w:rPr>
        <w:t>Coahuila</w:t>
        <w:tab/>
      </w:r>
      <w:r>
        <w:rPr>
          <w:color w:val="231F20"/>
          <w:sz w:val="13"/>
        </w:rPr>
        <w:t>45,592   35,191   46,533   47,117   44,807   51,080   98,566   80,068  144,353  133,288  132,874  </w:t>
      </w:r>
      <w:r>
        <w:rPr>
          <w:color w:val="231F20"/>
          <w:spacing w:val="10"/>
          <w:sz w:val="13"/>
        </w:rPr>
        <w:t> </w:t>
      </w:r>
      <w:r>
        <w:rPr>
          <w:color w:val="231F20"/>
          <w:sz w:val="13"/>
        </w:rPr>
        <w:t>91,748  </w:t>
      </w:r>
      <w:r>
        <w:rPr>
          <w:color w:val="231F20"/>
          <w:spacing w:val="6"/>
          <w:sz w:val="13"/>
        </w:rPr>
        <w:t> </w:t>
      </w:r>
      <w:r>
        <w:rPr>
          <w:color w:val="231F20"/>
          <w:sz w:val="13"/>
        </w:rPr>
        <w:t>37,708</w:t>
        <w:tab/>
        <w:t>0</w:t>
        <w:tab/>
        <w:t>0</w:t>
        <w:tab/>
        <w:t>0</w:t>
        <w:tab/>
        <w:t>0</w:t>
        <w:tab/>
        <w:t>0</w:t>
        <w:tab/>
        <w:t>0</w:t>
        <w:tab/>
        <w:t>0</w:t>
        <w:tab/>
        <w:t>0</w:t>
      </w:r>
    </w:p>
    <w:p>
      <w:pPr>
        <w:spacing w:line="110" w:lineRule="exact" w:before="60"/>
        <w:ind w:left="1188" w:right="0" w:firstLine="0"/>
        <w:jc w:val="left"/>
        <w:rPr>
          <w:sz w:val="13"/>
        </w:rPr>
      </w:pPr>
      <w:r>
        <w:rPr/>
        <w:pict>
          <v:shape style="position:absolute;margin-left:27.993pt;margin-top:7.877977pt;width:24.55pt;height:6.5pt;mso-position-horizontal-relative:page;mso-position-vertical-relative:paragraph;z-index:11008" type="#_x0000_t202" filled="false" stroked="false">
            <v:textbox inset="0,0,0,0">
              <w:txbxContent>
                <w:p>
                  <w:pPr>
                    <w:spacing w:line="123" w:lineRule="exact" w:before="0"/>
                    <w:ind w:left="0" w:right="-20" w:firstLine="0"/>
                    <w:jc w:val="left"/>
                    <w:rPr>
                      <w:sz w:val="13"/>
                    </w:rPr>
                  </w:pPr>
                  <w:r>
                    <w:rPr>
                      <w:color w:val="231F20"/>
                      <w:sz w:val="13"/>
                    </w:rPr>
                    <w:t>camiones</w:t>
                  </w:r>
                </w:p>
              </w:txbxContent>
            </v:textbox>
            <w10:wrap type="none"/>
          </v:shape>
        </w:pict>
      </w:r>
      <w:r>
        <w:rPr>
          <w:color w:val="231F20"/>
          <w:sz w:val="13"/>
        </w:rPr>
        <w:t>Ramos Arizpe,</w:t>
      </w:r>
    </w:p>
    <w:p>
      <w:pPr>
        <w:tabs>
          <w:tab w:pos="2444" w:val="left" w:leader="none"/>
          <w:tab w:pos="2909" w:val="left" w:leader="none"/>
          <w:tab w:pos="3374" w:val="left" w:leader="none"/>
          <w:tab w:pos="3839" w:val="left" w:leader="none"/>
          <w:tab w:pos="4303" w:val="left" w:leader="none"/>
          <w:tab w:pos="4629" w:val="left" w:leader="none"/>
          <w:tab w:pos="9417" w:val="left" w:leader="none"/>
          <w:tab w:pos="9882" w:val="left" w:leader="none"/>
          <w:tab w:pos="10347" w:val="left" w:leader="none"/>
          <w:tab w:pos="10641" w:val="left" w:leader="none"/>
        </w:tabs>
        <w:spacing w:line="180" w:lineRule="exact" w:before="0"/>
        <w:ind w:left="1188" w:right="0" w:firstLine="0"/>
        <w:jc w:val="left"/>
        <w:rPr>
          <w:sz w:val="13"/>
        </w:rPr>
      </w:pPr>
      <w:r>
        <w:rPr>
          <w:color w:val="231F20"/>
          <w:position w:val="-6"/>
          <w:sz w:val="13"/>
        </w:rPr>
        <w:t>Coahuila</w:t>
        <w:tab/>
      </w:r>
      <w:r>
        <w:rPr>
          <w:color w:val="231F20"/>
          <w:sz w:val="13"/>
        </w:rPr>
        <w:t>0</w:t>
        <w:tab/>
        <w:t>0</w:t>
        <w:tab/>
        <w:t>0</w:t>
        <w:tab/>
        <w:t>0</w:t>
        <w:tab/>
        <w:t>0</w:t>
        <w:tab/>
        <w:t>45,759   74,220  125,161  193,885  201,849  212,083  238,182  22,505</w:t>
      </w:r>
      <w:r>
        <w:rPr>
          <w:color w:val="231F20"/>
          <w:spacing w:val="27"/>
          <w:sz w:val="13"/>
        </w:rPr>
        <w:t> </w:t>
      </w:r>
      <w:r>
        <w:rPr>
          <w:color w:val="231F20"/>
          <w:sz w:val="13"/>
        </w:rPr>
        <w:t>14,187  </w:t>
      </w:r>
      <w:r>
        <w:rPr>
          <w:color w:val="231F20"/>
          <w:spacing w:val="28"/>
          <w:sz w:val="13"/>
        </w:rPr>
        <w:t> </w:t>
      </w:r>
      <w:r>
        <w:rPr>
          <w:color w:val="231F20"/>
          <w:sz w:val="13"/>
        </w:rPr>
        <w:t>8,871</w:t>
        <w:tab/>
        <w:t>0</w:t>
        <w:tab/>
        <w:t>0</w:t>
        <w:tab/>
        <w:t>0</w:t>
        <w:tab/>
        <w:t>148,540 169,417 </w:t>
      </w:r>
      <w:r>
        <w:rPr>
          <w:color w:val="231F20"/>
          <w:spacing w:val="1"/>
          <w:sz w:val="13"/>
        </w:rPr>
        <w:t> </w:t>
      </w:r>
      <w:r>
        <w:rPr>
          <w:color w:val="231F20"/>
          <w:sz w:val="13"/>
        </w:rPr>
        <w:t>97,555</w:t>
      </w:r>
    </w:p>
    <w:p>
      <w:pPr>
        <w:tabs>
          <w:tab w:pos="1188" w:val="left" w:leader="none"/>
          <w:tab w:pos="5667" w:val="left" w:leader="none"/>
          <w:tab w:pos="6163" w:val="left" w:leader="none"/>
          <w:tab w:pos="6628" w:val="left" w:leader="none"/>
          <w:tab w:pos="7093" w:val="left" w:leader="none"/>
          <w:tab w:pos="7495" w:val="left" w:leader="none"/>
        </w:tabs>
        <w:spacing w:before="97"/>
        <w:ind w:left="159" w:right="0" w:firstLine="0"/>
        <w:jc w:val="left"/>
        <w:rPr>
          <w:sz w:val="13"/>
        </w:rPr>
      </w:pPr>
      <w:r>
        <w:rPr>
          <w:color w:val="231F20"/>
          <w:sz w:val="13"/>
        </w:rPr>
        <w:t>autos</w:t>
        <w:tab/>
      </w:r>
      <w:r>
        <w:rPr>
          <w:color w:val="231F20"/>
          <w:spacing w:val="-3"/>
          <w:sz w:val="13"/>
        </w:rPr>
        <w:t>Toluca, </w:t>
      </w:r>
      <w:r>
        <w:rPr>
          <w:color w:val="231F20"/>
          <w:sz w:val="13"/>
        </w:rPr>
        <w:t>Edo. Méx.     31,740   67,543   61,838   85,371  109,838 </w:t>
      </w:r>
      <w:r>
        <w:rPr>
          <w:color w:val="231F20"/>
          <w:spacing w:val="8"/>
          <w:sz w:val="13"/>
        </w:rPr>
        <w:t> </w:t>
      </w:r>
      <w:r>
        <w:rPr>
          <w:color w:val="231F20"/>
          <w:sz w:val="13"/>
        </w:rPr>
        <w:t>108,064 </w:t>
      </w:r>
      <w:r>
        <w:rPr>
          <w:color w:val="231F20"/>
          <w:spacing w:val="13"/>
          <w:sz w:val="13"/>
        </w:rPr>
        <w:t> </w:t>
      </w:r>
      <w:r>
        <w:rPr>
          <w:color w:val="231F20"/>
          <w:sz w:val="13"/>
        </w:rPr>
        <w:t>66,102</w:t>
        <w:tab/>
        <w:t>63</w:t>
        <w:tab/>
        <w:t>9</w:t>
        <w:tab/>
        <w:t>4</w:t>
        <w:tab/>
        <w:t>0</w:t>
        <w:tab/>
        <w:t>360    145,100 200,743 173,363 137,669 156,543 157,494 159,708 114,508   </w:t>
      </w:r>
      <w:r>
        <w:rPr>
          <w:color w:val="231F20"/>
          <w:spacing w:val="21"/>
          <w:sz w:val="13"/>
        </w:rPr>
        <w:t> </w:t>
      </w:r>
      <w:r>
        <w:rPr>
          <w:color w:val="231F20"/>
          <w:sz w:val="13"/>
        </w:rPr>
        <w:t>60,227</w:t>
      </w:r>
    </w:p>
    <w:p>
      <w:pPr>
        <w:pStyle w:val="BodyText"/>
        <w:spacing w:before="7"/>
        <w:rPr>
          <w:sz w:val="11"/>
        </w:rPr>
      </w:pPr>
    </w:p>
    <w:p>
      <w:pPr>
        <w:tabs>
          <w:tab w:pos="1044" w:val="left" w:leader="none"/>
          <w:tab w:pos="5089" w:val="left" w:leader="none"/>
          <w:tab w:pos="5522" w:val="left" w:leader="none"/>
          <w:tab w:pos="5879" w:val="left" w:leader="none"/>
          <w:tab w:pos="7413" w:val="left" w:leader="none"/>
          <w:tab w:pos="7707" w:val="left" w:leader="none"/>
          <w:tab w:pos="11101" w:val="left" w:leader="none"/>
          <w:tab w:pos="11426" w:val="left" w:leader="none"/>
        </w:tabs>
        <w:spacing w:before="0"/>
        <w:ind w:left="15" w:right="0" w:firstLine="0"/>
        <w:jc w:val="center"/>
        <w:rPr>
          <w:sz w:val="13"/>
        </w:rPr>
      </w:pPr>
      <w:r>
        <w:rPr/>
        <w:pict>
          <v:group style="position:absolute;margin-left:27.7421pt;margin-top:10.545448pt;width:592.8pt;height:.5pt;mso-position-horizontal-relative:page;mso-position-vertical-relative:paragraph;z-index:10960;mso-wrap-distance-left:0;mso-wrap-distance-right:0" coordorigin="555,211" coordsize="11856,10">
            <v:line style="position:absolute" from="560,216" to="1589,216" stroked="true" strokeweight=".5pt" strokecolor="#231f20"/>
            <v:line style="position:absolute" from="1589,216" to="2643,216" stroked="true" strokeweight=".5pt" strokecolor="#231f20"/>
            <v:line style="position:absolute" from="2643,216" to="3108,216" stroked="true" strokeweight=".5pt" strokecolor="#231f20"/>
            <v:line style="position:absolute" from="3108,216" to="3573,216" stroked="true" strokeweight=".5pt" strokecolor="#231f20"/>
            <v:line style="position:absolute" from="3573,216" to="4038,216" stroked="true" strokeweight=".5pt" strokecolor="#231f20"/>
            <v:line style="position:absolute" from="4038,216" to="4503,216" stroked="true" strokeweight=".5pt" strokecolor="#231f20"/>
            <v:line style="position:absolute" from="4503,216" to="4968,216" stroked="true" strokeweight=".5pt" strokecolor="#231f20"/>
            <v:line style="position:absolute" from="4968,216" to="5433,216" stroked="true" strokeweight=".5pt" strokecolor="#231f20"/>
            <v:line style="position:absolute" from="5433,216" to="5897,216" stroked="true" strokeweight=".5pt" strokecolor="#231f20"/>
            <v:line style="position:absolute" from="5897,216" to="6362,216" stroked="true" strokeweight=".5pt" strokecolor="#231f20"/>
            <v:line style="position:absolute" from="6362,216" to="6827,216" stroked="true" strokeweight=".5pt" strokecolor="#231f20"/>
            <v:line style="position:absolute" from="6827,216" to="7292,216" stroked="true" strokeweight=".5pt" strokecolor="#231f20"/>
            <v:line style="position:absolute" from="7292,216" to="7757,216" stroked="true" strokeweight=".5pt" strokecolor="#231f20"/>
            <v:line style="position:absolute" from="7757,216" to="8222,216" stroked="true" strokeweight=".5pt" strokecolor="#231f20"/>
            <v:line style="position:absolute" from="8222,216" to="8687,216" stroked="true" strokeweight=".5pt" strokecolor="#231f20"/>
            <v:line style="position:absolute" from="8687,216" to="9152,216" stroked="true" strokeweight=".5pt" strokecolor="#231f20"/>
            <v:line style="position:absolute" from="9152,216" to="9617,216" stroked="true" strokeweight=".5pt" strokecolor="#231f20"/>
            <v:line style="position:absolute" from="9617,216" to="10081,216" stroked="true" strokeweight=".5pt" strokecolor="#231f20"/>
            <v:line style="position:absolute" from="10081,216" to="10546,216" stroked="true" strokeweight=".5pt" strokecolor="#231f20"/>
            <v:line style="position:absolute" from="10546,216" to="11011,216" stroked="true" strokeweight=".5pt" strokecolor="#231f20"/>
            <v:line style="position:absolute" from="11011,216" to="11476,216" stroked="true" strokeweight=".5pt" strokecolor="#231f20"/>
            <v:line style="position:absolute" from="11476,216" to="11941,216" stroked="true" strokeweight=".5pt" strokecolor="#231f20"/>
            <v:line style="position:absolute" from="11941,216" to="12406,216" stroked="true" strokeweight=".5pt" strokecolor="#231f20"/>
            <w10:wrap type="topAndBottom"/>
          </v:group>
        </w:pict>
      </w:r>
      <w:r>
        <w:rPr>
          <w:color w:val="231F20"/>
          <w:sz w:val="13"/>
        </w:rPr>
        <w:t>camiones</w:t>
        <w:tab/>
      </w:r>
      <w:r>
        <w:rPr>
          <w:color w:val="231F20"/>
          <w:spacing w:val="-3"/>
          <w:sz w:val="13"/>
        </w:rPr>
        <w:t>Toluca, </w:t>
      </w:r>
      <w:r>
        <w:rPr>
          <w:color w:val="231F20"/>
          <w:sz w:val="13"/>
        </w:rPr>
        <w:t>Edo. Méx.     53,143   58,838   59,082   61,537   </w:t>
      </w:r>
      <w:r>
        <w:rPr>
          <w:color w:val="231F20"/>
          <w:spacing w:val="1"/>
          <w:sz w:val="13"/>
        </w:rPr>
        <w:t> </w:t>
      </w:r>
      <w:r>
        <w:rPr>
          <w:color w:val="231F20"/>
          <w:sz w:val="13"/>
        </w:rPr>
        <w:t>74,500  </w:t>
      </w:r>
      <w:r>
        <w:rPr>
          <w:color w:val="231F20"/>
          <w:spacing w:val="10"/>
          <w:sz w:val="13"/>
        </w:rPr>
        <w:t> </w:t>
      </w:r>
      <w:r>
        <w:rPr>
          <w:color w:val="231F20"/>
          <w:sz w:val="13"/>
        </w:rPr>
        <w:t>17,706</w:t>
        <w:tab/>
        <w:t>0</w:t>
        <w:tab/>
        <w:t>58</w:t>
        <w:tab/>
        <w:t>22,587  </w:t>
      </w:r>
      <w:r>
        <w:rPr>
          <w:color w:val="231F20"/>
          <w:spacing w:val="7"/>
          <w:sz w:val="13"/>
        </w:rPr>
        <w:t> </w:t>
      </w:r>
      <w:r>
        <w:rPr>
          <w:color w:val="231F20"/>
          <w:sz w:val="13"/>
        </w:rPr>
        <w:t>20,381  </w:t>
      </w:r>
      <w:r>
        <w:rPr>
          <w:color w:val="231F20"/>
          <w:spacing w:val="7"/>
          <w:sz w:val="13"/>
        </w:rPr>
        <w:t> </w:t>
      </w:r>
      <w:r>
        <w:rPr>
          <w:color w:val="231F20"/>
          <w:sz w:val="13"/>
        </w:rPr>
        <w:t>14,253</w:t>
        <w:tab/>
        <w:t>0</w:t>
        <w:tab/>
        <w:t>199,324 180,189 198,284 171,069 185,032 </w:t>
      </w:r>
      <w:r>
        <w:rPr>
          <w:color w:val="231F20"/>
          <w:spacing w:val="30"/>
          <w:sz w:val="13"/>
        </w:rPr>
        <w:t> </w:t>
      </w:r>
      <w:r>
        <w:rPr>
          <w:color w:val="231F20"/>
          <w:sz w:val="13"/>
        </w:rPr>
        <w:t>186,254 </w:t>
      </w:r>
      <w:r>
        <w:rPr>
          <w:color w:val="231F20"/>
          <w:spacing w:val="27"/>
          <w:sz w:val="13"/>
        </w:rPr>
        <w:t> </w:t>
      </w:r>
      <w:r>
        <w:rPr>
          <w:color w:val="231F20"/>
          <w:sz w:val="13"/>
        </w:rPr>
        <w:t>5,139</w:t>
        <w:tab/>
        <w:t>35</w:t>
        <w:tab/>
        <w:t>123,365</w:t>
      </w:r>
    </w:p>
    <w:p>
      <w:pPr>
        <w:tabs>
          <w:tab w:pos="2128" w:val="left" w:leader="none"/>
        </w:tabs>
        <w:spacing w:before="18"/>
        <w:ind w:left="100" w:right="0" w:firstLine="0"/>
        <w:jc w:val="center"/>
        <w:rPr>
          <w:sz w:val="13"/>
        </w:rPr>
      </w:pPr>
      <w:r>
        <w:rPr>
          <w:rFonts w:ascii="Palatino Linotype"/>
          <w:b/>
          <w:color w:val="231F20"/>
          <w:w w:val="95"/>
          <w:sz w:val="13"/>
        </w:rPr>
        <w:t>FORD</w:t>
      </w:r>
      <w:r>
        <w:rPr>
          <w:rFonts w:ascii="Palatino Linotype"/>
          <w:b/>
          <w:color w:val="231F20"/>
          <w:spacing w:val="-12"/>
          <w:w w:val="95"/>
          <w:sz w:val="13"/>
        </w:rPr>
        <w:t> </w:t>
      </w:r>
      <w:r>
        <w:rPr>
          <w:rFonts w:ascii="Palatino Linotype"/>
          <w:b/>
          <w:color w:val="231F20"/>
          <w:w w:val="95"/>
          <w:sz w:val="13"/>
        </w:rPr>
        <w:t>MOTOR</w:t>
        <w:tab/>
      </w:r>
      <w:r>
        <w:rPr>
          <w:color w:val="231F20"/>
          <w:sz w:val="13"/>
        </w:rPr>
        <w:t>128,753</w:t>
      </w:r>
      <w:r>
        <w:rPr>
          <w:color w:val="231F20"/>
          <w:spacing w:val="8"/>
          <w:sz w:val="13"/>
        </w:rPr>
        <w:t> </w:t>
      </w:r>
      <w:r>
        <w:rPr>
          <w:color w:val="231F20"/>
          <w:sz w:val="13"/>
        </w:rPr>
        <w:t>126,271</w:t>
      </w:r>
      <w:r>
        <w:rPr>
          <w:color w:val="231F20"/>
          <w:spacing w:val="8"/>
          <w:sz w:val="13"/>
        </w:rPr>
        <w:t> </w:t>
      </w:r>
      <w:r>
        <w:rPr>
          <w:color w:val="231F20"/>
          <w:sz w:val="13"/>
        </w:rPr>
        <w:t>170,494</w:t>
      </w:r>
      <w:r>
        <w:rPr>
          <w:color w:val="231F20"/>
          <w:spacing w:val="8"/>
          <w:sz w:val="13"/>
        </w:rPr>
        <w:t> </w:t>
      </w:r>
      <w:r>
        <w:rPr>
          <w:color w:val="231F20"/>
          <w:sz w:val="13"/>
        </w:rPr>
        <w:t>222,523</w:t>
      </w:r>
      <w:r>
        <w:rPr>
          <w:color w:val="231F20"/>
          <w:spacing w:val="8"/>
          <w:sz w:val="13"/>
        </w:rPr>
        <w:t> </w:t>
      </w:r>
      <w:r>
        <w:rPr>
          <w:color w:val="231F20"/>
          <w:sz w:val="13"/>
        </w:rPr>
        <w:t>257,200</w:t>
      </w:r>
      <w:r>
        <w:rPr>
          <w:color w:val="231F20"/>
          <w:spacing w:val="8"/>
          <w:sz w:val="13"/>
        </w:rPr>
        <w:t> </w:t>
      </w:r>
      <w:r>
        <w:rPr>
          <w:color w:val="231F20"/>
          <w:sz w:val="13"/>
        </w:rPr>
        <w:t>209,359</w:t>
      </w:r>
      <w:r>
        <w:rPr>
          <w:color w:val="231F20"/>
          <w:spacing w:val="8"/>
          <w:sz w:val="13"/>
        </w:rPr>
        <w:t> </w:t>
      </w:r>
      <w:r>
        <w:rPr>
          <w:color w:val="231F20"/>
          <w:sz w:val="13"/>
        </w:rPr>
        <w:t>242,083</w:t>
      </w:r>
      <w:r>
        <w:rPr>
          <w:color w:val="231F20"/>
          <w:spacing w:val="8"/>
          <w:sz w:val="13"/>
        </w:rPr>
        <w:t> </w:t>
      </w:r>
      <w:r>
        <w:rPr>
          <w:color w:val="231F20"/>
          <w:sz w:val="13"/>
        </w:rPr>
        <w:t>227,354</w:t>
      </w:r>
      <w:r>
        <w:rPr>
          <w:color w:val="231F20"/>
          <w:spacing w:val="8"/>
          <w:sz w:val="13"/>
        </w:rPr>
        <w:t> </w:t>
      </w:r>
      <w:r>
        <w:rPr>
          <w:color w:val="231F20"/>
          <w:sz w:val="13"/>
        </w:rPr>
        <w:t>213,513</w:t>
      </w:r>
      <w:r>
        <w:rPr>
          <w:color w:val="231F20"/>
          <w:spacing w:val="8"/>
          <w:sz w:val="13"/>
        </w:rPr>
        <w:t> </w:t>
      </w:r>
      <w:r>
        <w:rPr>
          <w:color w:val="231F20"/>
          <w:sz w:val="13"/>
        </w:rPr>
        <w:t>246,089</w:t>
      </w:r>
      <w:r>
        <w:rPr>
          <w:color w:val="231F20"/>
          <w:spacing w:val="8"/>
          <w:sz w:val="13"/>
        </w:rPr>
        <w:t> </w:t>
      </w:r>
      <w:r>
        <w:rPr>
          <w:color w:val="231F20"/>
          <w:sz w:val="13"/>
        </w:rPr>
        <w:t>213,546</w:t>
      </w:r>
      <w:r>
        <w:rPr>
          <w:color w:val="231F20"/>
          <w:spacing w:val="8"/>
          <w:sz w:val="13"/>
        </w:rPr>
        <w:t> </w:t>
      </w:r>
      <w:r>
        <w:rPr>
          <w:color w:val="231F20"/>
          <w:sz w:val="13"/>
        </w:rPr>
        <w:t>224,446</w:t>
      </w:r>
      <w:r>
        <w:rPr>
          <w:color w:val="231F20"/>
          <w:spacing w:val="8"/>
          <w:sz w:val="13"/>
        </w:rPr>
        <w:t> </w:t>
      </w:r>
      <w:r>
        <w:rPr>
          <w:color w:val="231F20"/>
          <w:sz w:val="13"/>
        </w:rPr>
        <w:t>280,585</w:t>
      </w:r>
      <w:r>
        <w:rPr>
          <w:color w:val="231F20"/>
          <w:spacing w:val="8"/>
          <w:sz w:val="13"/>
        </w:rPr>
        <w:t> </w:t>
      </w:r>
      <w:r>
        <w:rPr>
          <w:color w:val="231F20"/>
          <w:sz w:val="13"/>
        </w:rPr>
        <w:t>239,690</w:t>
      </w:r>
      <w:r>
        <w:rPr>
          <w:color w:val="231F20"/>
          <w:spacing w:val="8"/>
          <w:sz w:val="13"/>
        </w:rPr>
        <w:t> </w:t>
      </w:r>
      <w:r>
        <w:rPr>
          <w:color w:val="231F20"/>
          <w:sz w:val="13"/>
        </w:rPr>
        <w:t>185,874</w:t>
      </w:r>
      <w:r>
        <w:rPr>
          <w:color w:val="231F20"/>
          <w:spacing w:val="8"/>
          <w:sz w:val="13"/>
        </w:rPr>
        <w:t> </w:t>
      </w:r>
      <w:r>
        <w:rPr>
          <w:color w:val="231F20"/>
          <w:sz w:val="13"/>
        </w:rPr>
        <w:t>143,707</w:t>
      </w:r>
      <w:r>
        <w:rPr>
          <w:color w:val="231F20"/>
          <w:spacing w:val="8"/>
          <w:sz w:val="13"/>
        </w:rPr>
        <w:t> </w:t>
      </w:r>
      <w:r>
        <w:rPr>
          <w:color w:val="231F20"/>
          <w:sz w:val="13"/>
        </w:rPr>
        <w:t>107,804</w:t>
      </w:r>
      <w:r>
        <w:rPr>
          <w:color w:val="231F20"/>
          <w:spacing w:val="8"/>
          <w:sz w:val="13"/>
        </w:rPr>
        <w:t> </w:t>
      </w:r>
      <w:r>
        <w:rPr>
          <w:color w:val="231F20"/>
          <w:sz w:val="13"/>
        </w:rPr>
        <w:t>147,629</w:t>
      </w:r>
      <w:r>
        <w:rPr>
          <w:color w:val="231F20"/>
          <w:spacing w:val="8"/>
          <w:sz w:val="13"/>
        </w:rPr>
        <w:t> </w:t>
      </w:r>
      <w:r>
        <w:rPr>
          <w:color w:val="231F20"/>
          <w:sz w:val="13"/>
        </w:rPr>
        <w:t>349,910</w:t>
      </w:r>
      <w:r>
        <w:rPr>
          <w:color w:val="231F20"/>
          <w:spacing w:val="8"/>
          <w:sz w:val="13"/>
        </w:rPr>
        <w:t> </w:t>
      </w:r>
      <w:r>
        <w:rPr>
          <w:color w:val="231F20"/>
          <w:sz w:val="13"/>
        </w:rPr>
        <w:t>304,137</w:t>
      </w:r>
      <w:r>
        <w:rPr>
          <w:color w:val="231F20"/>
          <w:spacing w:val="8"/>
          <w:sz w:val="13"/>
        </w:rPr>
        <w:t> </w:t>
      </w:r>
      <w:r>
        <w:rPr>
          <w:color w:val="231F20"/>
          <w:sz w:val="13"/>
        </w:rPr>
        <w:t>314,231</w:t>
      </w:r>
    </w:p>
    <w:p>
      <w:pPr>
        <w:spacing w:line="110" w:lineRule="exact" w:before="85"/>
        <w:ind w:left="1188" w:right="0" w:firstLine="0"/>
        <w:jc w:val="left"/>
        <w:rPr>
          <w:sz w:val="13"/>
        </w:rPr>
      </w:pPr>
      <w:r>
        <w:rPr/>
        <w:pict>
          <v:shape style="position:absolute;margin-left:27.966999pt;margin-top:9.127979pt;width:13.75pt;height:6.5pt;mso-position-horizontal-relative:page;mso-position-vertical-relative:paragraph;z-index:11032" type="#_x0000_t202" filled="false" stroked="false">
            <v:textbox inset="0,0,0,0">
              <w:txbxContent>
                <w:p>
                  <w:pPr>
                    <w:spacing w:line="123" w:lineRule="exact" w:before="0"/>
                    <w:ind w:left="0" w:right="-20" w:firstLine="0"/>
                    <w:jc w:val="left"/>
                    <w:rPr>
                      <w:sz w:val="13"/>
                    </w:rPr>
                  </w:pPr>
                  <w:r>
                    <w:rPr>
                      <w:color w:val="231F20"/>
                      <w:sz w:val="13"/>
                    </w:rPr>
                    <w:t>autos</w:t>
                  </w:r>
                </w:p>
              </w:txbxContent>
            </v:textbox>
            <w10:wrap type="none"/>
          </v:shape>
        </w:pict>
      </w:r>
      <w:r>
        <w:rPr>
          <w:color w:val="231F20"/>
          <w:sz w:val="13"/>
        </w:rPr>
        <w:t>Cuautitlán, Edo.</w:t>
      </w:r>
    </w:p>
    <w:p>
      <w:pPr>
        <w:tabs>
          <w:tab w:pos="2304" w:val="left" w:leader="none"/>
          <w:tab w:pos="11741" w:val="left" w:leader="none"/>
        </w:tabs>
        <w:spacing w:line="180" w:lineRule="exact" w:before="0" w:after="35"/>
        <w:ind w:left="1188" w:right="0" w:firstLine="0"/>
        <w:jc w:val="left"/>
        <w:rPr>
          <w:sz w:val="13"/>
        </w:rPr>
      </w:pPr>
      <w:r>
        <w:rPr>
          <w:color w:val="231F20"/>
          <w:position w:val="-6"/>
          <w:sz w:val="13"/>
        </w:rPr>
        <w:t>Méx.</w:t>
        <w:tab/>
      </w:r>
      <w:r>
        <w:rPr>
          <w:color w:val="231F20"/>
          <w:sz w:val="13"/>
        </w:rPr>
        <w:t>32,454   47,580   45,987   55,021   68,167   52,533   42,738   66,646   57,416   41,978   25,148   33,188   86,315   79,165  101,900  72,570   70,871   30,137        </w:t>
      </w:r>
      <w:r>
        <w:rPr>
          <w:color w:val="231F20"/>
          <w:spacing w:val="19"/>
          <w:sz w:val="13"/>
        </w:rPr>
        <w:t> </w:t>
      </w:r>
      <w:r>
        <w:rPr>
          <w:color w:val="231F20"/>
          <w:sz w:val="13"/>
        </w:rPr>
        <w:t>6,495   </w:t>
      </w:r>
      <w:r>
        <w:rPr>
          <w:color w:val="231F20"/>
          <w:spacing w:val="31"/>
          <w:sz w:val="13"/>
        </w:rPr>
        <w:t> </w:t>
      </w:r>
      <w:r>
        <w:rPr>
          <w:color w:val="231F20"/>
          <w:sz w:val="13"/>
        </w:rPr>
        <w:t>5,975</w:t>
        <w:tab/>
        <w:t>0</w:t>
      </w:r>
    </w:p>
    <w:tbl>
      <w:tblPr>
        <w:tblW w:w="0" w:type="auto"/>
        <w:jc w:val="left"/>
        <w:tblInd w:w="12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95"/>
        <w:gridCol w:w="1334"/>
        <w:gridCol w:w="455"/>
        <w:gridCol w:w="465"/>
        <w:gridCol w:w="6508"/>
        <w:gridCol w:w="465"/>
        <w:gridCol w:w="1860"/>
      </w:tblGrid>
      <w:tr>
        <w:trPr>
          <w:trHeight w:val="296" w:hRule="exact"/>
        </w:trPr>
        <w:tc>
          <w:tcPr>
            <w:tcW w:w="795" w:type="dxa"/>
          </w:tcPr>
          <w:p>
            <w:pPr>
              <w:pStyle w:val="TableParagraph"/>
              <w:spacing w:before="62"/>
              <w:ind w:left="35"/>
              <w:jc w:val="left"/>
              <w:rPr>
                <w:sz w:val="13"/>
              </w:rPr>
            </w:pPr>
            <w:r>
              <w:rPr>
                <w:color w:val="231F20"/>
                <w:sz w:val="13"/>
              </w:rPr>
              <w:t>autos</w:t>
            </w:r>
          </w:p>
        </w:tc>
        <w:tc>
          <w:tcPr>
            <w:tcW w:w="1334" w:type="dxa"/>
          </w:tcPr>
          <w:p>
            <w:pPr>
              <w:pStyle w:val="TableParagraph"/>
              <w:spacing w:before="62"/>
              <w:ind w:left="269"/>
              <w:jc w:val="left"/>
              <w:rPr>
                <w:sz w:val="13"/>
              </w:rPr>
            </w:pPr>
            <w:r>
              <w:rPr>
                <w:color w:val="231F20"/>
                <w:sz w:val="13"/>
              </w:rPr>
              <w:t>Hermosillo, Sonora</w:t>
            </w:r>
          </w:p>
        </w:tc>
        <w:tc>
          <w:tcPr>
            <w:tcW w:w="455" w:type="dxa"/>
          </w:tcPr>
          <w:p>
            <w:pPr>
              <w:pStyle w:val="TableParagraph"/>
              <w:spacing w:before="62"/>
              <w:ind w:left="24" w:right="31"/>
              <w:rPr>
                <w:sz w:val="13"/>
              </w:rPr>
            </w:pPr>
            <w:r>
              <w:rPr>
                <w:color w:val="231F20"/>
                <w:sz w:val="13"/>
              </w:rPr>
              <w:t>66,361</w:t>
            </w:r>
          </w:p>
        </w:tc>
        <w:tc>
          <w:tcPr>
            <w:tcW w:w="465" w:type="dxa"/>
          </w:tcPr>
          <w:p>
            <w:pPr>
              <w:pStyle w:val="TableParagraph"/>
              <w:spacing w:before="62"/>
              <w:ind w:left="33" w:right="33"/>
              <w:rPr>
                <w:sz w:val="13"/>
              </w:rPr>
            </w:pPr>
            <w:r>
              <w:rPr>
                <w:color w:val="231F20"/>
                <w:sz w:val="13"/>
              </w:rPr>
              <w:t>39,580</w:t>
            </w:r>
          </w:p>
        </w:tc>
        <w:tc>
          <w:tcPr>
            <w:tcW w:w="6508" w:type="dxa"/>
          </w:tcPr>
          <w:p>
            <w:pPr>
              <w:pStyle w:val="TableParagraph"/>
              <w:spacing w:before="62"/>
              <w:ind w:left="61"/>
              <w:jc w:val="left"/>
              <w:rPr>
                <w:sz w:val="13"/>
              </w:rPr>
            </w:pPr>
            <w:r>
              <w:rPr>
                <w:color w:val="231F20"/>
                <w:sz w:val="13"/>
              </w:rPr>
              <w:t>88,604  111,983 130,091 117,398 149,300 140,369 111,129 129,407 135,037 114,016 106,889  89,391   52,709      12,404</w:t>
            </w:r>
          </w:p>
        </w:tc>
        <w:tc>
          <w:tcPr>
            <w:tcW w:w="465" w:type="dxa"/>
          </w:tcPr>
          <w:p>
            <w:pPr>
              <w:pStyle w:val="TableParagraph"/>
              <w:spacing w:before="62"/>
              <w:rPr>
                <w:sz w:val="13"/>
              </w:rPr>
            </w:pPr>
            <w:r>
              <w:rPr>
                <w:color w:val="231F20"/>
                <w:w w:val="96"/>
                <w:sz w:val="13"/>
              </w:rPr>
              <w:t>0</w:t>
            </w:r>
          </w:p>
        </w:tc>
        <w:tc>
          <w:tcPr>
            <w:tcW w:w="1860" w:type="dxa"/>
          </w:tcPr>
          <w:p>
            <w:pPr>
              <w:pStyle w:val="TableParagraph"/>
              <w:spacing w:before="62"/>
              <w:ind w:left="47" w:right="17"/>
              <w:rPr>
                <w:sz w:val="13"/>
              </w:rPr>
            </w:pPr>
            <w:r>
              <w:rPr>
                <w:color w:val="231F20"/>
                <w:sz w:val="13"/>
              </w:rPr>
              <w:t>65,280  286,668 249,895 273,413</w:t>
            </w:r>
          </w:p>
        </w:tc>
      </w:tr>
      <w:tr>
        <w:trPr>
          <w:trHeight w:val="266" w:hRule="exact"/>
        </w:trPr>
        <w:tc>
          <w:tcPr>
            <w:tcW w:w="795" w:type="dxa"/>
            <w:tcBorders>
              <w:bottom w:val="single" w:sz="4" w:space="0" w:color="231F20"/>
            </w:tcBorders>
          </w:tcPr>
          <w:p>
            <w:pPr>
              <w:pStyle w:val="TableParagraph"/>
              <w:spacing w:before="50"/>
              <w:ind w:left="35"/>
              <w:jc w:val="left"/>
              <w:rPr>
                <w:sz w:val="13"/>
              </w:rPr>
            </w:pPr>
            <w:r>
              <w:rPr>
                <w:color w:val="231F20"/>
                <w:sz w:val="13"/>
              </w:rPr>
              <w:t>camiones</w:t>
            </w:r>
          </w:p>
        </w:tc>
        <w:tc>
          <w:tcPr>
            <w:tcW w:w="1334" w:type="dxa"/>
            <w:tcBorders>
              <w:bottom w:val="single" w:sz="4" w:space="0" w:color="231F20"/>
            </w:tcBorders>
          </w:tcPr>
          <w:p>
            <w:pPr>
              <w:pStyle w:val="TableParagraph"/>
              <w:spacing w:before="50"/>
              <w:ind w:left="269"/>
              <w:jc w:val="left"/>
              <w:rPr>
                <w:sz w:val="13"/>
              </w:rPr>
            </w:pPr>
            <w:r>
              <w:rPr>
                <w:color w:val="231F20"/>
                <w:w w:val="105"/>
                <w:sz w:val="13"/>
              </w:rPr>
              <w:t>Chihuahua</w:t>
            </w:r>
          </w:p>
        </w:tc>
        <w:tc>
          <w:tcPr>
            <w:tcW w:w="455" w:type="dxa"/>
            <w:tcBorders>
              <w:bottom w:val="single" w:sz="4" w:space="0" w:color="231F20"/>
            </w:tcBorders>
          </w:tcPr>
          <w:p>
            <w:pPr>
              <w:pStyle w:val="TableParagraph"/>
              <w:spacing w:before="50"/>
              <w:ind w:left="24" w:right="32"/>
              <w:rPr>
                <w:sz w:val="13"/>
              </w:rPr>
            </w:pPr>
            <w:r>
              <w:rPr>
                <w:color w:val="231F20"/>
                <w:sz w:val="13"/>
              </w:rPr>
              <w:t>29,938</w:t>
            </w:r>
          </w:p>
        </w:tc>
        <w:tc>
          <w:tcPr>
            <w:tcW w:w="465" w:type="dxa"/>
            <w:tcBorders>
              <w:bottom w:val="single" w:sz="4" w:space="0" w:color="231F20"/>
            </w:tcBorders>
          </w:tcPr>
          <w:p>
            <w:pPr>
              <w:pStyle w:val="TableParagraph"/>
              <w:spacing w:before="50"/>
              <w:ind w:left="33" w:right="33"/>
              <w:rPr>
                <w:sz w:val="13"/>
              </w:rPr>
            </w:pPr>
            <w:r>
              <w:rPr>
                <w:color w:val="231F20"/>
                <w:sz w:val="13"/>
              </w:rPr>
              <w:t>39,111</w:t>
            </w:r>
          </w:p>
        </w:tc>
        <w:tc>
          <w:tcPr>
            <w:tcW w:w="6508" w:type="dxa"/>
            <w:tcBorders>
              <w:bottom w:val="single" w:sz="4" w:space="0" w:color="231F20"/>
            </w:tcBorders>
          </w:tcPr>
          <w:p>
            <w:pPr>
              <w:pStyle w:val="TableParagraph"/>
              <w:spacing w:before="50"/>
              <w:ind w:left="61"/>
              <w:jc w:val="left"/>
              <w:rPr>
                <w:sz w:val="13"/>
              </w:rPr>
            </w:pPr>
            <w:r>
              <w:rPr>
                <w:color w:val="231F20"/>
                <w:sz w:val="13"/>
              </w:rPr>
              <w:t>35,903   55,519   58,942   39,428   50,045   20,339   44,968   74,704   53,361   77,242   87,381   71,134   31,265      58,733</w:t>
            </w:r>
          </w:p>
        </w:tc>
        <w:tc>
          <w:tcPr>
            <w:tcW w:w="465" w:type="dxa"/>
            <w:tcBorders>
              <w:bottom w:val="single" w:sz="4" w:space="0" w:color="231F20"/>
            </w:tcBorders>
          </w:tcPr>
          <w:p>
            <w:pPr>
              <w:pStyle w:val="TableParagraph"/>
              <w:spacing w:before="50"/>
              <w:ind w:left="33" w:right="33"/>
              <w:rPr>
                <w:sz w:val="13"/>
              </w:rPr>
            </w:pPr>
            <w:r>
              <w:rPr>
                <w:color w:val="231F20"/>
                <w:sz w:val="13"/>
              </w:rPr>
              <w:t>36,933</w:t>
            </w:r>
          </w:p>
        </w:tc>
        <w:tc>
          <w:tcPr>
            <w:tcW w:w="1860" w:type="dxa"/>
            <w:tcBorders>
              <w:bottom w:val="single" w:sz="4" w:space="0" w:color="231F20"/>
            </w:tcBorders>
          </w:tcPr>
          <w:p>
            <w:pPr>
              <w:pStyle w:val="TableParagraph"/>
              <w:spacing w:before="50"/>
              <w:ind w:left="17" w:right="17"/>
              <w:rPr>
                <w:sz w:val="13"/>
              </w:rPr>
            </w:pPr>
            <w:r>
              <w:rPr>
                <w:color w:val="231F20"/>
                <w:sz w:val="13"/>
              </w:rPr>
              <w:t>52,212   56,747   48,267   40,818</w:t>
            </w:r>
          </w:p>
        </w:tc>
      </w:tr>
    </w:tbl>
    <w:p>
      <w:pPr>
        <w:spacing w:line="131" w:lineRule="exact" w:before="5"/>
        <w:ind w:left="377" w:right="0" w:firstLine="0"/>
        <w:jc w:val="left"/>
        <w:rPr>
          <w:rFonts w:ascii="Palatino Linotype"/>
          <w:b/>
          <w:sz w:val="13"/>
        </w:rPr>
      </w:pPr>
      <w:r>
        <w:rPr>
          <w:rFonts w:ascii="Palatino Linotype"/>
          <w:b/>
          <w:color w:val="231F20"/>
          <w:sz w:val="13"/>
        </w:rPr>
        <w:t>GENERAL</w:t>
      </w:r>
    </w:p>
    <w:p>
      <w:pPr>
        <w:tabs>
          <w:tab w:pos="2304" w:val="left" w:leader="none"/>
        </w:tabs>
        <w:spacing w:line="186" w:lineRule="exact" w:before="0"/>
        <w:ind w:left="402" w:right="0" w:firstLine="0"/>
        <w:jc w:val="left"/>
        <w:rPr>
          <w:sz w:val="13"/>
        </w:rPr>
      </w:pPr>
      <w:r>
        <w:rPr>
          <w:rFonts w:ascii="Palatino Linotype"/>
          <w:b/>
          <w:color w:val="231F20"/>
          <w:position w:val="-6"/>
          <w:sz w:val="13"/>
        </w:rPr>
        <w:t>MOTORS</w:t>
        <w:tab/>
      </w:r>
      <w:r>
        <w:rPr>
          <w:color w:val="231F20"/>
          <w:sz w:val="13"/>
        </w:rPr>
        <w:t>84,052</w:t>
      </w:r>
      <w:r>
        <w:rPr>
          <w:color w:val="231F20"/>
          <w:spacing w:val="31"/>
          <w:sz w:val="13"/>
        </w:rPr>
        <w:t> </w:t>
      </w:r>
      <w:r>
        <w:rPr>
          <w:color w:val="231F20"/>
          <w:sz w:val="13"/>
        </w:rPr>
        <w:t>112,716</w:t>
      </w:r>
      <w:r>
        <w:rPr>
          <w:color w:val="231F20"/>
          <w:spacing w:val="9"/>
          <w:sz w:val="13"/>
        </w:rPr>
        <w:t> </w:t>
      </w:r>
      <w:r>
        <w:rPr>
          <w:color w:val="231F20"/>
          <w:sz w:val="13"/>
        </w:rPr>
        <w:t>136,086</w:t>
      </w:r>
      <w:r>
        <w:rPr>
          <w:color w:val="231F20"/>
          <w:spacing w:val="9"/>
          <w:sz w:val="13"/>
        </w:rPr>
        <w:t> </w:t>
      </w:r>
      <w:r>
        <w:rPr>
          <w:color w:val="231F20"/>
          <w:sz w:val="13"/>
        </w:rPr>
        <w:t>146,178</w:t>
      </w:r>
      <w:r>
        <w:rPr>
          <w:color w:val="231F20"/>
          <w:spacing w:val="9"/>
          <w:sz w:val="13"/>
        </w:rPr>
        <w:t> </w:t>
      </w:r>
      <w:r>
        <w:rPr>
          <w:color w:val="231F20"/>
          <w:sz w:val="13"/>
        </w:rPr>
        <w:t>153,545</w:t>
      </w:r>
      <w:r>
        <w:rPr>
          <w:color w:val="231F20"/>
          <w:spacing w:val="9"/>
          <w:sz w:val="13"/>
        </w:rPr>
        <w:t> </w:t>
      </w:r>
      <w:r>
        <w:rPr>
          <w:color w:val="231F20"/>
          <w:sz w:val="13"/>
        </w:rPr>
        <w:t>135,675</w:t>
      </w:r>
      <w:r>
        <w:rPr>
          <w:color w:val="231F20"/>
          <w:spacing w:val="9"/>
          <w:sz w:val="13"/>
        </w:rPr>
        <w:t> </w:t>
      </w:r>
      <w:r>
        <w:rPr>
          <w:color w:val="231F20"/>
          <w:sz w:val="13"/>
        </w:rPr>
        <w:t>107,841</w:t>
      </w:r>
      <w:r>
        <w:rPr>
          <w:color w:val="231F20"/>
          <w:spacing w:val="31"/>
          <w:sz w:val="13"/>
        </w:rPr>
        <w:t> </w:t>
      </w:r>
      <w:r>
        <w:rPr>
          <w:color w:val="231F20"/>
          <w:sz w:val="13"/>
        </w:rPr>
        <w:t>74,120</w:t>
      </w:r>
      <w:r>
        <w:rPr>
          <w:color w:val="231F20"/>
          <w:spacing w:val="31"/>
          <w:sz w:val="13"/>
        </w:rPr>
        <w:t> </w:t>
      </w:r>
      <w:r>
        <w:rPr>
          <w:color w:val="231F20"/>
          <w:sz w:val="13"/>
        </w:rPr>
        <w:t>167,123</w:t>
      </w:r>
      <w:r>
        <w:rPr>
          <w:color w:val="231F20"/>
          <w:spacing w:val="9"/>
          <w:sz w:val="13"/>
        </w:rPr>
        <w:t> </w:t>
      </w:r>
      <w:r>
        <w:rPr>
          <w:color w:val="231F20"/>
          <w:sz w:val="13"/>
        </w:rPr>
        <w:t>216,384</w:t>
      </w:r>
      <w:r>
        <w:rPr>
          <w:color w:val="231F20"/>
          <w:spacing w:val="9"/>
          <w:sz w:val="13"/>
        </w:rPr>
        <w:t> </w:t>
      </w:r>
      <w:r>
        <w:rPr>
          <w:color w:val="231F20"/>
          <w:sz w:val="13"/>
        </w:rPr>
        <w:t>249,066</w:t>
      </w:r>
      <w:r>
        <w:rPr>
          <w:color w:val="231F20"/>
          <w:spacing w:val="9"/>
          <w:sz w:val="13"/>
        </w:rPr>
        <w:t> </w:t>
      </w:r>
      <w:r>
        <w:rPr>
          <w:color w:val="231F20"/>
          <w:sz w:val="13"/>
        </w:rPr>
        <w:t>277,206</w:t>
      </w:r>
      <w:r>
        <w:rPr>
          <w:color w:val="231F20"/>
          <w:spacing w:val="9"/>
          <w:sz w:val="13"/>
        </w:rPr>
        <w:t> </w:t>
      </w:r>
      <w:r>
        <w:rPr>
          <w:color w:val="231F20"/>
          <w:sz w:val="13"/>
        </w:rPr>
        <w:t>365,469</w:t>
      </w:r>
      <w:r>
        <w:rPr>
          <w:color w:val="231F20"/>
          <w:spacing w:val="9"/>
          <w:sz w:val="13"/>
        </w:rPr>
        <w:t> </w:t>
      </w:r>
      <w:r>
        <w:rPr>
          <w:color w:val="231F20"/>
          <w:sz w:val="13"/>
        </w:rPr>
        <w:t>415,336</w:t>
      </w:r>
      <w:r>
        <w:rPr>
          <w:color w:val="231F20"/>
          <w:spacing w:val="9"/>
          <w:sz w:val="13"/>
        </w:rPr>
        <w:t> </w:t>
      </w:r>
      <w:r>
        <w:rPr>
          <w:color w:val="231F20"/>
          <w:sz w:val="13"/>
        </w:rPr>
        <w:t>483,328</w:t>
      </w:r>
      <w:r>
        <w:rPr>
          <w:color w:val="231F20"/>
          <w:spacing w:val="9"/>
          <w:sz w:val="13"/>
        </w:rPr>
        <w:t> </w:t>
      </w:r>
      <w:r>
        <w:rPr>
          <w:color w:val="231F20"/>
          <w:sz w:val="13"/>
        </w:rPr>
        <w:t>453,171</w:t>
      </w:r>
      <w:r>
        <w:rPr>
          <w:color w:val="231F20"/>
          <w:spacing w:val="9"/>
          <w:sz w:val="13"/>
        </w:rPr>
        <w:t> </w:t>
      </w:r>
      <w:r>
        <w:rPr>
          <w:color w:val="231F20"/>
          <w:sz w:val="13"/>
        </w:rPr>
        <w:t>478,688</w:t>
      </w:r>
      <w:r>
        <w:rPr>
          <w:color w:val="231F20"/>
          <w:spacing w:val="9"/>
          <w:sz w:val="13"/>
        </w:rPr>
        <w:t> </w:t>
      </w:r>
      <w:r>
        <w:rPr>
          <w:color w:val="231F20"/>
          <w:sz w:val="13"/>
        </w:rPr>
        <w:t>428,322</w:t>
      </w:r>
      <w:r>
        <w:rPr>
          <w:color w:val="231F20"/>
          <w:spacing w:val="9"/>
          <w:sz w:val="13"/>
        </w:rPr>
        <w:t> </w:t>
      </w:r>
      <w:r>
        <w:rPr>
          <w:color w:val="231F20"/>
          <w:sz w:val="13"/>
        </w:rPr>
        <w:t>502,544</w:t>
      </w:r>
      <w:r>
        <w:rPr>
          <w:color w:val="231F20"/>
          <w:spacing w:val="9"/>
          <w:sz w:val="13"/>
        </w:rPr>
        <w:t> </w:t>
      </w:r>
      <w:r>
        <w:rPr>
          <w:color w:val="231F20"/>
          <w:sz w:val="13"/>
        </w:rPr>
        <w:t>467,667</w:t>
      </w:r>
      <w:r>
        <w:rPr>
          <w:color w:val="231F20"/>
          <w:spacing w:val="9"/>
          <w:sz w:val="13"/>
        </w:rPr>
        <w:t> </w:t>
      </w:r>
      <w:r>
        <w:rPr>
          <w:color w:val="231F20"/>
          <w:sz w:val="13"/>
        </w:rPr>
        <w:t>508,748</w:t>
      </w:r>
    </w:p>
    <w:p>
      <w:pPr>
        <w:spacing w:line="110" w:lineRule="exact" w:before="72"/>
        <w:ind w:left="1187" w:right="0" w:firstLine="0"/>
        <w:jc w:val="left"/>
        <w:rPr>
          <w:sz w:val="13"/>
        </w:rPr>
      </w:pPr>
      <w:r>
        <w:rPr/>
        <w:pict>
          <v:shape style="position:absolute;margin-left:27.9475pt;margin-top:8.47798pt;width:13.75pt;height:6.5pt;mso-position-horizontal-relative:page;mso-position-vertical-relative:paragraph;z-index:11056" type="#_x0000_t202" filled="false" stroked="false">
            <v:textbox inset="0,0,0,0">
              <w:txbxContent>
                <w:p>
                  <w:pPr>
                    <w:spacing w:line="123" w:lineRule="exact" w:before="0"/>
                    <w:ind w:left="0" w:right="-20" w:firstLine="0"/>
                    <w:jc w:val="left"/>
                    <w:rPr>
                      <w:sz w:val="13"/>
                    </w:rPr>
                  </w:pPr>
                  <w:r>
                    <w:rPr>
                      <w:color w:val="231F20"/>
                      <w:sz w:val="13"/>
                    </w:rPr>
                    <w:t>autos</w:t>
                  </w:r>
                </w:p>
              </w:txbxContent>
            </v:textbox>
            <w10:wrap type="none"/>
          </v:shape>
        </w:pict>
      </w:r>
      <w:r>
        <w:rPr>
          <w:color w:val="231F20"/>
          <w:sz w:val="13"/>
        </w:rPr>
        <w:t>Ramos Arizpe,</w:t>
      </w:r>
    </w:p>
    <w:p>
      <w:pPr>
        <w:tabs>
          <w:tab w:pos="2335" w:val="left" w:leader="none"/>
        </w:tabs>
        <w:spacing w:line="180" w:lineRule="exact" w:before="0"/>
        <w:ind w:left="1187" w:right="0" w:firstLine="0"/>
        <w:jc w:val="left"/>
        <w:rPr>
          <w:sz w:val="13"/>
        </w:rPr>
      </w:pPr>
      <w:r>
        <w:rPr>
          <w:color w:val="231F20"/>
          <w:position w:val="-6"/>
          <w:sz w:val="13"/>
        </w:rPr>
        <w:t>Coahuila</w:t>
        <w:tab/>
      </w:r>
      <w:r>
        <w:rPr>
          <w:color w:val="231F20"/>
          <w:sz w:val="13"/>
        </w:rPr>
        <w:t>9,012    13,464   28,700   74,135   87,730   97,189   87,871  137,783  140,125  151,811  160,002  153,798  143,969  112,603  118,661  81,558   91,119   69,824   65,575   70,739</w:t>
      </w:r>
      <w:r>
        <w:rPr>
          <w:color w:val="231F20"/>
          <w:spacing w:val="10"/>
          <w:sz w:val="13"/>
        </w:rPr>
        <w:t> </w:t>
      </w:r>
      <w:r>
        <w:rPr>
          <w:color w:val="231F20"/>
          <w:sz w:val="13"/>
        </w:rPr>
        <w:t>63,727</w:t>
      </w:r>
    </w:p>
    <w:p>
      <w:pPr>
        <w:pStyle w:val="BodyText"/>
        <w:rPr>
          <w:sz w:val="20"/>
        </w:rPr>
      </w:pPr>
    </w:p>
    <w:p>
      <w:pPr>
        <w:pStyle w:val="BodyText"/>
        <w:spacing w:before="10"/>
        <w:rPr>
          <w:sz w:val="19"/>
        </w:rPr>
      </w:pPr>
    </w:p>
    <w:p>
      <w:pPr>
        <w:spacing w:before="74"/>
        <w:ind w:left="1187" w:right="0" w:firstLine="0"/>
        <w:jc w:val="left"/>
        <w:rPr>
          <w:sz w:val="13"/>
        </w:rPr>
      </w:pPr>
      <w:r>
        <w:rPr/>
        <w:pict>
          <v:shape style="position:absolute;margin-left:26.158501pt;margin-top:-20.595528pt;width:594.15pt;height:90.15pt;mso-position-horizontal-relative:page;mso-position-vertical-relative:paragraph;z-index:1110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016"/>
                    <w:gridCol w:w="1071"/>
                    <w:gridCol w:w="496"/>
                    <w:gridCol w:w="465"/>
                    <w:gridCol w:w="465"/>
                    <w:gridCol w:w="465"/>
                    <w:gridCol w:w="465"/>
                    <w:gridCol w:w="465"/>
                    <w:gridCol w:w="465"/>
                    <w:gridCol w:w="480"/>
                    <w:gridCol w:w="450"/>
                    <w:gridCol w:w="449"/>
                    <w:gridCol w:w="480"/>
                    <w:gridCol w:w="465"/>
                    <w:gridCol w:w="465"/>
                    <w:gridCol w:w="465"/>
                    <w:gridCol w:w="465"/>
                    <w:gridCol w:w="465"/>
                    <w:gridCol w:w="465"/>
                    <w:gridCol w:w="465"/>
                    <w:gridCol w:w="465"/>
                    <w:gridCol w:w="395"/>
                    <w:gridCol w:w="536"/>
                  </w:tblGrid>
                  <w:tr>
                    <w:trPr>
                      <w:trHeight w:val="335" w:hRule="exact"/>
                    </w:trPr>
                    <w:tc>
                      <w:tcPr>
                        <w:tcW w:w="2583" w:type="dxa"/>
                        <w:gridSpan w:val="3"/>
                      </w:tcPr>
                      <w:p>
                        <w:pPr>
                          <w:pStyle w:val="TableParagraph"/>
                          <w:tabs>
                            <w:tab w:pos="1064" w:val="left" w:leader="none"/>
                            <w:tab w:pos="2320" w:val="left" w:leader="none"/>
                          </w:tabs>
                          <w:spacing w:before="74"/>
                          <w:ind w:left="35"/>
                          <w:jc w:val="left"/>
                          <w:rPr>
                            <w:sz w:val="13"/>
                          </w:rPr>
                        </w:pPr>
                        <w:r>
                          <w:rPr>
                            <w:color w:val="231F20"/>
                            <w:sz w:val="13"/>
                          </w:rPr>
                          <w:t>autos</w:t>
                          <w:tab/>
                          <w:t>San</w:t>
                        </w:r>
                        <w:r>
                          <w:rPr>
                            <w:color w:val="231F20"/>
                            <w:spacing w:val="-9"/>
                            <w:sz w:val="13"/>
                          </w:rPr>
                          <w:t> </w:t>
                        </w:r>
                        <w:r>
                          <w:rPr>
                            <w:color w:val="231F20"/>
                            <w:sz w:val="13"/>
                          </w:rPr>
                          <w:t>Luis</w:t>
                        </w:r>
                        <w:r>
                          <w:rPr>
                            <w:color w:val="231F20"/>
                            <w:spacing w:val="-9"/>
                            <w:sz w:val="13"/>
                          </w:rPr>
                          <w:t> </w:t>
                        </w:r>
                        <w:r>
                          <w:rPr>
                            <w:color w:val="231F20"/>
                            <w:sz w:val="13"/>
                          </w:rPr>
                          <w:t>Potosí</w:t>
                          <w:tab/>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480" w:type="dxa"/>
                      </w:tcPr>
                      <w:p>
                        <w:pPr>
                          <w:pStyle w:val="TableParagraph"/>
                          <w:spacing w:before="74"/>
                          <w:ind w:right="12"/>
                          <w:rPr>
                            <w:sz w:val="13"/>
                          </w:rPr>
                        </w:pPr>
                        <w:r>
                          <w:rPr>
                            <w:color w:val="231F20"/>
                            <w:w w:val="96"/>
                            <w:sz w:val="13"/>
                          </w:rPr>
                          <w:t>0</w:t>
                        </w:r>
                      </w:p>
                    </w:tc>
                    <w:tc>
                      <w:tcPr>
                        <w:tcW w:w="450" w:type="dxa"/>
                      </w:tcPr>
                      <w:p>
                        <w:pPr>
                          <w:pStyle w:val="TableParagraph"/>
                          <w:spacing w:before="74"/>
                          <w:ind w:right="13"/>
                          <w:rPr>
                            <w:sz w:val="13"/>
                          </w:rPr>
                        </w:pPr>
                        <w:r>
                          <w:rPr>
                            <w:color w:val="231F20"/>
                            <w:w w:val="96"/>
                            <w:sz w:val="13"/>
                          </w:rPr>
                          <w:t>0</w:t>
                        </w:r>
                      </w:p>
                    </w:tc>
                    <w:tc>
                      <w:tcPr>
                        <w:tcW w:w="449" w:type="dxa"/>
                      </w:tcPr>
                      <w:p>
                        <w:pPr>
                          <w:pStyle w:val="TableParagraph"/>
                          <w:spacing w:before="74"/>
                          <w:ind w:left="15"/>
                          <w:rPr>
                            <w:sz w:val="13"/>
                          </w:rPr>
                        </w:pPr>
                        <w:r>
                          <w:rPr>
                            <w:color w:val="231F20"/>
                            <w:w w:val="96"/>
                            <w:sz w:val="13"/>
                          </w:rPr>
                          <w:t>0</w:t>
                        </w:r>
                      </w:p>
                    </w:tc>
                    <w:tc>
                      <w:tcPr>
                        <w:tcW w:w="480" w:type="dxa"/>
                      </w:tcPr>
                      <w:p>
                        <w:pPr>
                          <w:pStyle w:val="TableParagraph"/>
                          <w:spacing w:before="74"/>
                          <w:ind w:left="15"/>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1860" w:type="dxa"/>
                        <w:gridSpan w:val="4"/>
                      </w:tcPr>
                      <w:p>
                        <w:pPr>
                          <w:pStyle w:val="TableParagraph"/>
                          <w:tabs>
                            <w:tab w:pos="666" w:val="left" w:leader="none"/>
                            <w:tab w:pos="1131" w:val="left" w:leader="none"/>
                            <w:tab w:pos="1596" w:val="left" w:leader="none"/>
                          </w:tabs>
                          <w:spacing w:before="74"/>
                          <w:ind w:left="201"/>
                          <w:jc w:val="left"/>
                          <w:rPr>
                            <w:sz w:val="13"/>
                          </w:rPr>
                        </w:pPr>
                        <w:r>
                          <w:rPr>
                            <w:color w:val="231F20"/>
                            <w:sz w:val="13"/>
                          </w:rPr>
                          <w:t>0</w:t>
                          <w:tab/>
                          <w:t>0</w:t>
                          <w:tab/>
                          <w:t>0</w:t>
                          <w:tab/>
                          <w:t>0</w:t>
                        </w:r>
                      </w:p>
                    </w:tc>
                    <w:tc>
                      <w:tcPr>
                        <w:tcW w:w="465" w:type="dxa"/>
                      </w:tcPr>
                      <w:p>
                        <w:pPr>
                          <w:pStyle w:val="TableParagraph"/>
                          <w:spacing w:before="74"/>
                          <w:rPr>
                            <w:sz w:val="13"/>
                          </w:rPr>
                        </w:pPr>
                        <w:r>
                          <w:rPr>
                            <w:color w:val="231F20"/>
                            <w:w w:val="96"/>
                            <w:sz w:val="13"/>
                          </w:rPr>
                          <w:t>0</w:t>
                        </w:r>
                      </w:p>
                    </w:tc>
                    <w:tc>
                      <w:tcPr>
                        <w:tcW w:w="465" w:type="dxa"/>
                      </w:tcPr>
                      <w:p>
                        <w:pPr>
                          <w:pStyle w:val="TableParagraph"/>
                          <w:spacing w:before="74"/>
                          <w:ind w:left="201"/>
                          <w:jc w:val="left"/>
                          <w:rPr>
                            <w:sz w:val="13"/>
                          </w:rPr>
                        </w:pPr>
                        <w:r>
                          <w:rPr>
                            <w:color w:val="231F20"/>
                            <w:w w:val="96"/>
                            <w:sz w:val="13"/>
                          </w:rPr>
                          <w:t>0</w:t>
                        </w:r>
                      </w:p>
                    </w:tc>
                    <w:tc>
                      <w:tcPr>
                        <w:tcW w:w="465" w:type="dxa"/>
                      </w:tcPr>
                      <w:p>
                        <w:pPr>
                          <w:pStyle w:val="TableParagraph"/>
                          <w:spacing w:before="74"/>
                          <w:rPr>
                            <w:sz w:val="13"/>
                          </w:rPr>
                        </w:pPr>
                        <w:r>
                          <w:rPr>
                            <w:color w:val="231F20"/>
                            <w:w w:val="96"/>
                            <w:sz w:val="13"/>
                          </w:rPr>
                          <w:t>0</w:t>
                        </w:r>
                      </w:p>
                    </w:tc>
                    <w:tc>
                      <w:tcPr>
                        <w:tcW w:w="395" w:type="dxa"/>
                      </w:tcPr>
                      <w:p>
                        <w:pPr>
                          <w:pStyle w:val="TableParagraph"/>
                          <w:spacing w:before="74"/>
                          <w:ind w:right="129"/>
                          <w:jc w:val="right"/>
                          <w:rPr>
                            <w:sz w:val="13"/>
                          </w:rPr>
                        </w:pPr>
                        <w:r>
                          <w:rPr>
                            <w:color w:val="231F20"/>
                            <w:w w:val="96"/>
                            <w:sz w:val="13"/>
                          </w:rPr>
                          <w:t>0</w:t>
                        </w:r>
                      </w:p>
                    </w:tc>
                    <w:tc>
                      <w:tcPr>
                        <w:tcW w:w="536" w:type="dxa"/>
                      </w:tcPr>
                      <w:p>
                        <w:pPr>
                          <w:pStyle w:val="TableParagraph"/>
                          <w:spacing w:before="74"/>
                          <w:ind w:left="103" w:right="35"/>
                          <w:rPr>
                            <w:sz w:val="13"/>
                          </w:rPr>
                        </w:pPr>
                        <w:r>
                          <w:rPr>
                            <w:color w:val="231F20"/>
                            <w:sz w:val="13"/>
                          </w:rPr>
                          <w:t>30,482</w:t>
                        </w:r>
                      </w:p>
                    </w:tc>
                  </w:tr>
                  <w:tr>
                    <w:trPr>
                      <w:trHeight w:val="235" w:hRule="exact"/>
                    </w:trPr>
                    <w:tc>
                      <w:tcPr>
                        <w:tcW w:w="2583" w:type="dxa"/>
                        <w:gridSpan w:val="3"/>
                      </w:tcPr>
                      <w:p>
                        <w:pPr>
                          <w:pStyle w:val="TableParagraph"/>
                          <w:tabs>
                            <w:tab w:pos="2320" w:val="left" w:leader="none"/>
                          </w:tabs>
                          <w:spacing w:before="9"/>
                          <w:ind w:left="35"/>
                          <w:jc w:val="left"/>
                          <w:rPr>
                            <w:sz w:val="13"/>
                          </w:rPr>
                        </w:pPr>
                        <w:r>
                          <w:rPr>
                            <w:color w:val="231F20"/>
                            <w:sz w:val="13"/>
                          </w:rPr>
                          <w:t>camiones ligeros   </w:t>
                        </w:r>
                        <w:r>
                          <w:rPr>
                            <w:color w:val="231F20"/>
                            <w:spacing w:val="17"/>
                            <w:sz w:val="13"/>
                          </w:rPr>
                          <w:t> </w:t>
                        </w:r>
                        <w:r>
                          <w:rPr>
                            <w:color w:val="231F20"/>
                            <w:position w:val="7"/>
                            <w:sz w:val="13"/>
                          </w:rPr>
                          <w:t>Ramos</w:t>
                        </w:r>
                        <w:r>
                          <w:rPr>
                            <w:color w:val="231F20"/>
                            <w:spacing w:val="-6"/>
                            <w:position w:val="7"/>
                            <w:sz w:val="13"/>
                          </w:rPr>
                          <w:t> </w:t>
                        </w:r>
                        <w:r>
                          <w:rPr>
                            <w:color w:val="231F20"/>
                            <w:position w:val="7"/>
                            <w:sz w:val="13"/>
                          </w:rPr>
                          <w:t>Arizpe,</w:t>
                        </w:r>
                        <w:r>
                          <w:rPr>
                            <w:color w:val="231F20"/>
                            <w:sz w:val="13"/>
                          </w:rPr>
                          <w:tab/>
                          <w:t>0</w:t>
                        </w:r>
                      </w:p>
                    </w:tc>
                    <w:tc>
                      <w:tcPr>
                        <w:tcW w:w="465" w:type="dxa"/>
                      </w:tcPr>
                      <w:p>
                        <w:pPr>
                          <w:pStyle w:val="TableParagraph"/>
                          <w:spacing w:before="79"/>
                          <w:rPr>
                            <w:sz w:val="13"/>
                          </w:rPr>
                        </w:pPr>
                        <w:r>
                          <w:rPr>
                            <w:color w:val="231F20"/>
                            <w:w w:val="96"/>
                            <w:sz w:val="13"/>
                          </w:rPr>
                          <w:t>0</w:t>
                        </w:r>
                      </w:p>
                    </w:tc>
                    <w:tc>
                      <w:tcPr>
                        <w:tcW w:w="465" w:type="dxa"/>
                      </w:tcPr>
                      <w:p>
                        <w:pPr>
                          <w:pStyle w:val="TableParagraph"/>
                          <w:spacing w:before="79"/>
                          <w:rPr>
                            <w:sz w:val="13"/>
                          </w:rPr>
                        </w:pPr>
                        <w:r>
                          <w:rPr>
                            <w:color w:val="231F20"/>
                            <w:w w:val="96"/>
                            <w:sz w:val="13"/>
                          </w:rPr>
                          <w:t>0</w:t>
                        </w:r>
                      </w:p>
                    </w:tc>
                    <w:tc>
                      <w:tcPr>
                        <w:tcW w:w="465" w:type="dxa"/>
                      </w:tcPr>
                      <w:p>
                        <w:pPr>
                          <w:pStyle w:val="TableParagraph"/>
                          <w:spacing w:before="79"/>
                          <w:ind w:left="33" w:right="33"/>
                          <w:rPr>
                            <w:sz w:val="13"/>
                          </w:rPr>
                        </w:pPr>
                        <w:r>
                          <w:rPr>
                            <w:color w:val="231F20"/>
                            <w:sz w:val="13"/>
                          </w:rPr>
                          <w:t>4,263</w:t>
                        </w:r>
                      </w:p>
                    </w:tc>
                    <w:tc>
                      <w:tcPr>
                        <w:tcW w:w="465" w:type="dxa"/>
                      </w:tcPr>
                      <w:p>
                        <w:pPr>
                          <w:pStyle w:val="TableParagraph"/>
                          <w:spacing w:before="79"/>
                          <w:ind w:left="33" w:right="33"/>
                          <w:rPr>
                            <w:sz w:val="13"/>
                          </w:rPr>
                        </w:pPr>
                        <w:r>
                          <w:rPr>
                            <w:color w:val="231F20"/>
                            <w:sz w:val="13"/>
                          </w:rPr>
                          <w:t>5,126</w:t>
                        </w:r>
                      </w:p>
                    </w:tc>
                    <w:tc>
                      <w:tcPr>
                        <w:tcW w:w="465" w:type="dxa"/>
                      </w:tcPr>
                      <w:p>
                        <w:pPr>
                          <w:pStyle w:val="TableParagraph"/>
                          <w:spacing w:before="79"/>
                          <w:ind w:left="33" w:right="33"/>
                          <w:rPr>
                            <w:sz w:val="13"/>
                          </w:rPr>
                        </w:pPr>
                        <w:r>
                          <w:rPr>
                            <w:color w:val="231F20"/>
                            <w:sz w:val="13"/>
                          </w:rPr>
                          <w:t>7,316</w:t>
                        </w:r>
                      </w:p>
                    </w:tc>
                    <w:tc>
                      <w:tcPr>
                        <w:tcW w:w="465" w:type="dxa"/>
                      </w:tcPr>
                      <w:p>
                        <w:pPr>
                          <w:pStyle w:val="TableParagraph"/>
                          <w:spacing w:before="79"/>
                          <w:ind w:left="33" w:right="33"/>
                          <w:rPr>
                            <w:sz w:val="13"/>
                          </w:rPr>
                        </w:pPr>
                        <w:r>
                          <w:rPr>
                            <w:color w:val="231F20"/>
                            <w:sz w:val="13"/>
                          </w:rPr>
                          <w:t>3,603</w:t>
                        </w:r>
                      </w:p>
                    </w:tc>
                    <w:tc>
                      <w:tcPr>
                        <w:tcW w:w="480" w:type="dxa"/>
                      </w:tcPr>
                      <w:p>
                        <w:pPr>
                          <w:pStyle w:val="TableParagraph"/>
                          <w:spacing w:before="79"/>
                          <w:ind w:right="12"/>
                          <w:rPr>
                            <w:sz w:val="13"/>
                          </w:rPr>
                        </w:pPr>
                        <w:r>
                          <w:rPr>
                            <w:color w:val="231F20"/>
                            <w:w w:val="96"/>
                            <w:sz w:val="13"/>
                          </w:rPr>
                          <w:t>0</w:t>
                        </w:r>
                      </w:p>
                    </w:tc>
                    <w:tc>
                      <w:tcPr>
                        <w:tcW w:w="450" w:type="dxa"/>
                      </w:tcPr>
                      <w:p>
                        <w:pPr>
                          <w:pStyle w:val="TableParagraph"/>
                          <w:spacing w:before="79"/>
                          <w:ind w:right="13"/>
                          <w:rPr>
                            <w:sz w:val="13"/>
                          </w:rPr>
                        </w:pPr>
                        <w:r>
                          <w:rPr>
                            <w:color w:val="231F20"/>
                            <w:w w:val="96"/>
                            <w:sz w:val="13"/>
                          </w:rPr>
                          <w:t>0</w:t>
                        </w:r>
                      </w:p>
                    </w:tc>
                    <w:tc>
                      <w:tcPr>
                        <w:tcW w:w="449" w:type="dxa"/>
                      </w:tcPr>
                      <w:p>
                        <w:pPr>
                          <w:pStyle w:val="TableParagraph"/>
                          <w:spacing w:before="79"/>
                          <w:ind w:left="14"/>
                          <w:rPr>
                            <w:sz w:val="13"/>
                          </w:rPr>
                        </w:pPr>
                        <w:r>
                          <w:rPr>
                            <w:color w:val="231F20"/>
                            <w:w w:val="96"/>
                            <w:sz w:val="13"/>
                          </w:rPr>
                          <w:t>0</w:t>
                        </w:r>
                      </w:p>
                    </w:tc>
                    <w:tc>
                      <w:tcPr>
                        <w:tcW w:w="480" w:type="dxa"/>
                      </w:tcPr>
                      <w:p>
                        <w:pPr>
                          <w:pStyle w:val="TableParagraph"/>
                          <w:spacing w:before="79"/>
                          <w:ind w:left="15"/>
                          <w:rPr>
                            <w:sz w:val="13"/>
                          </w:rPr>
                        </w:pPr>
                        <w:r>
                          <w:rPr>
                            <w:color w:val="231F20"/>
                            <w:w w:val="96"/>
                            <w:sz w:val="13"/>
                          </w:rPr>
                          <w:t>0</w:t>
                        </w:r>
                      </w:p>
                    </w:tc>
                    <w:tc>
                      <w:tcPr>
                        <w:tcW w:w="465" w:type="dxa"/>
                      </w:tcPr>
                      <w:p>
                        <w:pPr>
                          <w:pStyle w:val="TableParagraph"/>
                          <w:spacing w:before="79"/>
                          <w:rPr>
                            <w:sz w:val="13"/>
                          </w:rPr>
                        </w:pPr>
                        <w:r>
                          <w:rPr>
                            <w:color w:val="231F20"/>
                            <w:w w:val="96"/>
                            <w:sz w:val="13"/>
                          </w:rPr>
                          <w:t>0</w:t>
                        </w:r>
                      </w:p>
                    </w:tc>
                    <w:tc>
                      <w:tcPr>
                        <w:tcW w:w="1860" w:type="dxa"/>
                        <w:gridSpan w:val="4"/>
                      </w:tcPr>
                      <w:p>
                        <w:pPr>
                          <w:pStyle w:val="TableParagraph"/>
                          <w:spacing w:before="79"/>
                          <w:ind w:left="61"/>
                          <w:jc w:val="left"/>
                          <w:rPr>
                            <w:sz w:val="13"/>
                          </w:rPr>
                        </w:pPr>
                        <w:r>
                          <w:rPr>
                            <w:color w:val="231F20"/>
                            <w:sz w:val="13"/>
                          </w:rPr>
                          <w:t>36,777   17,654   36,275   26,963</w:t>
                        </w:r>
                      </w:p>
                    </w:tc>
                    <w:tc>
                      <w:tcPr>
                        <w:tcW w:w="465" w:type="dxa"/>
                      </w:tcPr>
                      <w:p>
                        <w:pPr>
                          <w:pStyle w:val="TableParagraph"/>
                          <w:spacing w:before="79"/>
                          <w:ind w:left="33" w:right="33"/>
                          <w:rPr>
                            <w:sz w:val="13"/>
                          </w:rPr>
                        </w:pPr>
                        <w:r>
                          <w:rPr>
                            <w:color w:val="231F20"/>
                            <w:sz w:val="13"/>
                          </w:rPr>
                          <w:t>18,517</w:t>
                        </w:r>
                      </w:p>
                    </w:tc>
                    <w:tc>
                      <w:tcPr>
                        <w:tcW w:w="465" w:type="dxa"/>
                      </w:tcPr>
                      <w:p>
                        <w:pPr>
                          <w:pStyle w:val="TableParagraph"/>
                          <w:spacing w:before="79"/>
                          <w:ind w:left="201"/>
                          <w:jc w:val="left"/>
                          <w:rPr>
                            <w:sz w:val="13"/>
                          </w:rPr>
                        </w:pPr>
                        <w:r>
                          <w:rPr>
                            <w:color w:val="231F20"/>
                            <w:w w:val="96"/>
                            <w:sz w:val="13"/>
                          </w:rPr>
                          <w:t>5</w:t>
                        </w:r>
                      </w:p>
                    </w:tc>
                    <w:tc>
                      <w:tcPr>
                        <w:tcW w:w="465" w:type="dxa"/>
                      </w:tcPr>
                      <w:p>
                        <w:pPr>
                          <w:pStyle w:val="TableParagraph"/>
                          <w:spacing w:before="79"/>
                          <w:rPr>
                            <w:sz w:val="13"/>
                          </w:rPr>
                        </w:pPr>
                        <w:r>
                          <w:rPr>
                            <w:color w:val="231F20"/>
                            <w:w w:val="96"/>
                            <w:sz w:val="13"/>
                          </w:rPr>
                          <w:t>0</w:t>
                        </w:r>
                      </w:p>
                    </w:tc>
                    <w:tc>
                      <w:tcPr>
                        <w:tcW w:w="395" w:type="dxa"/>
                      </w:tcPr>
                      <w:p>
                        <w:pPr>
                          <w:pStyle w:val="TableParagraph"/>
                          <w:spacing w:before="79"/>
                          <w:ind w:right="129"/>
                          <w:jc w:val="right"/>
                          <w:rPr>
                            <w:sz w:val="13"/>
                          </w:rPr>
                        </w:pPr>
                        <w:r>
                          <w:rPr>
                            <w:color w:val="231F20"/>
                            <w:w w:val="96"/>
                            <w:sz w:val="13"/>
                          </w:rPr>
                          <w:t>0</w:t>
                        </w:r>
                      </w:p>
                    </w:tc>
                    <w:tc>
                      <w:tcPr>
                        <w:tcW w:w="536" w:type="dxa"/>
                      </w:tcPr>
                      <w:p>
                        <w:pPr>
                          <w:pStyle w:val="TableParagraph"/>
                          <w:spacing w:before="79"/>
                          <w:ind w:left="68"/>
                          <w:rPr>
                            <w:sz w:val="13"/>
                          </w:rPr>
                        </w:pPr>
                        <w:r>
                          <w:rPr>
                            <w:color w:val="231F20"/>
                            <w:w w:val="96"/>
                            <w:sz w:val="13"/>
                          </w:rPr>
                          <w:t>0</w:t>
                        </w:r>
                      </w:p>
                    </w:tc>
                  </w:tr>
                  <w:tr>
                    <w:trPr>
                      <w:trHeight w:val="396" w:hRule="exact"/>
                    </w:trPr>
                    <w:tc>
                      <w:tcPr>
                        <w:tcW w:w="11883" w:type="dxa"/>
                        <w:gridSpan w:val="23"/>
                      </w:tcPr>
                      <w:p>
                        <w:pPr>
                          <w:pStyle w:val="TableParagraph"/>
                          <w:spacing w:before="9"/>
                          <w:jc w:val="left"/>
                          <w:rPr>
                            <w:sz w:val="14"/>
                          </w:rPr>
                        </w:pPr>
                      </w:p>
                      <w:p>
                        <w:pPr>
                          <w:pStyle w:val="TableParagraph"/>
                          <w:tabs>
                            <w:tab w:pos="2211" w:val="left" w:leader="none"/>
                          </w:tabs>
                          <w:ind w:left="35"/>
                          <w:jc w:val="left"/>
                          <w:rPr>
                            <w:sz w:val="13"/>
                          </w:rPr>
                        </w:pPr>
                        <w:r>
                          <w:rPr>
                            <w:color w:val="231F20"/>
                            <w:sz w:val="13"/>
                          </w:rPr>
                          <w:t>camiones ligeros   </w:t>
                        </w:r>
                        <w:r>
                          <w:rPr>
                            <w:color w:val="231F20"/>
                            <w:spacing w:val="6"/>
                            <w:sz w:val="13"/>
                          </w:rPr>
                          <w:t> </w:t>
                        </w:r>
                        <w:r>
                          <w:rPr>
                            <w:color w:val="231F20"/>
                            <w:sz w:val="13"/>
                          </w:rPr>
                          <w:t>Silao,</w:t>
                        </w:r>
                        <w:r>
                          <w:rPr>
                            <w:color w:val="231F20"/>
                            <w:spacing w:val="-7"/>
                            <w:sz w:val="13"/>
                          </w:rPr>
                          <w:t> </w:t>
                        </w:r>
                        <w:r>
                          <w:rPr>
                            <w:color w:val="231F20"/>
                            <w:sz w:val="13"/>
                          </w:rPr>
                          <w:t>Guanajuato</w:t>
                          <w:tab/>
                          <w:t>5,420     8,196     7,696     6,871     9,644    11,678   11,194   48,307      </w:t>
                        </w:r>
                        <w:r>
                          <w:rPr>
                            <w:color w:val="231F20"/>
                            <w:spacing w:val="4"/>
                            <w:sz w:val="13"/>
                          </w:rPr>
                          <w:t> </w:t>
                        </w:r>
                        <w:r>
                          <w:rPr>
                            <w:color w:val="231F20"/>
                            <w:sz w:val="13"/>
                          </w:rPr>
                          <w:t>118,746 136,957 136,585 129,883 208,009 277,805 312,090 325,492 306,906 204,967 198,076 209,818 192,649</w:t>
                        </w:r>
                      </w:p>
                    </w:tc>
                  </w:tr>
                  <w:tr>
                    <w:trPr>
                      <w:trHeight w:val="276" w:hRule="exact"/>
                    </w:trPr>
                    <w:tc>
                      <w:tcPr>
                        <w:tcW w:w="1016" w:type="dxa"/>
                      </w:tcPr>
                      <w:p>
                        <w:pPr>
                          <w:pStyle w:val="TableParagraph"/>
                          <w:spacing w:before="43"/>
                          <w:ind w:left="35"/>
                          <w:jc w:val="left"/>
                          <w:rPr>
                            <w:sz w:val="13"/>
                          </w:rPr>
                        </w:pPr>
                        <w:r>
                          <w:rPr>
                            <w:color w:val="231F20"/>
                            <w:sz w:val="13"/>
                          </w:rPr>
                          <w:t>autos</w:t>
                        </w:r>
                      </w:p>
                    </w:tc>
                    <w:tc>
                      <w:tcPr>
                        <w:tcW w:w="1071" w:type="dxa"/>
                      </w:tcPr>
                      <w:p>
                        <w:pPr>
                          <w:pStyle w:val="TableParagraph"/>
                          <w:spacing w:before="43"/>
                          <w:ind w:left="48"/>
                          <w:jc w:val="left"/>
                          <w:rPr>
                            <w:sz w:val="13"/>
                          </w:rPr>
                        </w:pPr>
                        <w:r>
                          <w:rPr>
                            <w:color w:val="231F20"/>
                            <w:sz w:val="13"/>
                          </w:rPr>
                          <w:t>Toluca, Edo. Méx.</w:t>
                        </w:r>
                      </w:p>
                    </w:tc>
                    <w:tc>
                      <w:tcPr>
                        <w:tcW w:w="496" w:type="dxa"/>
                      </w:tcPr>
                      <w:p>
                        <w:pPr>
                          <w:pStyle w:val="TableParagraph"/>
                          <w:spacing w:before="43"/>
                          <w:ind w:left="64" w:right="33"/>
                          <w:rPr>
                            <w:sz w:val="13"/>
                          </w:rPr>
                        </w:pPr>
                        <w:r>
                          <w:rPr>
                            <w:color w:val="231F20"/>
                            <w:sz w:val="13"/>
                          </w:rPr>
                          <w:t>42,465</w:t>
                        </w:r>
                      </w:p>
                    </w:tc>
                    <w:tc>
                      <w:tcPr>
                        <w:tcW w:w="465" w:type="dxa"/>
                      </w:tcPr>
                      <w:p>
                        <w:pPr>
                          <w:pStyle w:val="TableParagraph"/>
                          <w:spacing w:before="43"/>
                          <w:ind w:left="33" w:right="33"/>
                          <w:rPr>
                            <w:sz w:val="13"/>
                          </w:rPr>
                        </w:pPr>
                        <w:r>
                          <w:rPr>
                            <w:color w:val="231F20"/>
                            <w:sz w:val="13"/>
                          </w:rPr>
                          <w:t>49,597</w:t>
                        </w:r>
                      </w:p>
                    </w:tc>
                    <w:tc>
                      <w:tcPr>
                        <w:tcW w:w="465" w:type="dxa"/>
                      </w:tcPr>
                      <w:p>
                        <w:pPr>
                          <w:pStyle w:val="TableParagraph"/>
                          <w:spacing w:before="43"/>
                          <w:ind w:left="33" w:right="33"/>
                          <w:rPr>
                            <w:sz w:val="13"/>
                          </w:rPr>
                        </w:pPr>
                        <w:r>
                          <w:rPr>
                            <w:color w:val="231F20"/>
                            <w:sz w:val="13"/>
                          </w:rPr>
                          <w:t>45,075</w:t>
                        </w:r>
                      </w:p>
                    </w:tc>
                    <w:tc>
                      <w:tcPr>
                        <w:tcW w:w="465" w:type="dxa"/>
                      </w:tcPr>
                      <w:p>
                        <w:pPr>
                          <w:pStyle w:val="TableParagraph"/>
                          <w:spacing w:before="43"/>
                          <w:ind w:left="33" w:right="33"/>
                          <w:rPr>
                            <w:sz w:val="13"/>
                          </w:rPr>
                        </w:pPr>
                        <w:r>
                          <w:rPr>
                            <w:color w:val="231F20"/>
                            <w:sz w:val="13"/>
                          </w:rPr>
                          <w:t>51,528</w:t>
                        </w:r>
                      </w:p>
                    </w:tc>
                    <w:tc>
                      <w:tcPr>
                        <w:tcW w:w="465" w:type="dxa"/>
                      </w:tcPr>
                      <w:p>
                        <w:pPr>
                          <w:pStyle w:val="TableParagraph"/>
                          <w:spacing w:before="43"/>
                          <w:ind w:left="33" w:right="33"/>
                          <w:rPr>
                            <w:sz w:val="13"/>
                          </w:rPr>
                        </w:pPr>
                        <w:r>
                          <w:rPr>
                            <w:color w:val="231F20"/>
                            <w:sz w:val="13"/>
                          </w:rPr>
                          <w:t>38,779</w:t>
                        </w:r>
                      </w:p>
                    </w:tc>
                    <w:tc>
                      <w:tcPr>
                        <w:tcW w:w="465" w:type="dxa"/>
                      </w:tcPr>
                      <w:p>
                        <w:pPr>
                          <w:pStyle w:val="TableParagraph"/>
                          <w:spacing w:before="43"/>
                          <w:ind w:left="33" w:right="33"/>
                          <w:rPr>
                            <w:sz w:val="13"/>
                          </w:rPr>
                        </w:pPr>
                        <w:r>
                          <w:rPr>
                            <w:color w:val="231F20"/>
                            <w:sz w:val="13"/>
                          </w:rPr>
                          <w:t>44,105</w:t>
                        </w:r>
                      </w:p>
                    </w:tc>
                    <w:tc>
                      <w:tcPr>
                        <w:tcW w:w="465" w:type="dxa"/>
                      </w:tcPr>
                      <w:p>
                        <w:pPr>
                          <w:pStyle w:val="TableParagraph"/>
                          <w:spacing w:before="43"/>
                          <w:ind w:left="33" w:right="33"/>
                          <w:rPr>
                            <w:sz w:val="13"/>
                          </w:rPr>
                        </w:pPr>
                        <w:r>
                          <w:rPr>
                            <w:color w:val="231F20"/>
                            <w:sz w:val="13"/>
                          </w:rPr>
                          <w:t>24,474</w:t>
                        </w:r>
                      </w:p>
                    </w:tc>
                    <w:tc>
                      <w:tcPr>
                        <w:tcW w:w="480" w:type="dxa"/>
                      </w:tcPr>
                      <w:p>
                        <w:pPr>
                          <w:pStyle w:val="TableParagraph"/>
                          <w:spacing w:before="43"/>
                          <w:ind w:right="106"/>
                          <w:jc w:val="right"/>
                          <w:rPr>
                            <w:sz w:val="13"/>
                          </w:rPr>
                        </w:pPr>
                        <w:r>
                          <w:rPr>
                            <w:color w:val="231F20"/>
                            <w:w w:val="95"/>
                            <w:sz w:val="13"/>
                          </w:rPr>
                          <w:t>1,905</w:t>
                        </w:r>
                      </w:p>
                    </w:tc>
                    <w:tc>
                      <w:tcPr>
                        <w:tcW w:w="450" w:type="dxa"/>
                      </w:tcPr>
                      <w:p>
                        <w:pPr>
                          <w:pStyle w:val="TableParagraph"/>
                          <w:spacing w:before="43"/>
                          <w:ind w:left="50" w:right="64"/>
                          <w:rPr>
                            <w:sz w:val="13"/>
                          </w:rPr>
                        </w:pPr>
                        <w:r>
                          <w:rPr>
                            <w:color w:val="231F20"/>
                            <w:sz w:val="13"/>
                          </w:rPr>
                          <w:t>3,332</w:t>
                        </w:r>
                      </w:p>
                    </w:tc>
                    <w:tc>
                      <w:tcPr>
                        <w:tcW w:w="449" w:type="dxa"/>
                      </w:tcPr>
                      <w:p>
                        <w:pPr>
                          <w:pStyle w:val="TableParagraph"/>
                          <w:spacing w:before="43"/>
                          <w:ind w:left="63" w:right="49"/>
                          <w:rPr>
                            <w:sz w:val="13"/>
                          </w:rPr>
                        </w:pPr>
                        <w:r>
                          <w:rPr>
                            <w:color w:val="231F20"/>
                            <w:sz w:val="13"/>
                          </w:rPr>
                          <w:t>6,299</w:t>
                        </w:r>
                      </w:p>
                    </w:tc>
                    <w:tc>
                      <w:tcPr>
                        <w:tcW w:w="480" w:type="dxa"/>
                      </w:tcPr>
                      <w:p>
                        <w:pPr>
                          <w:pStyle w:val="TableParagraph"/>
                          <w:spacing w:before="43"/>
                          <w:ind w:left="48" w:right="33"/>
                          <w:rPr>
                            <w:sz w:val="13"/>
                          </w:rPr>
                        </w:pPr>
                        <w:r>
                          <w:rPr>
                            <w:color w:val="231F20"/>
                            <w:sz w:val="13"/>
                          </w:rPr>
                          <w:t>7,212</w:t>
                        </w:r>
                      </w:p>
                    </w:tc>
                    <w:tc>
                      <w:tcPr>
                        <w:tcW w:w="465" w:type="dxa"/>
                      </w:tcPr>
                      <w:p>
                        <w:pPr>
                          <w:pStyle w:val="TableParagraph"/>
                          <w:spacing w:before="43"/>
                          <w:ind w:left="33" w:right="33"/>
                          <w:rPr>
                            <w:sz w:val="13"/>
                          </w:rPr>
                        </w:pPr>
                        <w:r>
                          <w:rPr>
                            <w:color w:val="231F20"/>
                            <w:sz w:val="13"/>
                          </w:rPr>
                          <w:t>30,884</w:t>
                        </w:r>
                      </w:p>
                    </w:tc>
                    <w:tc>
                      <w:tcPr>
                        <w:tcW w:w="465" w:type="dxa"/>
                      </w:tcPr>
                      <w:p>
                        <w:pPr>
                          <w:pStyle w:val="TableParagraph"/>
                          <w:spacing w:before="43"/>
                          <w:ind w:left="61"/>
                          <w:jc w:val="left"/>
                          <w:rPr>
                            <w:sz w:val="13"/>
                          </w:rPr>
                        </w:pPr>
                        <w:r>
                          <w:rPr>
                            <w:color w:val="231F20"/>
                            <w:sz w:val="13"/>
                          </w:rPr>
                          <w:t>43,535</w:t>
                        </w:r>
                      </w:p>
                    </w:tc>
                    <w:tc>
                      <w:tcPr>
                        <w:tcW w:w="465" w:type="dxa"/>
                      </w:tcPr>
                      <w:p>
                        <w:pPr>
                          <w:pStyle w:val="TableParagraph"/>
                          <w:spacing w:before="43"/>
                          <w:ind w:left="61"/>
                          <w:jc w:val="left"/>
                          <w:rPr>
                            <w:sz w:val="13"/>
                          </w:rPr>
                        </w:pPr>
                        <w:r>
                          <w:rPr>
                            <w:color w:val="231F20"/>
                            <w:sz w:val="13"/>
                          </w:rPr>
                          <w:t>26,353</w:t>
                        </w:r>
                      </w:p>
                    </w:tc>
                    <w:tc>
                      <w:tcPr>
                        <w:tcW w:w="465" w:type="dxa"/>
                      </w:tcPr>
                      <w:p>
                        <w:pPr>
                          <w:pStyle w:val="TableParagraph"/>
                          <w:spacing w:before="43"/>
                          <w:ind w:left="33" w:right="33"/>
                          <w:rPr>
                            <w:sz w:val="13"/>
                          </w:rPr>
                        </w:pPr>
                        <w:r>
                          <w:rPr>
                            <w:color w:val="231F20"/>
                            <w:sz w:val="13"/>
                          </w:rPr>
                          <w:t>23,521</w:t>
                        </w:r>
                      </w:p>
                    </w:tc>
                    <w:tc>
                      <w:tcPr>
                        <w:tcW w:w="465" w:type="dxa"/>
                      </w:tcPr>
                      <w:p>
                        <w:pPr>
                          <w:pStyle w:val="TableParagraph"/>
                          <w:spacing w:before="43"/>
                          <w:ind w:left="33" w:right="33"/>
                          <w:rPr>
                            <w:sz w:val="13"/>
                          </w:rPr>
                        </w:pPr>
                        <w:r>
                          <w:rPr>
                            <w:color w:val="231F20"/>
                            <w:sz w:val="13"/>
                          </w:rPr>
                          <w:t>24,703</w:t>
                        </w:r>
                      </w:p>
                    </w:tc>
                    <w:tc>
                      <w:tcPr>
                        <w:tcW w:w="465" w:type="dxa"/>
                      </w:tcPr>
                      <w:p>
                        <w:pPr>
                          <w:pStyle w:val="TableParagraph"/>
                          <w:spacing w:before="43"/>
                          <w:ind w:left="33" w:right="33"/>
                          <w:rPr>
                            <w:sz w:val="13"/>
                          </w:rPr>
                        </w:pPr>
                        <w:r>
                          <w:rPr>
                            <w:color w:val="231F20"/>
                            <w:sz w:val="13"/>
                          </w:rPr>
                          <w:t>49,562</w:t>
                        </w:r>
                      </w:p>
                    </w:tc>
                    <w:tc>
                      <w:tcPr>
                        <w:tcW w:w="1861" w:type="dxa"/>
                        <w:gridSpan w:val="4"/>
                      </w:tcPr>
                      <w:p>
                        <w:pPr>
                          <w:pStyle w:val="TableParagraph"/>
                          <w:spacing w:before="43"/>
                          <w:ind w:left="61"/>
                          <w:jc w:val="left"/>
                          <w:rPr>
                            <w:sz w:val="13"/>
                          </w:rPr>
                        </w:pPr>
                        <w:r>
                          <w:rPr>
                            <w:color w:val="231F20"/>
                            <w:sz w:val="13"/>
                          </w:rPr>
                          <w:t>85,893  123,494 101,818 110,509</w:t>
                        </w:r>
                      </w:p>
                    </w:tc>
                  </w:tr>
                  <w:tr>
                    <w:trPr>
                      <w:trHeight w:val="283" w:hRule="exact"/>
                    </w:trPr>
                    <w:tc>
                      <w:tcPr>
                        <w:tcW w:w="1016" w:type="dxa"/>
                      </w:tcPr>
                      <w:p>
                        <w:pPr>
                          <w:pStyle w:val="TableParagraph"/>
                          <w:spacing w:before="50"/>
                          <w:ind w:left="35"/>
                          <w:jc w:val="left"/>
                          <w:rPr>
                            <w:sz w:val="13"/>
                          </w:rPr>
                        </w:pPr>
                        <w:r>
                          <w:rPr>
                            <w:color w:val="231F20"/>
                            <w:sz w:val="13"/>
                          </w:rPr>
                          <w:t>camiones ligeros</w:t>
                        </w:r>
                      </w:p>
                    </w:tc>
                    <w:tc>
                      <w:tcPr>
                        <w:tcW w:w="1071" w:type="dxa"/>
                      </w:tcPr>
                      <w:p>
                        <w:pPr>
                          <w:pStyle w:val="TableParagraph"/>
                          <w:spacing w:before="50"/>
                          <w:ind w:left="47"/>
                          <w:jc w:val="left"/>
                          <w:rPr>
                            <w:sz w:val="13"/>
                          </w:rPr>
                        </w:pPr>
                        <w:r>
                          <w:rPr>
                            <w:color w:val="231F20"/>
                            <w:sz w:val="13"/>
                          </w:rPr>
                          <w:t>Toluca, Edo. Méx.</w:t>
                        </w:r>
                      </w:p>
                    </w:tc>
                    <w:tc>
                      <w:tcPr>
                        <w:tcW w:w="496" w:type="dxa"/>
                      </w:tcPr>
                      <w:p>
                        <w:pPr>
                          <w:pStyle w:val="TableParagraph"/>
                          <w:spacing w:before="50"/>
                          <w:ind w:left="64" w:right="33"/>
                          <w:rPr>
                            <w:sz w:val="13"/>
                          </w:rPr>
                        </w:pPr>
                        <w:r>
                          <w:rPr>
                            <w:color w:val="231F20"/>
                            <w:sz w:val="13"/>
                          </w:rPr>
                          <w:t>27,158</w:t>
                        </w:r>
                      </w:p>
                    </w:tc>
                    <w:tc>
                      <w:tcPr>
                        <w:tcW w:w="465" w:type="dxa"/>
                      </w:tcPr>
                      <w:p>
                        <w:pPr>
                          <w:pStyle w:val="TableParagraph"/>
                          <w:spacing w:before="50"/>
                          <w:ind w:left="33" w:right="33"/>
                          <w:rPr>
                            <w:sz w:val="13"/>
                          </w:rPr>
                        </w:pPr>
                        <w:r>
                          <w:rPr>
                            <w:color w:val="231F20"/>
                            <w:sz w:val="13"/>
                          </w:rPr>
                          <w:t>41,459</w:t>
                        </w:r>
                      </w:p>
                    </w:tc>
                    <w:tc>
                      <w:tcPr>
                        <w:tcW w:w="465" w:type="dxa"/>
                      </w:tcPr>
                      <w:p>
                        <w:pPr>
                          <w:pStyle w:val="TableParagraph"/>
                          <w:spacing w:before="50"/>
                          <w:ind w:left="33" w:right="33"/>
                          <w:rPr>
                            <w:sz w:val="13"/>
                          </w:rPr>
                        </w:pPr>
                        <w:r>
                          <w:rPr>
                            <w:color w:val="231F20"/>
                            <w:sz w:val="13"/>
                          </w:rPr>
                          <w:t>54,615</w:t>
                        </w:r>
                      </w:p>
                    </w:tc>
                    <w:tc>
                      <w:tcPr>
                        <w:tcW w:w="465" w:type="dxa"/>
                      </w:tcPr>
                      <w:p>
                        <w:pPr>
                          <w:pStyle w:val="TableParagraph"/>
                          <w:spacing w:before="50"/>
                          <w:ind w:left="33" w:right="33"/>
                          <w:rPr>
                            <w:sz w:val="13"/>
                          </w:rPr>
                        </w:pPr>
                        <w:r>
                          <w:rPr>
                            <w:color w:val="231F20"/>
                            <w:sz w:val="13"/>
                          </w:rPr>
                          <w:t>55,717</w:t>
                        </w:r>
                      </w:p>
                    </w:tc>
                    <w:tc>
                      <w:tcPr>
                        <w:tcW w:w="465" w:type="dxa"/>
                      </w:tcPr>
                      <w:p>
                        <w:pPr>
                          <w:pStyle w:val="TableParagraph"/>
                          <w:spacing w:before="50"/>
                          <w:ind w:left="33" w:right="33"/>
                          <w:rPr>
                            <w:sz w:val="13"/>
                          </w:rPr>
                        </w:pPr>
                        <w:r>
                          <w:rPr>
                            <w:color w:val="231F20"/>
                            <w:sz w:val="13"/>
                          </w:rPr>
                          <w:t>56,853</w:t>
                        </w:r>
                      </w:p>
                    </w:tc>
                    <w:tc>
                      <w:tcPr>
                        <w:tcW w:w="465" w:type="dxa"/>
                      </w:tcPr>
                      <w:p>
                        <w:pPr>
                          <w:pStyle w:val="TableParagraph"/>
                          <w:spacing w:before="50"/>
                          <w:ind w:left="33" w:right="33"/>
                          <w:rPr>
                            <w:sz w:val="13"/>
                          </w:rPr>
                        </w:pPr>
                        <w:r>
                          <w:rPr>
                            <w:color w:val="231F20"/>
                            <w:sz w:val="13"/>
                          </w:rPr>
                          <w:t>31,991</w:t>
                        </w:r>
                      </w:p>
                    </w:tc>
                    <w:tc>
                      <w:tcPr>
                        <w:tcW w:w="465" w:type="dxa"/>
                      </w:tcPr>
                      <w:p>
                        <w:pPr>
                          <w:pStyle w:val="TableParagraph"/>
                          <w:spacing w:before="50"/>
                          <w:ind w:left="33" w:right="33"/>
                          <w:rPr>
                            <w:sz w:val="13"/>
                          </w:rPr>
                        </w:pPr>
                        <w:r>
                          <w:rPr>
                            <w:color w:val="231F20"/>
                            <w:sz w:val="13"/>
                          </w:rPr>
                          <w:t>33,952</w:t>
                        </w:r>
                      </w:p>
                    </w:tc>
                    <w:tc>
                      <w:tcPr>
                        <w:tcW w:w="480" w:type="dxa"/>
                      </w:tcPr>
                      <w:p>
                        <w:pPr>
                          <w:pStyle w:val="TableParagraph"/>
                          <w:spacing w:before="50"/>
                          <w:ind w:right="75"/>
                          <w:jc w:val="right"/>
                          <w:rPr>
                            <w:sz w:val="13"/>
                          </w:rPr>
                        </w:pPr>
                        <w:r>
                          <w:rPr>
                            <w:color w:val="231F20"/>
                            <w:w w:val="95"/>
                            <w:sz w:val="13"/>
                          </w:rPr>
                          <w:t>10,412</w:t>
                        </w:r>
                      </w:p>
                    </w:tc>
                    <w:tc>
                      <w:tcPr>
                        <w:tcW w:w="450" w:type="dxa"/>
                      </w:tcPr>
                      <w:p>
                        <w:pPr>
                          <w:pStyle w:val="TableParagraph"/>
                          <w:spacing w:before="50"/>
                          <w:ind w:left="50" w:right="64"/>
                          <w:rPr>
                            <w:sz w:val="13"/>
                          </w:rPr>
                        </w:pPr>
                        <w:r>
                          <w:rPr>
                            <w:color w:val="231F20"/>
                            <w:sz w:val="13"/>
                          </w:rPr>
                          <w:t>3,809</w:t>
                        </w:r>
                      </w:p>
                    </w:tc>
                    <w:tc>
                      <w:tcPr>
                        <w:tcW w:w="449" w:type="dxa"/>
                      </w:tcPr>
                      <w:p>
                        <w:pPr>
                          <w:pStyle w:val="TableParagraph"/>
                          <w:spacing w:before="50"/>
                          <w:ind w:left="63" w:right="49"/>
                          <w:rPr>
                            <w:sz w:val="13"/>
                          </w:rPr>
                        </w:pPr>
                        <w:r>
                          <w:rPr>
                            <w:color w:val="231F20"/>
                            <w:sz w:val="13"/>
                          </w:rPr>
                          <w:t>4,418</w:t>
                        </w:r>
                      </w:p>
                    </w:tc>
                    <w:tc>
                      <w:tcPr>
                        <w:tcW w:w="480" w:type="dxa"/>
                      </w:tcPr>
                      <w:p>
                        <w:pPr>
                          <w:pStyle w:val="TableParagraph"/>
                          <w:spacing w:before="50"/>
                          <w:ind w:left="48" w:right="34"/>
                          <w:rPr>
                            <w:sz w:val="13"/>
                          </w:rPr>
                        </w:pPr>
                        <w:r>
                          <w:rPr>
                            <w:color w:val="231F20"/>
                            <w:sz w:val="13"/>
                          </w:rPr>
                          <w:t>10,717</w:t>
                        </w:r>
                      </w:p>
                    </w:tc>
                    <w:tc>
                      <w:tcPr>
                        <w:tcW w:w="465" w:type="dxa"/>
                      </w:tcPr>
                      <w:p>
                        <w:pPr>
                          <w:pStyle w:val="TableParagraph"/>
                          <w:spacing w:before="50"/>
                          <w:ind w:left="33" w:right="33"/>
                          <w:rPr>
                            <w:sz w:val="13"/>
                          </w:rPr>
                        </w:pPr>
                        <w:r>
                          <w:rPr>
                            <w:color w:val="231F20"/>
                            <w:sz w:val="13"/>
                          </w:rPr>
                          <w:t>12,961</w:t>
                        </w:r>
                      </w:p>
                    </w:tc>
                    <w:tc>
                      <w:tcPr>
                        <w:tcW w:w="465" w:type="dxa"/>
                      </w:tcPr>
                      <w:p>
                        <w:pPr>
                          <w:pStyle w:val="TableParagraph"/>
                          <w:spacing w:before="50"/>
                          <w:ind w:left="61"/>
                          <w:jc w:val="left"/>
                          <w:rPr>
                            <w:sz w:val="13"/>
                          </w:rPr>
                        </w:pPr>
                        <w:r>
                          <w:rPr>
                            <w:color w:val="231F20"/>
                            <w:sz w:val="13"/>
                          </w:rPr>
                          <w:t>10,496</w:t>
                        </w:r>
                      </w:p>
                    </w:tc>
                    <w:tc>
                      <w:tcPr>
                        <w:tcW w:w="465" w:type="dxa"/>
                      </w:tcPr>
                      <w:p>
                        <w:pPr>
                          <w:pStyle w:val="TableParagraph"/>
                          <w:spacing w:before="50"/>
                          <w:ind w:left="61"/>
                          <w:jc w:val="left"/>
                          <w:rPr>
                            <w:sz w:val="13"/>
                          </w:rPr>
                        </w:pPr>
                        <w:r>
                          <w:rPr>
                            <w:color w:val="231F20"/>
                            <w:sz w:val="13"/>
                          </w:rPr>
                          <w:t>11,381</w:t>
                        </w:r>
                      </w:p>
                    </w:tc>
                    <w:tc>
                      <w:tcPr>
                        <w:tcW w:w="465" w:type="dxa"/>
                      </w:tcPr>
                      <w:p>
                        <w:pPr>
                          <w:pStyle w:val="TableParagraph"/>
                          <w:spacing w:before="50"/>
                          <w:ind w:left="33" w:right="33"/>
                          <w:rPr>
                            <w:sz w:val="13"/>
                          </w:rPr>
                        </w:pPr>
                        <w:r>
                          <w:rPr>
                            <w:color w:val="231F20"/>
                            <w:sz w:val="13"/>
                          </w:rPr>
                          <w:t>15,064</w:t>
                        </w:r>
                      </w:p>
                    </w:tc>
                    <w:tc>
                      <w:tcPr>
                        <w:tcW w:w="465" w:type="dxa"/>
                      </w:tcPr>
                      <w:p>
                        <w:pPr>
                          <w:pStyle w:val="TableParagraph"/>
                          <w:spacing w:before="50"/>
                          <w:ind w:left="33" w:right="33"/>
                          <w:rPr>
                            <w:sz w:val="13"/>
                          </w:rPr>
                        </w:pPr>
                        <w:r>
                          <w:rPr>
                            <w:color w:val="231F20"/>
                            <w:sz w:val="13"/>
                          </w:rPr>
                          <w:t>9,874</w:t>
                        </w:r>
                      </w:p>
                    </w:tc>
                    <w:tc>
                      <w:tcPr>
                        <w:tcW w:w="465" w:type="dxa"/>
                      </w:tcPr>
                      <w:p>
                        <w:pPr>
                          <w:pStyle w:val="TableParagraph"/>
                          <w:spacing w:before="50"/>
                          <w:ind w:left="33" w:right="33"/>
                          <w:rPr>
                            <w:sz w:val="13"/>
                          </w:rPr>
                        </w:pPr>
                        <w:r>
                          <w:rPr>
                            <w:color w:val="231F20"/>
                            <w:sz w:val="13"/>
                          </w:rPr>
                          <w:t>17,955</w:t>
                        </w:r>
                      </w:p>
                    </w:tc>
                    <w:tc>
                      <w:tcPr>
                        <w:tcW w:w="1861" w:type="dxa"/>
                        <w:gridSpan w:val="4"/>
                      </w:tcPr>
                      <w:p>
                        <w:pPr>
                          <w:pStyle w:val="TableParagraph"/>
                          <w:spacing w:before="50"/>
                          <w:ind w:left="61"/>
                          <w:jc w:val="left"/>
                          <w:rPr>
                            <w:sz w:val="13"/>
                          </w:rPr>
                        </w:pPr>
                        <w:r>
                          <w:rPr>
                            <w:color w:val="231F20"/>
                            <w:sz w:val="13"/>
                          </w:rPr>
                          <w:t>65,053  113,273  82,498  109,941</w:t>
                        </w:r>
                      </w:p>
                    </w:tc>
                  </w:tr>
                  <w:tr>
                    <w:trPr>
                      <w:trHeight w:val="267" w:hRule="exact"/>
                    </w:trPr>
                    <w:tc>
                      <w:tcPr>
                        <w:tcW w:w="1016" w:type="dxa"/>
                        <w:tcBorders>
                          <w:bottom w:val="single" w:sz="4" w:space="0" w:color="231F20"/>
                        </w:tcBorders>
                      </w:tcPr>
                      <w:p>
                        <w:pPr>
                          <w:pStyle w:val="TableParagraph"/>
                          <w:spacing w:before="50"/>
                          <w:ind w:left="35"/>
                          <w:jc w:val="left"/>
                          <w:rPr>
                            <w:sz w:val="13"/>
                          </w:rPr>
                        </w:pPr>
                        <w:r>
                          <w:rPr>
                            <w:color w:val="231F20"/>
                            <w:sz w:val="13"/>
                          </w:rPr>
                          <w:t>camiones pesados</w:t>
                        </w:r>
                      </w:p>
                    </w:tc>
                    <w:tc>
                      <w:tcPr>
                        <w:tcW w:w="1071" w:type="dxa"/>
                        <w:tcBorders>
                          <w:bottom w:val="single" w:sz="4" w:space="0" w:color="231F20"/>
                        </w:tcBorders>
                      </w:tcPr>
                      <w:p>
                        <w:pPr>
                          <w:pStyle w:val="TableParagraph"/>
                          <w:spacing w:before="50"/>
                          <w:ind w:left="49"/>
                          <w:jc w:val="left"/>
                          <w:rPr>
                            <w:sz w:val="13"/>
                          </w:rPr>
                        </w:pPr>
                        <w:r>
                          <w:rPr>
                            <w:color w:val="231F20"/>
                            <w:sz w:val="13"/>
                          </w:rPr>
                          <w:t>Toluca, Edo. Méx.</w:t>
                        </w:r>
                      </w:p>
                    </w:tc>
                    <w:tc>
                      <w:tcPr>
                        <w:tcW w:w="496" w:type="dxa"/>
                        <w:tcBorders>
                          <w:bottom w:val="single" w:sz="4" w:space="0" w:color="231F20"/>
                        </w:tcBorders>
                      </w:tcPr>
                      <w:p>
                        <w:pPr>
                          <w:pStyle w:val="TableParagraph"/>
                          <w:spacing w:before="50"/>
                          <w:ind w:left="34"/>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0</w:t>
                        </w:r>
                      </w:p>
                    </w:tc>
                    <w:tc>
                      <w:tcPr>
                        <w:tcW w:w="465" w:type="dxa"/>
                        <w:tcBorders>
                          <w:bottom w:val="single" w:sz="4" w:space="0" w:color="231F20"/>
                        </w:tcBorders>
                      </w:tcPr>
                      <w:p>
                        <w:pPr>
                          <w:pStyle w:val="TableParagraph"/>
                          <w:spacing w:before="50"/>
                          <w:ind w:left="3"/>
                          <w:rPr>
                            <w:sz w:val="13"/>
                          </w:rPr>
                        </w:pPr>
                        <w:r>
                          <w:rPr>
                            <w:color w:val="231F20"/>
                            <w:w w:val="96"/>
                            <w:sz w:val="13"/>
                          </w:rPr>
                          <w:t>5</w:t>
                        </w:r>
                      </w:p>
                    </w:tc>
                    <w:tc>
                      <w:tcPr>
                        <w:tcW w:w="480" w:type="dxa"/>
                        <w:tcBorders>
                          <w:bottom w:val="single" w:sz="4" w:space="0" w:color="231F20"/>
                        </w:tcBorders>
                      </w:tcPr>
                      <w:p>
                        <w:pPr>
                          <w:pStyle w:val="TableParagraph"/>
                          <w:spacing w:before="50"/>
                          <w:ind w:right="150"/>
                          <w:jc w:val="right"/>
                          <w:rPr>
                            <w:sz w:val="13"/>
                          </w:rPr>
                        </w:pPr>
                        <w:r>
                          <w:rPr>
                            <w:color w:val="231F20"/>
                            <w:w w:val="95"/>
                            <w:sz w:val="13"/>
                          </w:rPr>
                          <w:t>416</w:t>
                        </w:r>
                      </w:p>
                    </w:tc>
                    <w:tc>
                      <w:tcPr>
                        <w:tcW w:w="450" w:type="dxa"/>
                        <w:tcBorders>
                          <w:bottom w:val="single" w:sz="4" w:space="0" w:color="231F20"/>
                        </w:tcBorders>
                      </w:tcPr>
                      <w:p>
                        <w:pPr>
                          <w:pStyle w:val="TableParagraph"/>
                          <w:spacing w:before="50"/>
                          <w:ind w:left="51" w:right="62"/>
                          <w:rPr>
                            <w:sz w:val="13"/>
                          </w:rPr>
                        </w:pPr>
                        <w:r>
                          <w:rPr>
                            <w:color w:val="231F20"/>
                            <w:sz w:val="13"/>
                          </w:rPr>
                          <w:t>1,121</w:t>
                        </w:r>
                      </w:p>
                    </w:tc>
                    <w:tc>
                      <w:tcPr>
                        <w:tcW w:w="449" w:type="dxa"/>
                        <w:tcBorders>
                          <w:bottom w:val="single" w:sz="4" w:space="0" w:color="231F20"/>
                        </w:tcBorders>
                      </w:tcPr>
                      <w:p>
                        <w:pPr>
                          <w:pStyle w:val="TableParagraph"/>
                          <w:spacing w:before="50"/>
                          <w:ind w:left="65" w:right="48"/>
                          <w:rPr>
                            <w:sz w:val="13"/>
                          </w:rPr>
                        </w:pPr>
                        <w:r>
                          <w:rPr>
                            <w:color w:val="231F20"/>
                            <w:sz w:val="13"/>
                          </w:rPr>
                          <w:t>1,415</w:t>
                        </w:r>
                      </w:p>
                    </w:tc>
                    <w:tc>
                      <w:tcPr>
                        <w:tcW w:w="480" w:type="dxa"/>
                        <w:tcBorders>
                          <w:bottom w:val="single" w:sz="4" w:space="0" w:color="231F20"/>
                        </w:tcBorders>
                      </w:tcPr>
                      <w:p>
                        <w:pPr>
                          <w:pStyle w:val="TableParagraph"/>
                          <w:spacing w:before="50"/>
                          <w:ind w:left="48" w:right="31"/>
                          <w:rPr>
                            <w:sz w:val="13"/>
                          </w:rPr>
                        </w:pPr>
                        <w:r>
                          <w:rPr>
                            <w:color w:val="231F20"/>
                            <w:sz w:val="13"/>
                          </w:rPr>
                          <w:t>1,512</w:t>
                        </w:r>
                      </w:p>
                    </w:tc>
                    <w:tc>
                      <w:tcPr>
                        <w:tcW w:w="465" w:type="dxa"/>
                        <w:tcBorders>
                          <w:bottom w:val="single" w:sz="4" w:space="0" w:color="231F20"/>
                        </w:tcBorders>
                      </w:tcPr>
                      <w:p>
                        <w:pPr>
                          <w:pStyle w:val="TableParagraph"/>
                          <w:spacing w:before="50"/>
                          <w:ind w:left="33" w:right="30"/>
                          <w:rPr>
                            <w:sz w:val="13"/>
                          </w:rPr>
                        </w:pPr>
                        <w:r>
                          <w:rPr>
                            <w:color w:val="231F20"/>
                            <w:sz w:val="13"/>
                          </w:rPr>
                          <w:t>3,495</w:t>
                        </w:r>
                      </w:p>
                    </w:tc>
                    <w:tc>
                      <w:tcPr>
                        <w:tcW w:w="465" w:type="dxa"/>
                        <w:tcBorders>
                          <w:bottom w:val="single" w:sz="4" w:space="0" w:color="231F20"/>
                        </w:tcBorders>
                      </w:tcPr>
                      <w:p>
                        <w:pPr>
                          <w:pStyle w:val="TableParagraph"/>
                          <w:spacing w:before="50"/>
                          <w:ind w:left="94"/>
                          <w:jc w:val="left"/>
                          <w:rPr>
                            <w:sz w:val="13"/>
                          </w:rPr>
                        </w:pPr>
                        <w:r>
                          <w:rPr>
                            <w:color w:val="231F20"/>
                            <w:sz w:val="13"/>
                          </w:rPr>
                          <w:t>1,884</w:t>
                        </w:r>
                      </w:p>
                    </w:tc>
                    <w:tc>
                      <w:tcPr>
                        <w:tcW w:w="465" w:type="dxa"/>
                        <w:tcBorders>
                          <w:bottom w:val="single" w:sz="4" w:space="0" w:color="231F20"/>
                        </w:tcBorders>
                      </w:tcPr>
                      <w:p>
                        <w:pPr>
                          <w:pStyle w:val="TableParagraph"/>
                          <w:spacing w:before="50"/>
                          <w:ind w:left="94"/>
                          <w:jc w:val="left"/>
                          <w:rPr>
                            <w:sz w:val="13"/>
                          </w:rPr>
                        </w:pPr>
                        <w:r>
                          <w:rPr>
                            <w:color w:val="231F20"/>
                            <w:sz w:val="13"/>
                          </w:rPr>
                          <w:t>2,006</w:t>
                        </w:r>
                      </w:p>
                    </w:tc>
                    <w:tc>
                      <w:tcPr>
                        <w:tcW w:w="465" w:type="dxa"/>
                        <w:tcBorders>
                          <w:bottom w:val="single" w:sz="4" w:space="0" w:color="231F20"/>
                        </w:tcBorders>
                      </w:tcPr>
                      <w:p>
                        <w:pPr>
                          <w:pStyle w:val="TableParagraph"/>
                          <w:spacing w:before="50"/>
                          <w:ind w:left="33" w:right="31"/>
                          <w:rPr>
                            <w:sz w:val="13"/>
                          </w:rPr>
                        </w:pPr>
                        <w:r>
                          <w:rPr>
                            <w:color w:val="231F20"/>
                            <w:sz w:val="13"/>
                          </w:rPr>
                          <w:t>2,392</w:t>
                        </w:r>
                      </w:p>
                    </w:tc>
                    <w:tc>
                      <w:tcPr>
                        <w:tcW w:w="465" w:type="dxa"/>
                        <w:tcBorders>
                          <w:bottom w:val="single" w:sz="4" w:space="0" w:color="231F20"/>
                        </w:tcBorders>
                      </w:tcPr>
                      <w:p>
                        <w:pPr>
                          <w:pStyle w:val="TableParagraph"/>
                          <w:spacing w:before="50"/>
                          <w:ind w:left="33" w:right="31"/>
                          <w:rPr>
                            <w:sz w:val="13"/>
                          </w:rPr>
                        </w:pPr>
                        <w:r>
                          <w:rPr>
                            <w:color w:val="231F20"/>
                            <w:sz w:val="13"/>
                          </w:rPr>
                          <w:t>3,029</w:t>
                        </w:r>
                      </w:p>
                    </w:tc>
                    <w:tc>
                      <w:tcPr>
                        <w:tcW w:w="465" w:type="dxa"/>
                        <w:tcBorders>
                          <w:bottom w:val="single" w:sz="4" w:space="0" w:color="231F20"/>
                        </w:tcBorders>
                      </w:tcPr>
                      <w:p>
                        <w:pPr>
                          <w:pStyle w:val="TableParagraph"/>
                          <w:spacing w:before="50"/>
                          <w:ind w:left="33" w:right="31"/>
                          <w:rPr>
                            <w:sz w:val="13"/>
                          </w:rPr>
                        </w:pPr>
                        <w:r>
                          <w:rPr>
                            <w:color w:val="231F20"/>
                            <w:sz w:val="13"/>
                          </w:rPr>
                          <w:t>2,017</w:t>
                        </w:r>
                      </w:p>
                    </w:tc>
                    <w:tc>
                      <w:tcPr>
                        <w:tcW w:w="1861" w:type="dxa"/>
                        <w:gridSpan w:val="4"/>
                        <w:tcBorders>
                          <w:bottom w:val="single" w:sz="4" w:space="0" w:color="231F20"/>
                        </w:tcBorders>
                      </w:tcPr>
                      <w:p>
                        <w:pPr>
                          <w:pStyle w:val="TableParagraph"/>
                          <w:spacing w:before="50"/>
                          <w:ind w:left="94"/>
                          <w:jc w:val="left"/>
                          <w:rPr>
                            <w:sz w:val="13"/>
                          </w:rPr>
                        </w:pPr>
                        <w:r>
                          <w:rPr>
                            <w:color w:val="231F20"/>
                            <w:sz w:val="13"/>
                          </w:rPr>
                          <w:t>2,701     2,126     2,794     1,440</w:t>
                        </w:r>
                      </w:p>
                    </w:tc>
                  </w:tr>
                </w:tbl>
                <w:p>
                  <w:pPr>
                    <w:pStyle w:val="BodyText"/>
                  </w:pPr>
                </w:p>
              </w:txbxContent>
            </v:textbox>
            <w10:wrap type="none"/>
          </v:shape>
        </w:pict>
      </w:r>
      <w:r>
        <w:rPr>
          <w:color w:val="231F20"/>
          <w:sz w:val="13"/>
        </w:rPr>
        <w:t>Coahuila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72"/>
        <w:ind w:left="159" w:right="0" w:firstLine="0"/>
        <w:jc w:val="left"/>
        <w:rPr>
          <w:sz w:val="20"/>
        </w:rPr>
      </w:pPr>
      <w:r>
        <w:rPr>
          <w:rFonts w:ascii="Palatino Linotype" w:hAnsi="Palatino Linotype"/>
          <w:i/>
          <w:color w:val="231F20"/>
          <w:sz w:val="20"/>
        </w:rPr>
        <w:t>Fuente: </w:t>
      </w:r>
      <w:r>
        <w:rPr>
          <w:color w:val="231F20"/>
          <w:sz w:val="20"/>
        </w:rPr>
        <w:t>Elaboración propia con datos de AMIA (2009).</w:t>
      </w:r>
    </w:p>
    <w:p>
      <w:pPr>
        <w:spacing w:after="0"/>
        <w:jc w:val="left"/>
        <w:rPr>
          <w:sz w:val="20"/>
        </w:rPr>
        <w:sectPr>
          <w:type w:val="continuous"/>
          <w:pgSz w:w="13040" w:h="9640" w:orient="landscape"/>
          <w:pgMar w:top="1200" w:bottom="280" w:left="400" w:right="520"/>
        </w:sectPr>
      </w:pPr>
    </w:p>
    <w:p>
      <w:pPr>
        <w:pStyle w:val="BodyText"/>
        <w:rPr>
          <w:sz w:val="20"/>
        </w:rPr>
      </w:pPr>
    </w:p>
    <w:p>
      <w:pPr>
        <w:pStyle w:val="BodyText"/>
        <w:spacing w:before="3"/>
        <w:rPr>
          <w:sz w:val="17"/>
        </w:rPr>
      </w:pPr>
    </w:p>
    <w:p>
      <w:pPr>
        <w:pStyle w:val="BodyText"/>
        <w:spacing w:line="278" w:lineRule="auto"/>
        <w:ind w:left="103" w:right="711"/>
        <w:jc w:val="both"/>
      </w:pPr>
      <w:r>
        <w:rPr>
          <w:color w:val="231F20"/>
        </w:rPr>
        <w:t>La evidencia deja observar que las entidades de la región norte del país se han con- vertido en importantes polos de crecimiento para la industria automotriz, mientras que</w:t>
      </w:r>
      <w:r>
        <w:rPr>
          <w:color w:val="231F20"/>
          <w:spacing w:val="-5"/>
        </w:rPr>
        <w:t> </w:t>
      </w:r>
      <w:r>
        <w:rPr>
          <w:color w:val="231F20"/>
        </w:rPr>
        <w:t>las</w:t>
      </w:r>
      <w:r>
        <w:rPr>
          <w:color w:val="231F20"/>
          <w:spacing w:val="-5"/>
        </w:rPr>
        <w:t> </w:t>
      </w:r>
      <w:r>
        <w:rPr>
          <w:color w:val="231F20"/>
        </w:rPr>
        <w:t>del</w:t>
      </w:r>
      <w:r>
        <w:rPr>
          <w:color w:val="231F20"/>
          <w:spacing w:val="-5"/>
        </w:rPr>
        <w:t> </w:t>
      </w:r>
      <w:r>
        <w:rPr>
          <w:color w:val="231F20"/>
        </w:rPr>
        <w:t>centro,</w:t>
      </w:r>
      <w:r>
        <w:rPr>
          <w:color w:val="231F20"/>
          <w:spacing w:val="-5"/>
        </w:rPr>
        <w:t> </w:t>
      </w:r>
      <w:r>
        <w:rPr>
          <w:color w:val="231F20"/>
        </w:rPr>
        <w:t>específicamente</w:t>
      </w:r>
      <w:r>
        <w:rPr>
          <w:color w:val="231F20"/>
          <w:spacing w:val="-5"/>
        </w:rPr>
        <w:t> </w:t>
      </w:r>
      <w:r>
        <w:rPr>
          <w:color w:val="231F20"/>
        </w:rPr>
        <w:t>las</w:t>
      </w:r>
      <w:r>
        <w:rPr>
          <w:color w:val="231F20"/>
          <w:spacing w:val="-5"/>
        </w:rPr>
        <w:t> </w:t>
      </w:r>
      <w:r>
        <w:rPr>
          <w:color w:val="231F20"/>
        </w:rPr>
        <w:t>del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Distrito</w:t>
      </w:r>
      <w:r>
        <w:rPr>
          <w:color w:val="231F20"/>
          <w:spacing w:val="-5"/>
        </w:rPr>
        <w:t> </w:t>
      </w:r>
      <w:r>
        <w:rPr>
          <w:color w:val="231F20"/>
        </w:rPr>
        <w:t>Federal,</w:t>
      </w:r>
      <w:r>
        <w:rPr>
          <w:color w:val="231F20"/>
          <w:spacing w:val="-5"/>
        </w:rPr>
        <w:t> </w:t>
      </w:r>
      <w:r>
        <w:rPr>
          <w:color w:val="231F20"/>
        </w:rPr>
        <w:t>han disminuido su participación en esta</w:t>
      </w:r>
      <w:r>
        <w:rPr>
          <w:color w:val="231F20"/>
          <w:spacing w:val="31"/>
        </w:rPr>
        <w:t> </w:t>
      </w:r>
      <w:r>
        <w:rPr>
          <w:color w:val="231F20"/>
        </w:rPr>
        <w:t>industria.</w:t>
      </w:r>
    </w:p>
    <w:p>
      <w:pPr>
        <w:pStyle w:val="BodyText"/>
        <w:spacing w:line="278" w:lineRule="auto" w:before="1"/>
        <w:ind w:left="103" w:right="710" w:firstLine="396"/>
        <w:jc w:val="both"/>
      </w:pPr>
      <w:r>
        <w:rPr>
          <w:color w:val="231F20"/>
        </w:rPr>
        <w:t>En</w:t>
      </w:r>
      <w:r>
        <w:rPr>
          <w:color w:val="231F20"/>
          <w:spacing w:val="-8"/>
        </w:rPr>
        <w:t> </w:t>
      </w:r>
      <w:r>
        <w:rPr>
          <w:color w:val="231F20"/>
        </w:rPr>
        <w:t>cuanto</w:t>
      </w:r>
      <w:r>
        <w:rPr>
          <w:color w:val="231F20"/>
          <w:spacing w:val="-8"/>
        </w:rPr>
        <w:t> </w:t>
      </w:r>
      <w:r>
        <w:rPr>
          <w:color w:val="231F20"/>
        </w:rPr>
        <w:t>al</w:t>
      </w:r>
      <w:r>
        <w:rPr>
          <w:color w:val="231F20"/>
          <w:spacing w:val="-8"/>
        </w:rPr>
        <w:t> </w:t>
      </w:r>
      <w:r>
        <w:rPr>
          <w:color w:val="231F20"/>
        </w:rPr>
        <w:t>empleo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automotriz,</w:t>
      </w:r>
      <w:r>
        <w:rPr>
          <w:color w:val="231F20"/>
          <w:spacing w:val="-8"/>
        </w:rPr>
        <w:t> </w:t>
      </w:r>
      <w:r>
        <w:rPr>
          <w:color w:val="231F20"/>
        </w:rPr>
        <w:t>también</w:t>
      </w:r>
      <w:r>
        <w:rPr>
          <w:color w:val="231F20"/>
          <w:spacing w:val="-8"/>
        </w:rPr>
        <w:t> </w:t>
      </w:r>
      <w:r>
        <w:rPr>
          <w:color w:val="231F20"/>
        </w:rPr>
        <w:t>se</w:t>
      </w:r>
      <w:r>
        <w:rPr>
          <w:color w:val="231F20"/>
          <w:spacing w:val="-8"/>
        </w:rPr>
        <w:t> </w:t>
      </w:r>
      <w:r>
        <w:rPr>
          <w:color w:val="231F20"/>
        </w:rPr>
        <w:t>refleja</w:t>
      </w:r>
      <w:r>
        <w:rPr>
          <w:color w:val="231F20"/>
          <w:spacing w:val="-8"/>
        </w:rPr>
        <w:t> </w:t>
      </w:r>
      <w:r>
        <w:rPr>
          <w:color w:val="231F20"/>
        </w:rPr>
        <w:t>un</w:t>
      </w:r>
      <w:r>
        <w:rPr>
          <w:color w:val="231F20"/>
          <w:spacing w:val="-8"/>
        </w:rPr>
        <w:t> </w:t>
      </w:r>
      <w:r>
        <w:rPr>
          <w:color w:val="231F20"/>
        </w:rPr>
        <w:t>cambio</w:t>
      </w:r>
      <w:r>
        <w:rPr>
          <w:color w:val="231F20"/>
          <w:spacing w:val="-8"/>
        </w:rPr>
        <w:t> </w:t>
      </w:r>
      <w:r>
        <w:rPr>
          <w:color w:val="231F20"/>
        </w:rPr>
        <w:t>signifi- cativo</w:t>
      </w:r>
      <w:r>
        <w:rPr>
          <w:color w:val="231F20"/>
          <w:spacing w:val="-11"/>
        </w:rPr>
        <w:t> </w:t>
      </w:r>
      <w:r>
        <w:rPr>
          <w:color w:val="231F20"/>
        </w:rPr>
        <w:t>a</w:t>
      </w:r>
      <w:r>
        <w:rPr>
          <w:color w:val="231F20"/>
          <w:spacing w:val="-11"/>
        </w:rPr>
        <w:t> </w:t>
      </w:r>
      <w:r>
        <w:rPr>
          <w:color w:val="231F20"/>
        </w:rPr>
        <w:t>nivel</w:t>
      </w:r>
      <w:r>
        <w:rPr>
          <w:color w:val="231F20"/>
          <w:spacing w:val="-11"/>
        </w:rPr>
        <w:t> </w:t>
      </w:r>
      <w:r>
        <w:rPr>
          <w:color w:val="231F20"/>
        </w:rPr>
        <w:t>nacional.</w:t>
      </w:r>
      <w:r>
        <w:rPr>
          <w:color w:val="231F20"/>
          <w:spacing w:val="-11"/>
        </w:rPr>
        <w:t> </w:t>
      </w:r>
      <w:r>
        <w:rPr>
          <w:color w:val="231F20"/>
        </w:rPr>
        <w:t>En</w:t>
      </w:r>
      <w:r>
        <w:rPr>
          <w:color w:val="231F20"/>
          <w:spacing w:val="-11"/>
        </w:rPr>
        <w:t> </w:t>
      </w:r>
      <w:r>
        <w:rPr>
          <w:color w:val="231F20"/>
        </w:rPr>
        <w:t>las</w:t>
      </w:r>
      <w:r>
        <w:rPr>
          <w:color w:val="231F20"/>
          <w:spacing w:val="-11"/>
        </w:rPr>
        <w:t> </w:t>
      </w:r>
      <w:r>
        <w:rPr>
          <w:color w:val="231F20"/>
        </w:rPr>
        <w:t>gráficas</w:t>
      </w:r>
      <w:r>
        <w:rPr>
          <w:color w:val="231F20"/>
          <w:spacing w:val="-11"/>
        </w:rPr>
        <w:t> </w:t>
      </w:r>
      <w:r>
        <w:rPr>
          <w:color w:val="231F20"/>
          <w:spacing w:val="-7"/>
        </w:rPr>
        <w:t>IV.10</w:t>
      </w:r>
      <w:r>
        <w:rPr>
          <w:color w:val="231F20"/>
          <w:spacing w:val="-11"/>
        </w:rPr>
        <w:t> </w:t>
      </w:r>
      <w:r>
        <w:rPr>
          <w:color w:val="231F20"/>
        </w:rPr>
        <w:t>y</w:t>
      </w:r>
      <w:r>
        <w:rPr>
          <w:color w:val="231F20"/>
          <w:spacing w:val="-11"/>
        </w:rPr>
        <w:t> </w:t>
      </w:r>
      <w:r>
        <w:rPr>
          <w:color w:val="231F20"/>
          <w:spacing w:val="-7"/>
        </w:rPr>
        <w:t>IV.11</w:t>
      </w:r>
      <w:r>
        <w:rPr>
          <w:color w:val="231F20"/>
          <w:spacing w:val="-11"/>
        </w:rPr>
        <w:t> </w:t>
      </w:r>
      <w:r>
        <w:rPr>
          <w:color w:val="231F20"/>
        </w:rPr>
        <w:t>se</w:t>
      </w:r>
      <w:r>
        <w:rPr>
          <w:color w:val="231F20"/>
          <w:spacing w:val="-11"/>
        </w:rPr>
        <w:t> </w:t>
      </w:r>
      <w:r>
        <w:rPr>
          <w:color w:val="231F20"/>
        </w:rPr>
        <w:t>indica</w:t>
      </w:r>
      <w:r>
        <w:rPr>
          <w:color w:val="231F20"/>
          <w:spacing w:val="-11"/>
        </w:rPr>
        <w:t> </w:t>
      </w:r>
      <w:r>
        <w:rPr>
          <w:color w:val="231F20"/>
        </w:rPr>
        <w:t>que</w:t>
      </w:r>
      <w:r>
        <w:rPr>
          <w:color w:val="231F20"/>
          <w:spacing w:val="-11"/>
        </w:rPr>
        <w:t> </w:t>
      </w:r>
      <w:r>
        <w:rPr>
          <w:color w:val="231F20"/>
        </w:rPr>
        <w:t>en</w:t>
      </w:r>
      <w:r>
        <w:rPr>
          <w:color w:val="231F20"/>
          <w:spacing w:val="-11"/>
        </w:rPr>
        <w:t> </w:t>
      </w:r>
      <w:r>
        <w:rPr>
          <w:color w:val="231F20"/>
        </w:rPr>
        <w:t>1985</w:t>
      </w:r>
      <w:r>
        <w:rPr>
          <w:color w:val="231F20"/>
          <w:spacing w:val="-11"/>
        </w:rPr>
        <w:t> </w:t>
      </w:r>
      <w:r>
        <w:rPr>
          <w:color w:val="231F20"/>
        </w:rPr>
        <w:t>el</w:t>
      </w:r>
      <w:r>
        <w:rPr>
          <w:color w:val="231F20"/>
          <w:spacing w:val="-11"/>
        </w:rPr>
        <w:t> </w:t>
      </w:r>
      <w:r>
        <w:rPr>
          <w:color w:val="231F20"/>
        </w:rPr>
        <w:t>48%</w:t>
      </w:r>
      <w:r>
        <w:rPr>
          <w:color w:val="231F20"/>
          <w:spacing w:val="-11"/>
        </w:rPr>
        <w:t> </w:t>
      </w:r>
      <w:r>
        <w:rPr>
          <w:color w:val="231F20"/>
        </w:rPr>
        <w:t>de</w:t>
      </w:r>
      <w:r>
        <w:rPr>
          <w:color w:val="231F20"/>
          <w:spacing w:val="-11"/>
        </w:rPr>
        <w:t> </w:t>
      </w:r>
      <w:r>
        <w:rPr>
          <w:color w:val="231F20"/>
        </w:rPr>
        <w:t>la población</w:t>
      </w:r>
      <w:r>
        <w:rPr>
          <w:color w:val="231F20"/>
          <w:spacing w:val="-13"/>
        </w:rPr>
        <w:t> </w:t>
      </w:r>
      <w:r>
        <w:rPr>
          <w:color w:val="231F20"/>
        </w:rPr>
        <w:t>ocupada</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sector</w:t>
      </w:r>
      <w:r>
        <w:rPr>
          <w:color w:val="231F20"/>
          <w:spacing w:val="-13"/>
        </w:rPr>
        <w:t> </w:t>
      </w:r>
      <w:r>
        <w:rPr>
          <w:color w:val="231F20"/>
        </w:rPr>
        <w:t>se</w:t>
      </w:r>
      <w:r>
        <w:rPr>
          <w:color w:val="231F20"/>
          <w:spacing w:val="-13"/>
        </w:rPr>
        <w:t> </w:t>
      </w:r>
      <w:r>
        <w:rPr>
          <w:color w:val="231F20"/>
        </w:rPr>
        <w:t>localizaba</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región</w:t>
      </w:r>
      <w:r>
        <w:rPr>
          <w:color w:val="231F20"/>
          <w:spacing w:val="-13"/>
        </w:rPr>
        <w:t> </w:t>
      </w:r>
      <w:r>
        <w:rPr>
          <w:color w:val="231F20"/>
        </w:rPr>
        <w:t>centro</w:t>
      </w:r>
      <w:r>
        <w:rPr>
          <w:color w:val="231F20"/>
          <w:spacing w:val="-13"/>
        </w:rPr>
        <w:t> </w:t>
      </w:r>
      <w:r>
        <w:rPr>
          <w:color w:val="231F20"/>
        </w:rPr>
        <w:t>y</w:t>
      </w:r>
      <w:r>
        <w:rPr>
          <w:color w:val="231F20"/>
          <w:spacing w:val="-13"/>
        </w:rPr>
        <w:t> </w:t>
      </w:r>
      <w:r>
        <w:rPr>
          <w:color w:val="231F20"/>
        </w:rPr>
        <w:t>sólo</w:t>
      </w:r>
      <w:r>
        <w:rPr>
          <w:color w:val="231F20"/>
          <w:spacing w:val="-13"/>
        </w:rPr>
        <w:t> </w:t>
      </w:r>
      <w:r>
        <w:rPr>
          <w:color w:val="231F20"/>
        </w:rPr>
        <w:t>20%</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región norte; sin embargo, para 2009 la región centro disminuyó su participación en esta va- riable</w:t>
      </w:r>
      <w:r>
        <w:rPr>
          <w:color w:val="231F20"/>
          <w:spacing w:val="-7"/>
        </w:rPr>
        <w:t> </w:t>
      </w:r>
      <w:r>
        <w:rPr>
          <w:color w:val="231F20"/>
        </w:rPr>
        <w:t>a</w:t>
      </w:r>
      <w:r>
        <w:rPr>
          <w:color w:val="231F20"/>
          <w:spacing w:val="-7"/>
        </w:rPr>
        <w:t> </w:t>
      </w:r>
      <w:r>
        <w:rPr>
          <w:color w:val="231F20"/>
        </w:rPr>
        <w:t>11%,</w:t>
      </w:r>
      <w:r>
        <w:rPr>
          <w:color w:val="231F20"/>
          <w:spacing w:val="-7"/>
        </w:rPr>
        <w:t> </w:t>
      </w:r>
      <w:r>
        <w:rPr>
          <w:color w:val="231F20"/>
        </w:rPr>
        <w:t>mientras</w:t>
      </w:r>
      <w:r>
        <w:rPr>
          <w:color w:val="231F20"/>
          <w:spacing w:val="-7"/>
        </w:rPr>
        <w:t> </w:t>
      </w:r>
      <w:r>
        <w:rPr>
          <w:color w:val="231F20"/>
        </w:rPr>
        <w:t>que</w:t>
      </w:r>
      <w:r>
        <w:rPr>
          <w:color w:val="231F20"/>
          <w:spacing w:val="-7"/>
        </w:rPr>
        <w:t> </w:t>
      </w:r>
      <w:r>
        <w:rPr>
          <w:color w:val="231F20"/>
        </w:rPr>
        <w:t>la</w:t>
      </w:r>
      <w:r>
        <w:rPr>
          <w:color w:val="231F20"/>
          <w:spacing w:val="-7"/>
        </w:rPr>
        <w:t> </w:t>
      </w:r>
      <w:r>
        <w:rPr>
          <w:color w:val="231F20"/>
        </w:rPr>
        <w:t>región</w:t>
      </w:r>
      <w:r>
        <w:rPr>
          <w:color w:val="231F20"/>
          <w:spacing w:val="-7"/>
        </w:rPr>
        <w:t> </w:t>
      </w:r>
      <w:r>
        <w:rPr>
          <w:color w:val="231F20"/>
        </w:rPr>
        <w:t>norte</w:t>
      </w:r>
      <w:r>
        <w:rPr>
          <w:color w:val="231F20"/>
          <w:spacing w:val="-7"/>
        </w:rPr>
        <w:t> </w:t>
      </w:r>
      <w:r>
        <w:rPr>
          <w:color w:val="231F20"/>
        </w:rPr>
        <w:t>la</w:t>
      </w:r>
      <w:r>
        <w:rPr>
          <w:color w:val="231F20"/>
          <w:spacing w:val="-7"/>
        </w:rPr>
        <w:t> </w:t>
      </w:r>
      <w:r>
        <w:rPr>
          <w:color w:val="231F20"/>
        </w:rPr>
        <w:t>incrementó</w:t>
      </w:r>
      <w:r>
        <w:rPr>
          <w:color w:val="231F20"/>
          <w:spacing w:val="-7"/>
        </w:rPr>
        <w:t> </w:t>
      </w:r>
      <w:r>
        <w:rPr>
          <w:color w:val="231F20"/>
        </w:rPr>
        <w:t>a</w:t>
      </w:r>
      <w:r>
        <w:rPr>
          <w:color w:val="231F20"/>
          <w:spacing w:val="-7"/>
        </w:rPr>
        <w:t> </w:t>
      </w:r>
      <w:r>
        <w:rPr>
          <w:color w:val="231F20"/>
        </w:rPr>
        <w:t>58%.</w:t>
      </w:r>
    </w:p>
    <w:p>
      <w:pPr>
        <w:pStyle w:val="BodyText"/>
        <w:spacing w:before="5"/>
        <w:rPr>
          <w:sz w:val="22"/>
        </w:rPr>
      </w:pPr>
    </w:p>
    <w:p>
      <w:pPr>
        <w:spacing w:after="0"/>
        <w:rPr>
          <w:sz w:val="22"/>
        </w:rPr>
        <w:sectPr>
          <w:headerReference w:type="default" r:id="rId335"/>
          <w:headerReference w:type="even" r:id="rId336"/>
          <w:footerReference w:type="default" r:id="rId337"/>
          <w:footerReference w:type="even" r:id="rId338"/>
          <w:pgSz w:w="9640" w:h="13040"/>
          <w:pgMar w:header="520" w:footer="654" w:top="880" w:bottom="840" w:left="1200" w:right="420"/>
          <w:pgNumType w:start="127"/>
        </w:sectPr>
      </w:pPr>
    </w:p>
    <w:p>
      <w:pPr>
        <w:pStyle w:val="Heading4"/>
        <w:spacing w:line="280" w:lineRule="exact" w:before="31"/>
        <w:ind w:left="664" w:right="-15" w:firstLine="710"/>
        <w:jc w:val="left"/>
      </w:pPr>
      <w:r>
        <w:rPr>
          <w:color w:val="231F20"/>
        </w:rPr>
        <w:t>Gráfica </w:t>
      </w:r>
      <w:r>
        <w:rPr>
          <w:color w:val="231F20"/>
          <w:spacing w:val="-6"/>
        </w:rPr>
        <w:t>IV.10 </w:t>
      </w:r>
      <w:r>
        <w:rPr>
          <w:color w:val="231F20"/>
          <w:w w:val="95"/>
        </w:rPr>
        <w:t>Personal</w:t>
      </w:r>
      <w:r>
        <w:rPr>
          <w:color w:val="231F20"/>
          <w:spacing w:val="-33"/>
          <w:w w:val="95"/>
        </w:rPr>
        <w:t> </w:t>
      </w:r>
      <w:r>
        <w:rPr>
          <w:color w:val="231F20"/>
          <w:w w:val="95"/>
        </w:rPr>
        <w:t>ocupado</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sector automotriz</w:t>
      </w:r>
      <w:r>
        <w:rPr>
          <w:color w:val="231F20"/>
          <w:spacing w:val="-24"/>
          <w:w w:val="95"/>
        </w:rPr>
        <w:t> </w:t>
      </w:r>
      <w:r>
        <w:rPr>
          <w:color w:val="231F20"/>
          <w:w w:val="95"/>
        </w:rPr>
        <w:t>por</w:t>
      </w:r>
      <w:r>
        <w:rPr>
          <w:color w:val="231F20"/>
          <w:spacing w:val="-24"/>
          <w:w w:val="95"/>
        </w:rPr>
        <w:t> </w:t>
      </w:r>
      <w:r>
        <w:rPr>
          <w:color w:val="231F20"/>
          <w:w w:val="95"/>
        </w:rPr>
        <w:t>región,</w:t>
      </w:r>
      <w:r>
        <w:rPr>
          <w:color w:val="231F20"/>
          <w:spacing w:val="-24"/>
          <w:w w:val="95"/>
        </w:rPr>
        <w:t> </w:t>
      </w:r>
      <w:r>
        <w:rPr>
          <w:color w:val="231F20"/>
          <w:w w:val="95"/>
        </w:rPr>
        <w:t>1985</w:t>
      </w:r>
    </w:p>
    <w:p>
      <w:pPr>
        <w:spacing w:line="280" w:lineRule="exact" w:before="32"/>
        <w:ind w:left="664" w:right="1196" w:firstLine="710"/>
        <w:jc w:val="left"/>
        <w:rPr>
          <w:rFonts w:ascii="Palatino Linotype" w:hAnsi="Palatino Linotype"/>
          <w:b/>
          <w:sz w:val="21"/>
        </w:rPr>
      </w:pPr>
      <w:r>
        <w:rPr/>
        <w:br w:type="column"/>
      </w:r>
      <w:r>
        <w:rPr>
          <w:rFonts w:ascii="Palatino Linotype" w:hAnsi="Palatino Linotype"/>
          <w:b/>
          <w:color w:val="231F20"/>
          <w:sz w:val="21"/>
        </w:rPr>
        <w:t>Gráfica </w:t>
      </w:r>
      <w:r>
        <w:rPr>
          <w:rFonts w:ascii="Palatino Linotype" w:hAnsi="Palatino Linotype"/>
          <w:b/>
          <w:color w:val="231F20"/>
          <w:spacing w:val="-6"/>
          <w:sz w:val="21"/>
        </w:rPr>
        <w:t>IV.11 </w:t>
      </w:r>
      <w:r>
        <w:rPr>
          <w:rFonts w:ascii="Palatino Linotype" w:hAnsi="Palatino Linotype"/>
          <w:b/>
          <w:color w:val="231F20"/>
          <w:w w:val="95"/>
          <w:sz w:val="21"/>
        </w:rPr>
        <w:t>Personal</w:t>
      </w:r>
      <w:r>
        <w:rPr>
          <w:rFonts w:ascii="Palatino Linotype" w:hAnsi="Palatino Linotype"/>
          <w:b/>
          <w:color w:val="231F20"/>
          <w:spacing w:val="-33"/>
          <w:w w:val="95"/>
          <w:sz w:val="21"/>
        </w:rPr>
        <w:t> </w:t>
      </w:r>
      <w:r>
        <w:rPr>
          <w:rFonts w:ascii="Palatino Linotype" w:hAnsi="Palatino Linotype"/>
          <w:b/>
          <w:color w:val="231F20"/>
          <w:w w:val="95"/>
          <w:sz w:val="21"/>
        </w:rPr>
        <w:t>ocupado</w:t>
      </w:r>
      <w:r>
        <w:rPr>
          <w:rFonts w:ascii="Palatino Linotype" w:hAnsi="Palatino Linotype"/>
          <w:b/>
          <w:color w:val="231F20"/>
          <w:spacing w:val="-33"/>
          <w:w w:val="95"/>
          <w:sz w:val="21"/>
        </w:rPr>
        <w:t> </w:t>
      </w:r>
      <w:r>
        <w:rPr>
          <w:rFonts w:ascii="Palatino Linotype" w:hAnsi="Palatino Linotype"/>
          <w:b/>
          <w:color w:val="231F20"/>
          <w:w w:val="95"/>
          <w:sz w:val="21"/>
        </w:rPr>
        <w:t>en</w:t>
      </w:r>
      <w:r>
        <w:rPr>
          <w:rFonts w:ascii="Palatino Linotype" w:hAnsi="Palatino Linotype"/>
          <w:b/>
          <w:color w:val="231F20"/>
          <w:spacing w:val="-33"/>
          <w:w w:val="95"/>
          <w:sz w:val="21"/>
        </w:rPr>
        <w:t> </w:t>
      </w:r>
      <w:r>
        <w:rPr>
          <w:rFonts w:ascii="Palatino Linotype" w:hAnsi="Palatino Linotype"/>
          <w:b/>
          <w:color w:val="231F20"/>
          <w:w w:val="95"/>
          <w:sz w:val="21"/>
        </w:rPr>
        <w:t>el</w:t>
      </w:r>
      <w:r>
        <w:rPr>
          <w:rFonts w:ascii="Palatino Linotype" w:hAnsi="Palatino Linotype"/>
          <w:b/>
          <w:color w:val="231F20"/>
          <w:spacing w:val="-33"/>
          <w:w w:val="95"/>
          <w:sz w:val="21"/>
        </w:rPr>
        <w:t> </w:t>
      </w:r>
      <w:r>
        <w:rPr>
          <w:rFonts w:ascii="Palatino Linotype" w:hAnsi="Palatino Linotype"/>
          <w:b/>
          <w:color w:val="231F20"/>
          <w:w w:val="95"/>
          <w:sz w:val="21"/>
        </w:rPr>
        <w:t>sector automotriz</w:t>
      </w:r>
      <w:r>
        <w:rPr>
          <w:rFonts w:ascii="Palatino Linotype" w:hAnsi="Palatino Linotype"/>
          <w:b/>
          <w:color w:val="231F20"/>
          <w:spacing w:val="-24"/>
          <w:w w:val="95"/>
          <w:sz w:val="21"/>
        </w:rPr>
        <w:t> </w:t>
      </w:r>
      <w:r>
        <w:rPr>
          <w:rFonts w:ascii="Palatino Linotype" w:hAnsi="Palatino Linotype"/>
          <w:b/>
          <w:color w:val="231F20"/>
          <w:w w:val="95"/>
          <w:sz w:val="21"/>
        </w:rPr>
        <w:t>por</w:t>
      </w:r>
      <w:r>
        <w:rPr>
          <w:rFonts w:ascii="Palatino Linotype" w:hAnsi="Palatino Linotype"/>
          <w:b/>
          <w:color w:val="231F20"/>
          <w:spacing w:val="-24"/>
          <w:w w:val="95"/>
          <w:sz w:val="21"/>
        </w:rPr>
        <w:t> </w:t>
      </w:r>
      <w:r>
        <w:rPr>
          <w:rFonts w:ascii="Palatino Linotype" w:hAnsi="Palatino Linotype"/>
          <w:b/>
          <w:color w:val="231F20"/>
          <w:w w:val="95"/>
          <w:sz w:val="21"/>
        </w:rPr>
        <w:t>región,</w:t>
      </w:r>
      <w:r>
        <w:rPr>
          <w:rFonts w:ascii="Palatino Linotype" w:hAnsi="Palatino Linotype"/>
          <w:b/>
          <w:color w:val="231F20"/>
          <w:spacing w:val="-24"/>
          <w:w w:val="95"/>
          <w:sz w:val="21"/>
        </w:rPr>
        <w:t> </w:t>
      </w:r>
      <w:r>
        <w:rPr>
          <w:rFonts w:ascii="Palatino Linotype" w:hAnsi="Palatino Linotype"/>
          <w:b/>
          <w:color w:val="231F20"/>
          <w:w w:val="95"/>
          <w:sz w:val="21"/>
        </w:rPr>
        <w:t>2009</w:t>
      </w:r>
    </w:p>
    <w:p>
      <w:pPr>
        <w:spacing w:after="0" w:line="280" w:lineRule="exact"/>
        <w:jc w:val="left"/>
        <w:rPr>
          <w:rFonts w:ascii="Palatino Linotype" w:hAnsi="Palatino Linotype"/>
          <w:sz w:val="21"/>
        </w:rPr>
        <w:sectPr>
          <w:type w:val="continuous"/>
          <w:pgSz w:w="9640" w:h="13040"/>
          <w:pgMar w:top="1200" w:bottom="280" w:left="1200" w:right="420"/>
          <w:cols w:num="2" w:equalWidth="0">
            <w:col w:w="3219" w:space="371"/>
            <w:col w:w="4430"/>
          </w:cols>
        </w:sectPr>
      </w:pPr>
    </w:p>
    <w:p>
      <w:pPr>
        <w:pStyle w:val="BodyText"/>
        <w:spacing w:before="2"/>
        <w:rPr>
          <w:rFonts w:ascii="Palatino Linotype"/>
          <w:b/>
          <w:sz w:val="13"/>
        </w:rPr>
      </w:pPr>
    </w:p>
    <w:p>
      <w:pPr>
        <w:spacing w:after="0"/>
        <w:rPr>
          <w:rFonts w:ascii="Palatino Linotype"/>
          <w:sz w:val="13"/>
        </w:rPr>
        <w:sectPr>
          <w:type w:val="continuous"/>
          <w:pgSz w:w="9640" w:h="13040"/>
          <w:pgMar w:top="1200" w:bottom="280" w:left="1200" w:right="420"/>
        </w:sectPr>
      </w:pPr>
    </w:p>
    <w:p>
      <w:pPr>
        <w:pStyle w:val="BodyText"/>
        <w:rPr>
          <w:rFonts w:ascii="Palatino Linotype"/>
          <w:b/>
          <w:sz w:val="18"/>
        </w:rPr>
      </w:pPr>
    </w:p>
    <w:p>
      <w:pPr>
        <w:pStyle w:val="BodyText"/>
        <w:spacing w:before="1"/>
        <w:rPr>
          <w:rFonts w:ascii="Palatino Linotype"/>
          <w:b/>
          <w:sz w:val="24"/>
        </w:rPr>
      </w:pPr>
    </w:p>
    <w:p>
      <w:pPr>
        <w:spacing w:line="212" w:lineRule="exact" w:before="0"/>
        <w:ind w:left="521" w:right="0" w:hanging="182"/>
        <w:jc w:val="left"/>
        <w:rPr>
          <w:rFonts w:ascii="Palatino Linotype"/>
          <w:sz w:val="18"/>
        </w:rPr>
      </w:pPr>
      <w:r>
        <w:rPr>
          <w:rFonts w:ascii="Palatino Linotype"/>
          <w:color w:val="231F20"/>
          <w:w w:val="65"/>
          <w:sz w:val="18"/>
        </w:rPr>
        <w:t>Occidente </w:t>
      </w:r>
      <w:r>
        <w:rPr>
          <w:rFonts w:ascii="Palatino Linotype"/>
          <w:color w:val="231F20"/>
          <w:w w:val="80"/>
          <w:sz w:val="18"/>
        </w:rPr>
        <w:t>4%</w:t>
      </w:r>
    </w:p>
    <w:p>
      <w:pPr>
        <w:spacing w:line="212" w:lineRule="exact" w:before="132"/>
        <w:ind w:left="485" w:right="-9" w:hanging="58"/>
        <w:jc w:val="left"/>
        <w:rPr>
          <w:rFonts w:ascii="Palatino Linotype"/>
          <w:sz w:val="18"/>
        </w:rPr>
      </w:pPr>
      <w:r>
        <w:rPr/>
        <w:br w:type="column"/>
      </w:r>
      <w:r>
        <w:rPr>
          <w:rFonts w:ascii="Palatino Linotype"/>
          <w:color w:val="231F20"/>
          <w:spacing w:val="-3"/>
          <w:w w:val="65"/>
          <w:sz w:val="18"/>
        </w:rPr>
        <w:t>Puebla </w:t>
      </w:r>
      <w:r>
        <w:rPr>
          <w:rFonts w:ascii="Palatino Linotype"/>
          <w:color w:val="231F20"/>
          <w:w w:val="80"/>
          <w:sz w:val="18"/>
        </w:rPr>
        <w:t>11%</w: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11"/>
        <w:rPr>
          <w:rFonts w:ascii="Palatino Linotype"/>
          <w:sz w:val="18"/>
        </w:rPr>
      </w:pPr>
    </w:p>
    <w:p>
      <w:pPr>
        <w:spacing w:line="212" w:lineRule="exact" w:before="1"/>
        <w:ind w:left="265" w:right="-9" w:hanging="58"/>
        <w:jc w:val="left"/>
        <w:rPr>
          <w:rFonts w:ascii="Palatino Linotype"/>
          <w:sz w:val="18"/>
        </w:rPr>
      </w:pPr>
      <w:r>
        <w:rPr>
          <w:rFonts w:ascii="Palatino Linotype"/>
          <w:color w:val="231F20"/>
          <w:w w:val="65"/>
          <w:sz w:val="18"/>
        </w:rPr>
        <w:t>Centro </w:t>
      </w:r>
      <w:r>
        <w:rPr>
          <w:rFonts w:ascii="Palatino Linotype"/>
          <w:color w:val="231F20"/>
          <w:w w:val="80"/>
          <w:sz w:val="18"/>
        </w:rPr>
        <w:t>48%</w:t>
      </w:r>
    </w:p>
    <w:p>
      <w:pPr>
        <w:spacing w:line="212" w:lineRule="exact" w:before="66"/>
        <w:ind w:left="340" w:right="338" w:hanging="9"/>
        <w:jc w:val="center"/>
        <w:rPr>
          <w:rFonts w:ascii="Palatino Linotype"/>
          <w:sz w:val="18"/>
        </w:rPr>
      </w:pPr>
      <w:r>
        <w:rPr/>
        <w:br w:type="column"/>
      </w:r>
      <w:r>
        <w:rPr>
          <w:rFonts w:ascii="Palatino Linotype"/>
          <w:color w:val="231F20"/>
          <w:w w:val="80"/>
          <w:sz w:val="18"/>
        </w:rPr>
        <w:t>Otras </w:t>
      </w:r>
      <w:r>
        <w:rPr>
          <w:rFonts w:ascii="Palatino Linotype"/>
          <w:color w:val="231F20"/>
          <w:spacing w:val="-2"/>
          <w:w w:val="65"/>
          <w:sz w:val="18"/>
        </w:rPr>
        <w:t>entidades </w:t>
      </w:r>
      <w:r>
        <w:rPr>
          <w:rFonts w:ascii="Palatino Linotype"/>
          <w:color w:val="231F20"/>
          <w:w w:val="80"/>
          <w:sz w:val="18"/>
        </w:rPr>
        <w:t>9%</w:t>
      </w:r>
    </w:p>
    <w:p>
      <w:pPr>
        <w:pStyle w:val="BodyText"/>
        <w:spacing w:before="7"/>
        <w:rPr>
          <w:rFonts w:ascii="Palatino Linotype"/>
          <w:sz w:val="15"/>
        </w:rPr>
      </w:pPr>
    </w:p>
    <w:p>
      <w:pPr>
        <w:spacing w:line="212" w:lineRule="exact" w:before="1"/>
        <w:ind w:left="612" w:right="51" w:hanging="29"/>
        <w:jc w:val="left"/>
        <w:rPr>
          <w:rFonts w:ascii="Palatino Linotype"/>
          <w:sz w:val="18"/>
        </w:rPr>
      </w:pPr>
      <w:r>
        <w:rPr/>
        <w:pict>
          <v:group style="position:absolute;margin-left:87.059998pt;margin-top:-23.90583pt;width:149.7pt;height:127.2pt;mso-position-horizontal-relative:page;mso-position-vertical-relative:paragraph;z-index:-608464" coordorigin="1741,-478" coordsize="2994,2544">
            <v:shape style="position:absolute;left:1741;top:-432;width:2994;height:2497" type="#_x0000_t75" stroked="false">
              <v:imagedata r:id="rId339" o:title=""/>
            </v:shape>
            <v:shape style="position:absolute;left:2113;top:-478;width:1612;height:368" coordorigin="2113,-478" coordsize="1612,368" path="m2302,-110l2169,-176,2113,-176,2113,-189,2170,-189,2170,-182,2184,-182,2305,-123,2302,-110xm2184,-182l2170,-182,2172,-189,2184,-182xm3724,-472l3667,-472,3667,-478,3724,-478,3724,-472xm3595,-310l3587,-317,3663,-475,3667,-472,3724,-472,3724,-465,3670,-465,3595,-310xe" filled="true" fillcolor="#231f20" stroked="false">
              <v:path arrowok="t"/>
              <v:fill type="solid"/>
            </v:shape>
            <w10:wrap type="none"/>
          </v:group>
        </w:pict>
      </w:r>
      <w:r>
        <w:rPr>
          <w:rFonts w:ascii="Palatino Linotype"/>
          <w:color w:val="231F20"/>
          <w:w w:val="65"/>
          <w:sz w:val="18"/>
        </w:rPr>
        <w:t>Norte </w:t>
      </w:r>
      <w:r>
        <w:rPr>
          <w:rFonts w:ascii="Palatino Linotype"/>
          <w:color w:val="231F20"/>
          <w:w w:val="80"/>
          <w:sz w:val="18"/>
        </w:rPr>
        <w:t>20%</w: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10"/>
        <w:rPr>
          <w:rFonts w:ascii="Palatino Linotype"/>
          <w:sz w:val="23"/>
        </w:rPr>
      </w:pPr>
    </w:p>
    <w:p>
      <w:pPr>
        <w:spacing w:line="212" w:lineRule="exact" w:before="0"/>
        <w:ind w:left="838" w:right="0" w:hanging="39"/>
        <w:jc w:val="both"/>
        <w:rPr>
          <w:rFonts w:ascii="Palatino Linotype"/>
          <w:sz w:val="18"/>
        </w:rPr>
      </w:pPr>
      <w:r>
        <w:rPr>
          <w:rFonts w:ascii="Palatino Linotype"/>
          <w:color w:val="231F20"/>
          <w:w w:val="65"/>
          <w:sz w:val="18"/>
        </w:rPr>
        <w:t>Centro </w:t>
      </w:r>
      <w:r>
        <w:rPr>
          <w:rFonts w:ascii="Palatino Linotype"/>
          <w:color w:val="231F20"/>
          <w:w w:val="75"/>
          <w:sz w:val="18"/>
        </w:rPr>
        <w:t>norte </w:t>
      </w:r>
      <w:r>
        <w:rPr>
          <w:rFonts w:ascii="Palatino Linotype"/>
          <w:color w:val="231F20"/>
          <w:w w:val="80"/>
          <w:sz w:val="18"/>
        </w:rPr>
        <w:t>8%</w:t>
      </w:r>
    </w:p>
    <w:p>
      <w:pPr>
        <w:pStyle w:val="BodyText"/>
        <w:spacing w:before="5"/>
        <w:rPr>
          <w:rFonts w:ascii="Palatino Linotype"/>
          <w:sz w:val="23"/>
        </w:rPr>
      </w:pPr>
      <w:r>
        <w:rPr/>
        <w:br w:type="column"/>
      </w:r>
      <w:r>
        <w:rPr>
          <w:rFonts w:ascii="Palatino Linotype"/>
          <w:sz w:val="23"/>
        </w:rPr>
      </w:r>
    </w:p>
    <w:p>
      <w:pPr>
        <w:spacing w:before="0"/>
        <w:ind w:left="340" w:right="-11" w:firstLine="0"/>
        <w:jc w:val="left"/>
        <w:rPr>
          <w:rFonts w:ascii="Palatino Linotype"/>
          <w:sz w:val="18"/>
        </w:rPr>
      </w:pPr>
      <w:r>
        <w:rPr>
          <w:rFonts w:ascii="Palatino Linotype"/>
          <w:color w:val="231F20"/>
          <w:spacing w:val="-4"/>
          <w:w w:val="65"/>
          <w:sz w:val="18"/>
        </w:rPr>
        <w:t>Puebla</w:t>
      </w:r>
    </w:p>
    <w:p>
      <w:pPr>
        <w:pStyle w:val="BodyText"/>
        <w:spacing w:before="7"/>
        <w:rPr>
          <w:rFonts w:ascii="Palatino Linotype"/>
          <w:sz w:val="17"/>
        </w:rPr>
      </w:pPr>
      <w:r>
        <w:rPr/>
        <w:br w:type="column"/>
      </w:r>
      <w:r>
        <w:rPr>
          <w:rFonts w:ascii="Palatino Linotype"/>
          <w:sz w:val="17"/>
        </w:rPr>
      </w:r>
    </w:p>
    <w:p>
      <w:pPr>
        <w:spacing w:before="0"/>
        <w:ind w:left="340" w:right="0" w:firstLine="0"/>
        <w:jc w:val="left"/>
        <w:rPr>
          <w:rFonts w:ascii="Palatino Linotype"/>
          <w:sz w:val="18"/>
        </w:rPr>
      </w:pPr>
      <w:r>
        <w:rPr/>
        <w:pict>
          <v:group style="position:absolute;margin-left:261.028992pt;margin-top:12.572036pt;width:151.050pt;height:136.2pt;mso-position-horizontal-relative:page;mso-position-vertical-relative:paragraph;z-index:-608272" coordorigin="5221,251" coordsize="3021,2724">
            <v:shape style="position:absolute;left:5221;top:507;width:3021;height:2425" type="#_x0000_t75" stroked="false">
              <v:imagedata r:id="rId340" o:title=""/>
            </v:shape>
            <v:shape style="position:absolute;left:5901;top:383;width:1259;height:286" coordorigin="5901,383" coordsize="1259,286" path="m6038,669l5956,592,5901,592,5901,579,5957,579,5957,585,5966,585,6044,658,6038,669xm5966,585l5957,585,5960,580,5966,585xm7160,390l7104,390,7104,383,7160,383,7160,390xm6996,564l6989,555,7101,385,7104,390,7160,390,7160,396,7106,396,6996,564xe" filled="true" fillcolor="#231f20" stroked="false">
              <v:path arrowok="t"/>
              <v:fill type="solid"/>
            </v:shape>
            <v:shape style="position:absolute;left:5520;top:251;width:540;height:184" type="#_x0000_t202" filled="false" stroked="false">
              <v:textbox inset="0,0,0,0">
                <w:txbxContent>
                  <w:p>
                    <w:pPr>
                      <w:spacing w:line="183" w:lineRule="exact" w:before="0"/>
                      <w:ind w:left="0" w:right="0" w:firstLine="0"/>
                      <w:jc w:val="left"/>
                      <w:rPr>
                        <w:rFonts w:ascii="Palatino Linotype"/>
                        <w:sz w:val="18"/>
                      </w:rPr>
                    </w:pPr>
                    <w:r>
                      <w:rPr>
                        <w:rFonts w:ascii="Palatino Linotype"/>
                        <w:color w:val="231F20"/>
                        <w:w w:val="65"/>
                        <w:sz w:val="18"/>
                      </w:rPr>
                      <w:t>Occidente</w:t>
                    </w:r>
                  </w:p>
                </w:txbxContent>
              </v:textbox>
              <w10:wrap type="none"/>
            </v:shape>
            <v:shape style="position:absolute;left:5227;top:539;width:372;height:393" type="#_x0000_t202" filled="false" stroked="false">
              <v:textbox inset="0,0,0,0">
                <w:txbxContent>
                  <w:p>
                    <w:pPr>
                      <w:spacing w:line="172" w:lineRule="exact" w:before="0"/>
                      <w:ind w:left="56" w:right="-3" w:hanging="57"/>
                      <w:jc w:val="left"/>
                      <w:rPr>
                        <w:rFonts w:ascii="Palatino Linotype"/>
                        <w:sz w:val="18"/>
                      </w:rPr>
                    </w:pPr>
                    <w:r>
                      <w:rPr>
                        <w:rFonts w:ascii="Palatino Linotype"/>
                        <w:color w:val="231F20"/>
                        <w:w w:val="65"/>
                        <w:sz w:val="18"/>
                      </w:rPr>
                      <w:t>Centro</w:t>
                    </w:r>
                  </w:p>
                  <w:p>
                    <w:pPr>
                      <w:spacing w:line="221" w:lineRule="exact" w:before="0"/>
                      <w:ind w:left="56" w:right="-3" w:firstLine="0"/>
                      <w:jc w:val="left"/>
                      <w:rPr>
                        <w:rFonts w:ascii="Palatino Linotype"/>
                        <w:sz w:val="18"/>
                      </w:rPr>
                    </w:pPr>
                    <w:r>
                      <w:rPr>
                        <w:rFonts w:ascii="Palatino Linotype"/>
                        <w:color w:val="231F20"/>
                        <w:w w:val="80"/>
                        <w:sz w:val="18"/>
                      </w:rPr>
                      <w:t>11%</w:t>
                    </w:r>
                  </w:p>
                </w:txbxContent>
              </v:textbox>
              <w10:wrap type="none"/>
            </v:shape>
            <v:shape style="position:absolute;left:5698;top:461;width:162;height:184" type="#_x0000_t202" filled="false" stroked="false">
              <v:textbox inset="0,0,0,0">
                <w:txbxContent>
                  <w:p>
                    <w:pPr>
                      <w:spacing w:line="183" w:lineRule="exact" w:before="0"/>
                      <w:ind w:left="0" w:right="-15" w:firstLine="0"/>
                      <w:jc w:val="left"/>
                      <w:rPr>
                        <w:rFonts w:ascii="Palatino Linotype"/>
                        <w:sz w:val="18"/>
                      </w:rPr>
                    </w:pPr>
                    <w:r>
                      <w:rPr>
                        <w:rFonts w:ascii="Palatino Linotype"/>
                        <w:color w:val="231F20"/>
                        <w:w w:val="65"/>
                        <w:sz w:val="18"/>
                      </w:rPr>
                      <w:t>5%</w:t>
                    </w:r>
                  </w:p>
                </w:txbxContent>
              </v:textbox>
              <w10:wrap type="none"/>
            </v:shape>
            <v:shape style="position:absolute;left:6330;top:343;width:162;height:184" type="#_x0000_t202" filled="false" stroked="false">
              <v:textbox inset="0,0,0,0">
                <w:txbxContent>
                  <w:p>
                    <w:pPr>
                      <w:spacing w:line="183" w:lineRule="exact" w:before="0"/>
                      <w:ind w:left="0" w:right="-15" w:firstLine="0"/>
                      <w:jc w:val="left"/>
                      <w:rPr>
                        <w:rFonts w:ascii="Palatino Linotype"/>
                        <w:sz w:val="18"/>
                      </w:rPr>
                    </w:pPr>
                    <w:r>
                      <w:rPr>
                        <w:rFonts w:ascii="Palatino Linotype"/>
                        <w:color w:val="231F20"/>
                        <w:w w:val="65"/>
                        <w:sz w:val="18"/>
                      </w:rPr>
                      <w:t>7%</w:t>
                    </w:r>
                  </w:p>
                </w:txbxContent>
              </v:textbox>
              <w10:wrap type="none"/>
            </v:shape>
            <v:shape style="position:absolute;left:7184;top:264;width:489;height:393" type="#_x0000_t202" filled="false" stroked="false">
              <v:textbox inset="0,0,0,0">
                <w:txbxContent>
                  <w:p>
                    <w:pPr>
                      <w:spacing w:line="172" w:lineRule="exact" w:before="0"/>
                      <w:ind w:left="-1" w:right="0" w:firstLine="0"/>
                      <w:jc w:val="center"/>
                      <w:rPr>
                        <w:rFonts w:ascii="Palatino Linotype"/>
                        <w:sz w:val="18"/>
                      </w:rPr>
                    </w:pPr>
                    <w:r>
                      <w:rPr>
                        <w:rFonts w:ascii="Palatino Linotype"/>
                        <w:color w:val="231F20"/>
                        <w:spacing w:val="-2"/>
                        <w:w w:val="65"/>
                        <w:sz w:val="18"/>
                      </w:rPr>
                      <w:t>entidades</w:t>
                    </w:r>
                  </w:p>
                  <w:p>
                    <w:pPr>
                      <w:spacing w:line="221" w:lineRule="exact" w:before="0"/>
                      <w:ind w:left="121" w:right="146" w:firstLine="0"/>
                      <w:jc w:val="center"/>
                      <w:rPr>
                        <w:rFonts w:ascii="Palatino Linotype"/>
                        <w:sz w:val="18"/>
                      </w:rPr>
                    </w:pPr>
                    <w:r>
                      <w:rPr>
                        <w:rFonts w:ascii="Palatino Linotype"/>
                        <w:color w:val="231F20"/>
                        <w:w w:val="75"/>
                        <w:sz w:val="18"/>
                      </w:rPr>
                      <w:t>7%</w:t>
                    </w:r>
                  </w:p>
                </w:txbxContent>
              </v:textbox>
              <w10:wrap type="none"/>
            </v:shape>
            <v:shape style="position:absolute;left:7308;top:1678;width:312;height:393" type="#_x0000_t202" filled="false" stroked="false">
              <v:textbox inset="0,0,0,0">
                <w:txbxContent>
                  <w:p>
                    <w:pPr>
                      <w:spacing w:line="172" w:lineRule="exact" w:before="0"/>
                      <w:ind w:left="28" w:right="-10" w:hanging="28"/>
                      <w:jc w:val="left"/>
                      <w:rPr>
                        <w:rFonts w:ascii="Palatino Linotype"/>
                        <w:sz w:val="18"/>
                      </w:rPr>
                    </w:pPr>
                    <w:r>
                      <w:rPr>
                        <w:rFonts w:ascii="Palatino Linotype"/>
                        <w:color w:val="231F20"/>
                        <w:w w:val="65"/>
                        <w:sz w:val="18"/>
                      </w:rPr>
                      <w:t>Norte</w:t>
                    </w:r>
                  </w:p>
                  <w:p>
                    <w:pPr>
                      <w:spacing w:line="221" w:lineRule="exact" w:before="0"/>
                      <w:ind w:left="28" w:right="-10" w:firstLine="0"/>
                      <w:jc w:val="left"/>
                      <w:rPr>
                        <w:rFonts w:ascii="Palatino Linotype"/>
                        <w:sz w:val="18"/>
                      </w:rPr>
                    </w:pPr>
                    <w:r>
                      <w:rPr>
                        <w:rFonts w:ascii="Palatino Linotype"/>
                        <w:color w:val="231F20"/>
                        <w:w w:val="75"/>
                        <w:sz w:val="18"/>
                      </w:rPr>
                      <w:t>58%</w:t>
                    </w:r>
                  </w:p>
                </w:txbxContent>
              </v:textbox>
              <w10:wrap type="none"/>
            </v:shape>
            <v:shape style="position:absolute;left:5298;top:2373;width:372;height:603" type="#_x0000_t202" filled="false" stroked="false">
              <v:textbox inset="0,0,0,0">
                <w:txbxContent>
                  <w:p>
                    <w:pPr>
                      <w:spacing w:line="172" w:lineRule="exact" w:before="0"/>
                      <w:ind w:left="37" w:right="-3" w:hanging="38"/>
                      <w:jc w:val="left"/>
                      <w:rPr>
                        <w:rFonts w:ascii="Palatino Linotype"/>
                        <w:sz w:val="18"/>
                      </w:rPr>
                    </w:pPr>
                    <w:r>
                      <w:rPr>
                        <w:rFonts w:ascii="Palatino Linotype"/>
                        <w:color w:val="231F20"/>
                        <w:w w:val="65"/>
                        <w:sz w:val="18"/>
                      </w:rPr>
                      <w:t>Centro</w:t>
                    </w:r>
                  </w:p>
                  <w:p>
                    <w:pPr>
                      <w:spacing w:line="210" w:lineRule="exact" w:before="4"/>
                      <w:ind w:left="56" w:right="42" w:hanging="19"/>
                      <w:jc w:val="left"/>
                      <w:rPr>
                        <w:rFonts w:ascii="Palatino Linotype"/>
                        <w:sz w:val="18"/>
                      </w:rPr>
                    </w:pPr>
                    <w:r>
                      <w:rPr>
                        <w:rFonts w:ascii="Palatino Linotype"/>
                        <w:color w:val="231F20"/>
                        <w:w w:val="65"/>
                        <w:sz w:val="18"/>
                      </w:rPr>
                      <w:t>norte </w:t>
                    </w:r>
                    <w:r>
                      <w:rPr>
                        <w:rFonts w:ascii="Palatino Linotype"/>
                        <w:color w:val="231F20"/>
                        <w:w w:val="75"/>
                        <w:sz w:val="18"/>
                      </w:rPr>
                      <w:t>12%</w:t>
                    </w:r>
                  </w:p>
                </w:txbxContent>
              </v:textbox>
              <w10:wrap type="none"/>
            </v:shape>
            <w10:wrap type="none"/>
          </v:group>
        </w:pict>
      </w:r>
      <w:r>
        <w:rPr>
          <w:rFonts w:ascii="Palatino Linotype"/>
          <w:color w:val="231F20"/>
          <w:w w:val="75"/>
          <w:sz w:val="18"/>
        </w:rPr>
        <w:t>Otras</w:t>
      </w:r>
    </w:p>
    <w:p>
      <w:pPr>
        <w:spacing w:after="0"/>
        <w:jc w:val="left"/>
        <w:rPr>
          <w:rFonts w:ascii="Palatino Linotype"/>
          <w:sz w:val="18"/>
        </w:rPr>
        <w:sectPr>
          <w:type w:val="continuous"/>
          <w:pgSz w:w="9640" w:h="13040"/>
          <w:pgMar w:top="1200" w:bottom="280" w:left="1200" w:right="420"/>
          <w:cols w:num="5" w:equalWidth="0">
            <w:col w:w="893" w:space="40"/>
            <w:col w:w="775" w:space="501"/>
            <w:col w:w="1181" w:space="1317"/>
            <w:col w:w="680" w:space="352"/>
            <w:col w:w="2281"/>
          </w:cols>
        </w:sectPr>
      </w:pPr>
    </w:p>
    <w:p>
      <w:pPr>
        <w:pStyle w:val="BodyText"/>
        <w:rPr>
          <w:rFonts w:ascii="Palatino Linotype"/>
          <w:sz w:val="20"/>
        </w:rPr>
      </w:pPr>
    </w:p>
    <w:p>
      <w:pPr>
        <w:pStyle w:val="BodyText"/>
        <w:rPr>
          <w:rFonts w:ascii="Palatino Linotype"/>
          <w:sz w:val="20"/>
        </w:rPr>
      </w:pPr>
    </w:p>
    <w:p>
      <w:pPr>
        <w:spacing w:before="62"/>
        <w:ind w:left="103" w:right="0" w:firstLine="0"/>
        <w:jc w:val="both"/>
        <w:rPr>
          <w:sz w:val="19"/>
        </w:rPr>
      </w:pPr>
      <w:r>
        <w:rPr>
          <w:color w:val="231F20"/>
          <w:sz w:val="19"/>
        </w:rPr>
        <w:t>Occidente: Jalisco y Aguascalientes</w:t>
      </w:r>
    </w:p>
    <w:p>
      <w:pPr>
        <w:spacing w:line="307" w:lineRule="auto" w:before="61"/>
        <w:ind w:left="103" w:right="1749" w:firstLine="0"/>
        <w:jc w:val="left"/>
        <w:rPr>
          <w:sz w:val="19"/>
        </w:rPr>
      </w:pPr>
      <w:r>
        <w:rPr>
          <w:color w:val="231F20"/>
          <w:sz w:val="19"/>
        </w:rPr>
        <w:t>Norte: Coahuila, Sonora, Chihuahua, Baja California, Nuevo León y Tamaulipas Centro: Estado de México y Distrito Federal</w:t>
      </w:r>
    </w:p>
    <w:p>
      <w:pPr>
        <w:spacing w:before="2"/>
        <w:ind w:left="103" w:right="0" w:firstLine="0"/>
        <w:jc w:val="both"/>
        <w:rPr>
          <w:sz w:val="19"/>
        </w:rPr>
      </w:pPr>
      <w:r>
        <w:rPr>
          <w:color w:val="231F20"/>
          <w:sz w:val="19"/>
        </w:rPr>
        <w:t>Centro-Norte: San Luis Potosí, Querétaro y Guanajuato</w:t>
      </w:r>
    </w:p>
    <w:p>
      <w:pPr>
        <w:spacing w:before="39"/>
        <w:ind w:left="103" w:right="0" w:firstLine="0"/>
        <w:jc w:val="both"/>
        <w:rPr>
          <w:sz w:val="19"/>
        </w:rPr>
      </w:pPr>
      <w:r>
        <w:rPr>
          <w:rFonts w:ascii="Palatino Linotype" w:hAnsi="Palatino Linotype"/>
          <w:i/>
          <w:color w:val="231F20"/>
          <w:sz w:val="19"/>
        </w:rPr>
        <w:t>Fuente: </w:t>
      </w:r>
      <w:r>
        <w:rPr>
          <w:color w:val="231F20"/>
          <w:sz w:val="19"/>
        </w:rPr>
        <w:t>Elaboración propia con datos de INEGI (1985 y 2009).</w:t>
      </w:r>
    </w:p>
    <w:p>
      <w:pPr>
        <w:pStyle w:val="BodyText"/>
        <w:rPr>
          <w:sz w:val="22"/>
        </w:rPr>
      </w:pPr>
    </w:p>
    <w:p>
      <w:pPr>
        <w:pStyle w:val="BodyText"/>
        <w:spacing w:line="278" w:lineRule="auto"/>
        <w:ind w:left="103" w:right="710"/>
        <w:jc w:val="both"/>
      </w:pPr>
      <w:r>
        <w:rPr>
          <w:color w:val="231F20"/>
        </w:rPr>
        <w:t>Otra variable que evidencia cómo el sector automotriz localizado en el Estado de Mé- xico</w:t>
      </w:r>
      <w:r>
        <w:rPr>
          <w:color w:val="231F20"/>
          <w:spacing w:val="-3"/>
        </w:rPr>
        <w:t> </w:t>
      </w:r>
      <w:r>
        <w:rPr>
          <w:color w:val="231F20"/>
        </w:rPr>
        <w:t>ha</w:t>
      </w:r>
      <w:r>
        <w:rPr>
          <w:color w:val="231F20"/>
          <w:spacing w:val="-3"/>
        </w:rPr>
        <w:t> </w:t>
      </w:r>
      <w:r>
        <w:rPr>
          <w:color w:val="231F20"/>
        </w:rPr>
        <w:t>tenido</w:t>
      </w:r>
      <w:r>
        <w:rPr>
          <w:color w:val="231F20"/>
          <w:spacing w:val="-3"/>
        </w:rPr>
        <w:t> </w:t>
      </w:r>
      <w:r>
        <w:rPr>
          <w:color w:val="231F20"/>
        </w:rPr>
        <w:t>un</w:t>
      </w:r>
      <w:r>
        <w:rPr>
          <w:color w:val="231F20"/>
          <w:spacing w:val="-3"/>
        </w:rPr>
        <w:t> </w:t>
      </w:r>
      <w:r>
        <w:rPr>
          <w:color w:val="231F20"/>
        </w:rPr>
        <w:t>ritmo</w:t>
      </w:r>
      <w:r>
        <w:rPr>
          <w:color w:val="231F20"/>
          <w:spacing w:val="-3"/>
        </w:rPr>
        <w:t> </w:t>
      </w:r>
      <w:r>
        <w:rPr>
          <w:color w:val="231F20"/>
        </w:rPr>
        <w:t>de</w:t>
      </w:r>
      <w:r>
        <w:rPr>
          <w:color w:val="231F20"/>
          <w:spacing w:val="-3"/>
        </w:rPr>
        <w:t> </w:t>
      </w:r>
      <w:r>
        <w:rPr>
          <w:color w:val="231F20"/>
        </w:rPr>
        <w:t>crecimiento</w:t>
      </w:r>
      <w:r>
        <w:rPr>
          <w:color w:val="231F20"/>
          <w:spacing w:val="-3"/>
        </w:rPr>
        <w:t> </w:t>
      </w:r>
      <w:r>
        <w:rPr>
          <w:color w:val="231F20"/>
        </w:rPr>
        <w:t>mucho</w:t>
      </w:r>
      <w:r>
        <w:rPr>
          <w:color w:val="231F20"/>
          <w:spacing w:val="-3"/>
        </w:rPr>
        <w:t> </w:t>
      </w:r>
      <w:r>
        <w:rPr>
          <w:color w:val="231F20"/>
        </w:rPr>
        <w:t>más</w:t>
      </w:r>
      <w:r>
        <w:rPr>
          <w:color w:val="231F20"/>
          <w:spacing w:val="-3"/>
        </w:rPr>
        <w:t> </w:t>
      </w:r>
      <w:r>
        <w:rPr>
          <w:color w:val="231F20"/>
        </w:rPr>
        <w:t>moderado</w:t>
      </w:r>
      <w:r>
        <w:rPr>
          <w:color w:val="231F20"/>
          <w:spacing w:val="-3"/>
        </w:rPr>
        <w:t> </w:t>
      </w:r>
      <w:r>
        <w:rPr>
          <w:color w:val="231F20"/>
        </w:rPr>
        <w:t>que</w:t>
      </w:r>
      <w:r>
        <w:rPr>
          <w:color w:val="231F20"/>
          <w:spacing w:val="-3"/>
        </w:rPr>
        <w:t> </w:t>
      </w:r>
      <w:r>
        <w:rPr>
          <w:color w:val="231F20"/>
        </w:rPr>
        <w:t>el</w:t>
      </w:r>
      <w:r>
        <w:rPr>
          <w:color w:val="231F20"/>
          <w:spacing w:val="-3"/>
        </w:rPr>
        <w:t> </w:t>
      </w:r>
      <w:r>
        <w:rPr>
          <w:color w:val="231F20"/>
        </w:rPr>
        <w:t>que</w:t>
      </w:r>
      <w:r>
        <w:rPr>
          <w:color w:val="231F20"/>
          <w:spacing w:val="-3"/>
        </w:rPr>
        <w:t> </w:t>
      </w:r>
      <w:r>
        <w:rPr>
          <w:color w:val="231F20"/>
        </w:rPr>
        <w:t>se</w:t>
      </w:r>
      <w:r>
        <w:rPr>
          <w:color w:val="231F20"/>
          <w:spacing w:val="-3"/>
        </w:rPr>
        <w:t> </w:t>
      </w:r>
      <w:r>
        <w:rPr>
          <w:color w:val="231F20"/>
        </w:rPr>
        <w:t>ha</w:t>
      </w:r>
      <w:r>
        <w:rPr>
          <w:color w:val="231F20"/>
          <w:spacing w:val="-3"/>
        </w:rPr>
        <w:t> </w:t>
      </w:r>
      <w:r>
        <w:rPr>
          <w:color w:val="231F20"/>
        </w:rPr>
        <w:t>presen- tado a nivel nacional o en otras entidades y regiones del país es la generación de</w:t>
      </w:r>
      <w:r>
        <w:rPr>
          <w:color w:val="231F20"/>
          <w:spacing w:val="-32"/>
        </w:rPr>
        <w:t> </w:t>
      </w:r>
      <w:r>
        <w:rPr>
          <w:color w:val="231F20"/>
        </w:rPr>
        <w:t>valor agregado censal </w:t>
      </w:r>
      <w:r>
        <w:rPr>
          <w:color w:val="231F20"/>
          <w:spacing w:val="-3"/>
        </w:rPr>
        <w:t>bruto. </w:t>
      </w:r>
      <w:r>
        <w:rPr>
          <w:color w:val="231F20"/>
        </w:rPr>
        <w:t>La gráfica </w:t>
      </w:r>
      <w:r>
        <w:rPr>
          <w:color w:val="231F20"/>
          <w:spacing w:val="-7"/>
        </w:rPr>
        <w:t>IV.12 </w:t>
      </w:r>
      <w:r>
        <w:rPr>
          <w:color w:val="231F20"/>
        </w:rPr>
        <w:t>es clara en este sentido, pues el crecimiento a nivel</w:t>
      </w:r>
      <w:r>
        <w:rPr>
          <w:color w:val="231F20"/>
          <w:spacing w:val="-4"/>
        </w:rPr>
        <w:t> </w:t>
      </w:r>
      <w:r>
        <w:rPr>
          <w:color w:val="231F20"/>
        </w:rPr>
        <w:t>nacional</w:t>
      </w:r>
      <w:r>
        <w:rPr>
          <w:color w:val="231F20"/>
          <w:spacing w:val="-4"/>
        </w:rPr>
        <w:t> </w:t>
      </w:r>
      <w:r>
        <w:rPr>
          <w:color w:val="231F20"/>
        </w:rPr>
        <w:t>es</w:t>
      </w:r>
      <w:r>
        <w:rPr>
          <w:color w:val="231F20"/>
          <w:spacing w:val="-4"/>
        </w:rPr>
        <w:t> </w:t>
      </w:r>
      <w:r>
        <w:rPr>
          <w:color w:val="231F20"/>
        </w:rPr>
        <w:t>mucho</w:t>
      </w:r>
      <w:r>
        <w:rPr>
          <w:color w:val="231F20"/>
          <w:spacing w:val="-4"/>
        </w:rPr>
        <w:t> </w:t>
      </w:r>
      <w:r>
        <w:rPr>
          <w:color w:val="231F20"/>
        </w:rPr>
        <w:t>más</w:t>
      </w:r>
      <w:r>
        <w:rPr>
          <w:color w:val="231F20"/>
          <w:spacing w:val="-4"/>
        </w:rPr>
        <w:t> </w:t>
      </w:r>
      <w:r>
        <w:rPr>
          <w:color w:val="231F20"/>
        </w:rPr>
        <w:t>importante</w:t>
      </w:r>
      <w:r>
        <w:rPr>
          <w:color w:val="231F20"/>
          <w:spacing w:val="-4"/>
        </w:rPr>
        <w:t> </w:t>
      </w:r>
      <w:r>
        <w:rPr>
          <w:color w:val="231F20"/>
        </w:rPr>
        <w:t>que</w:t>
      </w:r>
      <w:r>
        <w:rPr>
          <w:color w:val="231F20"/>
          <w:spacing w:val="-4"/>
        </w:rPr>
        <w:t> </w:t>
      </w:r>
      <w:r>
        <w:rPr>
          <w:color w:val="231F20"/>
        </w:rPr>
        <w:t>el</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generó</w:t>
      </w:r>
      <w:r>
        <w:rPr>
          <w:color w:val="231F20"/>
          <w:spacing w:val="-4"/>
        </w:rPr>
        <w:t> </w:t>
      </w:r>
      <w:r>
        <w:rPr>
          <w:color w:val="231F20"/>
        </w:rPr>
        <w:t>en</w:t>
      </w:r>
      <w:r>
        <w:rPr>
          <w:color w:val="231F20"/>
          <w:spacing w:val="-4"/>
        </w:rPr>
        <w:t> </w:t>
      </w:r>
      <w:r>
        <w:rPr>
          <w:color w:val="231F20"/>
        </w:rPr>
        <w:t>esta</w:t>
      </w:r>
      <w:r>
        <w:rPr>
          <w:color w:val="231F20"/>
          <w:spacing w:val="-4"/>
        </w:rPr>
        <w:t> </w:t>
      </w:r>
      <w:r>
        <w:rPr>
          <w:color w:val="231F20"/>
        </w:rPr>
        <w:t>entidad.</w:t>
      </w:r>
    </w:p>
    <w:p>
      <w:pPr>
        <w:spacing w:after="0" w:line="278" w:lineRule="auto"/>
        <w:jc w:val="both"/>
        <w:sectPr>
          <w:type w:val="continuous"/>
          <w:pgSz w:w="9640" w:h="13040"/>
          <w:pgMar w:top="1200" w:bottom="280" w:left="1200" w:right="420"/>
        </w:sectPr>
      </w:pPr>
    </w:p>
    <w:p>
      <w:pPr>
        <w:pStyle w:val="BodyText"/>
        <w:rPr>
          <w:sz w:val="20"/>
        </w:rPr>
      </w:pPr>
    </w:p>
    <w:p>
      <w:pPr>
        <w:pStyle w:val="BodyText"/>
        <w:spacing w:before="5"/>
      </w:pPr>
    </w:p>
    <w:p>
      <w:pPr>
        <w:pStyle w:val="Heading4"/>
        <w:spacing w:before="35"/>
        <w:ind w:left="775" w:right="166"/>
      </w:pPr>
      <w:r>
        <w:rPr>
          <w:color w:val="231F20"/>
          <w:w w:val="90"/>
        </w:rPr>
        <w:t>Gráfica IV.12</w:t>
      </w:r>
    </w:p>
    <w:p>
      <w:pPr>
        <w:spacing w:line="282" w:lineRule="exact" w:before="0"/>
        <w:ind w:left="776" w:right="166" w:firstLine="0"/>
        <w:jc w:val="center"/>
        <w:rPr>
          <w:rFonts w:ascii="Palatino Linotype" w:hAnsi="Palatino Linotype"/>
          <w:b/>
          <w:sz w:val="21"/>
        </w:rPr>
      </w:pPr>
      <w:r>
        <w:rPr>
          <w:rFonts w:ascii="Palatino Linotype" w:hAnsi="Palatino Linotype"/>
          <w:b/>
          <w:color w:val="231F20"/>
          <w:w w:val="95"/>
          <w:sz w:val="21"/>
        </w:rPr>
        <w:t>México y Estado de México: VACB del sector automotriz, 1985-2008</w:t>
      </w:r>
    </w:p>
    <w:p>
      <w:pPr>
        <w:spacing w:before="17"/>
        <w:ind w:left="775" w:right="166" w:firstLine="0"/>
        <w:jc w:val="center"/>
        <w:rPr>
          <w:rFonts w:ascii="Palatino Linotype"/>
          <w:b/>
          <w:sz w:val="19"/>
        </w:rPr>
      </w:pPr>
      <w:r>
        <w:rPr>
          <w:rFonts w:ascii="Palatino Linotype"/>
          <w:b/>
          <w:color w:val="231F20"/>
          <w:w w:val="90"/>
          <w:sz w:val="19"/>
        </w:rPr>
        <w:t>(Miles de pesos constantes)</w:t>
      </w:r>
    </w:p>
    <w:p>
      <w:pPr>
        <w:pStyle w:val="BodyText"/>
        <w:spacing w:before="8"/>
        <w:rPr>
          <w:rFonts w:ascii="Palatino Linotype"/>
          <w:b/>
          <w:sz w:val="17"/>
        </w:rPr>
      </w:pPr>
    </w:p>
    <w:p>
      <w:pPr>
        <w:spacing w:after="0"/>
        <w:rPr>
          <w:rFonts w:ascii="Palatino Linotype"/>
          <w:sz w:val="17"/>
        </w:rPr>
        <w:sectPr>
          <w:pgSz w:w="9640" w:h="13040"/>
          <w:pgMar w:header="581" w:footer="654" w:top="780" w:bottom="840" w:left="420" w:right="1200"/>
        </w:sectPr>
      </w:pPr>
    </w:p>
    <w:p>
      <w:pPr>
        <w:spacing w:before="46"/>
        <w:ind w:left="949" w:right="0" w:firstLine="0"/>
        <w:jc w:val="left"/>
        <w:rPr>
          <w:rFonts w:ascii="Palatino Linotype"/>
          <w:sz w:val="18"/>
        </w:rPr>
      </w:pPr>
      <w:r>
        <w:rPr>
          <w:rFonts w:ascii="Palatino Linotype"/>
          <w:color w:val="231F20"/>
          <w:w w:val="90"/>
          <w:sz w:val="18"/>
        </w:rPr>
        <w:t>45,000,000</w:t>
      </w:r>
    </w:p>
    <w:p>
      <w:pPr>
        <w:spacing w:before="48"/>
        <w:ind w:left="949" w:right="0" w:firstLine="0"/>
        <w:jc w:val="left"/>
        <w:rPr>
          <w:rFonts w:ascii="Palatino Linotype"/>
          <w:sz w:val="18"/>
        </w:rPr>
      </w:pPr>
      <w:r>
        <w:rPr>
          <w:rFonts w:ascii="Palatino Linotype"/>
          <w:color w:val="231F20"/>
          <w:w w:val="90"/>
          <w:sz w:val="18"/>
        </w:rPr>
        <w:t>40,000,000</w:t>
      </w:r>
    </w:p>
    <w:p>
      <w:pPr>
        <w:spacing w:before="48"/>
        <w:ind w:left="949" w:right="0" w:firstLine="0"/>
        <w:jc w:val="left"/>
        <w:rPr>
          <w:rFonts w:ascii="Palatino Linotype"/>
          <w:sz w:val="18"/>
        </w:rPr>
      </w:pPr>
      <w:r>
        <w:rPr>
          <w:rFonts w:ascii="Palatino Linotype"/>
          <w:color w:val="231F20"/>
          <w:w w:val="90"/>
          <w:sz w:val="18"/>
        </w:rPr>
        <w:t>35,000,000</w:t>
      </w:r>
    </w:p>
    <w:p>
      <w:pPr>
        <w:spacing w:before="48"/>
        <w:ind w:left="949" w:right="0" w:firstLine="0"/>
        <w:jc w:val="left"/>
        <w:rPr>
          <w:rFonts w:ascii="Palatino Linotype"/>
          <w:sz w:val="18"/>
        </w:rPr>
      </w:pPr>
      <w:r>
        <w:rPr>
          <w:rFonts w:ascii="Palatino Linotype"/>
          <w:color w:val="231F20"/>
          <w:w w:val="90"/>
          <w:sz w:val="18"/>
        </w:rPr>
        <w:t>30,000,000</w:t>
      </w:r>
    </w:p>
    <w:p>
      <w:pPr>
        <w:spacing w:before="48"/>
        <w:ind w:left="949" w:right="0" w:firstLine="0"/>
        <w:jc w:val="left"/>
        <w:rPr>
          <w:rFonts w:ascii="Palatino Linotype"/>
          <w:sz w:val="18"/>
        </w:rPr>
      </w:pPr>
      <w:r>
        <w:rPr>
          <w:rFonts w:ascii="Palatino Linotype"/>
          <w:color w:val="231F20"/>
          <w:w w:val="90"/>
          <w:sz w:val="18"/>
        </w:rPr>
        <w:t>25,000,000</w:t>
      </w:r>
    </w:p>
    <w:p>
      <w:pPr>
        <w:spacing w:before="48"/>
        <w:ind w:left="949" w:right="0" w:firstLine="0"/>
        <w:jc w:val="left"/>
        <w:rPr>
          <w:rFonts w:ascii="Palatino Linotype"/>
          <w:sz w:val="18"/>
        </w:rPr>
      </w:pPr>
      <w:r>
        <w:rPr>
          <w:rFonts w:ascii="Palatino Linotype"/>
          <w:color w:val="231F20"/>
          <w:w w:val="90"/>
          <w:sz w:val="18"/>
        </w:rPr>
        <w:t>20,000,000</w:t>
      </w:r>
    </w:p>
    <w:p>
      <w:pPr>
        <w:spacing w:before="48"/>
        <w:ind w:left="949" w:right="0" w:firstLine="0"/>
        <w:jc w:val="left"/>
        <w:rPr>
          <w:rFonts w:ascii="Palatino Linotype"/>
          <w:sz w:val="18"/>
        </w:rPr>
      </w:pPr>
      <w:r>
        <w:rPr>
          <w:rFonts w:ascii="Palatino Linotype"/>
          <w:color w:val="231F20"/>
          <w:w w:val="90"/>
          <w:sz w:val="18"/>
        </w:rPr>
        <w:t>15,000,000</w:t>
      </w:r>
    </w:p>
    <w:p>
      <w:pPr>
        <w:spacing w:before="48"/>
        <w:ind w:left="949" w:right="0" w:firstLine="0"/>
        <w:jc w:val="left"/>
        <w:rPr>
          <w:rFonts w:ascii="Palatino Linotype"/>
          <w:sz w:val="18"/>
        </w:rPr>
      </w:pPr>
      <w:r>
        <w:rPr>
          <w:rFonts w:ascii="Palatino Linotype"/>
          <w:color w:val="231F20"/>
          <w:w w:val="90"/>
          <w:sz w:val="18"/>
        </w:rPr>
        <w:t>10,000,000</w:t>
      </w:r>
    </w:p>
    <w:p>
      <w:pPr>
        <w:spacing w:before="48"/>
        <w:ind w:left="1034" w:right="0" w:firstLine="0"/>
        <w:jc w:val="left"/>
        <w:rPr>
          <w:rFonts w:ascii="Palatino Linotype"/>
          <w:sz w:val="18"/>
        </w:rPr>
      </w:pPr>
      <w:r>
        <w:rPr>
          <w:rFonts w:ascii="Palatino Linotype"/>
          <w:color w:val="231F20"/>
          <w:w w:val="90"/>
          <w:sz w:val="18"/>
        </w:rPr>
        <w:t>5,000,000</w:t>
      </w:r>
    </w:p>
    <w:p>
      <w:pPr>
        <w:spacing w:before="48"/>
        <w:ind w:left="0" w:right="0" w:firstLine="0"/>
        <w:jc w:val="right"/>
        <w:rPr>
          <w:rFonts w:ascii="Palatino Linotype"/>
          <w:sz w:val="18"/>
        </w:rPr>
      </w:pPr>
      <w:r>
        <w:rPr>
          <w:rFonts w:ascii="Palatino Linotype"/>
          <w:color w:val="231F20"/>
          <w:w w:val="88"/>
          <w:sz w:val="18"/>
        </w:rPr>
        <w:t>0</w:t>
      </w:r>
    </w:p>
    <w:p>
      <w:pPr>
        <w:pStyle w:val="BodyText"/>
        <w:spacing w:before="4" w:after="40"/>
        <w:rPr>
          <w:rFonts w:ascii="Palatino Linotype"/>
          <w:sz w:val="9"/>
        </w:rPr>
      </w:pPr>
      <w:r>
        <w:rPr/>
        <w:br w:type="column"/>
      </w:r>
      <w:r>
        <w:rPr>
          <w:rFonts w:ascii="Palatino Linotype"/>
          <w:sz w:val="9"/>
        </w:rPr>
      </w:r>
    </w:p>
    <w:p>
      <w:pPr>
        <w:pStyle w:val="BodyText"/>
        <w:ind w:left="106"/>
        <w:rPr>
          <w:rFonts w:ascii="Palatino Linotype"/>
          <w:sz w:val="20"/>
        </w:rPr>
      </w:pPr>
      <w:r>
        <w:rPr>
          <w:rFonts w:ascii="Palatino Linotype"/>
          <w:sz w:val="20"/>
        </w:rPr>
        <w:pict>
          <v:group style="width:289.650pt;height:133.75pt;mso-position-horizontal-relative:char;mso-position-vertical-relative:line" coordorigin="0,0" coordsize="5793,2675">
            <v:line style="position:absolute" from="8,2626" to="8,6" stroked="true" strokeweight=".636537pt" strokecolor="#989b9d"/>
            <v:line style="position:absolute" from="8,2626" to="5785,2626" stroked="true" strokeweight=".704331pt" strokecolor="#989b9d"/>
            <v:line style="position:absolute" from="5785,2626" to="5785,2668" stroked="true" strokeweight=".636537pt" strokecolor="#989b9d"/>
            <v:line style="position:absolute" from="5301,2626" to="5301,2668" stroked="true" strokeweight=".636537pt" strokecolor="#989b9d"/>
            <v:line style="position:absolute" from="4334,2626" to="4334,2668" stroked="true" strokeweight=".636537pt" strokecolor="#989b9d"/>
            <v:line style="position:absolute" from="3380,2626" to="3380,2668" stroked="true" strokeweight=".636537pt" strokecolor="#989b9d"/>
            <v:line style="position:absolute" from="2413,2626" to="2413,2668" stroked="true" strokeweight=".636537pt" strokecolor="#989b9d"/>
            <v:line style="position:absolute" from="1445,2626" to="1445,2668" stroked="true" strokeweight=".636537pt" strokecolor="#989b9d"/>
            <v:line style="position:absolute" from="478,2626" to="478,2668" stroked="true" strokeweight=".636537pt" strokecolor="#989b9d"/>
            <v:shape style="position:absolute;left:478;top:330;width:4823;height:1676" coordorigin="478,330" coordsize="4823,1676" path="m478,2006l1445,1175,2413,1513,3380,978,4334,401,5301,330e" filled="false" stroked="true" strokeweight="2.09041pt" strokecolor="#5c5d5f">
              <v:path arrowok="t"/>
            </v:shape>
            <v:shape style="position:absolute;left:408;top:1929;width:141;height:154" type="#_x0000_t75" stroked="false">
              <v:imagedata r:id="rId341" o:title=""/>
            </v:shape>
            <v:shape style="position:absolute;left:1375;top:1098;width:141;height:154" type="#_x0000_t75" stroked="false">
              <v:imagedata r:id="rId342" o:title=""/>
            </v:shape>
            <v:shape style="position:absolute;left:2342;top:1436;width:141;height:154" type="#_x0000_t75" stroked="false">
              <v:imagedata r:id="rId343" o:title=""/>
            </v:shape>
            <v:shape style="position:absolute;left:3309;top:901;width:141;height:154" type="#_x0000_t75" stroked="false">
              <v:imagedata r:id="rId344" o:title=""/>
            </v:shape>
            <v:shape style="position:absolute;left:4264;top:324;width:141;height:154" type="#_x0000_t75" stroked="false">
              <v:imagedata r:id="rId345" o:title=""/>
            </v:shape>
            <v:shape style="position:absolute;left:5231;top:253;width:141;height:154" type="#_x0000_t75" stroked="false">
              <v:imagedata r:id="rId346" o:title=""/>
            </v:shape>
            <v:shape style="position:absolute;left:478;top:2288;width:4823;height:226" coordorigin="478,2288" coordsize="4823,226" path="m478,2513l1445,2344,2413,2344,3380,2288,4334,2400,5301,2400e" filled="false" stroked="true" strokeweight="2.111865pt" strokecolor="#c4c6c8">
              <v:path arrowok="t"/>
            </v:shape>
            <v:rect style="position:absolute;left:415;top:2442;width:115;height:127" filled="true" fillcolor="#c4c6c8" stroked="false">
              <v:fill type="solid"/>
            </v:rect>
            <v:rect style="position:absolute;left:415;top:2442;width:115;height:127" filled="false" stroked="true" strokeweight=".667671pt" strokecolor="#c4c6c8"/>
            <v:rect style="position:absolute;left:1382;top:2274;width:115;height:127" filled="true" fillcolor="#c4c6c8" stroked="false">
              <v:fill type="solid"/>
            </v:rect>
            <v:rect style="position:absolute;left:1382;top:2274;width:115;height:127" filled="false" stroked="true" strokeweight=".667663pt" strokecolor="#c4c6c8"/>
            <v:rect style="position:absolute;left:2349;top:2274;width:115;height:127" filled="true" fillcolor="#c4c6c8" stroked="false">
              <v:fill type="solid"/>
            </v:rect>
            <v:rect style="position:absolute;left:2349;top:2274;width:115;height:127" filled="false" stroked="true" strokeweight=".66766pt" strokecolor="#c4c6c8"/>
            <v:rect style="position:absolute;left:3316;top:2217;width:115;height:127" filled="true" fillcolor="#c4c6c8" stroked="false">
              <v:fill type="solid"/>
            </v:rect>
            <v:rect style="position:absolute;left:3316;top:2217;width:115;height:127" filled="false" stroked="true" strokeweight=".667667pt" strokecolor="#c4c6c8"/>
            <v:rect style="position:absolute;left:4271;top:2330;width:115;height:127" filled="true" fillcolor="#c4c6c8" stroked="false">
              <v:fill type="solid"/>
            </v:rect>
            <v:rect style="position:absolute;left:4271;top:2330;width:115;height:127" filled="false" stroked="true" strokeweight=".667667pt" strokecolor="#c4c6c8"/>
            <v:rect style="position:absolute;left:5238;top:2330;width:115;height:127" filled="true" fillcolor="#c4c6c8" stroked="false">
              <v:fill type="solid"/>
            </v:rect>
            <v:rect style="position:absolute;left:5238;top:2330;width:115;height:127" filled="false" stroked="true" strokeweight=".667667pt" strokecolor="#c4c6c8"/>
          </v:group>
        </w:pict>
      </w:r>
      <w:r>
        <w:rPr>
          <w:rFonts w:ascii="Palatino Linotype"/>
          <w:sz w:val="20"/>
        </w:rPr>
      </w:r>
    </w:p>
    <w:p>
      <w:pPr>
        <w:tabs>
          <w:tab w:pos="1388" w:val="left" w:leader="none"/>
          <w:tab w:pos="2353" w:val="left" w:leader="none"/>
          <w:tab w:pos="3318" w:val="left" w:leader="none"/>
          <w:tab w:pos="4283" w:val="left" w:leader="none"/>
          <w:tab w:pos="5249" w:val="left" w:leader="none"/>
        </w:tabs>
        <w:spacing w:before="26"/>
        <w:ind w:left="422" w:right="0" w:firstLine="0"/>
        <w:jc w:val="left"/>
        <w:rPr>
          <w:rFonts w:ascii="Palatino Linotype"/>
          <w:sz w:val="18"/>
        </w:rPr>
      </w:pPr>
      <w:r>
        <w:rPr>
          <w:rFonts w:ascii="Palatino Linotype"/>
          <w:color w:val="231F20"/>
          <w:sz w:val="18"/>
        </w:rPr>
        <w:t>1985</w:t>
        <w:tab/>
        <w:t>1988</w:t>
        <w:tab/>
        <w:t>1993</w:t>
        <w:tab/>
        <w:t>1998</w:t>
        <w:tab/>
        <w:t>2003</w:t>
        <w:tab/>
      </w:r>
      <w:r>
        <w:rPr>
          <w:rFonts w:ascii="Palatino Linotype"/>
          <w:color w:val="231F20"/>
          <w:spacing w:val="2"/>
          <w:sz w:val="18"/>
        </w:rPr>
        <w:t>2008</w:t>
      </w:r>
    </w:p>
    <w:p>
      <w:pPr>
        <w:tabs>
          <w:tab w:pos="3120" w:val="left" w:leader="none"/>
        </w:tabs>
        <w:spacing w:before="127"/>
        <w:ind w:left="1934" w:right="0" w:firstLine="0"/>
        <w:jc w:val="left"/>
        <w:rPr>
          <w:rFonts w:ascii="Palatino Linotype" w:hAnsi="Palatino Linotype"/>
          <w:sz w:val="19"/>
        </w:rPr>
      </w:pPr>
      <w:r>
        <w:rPr/>
        <w:drawing>
          <wp:anchor distT="0" distB="0" distL="0" distR="0" allowOverlap="1" layoutInCell="1" locked="0" behindDoc="0" simplePos="0" relativeHeight="11368">
            <wp:simplePos x="0" y="0"/>
            <wp:positionH relativeFrom="page">
              <wp:posOffset>2357480</wp:posOffset>
            </wp:positionH>
            <wp:positionV relativeFrom="paragraph">
              <wp:posOffset>124384</wp:posOffset>
            </wp:positionV>
            <wp:extent cx="236916" cy="80048"/>
            <wp:effectExtent l="0" t="0" r="0" b="0"/>
            <wp:wrapNone/>
            <wp:docPr id="33" name="image224.png" descr=""/>
            <wp:cNvGraphicFramePr>
              <a:graphicFrameLocks noChangeAspect="1"/>
            </wp:cNvGraphicFramePr>
            <a:graphic>
              <a:graphicData uri="http://schemas.openxmlformats.org/drawingml/2006/picture">
                <pic:pic>
                  <pic:nvPicPr>
                    <pic:cNvPr id="34" name="image224.png"/>
                    <pic:cNvPicPr/>
                  </pic:nvPicPr>
                  <pic:blipFill>
                    <a:blip r:embed="rId347" cstate="print"/>
                    <a:stretch>
                      <a:fillRect/>
                    </a:stretch>
                  </pic:blipFill>
                  <pic:spPr>
                    <a:xfrm>
                      <a:off x="0" y="0"/>
                      <a:ext cx="236916" cy="80048"/>
                    </a:xfrm>
                    <a:prstGeom prst="rect">
                      <a:avLst/>
                    </a:prstGeom>
                  </pic:spPr>
                </pic:pic>
              </a:graphicData>
            </a:graphic>
          </wp:anchor>
        </w:drawing>
      </w:r>
      <w:r>
        <w:rPr/>
        <w:pict>
          <v:group style="position:absolute;margin-left:244.782791pt;margin-top:9.901107pt;width:18.7pt;height:6.35pt;mso-position-horizontal-relative:page;mso-position-vertical-relative:paragraph;z-index:-608200" coordorigin="4896,198" coordsize="374,127">
            <v:shape style="position:absolute;left:0;top:7537;width:535;height:2" coordorigin="0,7537" coordsize="535,0" path="m5133,261l5248,261m4917,261l5032,261e" filled="false" stroked="true" strokeweight="2.01065pt" strokecolor="#c4c6c8">
              <v:path arrowok="t"/>
            </v:shape>
            <v:rect style="position:absolute;left:5032;top:205;width:102;height:113" filled="true" fillcolor="#c4c6c8" stroked="false">
              <v:fill type="solid"/>
            </v:rect>
            <v:rect style="position:absolute;left:5032;top:205;width:102;height:113" filled="false" stroked="true" strokeweight=".667015pt" strokecolor="#c4c6c8"/>
            <w10:wrap type="none"/>
          </v:group>
        </w:pict>
      </w:r>
      <w:r>
        <w:rPr>
          <w:rFonts w:ascii="Palatino Linotype" w:hAnsi="Palatino Linotype"/>
          <w:color w:val="231F20"/>
          <w:w w:val="95"/>
          <w:sz w:val="19"/>
        </w:rPr>
        <w:t>Nacional</w:t>
        <w:tab/>
        <w:t>México</w:t>
      </w:r>
    </w:p>
    <w:p>
      <w:pPr>
        <w:spacing w:after="0"/>
        <w:jc w:val="left"/>
        <w:rPr>
          <w:rFonts w:ascii="Palatino Linotype" w:hAnsi="Palatino Linotype"/>
          <w:sz w:val="19"/>
        </w:rPr>
        <w:sectPr>
          <w:type w:val="continuous"/>
          <w:pgSz w:w="9640" w:h="13040"/>
          <w:pgMar w:top="1200" w:bottom="280" w:left="420" w:right="1200"/>
          <w:cols w:num="2" w:equalWidth="0">
            <w:col w:w="1709" w:space="40"/>
            <w:col w:w="6271"/>
          </w:cols>
        </w:sectPr>
      </w:pPr>
    </w:p>
    <w:p>
      <w:pPr>
        <w:pStyle w:val="BodyText"/>
        <w:rPr>
          <w:rFonts w:ascii="Palatino Linotype"/>
          <w:sz w:val="20"/>
        </w:rPr>
      </w:pPr>
    </w:p>
    <w:p>
      <w:pPr>
        <w:pStyle w:val="BodyText"/>
        <w:spacing w:before="2"/>
        <w:rPr>
          <w:rFonts w:ascii="Palatino Linotype"/>
          <w:sz w:val="16"/>
        </w:rPr>
      </w:pPr>
    </w:p>
    <w:p>
      <w:pPr>
        <w:spacing w:before="40"/>
        <w:ind w:left="713" w:right="0" w:firstLine="0"/>
        <w:jc w:val="both"/>
        <w:rPr>
          <w:sz w:val="19"/>
        </w:rPr>
      </w:pPr>
      <w:r>
        <w:rPr>
          <w:rFonts w:ascii="Palatino Linotype"/>
          <w:i/>
          <w:color w:val="231F20"/>
          <w:sz w:val="19"/>
        </w:rPr>
        <w:t>Fuente: </w:t>
      </w:r>
      <w:r>
        <w:rPr>
          <w:color w:val="231F20"/>
          <w:sz w:val="19"/>
        </w:rPr>
        <w:t>INEGI (1985, 1988, 1993, 1998, 2003 y 2008).</w:t>
      </w:r>
    </w:p>
    <w:p>
      <w:pPr>
        <w:pStyle w:val="BodyText"/>
        <w:rPr>
          <w:sz w:val="22"/>
        </w:rPr>
      </w:pPr>
    </w:p>
    <w:p>
      <w:pPr>
        <w:pStyle w:val="BodyText"/>
        <w:spacing w:line="278" w:lineRule="auto" w:before="1"/>
        <w:ind w:left="713" w:right="101"/>
        <w:jc w:val="both"/>
      </w:pPr>
      <w:r>
        <w:rPr>
          <w:color w:val="231F20"/>
        </w:rPr>
        <w:t>La</w:t>
      </w:r>
      <w:r>
        <w:rPr>
          <w:color w:val="231F20"/>
          <w:spacing w:val="-8"/>
        </w:rPr>
        <w:t> </w:t>
      </w:r>
      <w:r>
        <w:rPr>
          <w:color w:val="231F20"/>
        </w:rPr>
        <w:t>pérdida</w:t>
      </w:r>
      <w:r>
        <w:rPr>
          <w:color w:val="231F20"/>
          <w:spacing w:val="-8"/>
        </w:rPr>
        <w:t> </w:t>
      </w:r>
      <w:r>
        <w:rPr>
          <w:color w:val="231F20"/>
        </w:rPr>
        <w:t>de</w:t>
      </w:r>
      <w:r>
        <w:rPr>
          <w:color w:val="231F20"/>
          <w:spacing w:val="-7"/>
        </w:rPr>
        <w:t> </w:t>
      </w:r>
      <w:r>
        <w:rPr>
          <w:color w:val="231F20"/>
        </w:rPr>
        <w:t>dinamismo</w:t>
      </w:r>
      <w:r>
        <w:rPr>
          <w:color w:val="231F20"/>
          <w:spacing w:val="-7"/>
        </w:rPr>
        <w:t> </w:t>
      </w:r>
      <w:r>
        <w:rPr>
          <w:color w:val="231F20"/>
        </w:rPr>
        <w:t>de</w:t>
      </w:r>
      <w:r>
        <w:rPr>
          <w:color w:val="231F20"/>
          <w:spacing w:val="-8"/>
        </w:rPr>
        <w:t> </w:t>
      </w:r>
      <w:r>
        <w:rPr>
          <w:color w:val="231F20"/>
        </w:rPr>
        <w:t>la</w:t>
      </w:r>
      <w:r>
        <w:rPr>
          <w:color w:val="231F20"/>
          <w:spacing w:val="-7"/>
        </w:rPr>
        <w:t> </w:t>
      </w:r>
      <w:r>
        <w:rPr>
          <w:color w:val="231F20"/>
        </w:rPr>
        <w:t>industria</w:t>
      </w:r>
      <w:r>
        <w:rPr>
          <w:color w:val="231F20"/>
          <w:spacing w:val="-7"/>
        </w:rPr>
        <w:t> </w:t>
      </w:r>
      <w:r>
        <w:rPr>
          <w:color w:val="231F20"/>
        </w:rPr>
        <w:t>automotriz</w:t>
      </w:r>
      <w:r>
        <w:rPr>
          <w:color w:val="231F20"/>
          <w:spacing w:val="-7"/>
        </w:rPr>
        <w:t> </w:t>
      </w:r>
      <w:r>
        <w:rPr>
          <w:color w:val="231F20"/>
        </w:rPr>
        <w:t>localizada</w:t>
      </w:r>
      <w:r>
        <w:rPr>
          <w:color w:val="231F20"/>
          <w:spacing w:val="-8"/>
        </w:rPr>
        <w:t> </w:t>
      </w:r>
      <w:r>
        <w:rPr>
          <w:color w:val="231F20"/>
        </w:rPr>
        <w:t>en</w:t>
      </w:r>
      <w:r>
        <w:rPr>
          <w:color w:val="231F20"/>
          <w:spacing w:val="-8"/>
        </w:rPr>
        <w:t> </w:t>
      </w:r>
      <w:r>
        <w:rPr>
          <w:color w:val="231F20"/>
        </w:rPr>
        <w:t>el</w:t>
      </w:r>
      <w:r>
        <w:rPr>
          <w:color w:val="231F20"/>
          <w:spacing w:val="-7"/>
        </w:rPr>
        <w:t> </w:t>
      </w:r>
      <w:r>
        <w:rPr>
          <w:color w:val="231F20"/>
        </w:rPr>
        <w:t>Estado</w:t>
      </w:r>
      <w:r>
        <w:rPr>
          <w:color w:val="231F20"/>
          <w:spacing w:val="-8"/>
        </w:rPr>
        <w:t> </w:t>
      </w:r>
      <w:r>
        <w:rPr>
          <w:color w:val="231F20"/>
        </w:rPr>
        <w:t>de</w:t>
      </w:r>
      <w:r>
        <w:rPr>
          <w:color w:val="231F20"/>
          <w:spacing w:val="-8"/>
        </w:rPr>
        <w:t> </w:t>
      </w:r>
      <w:r>
        <w:rPr>
          <w:color w:val="231F20"/>
        </w:rPr>
        <w:t>México es</w:t>
      </w:r>
      <w:r>
        <w:rPr>
          <w:color w:val="231F20"/>
          <w:spacing w:val="-15"/>
        </w:rPr>
        <w:t> </w:t>
      </w:r>
      <w:r>
        <w:rPr>
          <w:color w:val="231F20"/>
        </w:rPr>
        <w:t>evidente.</w:t>
      </w:r>
      <w:r>
        <w:rPr>
          <w:color w:val="231F20"/>
          <w:spacing w:val="-15"/>
        </w:rPr>
        <w:t> </w:t>
      </w:r>
      <w:r>
        <w:rPr>
          <w:color w:val="231F20"/>
        </w:rPr>
        <w:t>Sin</w:t>
      </w:r>
      <w:r>
        <w:rPr>
          <w:color w:val="231F20"/>
          <w:spacing w:val="-15"/>
        </w:rPr>
        <w:t> </w:t>
      </w:r>
      <w:r>
        <w:rPr>
          <w:color w:val="231F20"/>
        </w:rPr>
        <w:t>embargo,</w:t>
      </w:r>
      <w:r>
        <w:rPr>
          <w:color w:val="231F20"/>
          <w:spacing w:val="-15"/>
        </w:rPr>
        <w:t> </w:t>
      </w:r>
      <w:r>
        <w:rPr>
          <w:color w:val="231F20"/>
        </w:rPr>
        <w:t>¿qué</w:t>
      </w:r>
      <w:r>
        <w:rPr>
          <w:color w:val="231F20"/>
          <w:spacing w:val="-15"/>
        </w:rPr>
        <w:t> </w:t>
      </w:r>
      <w:r>
        <w:rPr>
          <w:color w:val="231F20"/>
        </w:rPr>
        <w:t>la</w:t>
      </w:r>
      <w:r>
        <w:rPr>
          <w:color w:val="231F20"/>
          <w:spacing w:val="-15"/>
        </w:rPr>
        <w:t> </w:t>
      </w:r>
      <w:r>
        <w:rPr>
          <w:color w:val="231F20"/>
        </w:rPr>
        <w:t>explica?</w:t>
      </w:r>
      <w:r>
        <w:rPr>
          <w:color w:val="231F20"/>
          <w:spacing w:val="-15"/>
        </w:rPr>
        <w:t> </w:t>
      </w:r>
      <w:r>
        <w:rPr>
          <w:color w:val="231F20"/>
        </w:rPr>
        <w:t>¿Cuáles</w:t>
      </w:r>
      <w:r>
        <w:rPr>
          <w:color w:val="231F20"/>
          <w:spacing w:val="-15"/>
        </w:rPr>
        <w:t> </w:t>
      </w:r>
      <w:r>
        <w:rPr>
          <w:color w:val="231F20"/>
        </w:rPr>
        <w:t>son</w:t>
      </w:r>
      <w:r>
        <w:rPr>
          <w:color w:val="231F20"/>
          <w:spacing w:val="-15"/>
        </w:rPr>
        <w:t> </w:t>
      </w:r>
      <w:r>
        <w:rPr>
          <w:color w:val="231F20"/>
        </w:rPr>
        <w:t>los</w:t>
      </w:r>
      <w:r>
        <w:rPr>
          <w:color w:val="231F20"/>
          <w:spacing w:val="-15"/>
        </w:rPr>
        <w:t> </w:t>
      </w:r>
      <w:r>
        <w:rPr>
          <w:color w:val="231F20"/>
        </w:rPr>
        <w:t>factores</w:t>
      </w:r>
      <w:r>
        <w:rPr>
          <w:color w:val="231F20"/>
          <w:spacing w:val="-15"/>
        </w:rPr>
        <w:t> </w:t>
      </w:r>
      <w:r>
        <w:rPr>
          <w:color w:val="231F20"/>
        </w:rPr>
        <w:t>que</w:t>
      </w:r>
      <w:r>
        <w:rPr>
          <w:color w:val="231F20"/>
          <w:spacing w:val="-15"/>
        </w:rPr>
        <w:t> </w:t>
      </w:r>
      <w:r>
        <w:rPr>
          <w:color w:val="231F20"/>
        </w:rPr>
        <w:t>han</w:t>
      </w:r>
      <w:r>
        <w:rPr>
          <w:color w:val="231F20"/>
          <w:spacing w:val="-15"/>
        </w:rPr>
        <w:t> </w:t>
      </w:r>
      <w:r>
        <w:rPr>
          <w:color w:val="231F20"/>
        </w:rPr>
        <w:t>contribuido a</w:t>
      </w:r>
      <w:r>
        <w:rPr>
          <w:color w:val="231F20"/>
          <w:spacing w:val="-8"/>
        </w:rPr>
        <w:t> </w:t>
      </w:r>
      <w:r>
        <w:rPr>
          <w:color w:val="231F20"/>
        </w:rPr>
        <w:t>esa</w:t>
      </w:r>
      <w:r>
        <w:rPr>
          <w:color w:val="231F20"/>
          <w:spacing w:val="-8"/>
        </w:rPr>
        <w:t> </w:t>
      </w:r>
      <w:r>
        <w:rPr>
          <w:color w:val="231F20"/>
        </w:rPr>
        <w:t>disminución</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ritmo</w:t>
      </w:r>
      <w:r>
        <w:rPr>
          <w:color w:val="231F20"/>
          <w:spacing w:val="-8"/>
        </w:rPr>
        <w:t> </w:t>
      </w:r>
      <w:r>
        <w:rPr>
          <w:color w:val="231F20"/>
        </w:rPr>
        <w:t>de</w:t>
      </w:r>
      <w:r>
        <w:rPr>
          <w:color w:val="231F20"/>
          <w:spacing w:val="-8"/>
        </w:rPr>
        <w:t> </w:t>
      </w:r>
      <w:r>
        <w:rPr>
          <w:color w:val="231F20"/>
        </w:rPr>
        <w:t>crecimiento?</w:t>
      </w:r>
      <w:r>
        <w:rPr>
          <w:color w:val="231F20"/>
          <w:spacing w:val="-8"/>
        </w:rPr>
        <w:t> </w:t>
      </w:r>
      <w:r>
        <w:rPr>
          <w:color w:val="231F20"/>
        </w:rPr>
        <w:t>En</w:t>
      </w:r>
      <w:r>
        <w:rPr>
          <w:color w:val="231F20"/>
          <w:spacing w:val="-8"/>
        </w:rPr>
        <w:t> </w:t>
      </w:r>
      <w:r>
        <w:rPr>
          <w:color w:val="231F20"/>
        </w:rPr>
        <w:t>el</w:t>
      </w:r>
      <w:r>
        <w:rPr>
          <w:color w:val="231F20"/>
          <w:spacing w:val="-8"/>
        </w:rPr>
        <w:t> </w:t>
      </w:r>
      <w:r>
        <w:rPr>
          <w:color w:val="231F20"/>
        </w:rPr>
        <w:t>apartado</w:t>
      </w:r>
      <w:r>
        <w:rPr>
          <w:color w:val="231F20"/>
          <w:spacing w:val="-8"/>
        </w:rPr>
        <w:t> </w:t>
      </w:r>
      <w:r>
        <w:rPr>
          <w:color w:val="231F20"/>
        </w:rPr>
        <w:t>siguiente</w:t>
      </w:r>
      <w:r>
        <w:rPr>
          <w:color w:val="231F20"/>
          <w:spacing w:val="-8"/>
        </w:rPr>
        <w:t> </w:t>
      </w:r>
      <w:r>
        <w:rPr>
          <w:color w:val="231F20"/>
        </w:rPr>
        <w:t>se</w:t>
      </w:r>
      <w:r>
        <w:rPr>
          <w:color w:val="231F20"/>
          <w:spacing w:val="-8"/>
        </w:rPr>
        <w:t> </w:t>
      </w:r>
      <w:r>
        <w:rPr>
          <w:color w:val="231F20"/>
        </w:rPr>
        <w:t>exponen</w:t>
      </w:r>
      <w:r>
        <w:rPr>
          <w:color w:val="231F20"/>
          <w:spacing w:val="-8"/>
        </w:rPr>
        <w:t> </w:t>
      </w:r>
      <w:r>
        <w:rPr>
          <w:color w:val="231F20"/>
        </w:rPr>
        <w:t>jus- tamente</w:t>
      </w:r>
      <w:r>
        <w:rPr>
          <w:color w:val="231F20"/>
          <w:spacing w:val="-4"/>
        </w:rPr>
        <w:t> </w:t>
      </w:r>
      <w:r>
        <w:rPr>
          <w:color w:val="231F20"/>
        </w:rPr>
        <w:t>algunos</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factores</w:t>
      </w:r>
      <w:r>
        <w:rPr>
          <w:color w:val="231F20"/>
          <w:spacing w:val="-4"/>
        </w:rPr>
        <w:t> </w:t>
      </w:r>
      <w:r>
        <w:rPr>
          <w:color w:val="231F20"/>
        </w:rPr>
        <w:t>que</w:t>
      </w:r>
      <w:r>
        <w:rPr>
          <w:color w:val="231F20"/>
          <w:spacing w:val="-4"/>
        </w:rPr>
        <w:t> </w:t>
      </w:r>
      <w:r>
        <w:rPr>
          <w:color w:val="231F20"/>
        </w:rPr>
        <w:t>han</w:t>
      </w:r>
      <w:r>
        <w:rPr>
          <w:color w:val="231F20"/>
          <w:spacing w:val="-4"/>
        </w:rPr>
        <w:t> </w:t>
      </w:r>
      <w:r>
        <w:rPr>
          <w:color w:val="231F20"/>
        </w:rPr>
        <w:t>propiciado</w:t>
      </w:r>
      <w:r>
        <w:rPr>
          <w:color w:val="231F20"/>
          <w:spacing w:val="-4"/>
        </w:rPr>
        <w:t> </w:t>
      </w:r>
      <w:r>
        <w:rPr>
          <w:color w:val="231F20"/>
        </w:rPr>
        <w:t>este</w:t>
      </w:r>
      <w:r>
        <w:rPr>
          <w:color w:val="231F20"/>
          <w:spacing w:val="-4"/>
        </w:rPr>
        <w:t> </w:t>
      </w:r>
      <w:r>
        <w:rPr>
          <w:color w:val="231F20"/>
        </w:rPr>
        <w:t>desempeño</w:t>
      </w:r>
      <w:r>
        <w:rPr>
          <w:color w:val="231F20"/>
          <w:spacing w:val="-4"/>
        </w:rPr>
        <w:t> </w:t>
      </w:r>
      <w:r>
        <w:rPr>
          <w:color w:val="231F20"/>
        </w:rPr>
        <w:t>del</w:t>
      </w:r>
      <w:r>
        <w:rPr>
          <w:color w:val="231F20"/>
          <w:spacing w:val="-4"/>
        </w:rPr>
        <w:t> </w:t>
      </w:r>
      <w:r>
        <w:rPr>
          <w:color w:val="231F20"/>
        </w:rPr>
        <w:t>sector</w:t>
      </w:r>
      <w:r>
        <w:rPr>
          <w:color w:val="231F20"/>
          <w:spacing w:val="-4"/>
        </w:rPr>
        <w:t> </w:t>
      </w:r>
      <w:r>
        <w:rPr>
          <w:color w:val="231F20"/>
        </w:rPr>
        <w:t>durante los últimos</w:t>
      </w:r>
      <w:r>
        <w:rPr>
          <w:color w:val="231F20"/>
          <w:spacing w:val="-11"/>
        </w:rPr>
        <w:t> </w:t>
      </w:r>
      <w:r>
        <w:rPr>
          <w:color w:val="231F20"/>
        </w:rPr>
        <w:t>años.</w:t>
      </w:r>
    </w:p>
    <w:p>
      <w:pPr>
        <w:pStyle w:val="BodyText"/>
        <w:spacing w:before="4"/>
        <w:rPr>
          <w:sz w:val="17"/>
        </w:rPr>
      </w:pPr>
    </w:p>
    <w:p>
      <w:pPr>
        <w:pStyle w:val="Heading3"/>
        <w:numPr>
          <w:ilvl w:val="1"/>
          <w:numId w:val="22"/>
        </w:numPr>
        <w:tabs>
          <w:tab w:pos="1128" w:val="left" w:leader="none"/>
        </w:tabs>
        <w:spacing w:line="280" w:lineRule="exact" w:before="1" w:after="0"/>
        <w:ind w:left="713" w:right="308" w:firstLine="0"/>
        <w:jc w:val="left"/>
      </w:pPr>
      <w:r>
        <w:rPr>
          <w:color w:val="231F20"/>
          <w:w w:val="95"/>
        </w:rPr>
        <w:t>Algunas</w:t>
      </w:r>
      <w:r>
        <w:rPr>
          <w:color w:val="231F20"/>
          <w:spacing w:val="-37"/>
          <w:w w:val="95"/>
        </w:rPr>
        <w:t> </w:t>
      </w:r>
      <w:r>
        <w:rPr>
          <w:color w:val="231F20"/>
          <w:w w:val="95"/>
        </w:rPr>
        <w:t>explicaciones</w:t>
      </w:r>
      <w:r>
        <w:rPr>
          <w:color w:val="231F20"/>
          <w:spacing w:val="-37"/>
          <w:w w:val="95"/>
        </w:rPr>
        <w:t> </w:t>
      </w:r>
      <w:r>
        <w:rPr>
          <w:color w:val="231F20"/>
          <w:w w:val="95"/>
        </w:rPr>
        <w:t>a</w:t>
      </w:r>
      <w:r>
        <w:rPr>
          <w:color w:val="231F20"/>
          <w:spacing w:val="-37"/>
          <w:w w:val="95"/>
        </w:rPr>
        <w:t> </w:t>
      </w:r>
      <w:r>
        <w:rPr>
          <w:color w:val="231F20"/>
          <w:w w:val="95"/>
        </w:rPr>
        <w:t>los</w:t>
      </w:r>
      <w:r>
        <w:rPr>
          <w:color w:val="231F20"/>
          <w:spacing w:val="-37"/>
          <w:w w:val="95"/>
        </w:rPr>
        <w:t> </w:t>
      </w:r>
      <w:r>
        <w:rPr>
          <w:color w:val="231F20"/>
          <w:w w:val="95"/>
        </w:rPr>
        <w:t>bajos</w:t>
      </w:r>
      <w:r>
        <w:rPr>
          <w:color w:val="231F20"/>
          <w:spacing w:val="-37"/>
          <w:w w:val="95"/>
        </w:rPr>
        <w:t> </w:t>
      </w:r>
      <w:r>
        <w:rPr>
          <w:color w:val="231F20"/>
          <w:w w:val="95"/>
        </w:rPr>
        <w:t>niveles</w:t>
      </w:r>
      <w:r>
        <w:rPr>
          <w:color w:val="231F20"/>
          <w:spacing w:val="-37"/>
          <w:w w:val="95"/>
        </w:rPr>
        <w:t> </w:t>
      </w:r>
      <w:r>
        <w:rPr>
          <w:color w:val="231F20"/>
          <w:w w:val="95"/>
        </w:rPr>
        <w:t>de</w:t>
      </w:r>
      <w:r>
        <w:rPr>
          <w:color w:val="231F20"/>
          <w:spacing w:val="-37"/>
          <w:w w:val="95"/>
        </w:rPr>
        <w:t> </w:t>
      </w:r>
      <w:r>
        <w:rPr>
          <w:color w:val="231F20"/>
          <w:w w:val="95"/>
        </w:rPr>
        <w:t>crecimiento</w:t>
      </w:r>
      <w:r>
        <w:rPr>
          <w:color w:val="231F20"/>
          <w:spacing w:val="-37"/>
          <w:w w:val="95"/>
        </w:rPr>
        <w:t> </w:t>
      </w:r>
      <w:r>
        <w:rPr>
          <w:color w:val="231F20"/>
          <w:w w:val="95"/>
        </w:rPr>
        <w:t>del</w:t>
      </w:r>
      <w:r>
        <w:rPr>
          <w:color w:val="231F20"/>
          <w:spacing w:val="-37"/>
          <w:w w:val="95"/>
        </w:rPr>
        <w:t> </w:t>
      </w:r>
      <w:r>
        <w:rPr>
          <w:color w:val="231F20"/>
          <w:w w:val="95"/>
        </w:rPr>
        <w:t>sector automotriz</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w w:val="95"/>
        </w:rPr>
        <w:t>Estado</w:t>
      </w:r>
      <w:r>
        <w:rPr>
          <w:color w:val="231F20"/>
          <w:spacing w:val="-28"/>
          <w:w w:val="95"/>
        </w:rPr>
        <w:t> </w:t>
      </w:r>
      <w:r>
        <w:rPr>
          <w:color w:val="231F20"/>
          <w:w w:val="95"/>
        </w:rPr>
        <w:t>de</w:t>
      </w:r>
      <w:r>
        <w:rPr>
          <w:color w:val="231F20"/>
          <w:spacing w:val="-28"/>
          <w:w w:val="95"/>
        </w:rPr>
        <w:t> </w:t>
      </w:r>
      <w:r>
        <w:rPr>
          <w:color w:val="231F20"/>
          <w:w w:val="95"/>
        </w:rPr>
        <w:t>México</w:t>
      </w:r>
    </w:p>
    <w:p>
      <w:pPr>
        <w:pStyle w:val="BodyText"/>
        <w:spacing w:line="278" w:lineRule="auto" w:before="141"/>
        <w:ind w:left="713" w:right="101"/>
        <w:jc w:val="both"/>
      </w:pPr>
      <w:r>
        <w:rPr>
          <w:color w:val="231F20"/>
        </w:rPr>
        <w:t>Son varios los factores que han llevado al sector automotriz localizado en el Estado de México a disminuir drásticamente sus niveles de crecimiento durante las últimas dos décadas y media. Algunos tienen que ver con el territorio mismo y su ubicación geográfica;</w:t>
      </w:r>
      <w:r>
        <w:rPr>
          <w:color w:val="231F20"/>
          <w:spacing w:val="-7"/>
        </w:rPr>
        <w:t> </w:t>
      </w:r>
      <w:r>
        <w:rPr>
          <w:color w:val="231F20"/>
        </w:rPr>
        <w:t>otros,</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características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empresas</w:t>
      </w:r>
      <w:r>
        <w:rPr>
          <w:color w:val="231F20"/>
          <w:spacing w:val="-7"/>
        </w:rPr>
        <w:t> </w:t>
      </w:r>
      <w:r>
        <w:rPr>
          <w:color w:val="231F20"/>
        </w:rPr>
        <w:t>instaladas</w:t>
      </w:r>
      <w:r>
        <w:rPr>
          <w:color w:val="231F20"/>
          <w:spacing w:val="-7"/>
        </w:rPr>
        <w:t> </w:t>
      </w:r>
      <w:r>
        <w:rPr>
          <w:color w:val="231F20"/>
        </w:rPr>
        <w:t>en</w:t>
      </w:r>
      <w:r>
        <w:rPr>
          <w:color w:val="231F20"/>
          <w:spacing w:val="-7"/>
        </w:rPr>
        <w:t> </w:t>
      </w:r>
      <w:r>
        <w:rPr>
          <w:color w:val="231F20"/>
        </w:rPr>
        <w:t>esta</w:t>
      </w:r>
      <w:r>
        <w:rPr>
          <w:color w:val="231F20"/>
          <w:spacing w:val="-7"/>
        </w:rPr>
        <w:t> </w:t>
      </w:r>
      <w:r>
        <w:rPr>
          <w:color w:val="231F20"/>
        </w:rPr>
        <w:t>entidad</w:t>
      </w:r>
      <w:r>
        <w:rPr>
          <w:color w:val="231F20"/>
          <w:spacing w:val="-7"/>
        </w:rPr>
        <w:t> </w:t>
      </w:r>
      <w:r>
        <w:rPr>
          <w:color w:val="231F20"/>
        </w:rPr>
        <w:t>y</w:t>
      </w:r>
      <w:r>
        <w:rPr>
          <w:color w:val="231F20"/>
          <w:spacing w:val="-7"/>
        </w:rPr>
        <w:t> </w:t>
      </w:r>
      <w:r>
        <w:rPr>
          <w:color w:val="231F20"/>
        </w:rPr>
        <w:t>el agotamiento de procesos</w:t>
      </w:r>
      <w:r>
        <w:rPr>
          <w:color w:val="231F20"/>
          <w:spacing w:val="-11"/>
        </w:rPr>
        <w:t> </w:t>
      </w:r>
      <w:r>
        <w:rPr>
          <w:color w:val="231F20"/>
        </w:rPr>
        <w:t>productivos.</w:t>
      </w:r>
    </w:p>
    <w:p>
      <w:pPr>
        <w:pStyle w:val="BodyText"/>
        <w:spacing w:line="249" w:lineRule="auto" w:before="1"/>
        <w:ind w:left="713" w:right="100" w:firstLine="396"/>
        <w:jc w:val="both"/>
      </w:pPr>
      <w:r>
        <w:rPr>
          <w:color w:val="231F20"/>
        </w:rPr>
        <w:t>Sin duda, un primer factor es la política de desconcentración que se dio a prin- cipios de la década de los setenta, expresada en los decretos de </w:t>
      </w:r>
      <w:r>
        <w:rPr>
          <w:rFonts w:ascii="Palatino Linotype" w:hAnsi="Palatino Linotype"/>
          <w:i/>
          <w:color w:val="231F20"/>
        </w:rPr>
        <w:t>Descentralización in- </w:t>
      </w:r>
      <w:r>
        <w:rPr>
          <w:rFonts w:ascii="Palatino Linotype" w:hAnsi="Palatino Linotype"/>
          <w:i/>
          <w:color w:val="231F20"/>
        </w:rPr>
        <w:t>dustrial</w:t>
      </w:r>
      <w:r>
        <w:rPr>
          <w:rFonts w:ascii="Palatino Linotype" w:hAnsi="Palatino Linotype"/>
          <w:i/>
          <w:color w:val="231F20"/>
          <w:spacing w:val="-7"/>
        </w:rPr>
        <w:t> </w:t>
      </w:r>
      <w:r>
        <w:rPr>
          <w:color w:val="231F20"/>
        </w:rPr>
        <w:t>de</w:t>
      </w:r>
      <w:r>
        <w:rPr>
          <w:color w:val="231F20"/>
          <w:spacing w:val="-7"/>
        </w:rPr>
        <w:t> </w:t>
      </w:r>
      <w:r>
        <w:rPr>
          <w:color w:val="231F20"/>
        </w:rPr>
        <w:t>1971</w:t>
      </w:r>
      <w:r>
        <w:rPr>
          <w:color w:val="231F20"/>
          <w:spacing w:val="-7"/>
        </w:rPr>
        <w:t> </w:t>
      </w:r>
      <w:r>
        <w:rPr>
          <w:color w:val="231F20"/>
        </w:rPr>
        <w:t>y</w:t>
      </w:r>
      <w:r>
        <w:rPr>
          <w:color w:val="231F20"/>
          <w:spacing w:val="-7"/>
        </w:rPr>
        <w:t> </w:t>
      </w:r>
      <w:r>
        <w:rPr>
          <w:color w:val="231F20"/>
        </w:rPr>
        <w:t>1972,</w:t>
      </w:r>
      <w:r>
        <w:rPr>
          <w:color w:val="231F20"/>
          <w:spacing w:val="-7"/>
        </w:rPr>
        <w:t> </w:t>
      </w:r>
      <w:r>
        <w:rPr>
          <w:color w:val="231F20"/>
        </w:rPr>
        <w:t>así</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primer</w:t>
      </w:r>
      <w:r>
        <w:rPr>
          <w:color w:val="231F20"/>
          <w:spacing w:val="-7"/>
        </w:rPr>
        <w:t> </w:t>
      </w:r>
      <w:r>
        <w:rPr>
          <w:color w:val="231F20"/>
        </w:rPr>
        <w:t>Plan</w:t>
      </w:r>
      <w:r>
        <w:rPr>
          <w:color w:val="231F20"/>
          <w:spacing w:val="-7"/>
        </w:rPr>
        <w:t> </w:t>
      </w:r>
      <w:r>
        <w:rPr>
          <w:color w:val="231F20"/>
        </w:rPr>
        <w:t>Nacional</w:t>
      </w:r>
      <w:r>
        <w:rPr>
          <w:color w:val="231F20"/>
          <w:spacing w:val="-7"/>
        </w:rPr>
        <w:t> </w:t>
      </w:r>
      <w:r>
        <w:rPr>
          <w:color w:val="231F20"/>
        </w:rPr>
        <w:t>de</w:t>
      </w:r>
      <w:r>
        <w:rPr>
          <w:color w:val="231F20"/>
          <w:spacing w:val="-7"/>
        </w:rPr>
        <w:t> </w:t>
      </w:r>
      <w:r>
        <w:rPr>
          <w:color w:val="231F20"/>
        </w:rPr>
        <w:t>Desarrollo</w:t>
      </w:r>
      <w:r>
        <w:rPr>
          <w:color w:val="231F20"/>
          <w:spacing w:val="-7"/>
        </w:rPr>
        <w:t> </w:t>
      </w:r>
      <w:r>
        <w:rPr>
          <w:color w:val="231F20"/>
          <w:spacing w:val="-2"/>
        </w:rPr>
        <w:t>Urbano</w:t>
      </w:r>
      <w:r>
        <w:rPr>
          <w:color w:val="231F20"/>
          <w:spacing w:val="-7"/>
        </w:rPr>
        <w:t> </w:t>
      </w:r>
      <w:r>
        <w:rPr>
          <w:color w:val="231F20"/>
        </w:rPr>
        <w:t>de 1978, que tenía como propósito principal la descentralización industrial de la</w:t>
      </w:r>
      <w:r>
        <w:rPr>
          <w:color w:val="231F20"/>
          <w:spacing w:val="50"/>
        </w:rPr>
        <w:t> </w:t>
      </w:r>
      <w:r>
        <w:rPr>
          <w:color w:val="231F20"/>
        </w:rPr>
        <w:t>Ciudad</w:t>
      </w:r>
    </w:p>
    <w:p>
      <w:pPr>
        <w:spacing w:after="0" w:line="249" w:lineRule="auto"/>
        <w:jc w:val="both"/>
        <w:sectPr>
          <w:type w:val="continuous"/>
          <w:pgSz w:w="9640" w:h="13040"/>
          <w:pgMar w:top="1200" w:bottom="280" w:left="420" w:right="1200"/>
        </w:sectPr>
      </w:pPr>
    </w:p>
    <w:p>
      <w:pPr>
        <w:pStyle w:val="BodyText"/>
        <w:rPr>
          <w:sz w:val="20"/>
        </w:rPr>
      </w:pPr>
    </w:p>
    <w:p>
      <w:pPr>
        <w:pStyle w:val="BodyText"/>
        <w:spacing w:before="10"/>
        <w:rPr>
          <w:sz w:val="17"/>
        </w:rPr>
      </w:pPr>
    </w:p>
    <w:p>
      <w:pPr>
        <w:pStyle w:val="BodyText"/>
        <w:spacing w:line="278" w:lineRule="auto"/>
        <w:ind w:left="123" w:right="711"/>
        <w:jc w:val="both"/>
      </w:pPr>
      <w:r>
        <w:rPr>
          <w:color w:val="231F20"/>
        </w:rPr>
        <w:t>de</w:t>
      </w:r>
      <w:r>
        <w:rPr>
          <w:color w:val="231F20"/>
          <w:spacing w:val="-10"/>
        </w:rPr>
        <w:t> </w:t>
      </w:r>
      <w:r>
        <w:rPr>
          <w:color w:val="231F20"/>
        </w:rPr>
        <w:t>México</w:t>
      </w:r>
      <w:r>
        <w:rPr>
          <w:color w:val="231F20"/>
          <w:spacing w:val="-10"/>
        </w:rPr>
        <w:t> </w:t>
      </w:r>
      <w:r>
        <w:rPr>
          <w:color w:val="231F20"/>
        </w:rPr>
        <w:t>y</w:t>
      </w:r>
      <w:r>
        <w:rPr>
          <w:color w:val="231F20"/>
          <w:spacing w:val="-10"/>
        </w:rPr>
        <w:t> </w:t>
      </w:r>
      <w:r>
        <w:rPr>
          <w:color w:val="231F20"/>
        </w:rPr>
        <w:t>el</w:t>
      </w:r>
      <w:r>
        <w:rPr>
          <w:color w:val="231F20"/>
          <w:spacing w:val="-10"/>
        </w:rPr>
        <w:t> </w:t>
      </w:r>
      <w:r>
        <w:rPr>
          <w:color w:val="231F20"/>
        </w:rPr>
        <w:t>impulso</w:t>
      </w:r>
      <w:r>
        <w:rPr>
          <w:color w:val="231F20"/>
          <w:spacing w:val="-10"/>
        </w:rPr>
        <w:t> </w:t>
      </w:r>
      <w:r>
        <w:rPr>
          <w:color w:val="231F20"/>
        </w:rPr>
        <w:t>al</w:t>
      </w:r>
      <w:r>
        <w:rPr>
          <w:color w:val="231F20"/>
          <w:spacing w:val="-10"/>
        </w:rPr>
        <w:t> </w:t>
      </w:r>
      <w:r>
        <w:rPr>
          <w:color w:val="231F20"/>
        </w:rPr>
        <w:t>crecimiento</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ciudades</w:t>
      </w:r>
      <w:r>
        <w:rPr>
          <w:color w:val="231F20"/>
          <w:spacing w:val="-10"/>
        </w:rPr>
        <w:t> </w:t>
      </w:r>
      <w:r>
        <w:rPr>
          <w:color w:val="231F20"/>
        </w:rPr>
        <w:t>intermedias.</w:t>
      </w:r>
      <w:r>
        <w:rPr>
          <w:color w:val="231F20"/>
          <w:position w:val="7"/>
          <w:sz w:val="12"/>
        </w:rPr>
        <w:t>4</w:t>
      </w:r>
      <w:r>
        <w:rPr>
          <w:color w:val="231F20"/>
          <w:spacing w:val="12"/>
          <w:position w:val="7"/>
          <w:sz w:val="12"/>
        </w:rPr>
        <w:t> </w:t>
      </w:r>
      <w:r>
        <w:rPr>
          <w:color w:val="231F20"/>
        </w:rPr>
        <w:t>A</w:t>
      </w:r>
      <w:r>
        <w:rPr>
          <w:color w:val="231F20"/>
          <w:spacing w:val="-10"/>
        </w:rPr>
        <w:t> </w:t>
      </w:r>
      <w:r>
        <w:rPr>
          <w:color w:val="231F20"/>
        </w:rPr>
        <w:t>partir</w:t>
      </w:r>
      <w:r>
        <w:rPr>
          <w:color w:val="231F20"/>
          <w:spacing w:val="-10"/>
        </w:rPr>
        <w:t> </w:t>
      </w:r>
      <w:r>
        <w:rPr>
          <w:color w:val="231F20"/>
        </w:rPr>
        <w:t>de</w:t>
      </w:r>
      <w:r>
        <w:rPr>
          <w:color w:val="231F20"/>
          <w:spacing w:val="-10"/>
        </w:rPr>
        <w:t> </w:t>
      </w:r>
      <w:r>
        <w:rPr>
          <w:color w:val="231F20"/>
        </w:rPr>
        <w:t>lo</w:t>
      </w:r>
      <w:r>
        <w:rPr>
          <w:color w:val="231F20"/>
          <w:spacing w:val="-10"/>
        </w:rPr>
        <w:t> </w:t>
      </w:r>
      <w:r>
        <w:rPr>
          <w:color w:val="231F20"/>
        </w:rPr>
        <w:t>cual, se sentaron las bases para que muchas empresas que concentraban sus procesos pro- ductivos en el Distrito Federal y en el Estado de México, entidades donde se inició el proceso de industrialización del país, empezaran a emigrar o ubicar plantas nuevas en otras</w:t>
      </w:r>
      <w:r>
        <w:rPr>
          <w:color w:val="231F20"/>
          <w:spacing w:val="-10"/>
        </w:rPr>
        <w:t> </w:t>
      </w:r>
      <w:r>
        <w:rPr>
          <w:color w:val="231F20"/>
        </w:rPr>
        <w:t>regiones.</w:t>
      </w:r>
    </w:p>
    <w:p>
      <w:pPr>
        <w:pStyle w:val="BodyText"/>
        <w:spacing w:line="278" w:lineRule="auto" w:before="1"/>
        <w:ind w:left="123" w:right="710" w:firstLine="396"/>
        <w:jc w:val="both"/>
      </w:pPr>
      <w:r>
        <w:rPr>
          <w:color w:val="010202"/>
        </w:rPr>
        <w:t>Sumado</w:t>
      </w:r>
      <w:r>
        <w:rPr>
          <w:color w:val="010202"/>
          <w:spacing w:val="-5"/>
        </w:rPr>
        <w:t> </w:t>
      </w:r>
      <w:r>
        <w:rPr>
          <w:color w:val="010202"/>
        </w:rPr>
        <w:t>a</w:t>
      </w:r>
      <w:r>
        <w:rPr>
          <w:color w:val="010202"/>
          <w:spacing w:val="-5"/>
        </w:rPr>
        <w:t> </w:t>
      </w:r>
      <w:r>
        <w:rPr>
          <w:color w:val="010202"/>
          <w:spacing w:val="-3"/>
        </w:rPr>
        <w:t>esto,</w:t>
      </w:r>
      <w:r>
        <w:rPr>
          <w:color w:val="010202"/>
          <w:spacing w:val="-5"/>
        </w:rPr>
        <w:t> </w:t>
      </w:r>
      <w:r>
        <w:rPr>
          <w:color w:val="010202"/>
        </w:rPr>
        <w:t>el</w:t>
      </w:r>
      <w:r>
        <w:rPr>
          <w:color w:val="010202"/>
          <w:spacing w:val="-5"/>
        </w:rPr>
        <w:t> </w:t>
      </w:r>
      <w:r>
        <w:rPr>
          <w:color w:val="010202"/>
        </w:rPr>
        <w:t>escenario</w:t>
      </w:r>
      <w:r>
        <w:rPr>
          <w:color w:val="010202"/>
          <w:spacing w:val="-5"/>
        </w:rPr>
        <w:t> </w:t>
      </w:r>
      <w:r>
        <w:rPr>
          <w:color w:val="010202"/>
        </w:rPr>
        <w:t>mundial</w:t>
      </w:r>
      <w:r>
        <w:rPr>
          <w:color w:val="010202"/>
          <w:spacing w:val="-5"/>
        </w:rPr>
        <w:t> </w:t>
      </w:r>
      <w:r>
        <w:rPr>
          <w:color w:val="010202"/>
        </w:rPr>
        <w:t>de</w:t>
      </w:r>
      <w:r>
        <w:rPr>
          <w:color w:val="010202"/>
          <w:spacing w:val="-5"/>
        </w:rPr>
        <w:t> </w:t>
      </w:r>
      <w:r>
        <w:rPr>
          <w:color w:val="010202"/>
        </w:rPr>
        <w:t>competencia</w:t>
      </w:r>
      <w:r>
        <w:rPr>
          <w:color w:val="010202"/>
          <w:spacing w:val="-5"/>
        </w:rPr>
        <w:t> </w:t>
      </w:r>
      <w:r>
        <w:rPr>
          <w:color w:val="010202"/>
        </w:rPr>
        <w:t>que</w:t>
      </w:r>
      <w:r>
        <w:rPr>
          <w:color w:val="010202"/>
          <w:spacing w:val="-5"/>
        </w:rPr>
        <w:t> </w:t>
      </w:r>
      <w:r>
        <w:rPr>
          <w:color w:val="010202"/>
        </w:rPr>
        <w:t>se</w:t>
      </w:r>
      <w:r>
        <w:rPr>
          <w:color w:val="010202"/>
          <w:spacing w:val="-5"/>
        </w:rPr>
        <w:t> </w:t>
      </w:r>
      <w:r>
        <w:rPr>
          <w:color w:val="010202"/>
        </w:rPr>
        <w:t>vivía</w:t>
      </w:r>
      <w:r>
        <w:rPr>
          <w:color w:val="010202"/>
          <w:spacing w:val="-5"/>
        </w:rPr>
        <w:t> </w:t>
      </w:r>
      <w:r>
        <w:rPr>
          <w:color w:val="010202"/>
        </w:rPr>
        <w:t>obligó</w:t>
      </w:r>
      <w:r>
        <w:rPr>
          <w:color w:val="010202"/>
          <w:spacing w:val="-5"/>
        </w:rPr>
        <w:t> </w:t>
      </w:r>
      <w:r>
        <w:rPr>
          <w:color w:val="010202"/>
        </w:rPr>
        <w:t>a</w:t>
      </w:r>
      <w:r>
        <w:rPr>
          <w:color w:val="010202"/>
          <w:spacing w:val="-5"/>
        </w:rPr>
        <w:t> </w:t>
      </w:r>
      <w:r>
        <w:rPr>
          <w:color w:val="010202"/>
        </w:rPr>
        <w:t>las</w:t>
      </w:r>
      <w:r>
        <w:rPr>
          <w:color w:val="010202"/>
          <w:spacing w:val="-5"/>
        </w:rPr>
        <w:t> </w:t>
      </w:r>
      <w:r>
        <w:rPr>
          <w:color w:val="010202"/>
        </w:rPr>
        <w:t>tres grandes armadoras norteamericanas con plantas en el Estado de México —Chrysler, </w:t>
      </w:r>
      <w:r>
        <w:rPr>
          <w:color w:val="010202"/>
          <w:spacing w:val="-3"/>
        </w:rPr>
        <w:t>Ford</w:t>
      </w:r>
      <w:r>
        <w:rPr>
          <w:color w:val="010202"/>
          <w:spacing w:val="-13"/>
        </w:rPr>
        <w:t> </w:t>
      </w:r>
      <w:r>
        <w:rPr>
          <w:color w:val="010202"/>
        </w:rPr>
        <w:t>y</w:t>
      </w:r>
      <w:r>
        <w:rPr>
          <w:color w:val="010202"/>
          <w:spacing w:val="-13"/>
        </w:rPr>
        <w:t> </w:t>
      </w:r>
      <w:r>
        <w:rPr>
          <w:color w:val="010202"/>
        </w:rPr>
        <w:t>General</w:t>
      </w:r>
      <w:r>
        <w:rPr>
          <w:color w:val="010202"/>
          <w:spacing w:val="-13"/>
        </w:rPr>
        <w:t> </w:t>
      </w:r>
      <w:r>
        <w:rPr>
          <w:color w:val="010202"/>
          <w:spacing w:val="-3"/>
        </w:rPr>
        <w:t>Motors—</w:t>
      </w:r>
      <w:r>
        <w:rPr>
          <w:color w:val="010202"/>
          <w:spacing w:val="-13"/>
        </w:rPr>
        <w:t> </w:t>
      </w:r>
      <w:r>
        <w:rPr>
          <w:color w:val="010202"/>
        </w:rPr>
        <w:t>a</w:t>
      </w:r>
      <w:r>
        <w:rPr>
          <w:color w:val="010202"/>
          <w:spacing w:val="-13"/>
        </w:rPr>
        <w:t> </w:t>
      </w:r>
      <w:r>
        <w:rPr>
          <w:color w:val="010202"/>
        </w:rPr>
        <w:t>ubicar</w:t>
      </w:r>
      <w:r>
        <w:rPr>
          <w:color w:val="010202"/>
          <w:spacing w:val="-13"/>
        </w:rPr>
        <w:t> </w:t>
      </w:r>
      <w:r>
        <w:rPr>
          <w:color w:val="010202"/>
        </w:rPr>
        <w:t>sus</w:t>
      </w:r>
      <w:r>
        <w:rPr>
          <w:color w:val="010202"/>
          <w:spacing w:val="-13"/>
        </w:rPr>
        <w:t> </w:t>
      </w:r>
      <w:r>
        <w:rPr>
          <w:color w:val="010202"/>
        </w:rPr>
        <w:t>nuevos</w:t>
      </w:r>
      <w:r>
        <w:rPr>
          <w:color w:val="010202"/>
          <w:spacing w:val="-13"/>
        </w:rPr>
        <w:t> </w:t>
      </w:r>
      <w:r>
        <w:rPr>
          <w:color w:val="010202"/>
        </w:rPr>
        <w:t>complejos</w:t>
      </w:r>
      <w:r>
        <w:rPr>
          <w:color w:val="010202"/>
          <w:spacing w:val="-12"/>
        </w:rPr>
        <w:t> </w:t>
      </w:r>
      <w:r>
        <w:rPr>
          <w:color w:val="010202"/>
        </w:rPr>
        <w:t>automotrices</w:t>
      </w:r>
      <w:r>
        <w:rPr>
          <w:color w:val="010202"/>
          <w:spacing w:val="-12"/>
        </w:rPr>
        <w:t> </w:t>
      </w:r>
      <w:r>
        <w:rPr>
          <w:color w:val="010202"/>
        </w:rPr>
        <w:t>en</w:t>
      </w:r>
      <w:r>
        <w:rPr>
          <w:color w:val="010202"/>
          <w:spacing w:val="-13"/>
        </w:rPr>
        <w:t> </w:t>
      </w:r>
      <w:r>
        <w:rPr>
          <w:color w:val="010202"/>
        </w:rPr>
        <w:t>otras</w:t>
      </w:r>
      <w:r>
        <w:rPr>
          <w:color w:val="010202"/>
          <w:spacing w:val="-13"/>
        </w:rPr>
        <w:t> </w:t>
      </w:r>
      <w:r>
        <w:rPr>
          <w:color w:val="010202"/>
        </w:rPr>
        <w:t>regiones y entidades del país, como parte de las estrategias que siguieron para hacerles frente a las armadoras japonesas, que les estaban ganando un segmento importante del merca- do</w:t>
      </w:r>
      <w:r>
        <w:rPr>
          <w:color w:val="010202"/>
          <w:spacing w:val="21"/>
        </w:rPr>
        <w:t> </w:t>
      </w:r>
      <w:r>
        <w:rPr>
          <w:color w:val="010202"/>
        </w:rPr>
        <w:t>norteamericano.</w:t>
      </w:r>
    </w:p>
    <w:p>
      <w:pPr>
        <w:pStyle w:val="BodyText"/>
        <w:spacing w:line="278" w:lineRule="auto" w:before="1"/>
        <w:ind w:left="123" w:right="708" w:firstLine="396"/>
        <w:jc w:val="both"/>
      </w:pPr>
      <w:r>
        <w:rPr>
          <w:color w:val="010202"/>
        </w:rPr>
        <w:t>En 1981 General Motors inauguró dos plantas más, una de motores y otra de montaje en Ramos Arizpe, que en su momento representó la inversión más impor- tante de esta trasnacional en América Latina; produce para el mercado interno y      de exportación. En ese mismo año </w:t>
      </w:r>
      <w:r>
        <w:rPr>
          <w:color w:val="010202"/>
          <w:spacing w:val="2"/>
        </w:rPr>
        <w:t>Chrysler </w:t>
      </w:r>
      <w:r>
        <w:rPr>
          <w:color w:val="010202"/>
        </w:rPr>
        <w:t>inauguró en Ramos </w:t>
      </w:r>
      <w:r>
        <w:rPr>
          <w:color w:val="010202"/>
          <w:spacing w:val="2"/>
        </w:rPr>
        <w:t>Arizpe </w:t>
      </w:r>
      <w:r>
        <w:rPr>
          <w:color w:val="010202"/>
        </w:rPr>
        <w:t>una planta  de motores, de la cual se exporta la mayor parte de la producción (cerca del 80%) (Dombois,</w:t>
      </w:r>
      <w:r>
        <w:rPr>
          <w:color w:val="010202"/>
          <w:spacing w:val="-2"/>
        </w:rPr>
        <w:t> </w:t>
      </w:r>
      <w:r>
        <w:rPr>
          <w:color w:val="010202"/>
          <w:spacing w:val="2"/>
        </w:rPr>
        <w:t>1990).</w:t>
      </w:r>
    </w:p>
    <w:p>
      <w:pPr>
        <w:pStyle w:val="BodyText"/>
        <w:spacing w:line="268" w:lineRule="auto" w:before="1"/>
        <w:ind w:left="123" w:right="709" w:firstLine="396"/>
        <w:jc w:val="both"/>
      </w:pPr>
      <w:r>
        <w:rPr>
          <w:color w:val="010202"/>
        </w:rPr>
        <w:t>Ford, por su parte, en 1983 inauguró una nueva planta en Chihuahua, dedica-   da a la fabricación de motores para exportación principalmente (en 1986, 90% de     lo producido se exportó). Hacia 1986, en Hermosillo, Sonora, esta misma empresa estableció, en calidad de </w:t>
      </w:r>
      <w:r>
        <w:rPr>
          <w:rFonts w:ascii="Palatino Linotype" w:hAnsi="Palatino Linotype"/>
          <w:i/>
          <w:color w:val="010202"/>
        </w:rPr>
        <w:t>joint venture </w:t>
      </w:r>
      <w:r>
        <w:rPr>
          <w:color w:val="010202"/>
        </w:rPr>
        <w:t>con la empresa Mazda, una nueva planta de producción, donde se hace trabajo de prensado y montaje (90% se destina a la expor- tación a Estados</w:t>
      </w:r>
      <w:r>
        <w:rPr>
          <w:color w:val="010202"/>
          <w:spacing w:val="14"/>
        </w:rPr>
        <w:t> </w:t>
      </w:r>
      <w:r>
        <w:rPr>
          <w:color w:val="010202"/>
        </w:rPr>
        <w:t>Unidos).</w:t>
      </w:r>
    </w:p>
    <w:p>
      <w:pPr>
        <w:pStyle w:val="BodyText"/>
        <w:spacing w:line="278" w:lineRule="auto" w:before="10"/>
        <w:ind w:left="123" w:right="710" w:firstLine="396"/>
        <w:jc w:val="both"/>
      </w:pPr>
      <w:r>
        <w:rPr>
          <w:color w:val="231F20"/>
        </w:rPr>
        <w:t>La política de apertura económica seguida por México desde principios de los ochenta</w:t>
      </w:r>
      <w:r>
        <w:rPr>
          <w:color w:val="231F20"/>
          <w:spacing w:val="-11"/>
        </w:rPr>
        <w:t> </w:t>
      </w:r>
      <w:r>
        <w:rPr>
          <w:color w:val="231F20"/>
        </w:rPr>
        <w:t>representa</w:t>
      </w:r>
      <w:r>
        <w:rPr>
          <w:color w:val="231F20"/>
          <w:spacing w:val="-11"/>
        </w:rPr>
        <w:t> </w:t>
      </w:r>
      <w:r>
        <w:rPr>
          <w:color w:val="231F20"/>
        </w:rPr>
        <w:t>otro</w:t>
      </w:r>
      <w:r>
        <w:rPr>
          <w:color w:val="231F20"/>
          <w:spacing w:val="-11"/>
        </w:rPr>
        <w:t> </w:t>
      </w:r>
      <w:r>
        <w:rPr>
          <w:color w:val="231F20"/>
        </w:rPr>
        <w:t>factor</w:t>
      </w:r>
      <w:r>
        <w:rPr>
          <w:color w:val="231F20"/>
          <w:spacing w:val="-11"/>
        </w:rPr>
        <w:t> </w:t>
      </w:r>
      <w:r>
        <w:rPr>
          <w:color w:val="231F20"/>
        </w:rPr>
        <w:t>importante,</w:t>
      </w:r>
      <w:r>
        <w:rPr>
          <w:color w:val="231F20"/>
          <w:spacing w:val="-11"/>
        </w:rPr>
        <w:t> </w:t>
      </w:r>
      <w:r>
        <w:rPr>
          <w:color w:val="231F20"/>
        </w:rPr>
        <w:t>en</w:t>
      </w:r>
      <w:r>
        <w:rPr>
          <w:color w:val="231F20"/>
          <w:spacing w:val="-11"/>
        </w:rPr>
        <w:t> </w:t>
      </w:r>
      <w:r>
        <w:rPr>
          <w:color w:val="231F20"/>
        </w:rPr>
        <w:t>especial</w:t>
      </w:r>
      <w:r>
        <w:rPr>
          <w:color w:val="231F20"/>
          <w:spacing w:val="-11"/>
        </w:rPr>
        <w:t> </w:t>
      </w:r>
      <w:r>
        <w:rPr>
          <w:color w:val="231F20"/>
        </w:rPr>
        <w:t>la</w:t>
      </w:r>
      <w:r>
        <w:rPr>
          <w:color w:val="231F20"/>
          <w:spacing w:val="-11"/>
        </w:rPr>
        <w:t> </w:t>
      </w:r>
      <w:r>
        <w:rPr>
          <w:color w:val="231F20"/>
        </w:rPr>
        <w:t>firma</w:t>
      </w:r>
      <w:r>
        <w:rPr>
          <w:color w:val="231F20"/>
          <w:spacing w:val="-11"/>
        </w:rPr>
        <w:t> </w:t>
      </w:r>
      <w:r>
        <w:rPr>
          <w:color w:val="231F20"/>
        </w:rPr>
        <w:t>del</w:t>
      </w:r>
      <w:r>
        <w:rPr>
          <w:color w:val="231F20"/>
          <w:spacing w:val="-11"/>
        </w:rPr>
        <w:t> </w:t>
      </w:r>
      <w:r>
        <w:rPr>
          <w:color w:val="231F20"/>
        </w:rPr>
        <w:t>TLCAN</w:t>
      </w:r>
      <w:r>
        <w:rPr>
          <w:color w:val="231F20"/>
          <w:spacing w:val="-11"/>
        </w:rPr>
        <w:t> </w:t>
      </w:r>
      <w:r>
        <w:rPr>
          <w:color w:val="231F20"/>
        </w:rPr>
        <w:t>entre</w:t>
      </w:r>
      <w:r>
        <w:rPr>
          <w:color w:val="231F20"/>
          <w:spacing w:val="-11"/>
        </w:rPr>
        <w:t> </w:t>
      </w:r>
      <w:r>
        <w:rPr>
          <w:color w:val="231F20"/>
        </w:rPr>
        <w:t>Méxi- </w:t>
      </w:r>
      <w:r>
        <w:rPr>
          <w:color w:val="231F20"/>
          <w:spacing w:val="-3"/>
        </w:rPr>
        <w:t>co,</w:t>
      </w:r>
      <w:r>
        <w:rPr>
          <w:color w:val="231F20"/>
          <w:spacing w:val="-13"/>
        </w:rPr>
        <w:t> </w:t>
      </w:r>
      <w:r>
        <w:rPr>
          <w:color w:val="231F20"/>
        </w:rPr>
        <w:t>Estados</w:t>
      </w:r>
      <w:r>
        <w:rPr>
          <w:color w:val="231F20"/>
          <w:spacing w:val="-13"/>
        </w:rPr>
        <w:t> </w:t>
      </w:r>
      <w:r>
        <w:rPr>
          <w:color w:val="231F20"/>
        </w:rPr>
        <w:t>Unidos</w:t>
      </w:r>
      <w:r>
        <w:rPr>
          <w:color w:val="231F20"/>
          <w:spacing w:val="-13"/>
        </w:rPr>
        <w:t> </w:t>
      </w:r>
      <w:r>
        <w:rPr>
          <w:color w:val="231F20"/>
        </w:rPr>
        <w:t>y</w:t>
      </w:r>
      <w:r>
        <w:rPr>
          <w:color w:val="231F20"/>
          <w:spacing w:val="-13"/>
        </w:rPr>
        <w:t> </w:t>
      </w:r>
      <w:r>
        <w:rPr>
          <w:color w:val="231F20"/>
        </w:rPr>
        <w:t>Canadá,</w:t>
      </w:r>
      <w:r>
        <w:rPr>
          <w:color w:val="231F20"/>
          <w:spacing w:val="-13"/>
        </w:rPr>
        <w:t> </w:t>
      </w:r>
      <w:r>
        <w:rPr>
          <w:color w:val="231F20"/>
        </w:rPr>
        <w:t>que</w:t>
      </w:r>
      <w:r>
        <w:rPr>
          <w:color w:val="231F20"/>
          <w:spacing w:val="-13"/>
        </w:rPr>
        <w:t> </w:t>
      </w:r>
      <w:r>
        <w:rPr>
          <w:color w:val="231F20"/>
        </w:rPr>
        <w:t>marcó</w:t>
      </w:r>
      <w:r>
        <w:rPr>
          <w:color w:val="231F20"/>
          <w:spacing w:val="-13"/>
        </w:rPr>
        <w:t> </w:t>
      </w:r>
      <w:r>
        <w:rPr>
          <w:color w:val="231F20"/>
        </w:rPr>
        <w:t>el</w:t>
      </w:r>
      <w:r>
        <w:rPr>
          <w:color w:val="231F20"/>
          <w:spacing w:val="-13"/>
        </w:rPr>
        <w:t> </w:t>
      </w:r>
      <w:r>
        <w:rPr>
          <w:color w:val="231F20"/>
        </w:rPr>
        <w:t>desarrollo</w:t>
      </w:r>
      <w:r>
        <w:rPr>
          <w:color w:val="231F20"/>
          <w:spacing w:val="-13"/>
        </w:rPr>
        <w:t> </w:t>
      </w:r>
      <w:r>
        <w:rPr>
          <w:color w:val="231F20"/>
        </w:rPr>
        <w:t>del</w:t>
      </w:r>
      <w:r>
        <w:rPr>
          <w:color w:val="231F20"/>
          <w:spacing w:val="-13"/>
        </w:rPr>
        <w:t> </w:t>
      </w:r>
      <w:r>
        <w:rPr>
          <w:color w:val="231F20"/>
          <w:spacing w:val="-3"/>
        </w:rPr>
        <w:t>sector.</w:t>
      </w:r>
      <w:r>
        <w:rPr>
          <w:color w:val="231F20"/>
          <w:spacing w:val="-13"/>
        </w:rPr>
        <w:t> </w:t>
      </w:r>
      <w:r>
        <w:rPr>
          <w:color w:val="231F20"/>
          <w:spacing w:val="-4"/>
        </w:rPr>
        <w:t>Por</w:t>
      </w:r>
      <w:r>
        <w:rPr>
          <w:color w:val="231F20"/>
          <w:spacing w:val="-13"/>
        </w:rPr>
        <w:t> </w:t>
      </w:r>
      <w:r>
        <w:rPr>
          <w:color w:val="231F20"/>
        </w:rPr>
        <w:t>un</w:t>
      </w:r>
      <w:r>
        <w:rPr>
          <w:color w:val="231F20"/>
          <w:spacing w:val="-13"/>
        </w:rPr>
        <w:t> </w:t>
      </w:r>
      <w:r>
        <w:rPr>
          <w:color w:val="231F20"/>
        </w:rPr>
        <w:t>lado,</w:t>
      </w:r>
      <w:r>
        <w:rPr>
          <w:color w:val="231F20"/>
          <w:spacing w:val="-13"/>
        </w:rPr>
        <w:t> </w:t>
      </w:r>
      <w:r>
        <w:rPr>
          <w:color w:val="231F20"/>
        </w:rPr>
        <w:t>consolidó la reubicación de complejos automotrices (armadoras y productoras de autopartes) en los estados del norte de México, en detrimento de la industria localizada en el centro del</w:t>
      </w:r>
      <w:r>
        <w:rPr>
          <w:color w:val="231F20"/>
          <w:spacing w:val="-7"/>
        </w:rPr>
        <w:t> </w:t>
      </w:r>
      <w:r>
        <w:rPr>
          <w:color w:val="231F20"/>
        </w:rPr>
        <w:t>país,</w:t>
      </w:r>
      <w:r>
        <w:rPr>
          <w:color w:val="231F20"/>
          <w:spacing w:val="-7"/>
        </w:rPr>
        <w:t> </w:t>
      </w:r>
      <w:r>
        <w:rPr>
          <w:color w:val="231F20"/>
        </w:rPr>
        <w:t>concretamente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por</w:t>
      </w:r>
      <w:r>
        <w:rPr>
          <w:color w:val="231F20"/>
          <w:spacing w:val="-7"/>
        </w:rPr>
        <w:t> </w:t>
      </w:r>
      <w:r>
        <w:rPr>
          <w:color w:val="231F20"/>
          <w:spacing w:val="-3"/>
        </w:rPr>
        <w:t>otro,</w:t>
      </w:r>
      <w:r>
        <w:rPr>
          <w:color w:val="231F20"/>
          <w:spacing w:val="-7"/>
        </w:rPr>
        <w:t> </w:t>
      </w:r>
      <w:r>
        <w:rPr>
          <w:color w:val="231F20"/>
        </w:rPr>
        <w:t>favoreció</w:t>
      </w:r>
      <w:r>
        <w:rPr>
          <w:color w:val="231F20"/>
          <w:spacing w:val="-7"/>
        </w:rPr>
        <w:t> </w:t>
      </w:r>
      <w:r>
        <w:rPr>
          <w:color w:val="231F20"/>
        </w:rPr>
        <w:t>un</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gra- dual desregulación y consolidación de la etapa</w:t>
      </w:r>
      <w:r>
        <w:rPr>
          <w:color w:val="231F20"/>
          <w:spacing w:val="-29"/>
        </w:rPr>
        <w:t> </w:t>
      </w:r>
      <w:r>
        <w:rPr>
          <w:color w:val="231F20"/>
        </w:rPr>
        <w:t>exportadora.</w:t>
      </w:r>
    </w:p>
    <w:p>
      <w:pPr>
        <w:pStyle w:val="BodyText"/>
        <w:spacing w:line="278" w:lineRule="auto" w:before="1"/>
        <w:ind w:left="123" w:right="709" w:firstLine="396"/>
        <w:jc w:val="both"/>
      </w:pPr>
      <w:r>
        <w:rPr>
          <w:color w:val="231F20"/>
        </w:rPr>
        <w:t>El TLCAN representó para México la consolidación del modelo económico de apertura, en el que las relaciones con el mercado exterior se volvieron prioridad. En este sentido, también se volvió una necesidad el desplazamiento del sector automotriz desde las regiones del centro del país, tradicionalmente industrializadas, hacia nue- vas regiones emergentes, que contaban con mejores y mayores ventajas comparativas</w:t>
      </w:r>
    </w:p>
    <w:p>
      <w:pPr>
        <w:pStyle w:val="BodyText"/>
        <w:rPr>
          <w:sz w:val="20"/>
        </w:rPr>
      </w:pPr>
    </w:p>
    <w:p>
      <w:pPr>
        <w:pStyle w:val="BodyText"/>
        <w:spacing w:before="6"/>
        <w:rPr>
          <w:sz w:val="10"/>
        </w:rPr>
      </w:pPr>
      <w:r>
        <w:rPr/>
        <w:pict>
          <v:line style="position:absolute;mso-position-horizontal-relative:page;mso-position-vertical-relative:paragraph;z-index:11416;mso-wrap-distance-left:0;mso-wrap-distance-right:0" from="65.196899pt,8.256468pt" to="206.928899pt,8.256468pt" stroked="true" strokeweight=".5pt" strokecolor="#231f20">
            <w10:wrap type="topAndBottom"/>
          </v:line>
        </w:pict>
      </w:r>
    </w:p>
    <w:p>
      <w:pPr>
        <w:spacing w:before="43"/>
        <w:ind w:left="123" w:right="904" w:firstLine="0"/>
        <w:jc w:val="left"/>
        <w:rPr>
          <w:sz w:val="16"/>
        </w:rPr>
      </w:pPr>
      <w:r>
        <w:rPr>
          <w:color w:val="231F20"/>
          <w:position w:val="5"/>
          <w:sz w:val="9"/>
        </w:rPr>
        <w:t>4    </w:t>
      </w:r>
      <w:r>
        <w:rPr>
          <w:color w:val="231F20"/>
          <w:sz w:val="16"/>
        </w:rPr>
        <w:t>Para mayor detalle, véase Garza (1992).</w:t>
      </w:r>
    </w:p>
    <w:p>
      <w:pPr>
        <w:spacing w:after="0"/>
        <w:jc w:val="left"/>
        <w:rPr>
          <w:sz w:val="16"/>
        </w:rPr>
        <w:sectPr>
          <w:pgSz w:w="9640" w:h="13040"/>
          <w:pgMar w:header="520" w:footer="654" w:top="880" w:bottom="840" w:left="1180" w:right="420"/>
        </w:sectPr>
      </w:pPr>
    </w:p>
    <w:p>
      <w:pPr>
        <w:pStyle w:val="BodyText"/>
        <w:rPr>
          <w:sz w:val="20"/>
        </w:rPr>
      </w:pPr>
    </w:p>
    <w:p>
      <w:pPr>
        <w:pStyle w:val="BodyText"/>
        <w:spacing w:before="6"/>
      </w:pPr>
    </w:p>
    <w:p>
      <w:pPr>
        <w:pStyle w:val="BodyText"/>
        <w:spacing w:line="278" w:lineRule="auto" w:before="58"/>
        <w:ind w:left="713" w:right="96"/>
      </w:pPr>
      <w:r>
        <w:rPr>
          <w:color w:val="231F20"/>
        </w:rPr>
        <w:t>para operar bajo el nuevo modelo de características flexibles y mayores vínculos con el exterior.</w:t>
      </w:r>
    </w:p>
    <w:p>
      <w:pPr>
        <w:pStyle w:val="BodyText"/>
        <w:spacing w:line="278" w:lineRule="auto" w:before="1"/>
        <w:ind w:left="713" w:right="101" w:firstLine="396"/>
        <w:jc w:val="both"/>
      </w:pP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Villarreal</w:t>
      </w:r>
      <w:r>
        <w:rPr>
          <w:color w:val="231F20"/>
          <w:spacing w:val="-6"/>
        </w:rPr>
        <w:t> </w:t>
      </w:r>
      <w:r>
        <w:rPr>
          <w:color w:val="231F20"/>
        </w:rPr>
        <w:t>y</w:t>
      </w:r>
      <w:r>
        <w:rPr>
          <w:color w:val="231F20"/>
          <w:spacing w:val="-6"/>
        </w:rPr>
        <w:t> </w:t>
      </w:r>
      <w:r>
        <w:rPr>
          <w:color w:val="231F20"/>
        </w:rPr>
        <w:t>Villegas</w:t>
      </w:r>
      <w:r>
        <w:rPr>
          <w:color w:val="231F20"/>
          <w:spacing w:val="-6"/>
        </w:rPr>
        <w:t> </w:t>
      </w:r>
      <w:r>
        <w:rPr>
          <w:color w:val="231F20"/>
        </w:rPr>
        <w:t>(2007)</w:t>
      </w:r>
      <w:r>
        <w:rPr>
          <w:color w:val="231F20"/>
          <w:spacing w:val="-6"/>
        </w:rPr>
        <w:t> </w:t>
      </w:r>
      <w:r>
        <w:rPr>
          <w:color w:val="231F20"/>
        </w:rPr>
        <w:t>señalan</w:t>
      </w:r>
      <w:r>
        <w:rPr>
          <w:color w:val="231F20"/>
          <w:spacing w:val="-6"/>
        </w:rPr>
        <w:t> </w:t>
      </w:r>
      <w:r>
        <w:rPr>
          <w:color w:val="231F20"/>
        </w:rPr>
        <w:t>que</w:t>
      </w:r>
      <w:r>
        <w:rPr>
          <w:color w:val="231F20"/>
          <w:spacing w:val="-6"/>
        </w:rPr>
        <w:t> </w:t>
      </w:r>
      <w:r>
        <w:rPr>
          <w:color w:val="231F20"/>
        </w:rPr>
        <w:t>el</w:t>
      </w:r>
      <w:r>
        <w:rPr>
          <w:color w:val="231F20"/>
          <w:spacing w:val="-6"/>
        </w:rPr>
        <w:t> </w:t>
      </w:r>
      <w:r>
        <w:rPr>
          <w:color w:val="231F20"/>
        </w:rPr>
        <w:t>patrón</w:t>
      </w:r>
      <w:r>
        <w:rPr>
          <w:color w:val="231F20"/>
          <w:spacing w:val="-6"/>
        </w:rPr>
        <w:t> </w:t>
      </w:r>
      <w:r>
        <w:rPr>
          <w:color w:val="231F20"/>
        </w:rPr>
        <w:t>de</w:t>
      </w:r>
      <w:r>
        <w:rPr>
          <w:color w:val="231F20"/>
          <w:spacing w:val="-6"/>
        </w:rPr>
        <w:t> </w:t>
      </w:r>
      <w:r>
        <w:rPr>
          <w:color w:val="231F20"/>
        </w:rPr>
        <w:t>localización de la industria automotriz, hasta antes de los ochenta, respondió a las políticas de de- sarrollo económico de crecimiento hacia adentro. Las empresas automotrices se con- centraban en la región centro de México y seguían el modelo de producción fordista, que emplea abundante mano de obra no calificada, con un mercado segmentado y jerarquizado,</w:t>
      </w:r>
      <w:r>
        <w:rPr>
          <w:color w:val="231F20"/>
          <w:spacing w:val="-16"/>
        </w:rPr>
        <w:t> </w:t>
      </w:r>
      <w:r>
        <w:rPr>
          <w:color w:val="231F20"/>
        </w:rPr>
        <w:t>que</w:t>
      </w:r>
      <w:r>
        <w:rPr>
          <w:color w:val="231F20"/>
          <w:spacing w:val="-16"/>
        </w:rPr>
        <w:t> </w:t>
      </w:r>
      <w:r>
        <w:rPr>
          <w:color w:val="231F20"/>
        </w:rPr>
        <w:t>aprovecha</w:t>
      </w:r>
      <w:r>
        <w:rPr>
          <w:color w:val="231F20"/>
          <w:spacing w:val="-16"/>
        </w:rPr>
        <w:t> </w:t>
      </w:r>
      <w:r>
        <w:rPr>
          <w:color w:val="231F20"/>
        </w:rPr>
        <w:t>las</w:t>
      </w:r>
      <w:r>
        <w:rPr>
          <w:color w:val="231F20"/>
          <w:spacing w:val="-16"/>
        </w:rPr>
        <w:t> </w:t>
      </w:r>
      <w:r>
        <w:rPr>
          <w:color w:val="231F20"/>
        </w:rPr>
        <w:t>economías</w:t>
      </w:r>
      <w:r>
        <w:rPr>
          <w:color w:val="231F20"/>
          <w:spacing w:val="-16"/>
        </w:rPr>
        <w:t> </w:t>
      </w:r>
      <w:r>
        <w:rPr>
          <w:color w:val="231F20"/>
        </w:rPr>
        <w:t>de</w:t>
      </w:r>
      <w:r>
        <w:rPr>
          <w:color w:val="231F20"/>
          <w:spacing w:val="-16"/>
        </w:rPr>
        <w:t> </w:t>
      </w:r>
      <w:r>
        <w:rPr>
          <w:color w:val="231F20"/>
        </w:rPr>
        <w:t>escala</w:t>
      </w:r>
      <w:r>
        <w:rPr>
          <w:color w:val="231F20"/>
          <w:spacing w:val="-16"/>
        </w:rPr>
        <w:t> </w:t>
      </w:r>
      <w:r>
        <w:rPr>
          <w:color w:val="231F20"/>
        </w:rPr>
        <w:t>y</w:t>
      </w:r>
      <w:r>
        <w:rPr>
          <w:color w:val="231F20"/>
          <w:spacing w:val="-16"/>
        </w:rPr>
        <w:t> </w:t>
      </w:r>
      <w:r>
        <w:rPr>
          <w:color w:val="231F20"/>
        </w:rPr>
        <w:t>de</w:t>
      </w:r>
      <w:r>
        <w:rPr>
          <w:color w:val="231F20"/>
          <w:spacing w:val="-16"/>
        </w:rPr>
        <w:t> </w:t>
      </w:r>
      <w:r>
        <w:rPr>
          <w:color w:val="231F20"/>
        </w:rPr>
        <w:t>aglomeración.</w:t>
      </w:r>
      <w:r>
        <w:rPr>
          <w:color w:val="231F20"/>
          <w:spacing w:val="-16"/>
        </w:rPr>
        <w:t> </w:t>
      </w:r>
      <w:r>
        <w:rPr>
          <w:color w:val="231F20"/>
        </w:rPr>
        <w:t>La</w:t>
      </w:r>
      <w:r>
        <w:rPr>
          <w:color w:val="231F20"/>
          <w:spacing w:val="-16"/>
        </w:rPr>
        <w:t> </w:t>
      </w:r>
      <w:r>
        <w:rPr>
          <w:color w:val="231F20"/>
        </w:rPr>
        <w:t>producción de vehículos estaba destinada en su mayoría al mercado interno, particularmente al mercado más grande del país, que estaba (y está) formado por el Distrito Federal y el propio</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además</w:t>
      </w:r>
      <w:r>
        <w:rPr>
          <w:color w:val="231F20"/>
          <w:spacing w:val="-17"/>
        </w:rPr>
        <w:t> </w:t>
      </w:r>
      <w:r>
        <w:rPr>
          <w:color w:val="231F20"/>
        </w:rPr>
        <w:t>de</w:t>
      </w:r>
      <w:r>
        <w:rPr>
          <w:color w:val="231F20"/>
          <w:spacing w:val="-17"/>
        </w:rPr>
        <w:t> </w:t>
      </w:r>
      <w:r>
        <w:rPr>
          <w:color w:val="231F20"/>
        </w:rPr>
        <w:t>que</w:t>
      </w:r>
      <w:r>
        <w:rPr>
          <w:color w:val="231F20"/>
          <w:spacing w:val="-17"/>
        </w:rPr>
        <w:t> </w:t>
      </w:r>
      <w:r>
        <w:rPr>
          <w:color w:val="231F20"/>
        </w:rPr>
        <w:t>estas</w:t>
      </w:r>
      <w:r>
        <w:rPr>
          <w:color w:val="231F20"/>
          <w:spacing w:val="-17"/>
        </w:rPr>
        <w:t> </w:t>
      </w:r>
      <w:r>
        <w:rPr>
          <w:color w:val="231F20"/>
        </w:rPr>
        <w:t>regiones</w:t>
      </w:r>
      <w:r>
        <w:rPr>
          <w:color w:val="231F20"/>
          <w:spacing w:val="-17"/>
        </w:rPr>
        <w:t> </w:t>
      </w:r>
      <w:r>
        <w:rPr>
          <w:color w:val="231F20"/>
        </w:rPr>
        <w:t>ofrecían</w:t>
      </w:r>
      <w:r>
        <w:rPr>
          <w:color w:val="231F20"/>
          <w:spacing w:val="-17"/>
        </w:rPr>
        <w:t> </w:t>
      </w:r>
      <w:r>
        <w:rPr>
          <w:color w:val="231F20"/>
        </w:rPr>
        <w:t>las</w:t>
      </w:r>
      <w:r>
        <w:rPr>
          <w:color w:val="231F20"/>
          <w:spacing w:val="-17"/>
        </w:rPr>
        <w:t> </w:t>
      </w:r>
      <w:r>
        <w:rPr>
          <w:color w:val="231F20"/>
        </w:rPr>
        <w:t>mejores</w:t>
      </w:r>
      <w:r>
        <w:rPr>
          <w:color w:val="231F20"/>
          <w:spacing w:val="-17"/>
        </w:rPr>
        <w:t> </w:t>
      </w:r>
      <w:r>
        <w:rPr>
          <w:color w:val="231F20"/>
        </w:rPr>
        <w:t>economías de</w:t>
      </w:r>
      <w:r>
        <w:rPr>
          <w:color w:val="231F20"/>
          <w:spacing w:val="-10"/>
        </w:rPr>
        <w:t> </w:t>
      </w:r>
      <w:r>
        <w:rPr>
          <w:color w:val="231F20"/>
        </w:rPr>
        <w:t>aglomeración.</w:t>
      </w:r>
    </w:p>
    <w:p>
      <w:pPr>
        <w:pStyle w:val="BodyText"/>
        <w:spacing w:line="278" w:lineRule="auto" w:before="1"/>
        <w:ind w:left="713" w:right="101" w:firstLine="396"/>
        <w:jc w:val="both"/>
      </w:pPr>
      <w:r>
        <w:rPr>
          <w:color w:val="231F20"/>
        </w:rPr>
        <w:t>Sin embargo, durante la crisis de los ochenta se dio el cambio al modelo de pro- ducción flexible, que, como se ha señalado, trae consigo un cambio en las estrategias globales de las empresas y favorece las prácticas “justo a </w:t>
      </w:r>
      <w:r>
        <w:rPr>
          <w:color w:val="231F20"/>
          <w:spacing w:val="-7"/>
        </w:rPr>
        <w:t>tiempo”, </w:t>
      </w:r>
      <w:r>
        <w:rPr>
          <w:color w:val="231F20"/>
          <w:spacing w:val="-3"/>
        </w:rPr>
        <w:t>“calidad </w:t>
      </w:r>
      <w:r>
        <w:rPr>
          <w:color w:val="231F20"/>
        </w:rPr>
        <w:t>total” y la subcontratación</w:t>
      </w:r>
      <w:r>
        <w:rPr>
          <w:color w:val="231F20"/>
          <w:spacing w:val="-15"/>
        </w:rPr>
        <w:t> </w:t>
      </w:r>
      <w:r>
        <w:rPr>
          <w:color w:val="231F20"/>
        </w:rPr>
        <w:t>a</w:t>
      </w:r>
      <w:r>
        <w:rPr>
          <w:color w:val="231F20"/>
          <w:spacing w:val="-15"/>
        </w:rPr>
        <w:t> </w:t>
      </w:r>
      <w:r>
        <w:rPr>
          <w:color w:val="231F20"/>
        </w:rPr>
        <w:t>otras</w:t>
      </w:r>
      <w:r>
        <w:rPr>
          <w:color w:val="231F20"/>
          <w:spacing w:val="-15"/>
        </w:rPr>
        <w:t> </w:t>
      </w:r>
      <w:r>
        <w:rPr>
          <w:color w:val="231F20"/>
        </w:rPr>
        <w:t>empresas,</w:t>
      </w:r>
      <w:r>
        <w:rPr>
          <w:color w:val="231F20"/>
          <w:spacing w:val="-15"/>
        </w:rPr>
        <w:t> </w:t>
      </w:r>
      <w:r>
        <w:rPr>
          <w:color w:val="231F20"/>
        </w:rPr>
        <w:t>lo</w:t>
      </w:r>
      <w:r>
        <w:rPr>
          <w:color w:val="231F20"/>
          <w:spacing w:val="-15"/>
        </w:rPr>
        <w:t> </w:t>
      </w:r>
      <w:r>
        <w:rPr>
          <w:color w:val="231F20"/>
        </w:rPr>
        <w:t>cual</w:t>
      </w:r>
      <w:r>
        <w:rPr>
          <w:color w:val="231F20"/>
          <w:spacing w:val="-15"/>
        </w:rPr>
        <w:t> </w:t>
      </w:r>
      <w:r>
        <w:rPr>
          <w:color w:val="231F20"/>
        </w:rPr>
        <w:t>exige,</w:t>
      </w:r>
      <w:r>
        <w:rPr>
          <w:color w:val="231F20"/>
          <w:spacing w:val="-15"/>
        </w:rPr>
        <w:t> </w:t>
      </w:r>
      <w:r>
        <w:rPr>
          <w:color w:val="231F20"/>
        </w:rPr>
        <w:t>para</w:t>
      </w:r>
      <w:r>
        <w:rPr>
          <w:color w:val="231F20"/>
          <w:spacing w:val="-15"/>
        </w:rPr>
        <w:t> </w:t>
      </w:r>
      <w:r>
        <w:rPr>
          <w:color w:val="231F20"/>
        </w:rPr>
        <w:t>el</w:t>
      </w:r>
      <w:r>
        <w:rPr>
          <w:color w:val="231F20"/>
          <w:spacing w:val="-15"/>
        </w:rPr>
        <w:t> </w:t>
      </w:r>
      <w:r>
        <w:rPr>
          <w:color w:val="231F20"/>
        </w:rPr>
        <w:t>mejor</w:t>
      </w:r>
      <w:r>
        <w:rPr>
          <w:color w:val="231F20"/>
          <w:spacing w:val="-15"/>
        </w:rPr>
        <w:t> </w:t>
      </w:r>
      <w:r>
        <w:rPr>
          <w:color w:val="231F20"/>
        </w:rPr>
        <w:t>funcionamiento,</w:t>
      </w:r>
      <w:r>
        <w:rPr>
          <w:color w:val="231F20"/>
          <w:spacing w:val="-15"/>
        </w:rPr>
        <w:t> </w:t>
      </w:r>
      <w:r>
        <w:rPr>
          <w:color w:val="231F20"/>
        </w:rPr>
        <w:t>la</w:t>
      </w:r>
      <w:r>
        <w:rPr>
          <w:color w:val="231F20"/>
          <w:spacing w:val="-15"/>
        </w:rPr>
        <w:t> </w:t>
      </w:r>
      <w:r>
        <w:rPr>
          <w:color w:val="231F20"/>
        </w:rPr>
        <w:t>proxi- midad</w:t>
      </w:r>
      <w:r>
        <w:rPr>
          <w:color w:val="231F20"/>
          <w:spacing w:val="-11"/>
        </w:rPr>
        <w:t> </w:t>
      </w:r>
      <w:r>
        <w:rPr>
          <w:color w:val="231F20"/>
        </w:rPr>
        <w:t>entre</w:t>
      </w:r>
      <w:r>
        <w:rPr>
          <w:color w:val="231F20"/>
          <w:spacing w:val="-11"/>
        </w:rPr>
        <w:t> </w:t>
      </w:r>
      <w:r>
        <w:rPr>
          <w:color w:val="231F20"/>
        </w:rPr>
        <w:t>las</w:t>
      </w:r>
      <w:r>
        <w:rPr>
          <w:color w:val="231F20"/>
          <w:spacing w:val="-11"/>
        </w:rPr>
        <w:t> </w:t>
      </w:r>
      <w:r>
        <w:rPr>
          <w:color w:val="231F20"/>
        </w:rPr>
        <w:t>empresas</w:t>
      </w:r>
      <w:r>
        <w:rPr>
          <w:color w:val="231F20"/>
          <w:spacing w:val="-11"/>
        </w:rPr>
        <w:t> </w:t>
      </w:r>
      <w:r>
        <w:rPr>
          <w:color w:val="231F20"/>
        </w:rPr>
        <w:t>proveedoras</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terminal,</w:t>
      </w:r>
      <w:r>
        <w:rPr>
          <w:color w:val="231F20"/>
          <w:spacing w:val="-11"/>
        </w:rPr>
        <w:t> </w:t>
      </w:r>
      <w:r>
        <w:rPr>
          <w:color w:val="231F20"/>
        </w:rPr>
        <w:t>o</w:t>
      </w:r>
      <w:r>
        <w:rPr>
          <w:color w:val="231F20"/>
          <w:spacing w:val="-11"/>
        </w:rPr>
        <w:t> </w:t>
      </w:r>
      <w:r>
        <w:rPr>
          <w:color w:val="231F20"/>
        </w:rPr>
        <w:t>bien</w:t>
      </w:r>
      <w:r>
        <w:rPr>
          <w:color w:val="231F20"/>
          <w:spacing w:val="-11"/>
        </w:rPr>
        <w:t> </w:t>
      </w:r>
      <w:r>
        <w:rPr>
          <w:color w:val="231F20"/>
        </w:rPr>
        <w:t>el</w:t>
      </w:r>
      <w:r>
        <w:rPr>
          <w:color w:val="231F20"/>
          <w:spacing w:val="-11"/>
        </w:rPr>
        <w:t> </w:t>
      </w:r>
      <w:r>
        <w:rPr>
          <w:color w:val="231F20"/>
        </w:rPr>
        <w:t>establecimiento de bodegas de almacenamiento, que facilite el aprovisionamiento diario (Villarreal y Villegas,</w:t>
      </w:r>
      <w:r>
        <w:rPr>
          <w:color w:val="231F20"/>
          <w:spacing w:val="-8"/>
        </w:rPr>
        <w:t> </w:t>
      </w:r>
      <w:r>
        <w:rPr>
          <w:color w:val="231F20"/>
        </w:rPr>
        <w:t>2007).</w:t>
      </w:r>
      <w:r>
        <w:rPr>
          <w:color w:val="231F20"/>
          <w:spacing w:val="-8"/>
        </w:rPr>
        <w:t> </w:t>
      </w:r>
      <w:r>
        <w:rPr>
          <w:color w:val="231F20"/>
        </w:rPr>
        <w:t>De</w:t>
      </w:r>
      <w:r>
        <w:rPr>
          <w:color w:val="231F20"/>
          <w:spacing w:val="-8"/>
        </w:rPr>
        <w:t> </w:t>
      </w:r>
      <w:r>
        <w:rPr>
          <w:color w:val="231F20"/>
        </w:rPr>
        <w:t>esta</w:t>
      </w:r>
      <w:r>
        <w:rPr>
          <w:color w:val="231F20"/>
          <w:spacing w:val="-8"/>
        </w:rPr>
        <w:t> </w:t>
      </w:r>
      <w:r>
        <w:rPr>
          <w:color w:val="231F20"/>
        </w:rPr>
        <w:t>forma,</w:t>
      </w:r>
      <w:r>
        <w:rPr>
          <w:color w:val="231F20"/>
          <w:spacing w:val="-8"/>
        </w:rPr>
        <w:t> </w:t>
      </w:r>
      <w:r>
        <w:rPr>
          <w:color w:val="231F20"/>
        </w:rPr>
        <w:t>al</w:t>
      </w:r>
      <w:r>
        <w:rPr>
          <w:color w:val="231F20"/>
          <w:spacing w:val="-8"/>
        </w:rPr>
        <w:t> </w:t>
      </w:r>
      <w:r>
        <w:rPr>
          <w:color w:val="231F20"/>
        </w:rPr>
        <w:t>localizarse</w:t>
      </w:r>
      <w:r>
        <w:rPr>
          <w:color w:val="231F20"/>
          <w:spacing w:val="-8"/>
        </w:rPr>
        <w:t> </w:t>
      </w:r>
      <w:r>
        <w:rPr>
          <w:color w:val="231F20"/>
        </w:rPr>
        <w:t>en</w:t>
      </w:r>
      <w:r>
        <w:rPr>
          <w:color w:val="231F20"/>
          <w:spacing w:val="-8"/>
        </w:rPr>
        <w:t> </w:t>
      </w:r>
      <w:r>
        <w:rPr>
          <w:color w:val="231F20"/>
        </w:rPr>
        <w:t>un</w:t>
      </w:r>
      <w:r>
        <w:rPr>
          <w:color w:val="231F20"/>
          <w:spacing w:val="-8"/>
        </w:rPr>
        <w:t> </w:t>
      </w:r>
      <w:r>
        <w:rPr>
          <w:color w:val="231F20"/>
        </w:rPr>
        <w:t>primer</w:t>
      </w:r>
      <w:r>
        <w:rPr>
          <w:color w:val="231F20"/>
          <w:spacing w:val="-8"/>
        </w:rPr>
        <w:t> </w:t>
      </w:r>
      <w:r>
        <w:rPr>
          <w:color w:val="231F20"/>
        </w:rPr>
        <w:t>momento</w:t>
      </w:r>
      <w:r>
        <w:rPr>
          <w:color w:val="231F20"/>
          <w:spacing w:val="-8"/>
        </w:rPr>
        <w:t> </w:t>
      </w:r>
      <w:r>
        <w:rPr>
          <w:color w:val="231F20"/>
        </w:rPr>
        <w:t>las</w:t>
      </w:r>
      <w:r>
        <w:rPr>
          <w:color w:val="231F20"/>
          <w:spacing w:val="-8"/>
        </w:rPr>
        <w:t> </w:t>
      </w:r>
      <w:r>
        <w:rPr>
          <w:color w:val="231F20"/>
        </w:rPr>
        <w:t>grandes</w:t>
      </w:r>
      <w:r>
        <w:rPr>
          <w:color w:val="231F20"/>
          <w:spacing w:val="-8"/>
        </w:rPr>
        <w:t> </w:t>
      </w:r>
      <w:r>
        <w:rPr>
          <w:color w:val="231F20"/>
        </w:rPr>
        <w:t>trans- nacionales automotrices norteamericanas en el norte de México, como parte de las estrategias seguidas para abastecer de manera más eficiente el mercado norteameri- cano, se propició que muchas proveedoras de partes buscaran instalarse cerca de las armadoras; todo esto en menoscabo del sector de la región</w:t>
      </w:r>
      <w:r>
        <w:rPr>
          <w:color w:val="231F20"/>
          <w:spacing w:val="-24"/>
        </w:rPr>
        <w:t> </w:t>
      </w:r>
      <w:r>
        <w:rPr>
          <w:color w:val="231F20"/>
        </w:rPr>
        <w:t>centro.</w:t>
      </w:r>
    </w:p>
    <w:p>
      <w:pPr>
        <w:pStyle w:val="BodyText"/>
        <w:spacing w:line="278" w:lineRule="auto" w:before="1"/>
        <w:ind w:left="713" w:right="100" w:firstLine="396"/>
        <w:jc w:val="both"/>
      </w:pPr>
      <w:r>
        <w:rPr>
          <w:color w:val="231F20"/>
        </w:rPr>
        <w:t>Otro factor importante es el profundo sesgo antiexportador que padecía la planta productiva</w:t>
      </w:r>
      <w:r>
        <w:rPr>
          <w:color w:val="231F20"/>
          <w:spacing w:val="-6"/>
        </w:rPr>
        <w:t> </w:t>
      </w:r>
      <w:r>
        <w:rPr>
          <w:color w:val="231F20"/>
        </w:rPr>
        <w:t>mexiquense,</w:t>
      </w:r>
      <w:r>
        <w:rPr>
          <w:color w:val="231F20"/>
          <w:spacing w:val="-6"/>
        </w:rPr>
        <w:t> </w:t>
      </w:r>
      <w:r>
        <w:rPr>
          <w:color w:val="231F20"/>
        </w:rPr>
        <w:t>incluida</w:t>
      </w:r>
      <w:r>
        <w:rPr>
          <w:color w:val="231F20"/>
          <w:spacing w:val="-6"/>
        </w:rPr>
        <w:t> </w:t>
      </w:r>
      <w:r>
        <w:rPr>
          <w:color w:val="231F20"/>
        </w:rPr>
        <w:t>la</w:t>
      </w:r>
      <w:r>
        <w:rPr>
          <w:color w:val="231F20"/>
          <w:spacing w:val="-6"/>
        </w:rPr>
        <w:t> </w:t>
      </w:r>
      <w:r>
        <w:rPr>
          <w:color w:val="231F20"/>
        </w:rPr>
        <w:t>automotriz.</w:t>
      </w:r>
      <w:r>
        <w:rPr>
          <w:color w:val="231F20"/>
          <w:spacing w:val="-6"/>
        </w:rPr>
        <w:t> </w:t>
      </w:r>
      <w:r>
        <w:rPr>
          <w:color w:val="231F20"/>
        </w:rPr>
        <w:t>Al</w:t>
      </w:r>
      <w:r>
        <w:rPr>
          <w:color w:val="231F20"/>
          <w:spacing w:val="-6"/>
        </w:rPr>
        <w:t> </w:t>
      </w:r>
      <w:r>
        <w:rPr>
          <w:color w:val="231F20"/>
        </w:rPr>
        <w:t>respecto,</w:t>
      </w:r>
      <w:r>
        <w:rPr>
          <w:color w:val="231F20"/>
          <w:spacing w:val="-6"/>
        </w:rPr>
        <w:t> </w:t>
      </w:r>
      <w:r>
        <w:rPr>
          <w:color w:val="231F20"/>
        </w:rPr>
        <w:t>existen</w:t>
      </w:r>
      <w:r>
        <w:rPr>
          <w:color w:val="231F20"/>
          <w:spacing w:val="-6"/>
        </w:rPr>
        <w:t> </w:t>
      </w:r>
      <w:r>
        <w:rPr>
          <w:color w:val="231F20"/>
        </w:rPr>
        <w:t>marcadas</w:t>
      </w:r>
      <w:r>
        <w:rPr>
          <w:color w:val="231F20"/>
          <w:spacing w:val="-6"/>
        </w:rPr>
        <w:t> </w:t>
      </w:r>
      <w:r>
        <w:rPr>
          <w:color w:val="231F20"/>
        </w:rPr>
        <w:t>diferen- cias entre las viejas plantas localizadas en el centro del país, cuyo propósito principal fue abastecer el mercado interno en una etapa altamente proteccionista y con grandes restricciones al mercado externo, y las nuevas plantas emplazadas en la frontera norte de</w:t>
      </w:r>
      <w:r>
        <w:rPr>
          <w:color w:val="231F20"/>
          <w:spacing w:val="-13"/>
        </w:rPr>
        <w:t> </w:t>
      </w:r>
      <w:r>
        <w:rPr>
          <w:color w:val="231F20"/>
        </w:rPr>
        <w:t>México,</w:t>
      </w:r>
      <w:r>
        <w:rPr>
          <w:color w:val="231F20"/>
          <w:spacing w:val="-13"/>
        </w:rPr>
        <w:t> </w:t>
      </w:r>
      <w:r>
        <w:rPr>
          <w:color w:val="231F20"/>
        </w:rPr>
        <w:t>cuyas</w:t>
      </w:r>
      <w:r>
        <w:rPr>
          <w:color w:val="231F20"/>
          <w:spacing w:val="-13"/>
        </w:rPr>
        <w:t> </w:t>
      </w:r>
      <w:r>
        <w:rPr>
          <w:color w:val="231F20"/>
        </w:rPr>
        <w:t>estrategias</w:t>
      </w:r>
      <w:r>
        <w:rPr>
          <w:color w:val="231F20"/>
          <w:spacing w:val="-13"/>
        </w:rPr>
        <w:t> </w:t>
      </w:r>
      <w:r>
        <w:rPr>
          <w:color w:val="231F20"/>
        </w:rPr>
        <w:t>se</w:t>
      </w:r>
      <w:r>
        <w:rPr>
          <w:color w:val="231F20"/>
          <w:spacing w:val="-13"/>
        </w:rPr>
        <w:t> </w:t>
      </w:r>
      <w:r>
        <w:rPr>
          <w:color w:val="231F20"/>
        </w:rPr>
        <w:t>gestaban</w:t>
      </w:r>
      <w:r>
        <w:rPr>
          <w:color w:val="231F20"/>
          <w:spacing w:val="-13"/>
        </w:rPr>
        <w:t> </w:t>
      </w:r>
      <w:r>
        <w:rPr>
          <w:color w:val="231F20"/>
        </w:rPr>
        <w:t>en</w:t>
      </w:r>
      <w:r>
        <w:rPr>
          <w:color w:val="231F20"/>
          <w:spacing w:val="-13"/>
        </w:rPr>
        <w:t> </w:t>
      </w:r>
      <w:r>
        <w:rPr>
          <w:color w:val="231F20"/>
        </w:rPr>
        <w:t>una</w:t>
      </w:r>
      <w:r>
        <w:rPr>
          <w:color w:val="231F20"/>
          <w:spacing w:val="-13"/>
        </w:rPr>
        <w:t> </w:t>
      </w:r>
      <w:r>
        <w:rPr>
          <w:color w:val="231F20"/>
        </w:rPr>
        <w:t>nueva</w:t>
      </w:r>
      <w:r>
        <w:rPr>
          <w:color w:val="231F20"/>
          <w:spacing w:val="-13"/>
        </w:rPr>
        <w:t> </w:t>
      </w:r>
      <w:r>
        <w:rPr>
          <w:color w:val="231F20"/>
        </w:rPr>
        <w:t>lógica</w:t>
      </w:r>
      <w:r>
        <w:rPr>
          <w:color w:val="231F20"/>
          <w:spacing w:val="-13"/>
        </w:rPr>
        <w:t> </w:t>
      </w:r>
      <w:r>
        <w:rPr>
          <w:color w:val="231F20"/>
        </w:rPr>
        <w:t>de</w:t>
      </w:r>
      <w:r>
        <w:rPr>
          <w:color w:val="231F20"/>
          <w:spacing w:val="-13"/>
        </w:rPr>
        <w:t> </w:t>
      </w:r>
      <w:r>
        <w:rPr>
          <w:color w:val="231F20"/>
        </w:rPr>
        <w:t>producción</w:t>
      </w:r>
      <w:r>
        <w:rPr>
          <w:color w:val="231F20"/>
          <w:spacing w:val="-13"/>
        </w:rPr>
        <w:t> </w:t>
      </w:r>
      <w:r>
        <w:rPr>
          <w:color w:val="231F20"/>
        </w:rPr>
        <w:t>y</w:t>
      </w:r>
      <w:r>
        <w:rPr>
          <w:color w:val="231F20"/>
          <w:spacing w:val="-13"/>
        </w:rPr>
        <w:t> </w:t>
      </w:r>
      <w:r>
        <w:rPr>
          <w:color w:val="231F20"/>
        </w:rPr>
        <w:t>abasto</w:t>
      </w:r>
      <w:r>
        <w:rPr>
          <w:color w:val="231F20"/>
          <w:spacing w:val="-13"/>
        </w:rPr>
        <w:t> </w:t>
      </w:r>
      <w:r>
        <w:rPr>
          <w:color w:val="231F20"/>
        </w:rPr>
        <w:t>al mercado</w:t>
      </w:r>
      <w:r>
        <w:rPr>
          <w:color w:val="231F20"/>
          <w:spacing w:val="-9"/>
        </w:rPr>
        <w:t> </w:t>
      </w:r>
      <w:r>
        <w:rPr>
          <w:color w:val="231F20"/>
        </w:rPr>
        <w:t>externo.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nuevas</w:t>
      </w:r>
      <w:r>
        <w:rPr>
          <w:color w:val="231F20"/>
          <w:spacing w:val="-9"/>
        </w:rPr>
        <w:t> </w:t>
      </w:r>
      <w:r>
        <w:rPr>
          <w:color w:val="231F20"/>
        </w:rPr>
        <w:t>plantas</w:t>
      </w:r>
      <w:r>
        <w:rPr>
          <w:color w:val="231F20"/>
          <w:spacing w:val="-9"/>
        </w:rPr>
        <w:t> </w:t>
      </w:r>
      <w:r>
        <w:rPr>
          <w:color w:val="231F20"/>
        </w:rPr>
        <w:t>la</w:t>
      </w:r>
      <w:r>
        <w:rPr>
          <w:color w:val="231F20"/>
          <w:spacing w:val="-9"/>
        </w:rPr>
        <w:t> </w:t>
      </w:r>
      <w:r>
        <w:rPr>
          <w:color w:val="231F20"/>
        </w:rPr>
        <w:t>transferencia</w:t>
      </w:r>
      <w:r>
        <w:rPr>
          <w:color w:val="231F20"/>
          <w:spacing w:val="-9"/>
        </w:rPr>
        <w:t> </w:t>
      </w:r>
      <w:r>
        <w:rPr>
          <w:color w:val="231F20"/>
        </w:rPr>
        <w:t>de</w:t>
      </w:r>
      <w:r>
        <w:rPr>
          <w:color w:val="231F20"/>
          <w:spacing w:val="-9"/>
        </w:rPr>
        <w:t> </w:t>
      </w:r>
      <w:r>
        <w:rPr>
          <w:color w:val="231F20"/>
        </w:rPr>
        <w:t>tecnología</w:t>
      </w:r>
      <w:r>
        <w:rPr>
          <w:color w:val="231F20"/>
          <w:spacing w:val="-9"/>
        </w:rPr>
        <w:t> </w:t>
      </w:r>
      <w:r>
        <w:rPr>
          <w:color w:val="231F20"/>
        </w:rPr>
        <w:t>ha</w:t>
      </w:r>
      <w:r>
        <w:rPr>
          <w:color w:val="231F20"/>
          <w:spacing w:val="-9"/>
        </w:rPr>
        <w:t> </w:t>
      </w:r>
      <w:r>
        <w:rPr>
          <w:color w:val="231F20"/>
        </w:rPr>
        <w:t>sido</w:t>
      </w:r>
      <w:r>
        <w:rPr>
          <w:color w:val="231F20"/>
          <w:spacing w:val="-9"/>
        </w:rPr>
        <w:t> </w:t>
      </w:r>
      <w:r>
        <w:rPr>
          <w:color w:val="231F20"/>
        </w:rPr>
        <w:t>un</w:t>
      </w:r>
      <w:r>
        <w:rPr>
          <w:color w:val="231F20"/>
          <w:spacing w:val="-9"/>
        </w:rPr>
        <w:t> </w:t>
      </w:r>
      <w:r>
        <w:rPr>
          <w:color w:val="231F20"/>
        </w:rPr>
        <w:t>factor </w:t>
      </w:r>
      <w:r>
        <w:rPr>
          <w:color w:val="231F20"/>
          <w:spacing w:val="-2"/>
        </w:rPr>
        <w:t>muy </w:t>
      </w:r>
      <w:r>
        <w:rPr>
          <w:color w:val="231F20"/>
        </w:rPr>
        <w:t>relevante, que se ha reflejado en el equipo, la maquinaria y las nuevas condicio- nes de trabajo (Moreno Brid, 1996); es </w:t>
      </w:r>
      <w:r>
        <w:rPr>
          <w:color w:val="231F20"/>
          <w:spacing w:val="-3"/>
        </w:rPr>
        <w:t>decir, </w:t>
      </w:r>
      <w:r>
        <w:rPr>
          <w:color w:val="231F20"/>
        </w:rPr>
        <w:t>poseen tecnología de punta y estándares mundiales en sus prácticas y procesos productivos. Brown (1998) señala al respecto que contaban con el diseño y la manufactura, auxiliados por CAD-CAM (sistema de diseño por computadora), la automatización de procesos, la robótica, los sistemas de manufactura flexible, la logística “justo a </w:t>
      </w:r>
      <w:r>
        <w:rPr>
          <w:color w:val="231F20"/>
          <w:spacing w:val="-7"/>
        </w:rPr>
        <w:t>tiempo”, </w:t>
      </w:r>
      <w:r>
        <w:rPr>
          <w:color w:val="231F20"/>
        </w:rPr>
        <w:t>la supervisión integrada al proceso, el</w:t>
      </w:r>
      <w:r>
        <w:rPr>
          <w:color w:val="231F20"/>
          <w:spacing w:val="-10"/>
        </w:rPr>
        <w:t> </w:t>
      </w:r>
      <w:r>
        <w:rPr>
          <w:color w:val="231F20"/>
        </w:rPr>
        <w:t>control</w:t>
      </w:r>
      <w:r>
        <w:rPr>
          <w:color w:val="231F20"/>
          <w:spacing w:val="-10"/>
        </w:rPr>
        <w:t> </w:t>
      </w:r>
      <w:r>
        <w:rPr>
          <w:color w:val="231F20"/>
        </w:rPr>
        <w:t>estadístico</w:t>
      </w:r>
      <w:r>
        <w:rPr>
          <w:color w:val="231F20"/>
          <w:spacing w:val="-10"/>
        </w:rPr>
        <w:t> </w:t>
      </w:r>
      <w:r>
        <w:rPr>
          <w:color w:val="231F20"/>
        </w:rPr>
        <w:t>y</w:t>
      </w:r>
      <w:r>
        <w:rPr>
          <w:color w:val="231F20"/>
          <w:spacing w:val="-10"/>
        </w:rPr>
        <w:t> </w:t>
      </w:r>
      <w:r>
        <w:rPr>
          <w:color w:val="231F20"/>
        </w:rPr>
        <w:t>la</w:t>
      </w:r>
      <w:r>
        <w:rPr>
          <w:color w:val="231F20"/>
          <w:spacing w:val="-10"/>
        </w:rPr>
        <w:t> </w:t>
      </w:r>
      <w:r>
        <w:rPr>
          <w:color w:val="231F20"/>
          <w:spacing w:val="-3"/>
        </w:rPr>
        <w:t>“calidad</w:t>
      </w:r>
      <w:r>
        <w:rPr>
          <w:color w:val="231F20"/>
          <w:spacing w:val="-10"/>
        </w:rPr>
        <w:t> </w:t>
      </w:r>
      <w:r>
        <w:rPr>
          <w:color w:val="231F20"/>
          <w:spacing w:val="-7"/>
        </w:rPr>
        <w:t>total”.</w:t>
      </w:r>
    </w:p>
    <w:p>
      <w:pPr>
        <w:spacing w:after="0" w:line="278" w:lineRule="auto"/>
        <w:jc w:val="both"/>
        <w:sectPr>
          <w:footerReference w:type="even" r:id="rId348"/>
          <w:footerReference w:type="default" r:id="rId349"/>
          <w:pgSz w:w="9640" w:h="13040"/>
          <w:pgMar w:footer="654" w:header="581" w:top="780" w:bottom="840" w:left="420" w:right="1200"/>
        </w:sectPr>
      </w:pPr>
    </w:p>
    <w:p>
      <w:pPr>
        <w:pStyle w:val="BodyText"/>
        <w:rPr>
          <w:sz w:val="20"/>
        </w:rPr>
      </w:pPr>
    </w:p>
    <w:p>
      <w:pPr>
        <w:pStyle w:val="BodyText"/>
        <w:spacing w:before="10"/>
        <w:rPr>
          <w:sz w:val="17"/>
        </w:rPr>
      </w:pPr>
    </w:p>
    <w:p>
      <w:pPr>
        <w:pStyle w:val="BodyText"/>
        <w:spacing w:line="278" w:lineRule="auto"/>
        <w:ind w:left="103" w:right="711" w:firstLine="396"/>
        <w:jc w:val="both"/>
      </w:pPr>
      <w:r>
        <w:rPr>
          <w:color w:val="231F20"/>
        </w:rPr>
        <w:t>Otra</w:t>
      </w:r>
      <w:r>
        <w:rPr>
          <w:color w:val="231F20"/>
          <w:spacing w:val="-4"/>
        </w:rPr>
        <w:t> </w:t>
      </w:r>
      <w:r>
        <w:rPr>
          <w:color w:val="231F20"/>
        </w:rPr>
        <w:t>diferencia</w:t>
      </w:r>
      <w:r>
        <w:rPr>
          <w:color w:val="231F20"/>
          <w:spacing w:val="-4"/>
        </w:rPr>
        <w:t> </w:t>
      </w:r>
      <w:r>
        <w:rPr>
          <w:color w:val="231F20"/>
        </w:rPr>
        <w:t>importante</w:t>
      </w:r>
      <w:r>
        <w:rPr>
          <w:color w:val="231F20"/>
          <w:spacing w:val="-4"/>
        </w:rPr>
        <w:t> </w:t>
      </w:r>
      <w:r>
        <w:rPr>
          <w:color w:val="231F20"/>
        </w:rPr>
        <w:t>es</w:t>
      </w:r>
      <w:r>
        <w:rPr>
          <w:color w:val="231F20"/>
          <w:spacing w:val="-4"/>
        </w:rPr>
        <w:t> </w:t>
      </w:r>
      <w:r>
        <w:rPr>
          <w:color w:val="231F20"/>
        </w:rPr>
        <w:t>que</w:t>
      </w:r>
      <w:r>
        <w:rPr>
          <w:color w:val="231F20"/>
          <w:spacing w:val="-4"/>
        </w:rPr>
        <w:t> </w:t>
      </w:r>
      <w:r>
        <w:rPr>
          <w:color w:val="231F20"/>
        </w:rPr>
        <w:t>en</w:t>
      </w:r>
      <w:r>
        <w:rPr>
          <w:color w:val="231F20"/>
          <w:spacing w:val="-4"/>
        </w:rPr>
        <w:t> </w:t>
      </w:r>
      <w:r>
        <w:rPr>
          <w:color w:val="231F20"/>
        </w:rPr>
        <w:t>estas</w:t>
      </w:r>
      <w:r>
        <w:rPr>
          <w:color w:val="231F20"/>
          <w:spacing w:val="-4"/>
        </w:rPr>
        <w:t> </w:t>
      </w:r>
      <w:r>
        <w:rPr>
          <w:color w:val="231F20"/>
        </w:rPr>
        <w:t>nuevas</w:t>
      </w:r>
      <w:r>
        <w:rPr>
          <w:color w:val="231F20"/>
          <w:spacing w:val="-4"/>
        </w:rPr>
        <w:t> </w:t>
      </w:r>
      <w:r>
        <w:rPr>
          <w:color w:val="231F20"/>
        </w:rPr>
        <w:t>plantas</w:t>
      </w:r>
      <w:r>
        <w:rPr>
          <w:color w:val="231F20"/>
          <w:spacing w:val="-4"/>
        </w:rPr>
        <w:t> </w:t>
      </w:r>
      <w:r>
        <w:rPr>
          <w:color w:val="231F20"/>
        </w:rPr>
        <w:t>la</w:t>
      </w:r>
      <w:r>
        <w:rPr>
          <w:color w:val="231F20"/>
          <w:spacing w:val="-4"/>
        </w:rPr>
        <w:t> </w:t>
      </w:r>
      <w:r>
        <w:rPr>
          <w:color w:val="231F20"/>
        </w:rPr>
        <w:t>mayoría</w:t>
      </w:r>
      <w:r>
        <w:rPr>
          <w:color w:val="231F20"/>
          <w:spacing w:val="-4"/>
        </w:rPr>
        <w:t> </w:t>
      </w:r>
      <w:r>
        <w:rPr>
          <w:color w:val="231F20"/>
        </w:rPr>
        <w:t>de</w:t>
      </w:r>
      <w:r>
        <w:rPr>
          <w:color w:val="231F20"/>
          <w:spacing w:val="-4"/>
        </w:rPr>
        <w:t> </w:t>
      </w:r>
      <w:r>
        <w:rPr>
          <w:color w:val="231F20"/>
        </w:rPr>
        <w:t>los</w:t>
      </w:r>
      <w:r>
        <w:rPr>
          <w:color w:val="231F20"/>
          <w:spacing w:val="-4"/>
        </w:rPr>
        <w:t> </w:t>
      </w:r>
      <w:r>
        <w:rPr>
          <w:color w:val="231F20"/>
        </w:rPr>
        <w:t>traba- jadores</w:t>
      </w:r>
      <w:r>
        <w:rPr>
          <w:color w:val="231F20"/>
          <w:spacing w:val="-12"/>
        </w:rPr>
        <w:t> </w:t>
      </w:r>
      <w:r>
        <w:rPr>
          <w:color w:val="231F20"/>
        </w:rPr>
        <w:t>eran</w:t>
      </w:r>
      <w:r>
        <w:rPr>
          <w:color w:val="231F20"/>
          <w:spacing w:val="-12"/>
        </w:rPr>
        <w:t> </w:t>
      </w:r>
      <w:r>
        <w:rPr>
          <w:color w:val="231F20"/>
        </w:rPr>
        <w:t>jóvenes,</w:t>
      </w:r>
      <w:r>
        <w:rPr>
          <w:color w:val="231F20"/>
          <w:spacing w:val="-12"/>
        </w:rPr>
        <w:t> </w:t>
      </w:r>
      <w:r>
        <w:rPr>
          <w:color w:val="231F20"/>
        </w:rPr>
        <w:t>mejor</w:t>
      </w:r>
      <w:r>
        <w:rPr>
          <w:color w:val="231F20"/>
          <w:spacing w:val="-12"/>
        </w:rPr>
        <w:t> </w:t>
      </w:r>
      <w:r>
        <w:rPr>
          <w:color w:val="231F20"/>
        </w:rPr>
        <w:t>calificados</w:t>
      </w:r>
      <w:r>
        <w:rPr>
          <w:color w:val="231F20"/>
          <w:spacing w:val="-12"/>
        </w:rPr>
        <w:t> </w:t>
      </w:r>
      <w:r>
        <w:rPr>
          <w:color w:val="231F20"/>
        </w:rPr>
        <w:t>para</w:t>
      </w:r>
      <w:r>
        <w:rPr>
          <w:color w:val="231F20"/>
          <w:spacing w:val="-12"/>
        </w:rPr>
        <w:t> </w:t>
      </w:r>
      <w:r>
        <w:rPr>
          <w:color w:val="231F20"/>
        </w:rPr>
        <w:t>realizar</w:t>
      </w:r>
      <w:r>
        <w:rPr>
          <w:color w:val="231F20"/>
          <w:spacing w:val="-12"/>
        </w:rPr>
        <w:t> </w:t>
      </w:r>
      <w:r>
        <w:rPr>
          <w:color w:val="231F20"/>
        </w:rPr>
        <w:t>una</w:t>
      </w:r>
      <w:r>
        <w:rPr>
          <w:color w:val="231F20"/>
          <w:spacing w:val="-12"/>
        </w:rPr>
        <w:t> </w:t>
      </w:r>
      <w:r>
        <w:rPr>
          <w:color w:val="231F20"/>
        </w:rPr>
        <w:t>gama</w:t>
      </w:r>
      <w:r>
        <w:rPr>
          <w:color w:val="231F20"/>
          <w:spacing w:val="-12"/>
        </w:rPr>
        <w:t> </w:t>
      </w:r>
      <w:r>
        <w:rPr>
          <w:color w:val="231F20"/>
        </w:rPr>
        <w:t>más</w:t>
      </w:r>
      <w:r>
        <w:rPr>
          <w:color w:val="231F20"/>
          <w:spacing w:val="-12"/>
        </w:rPr>
        <w:t> </w:t>
      </w:r>
      <w:r>
        <w:rPr>
          <w:color w:val="231F20"/>
        </w:rPr>
        <w:t>amplia</w:t>
      </w:r>
      <w:r>
        <w:rPr>
          <w:color w:val="231F20"/>
          <w:spacing w:val="-12"/>
        </w:rPr>
        <w:t> </w:t>
      </w:r>
      <w:r>
        <w:rPr>
          <w:color w:val="231F20"/>
        </w:rPr>
        <w:t>de</w:t>
      </w:r>
      <w:r>
        <w:rPr>
          <w:color w:val="231F20"/>
          <w:spacing w:val="-12"/>
        </w:rPr>
        <w:t> </w:t>
      </w:r>
      <w:r>
        <w:rPr>
          <w:color w:val="231F20"/>
        </w:rPr>
        <w:t>tareas,</w:t>
      </w:r>
      <w:r>
        <w:rPr>
          <w:color w:val="231F20"/>
          <w:spacing w:val="-12"/>
        </w:rPr>
        <w:t> </w:t>
      </w:r>
      <w:r>
        <w:rPr>
          <w:color w:val="231F20"/>
        </w:rPr>
        <w:t>en contraste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fuerza</w:t>
      </w:r>
      <w:r>
        <w:rPr>
          <w:color w:val="231F20"/>
          <w:spacing w:val="-11"/>
        </w:rPr>
        <w:t> </w:t>
      </w:r>
      <w:r>
        <w:rPr>
          <w:color w:val="231F20"/>
        </w:rPr>
        <w:t>de</w:t>
      </w:r>
      <w:r>
        <w:rPr>
          <w:color w:val="231F20"/>
          <w:spacing w:val="-11"/>
        </w:rPr>
        <w:t> </w:t>
      </w:r>
      <w:r>
        <w:rPr>
          <w:color w:val="231F20"/>
        </w:rPr>
        <w:t>trabajo</w:t>
      </w:r>
      <w:r>
        <w:rPr>
          <w:color w:val="231F20"/>
          <w:spacing w:val="-11"/>
        </w:rPr>
        <w:t> </w:t>
      </w:r>
      <w:r>
        <w:rPr>
          <w:color w:val="231F20"/>
        </w:rPr>
        <w:t>de</w:t>
      </w:r>
      <w:r>
        <w:rPr>
          <w:color w:val="231F20"/>
          <w:spacing w:val="-11"/>
        </w:rPr>
        <w:t> </w:t>
      </w:r>
      <w:r>
        <w:rPr>
          <w:color w:val="231F20"/>
        </w:rPr>
        <w:t>las</w:t>
      </w:r>
      <w:r>
        <w:rPr>
          <w:color w:val="231F20"/>
          <w:spacing w:val="-11"/>
        </w:rPr>
        <w:t> </w:t>
      </w:r>
      <w:r>
        <w:rPr>
          <w:color w:val="231F20"/>
        </w:rPr>
        <w:t>plantas</w:t>
      </w:r>
      <w:r>
        <w:rPr>
          <w:color w:val="231F20"/>
          <w:spacing w:val="-11"/>
        </w:rPr>
        <w:t> </w:t>
      </w:r>
      <w:r>
        <w:rPr>
          <w:color w:val="231F20"/>
        </w:rPr>
        <w:t>existentes</w:t>
      </w:r>
      <w:r>
        <w:rPr>
          <w:color w:val="231F20"/>
          <w:spacing w:val="-11"/>
        </w:rPr>
        <w:t> </w:t>
      </w:r>
      <w:r>
        <w:rPr>
          <w:color w:val="231F20"/>
        </w:rPr>
        <w:t>(Vicencio,</w:t>
      </w:r>
      <w:r>
        <w:rPr>
          <w:color w:val="231F20"/>
          <w:spacing w:val="-11"/>
        </w:rPr>
        <w:t> </w:t>
      </w:r>
      <w:r>
        <w:rPr>
          <w:color w:val="231F20"/>
        </w:rPr>
        <w:t>2007).</w:t>
      </w:r>
    </w:p>
    <w:p>
      <w:pPr>
        <w:pStyle w:val="BodyText"/>
        <w:spacing w:before="1"/>
        <w:ind w:left="500"/>
        <w:jc w:val="both"/>
      </w:pPr>
      <w:r>
        <w:rPr>
          <w:color w:val="231F20"/>
        </w:rPr>
        <w:t>Sobre este particular, Vieyra (1999: 9) señala:</w:t>
      </w:r>
    </w:p>
    <w:p>
      <w:pPr>
        <w:pStyle w:val="BodyText"/>
        <w:spacing w:before="6"/>
        <w:rPr>
          <w:sz w:val="27"/>
        </w:rPr>
      </w:pPr>
    </w:p>
    <w:p>
      <w:pPr>
        <w:spacing w:line="285" w:lineRule="auto" w:before="1"/>
        <w:ind w:left="500" w:right="1108" w:firstLine="0"/>
        <w:jc w:val="both"/>
        <w:rPr>
          <w:sz w:val="19"/>
        </w:rPr>
      </w:pPr>
      <w:r>
        <w:rPr>
          <w:color w:val="231F20"/>
          <w:sz w:val="19"/>
        </w:rPr>
        <w:t>Las plantas dedicadas a la exportación se desarrollan bajo esquemas operativos y de organización diferentes a las plantas del centro del país, e incluso, desarrollando es- quemas contrapuestos. Su diferenciación es tal, que responden a necesidades y ex- pectativas diferentes, por lo que su emplazamiento ha requerido de nuevos espacios o</w:t>
      </w:r>
      <w:r>
        <w:rPr>
          <w:color w:val="231F20"/>
          <w:spacing w:val="-9"/>
          <w:sz w:val="19"/>
        </w:rPr>
        <w:t> </w:t>
      </w:r>
      <w:r>
        <w:rPr>
          <w:color w:val="231F20"/>
          <w:sz w:val="19"/>
        </w:rPr>
        <w:t>territorios</w:t>
      </w:r>
      <w:r>
        <w:rPr>
          <w:color w:val="231F20"/>
          <w:spacing w:val="-9"/>
          <w:sz w:val="19"/>
        </w:rPr>
        <w:t> </w:t>
      </w:r>
      <w:r>
        <w:rPr>
          <w:color w:val="231F20"/>
          <w:sz w:val="19"/>
        </w:rPr>
        <w:t>capaces</w:t>
      </w:r>
      <w:r>
        <w:rPr>
          <w:color w:val="231F20"/>
          <w:spacing w:val="-9"/>
          <w:sz w:val="19"/>
        </w:rPr>
        <w:t> </w:t>
      </w:r>
      <w:r>
        <w:rPr>
          <w:color w:val="231F20"/>
          <w:sz w:val="19"/>
        </w:rPr>
        <w:t>de</w:t>
      </w:r>
      <w:r>
        <w:rPr>
          <w:color w:val="231F20"/>
          <w:spacing w:val="-9"/>
          <w:sz w:val="19"/>
        </w:rPr>
        <w:t> </w:t>
      </w:r>
      <w:r>
        <w:rPr>
          <w:color w:val="231F20"/>
          <w:sz w:val="19"/>
        </w:rPr>
        <w:t>albergar,</w:t>
      </w:r>
      <w:r>
        <w:rPr>
          <w:color w:val="231F20"/>
          <w:spacing w:val="-9"/>
          <w:sz w:val="19"/>
        </w:rPr>
        <w:t> </w:t>
      </w:r>
      <w:r>
        <w:rPr>
          <w:color w:val="231F20"/>
          <w:sz w:val="19"/>
        </w:rPr>
        <w:t>mantener</w:t>
      </w:r>
      <w:r>
        <w:rPr>
          <w:color w:val="231F20"/>
          <w:spacing w:val="-9"/>
          <w:sz w:val="19"/>
        </w:rPr>
        <w:t> </w:t>
      </w:r>
      <w:r>
        <w:rPr>
          <w:color w:val="231F20"/>
          <w:sz w:val="19"/>
        </w:rPr>
        <w:t>y</w:t>
      </w:r>
      <w:r>
        <w:rPr>
          <w:color w:val="231F20"/>
          <w:spacing w:val="-9"/>
          <w:sz w:val="19"/>
        </w:rPr>
        <w:t> </w:t>
      </w:r>
      <w:r>
        <w:rPr>
          <w:color w:val="231F20"/>
          <w:sz w:val="19"/>
        </w:rPr>
        <w:t>desarrollar</w:t>
      </w:r>
      <w:r>
        <w:rPr>
          <w:color w:val="231F20"/>
          <w:spacing w:val="-9"/>
          <w:sz w:val="19"/>
        </w:rPr>
        <w:t> </w:t>
      </w:r>
      <w:r>
        <w:rPr>
          <w:color w:val="231F20"/>
          <w:sz w:val="19"/>
        </w:rPr>
        <w:t>un</w:t>
      </w:r>
      <w:r>
        <w:rPr>
          <w:color w:val="231F20"/>
          <w:spacing w:val="-9"/>
          <w:sz w:val="19"/>
        </w:rPr>
        <w:t> </w:t>
      </w:r>
      <w:r>
        <w:rPr>
          <w:color w:val="231F20"/>
          <w:sz w:val="19"/>
        </w:rPr>
        <w:t>nuevo</w:t>
      </w:r>
      <w:r>
        <w:rPr>
          <w:color w:val="231F20"/>
          <w:spacing w:val="-9"/>
          <w:sz w:val="19"/>
        </w:rPr>
        <w:t> </w:t>
      </w:r>
      <w:r>
        <w:rPr>
          <w:color w:val="231F20"/>
          <w:sz w:val="19"/>
        </w:rPr>
        <w:t>modelo</w:t>
      </w:r>
      <w:r>
        <w:rPr>
          <w:color w:val="231F20"/>
          <w:spacing w:val="-9"/>
          <w:sz w:val="19"/>
        </w:rPr>
        <w:t> </w:t>
      </w:r>
      <w:r>
        <w:rPr>
          <w:color w:val="231F20"/>
          <w:sz w:val="19"/>
        </w:rPr>
        <w:t>productivo de características flexibles que permita, en suma, mayores niveles de</w:t>
      </w:r>
      <w:r>
        <w:rPr>
          <w:color w:val="231F20"/>
          <w:spacing w:val="-30"/>
          <w:sz w:val="19"/>
        </w:rPr>
        <w:t> </w:t>
      </w:r>
      <w:r>
        <w:rPr>
          <w:color w:val="231F20"/>
          <w:sz w:val="19"/>
        </w:rPr>
        <w:t>competitividad en</w:t>
      </w:r>
      <w:r>
        <w:rPr>
          <w:color w:val="231F20"/>
          <w:spacing w:val="-8"/>
          <w:sz w:val="19"/>
        </w:rPr>
        <w:t> </w:t>
      </w:r>
      <w:r>
        <w:rPr>
          <w:color w:val="231F20"/>
          <w:sz w:val="19"/>
        </w:rPr>
        <w:t>un</w:t>
      </w:r>
      <w:r>
        <w:rPr>
          <w:color w:val="231F20"/>
          <w:spacing w:val="-8"/>
          <w:sz w:val="19"/>
        </w:rPr>
        <w:t> </w:t>
      </w:r>
      <w:r>
        <w:rPr>
          <w:color w:val="231F20"/>
          <w:sz w:val="19"/>
        </w:rPr>
        <w:t>contexto</w:t>
      </w:r>
      <w:r>
        <w:rPr>
          <w:color w:val="231F20"/>
          <w:spacing w:val="-8"/>
          <w:sz w:val="19"/>
        </w:rPr>
        <w:t> </w:t>
      </w:r>
      <w:r>
        <w:rPr>
          <w:color w:val="231F20"/>
          <w:sz w:val="19"/>
        </w:rPr>
        <w:t>cada</w:t>
      </w:r>
      <w:r>
        <w:rPr>
          <w:color w:val="231F20"/>
          <w:spacing w:val="-8"/>
          <w:sz w:val="19"/>
        </w:rPr>
        <w:t> </w:t>
      </w:r>
      <w:r>
        <w:rPr>
          <w:color w:val="231F20"/>
          <w:sz w:val="19"/>
        </w:rPr>
        <w:t>vez</w:t>
      </w:r>
      <w:r>
        <w:rPr>
          <w:color w:val="231F20"/>
          <w:spacing w:val="-8"/>
          <w:sz w:val="19"/>
        </w:rPr>
        <w:t> </w:t>
      </w:r>
      <w:r>
        <w:rPr>
          <w:color w:val="231F20"/>
          <w:sz w:val="19"/>
        </w:rPr>
        <w:t>más</w:t>
      </w:r>
      <w:r>
        <w:rPr>
          <w:color w:val="231F20"/>
          <w:spacing w:val="-8"/>
          <w:sz w:val="19"/>
        </w:rPr>
        <w:t> </w:t>
      </w:r>
      <w:r>
        <w:rPr>
          <w:color w:val="231F20"/>
          <w:sz w:val="19"/>
        </w:rPr>
        <w:t>global.</w:t>
      </w:r>
    </w:p>
    <w:p>
      <w:pPr>
        <w:pStyle w:val="BodyText"/>
        <w:spacing w:before="7"/>
        <w:rPr>
          <w:sz w:val="24"/>
        </w:rPr>
      </w:pPr>
    </w:p>
    <w:p>
      <w:pPr>
        <w:pStyle w:val="BodyText"/>
        <w:spacing w:line="278" w:lineRule="auto"/>
        <w:ind w:left="103" w:right="711" w:firstLine="396"/>
        <w:jc w:val="both"/>
      </w:pPr>
      <w:r>
        <w:rPr>
          <w:color w:val="231F20"/>
        </w:rPr>
        <w:t>De</w:t>
      </w:r>
      <w:r>
        <w:rPr>
          <w:color w:val="231F20"/>
          <w:spacing w:val="-9"/>
        </w:rPr>
        <w:t> </w:t>
      </w:r>
      <w:r>
        <w:rPr>
          <w:color w:val="231F20"/>
          <w:spacing w:val="-3"/>
        </w:rPr>
        <w:t>esta</w:t>
      </w:r>
      <w:r>
        <w:rPr>
          <w:color w:val="231F20"/>
          <w:spacing w:val="-9"/>
        </w:rPr>
        <w:t> </w:t>
      </w:r>
      <w:r>
        <w:rPr>
          <w:color w:val="231F20"/>
          <w:spacing w:val="-4"/>
        </w:rPr>
        <w:t>forma,</w:t>
      </w:r>
      <w:r>
        <w:rPr>
          <w:color w:val="231F20"/>
          <w:spacing w:val="-9"/>
        </w:rPr>
        <w:t> </w:t>
      </w:r>
      <w:r>
        <w:rPr>
          <w:color w:val="231F20"/>
          <w:spacing w:val="-5"/>
        </w:rPr>
        <w:t>ante</w:t>
      </w:r>
      <w:r>
        <w:rPr>
          <w:color w:val="231F20"/>
          <w:spacing w:val="-9"/>
        </w:rPr>
        <w:t> </w:t>
      </w:r>
      <w:r>
        <w:rPr>
          <w:color w:val="231F20"/>
        </w:rPr>
        <w:t>el</w:t>
      </w:r>
      <w:r>
        <w:rPr>
          <w:color w:val="231F20"/>
          <w:spacing w:val="-9"/>
        </w:rPr>
        <w:t> </w:t>
      </w:r>
      <w:r>
        <w:rPr>
          <w:color w:val="231F20"/>
          <w:spacing w:val="-4"/>
        </w:rPr>
        <w:t>nuevo</w:t>
      </w:r>
      <w:r>
        <w:rPr>
          <w:color w:val="231F20"/>
          <w:spacing w:val="-9"/>
        </w:rPr>
        <w:t> </w:t>
      </w:r>
      <w:r>
        <w:rPr>
          <w:color w:val="231F20"/>
          <w:spacing w:val="-4"/>
        </w:rPr>
        <w:t>orden</w:t>
      </w:r>
      <w:r>
        <w:rPr>
          <w:color w:val="231F20"/>
          <w:spacing w:val="-9"/>
        </w:rPr>
        <w:t> </w:t>
      </w:r>
      <w:r>
        <w:rPr>
          <w:color w:val="231F20"/>
          <w:spacing w:val="-4"/>
        </w:rPr>
        <w:t>económico</w:t>
      </w:r>
      <w:r>
        <w:rPr>
          <w:color w:val="231F20"/>
          <w:spacing w:val="-9"/>
        </w:rPr>
        <w:t> </w:t>
      </w:r>
      <w:r>
        <w:rPr>
          <w:color w:val="231F20"/>
        </w:rPr>
        <w:t>y</w:t>
      </w:r>
      <w:r>
        <w:rPr>
          <w:color w:val="231F20"/>
          <w:spacing w:val="-9"/>
        </w:rPr>
        <w:t> </w:t>
      </w:r>
      <w:r>
        <w:rPr>
          <w:color w:val="231F20"/>
          <w:spacing w:val="-4"/>
        </w:rPr>
        <w:t>comercial</w:t>
      </w:r>
      <w:r>
        <w:rPr>
          <w:color w:val="231F20"/>
          <w:spacing w:val="-9"/>
        </w:rPr>
        <w:t> </w:t>
      </w:r>
      <w:r>
        <w:rPr>
          <w:color w:val="231F20"/>
          <w:spacing w:val="-3"/>
        </w:rPr>
        <w:t>vinculado</w:t>
      </w:r>
      <w:r>
        <w:rPr>
          <w:color w:val="231F20"/>
          <w:spacing w:val="-9"/>
        </w:rPr>
        <w:t> </w:t>
      </w:r>
      <w:r>
        <w:rPr>
          <w:color w:val="231F20"/>
          <w:spacing w:val="-4"/>
        </w:rPr>
        <w:t>con</w:t>
      </w:r>
      <w:r>
        <w:rPr>
          <w:color w:val="231F20"/>
          <w:spacing w:val="-9"/>
        </w:rPr>
        <w:t> </w:t>
      </w:r>
      <w:r>
        <w:rPr>
          <w:color w:val="231F20"/>
          <w:spacing w:val="-3"/>
        </w:rPr>
        <w:t>los</w:t>
      </w:r>
      <w:r>
        <w:rPr>
          <w:color w:val="231F20"/>
          <w:spacing w:val="-9"/>
        </w:rPr>
        <w:t> </w:t>
      </w:r>
      <w:r>
        <w:rPr>
          <w:color w:val="231F20"/>
          <w:spacing w:val="-4"/>
        </w:rPr>
        <w:t>merca- </w:t>
      </w:r>
      <w:r>
        <w:rPr>
          <w:color w:val="231F20"/>
          <w:spacing w:val="-3"/>
        </w:rPr>
        <w:t>dos </w:t>
      </w:r>
      <w:r>
        <w:rPr>
          <w:color w:val="231F20"/>
          <w:spacing w:val="-4"/>
        </w:rPr>
        <w:t>externos, </w:t>
      </w:r>
      <w:r>
        <w:rPr>
          <w:color w:val="231F20"/>
        </w:rPr>
        <w:t>el </w:t>
      </w:r>
      <w:r>
        <w:rPr>
          <w:color w:val="231F20"/>
          <w:spacing w:val="-3"/>
        </w:rPr>
        <w:t>Estado </w:t>
      </w:r>
      <w:r>
        <w:rPr>
          <w:color w:val="231F20"/>
        </w:rPr>
        <w:t>de </w:t>
      </w:r>
      <w:r>
        <w:rPr>
          <w:color w:val="231F20"/>
          <w:spacing w:val="-5"/>
        </w:rPr>
        <w:t>México </w:t>
      </w:r>
      <w:r>
        <w:rPr>
          <w:color w:val="231F20"/>
          <w:spacing w:val="-3"/>
        </w:rPr>
        <w:t>deja </w:t>
      </w:r>
      <w:r>
        <w:rPr>
          <w:color w:val="231F20"/>
        </w:rPr>
        <w:t>de </w:t>
      </w:r>
      <w:r>
        <w:rPr>
          <w:color w:val="231F20"/>
          <w:spacing w:val="-2"/>
        </w:rPr>
        <w:t>ser </w:t>
      </w:r>
      <w:r>
        <w:rPr>
          <w:color w:val="231F20"/>
          <w:spacing w:val="-4"/>
        </w:rPr>
        <w:t>atractivo para </w:t>
      </w:r>
      <w:r>
        <w:rPr>
          <w:color w:val="231F20"/>
          <w:spacing w:val="-3"/>
        </w:rPr>
        <w:t>las </w:t>
      </w:r>
      <w:r>
        <w:rPr>
          <w:color w:val="231F20"/>
          <w:spacing w:val="-4"/>
        </w:rPr>
        <w:t>grandes </w:t>
      </w:r>
      <w:r>
        <w:rPr>
          <w:color w:val="231F20"/>
          <w:spacing w:val="-5"/>
        </w:rPr>
        <w:t>transnacionales, </w:t>
      </w:r>
      <w:r>
        <w:rPr>
          <w:color w:val="231F20"/>
          <w:spacing w:val="-4"/>
        </w:rPr>
        <w:t>que </w:t>
      </w:r>
      <w:r>
        <w:rPr>
          <w:color w:val="231F20"/>
          <w:spacing w:val="-3"/>
        </w:rPr>
        <w:t>fijan sus </w:t>
      </w:r>
      <w:r>
        <w:rPr>
          <w:color w:val="231F20"/>
          <w:spacing w:val="-4"/>
        </w:rPr>
        <w:t>expectativas </w:t>
      </w:r>
      <w:r>
        <w:rPr>
          <w:color w:val="231F20"/>
        </w:rPr>
        <w:t>de </w:t>
      </w:r>
      <w:r>
        <w:rPr>
          <w:color w:val="231F20"/>
          <w:spacing w:val="-5"/>
        </w:rPr>
        <w:t>crecimiento </w:t>
      </w:r>
      <w:r>
        <w:rPr>
          <w:color w:val="231F20"/>
        </w:rPr>
        <w:t>en </w:t>
      </w:r>
      <w:r>
        <w:rPr>
          <w:color w:val="231F20"/>
          <w:spacing w:val="-3"/>
        </w:rPr>
        <w:t>las </w:t>
      </w:r>
      <w:r>
        <w:rPr>
          <w:color w:val="231F20"/>
          <w:spacing w:val="-5"/>
        </w:rPr>
        <w:t>ventajas </w:t>
      </w:r>
      <w:r>
        <w:rPr>
          <w:color w:val="231F20"/>
        </w:rPr>
        <w:t>de </w:t>
      </w:r>
      <w:r>
        <w:rPr>
          <w:color w:val="231F20"/>
          <w:spacing w:val="-4"/>
        </w:rPr>
        <w:t>localización (cercanía con los mercados</w:t>
      </w:r>
      <w:r>
        <w:rPr>
          <w:color w:val="231F20"/>
          <w:spacing w:val="-12"/>
        </w:rPr>
        <w:t> </w:t>
      </w:r>
      <w:r>
        <w:rPr>
          <w:color w:val="231F20"/>
          <w:spacing w:val="-4"/>
        </w:rPr>
        <w:t>estadounidense</w:t>
      </w:r>
      <w:r>
        <w:rPr>
          <w:color w:val="231F20"/>
          <w:spacing w:val="-12"/>
        </w:rPr>
        <w:t> </w:t>
      </w:r>
      <w:r>
        <w:rPr>
          <w:color w:val="231F20"/>
        </w:rPr>
        <w:t>y</w:t>
      </w:r>
      <w:r>
        <w:rPr>
          <w:color w:val="231F20"/>
          <w:spacing w:val="-12"/>
        </w:rPr>
        <w:t> </w:t>
      </w:r>
      <w:r>
        <w:rPr>
          <w:color w:val="231F20"/>
          <w:spacing w:val="-4"/>
        </w:rPr>
        <w:t>canadiense,</w:t>
      </w:r>
      <w:r>
        <w:rPr>
          <w:color w:val="231F20"/>
          <w:spacing w:val="-12"/>
        </w:rPr>
        <w:t> </w:t>
      </w:r>
      <w:r>
        <w:rPr>
          <w:color w:val="231F20"/>
          <w:spacing w:val="-4"/>
        </w:rPr>
        <w:t>mano</w:t>
      </w:r>
      <w:r>
        <w:rPr>
          <w:color w:val="231F20"/>
          <w:spacing w:val="-12"/>
        </w:rPr>
        <w:t> </w:t>
      </w:r>
      <w:r>
        <w:rPr>
          <w:color w:val="231F20"/>
        </w:rPr>
        <w:t>de</w:t>
      </w:r>
      <w:r>
        <w:rPr>
          <w:color w:val="231F20"/>
          <w:spacing w:val="-12"/>
        </w:rPr>
        <w:t> </w:t>
      </w:r>
      <w:r>
        <w:rPr>
          <w:color w:val="231F20"/>
          <w:spacing w:val="-4"/>
        </w:rPr>
        <w:t>obra</w:t>
      </w:r>
      <w:r>
        <w:rPr>
          <w:color w:val="231F20"/>
          <w:spacing w:val="-12"/>
        </w:rPr>
        <w:t> </w:t>
      </w:r>
      <w:r>
        <w:rPr>
          <w:color w:val="231F20"/>
          <w:spacing w:val="-4"/>
        </w:rPr>
        <w:t>barata</w:t>
      </w:r>
      <w:r>
        <w:rPr>
          <w:color w:val="231F20"/>
          <w:spacing w:val="-12"/>
        </w:rPr>
        <w:t> </w:t>
      </w:r>
      <w:r>
        <w:rPr>
          <w:color w:val="231F20"/>
        </w:rPr>
        <w:t>y</w:t>
      </w:r>
      <w:r>
        <w:rPr>
          <w:color w:val="231F20"/>
          <w:spacing w:val="-12"/>
        </w:rPr>
        <w:t> </w:t>
      </w:r>
      <w:r>
        <w:rPr>
          <w:color w:val="231F20"/>
          <w:spacing w:val="-3"/>
        </w:rPr>
        <w:t>calificada,</w:t>
      </w:r>
      <w:r>
        <w:rPr>
          <w:color w:val="231F20"/>
          <w:spacing w:val="-12"/>
        </w:rPr>
        <w:t> </w:t>
      </w:r>
      <w:r>
        <w:rPr>
          <w:color w:val="231F20"/>
          <w:spacing w:val="-3"/>
        </w:rPr>
        <w:t>escasa</w:t>
      </w:r>
      <w:r>
        <w:rPr>
          <w:color w:val="231F20"/>
          <w:spacing w:val="-12"/>
        </w:rPr>
        <w:t> </w:t>
      </w:r>
      <w:r>
        <w:rPr>
          <w:color w:val="231F20"/>
          <w:spacing w:val="-4"/>
        </w:rPr>
        <w:t>tradición sindical, </w:t>
      </w:r>
      <w:r>
        <w:rPr>
          <w:color w:val="231F20"/>
          <w:spacing w:val="-5"/>
        </w:rPr>
        <w:t>apoyos </w:t>
      </w:r>
      <w:r>
        <w:rPr>
          <w:color w:val="231F20"/>
          <w:spacing w:val="-4"/>
        </w:rPr>
        <w:t>gubernamentales, infraestructura) que </w:t>
      </w:r>
      <w:r>
        <w:rPr>
          <w:color w:val="231F20"/>
          <w:spacing w:val="-3"/>
        </w:rPr>
        <w:t>les </w:t>
      </w:r>
      <w:r>
        <w:rPr>
          <w:color w:val="231F20"/>
          <w:spacing w:val="-4"/>
        </w:rPr>
        <w:t>ofrecen </w:t>
      </w:r>
      <w:r>
        <w:rPr>
          <w:color w:val="231F20"/>
          <w:spacing w:val="-3"/>
        </w:rPr>
        <w:t>los </w:t>
      </w:r>
      <w:r>
        <w:rPr>
          <w:color w:val="231F20"/>
          <w:spacing w:val="-4"/>
        </w:rPr>
        <w:t>estados </w:t>
      </w:r>
      <w:r>
        <w:rPr>
          <w:color w:val="231F20"/>
          <w:spacing w:val="-3"/>
        </w:rPr>
        <w:t>del </w:t>
      </w:r>
      <w:r>
        <w:rPr>
          <w:color w:val="231F20"/>
          <w:spacing w:val="-4"/>
        </w:rPr>
        <w:t>norte </w:t>
      </w:r>
      <w:r>
        <w:rPr>
          <w:color w:val="231F20"/>
          <w:spacing w:val="-3"/>
        </w:rPr>
        <w:t>del</w:t>
      </w:r>
      <w:r>
        <w:rPr>
          <w:color w:val="231F20"/>
          <w:spacing w:val="-16"/>
        </w:rPr>
        <w:t> </w:t>
      </w:r>
      <w:r>
        <w:rPr>
          <w:color w:val="231F20"/>
          <w:spacing w:val="-4"/>
        </w:rPr>
        <w:t>país</w:t>
      </w:r>
      <w:r>
        <w:rPr>
          <w:color w:val="231F20"/>
          <w:spacing w:val="-16"/>
        </w:rPr>
        <w:t> </w:t>
      </w:r>
      <w:r>
        <w:rPr>
          <w:color w:val="231F20"/>
          <w:spacing w:val="-3"/>
        </w:rPr>
        <w:t>por</w:t>
      </w:r>
      <w:r>
        <w:rPr>
          <w:color w:val="231F20"/>
          <w:spacing w:val="-16"/>
        </w:rPr>
        <w:t> </w:t>
      </w:r>
      <w:r>
        <w:rPr>
          <w:color w:val="231F20"/>
          <w:spacing w:val="-3"/>
        </w:rPr>
        <w:t>su</w:t>
      </w:r>
      <w:r>
        <w:rPr>
          <w:color w:val="231F20"/>
          <w:spacing w:val="-16"/>
        </w:rPr>
        <w:t> </w:t>
      </w:r>
      <w:r>
        <w:rPr>
          <w:color w:val="231F20"/>
          <w:spacing w:val="-4"/>
        </w:rPr>
        <w:t>cercanía</w:t>
      </w:r>
      <w:r>
        <w:rPr>
          <w:color w:val="231F20"/>
          <w:spacing w:val="-16"/>
        </w:rPr>
        <w:t> </w:t>
      </w:r>
      <w:r>
        <w:rPr>
          <w:color w:val="231F20"/>
        </w:rPr>
        <w:t>a</w:t>
      </w:r>
      <w:r>
        <w:rPr>
          <w:color w:val="231F20"/>
          <w:spacing w:val="-16"/>
        </w:rPr>
        <w:t> </w:t>
      </w:r>
      <w:r>
        <w:rPr>
          <w:color w:val="231F20"/>
          <w:spacing w:val="-3"/>
        </w:rPr>
        <w:t>los</w:t>
      </w:r>
      <w:r>
        <w:rPr>
          <w:color w:val="231F20"/>
          <w:spacing w:val="-16"/>
        </w:rPr>
        <w:t> </w:t>
      </w:r>
      <w:r>
        <w:rPr>
          <w:color w:val="231F20"/>
          <w:spacing w:val="-4"/>
        </w:rPr>
        <w:t>mercados</w:t>
      </w:r>
      <w:r>
        <w:rPr>
          <w:color w:val="231F20"/>
          <w:spacing w:val="-16"/>
        </w:rPr>
        <w:t> </w:t>
      </w:r>
      <w:r>
        <w:rPr>
          <w:color w:val="231F20"/>
          <w:spacing w:val="-4"/>
        </w:rPr>
        <w:t>estadounidense</w:t>
      </w:r>
      <w:r>
        <w:rPr>
          <w:color w:val="231F20"/>
          <w:spacing w:val="-16"/>
        </w:rPr>
        <w:t> </w:t>
      </w:r>
      <w:r>
        <w:rPr>
          <w:color w:val="231F20"/>
        </w:rPr>
        <w:t>y</w:t>
      </w:r>
      <w:r>
        <w:rPr>
          <w:color w:val="231F20"/>
          <w:spacing w:val="-16"/>
        </w:rPr>
        <w:t> </w:t>
      </w:r>
      <w:r>
        <w:rPr>
          <w:color w:val="231F20"/>
          <w:spacing w:val="-4"/>
        </w:rPr>
        <w:t>canadiense.</w:t>
      </w:r>
      <w:r>
        <w:rPr>
          <w:color w:val="231F20"/>
          <w:spacing w:val="-16"/>
        </w:rPr>
        <w:t> </w:t>
      </w:r>
      <w:r>
        <w:rPr>
          <w:color w:val="231F20"/>
          <w:spacing w:val="-4"/>
        </w:rPr>
        <w:t>Así,</w:t>
      </w:r>
      <w:r>
        <w:rPr>
          <w:color w:val="231F20"/>
          <w:spacing w:val="-16"/>
        </w:rPr>
        <w:t> </w:t>
      </w:r>
      <w:r>
        <w:rPr>
          <w:color w:val="231F20"/>
        </w:rPr>
        <w:t>se</w:t>
      </w:r>
      <w:r>
        <w:rPr>
          <w:color w:val="231F20"/>
          <w:spacing w:val="-16"/>
        </w:rPr>
        <w:t> </w:t>
      </w:r>
      <w:r>
        <w:rPr>
          <w:color w:val="231F20"/>
          <w:spacing w:val="-3"/>
        </w:rPr>
        <w:t>ve</w:t>
      </w:r>
      <w:r>
        <w:rPr>
          <w:color w:val="231F20"/>
          <w:spacing w:val="-16"/>
        </w:rPr>
        <w:t> </w:t>
      </w:r>
      <w:r>
        <w:rPr>
          <w:color w:val="231F20"/>
          <w:spacing w:val="-5"/>
        </w:rPr>
        <w:t>desplazado </w:t>
      </w:r>
      <w:r>
        <w:rPr>
          <w:color w:val="231F20"/>
          <w:spacing w:val="-3"/>
        </w:rPr>
        <w:t>por</w:t>
      </w:r>
      <w:r>
        <w:rPr>
          <w:color w:val="231F20"/>
          <w:spacing w:val="-10"/>
        </w:rPr>
        <w:t> </w:t>
      </w:r>
      <w:r>
        <w:rPr>
          <w:color w:val="231F20"/>
          <w:spacing w:val="-3"/>
        </w:rPr>
        <w:t>su</w:t>
      </w:r>
      <w:r>
        <w:rPr>
          <w:color w:val="231F20"/>
          <w:spacing w:val="-10"/>
        </w:rPr>
        <w:t> </w:t>
      </w:r>
      <w:r>
        <w:rPr>
          <w:color w:val="231F20"/>
          <w:spacing w:val="-4"/>
        </w:rPr>
        <w:t>ubicación</w:t>
      </w:r>
      <w:r>
        <w:rPr>
          <w:color w:val="231F20"/>
          <w:spacing w:val="-10"/>
        </w:rPr>
        <w:t> </w:t>
      </w:r>
      <w:r>
        <w:rPr>
          <w:color w:val="231F20"/>
          <w:spacing w:val="-4"/>
        </w:rPr>
        <w:t>geográfica</w:t>
      </w:r>
      <w:r>
        <w:rPr>
          <w:color w:val="231F20"/>
          <w:spacing w:val="-10"/>
        </w:rPr>
        <w:t> </w:t>
      </w:r>
      <w:r>
        <w:rPr>
          <w:color w:val="231F20"/>
          <w:spacing w:val="-4"/>
        </w:rPr>
        <w:t>como</w:t>
      </w:r>
      <w:r>
        <w:rPr>
          <w:color w:val="231F20"/>
          <w:spacing w:val="-10"/>
        </w:rPr>
        <w:t> </w:t>
      </w:r>
      <w:r>
        <w:rPr>
          <w:color w:val="231F20"/>
          <w:spacing w:val="-4"/>
        </w:rPr>
        <w:t>destino</w:t>
      </w:r>
      <w:r>
        <w:rPr>
          <w:color w:val="231F20"/>
          <w:spacing w:val="-10"/>
        </w:rPr>
        <w:t> </w:t>
      </w:r>
      <w:r>
        <w:rPr>
          <w:color w:val="231F20"/>
        </w:rPr>
        <w:t>de</w:t>
      </w:r>
      <w:r>
        <w:rPr>
          <w:color w:val="231F20"/>
          <w:spacing w:val="-10"/>
        </w:rPr>
        <w:t> </w:t>
      </w:r>
      <w:r>
        <w:rPr>
          <w:color w:val="231F20"/>
          <w:spacing w:val="-4"/>
        </w:rPr>
        <w:t>flujos</w:t>
      </w:r>
      <w:r>
        <w:rPr>
          <w:color w:val="231F20"/>
          <w:spacing w:val="-10"/>
        </w:rPr>
        <w:t> </w:t>
      </w:r>
      <w:r>
        <w:rPr>
          <w:color w:val="231F20"/>
        </w:rPr>
        <w:t>de</w:t>
      </w:r>
      <w:r>
        <w:rPr>
          <w:color w:val="231F20"/>
          <w:spacing w:val="-10"/>
        </w:rPr>
        <w:t> </w:t>
      </w:r>
      <w:r>
        <w:rPr>
          <w:color w:val="231F20"/>
          <w:spacing w:val="-5"/>
        </w:rPr>
        <w:t>inversión,</w:t>
      </w:r>
      <w:r>
        <w:rPr>
          <w:color w:val="231F20"/>
          <w:spacing w:val="-10"/>
        </w:rPr>
        <w:t> </w:t>
      </w:r>
      <w:r>
        <w:rPr>
          <w:color w:val="231F20"/>
          <w:spacing w:val="-4"/>
        </w:rPr>
        <w:t>pues</w:t>
      </w:r>
      <w:r>
        <w:rPr>
          <w:color w:val="231F20"/>
          <w:spacing w:val="-10"/>
        </w:rPr>
        <w:t> </w:t>
      </w:r>
      <w:r>
        <w:rPr>
          <w:color w:val="231F20"/>
          <w:spacing w:val="-3"/>
        </w:rPr>
        <w:t>los</w:t>
      </w:r>
      <w:r>
        <w:rPr>
          <w:color w:val="231F20"/>
          <w:spacing w:val="-10"/>
        </w:rPr>
        <w:t> </w:t>
      </w:r>
      <w:r>
        <w:rPr>
          <w:color w:val="231F20"/>
          <w:spacing w:val="-4"/>
        </w:rPr>
        <w:t>estados</w:t>
      </w:r>
      <w:r>
        <w:rPr>
          <w:color w:val="231F20"/>
          <w:spacing w:val="-10"/>
        </w:rPr>
        <w:t> </w:t>
      </w:r>
      <w:r>
        <w:rPr>
          <w:color w:val="231F20"/>
          <w:spacing w:val="-5"/>
        </w:rPr>
        <w:t>fronteri- </w:t>
      </w:r>
      <w:r>
        <w:rPr>
          <w:color w:val="231F20"/>
          <w:spacing w:val="-3"/>
        </w:rPr>
        <w:t>zos</w:t>
      </w:r>
      <w:r>
        <w:rPr>
          <w:color w:val="231F20"/>
          <w:spacing w:val="-8"/>
        </w:rPr>
        <w:t> </w:t>
      </w:r>
      <w:r>
        <w:rPr>
          <w:color w:val="231F20"/>
        </w:rPr>
        <w:t>se</w:t>
      </w:r>
      <w:r>
        <w:rPr>
          <w:color w:val="231F20"/>
          <w:spacing w:val="-8"/>
        </w:rPr>
        <w:t> </w:t>
      </w:r>
      <w:r>
        <w:rPr>
          <w:color w:val="231F20"/>
          <w:spacing w:val="-4"/>
        </w:rPr>
        <w:t>convierten</w:t>
      </w:r>
      <w:r>
        <w:rPr>
          <w:color w:val="231F20"/>
          <w:spacing w:val="-8"/>
        </w:rPr>
        <w:t> </w:t>
      </w:r>
      <w:r>
        <w:rPr>
          <w:color w:val="231F20"/>
        </w:rPr>
        <w:t>en</w:t>
      </w:r>
      <w:r>
        <w:rPr>
          <w:color w:val="231F20"/>
          <w:spacing w:val="-8"/>
        </w:rPr>
        <w:t> </w:t>
      </w:r>
      <w:r>
        <w:rPr>
          <w:color w:val="231F20"/>
          <w:spacing w:val="-5"/>
        </w:rPr>
        <w:t>puntos</w:t>
      </w:r>
      <w:r>
        <w:rPr>
          <w:color w:val="231F20"/>
          <w:spacing w:val="-8"/>
        </w:rPr>
        <w:t> </w:t>
      </w:r>
      <w:r>
        <w:rPr>
          <w:color w:val="231F20"/>
          <w:spacing w:val="-5"/>
        </w:rPr>
        <w:t>naturales</w:t>
      </w:r>
      <w:r>
        <w:rPr>
          <w:color w:val="231F20"/>
          <w:spacing w:val="-8"/>
        </w:rPr>
        <w:t> </w:t>
      </w:r>
      <w:r>
        <w:rPr>
          <w:color w:val="231F20"/>
        </w:rPr>
        <w:t>de</w:t>
      </w:r>
      <w:r>
        <w:rPr>
          <w:color w:val="231F20"/>
          <w:spacing w:val="-8"/>
        </w:rPr>
        <w:t> </w:t>
      </w:r>
      <w:r>
        <w:rPr>
          <w:color w:val="231F20"/>
          <w:spacing w:val="-3"/>
        </w:rPr>
        <w:t>las</w:t>
      </w:r>
      <w:r>
        <w:rPr>
          <w:color w:val="231F20"/>
          <w:spacing w:val="-8"/>
        </w:rPr>
        <w:t> </w:t>
      </w:r>
      <w:r>
        <w:rPr>
          <w:color w:val="231F20"/>
          <w:spacing w:val="-4"/>
        </w:rPr>
        <w:t>nuevas</w:t>
      </w:r>
      <w:r>
        <w:rPr>
          <w:color w:val="231F20"/>
          <w:spacing w:val="-8"/>
        </w:rPr>
        <w:t> </w:t>
      </w:r>
      <w:r>
        <w:rPr>
          <w:color w:val="231F20"/>
          <w:spacing w:val="-5"/>
        </w:rPr>
        <w:t>inversiones.</w:t>
      </w:r>
    </w:p>
    <w:p>
      <w:pPr>
        <w:pStyle w:val="BodyText"/>
        <w:spacing w:line="278" w:lineRule="auto" w:before="1"/>
        <w:ind w:left="103" w:right="711" w:firstLine="396"/>
        <w:jc w:val="both"/>
      </w:pPr>
      <w:r>
        <w:rPr>
          <w:color w:val="231F20"/>
          <w:spacing w:val="-4"/>
        </w:rPr>
        <w:t>Por </w:t>
      </w:r>
      <w:r>
        <w:rPr>
          <w:color w:val="231F20"/>
        </w:rPr>
        <w:t>otro lado, se tiene también el agotamiento de procesos productivos (que de manera</w:t>
      </w:r>
      <w:r>
        <w:rPr>
          <w:color w:val="231F20"/>
          <w:spacing w:val="-13"/>
        </w:rPr>
        <w:t> </w:t>
      </w:r>
      <w:r>
        <w:rPr>
          <w:color w:val="231F20"/>
        </w:rPr>
        <w:t>general</w:t>
      </w:r>
      <w:r>
        <w:rPr>
          <w:color w:val="231F20"/>
          <w:spacing w:val="-13"/>
        </w:rPr>
        <w:t> </w:t>
      </w:r>
      <w:r>
        <w:rPr>
          <w:color w:val="231F20"/>
        </w:rPr>
        <w:t>también</w:t>
      </w:r>
      <w:r>
        <w:rPr>
          <w:color w:val="231F20"/>
          <w:spacing w:val="-13"/>
        </w:rPr>
        <w:t> </w:t>
      </w:r>
      <w:r>
        <w:rPr>
          <w:color w:val="231F20"/>
        </w:rPr>
        <w:t>se</w:t>
      </w:r>
      <w:r>
        <w:rPr>
          <w:color w:val="231F20"/>
          <w:spacing w:val="-13"/>
        </w:rPr>
        <w:t> </w:t>
      </w:r>
      <w:r>
        <w:rPr>
          <w:color w:val="231F20"/>
        </w:rPr>
        <w:t>relaciona</w:t>
      </w:r>
      <w:r>
        <w:rPr>
          <w:color w:val="231F20"/>
          <w:spacing w:val="-13"/>
        </w:rPr>
        <w:t> </w:t>
      </w:r>
      <w:r>
        <w:rPr>
          <w:color w:val="231F20"/>
        </w:rPr>
        <w:t>con</w:t>
      </w:r>
      <w:r>
        <w:rPr>
          <w:color w:val="231F20"/>
          <w:spacing w:val="-13"/>
        </w:rPr>
        <w:t> </w:t>
      </w:r>
      <w:r>
        <w:rPr>
          <w:color w:val="231F20"/>
        </w:rPr>
        <w:t>la</w:t>
      </w:r>
      <w:r>
        <w:rPr>
          <w:color w:val="231F20"/>
          <w:spacing w:val="-13"/>
        </w:rPr>
        <w:t> </w:t>
      </w:r>
      <w:r>
        <w:rPr>
          <w:color w:val="231F20"/>
        </w:rPr>
        <w:t>ubicación</w:t>
      </w:r>
      <w:r>
        <w:rPr>
          <w:color w:val="231F20"/>
          <w:spacing w:val="-13"/>
        </w:rPr>
        <w:t> </w:t>
      </w:r>
      <w:r>
        <w:rPr>
          <w:color w:val="231F20"/>
        </w:rPr>
        <w:t>geográfica);</w:t>
      </w:r>
      <w:r>
        <w:rPr>
          <w:color w:val="231F20"/>
          <w:spacing w:val="-13"/>
        </w:rPr>
        <w:t> </w:t>
      </w:r>
      <w:r>
        <w:rPr>
          <w:color w:val="231F20"/>
        </w:rPr>
        <w:t>es</w:t>
      </w:r>
      <w:r>
        <w:rPr>
          <w:color w:val="231F20"/>
          <w:spacing w:val="-13"/>
        </w:rPr>
        <w:t> </w:t>
      </w:r>
      <w:r>
        <w:rPr>
          <w:color w:val="231F20"/>
          <w:spacing w:val="-3"/>
        </w:rPr>
        <w:t>decir,</w:t>
      </w:r>
      <w:r>
        <w:rPr>
          <w:color w:val="231F20"/>
          <w:spacing w:val="-13"/>
        </w:rPr>
        <w:t> </w:t>
      </w:r>
      <w:r>
        <w:rPr>
          <w:color w:val="231F20"/>
        </w:rPr>
        <w:t>que</w:t>
      </w:r>
      <w:r>
        <w:rPr>
          <w:color w:val="231F20"/>
          <w:spacing w:val="-13"/>
        </w:rPr>
        <w:t> </w:t>
      </w:r>
      <w:r>
        <w:rPr>
          <w:color w:val="231F20"/>
        </w:rPr>
        <w:t>la</w:t>
      </w:r>
      <w:r>
        <w:rPr>
          <w:color w:val="231F20"/>
          <w:spacing w:val="-13"/>
        </w:rPr>
        <w:t> </w:t>
      </w:r>
      <w:r>
        <w:rPr>
          <w:color w:val="231F20"/>
        </w:rPr>
        <w:t>plan- ta</w:t>
      </w:r>
      <w:r>
        <w:rPr>
          <w:color w:val="231F20"/>
          <w:spacing w:val="-8"/>
        </w:rPr>
        <w:t> </w:t>
      </w:r>
      <w:r>
        <w:rPr>
          <w:color w:val="231F20"/>
        </w:rPr>
        <w:t>productiva</w:t>
      </w:r>
      <w:r>
        <w:rPr>
          <w:color w:val="231F20"/>
          <w:spacing w:val="-8"/>
        </w:rPr>
        <w:t> </w:t>
      </w:r>
      <w:r>
        <w:rPr>
          <w:color w:val="231F20"/>
        </w:rPr>
        <w:t>del</w:t>
      </w:r>
      <w:r>
        <w:rPr>
          <w:color w:val="231F20"/>
          <w:spacing w:val="-8"/>
        </w:rPr>
        <w:t> </w:t>
      </w:r>
      <w:r>
        <w:rPr>
          <w:color w:val="231F20"/>
        </w:rPr>
        <w:t>estado,</w:t>
      </w:r>
      <w:r>
        <w:rPr>
          <w:color w:val="231F20"/>
          <w:spacing w:val="-8"/>
        </w:rPr>
        <w:t> </w:t>
      </w:r>
      <w:r>
        <w:rPr>
          <w:color w:val="231F20"/>
        </w:rPr>
        <w:t>dados</w:t>
      </w:r>
      <w:r>
        <w:rPr>
          <w:color w:val="231F20"/>
          <w:spacing w:val="-8"/>
        </w:rPr>
        <w:t> </w:t>
      </w:r>
      <w:r>
        <w:rPr>
          <w:color w:val="231F20"/>
        </w:rPr>
        <w:t>los</w:t>
      </w:r>
      <w:r>
        <w:rPr>
          <w:color w:val="231F20"/>
          <w:spacing w:val="-8"/>
        </w:rPr>
        <w:t> </w:t>
      </w:r>
      <w:r>
        <w:rPr>
          <w:color w:val="231F20"/>
        </w:rPr>
        <w:t>requerimientos</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demanda</w:t>
      </w:r>
      <w:r>
        <w:rPr>
          <w:color w:val="231F20"/>
          <w:spacing w:val="-8"/>
        </w:rPr>
        <w:t> </w:t>
      </w:r>
      <w:r>
        <w:rPr>
          <w:color w:val="231F20"/>
        </w:rPr>
        <w:t>y</w:t>
      </w:r>
      <w:r>
        <w:rPr>
          <w:color w:val="231F20"/>
          <w:spacing w:val="-8"/>
        </w:rPr>
        <w:t> </w:t>
      </w:r>
      <w:r>
        <w:rPr>
          <w:color w:val="231F20"/>
        </w:rPr>
        <w:t>las</w:t>
      </w:r>
      <w:r>
        <w:rPr>
          <w:color w:val="231F20"/>
          <w:spacing w:val="-8"/>
        </w:rPr>
        <w:t> </w:t>
      </w:r>
      <w:r>
        <w:rPr>
          <w:color w:val="231F20"/>
        </w:rPr>
        <w:t>necesidades</w:t>
      </w:r>
      <w:r>
        <w:rPr>
          <w:color w:val="231F20"/>
          <w:spacing w:val="-8"/>
        </w:rPr>
        <w:t> </w:t>
      </w:r>
      <w:r>
        <w:rPr>
          <w:color w:val="231F20"/>
        </w:rPr>
        <w:t>del mercado</w:t>
      </w:r>
      <w:r>
        <w:rPr>
          <w:color w:val="231F20"/>
          <w:spacing w:val="-7"/>
        </w:rPr>
        <w:t> </w:t>
      </w:r>
      <w:r>
        <w:rPr>
          <w:color w:val="231F20"/>
        </w:rPr>
        <w:t>externo,</w:t>
      </w:r>
      <w:r>
        <w:rPr>
          <w:color w:val="231F20"/>
          <w:spacing w:val="-7"/>
        </w:rPr>
        <w:t> </w:t>
      </w:r>
      <w:r>
        <w:rPr>
          <w:color w:val="231F20"/>
        </w:rPr>
        <w:t>no</w:t>
      </w:r>
      <w:r>
        <w:rPr>
          <w:color w:val="231F20"/>
          <w:spacing w:val="-7"/>
        </w:rPr>
        <w:t> </w:t>
      </w:r>
      <w:r>
        <w:rPr>
          <w:color w:val="231F20"/>
        </w:rPr>
        <w:t>cuenta</w:t>
      </w:r>
      <w:r>
        <w:rPr>
          <w:color w:val="231F20"/>
          <w:spacing w:val="-7"/>
        </w:rPr>
        <w:t> </w:t>
      </w:r>
      <w:r>
        <w:rPr>
          <w:color w:val="231F20"/>
        </w:rPr>
        <w:t>con</w:t>
      </w:r>
      <w:r>
        <w:rPr>
          <w:color w:val="231F20"/>
          <w:spacing w:val="-7"/>
        </w:rPr>
        <w:t> </w:t>
      </w:r>
      <w:r>
        <w:rPr>
          <w:color w:val="231F20"/>
        </w:rPr>
        <w:t>las</w:t>
      </w:r>
      <w:r>
        <w:rPr>
          <w:color w:val="231F20"/>
          <w:spacing w:val="-7"/>
        </w:rPr>
        <w:t> </w:t>
      </w:r>
      <w:r>
        <w:rPr>
          <w:color w:val="231F20"/>
        </w:rPr>
        <w:t>mejores</w:t>
      </w:r>
      <w:r>
        <w:rPr>
          <w:color w:val="231F20"/>
          <w:spacing w:val="-7"/>
        </w:rPr>
        <w:t> </w:t>
      </w:r>
      <w:r>
        <w:rPr>
          <w:color w:val="231F20"/>
        </w:rPr>
        <w:t>condiciones</w:t>
      </w:r>
      <w:r>
        <w:rPr>
          <w:color w:val="231F20"/>
          <w:spacing w:val="-7"/>
        </w:rPr>
        <w:t> </w:t>
      </w:r>
      <w:r>
        <w:rPr>
          <w:color w:val="231F20"/>
        </w:rPr>
        <w:t>para</w:t>
      </w:r>
      <w:r>
        <w:rPr>
          <w:color w:val="231F20"/>
          <w:spacing w:val="-7"/>
        </w:rPr>
        <w:t> </w:t>
      </w:r>
      <w:r>
        <w:rPr>
          <w:color w:val="231F20"/>
        </w:rPr>
        <w:t>convertirse</w:t>
      </w:r>
      <w:r>
        <w:rPr>
          <w:color w:val="231F20"/>
          <w:spacing w:val="-7"/>
        </w:rPr>
        <w:t> </w:t>
      </w:r>
      <w:r>
        <w:rPr>
          <w:color w:val="231F20"/>
        </w:rPr>
        <w:t>en</w:t>
      </w:r>
      <w:r>
        <w:rPr>
          <w:color w:val="231F20"/>
          <w:spacing w:val="-7"/>
        </w:rPr>
        <w:t> </w:t>
      </w:r>
      <w:r>
        <w:rPr>
          <w:color w:val="231F20"/>
        </w:rPr>
        <w:t>motor</w:t>
      </w:r>
      <w:r>
        <w:rPr>
          <w:color w:val="231F20"/>
          <w:spacing w:val="-7"/>
        </w:rPr>
        <w:t> </w:t>
      </w:r>
      <w:r>
        <w:rPr>
          <w:color w:val="231F20"/>
        </w:rPr>
        <w:t>del crecimiento,</w:t>
      </w:r>
      <w:r>
        <w:rPr>
          <w:color w:val="231F20"/>
          <w:spacing w:val="-6"/>
        </w:rPr>
        <w:t> </w:t>
      </w:r>
      <w:r>
        <w:rPr>
          <w:color w:val="231F20"/>
        </w:rPr>
        <w:t>pues</w:t>
      </w:r>
      <w:r>
        <w:rPr>
          <w:color w:val="231F20"/>
          <w:spacing w:val="-6"/>
        </w:rPr>
        <w:t> </w:t>
      </w:r>
      <w:r>
        <w:rPr>
          <w:color w:val="231F20"/>
        </w:rPr>
        <w:t>fue</w:t>
      </w:r>
      <w:r>
        <w:rPr>
          <w:color w:val="231F20"/>
          <w:spacing w:val="-6"/>
        </w:rPr>
        <w:t> </w:t>
      </w:r>
      <w:r>
        <w:rPr>
          <w:color w:val="231F20"/>
        </w:rPr>
        <w:t>creada</w:t>
      </w:r>
      <w:r>
        <w:rPr>
          <w:color w:val="231F20"/>
          <w:spacing w:val="-6"/>
        </w:rPr>
        <w:t> </w:t>
      </w:r>
      <w:r>
        <w:rPr>
          <w:color w:val="231F20"/>
        </w:rPr>
        <w:t>bajo</w:t>
      </w:r>
      <w:r>
        <w:rPr>
          <w:color w:val="231F20"/>
          <w:spacing w:val="-6"/>
        </w:rPr>
        <w:t> </w:t>
      </w:r>
      <w:r>
        <w:rPr>
          <w:color w:val="231F20"/>
        </w:rPr>
        <w:t>una</w:t>
      </w:r>
      <w:r>
        <w:rPr>
          <w:color w:val="231F20"/>
          <w:spacing w:val="-6"/>
        </w:rPr>
        <w:t> </w:t>
      </w:r>
      <w:r>
        <w:rPr>
          <w:color w:val="231F20"/>
        </w:rPr>
        <w:t>lógica</w:t>
      </w:r>
      <w:r>
        <w:rPr>
          <w:color w:val="231F20"/>
          <w:spacing w:val="-6"/>
        </w:rPr>
        <w:t> </w:t>
      </w:r>
      <w:r>
        <w:rPr>
          <w:color w:val="231F20"/>
        </w:rPr>
        <w:t>económica</w:t>
      </w:r>
      <w:r>
        <w:rPr>
          <w:color w:val="231F20"/>
          <w:spacing w:val="-6"/>
        </w:rPr>
        <w:t> </w:t>
      </w:r>
      <w:r>
        <w:rPr>
          <w:color w:val="231F20"/>
        </w:rPr>
        <w:t>distinta.</w:t>
      </w:r>
    </w:p>
    <w:p>
      <w:pPr>
        <w:pStyle w:val="Heading3"/>
        <w:numPr>
          <w:ilvl w:val="1"/>
          <w:numId w:val="22"/>
        </w:numPr>
        <w:tabs>
          <w:tab w:pos="518" w:val="left" w:leader="none"/>
        </w:tabs>
        <w:spacing w:line="240" w:lineRule="auto" w:before="173" w:after="0"/>
        <w:ind w:left="517" w:right="0" w:hanging="414"/>
        <w:jc w:val="both"/>
      </w:pPr>
      <w:r>
        <w:rPr>
          <w:color w:val="231F20"/>
          <w:w w:val="90"/>
        </w:rPr>
        <w:t>Conclusiones del</w:t>
      </w:r>
      <w:r>
        <w:rPr>
          <w:color w:val="231F20"/>
          <w:spacing w:val="9"/>
          <w:w w:val="90"/>
        </w:rPr>
        <w:t> </w:t>
      </w:r>
      <w:r>
        <w:rPr>
          <w:color w:val="231F20"/>
          <w:w w:val="90"/>
        </w:rPr>
        <w:t>capítulo</w:t>
      </w:r>
    </w:p>
    <w:p>
      <w:pPr>
        <w:pStyle w:val="BodyText"/>
        <w:spacing w:line="278" w:lineRule="auto" w:before="125"/>
        <w:ind w:left="103" w:right="711"/>
        <w:jc w:val="both"/>
      </w:pPr>
      <w:r>
        <w:rPr>
          <w:color w:val="231F20"/>
        </w:rPr>
        <w:t>El</w:t>
      </w:r>
      <w:r>
        <w:rPr>
          <w:color w:val="231F20"/>
          <w:spacing w:val="-6"/>
        </w:rPr>
        <w:t> </w:t>
      </w:r>
      <w:r>
        <w:rPr>
          <w:color w:val="231F20"/>
        </w:rPr>
        <w:t>sector</w:t>
      </w:r>
      <w:r>
        <w:rPr>
          <w:color w:val="231F20"/>
          <w:spacing w:val="-6"/>
        </w:rPr>
        <w:t> </w:t>
      </w:r>
      <w:r>
        <w:rPr>
          <w:color w:val="231F20"/>
        </w:rPr>
        <w:t>automotriz</w:t>
      </w:r>
      <w:r>
        <w:rPr>
          <w:color w:val="231F20"/>
          <w:spacing w:val="-6"/>
        </w:rPr>
        <w:t> </w:t>
      </w:r>
      <w:r>
        <w:rPr>
          <w:color w:val="231F20"/>
        </w:rPr>
        <w:t>del</w:t>
      </w:r>
      <w:r>
        <w:rPr>
          <w:color w:val="231F20"/>
          <w:spacing w:val="-6"/>
        </w:rPr>
        <w:t> </w:t>
      </w:r>
      <w:r>
        <w:rPr>
          <w:color w:val="231F20"/>
        </w:rPr>
        <w:t>Estado</w:t>
      </w:r>
      <w:r>
        <w:rPr>
          <w:color w:val="231F20"/>
          <w:spacing w:val="-6"/>
        </w:rPr>
        <w:t> </w:t>
      </w:r>
      <w:r>
        <w:rPr>
          <w:color w:val="231F20"/>
        </w:rPr>
        <w:t>de</w:t>
      </w:r>
      <w:r>
        <w:rPr>
          <w:color w:val="231F20"/>
          <w:spacing w:val="-6"/>
        </w:rPr>
        <w:t> </w:t>
      </w:r>
      <w:r>
        <w:rPr>
          <w:color w:val="231F20"/>
        </w:rPr>
        <w:t>México</w:t>
      </w:r>
      <w:r>
        <w:rPr>
          <w:color w:val="231F20"/>
          <w:spacing w:val="-6"/>
        </w:rPr>
        <w:t> </w:t>
      </w:r>
      <w:r>
        <w:rPr>
          <w:color w:val="231F20"/>
        </w:rPr>
        <w:t>no</w:t>
      </w:r>
      <w:r>
        <w:rPr>
          <w:color w:val="231F20"/>
          <w:spacing w:val="-6"/>
        </w:rPr>
        <w:t> </w:t>
      </w:r>
      <w:r>
        <w:rPr>
          <w:color w:val="231F20"/>
        </w:rPr>
        <w:t>puede</w:t>
      </w:r>
      <w:r>
        <w:rPr>
          <w:color w:val="231F20"/>
          <w:spacing w:val="-6"/>
        </w:rPr>
        <w:t> </w:t>
      </w:r>
      <w:r>
        <w:rPr>
          <w:color w:val="231F20"/>
        </w:rPr>
        <w:t>ser</w:t>
      </w:r>
      <w:r>
        <w:rPr>
          <w:color w:val="231F20"/>
          <w:spacing w:val="-6"/>
        </w:rPr>
        <w:t> </w:t>
      </w:r>
      <w:r>
        <w:rPr>
          <w:color w:val="231F20"/>
        </w:rPr>
        <w:t>analizado</w:t>
      </w:r>
      <w:r>
        <w:rPr>
          <w:color w:val="231F20"/>
          <w:spacing w:val="-6"/>
        </w:rPr>
        <w:t> </w:t>
      </w:r>
      <w:r>
        <w:rPr>
          <w:color w:val="231F20"/>
        </w:rPr>
        <w:t>sin</w:t>
      </w:r>
      <w:r>
        <w:rPr>
          <w:color w:val="231F20"/>
          <w:spacing w:val="-6"/>
        </w:rPr>
        <w:t> </w:t>
      </w:r>
      <w:r>
        <w:rPr>
          <w:color w:val="231F20"/>
        </w:rPr>
        <w:t>partir</w:t>
      </w:r>
      <w:r>
        <w:rPr>
          <w:color w:val="231F20"/>
          <w:spacing w:val="-6"/>
        </w:rPr>
        <w:t> </w:t>
      </w:r>
      <w:r>
        <w:rPr>
          <w:color w:val="231F20"/>
        </w:rPr>
        <w:t>del</w:t>
      </w:r>
      <w:r>
        <w:rPr>
          <w:color w:val="231F20"/>
          <w:spacing w:val="-6"/>
        </w:rPr>
        <w:t> </w:t>
      </w:r>
      <w:r>
        <w:rPr>
          <w:color w:val="231F20"/>
        </w:rPr>
        <w:t>propio desarrollo</w:t>
      </w:r>
      <w:r>
        <w:rPr>
          <w:color w:val="231F20"/>
          <w:spacing w:val="-6"/>
        </w:rPr>
        <w:t> </w:t>
      </w:r>
      <w:r>
        <w:rPr>
          <w:color w:val="231F20"/>
        </w:rPr>
        <w:t>del</w:t>
      </w:r>
      <w:r>
        <w:rPr>
          <w:color w:val="231F20"/>
          <w:spacing w:val="-6"/>
        </w:rPr>
        <w:t> </w:t>
      </w:r>
      <w:r>
        <w:rPr>
          <w:color w:val="231F20"/>
        </w:rPr>
        <w:t>sector</w:t>
      </w:r>
      <w:r>
        <w:rPr>
          <w:color w:val="231F20"/>
          <w:spacing w:val="-6"/>
        </w:rPr>
        <w:t> </w:t>
      </w:r>
      <w:r>
        <w:rPr>
          <w:color w:val="231F20"/>
        </w:rPr>
        <w:t>a</w:t>
      </w:r>
      <w:r>
        <w:rPr>
          <w:color w:val="231F20"/>
          <w:spacing w:val="-6"/>
        </w:rPr>
        <w:t> </w:t>
      </w:r>
      <w:r>
        <w:rPr>
          <w:color w:val="231F20"/>
        </w:rPr>
        <w:t>nivel</w:t>
      </w:r>
      <w:r>
        <w:rPr>
          <w:color w:val="231F20"/>
          <w:spacing w:val="-6"/>
        </w:rPr>
        <w:t> </w:t>
      </w:r>
      <w:r>
        <w:rPr>
          <w:color w:val="231F20"/>
        </w:rPr>
        <w:t>nacional</w:t>
      </w:r>
      <w:r>
        <w:rPr>
          <w:color w:val="231F20"/>
          <w:spacing w:val="-6"/>
        </w:rPr>
        <w:t> </w:t>
      </w:r>
      <w:r>
        <w:rPr>
          <w:color w:val="231F20"/>
        </w:rPr>
        <w:t>e</w:t>
      </w:r>
      <w:r>
        <w:rPr>
          <w:color w:val="231F20"/>
          <w:spacing w:val="-6"/>
        </w:rPr>
        <w:t> </w:t>
      </w:r>
      <w:r>
        <w:rPr>
          <w:color w:val="231F20"/>
        </w:rPr>
        <w:t>internacional.</w:t>
      </w:r>
      <w:r>
        <w:rPr>
          <w:color w:val="231F20"/>
          <w:spacing w:val="-6"/>
        </w:rPr>
        <w:t> </w:t>
      </w:r>
      <w:r>
        <w:rPr>
          <w:color w:val="231F20"/>
        </w:rPr>
        <w:t>En</w:t>
      </w:r>
      <w:r>
        <w:rPr>
          <w:color w:val="231F20"/>
          <w:spacing w:val="-6"/>
        </w:rPr>
        <w:t> </w:t>
      </w:r>
      <w:r>
        <w:rPr>
          <w:color w:val="231F20"/>
        </w:rPr>
        <w:t>este</w:t>
      </w:r>
      <w:r>
        <w:rPr>
          <w:color w:val="231F20"/>
          <w:spacing w:val="-6"/>
        </w:rPr>
        <w:t> </w:t>
      </w:r>
      <w:r>
        <w:rPr>
          <w:color w:val="231F20"/>
        </w:rPr>
        <w:t>sentido,</w:t>
      </w:r>
      <w:r>
        <w:rPr>
          <w:color w:val="231F20"/>
          <w:spacing w:val="-6"/>
        </w:rPr>
        <w:t> </w:t>
      </w:r>
      <w:r>
        <w:rPr>
          <w:color w:val="231F20"/>
        </w:rPr>
        <w:t>la</w:t>
      </w:r>
      <w:r>
        <w:rPr>
          <w:color w:val="231F20"/>
          <w:spacing w:val="-6"/>
        </w:rPr>
        <w:t> </w:t>
      </w:r>
      <w:r>
        <w:rPr>
          <w:color w:val="231F20"/>
        </w:rPr>
        <w:t>evolución</w:t>
      </w:r>
      <w:r>
        <w:rPr>
          <w:color w:val="231F20"/>
          <w:spacing w:val="-6"/>
        </w:rPr>
        <w:t> </w:t>
      </w:r>
      <w:r>
        <w:rPr>
          <w:color w:val="231F20"/>
        </w:rPr>
        <w:t>y</w:t>
      </w:r>
      <w:r>
        <w:rPr>
          <w:color w:val="231F20"/>
          <w:spacing w:val="-6"/>
        </w:rPr>
        <w:t> </w:t>
      </w:r>
      <w:r>
        <w:rPr>
          <w:color w:val="231F20"/>
        </w:rPr>
        <w:t>la situación</w:t>
      </w:r>
      <w:r>
        <w:rPr>
          <w:color w:val="231F20"/>
          <w:spacing w:val="-18"/>
        </w:rPr>
        <w:t> </w:t>
      </w:r>
      <w:r>
        <w:rPr>
          <w:color w:val="231F20"/>
        </w:rPr>
        <w:t>actual</w:t>
      </w:r>
      <w:r>
        <w:rPr>
          <w:color w:val="231F20"/>
          <w:spacing w:val="-18"/>
        </w:rPr>
        <w:t> </w:t>
      </w:r>
      <w:r>
        <w:rPr>
          <w:color w:val="231F20"/>
        </w:rPr>
        <w:t>del</w:t>
      </w:r>
      <w:r>
        <w:rPr>
          <w:color w:val="231F20"/>
          <w:spacing w:val="-18"/>
        </w:rPr>
        <w:t> </w:t>
      </w:r>
      <w:r>
        <w:rPr>
          <w:color w:val="231F20"/>
        </w:rPr>
        <w:t>sector</w:t>
      </w:r>
      <w:r>
        <w:rPr>
          <w:color w:val="231F20"/>
          <w:spacing w:val="-18"/>
        </w:rPr>
        <w:t> </w:t>
      </w:r>
      <w:r>
        <w:rPr>
          <w:color w:val="231F20"/>
        </w:rPr>
        <w:t>automotriz</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México,</w:t>
      </w:r>
      <w:r>
        <w:rPr>
          <w:color w:val="231F20"/>
          <w:spacing w:val="-18"/>
        </w:rPr>
        <w:t> </w:t>
      </w:r>
      <w:r>
        <w:rPr>
          <w:color w:val="231F20"/>
        </w:rPr>
        <w:t>al</w:t>
      </w:r>
      <w:r>
        <w:rPr>
          <w:color w:val="231F20"/>
          <w:spacing w:val="-18"/>
        </w:rPr>
        <w:t> </w:t>
      </w:r>
      <w:r>
        <w:rPr>
          <w:color w:val="231F20"/>
        </w:rPr>
        <w:t>igual</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nivel</w:t>
      </w:r>
      <w:r>
        <w:rPr>
          <w:color w:val="231F20"/>
          <w:spacing w:val="-18"/>
        </w:rPr>
        <w:t> </w:t>
      </w:r>
      <w:r>
        <w:rPr>
          <w:color w:val="231F20"/>
        </w:rPr>
        <w:t>nacio- nal,</w:t>
      </w:r>
      <w:r>
        <w:rPr>
          <w:color w:val="231F20"/>
          <w:spacing w:val="-20"/>
        </w:rPr>
        <w:t> </w:t>
      </w:r>
      <w:r>
        <w:rPr>
          <w:color w:val="231F20"/>
        </w:rPr>
        <w:t>es</w:t>
      </w:r>
      <w:r>
        <w:rPr>
          <w:color w:val="231F20"/>
          <w:spacing w:val="-20"/>
        </w:rPr>
        <w:t> </w:t>
      </w:r>
      <w:r>
        <w:rPr>
          <w:color w:val="231F20"/>
        </w:rPr>
        <w:t>resultado</w:t>
      </w:r>
      <w:r>
        <w:rPr>
          <w:color w:val="231F20"/>
          <w:spacing w:val="-20"/>
        </w:rPr>
        <w:t> </w:t>
      </w:r>
      <w:r>
        <w:rPr>
          <w:color w:val="231F20"/>
        </w:rPr>
        <w:t>de</w:t>
      </w:r>
      <w:r>
        <w:rPr>
          <w:color w:val="231F20"/>
          <w:spacing w:val="-20"/>
        </w:rPr>
        <w:t> </w:t>
      </w:r>
      <w:r>
        <w:rPr>
          <w:color w:val="231F20"/>
        </w:rPr>
        <w:t>las</w:t>
      </w:r>
      <w:r>
        <w:rPr>
          <w:color w:val="231F20"/>
          <w:spacing w:val="-20"/>
        </w:rPr>
        <w:t> </w:t>
      </w:r>
      <w:r>
        <w:rPr>
          <w:color w:val="231F20"/>
        </w:rPr>
        <w:t>políticas</w:t>
      </w:r>
      <w:r>
        <w:rPr>
          <w:color w:val="231F20"/>
          <w:spacing w:val="-20"/>
        </w:rPr>
        <w:t> </w:t>
      </w:r>
      <w:r>
        <w:rPr>
          <w:color w:val="231F20"/>
        </w:rPr>
        <w:t>gubernamentales</w:t>
      </w:r>
      <w:r>
        <w:rPr>
          <w:color w:val="231F20"/>
          <w:spacing w:val="-20"/>
        </w:rPr>
        <w:t> </w:t>
      </w:r>
      <w:r>
        <w:rPr>
          <w:color w:val="231F20"/>
        </w:rPr>
        <w:t>generales</w:t>
      </w:r>
      <w:r>
        <w:rPr>
          <w:color w:val="231F20"/>
          <w:spacing w:val="-20"/>
        </w:rPr>
        <w:t> </w:t>
      </w:r>
      <w:r>
        <w:rPr>
          <w:color w:val="231F20"/>
        </w:rPr>
        <w:t>y</w:t>
      </w:r>
      <w:r>
        <w:rPr>
          <w:color w:val="231F20"/>
          <w:spacing w:val="-20"/>
        </w:rPr>
        <w:t> </w:t>
      </w:r>
      <w:r>
        <w:rPr>
          <w:color w:val="231F20"/>
        </w:rPr>
        <w:t>de</w:t>
      </w:r>
      <w:r>
        <w:rPr>
          <w:color w:val="231F20"/>
          <w:spacing w:val="-20"/>
        </w:rPr>
        <w:t> </w:t>
      </w:r>
      <w:r>
        <w:rPr>
          <w:color w:val="231F20"/>
        </w:rPr>
        <w:t>apoyo</w:t>
      </w:r>
      <w:r>
        <w:rPr>
          <w:color w:val="231F20"/>
          <w:spacing w:val="-20"/>
        </w:rPr>
        <w:t> </w:t>
      </w:r>
      <w:r>
        <w:rPr>
          <w:color w:val="231F20"/>
        </w:rPr>
        <w:t>específico</w:t>
      </w:r>
      <w:r>
        <w:rPr>
          <w:color w:val="231F20"/>
          <w:spacing w:val="-20"/>
        </w:rPr>
        <w:t> </w:t>
      </w:r>
      <w:r>
        <w:rPr>
          <w:color w:val="231F20"/>
        </w:rPr>
        <w:t>que</w:t>
      </w:r>
      <w:r>
        <w:rPr>
          <w:color w:val="231F20"/>
          <w:spacing w:val="-20"/>
        </w:rPr>
        <w:t> </w:t>
      </w:r>
      <w:r>
        <w:rPr>
          <w:color w:val="231F20"/>
        </w:rPr>
        <w:t>se han determinado para el sector a nivel federal durante las últimas</w:t>
      </w:r>
      <w:r>
        <w:rPr>
          <w:color w:val="231F20"/>
          <w:spacing w:val="-27"/>
        </w:rPr>
        <w:t> </w:t>
      </w:r>
      <w:r>
        <w:rPr>
          <w:color w:val="231F20"/>
        </w:rPr>
        <w:t>décadas.</w:t>
      </w:r>
    </w:p>
    <w:p>
      <w:pPr>
        <w:pStyle w:val="BodyText"/>
        <w:spacing w:line="278" w:lineRule="auto" w:before="1"/>
        <w:ind w:left="103" w:right="711" w:firstLine="396"/>
        <w:jc w:val="both"/>
      </w:pPr>
      <w:r>
        <w:rPr>
          <w:color w:val="231F20"/>
        </w:rPr>
        <w:t>Dentro de los principales problemas estructurales de la cadena automotriz-au- topartes en el Estado de México, se encuentra la falta de una red de proveedores de primer nivel, integrada y competitiva; sin embargo, al ser un sector donde la mayoría de las empresas son transnacionales con capital cien por ciento extranjero (todas las ensambladoras</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mayor</w:t>
      </w:r>
      <w:r>
        <w:rPr>
          <w:color w:val="231F20"/>
          <w:spacing w:val="-4"/>
        </w:rPr>
        <w:t> </w:t>
      </w:r>
      <w:r>
        <w:rPr>
          <w:color w:val="231F20"/>
        </w:rPr>
        <w:t>parte</w:t>
      </w:r>
      <w:r>
        <w:rPr>
          <w:color w:val="231F20"/>
          <w:spacing w:val="-4"/>
        </w:rPr>
        <w:t> </w:t>
      </w:r>
      <w:r>
        <w:rPr>
          <w:color w:val="231F20"/>
        </w:rPr>
        <w:t>de</w:t>
      </w:r>
      <w:r>
        <w:rPr>
          <w:color w:val="231F20"/>
          <w:spacing w:val="-4"/>
        </w:rPr>
        <w:t> </w:t>
      </w:r>
      <w:r>
        <w:rPr>
          <w:color w:val="231F20"/>
        </w:rPr>
        <w:t>las</w:t>
      </w:r>
      <w:r>
        <w:rPr>
          <w:color w:val="231F20"/>
          <w:spacing w:val="-4"/>
        </w:rPr>
        <w:t> </w:t>
      </w:r>
      <w:r>
        <w:rPr>
          <w:color w:val="231F20"/>
        </w:rPr>
        <w:t>proveedoras</w:t>
      </w:r>
      <w:r>
        <w:rPr>
          <w:color w:val="231F20"/>
          <w:spacing w:val="-4"/>
        </w:rPr>
        <w:t> </w:t>
      </w:r>
      <w:r>
        <w:rPr>
          <w:color w:val="231F20"/>
        </w:rPr>
        <w:t>de</w:t>
      </w:r>
      <w:r>
        <w:rPr>
          <w:color w:val="231F20"/>
          <w:spacing w:val="-4"/>
        </w:rPr>
        <w:t> </w:t>
      </w:r>
      <w:r>
        <w:rPr>
          <w:color w:val="231F20"/>
        </w:rPr>
        <w:t>partes</w:t>
      </w:r>
      <w:r>
        <w:rPr>
          <w:color w:val="231F20"/>
          <w:spacing w:val="-4"/>
        </w:rPr>
        <w:t> </w:t>
      </w:r>
      <w:r>
        <w:rPr>
          <w:color w:val="231F20"/>
        </w:rPr>
        <w:t>de</w:t>
      </w:r>
      <w:r>
        <w:rPr>
          <w:color w:val="231F20"/>
          <w:spacing w:val="-4"/>
        </w:rPr>
        <w:t> </w:t>
      </w:r>
      <w:r>
        <w:rPr>
          <w:color w:val="231F20"/>
        </w:rPr>
        <w:t>primer</w:t>
      </w:r>
      <w:r>
        <w:rPr>
          <w:color w:val="231F20"/>
          <w:spacing w:val="-4"/>
        </w:rPr>
        <w:t> </w:t>
      </w:r>
      <w:r>
        <w:rPr>
          <w:color w:val="231F20"/>
        </w:rPr>
        <w:t>nivel),</w:t>
      </w:r>
      <w:r>
        <w:rPr>
          <w:color w:val="231F20"/>
          <w:spacing w:val="-4"/>
        </w:rPr>
        <w:t> </w:t>
      </w:r>
      <w:r>
        <w:rPr>
          <w:color w:val="231F20"/>
        </w:rPr>
        <w:t>poco</w:t>
      </w:r>
      <w:r>
        <w:rPr>
          <w:color w:val="231F20"/>
          <w:spacing w:val="-4"/>
        </w:rPr>
        <w:t> </w:t>
      </w:r>
      <w:r>
        <w:rPr>
          <w:color w:val="231F20"/>
        </w:rPr>
        <w:t>se</w:t>
      </w:r>
    </w:p>
    <w:p>
      <w:pPr>
        <w:spacing w:after="0" w:line="278" w:lineRule="auto"/>
        <w:jc w:val="both"/>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32"/>
      </w:pPr>
      <w:r>
        <w:rPr>
          <w:color w:val="231F20"/>
        </w:rPr>
        <w:t>puede hacer cuando las decisiones prácticamente en todos los sentidos son tomadas en las matrices que se ubican en otros países.</w:t>
      </w:r>
    </w:p>
    <w:p>
      <w:pPr>
        <w:pStyle w:val="BodyText"/>
        <w:spacing w:line="278" w:lineRule="auto" w:before="1"/>
        <w:ind w:left="713" w:right="101" w:firstLine="396"/>
        <w:jc w:val="both"/>
      </w:pPr>
      <w:r>
        <w:rPr>
          <w:color w:val="231F20"/>
        </w:rPr>
        <w:t>Las</w:t>
      </w:r>
      <w:r>
        <w:rPr>
          <w:color w:val="231F20"/>
          <w:spacing w:val="-7"/>
        </w:rPr>
        <w:t> </w:t>
      </w:r>
      <w:r>
        <w:rPr>
          <w:color w:val="231F20"/>
        </w:rPr>
        <w:t>actividades</w:t>
      </w:r>
      <w:r>
        <w:rPr>
          <w:color w:val="231F20"/>
          <w:spacing w:val="-7"/>
        </w:rPr>
        <w:t> </w:t>
      </w:r>
      <w:r>
        <w:rPr>
          <w:color w:val="231F20"/>
        </w:rPr>
        <w:t>relacionadas</w:t>
      </w:r>
      <w:r>
        <w:rPr>
          <w:color w:val="231F20"/>
          <w:spacing w:val="-7"/>
        </w:rPr>
        <w:t> </w:t>
      </w:r>
      <w:r>
        <w:rPr>
          <w:color w:val="231F20"/>
        </w:rPr>
        <w:t>con</w:t>
      </w:r>
      <w:r>
        <w:rPr>
          <w:color w:val="231F20"/>
          <w:spacing w:val="-7"/>
        </w:rPr>
        <w:t> </w:t>
      </w:r>
      <w:r>
        <w:rPr>
          <w:color w:val="231F20"/>
        </w:rPr>
        <w:t>I+D</w:t>
      </w:r>
      <w:r>
        <w:rPr>
          <w:color w:val="231F20"/>
          <w:spacing w:val="-7"/>
        </w:rPr>
        <w:t> </w:t>
      </w:r>
      <w:r>
        <w:rPr>
          <w:color w:val="231F20"/>
        </w:rPr>
        <w:t>se</w:t>
      </w:r>
      <w:r>
        <w:rPr>
          <w:color w:val="231F20"/>
          <w:spacing w:val="-7"/>
        </w:rPr>
        <w:t> </w:t>
      </w:r>
      <w:r>
        <w:rPr>
          <w:color w:val="231F20"/>
        </w:rPr>
        <w:t>encuentran</w:t>
      </w:r>
      <w:r>
        <w:rPr>
          <w:color w:val="231F20"/>
          <w:spacing w:val="-7"/>
        </w:rPr>
        <w:t> </w:t>
      </w:r>
      <w:r>
        <w:rPr>
          <w:color w:val="231F20"/>
        </w:rPr>
        <w:t>presentes</w:t>
      </w:r>
      <w:r>
        <w:rPr>
          <w:color w:val="231F20"/>
          <w:spacing w:val="-7"/>
        </w:rPr>
        <w:t> </w:t>
      </w:r>
      <w:r>
        <w:rPr>
          <w:color w:val="231F20"/>
        </w:rPr>
        <w:t>en</w:t>
      </w:r>
      <w:r>
        <w:rPr>
          <w:color w:val="231F20"/>
          <w:spacing w:val="-7"/>
        </w:rPr>
        <w:t> </w:t>
      </w:r>
      <w:r>
        <w:rPr>
          <w:color w:val="231F20"/>
        </w:rPr>
        <w:t>pocas</w:t>
      </w:r>
      <w:r>
        <w:rPr>
          <w:color w:val="231F20"/>
          <w:spacing w:val="-7"/>
        </w:rPr>
        <w:t> </w:t>
      </w:r>
      <w:r>
        <w:rPr>
          <w:color w:val="231F20"/>
        </w:rPr>
        <w:t>empresas, que</w:t>
      </w:r>
      <w:r>
        <w:rPr>
          <w:color w:val="231F20"/>
          <w:spacing w:val="-15"/>
        </w:rPr>
        <w:t> </w:t>
      </w:r>
      <w:r>
        <w:rPr>
          <w:color w:val="231F20"/>
        </w:rPr>
        <w:t>casi</w:t>
      </w:r>
      <w:r>
        <w:rPr>
          <w:color w:val="231F20"/>
          <w:spacing w:val="-15"/>
        </w:rPr>
        <w:t> </w:t>
      </w:r>
      <w:r>
        <w:rPr>
          <w:color w:val="231F20"/>
        </w:rPr>
        <w:t>siempre</w:t>
      </w:r>
      <w:r>
        <w:rPr>
          <w:color w:val="231F20"/>
          <w:spacing w:val="-15"/>
        </w:rPr>
        <w:t> </w:t>
      </w:r>
      <w:r>
        <w:rPr>
          <w:color w:val="231F20"/>
        </w:rPr>
        <w:t>son</w:t>
      </w:r>
      <w:r>
        <w:rPr>
          <w:color w:val="231F20"/>
          <w:spacing w:val="-15"/>
        </w:rPr>
        <w:t> </w:t>
      </w:r>
      <w:r>
        <w:rPr>
          <w:color w:val="231F20"/>
        </w:rPr>
        <w:t>las</w:t>
      </w:r>
      <w:r>
        <w:rPr>
          <w:color w:val="231F20"/>
          <w:spacing w:val="-15"/>
        </w:rPr>
        <w:t> </w:t>
      </w:r>
      <w:r>
        <w:rPr>
          <w:color w:val="231F20"/>
        </w:rPr>
        <w:t>grandes</w:t>
      </w:r>
      <w:r>
        <w:rPr>
          <w:color w:val="231F20"/>
          <w:spacing w:val="-15"/>
        </w:rPr>
        <w:t> </w:t>
      </w:r>
      <w:r>
        <w:rPr>
          <w:color w:val="231F20"/>
        </w:rPr>
        <w:t>transnacionales,</w:t>
      </w:r>
      <w:r>
        <w:rPr>
          <w:color w:val="231F20"/>
          <w:spacing w:val="-15"/>
        </w:rPr>
        <w:t> </w:t>
      </w:r>
      <w:r>
        <w:rPr>
          <w:color w:val="231F20"/>
        </w:rPr>
        <w:t>mientras</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empresas</w:t>
      </w:r>
      <w:r>
        <w:rPr>
          <w:color w:val="231F20"/>
          <w:spacing w:val="-15"/>
        </w:rPr>
        <w:t> </w:t>
      </w:r>
      <w:r>
        <w:rPr>
          <w:color w:val="231F20"/>
        </w:rPr>
        <w:t>con</w:t>
      </w:r>
      <w:r>
        <w:rPr>
          <w:color w:val="231F20"/>
          <w:spacing w:val="-15"/>
        </w:rPr>
        <w:t> </w:t>
      </w:r>
      <w:r>
        <w:rPr>
          <w:color w:val="231F20"/>
        </w:rPr>
        <w:t>capital nacional tienen </w:t>
      </w:r>
      <w:r>
        <w:rPr>
          <w:color w:val="231F20"/>
          <w:spacing w:val="-2"/>
        </w:rPr>
        <w:t>muy </w:t>
      </w:r>
      <w:r>
        <w:rPr>
          <w:color w:val="231F20"/>
        </w:rPr>
        <w:t>poco o casi nada que hacer en este sentido. Éstas, en su mayoría, son empresas que tienen que ajustarse a las necesidades y demandas de los grandes proveedores y ensambladores; son ellos quienes determinan el funcionamiento de la cadena</w:t>
      </w:r>
      <w:r>
        <w:rPr>
          <w:color w:val="231F20"/>
          <w:spacing w:val="-11"/>
        </w:rPr>
        <w:t> </w:t>
      </w:r>
      <w:r>
        <w:rPr>
          <w:color w:val="231F20"/>
        </w:rPr>
        <w:t>y</w:t>
      </w:r>
      <w:r>
        <w:rPr>
          <w:color w:val="231F20"/>
          <w:spacing w:val="-11"/>
        </w:rPr>
        <w:t> </w:t>
      </w:r>
      <w:r>
        <w:rPr>
          <w:color w:val="231F20"/>
        </w:rPr>
        <w:t>las</w:t>
      </w:r>
      <w:r>
        <w:rPr>
          <w:color w:val="231F20"/>
          <w:spacing w:val="-11"/>
        </w:rPr>
        <w:t> </w:t>
      </w:r>
      <w:r>
        <w:rPr>
          <w:color w:val="231F20"/>
        </w:rPr>
        <w:t>posibilidades</w:t>
      </w:r>
      <w:r>
        <w:rPr>
          <w:color w:val="231F20"/>
          <w:spacing w:val="-11"/>
        </w:rPr>
        <w:t> </w:t>
      </w:r>
      <w:r>
        <w:rPr>
          <w:color w:val="231F20"/>
        </w:rPr>
        <w:t>de</w:t>
      </w:r>
      <w:r>
        <w:rPr>
          <w:color w:val="231F20"/>
          <w:spacing w:val="-11"/>
        </w:rPr>
        <w:t> </w:t>
      </w:r>
      <w:r>
        <w:rPr>
          <w:color w:val="231F20"/>
        </w:rPr>
        <w:t>inserción</w:t>
      </w:r>
      <w:r>
        <w:rPr>
          <w:color w:val="231F20"/>
          <w:spacing w:val="-11"/>
        </w:rPr>
        <w:t> </w:t>
      </w:r>
      <w:r>
        <w:rPr>
          <w:color w:val="231F20"/>
        </w:rPr>
        <w:t>de</w:t>
      </w:r>
      <w:r>
        <w:rPr>
          <w:color w:val="231F20"/>
          <w:spacing w:val="-11"/>
        </w:rPr>
        <w:t> </w:t>
      </w:r>
      <w:r>
        <w:rPr>
          <w:color w:val="231F20"/>
        </w:rPr>
        <w:t>empresas</w:t>
      </w:r>
      <w:r>
        <w:rPr>
          <w:color w:val="231F20"/>
          <w:spacing w:val="-11"/>
        </w:rPr>
        <w:t> </w:t>
      </w:r>
      <w:r>
        <w:rPr>
          <w:color w:val="231F20"/>
        </w:rPr>
        <w:t>locales.</w:t>
      </w:r>
    </w:p>
    <w:p>
      <w:pPr>
        <w:pStyle w:val="BodyText"/>
        <w:spacing w:line="278" w:lineRule="auto" w:before="1"/>
        <w:ind w:left="713" w:right="101" w:firstLine="396"/>
        <w:jc w:val="both"/>
      </w:pPr>
      <w:r>
        <w:rPr>
          <w:color w:val="231F20"/>
        </w:rPr>
        <w:t>De</w:t>
      </w:r>
      <w:r>
        <w:rPr>
          <w:color w:val="231F20"/>
          <w:spacing w:val="-6"/>
        </w:rPr>
        <w:t> </w:t>
      </w:r>
      <w:r>
        <w:rPr>
          <w:color w:val="231F20"/>
        </w:rPr>
        <w:t>manera</w:t>
      </w:r>
      <w:r>
        <w:rPr>
          <w:color w:val="231F20"/>
          <w:spacing w:val="-6"/>
        </w:rPr>
        <w:t> </w:t>
      </w:r>
      <w:r>
        <w:rPr>
          <w:color w:val="231F20"/>
        </w:rPr>
        <w:t>más</w:t>
      </w:r>
      <w:r>
        <w:rPr>
          <w:color w:val="231F20"/>
          <w:spacing w:val="-6"/>
        </w:rPr>
        <w:t> </w:t>
      </w:r>
      <w:r>
        <w:rPr>
          <w:color w:val="231F20"/>
        </w:rPr>
        <w:t>específica,</w:t>
      </w:r>
      <w:r>
        <w:rPr>
          <w:color w:val="231F20"/>
          <w:spacing w:val="-6"/>
        </w:rPr>
        <w:t> </w:t>
      </w:r>
      <w:r>
        <w:rPr>
          <w:color w:val="231F20"/>
        </w:rPr>
        <w:t>en</w:t>
      </w:r>
      <w:r>
        <w:rPr>
          <w:color w:val="231F20"/>
          <w:spacing w:val="-6"/>
        </w:rPr>
        <w:t> </w:t>
      </w:r>
      <w:r>
        <w:rPr>
          <w:color w:val="231F20"/>
        </w:rPr>
        <w:t>cuanto</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autopartes,</w:t>
      </w:r>
      <w:r>
        <w:rPr>
          <w:color w:val="231F20"/>
          <w:spacing w:val="-6"/>
        </w:rPr>
        <w:t> </w:t>
      </w:r>
      <w:r>
        <w:rPr>
          <w:color w:val="231F20"/>
        </w:rPr>
        <w:t>aun</w:t>
      </w:r>
      <w:r>
        <w:rPr>
          <w:color w:val="231F20"/>
          <w:spacing w:val="-6"/>
        </w:rPr>
        <w:t> </w:t>
      </w:r>
      <w:r>
        <w:rPr>
          <w:color w:val="231F20"/>
        </w:rPr>
        <w:t>cuando</w:t>
      </w:r>
      <w:r>
        <w:rPr>
          <w:color w:val="231F20"/>
          <w:spacing w:val="-6"/>
        </w:rPr>
        <w:t> </w:t>
      </w:r>
      <w:r>
        <w:rPr>
          <w:color w:val="231F20"/>
        </w:rPr>
        <w:t>en</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de México existe un importante número de empresas proveedoras de primero, segundo y tercer</w:t>
      </w:r>
      <w:r>
        <w:rPr>
          <w:color w:val="231F20"/>
          <w:spacing w:val="-8"/>
        </w:rPr>
        <w:t> </w:t>
      </w:r>
      <w:r>
        <w:rPr>
          <w:color w:val="231F20"/>
        </w:rPr>
        <w:t>nivel,</w:t>
      </w:r>
      <w:r>
        <w:rPr>
          <w:color w:val="231F20"/>
          <w:spacing w:val="-8"/>
        </w:rPr>
        <w:t> </w:t>
      </w:r>
      <w:r>
        <w:rPr>
          <w:color w:val="231F20"/>
        </w:rPr>
        <w:t>éstas</w:t>
      </w:r>
      <w:r>
        <w:rPr>
          <w:color w:val="231F20"/>
          <w:spacing w:val="-8"/>
        </w:rPr>
        <w:t> </w:t>
      </w:r>
      <w:r>
        <w:rPr>
          <w:color w:val="231F20"/>
        </w:rPr>
        <w:t>dependen</w:t>
      </w:r>
      <w:r>
        <w:rPr>
          <w:color w:val="231F20"/>
          <w:spacing w:val="-8"/>
        </w:rPr>
        <w:t> </w:t>
      </w:r>
      <w:r>
        <w:rPr>
          <w:color w:val="231F20"/>
        </w:rPr>
        <w:t>en</w:t>
      </w:r>
      <w:r>
        <w:rPr>
          <w:color w:val="231F20"/>
          <w:spacing w:val="-8"/>
        </w:rPr>
        <w:t> </w:t>
      </w:r>
      <w:r>
        <w:rPr>
          <w:color w:val="231F20"/>
        </w:rPr>
        <w:t>gran</w:t>
      </w:r>
      <w:r>
        <w:rPr>
          <w:color w:val="231F20"/>
          <w:spacing w:val="-8"/>
        </w:rPr>
        <w:t> </w:t>
      </w:r>
      <w:r>
        <w:rPr>
          <w:color w:val="231F20"/>
        </w:rPr>
        <w:t>medida</w:t>
      </w:r>
      <w:r>
        <w:rPr>
          <w:color w:val="231F20"/>
          <w:spacing w:val="-8"/>
        </w:rPr>
        <w:t> </w:t>
      </w:r>
      <w:r>
        <w:rPr>
          <w:color w:val="231F20"/>
        </w:rPr>
        <w:t>de</w:t>
      </w:r>
      <w:r>
        <w:rPr>
          <w:color w:val="231F20"/>
          <w:spacing w:val="-8"/>
        </w:rPr>
        <w:t> </w:t>
      </w:r>
      <w:r>
        <w:rPr>
          <w:color w:val="231F20"/>
        </w:rPr>
        <w:t>proveedores</w:t>
      </w:r>
      <w:r>
        <w:rPr>
          <w:color w:val="231F20"/>
          <w:spacing w:val="-8"/>
        </w:rPr>
        <w:t> </w:t>
      </w:r>
      <w:r>
        <w:rPr>
          <w:color w:val="231F20"/>
        </w:rPr>
        <w:t>de</w:t>
      </w:r>
      <w:r>
        <w:rPr>
          <w:color w:val="231F20"/>
          <w:spacing w:val="-8"/>
        </w:rPr>
        <w:t> </w:t>
      </w:r>
      <w:r>
        <w:rPr>
          <w:color w:val="231F20"/>
        </w:rPr>
        <w:t>otros</w:t>
      </w:r>
      <w:r>
        <w:rPr>
          <w:color w:val="231F20"/>
          <w:spacing w:val="-8"/>
        </w:rPr>
        <w:t> </w:t>
      </w:r>
      <w:r>
        <w:rPr>
          <w:color w:val="231F20"/>
        </w:rPr>
        <w:t>estados</w:t>
      </w:r>
      <w:r>
        <w:rPr>
          <w:color w:val="231F20"/>
          <w:spacing w:val="-8"/>
        </w:rPr>
        <w:t> </w:t>
      </w:r>
      <w:r>
        <w:rPr>
          <w:color w:val="231F20"/>
        </w:rPr>
        <w:t>del</w:t>
      </w:r>
      <w:r>
        <w:rPr>
          <w:color w:val="231F20"/>
          <w:spacing w:val="-8"/>
        </w:rPr>
        <w:t> </w:t>
      </w:r>
      <w:r>
        <w:rPr>
          <w:color w:val="231F20"/>
        </w:rPr>
        <w:t>país</w:t>
      </w:r>
      <w:r>
        <w:rPr>
          <w:color w:val="231F20"/>
          <w:spacing w:val="-8"/>
        </w:rPr>
        <w:t> y, </w:t>
      </w:r>
      <w:r>
        <w:rPr>
          <w:color w:val="231F20"/>
        </w:rPr>
        <w:t>sobre todo, de otros países, lo que dificulta la conformación y la consolidación de</w:t>
      </w:r>
      <w:r>
        <w:rPr>
          <w:color w:val="231F20"/>
          <w:spacing w:val="-27"/>
        </w:rPr>
        <w:t> </w:t>
      </w:r>
      <w:r>
        <w:rPr>
          <w:color w:val="231F20"/>
        </w:rPr>
        <w:t>una base, integrada y competitiva, de proveedores de autopartes, localizados en esta enti- dad, que lleve a disminuir la dependencia que se tiene de la industria norteamericana y</w:t>
      </w:r>
      <w:r>
        <w:rPr>
          <w:color w:val="231F20"/>
          <w:spacing w:val="-15"/>
        </w:rPr>
        <w:t> </w:t>
      </w:r>
      <w:r>
        <w:rPr>
          <w:color w:val="231F20"/>
        </w:rPr>
        <w:t>alemana.</w:t>
      </w:r>
    </w:p>
    <w:p>
      <w:pPr>
        <w:pStyle w:val="BodyText"/>
        <w:spacing w:line="278" w:lineRule="auto" w:before="1"/>
        <w:ind w:left="713" w:right="100" w:firstLine="396"/>
        <w:jc w:val="both"/>
      </w:pPr>
      <w:r>
        <w:rPr>
          <w:color w:val="231F20"/>
        </w:rPr>
        <w:t>La dependencia del exterior y la falta de redes de innovación tecnológica no han favorecido en el estado la consolidación de una plataforma de proveedores de primer nivel</w:t>
      </w:r>
      <w:r>
        <w:rPr>
          <w:color w:val="231F20"/>
          <w:spacing w:val="-17"/>
        </w:rPr>
        <w:t> </w:t>
      </w:r>
      <w:r>
        <w:rPr>
          <w:color w:val="231F20"/>
        </w:rPr>
        <w:t>y</w:t>
      </w:r>
      <w:r>
        <w:rPr>
          <w:color w:val="231F20"/>
          <w:spacing w:val="-17"/>
        </w:rPr>
        <w:t> </w:t>
      </w:r>
      <w:r>
        <w:rPr>
          <w:color w:val="231F20"/>
        </w:rPr>
        <w:t>subproveedores</w:t>
      </w:r>
      <w:r>
        <w:rPr>
          <w:color w:val="231F20"/>
          <w:spacing w:val="-17"/>
        </w:rPr>
        <w:t> </w:t>
      </w:r>
      <w:r>
        <w:rPr>
          <w:color w:val="231F20"/>
        </w:rPr>
        <w:t>(segundo</w:t>
      </w:r>
      <w:r>
        <w:rPr>
          <w:color w:val="231F20"/>
          <w:spacing w:val="-17"/>
        </w:rPr>
        <w:t> </w:t>
      </w:r>
      <w:r>
        <w:rPr>
          <w:color w:val="231F20"/>
        </w:rPr>
        <w:t>y</w:t>
      </w:r>
      <w:r>
        <w:rPr>
          <w:color w:val="231F20"/>
          <w:spacing w:val="-17"/>
        </w:rPr>
        <w:t> </w:t>
      </w:r>
      <w:r>
        <w:rPr>
          <w:color w:val="231F20"/>
        </w:rPr>
        <w:t>tercer</w:t>
      </w:r>
      <w:r>
        <w:rPr>
          <w:color w:val="231F20"/>
          <w:spacing w:val="-17"/>
        </w:rPr>
        <w:t> </w:t>
      </w:r>
      <w:r>
        <w:rPr>
          <w:color w:val="231F20"/>
        </w:rPr>
        <w:t>nivel,</w:t>
      </w:r>
      <w:r>
        <w:rPr>
          <w:color w:val="231F20"/>
          <w:spacing w:val="-17"/>
        </w:rPr>
        <w:t> </w:t>
      </w:r>
      <w:r>
        <w:rPr>
          <w:color w:val="231F20"/>
        </w:rPr>
        <w:t>y</w:t>
      </w:r>
      <w:r>
        <w:rPr>
          <w:color w:val="231F20"/>
          <w:spacing w:val="-17"/>
        </w:rPr>
        <w:t> </w:t>
      </w:r>
      <w:r>
        <w:rPr>
          <w:color w:val="231F20"/>
        </w:rPr>
        <w:t>así</w:t>
      </w:r>
      <w:r>
        <w:rPr>
          <w:color w:val="231F20"/>
          <w:spacing w:val="-17"/>
        </w:rPr>
        <w:t> </w:t>
      </w:r>
      <w:r>
        <w:rPr>
          <w:color w:val="231F20"/>
        </w:rPr>
        <w:t>sucesivamente),</w:t>
      </w:r>
      <w:r>
        <w:rPr>
          <w:color w:val="231F20"/>
          <w:spacing w:val="-17"/>
        </w:rPr>
        <w:t> </w:t>
      </w:r>
      <w:r>
        <w:rPr>
          <w:color w:val="231F20"/>
          <w:spacing w:val="-8"/>
        </w:rPr>
        <w:t>y,</w:t>
      </w:r>
      <w:r>
        <w:rPr>
          <w:color w:val="231F20"/>
          <w:spacing w:val="-17"/>
        </w:rPr>
        <w:t> </w:t>
      </w:r>
      <w:r>
        <w:rPr>
          <w:color w:val="231F20"/>
        </w:rPr>
        <w:t>con</w:t>
      </w:r>
      <w:r>
        <w:rPr>
          <w:color w:val="231F20"/>
          <w:spacing w:val="-17"/>
        </w:rPr>
        <w:t> </w:t>
      </w:r>
      <w:r>
        <w:rPr>
          <w:color w:val="231F20"/>
        </w:rPr>
        <w:t>ello,</w:t>
      </w:r>
      <w:r>
        <w:rPr>
          <w:color w:val="231F20"/>
          <w:spacing w:val="-17"/>
        </w:rPr>
        <w:t> </w:t>
      </w:r>
      <w:r>
        <w:rPr>
          <w:color w:val="231F20"/>
        </w:rPr>
        <w:t>la</w:t>
      </w:r>
      <w:r>
        <w:rPr>
          <w:color w:val="231F20"/>
          <w:spacing w:val="-17"/>
        </w:rPr>
        <w:t> </w:t>
      </w:r>
      <w:r>
        <w:rPr>
          <w:color w:val="231F20"/>
        </w:rPr>
        <w:t>con- formación de un posible clúster automotriz en la</w:t>
      </w:r>
      <w:r>
        <w:rPr>
          <w:color w:val="231F20"/>
          <w:spacing w:val="-18"/>
        </w:rPr>
        <w:t> </w:t>
      </w:r>
      <w:r>
        <w:rPr>
          <w:color w:val="231F20"/>
        </w:rPr>
        <w:t>región.</w:t>
      </w:r>
    </w:p>
    <w:p>
      <w:pPr>
        <w:pStyle w:val="BodyText"/>
        <w:spacing w:line="278" w:lineRule="auto" w:before="1"/>
        <w:ind w:left="713" w:right="101" w:firstLine="396"/>
        <w:jc w:val="both"/>
      </w:pPr>
      <w:r>
        <w:rPr>
          <w:color w:val="231F20"/>
        </w:rPr>
        <w:t>Las</w:t>
      </w:r>
      <w:r>
        <w:rPr>
          <w:color w:val="231F20"/>
          <w:spacing w:val="-17"/>
        </w:rPr>
        <w:t> </w:t>
      </w:r>
      <w:r>
        <w:rPr>
          <w:color w:val="231F20"/>
        </w:rPr>
        <w:t>principales</w:t>
      </w:r>
      <w:r>
        <w:rPr>
          <w:color w:val="231F20"/>
          <w:spacing w:val="-17"/>
        </w:rPr>
        <w:t> </w:t>
      </w:r>
      <w:r>
        <w:rPr>
          <w:color w:val="231F20"/>
        </w:rPr>
        <w:t>empresas</w:t>
      </w:r>
      <w:r>
        <w:rPr>
          <w:color w:val="231F20"/>
          <w:spacing w:val="-17"/>
        </w:rPr>
        <w:t> </w:t>
      </w:r>
      <w:r>
        <w:rPr>
          <w:color w:val="231F20"/>
        </w:rPr>
        <w:t>localizadas</w:t>
      </w:r>
      <w:r>
        <w:rPr>
          <w:color w:val="231F20"/>
          <w:spacing w:val="-17"/>
        </w:rPr>
        <w:t> </w:t>
      </w:r>
      <w:r>
        <w:rPr>
          <w:color w:val="231F20"/>
        </w:rPr>
        <w:t>en</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de</w:t>
      </w:r>
      <w:r>
        <w:rPr>
          <w:color w:val="231F20"/>
          <w:spacing w:val="-17"/>
        </w:rPr>
        <w:t> </w:t>
      </w:r>
      <w:r>
        <w:rPr>
          <w:color w:val="231F20"/>
        </w:rPr>
        <w:t>México</w:t>
      </w:r>
      <w:r>
        <w:rPr>
          <w:color w:val="231F20"/>
          <w:spacing w:val="-17"/>
        </w:rPr>
        <w:t> </w:t>
      </w:r>
      <w:r>
        <w:rPr>
          <w:color w:val="231F20"/>
        </w:rPr>
        <w:t>son</w:t>
      </w:r>
      <w:r>
        <w:rPr>
          <w:color w:val="231F20"/>
          <w:spacing w:val="-17"/>
        </w:rPr>
        <w:t> </w:t>
      </w:r>
      <w:r>
        <w:rPr>
          <w:color w:val="231F20"/>
        </w:rPr>
        <w:t>las</w:t>
      </w:r>
      <w:r>
        <w:rPr>
          <w:color w:val="231F20"/>
          <w:spacing w:val="-17"/>
        </w:rPr>
        <w:t> </w:t>
      </w:r>
      <w:r>
        <w:rPr>
          <w:color w:val="231F20"/>
        </w:rPr>
        <w:t>norteamerica- nas,</w:t>
      </w:r>
      <w:r>
        <w:rPr>
          <w:color w:val="231F20"/>
          <w:spacing w:val="-5"/>
        </w:rPr>
        <w:t> </w:t>
      </w:r>
      <w:r>
        <w:rPr>
          <w:color w:val="231F20"/>
        </w:rPr>
        <w:t>las</w:t>
      </w:r>
      <w:r>
        <w:rPr>
          <w:color w:val="231F20"/>
          <w:spacing w:val="-5"/>
        </w:rPr>
        <w:t> </w:t>
      </w:r>
      <w:r>
        <w:rPr>
          <w:color w:val="231F20"/>
        </w:rPr>
        <w:t>cuales</w:t>
      </w:r>
      <w:r>
        <w:rPr>
          <w:color w:val="231F20"/>
          <w:spacing w:val="-5"/>
        </w:rPr>
        <w:t> </w:t>
      </w:r>
      <w:r>
        <w:rPr>
          <w:color w:val="231F20"/>
        </w:rPr>
        <w:t>han</w:t>
      </w:r>
      <w:r>
        <w:rPr>
          <w:color w:val="231F20"/>
          <w:spacing w:val="-5"/>
        </w:rPr>
        <w:t> </w:t>
      </w:r>
      <w:r>
        <w:rPr>
          <w:color w:val="231F20"/>
        </w:rPr>
        <w:t>perdido</w:t>
      </w:r>
      <w:r>
        <w:rPr>
          <w:color w:val="231F20"/>
          <w:spacing w:val="-5"/>
        </w:rPr>
        <w:t> </w:t>
      </w:r>
      <w:r>
        <w:rPr>
          <w:color w:val="231F20"/>
        </w:rPr>
        <w:t>competitividad</w:t>
      </w:r>
      <w:r>
        <w:rPr>
          <w:color w:val="231F20"/>
          <w:spacing w:val="-5"/>
        </w:rPr>
        <w:t> </w:t>
      </w:r>
      <w:r>
        <w:rPr>
          <w:color w:val="231F20"/>
        </w:rPr>
        <w:t>a</w:t>
      </w:r>
      <w:r>
        <w:rPr>
          <w:color w:val="231F20"/>
          <w:spacing w:val="-5"/>
        </w:rPr>
        <w:t> </w:t>
      </w:r>
      <w:r>
        <w:rPr>
          <w:color w:val="231F20"/>
        </w:rPr>
        <w:t>nivel</w:t>
      </w:r>
      <w:r>
        <w:rPr>
          <w:color w:val="231F20"/>
          <w:spacing w:val="-5"/>
        </w:rPr>
        <w:t> </w:t>
      </w:r>
      <w:r>
        <w:rPr>
          <w:color w:val="231F20"/>
        </w:rPr>
        <w:t>mundial</w:t>
      </w:r>
      <w:r>
        <w:rPr>
          <w:color w:val="231F20"/>
          <w:spacing w:val="-5"/>
        </w:rPr>
        <w:t> </w:t>
      </w:r>
      <w:r>
        <w:rPr>
          <w:color w:val="231F20"/>
        </w:rPr>
        <w:t>frente</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japonesas.</w:t>
      </w:r>
      <w:r>
        <w:rPr>
          <w:color w:val="231F20"/>
          <w:spacing w:val="-5"/>
        </w:rPr>
        <w:t> </w:t>
      </w:r>
      <w:r>
        <w:rPr>
          <w:color w:val="231F20"/>
        </w:rPr>
        <w:t>Para revertir</w:t>
      </w:r>
      <w:r>
        <w:rPr>
          <w:color w:val="231F20"/>
          <w:spacing w:val="-10"/>
        </w:rPr>
        <w:t> </w:t>
      </w:r>
      <w:r>
        <w:rPr>
          <w:color w:val="231F20"/>
        </w:rPr>
        <w:t>esa</w:t>
      </w:r>
      <w:r>
        <w:rPr>
          <w:color w:val="231F20"/>
          <w:spacing w:val="-10"/>
        </w:rPr>
        <w:t> </w:t>
      </w:r>
      <w:r>
        <w:rPr>
          <w:color w:val="231F20"/>
        </w:rPr>
        <w:t>situación</w:t>
      </w:r>
      <w:r>
        <w:rPr>
          <w:color w:val="231F20"/>
          <w:spacing w:val="-10"/>
        </w:rPr>
        <w:t> </w:t>
      </w:r>
      <w:r>
        <w:rPr>
          <w:color w:val="231F20"/>
        </w:rPr>
        <w:t>es</w:t>
      </w:r>
      <w:r>
        <w:rPr>
          <w:color w:val="231F20"/>
          <w:spacing w:val="-10"/>
        </w:rPr>
        <w:t> </w:t>
      </w:r>
      <w:r>
        <w:rPr>
          <w:color w:val="231F20"/>
        </w:rPr>
        <w:t>necesario</w:t>
      </w:r>
      <w:r>
        <w:rPr>
          <w:color w:val="231F20"/>
          <w:spacing w:val="-10"/>
        </w:rPr>
        <w:t> </w:t>
      </w:r>
      <w:r>
        <w:rPr>
          <w:color w:val="231F20"/>
        </w:rPr>
        <w:t>cambiar</w:t>
      </w:r>
      <w:r>
        <w:rPr>
          <w:color w:val="231F20"/>
          <w:spacing w:val="-10"/>
        </w:rPr>
        <w:t> </w:t>
      </w:r>
      <w:r>
        <w:rPr>
          <w:color w:val="231F20"/>
        </w:rPr>
        <w:t>muchos</w:t>
      </w:r>
      <w:r>
        <w:rPr>
          <w:color w:val="231F20"/>
          <w:spacing w:val="-10"/>
        </w:rPr>
        <w:t> </w:t>
      </w:r>
      <w:r>
        <w:rPr>
          <w:color w:val="231F20"/>
        </w:rPr>
        <w:t>aspectos</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presentan</w:t>
      </w:r>
      <w:r>
        <w:rPr>
          <w:color w:val="231F20"/>
          <w:spacing w:val="-10"/>
        </w:rPr>
        <w:t> </w:t>
      </w:r>
      <w:r>
        <w:rPr>
          <w:color w:val="231F20"/>
        </w:rPr>
        <w:t>dentro</w:t>
      </w:r>
      <w:r>
        <w:rPr>
          <w:color w:val="231F20"/>
          <w:spacing w:val="-10"/>
        </w:rPr>
        <w:t> </w:t>
      </w:r>
      <w:r>
        <w:rPr>
          <w:color w:val="231F20"/>
        </w:rPr>
        <w:t>de las plantas; sin embargo, de manera local éstas tienen poco margen de maniobra para actuar</w:t>
      </w:r>
      <w:r>
        <w:rPr>
          <w:color w:val="231F20"/>
          <w:spacing w:val="-9"/>
        </w:rPr>
        <w:t> </w:t>
      </w:r>
      <w:r>
        <w:rPr>
          <w:color w:val="231F20"/>
        </w:rPr>
        <w:t>en</w:t>
      </w:r>
      <w:r>
        <w:rPr>
          <w:color w:val="231F20"/>
          <w:spacing w:val="-9"/>
        </w:rPr>
        <w:t> </w:t>
      </w:r>
      <w:r>
        <w:rPr>
          <w:color w:val="231F20"/>
        </w:rPr>
        <w:t>consecuencia,</w:t>
      </w:r>
      <w:r>
        <w:rPr>
          <w:color w:val="231F20"/>
          <w:spacing w:val="-9"/>
        </w:rPr>
        <w:t> </w:t>
      </w:r>
      <w:r>
        <w:rPr>
          <w:color w:val="231F20"/>
        </w:rPr>
        <w:t>ya</w:t>
      </w:r>
      <w:r>
        <w:rPr>
          <w:color w:val="231F20"/>
          <w:spacing w:val="-9"/>
        </w:rPr>
        <w:t> </w:t>
      </w:r>
      <w:r>
        <w:rPr>
          <w:color w:val="231F20"/>
        </w:rPr>
        <w:t>que,</w:t>
      </w:r>
      <w:r>
        <w:rPr>
          <w:color w:val="231F20"/>
          <w:spacing w:val="-9"/>
        </w:rPr>
        <w:t> </w:t>
      </w:r>
      <w:r>
        <w:rPr>
          <w:color w:val="231F20"/>
        </w:rPr>
        <w:t>como</w:t>
      </w:r>
      <w:r>
        <w:rPr>
          <w:color w:val="231F20"/>
          <w:spacing w:val="-9"/>
        </w:rPr>
        <w:t> </w:t>
      </w:r>
      <w:r>
        <w:rPr>
          <w:color w:val="231F20"/>
        </w:rPr>
        <w:t>se</w:t>
      </w:r>
      <w:r>
        <w:rPr>
          <w:color w:val="231F20"/>
          <w:spacing w:val="-9"/>
        </w:rPr>
        <w:t> </w:t>
      </w:r>
      <w:r>
        <w:rPr>
          <w:color w:val="231F20"/>
        </w:rPr>
        <w:t>ha</w:t>
      </w:r>
      <w:r>
        <w:rPr>
          <w:color w:val="231F20"/>
          <w:spacing w:val="-9"/>
        </w:rPr>
        <w:t> </w:t>
      </w:r>
      <w:r>
        <w:rPr>
          <w:color w:val="231F20"/>
        </w:rPr>
        <w:t>comentado,</w:t>
      </w:r>
      <w:r>
        <w:rPr>
          <w:color w:val="231F20"/>
          <w:spacing w:val="-9"/>
        </w:rPr>
        <w:t> </w:t>
      </w:r>
      <w:r>
        <w:rPr>
          <w:color w:val="231F20"/>
        </w:rPr>
        <w:t>las</w:t>
      </w:r>
      <w:r>
        <w:rPr>
          <w:color w:val="231F20"/>
          <w:spacing w:val="-9"/>
        </w:rPr>
        <w:t> </w:t>
      </w:r>
      <w:r>
        <w:rPr>
          <w:color w:val="231F20"/>
        </w:rPr>
        <w:t>decisiones</w:t>
      </w:r>
      <w:r>
        <w:rPr>
          <w:color w:val="231F20"/>
          <w:spacing w:val="-9"/>
        </w:rPr>
        <w:t> </w:t>
      </w:r>
      <w:r>
        <w:rPr>
          <w:color w:val="231F20"/>
        </w:rPr>
        <w:t>principales,</w:t>
      </w:r>
      <w:r>
        <w:rPr>
          <w:color w:val="231F20"/>
          <w:spacing w:val="-9"/>
        </w:rPr>
        <w:t> </w:t>
      </w:r>
      <w:r>
        <w:rPr>
          <w:color w:val="231F20"/>
        </w:rPr>
        <w:t>tan- to</w:t>
      </w:r>
      <w:r>
        <w:rPr>
          <w:color w:val="231F20"/>
          <w:spacing w:val="-7"/>
        </w:rPr>
        <w:t> </w:t>
      </w:r>
      <w:r>
        <w:rPr>
          <w:color w:val="231F20"/>
        </w:rPr>
        <w:t>en</w:t>
      </w:r>
      <w:r>
        <w:rPr>
          <w:color w:val="231F20"/>
          <w:spacing w:val="-7"/>
        </w:rPr>
        <w:t> </w:t>
      </w:r>
      <w:r>
        <w:rPr>
          <w:color w:val="231F20"/>
        </w:rPr>
        <w:t>procesos</w:t>
      </w:r>
      <w:r>
        <w:rPr>
          <w:color w:val="231F20"/>
          <w:spacing w:val="-7"/>
        </w:rPr>
        <w:t> </w:t>
      </w:r>
      <w:r>
        <w:rPr>
          <w:color w:val="231F20"/>
        </w:rPr>
        <w:t>productivos</w:t>
      </w:r>
      <w:r>
        <w:rPr>
          <w:color w:val="231F20"/>
          <w:spacing w:val="-7"/>
        </w:rPr>
        <w:t> </w:t>
      </w:r>
      <w:r>
        <w:rPr>
          <w:color w:val="231F20"/>
        </w:rPr>
        <w:t>como</w:t>
      </w:r>
      <w:r>
        <w:rPr>
          <w:color w:val="231F20"/>
          <w:spacing w:val="-7"/>
        </w:rPr>
        <w:t> </w:t>
      </w:r>
      <w:r>
        <w:rPr>
          <w:color w:val="231F20"/>
        </w:rPr>
        <w:t>administrativos,</w:t>
      </w:r>
      <w:r>
        <w:rPr>
          <w:color w:val="231F20"/>
          <w:spacing w:val="-7"/>
        </w:rPr>
        <w:t> </w:t>
      </w:r>
      <w:r>
        <w:rPr>
          <w:color w:val="231F20"/>
        </w:rPr>
        <w:t>de</w:t>
      </w:r>
      <w:r>
        <w:rPr>
          <w:color w:val="231F20"/>
          <w:spacing w:val="-7"/>
        </w:rPr>
        <w:t> </w:t>
      </w:r>
      <w:r>
        <w:rPr>
          <w:color w:val="231F20"/>
        </w:rPr>
        <w:t>innovación,</w:t>
      </w:r>
      <w:r>
        <w:rPr>
          <w:color w:val="231F20"/>
          <w:spacing w:val="-7"/>
        </w:rPr>
        <w:t> </w:t>
      </w:r>
      <w:r>
        <w:rPr>
          <w:color w:val="231F20"/>
        </w:rPr>
        <w:t>financieros,</w:t>
      </w:r>
      <w:r>
        <w:rPr>
          <w:color w:val="231F20"/>
          <w:spacing w:val="-7"/>
        </w:rPr>
        <w:t> </w:t>
      </w:r>
      <w:r>
        <w:rPr>
          <w:color w:val="231F20"/>
        </w:rPr>
        <w:t>etcétera, se toman en los grandes</w:t>
      </w:r>
      <w:r>
        <w:rPr>
          <w:color w:val="231F20"/>
          <w:spacing w:val="-14"/>
        </w:rPr>
        <w:t> </w:t>
      </w:r>
      <w:r>
        <w:rPr>
          <w:color w:val="231F20"/>
        </w:rPr>
        <w:t>corporativos.</w:t>
      </w:r>
    </w:p>
    <w:p>
      <w:pPr>
        <w:pStyle w:val="BodyText"/>
        <w:spacing w:line="278" w:lineRule="auto" w:before="1"/>
        <w:ind w:left="713" w:right="100" w:firstLine="396"/>
        <w:jc w:val="right"/>
      </w:pPr>
      <w:r>
        <w:rPr>
          <w:color w:val="231F20"/>
        </w:rPr>
        <w:t>En</w:t>
      </w:r>
      <w:r>
        <w:rPr>
          <w:color w:val="231F20"/>
          <w:spacing w:val="-12"/>
        </w:rPr>
        <w:t> </w:t>
      </w:r>
      <w:r>
        <w:rPr>
          <w:color w:val="231F20"/>
        </w:rPr>
        <w:t>el</w:t>
      </w:r>
      <w:r>
        <w:rPr>
          <w:color w:val="231F20"/>
          <w:spacing w:val="-12"/>
        </w:rPr>
        <w:t> </w:t>
      </w:r>
      <w:r>
        <w:rPr>
          <w:color w:val="231F20"/>
        </w:rPr>
        <w:t>Estado</w:t>
      </w:r>
      <w:r>
        <w:rPr>
          <w:color w:val="231F20"/>
          <w:spacing w:val="-12"/>
        </w:rPr>
        <w:t> </w:t>
      </w:r>
      <w:r>
        <w:rPr>
          <w:color w:val="231F20"/>
        </w:rPr>
        <w:t>de</w:t>
      </w:r>
      <w:r>
        <w:rPr>
          <w:color w:val="231F20"/>
          <w:spacing w:val="-12"/>
        </w:rPr>
        <w:t> </w:t>
      </w:r>
      <w:r>
        <w:rPr>
          <w:color w:val="231F20"/>
        </w:rPr>
        <w:t>México</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ha</w:t>
      </w:r>
      <w:r>
        <w:rPr>
          <w:color w:val="231F20"/>
          <w:spacing w:val="-12"/>
        </w:rPr>
        <w:t> </w:t>
      </w:r>
      <w:r>
        <w:rPr>
          <w:color w:val="231F20"/>
        </w:rPr>
        <w:t>logrado</w:t>
      </w:r>
      <w:r>
        <w:rPr>
          <w:color w:val="231F20"/>
          <w:spacing w:val="-12"/>
        </w:rPr>
        <w:t> </w:t>
      </w:r>
      <w:r>
        <w:rPr>
          <w:color w:val="231F20"/>
        </w:rPr>
        <w:t>la</w:t>
      </w:r>
      <w:r>
        <w:rPr>
          <w:color w:val="231F20"/>
          <w:spacing w:val="-12"/>
        </w:rPr>
        <w:t> </w:t>
      </w:r>
      <w:r>
        <w:rPr>
          <w:color w:val="231F20"/>
        </w:rPr>
        <w:t>conformación</w:t>
      </w:r>
      <w:r>
        <w:rPr>
          <w:color w:val="231F20"/>
          <w:spacing w:val="-12"/>
        </w:rPr>
        <w:t> </w:t>
      </w:r>
      <w:r>
        <w:rPr>
          <w:color w:val="231F20"/>
        </w:rPr>
        <w:t>de</w:t>
      </w:r>
      <w:r>
        <w:rPr>
          <w:color w:val="231F20"/>
          <w:spacing w:val="-12"/>
        </w:rPr>
        <w:t> </w:t>
      </w:r>
      <w:r>
        <w:rPr>
          <w:color w:val="231F20"/>
        </w:rPr>
        <w:t>un</w:t>
      </w:r>
      <w:r>
        <w:rPr>
          <w:color w:val="231F20"/>
          <w:spacing w:val="-12"/>
        </w:rPr>
        <w:t> </w:t>
      </w:r>
      <w:r>
        <w:rPr>
          <w:color w:val="231F20"/>
        </w:rPr>
        <w:t>clúster</w:t>
      </w:r>
      <w:r>
        <w:rPr>
          <w:color w:val="231F20"/>
          <w:spacing w:val="-12"/>
        </w:rPr>
        <w:t> </w:t>
      </w:r>
      <w:r>
        <w:rPr>
          <w:color w:val="231F20"/>
        </w:rPr>
        <w:t>automotriz</w:t>
      </w:r>
      <w:r>
        <w:rPr>
          <w:color w:val="231F20"/>
          <w:w w:val="95"/>
        </w:rPr>
        <w:t> </w:t>
      </w:r>
      <w:r>
        <w:rPr>
          <w:color w:val="231F20"/>
        </w:rPr>
        <w:t>como</w:t>
      </w:r>
      <w:r>
        <w:rPr>
          <w:color w:val="231F20"/>
          <w:spacing w:val="-7"/>
        </w:rPr>
        <w:t> </w:t>
      </w:r>
      <w:r>
        <w:rPr>
          <w:color w:val="231F20"/>
        </w:rPr>
        <w:t>tal,</w:t>
      </w:r>
      <w:r>
        <w:rPr>
          <w:color w:val="231F20"/>
          <w:spacing w:val="-7"/>
        </w:rPr>
        <w:t> </w:t>
      </w:r>
      <w:r>
        <w:rPr>
          <w:color w:val="231F20"/>
        </w:rPr>
        <w:t>lo</w:t>
      </w:r>
      <w:r>
        <w:rPr>
          <w:color w:val="231F20"/>
          <w:spacing w:val="-7"/>
        </w:rPr>
        <w:t> </w:t>
      </w:r>
      <w:r>
        <w:rPr>
          <w:color w:val="231F20"/>
        </w:rPr>
        <w:t>que</w:t>
      </w:r>
      <w:r>
        <w:rPr>
          <w:color w:val="231F20"/>
          <w:spacing w:val="-7"/>
        </w:rPr>
        <w:t> </w:t>
      </w:r>
      <w:r>
        <w:rPr>
          <w:color w:val="231F20"/>
        </w:rPr>
        <w:t>sin</w:t>
      </w:r>
      <w:r>
        <w:rPr>
          <w:color w:val="231F20"/>
          <w:spacing w:val="-7"/>
        </w:rPr>
        <w:t> </w:t>
      </w:r>
      <w:r>
        <w:rPr>
          <w:color w:val="231F20"/>
        </w:rPr>
        <w:t>duda</w:t>
      </w:r>
      <w:r>
        <w:rPr>
          <w:color w:val="231F20"/>
          <w:spacing w:val="-7"/>
        </w:rPr>
        <w:t> </w:t>
      </w:r>
      <w:r>
        <w:rPr>
          <w:color w:val="231F20"/>
        </w:rPr>
        <w:t>responde</w:t>
      </w:r>
      <w:r>
        <w:rPr>
          <w:color w:val="231F20"/>
          <w:spacing w:val="-7"/>
        </w:rPr>
        <w:t> </w:t>
      </w:r>
      <w:r>
        <w:rPr>
          <w:color w:val="231F20"/>
        </w:rPr>
        <w:t>a</w:t>
      </w:r>
      <w:r>
        <w:rPr>
          <w:color w:val="231F20"/>
          <w:spacing w:val="-7"/>
        </w:rPr>
        <w:t> </w:t>
      </w:r>
      <w:r>
        <w:rPr>
          <w:color w:val="231F20"/>
        </w:rPr>
        <w:t>intereses</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firmas.</w:t>
      </w:r>
      <w:r>
        <w:rPr>
          <w:color w:val="231F20"/>
          <w:spacing w:val="-7"/>
        </w:rPr>
        <w:t> </w:t>
      </w:r>
      <w:r>
        <w:rPr>
          <w:color w:val="231F20"/>
        </w:rPr>
        <w:t>Las</w:t>
      </w:r>
      <w:r>
        <w:rPr>
          <w:color w:val="231F20"/>
          <w:spacing w:val="-7"/>
        </w:rPr>
        <w:t> </w:t>
      </w:r>
      <w:r>
        <w:rPr>
          <w:color w:val="231F20"/>
        </w:rPr>
        <w:t>armadoras</w:t>
      </w:r>
      <w:r>
        <w:rPr>
          <w:color w:val="231F20"/>
          <w:spacing w:val="-7"/>
        </w:rPr>
        <w:t> </w:t>
      </w:r>
      <w:r>
        <w:rPr>
          <w:color w:val="231F20"/>
        </w:rPr>
        <w:t>han</w:t>
      </w:r>
      <w:r>
        <w:rPr>
          <w:color w:val="231F20"/>
          <w:spacing w:val="-7"/>
        </w:rPr>
        <w:t> </w:t>
      </w:r>
      <w:r>
        <w:rPr>
          <w:color w:val="231F20"/>
        </w:rPr>
        <w:t>busca-</w:t>
      </w:r>
      <w:r>
        <w:rPr>
          <w:color w:val="231F20"/>
          <w:w w:val="106"/>
        </w:rPr>
        <w:t> </w:t>
      </w:r>
      <w:r>
        <w:rPr>
          <w:color w:val="231F20"/>
        </w:rPr>
        <w:t>do localizarse donde les ofrezcan las mejores condiciones para poder competir</w:t>
      </w:r>
      <w:r>
        <w:rPr>
          <w:color w:val="231F20"/>
          <w:spacing w:val="37"/>
        </w:rPr>
        <w:t> </w:t>
      </w:r>
      <w:r>
        <w:rPr>
          <w:color w:val="231F20"/>
        </w:rPr>
        <w:t>en</w:t>
      </w:r>
      <w:r>
        <w:rPr>
          <w:color w:val="231F20"/>
          <w:spacing w:val="3"/>
        </w:rPr>
        <w:t> </w:t>
      </w:r>
      <w:r>
        <w:rPr>
          <w:color w:val="231F20"/>
        </w:rPr>
        <w:t>los</w:t>
      </w:r>
      <w:r>
        <w:rPr>
          <w:color w:val="231F20"/>
          <w:w w:val="96"/>
        </w:rPr>
        <w:t> </w:t>
      </w:r>
      <w:r>
        <w:rPr>
          <w:color w:val="231F20"/>
        </w:rPr>
        <w:t>mercados</w:t>
      </w:r>
      <w:r>
        <w:rPr>
          <w:color w:val="231F20"/>
          <w:spacing w:val="-15"/>
        </w:rPr>
        <w:t> </w:t>
      </w:r>
      <w:r>
        <w:rPr>
          <w:color w:val="231F20"/>
        </w:rPr>
        <w:t>nacionales,</w:t>
      </w:r>
      <w:r>
        <w:rPr>
          <w:color w:val="231F20"/>
          <w:spacing w:val="-15"/>
        </w:rPr>
        <w:t> </w:t>
      </w:r>
      <w:r>
        <w:rPr>
          <w:color w:val="231F20"/>
        </w:rPr>
        <w:t>pero</w:t>
      </w:r>
      <w:r>
        <w:rPr>
          <w:color w:val="231F20"/>
          <w:spacing w:val="-15"/>
        </w:rPr>
        <w:t> </w:t>
      </w:r>
      <w:r>
        <w:rPr>
          <w:color w:val="231F20"/>
        </w:rPr>
        <w:t>sobre</w:t>
      </w:r>
      <w:r>
        <w:rPr>
          <w:color w:val="231F20"/>
          <w:spacing w:val="-15"/>
        </w:rPr>
        <w:t> </w:t>
      </w:r>
      <w:r>
        <w:rPr>
          <w:color w:val="231F20"/>
        </w:rPr>
        <w:t>todo</w:t>
      </w:r>
      <w:r>
        <w:rPr>
          <w:color w:val="231F20"/>
          <w:spacing w:val="-15"/>
        </w:rPr>
        <w:t> </w:t>
      </w:r>
      <w:r>
        <w:rPr>
          <w:color w:val="231F20"/>
        </w:rPr>
        <w:t>internacionales;</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las</w:t>
      </w:r>
      <w:r>
        <w:rPr>
          <w:color w:val="231F20"/>
          <w:spacing w:val="-15"/>
        </w:rPr>
        <w:t> </w:t>
      </w:r>
      <w:r>
        <w:rPr>
          <w:color w:val="231F20"/>
        </w:rPr>
        <w:t>ofrecen</w:t>
      </w:r>
      <w:r>
        <w:rPr>
          <w:color w:val="231F20"/>
          <w:spacing w:val="-15"/>
        </w:rPr>
        <w:t> </w:t>
      </w:r>
      <w:r>
        <w:rPr>
          <w:color w:val="231F20"/>
        </w:rPr>
        <w:t>los</w:t>
      </w:r>
      <w:r>
        <w:rPr>
          <w:color w:val="231F20"/>
          <w:spacing w:val="-15"/>
        </w:rPr>
        <w:t> </w:t>
      </w:r>
      <w:r>
        <w:rPr>
          <w:color w:val="231F20"/>
        </w:rPr>
        <w:t>esta-</w:t>
      </w:r>
      <w:r>
        <w:rPr>
          <w:color w:val="231F20"/>
          <w:w w:val="106"/>
        </w:rPr>
        <w:t> </w:t>
      </w:r>
      <w:r>
        <w:rPr>
          <w:color w:val="231F20"/>
        </w:rPr>
        <w:t>dos</w:t>
      </w:r>
      <w:r>
        <w:rPr>
          <w:color w:val="231F20"/>
          <w:spacing w:val="-5"/>
        </w:rPr>
        <w:t> </w:t>
      </w:r>
      <w:r>
        <w:rPr>
          <w:color w:val="231F20"/>
        </w:rPr>
        <w:t>del</w:t>
      </w:r>
      <w:r>
        <w:rPr>
          <w:color w:val="231F20"/>
          <w:spacing w:val="-5"/>
        </w:rPr>
        <w:t> </w:t>
      </w:r>
      <w:r>
        <w:rPr>
          <w:color w:val="231F20"/>
        </w:rPr>
        <w:t>norte,</w:t>
      </w:r>
      <w:r>
        <w:rPr>
          <w:color w:val="231F20"/>
          <w:spacing w:val="-5"/>
        </w:rPr>
        <w:t> </w:t>
      </w:r>
      <w:r>
        <w:rPr>
          <w:color w:val="231F20"/>
        </w:rPr>
        <w:t>por</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ha</w:t>
      </w:r>
      <w:r>
        <w:rPr>
          <w:color w:val="231F20"/>
          <w:spacing w:val="-5"/>
        </w:rPr>
        <w:t> </w:t>
      </w:r>
      <w:r>
        <w:rPr>
          <w:color w:val="231F20"/>
        </w:rPr>
        <w:t>perdido</w:t>
      </w:r>
      <w:r>
        <w:rPr>
          <w:color w:val="231F20"/>
          <w:spacing w:val="-5"/>
        </w:rPr>
        <w:t> </w:t>
      </w:r>
      <w:r>
        <w:rPr>
          <w:color w:val="231F20"/>
        </w:rPr>
        <w:t>atractivo</w:t>
      </w:r>
      <w:r>
        <w:rPr>
          <w:color w:val="231F20"/>
          <w:spacing w:val="-5"/>
        </w:rPr>
        <w:t> </w:t>
      </w:r>
      <w:r>
        <w:rPr>
          <w:color w:val="231F20"/>
        </w:rPr>
        <w:t>para</w:t>
      </w:r>
      <w:r>
        <w:rPr>
          <w:color w:val="231F20"/>
          <w:spacing w:val="-5"/>
        </w:rPr>
        <w:t> </w:t>
      </w:r>
      <w:r>
        <w:rPr>
          <w:color w:val="231F20"/>
        </w:rPr>
        <w:t>ubicarse</w:t>
      </w:r>
      <w:r>
        <w:rPr>
          <w:color w:val="231F20"/>
          <w:spacing w:val="-5"/>
        </w:rPr>
        <w:t> </w:t>
      </w:r>
      <w:r>
        <w:rPr>
          <w:color w:val="231F20"/>
        </w:rPr>
        <w:t>en</w:t>
      </w:r>
      <w:r>
        <w:rPr>
          <w:color w:val="231F20"/>
          <w:spacing w:val="-5"/>
        </w:rPr>
        <w:t> </w:t>
      </w:r>
      <w:r>
        <w:rPr>
          <w:color w:val="231F20"/>
        </w:rPr>
        <w:t>él.</w:t>
      </w:r>
      <w:r>
        <w:rPr>
          <w:color w:val="231F20"/>
          <w:w w:val="91"/>
        </w:rPr>
        <w:t> </w:t>
      </w:r>
      <w:r>
        <w:rPr>
          <w:color w:val="231F20"/>
          <w:spacing w:val="-4"/>
        </w:rPr>
        <w:t>Por</w:t>
      </w:r>
      <w:r>
        <w:rPr>
          <w:color w:val="231F20"/>
          <w:spacing w:val="-7"/>
        </w:rPr>
        <w:t> </w:t>
      </w:r>
      <w:r>
        <w:rPr>
          <w:color w:val="231F20"/>
        </w:rPr>
        <w:t>el</w:t>
      </w:r>
      <w:r>
        <w:rPr>
          <w:color w:val="231F20"/>
          <w:spacing w:val="-7"/>
        </w:rPr>
        <w:t> </w:t>
      </w:r>
      <w:r>
        <w:rPr>
          <w:color w:val="231F20"/>
        </w:rPr>
        <w:t>lado</w:t>
      </w:r>
      <w:r>
        <w:rPr>
          <w:color w:val="231F20"/>
          <w:spacing w:val="-7"/>
        </w:rPr>
        <w:t> </w:t>
      </w:r>
      <w:r>
        <w:rPr>
          <w:color w:val="231F20"/>
        </w:rPr>
        <w:t>de</w:t>
      </w:r>
      <w:r>
        <w:rPr>
          <w:color w:val="231F20"/>
          <w:spacing w:val="-7"/>
        </w:rPr>
        <w:t> </w:t>
      </w:r>
      <w:r>
        <w:rPr>
          <w:color w:val="231F20"/>
        </w:rPr>
        <w:t>las</w:t>
      </w:r>
      <w:r>
        <w:rPr>
          <w:color w:val="231F20"/>
          <w:spacing w:val="-7"/>
        </w:rPr>
        <w:t> </w:t>
      </w:r>
      <w:r>
        <w:rPr>
          <w:color w:val="231F20"/>
        </w:rPr>
        <w:t>autopartes,</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lógica</w:t>
      </w:r>
      <w:r>
        <w:rPr>
          <w:color w:val="231F20"/>
          <w:spacing w:val="-7"/>
        </w:rPr>
        <w:t> </w:t>
      </w:r>
      <w:r>
        <w:rPr>
          <w:color w:val="231F20"/>
        </w:rPr>
        <w:t>de</w:t>
      </w:r>
      <w:r>
        <w:rPr>
          <w:color w:val="231F20"/>
          <w:spacing w:val="-7"/>
        </w:rPr>
        <w:t> </w:t>
      </w:r>
      <w:r>
        <w:rPr>
          <w:color w:val="231F20"/>
        </w:rPr>
        <w:t>abastecer</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rPr>
        <w:t>armadoras</w:t>
      </w:r>
      <w:r>
        <w:rPr>
          <w:color w:val="231F20"/>
          <w:spacing w:val="-7"/>
        </w:rPr>
        <w:t> </w:t>
      </w:r>
      <w:r>
        <w:rPr>
          <w:color w:val="231F20"/>
        </w:rPr>
        <w:t>se</w:t>
      </w:r>
      <w:r>
        <w:rPr>
          <w:color w:val="231F20"/>
          <w:spacing w:val="-7"/>
        </w:rPr>
        <w:t> </w:t>
      </w:r>
      <w:r>
        <w:rPr>
          <w:color w:val="231F20"/>
        </w:rPr>
        <w:t>han</w:t>
      </w:r>
      <w:r>
        <w:rPr>
          <w:color w:val="231F20"/>
          <w:spacing w:val="-7"/>
        </w:rPr>
        <w:t> </w:t>
      </w:r>
      <w:r>
        <w:rPr>
          <w:color w:val="231F20"/>
        </w:rPr>
        <w:t>con-</w:t>
      </w:r>
    </w:p>
    <w:p>
      <w:pPr>
        <w:pStyle w:val="BodyText"/>
        <w:spacing w:before="1"/>
        <w:ind w:left="713" w:right="1617"/>
      </w:pPr>
      <w:r>
        <w:rPr>
          <w:color w:val="231F20"/>
        </w:rPr>
        <w:t>centrado también en zonas próximas a ellas.</w:t>
      </w:r>
    </w:p>
    <w:p>
      <w:pPr>
        <w:pStyle w:val="BodyText"/>
        <w:spacing w:line="278" w:lineRule="auto" w:before="38"/>
        <w:ind w:left="713" w:right="101" w:firstLine="396"/>
        <w:jc w:val="both"/>
      </w:pPr>
      <w:r>
        <w:rPr>
          <w:color w:val="231F20"/>
        </w:rPr>
        <w:t>Finalmente, en una lógica de regiones ganadoras y perdedoras, es claro que al Estado de México (por las condiciones que se han argumentado en los capítulos an- teriores) le ha tocado ser parte de una región perdedora, y específicamente el sector automotriz-autopartes ha disminuido fuertemente su dinamismo en esta    zona.</w:t>
      </w:r>
    </w:p>
    <w:p>
      <w:pPr>
        <w:spacing w:after="0" w:line="278" w:lineRule="auto"/>
        <w:jc w:val="both"/>
        <w:sectPr>
          <w:footerReference w:type="even" r:id="rId350"/>
          <w:footerReference w:type="default" r:id="rId351"/>
          <w:pgSz w:w="9640" w:h="13040"/>
          <w:pgMar w:footer="654" w:header="581" w:top="780" w:bottom="840" w:left="420" w:right="1200"/>
          <w:pgNumType w:start="13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left="2864" w:firstLine="2307"/>
      </w:pPr>
      <w:r>
        <w:rPr/>
        <w:pict>
          <v:group style="position:absolute;margin-left:64.696899pt;margin-top:-62.737774pt;width:417.7pt;height:272.150pt;mso-position-horizontal-relative:page;mso-position-vertical-relative:paragraph;z-index:-608152" coordorigin="1294,-1255" coordsize="8354,5443">
            <v:line style="position:absolute" from="1304,4178" to="9638,4178" stroked="true" strokeweight="1pt" strokecolor="#58595b"/>
            <v:rect style="position:absolute;left:9194;top:-1255;width:444;height:5432" filled="true" fillcolor="#58595b" stroked="false">
              <v:fill type="solid"/>
            </v:rect>
            <w10:wrap type="none"/>
          </v:group>
        </w:pict>
      </w:r>
      <w:r>
        <w:rPr>
          <w:color w:val="231F20"/>
          <w:w w:val="105"/>
        </w:rPr>
        <w:t>Capítulo V</w:t>
      </w:r>
    </w:p>
    <w:p>
      <w:pPr>
        <w:pStyle w:val="BodyText"/>
        <w:rPr>
          <w:rFonts w:ascii="Palatino Linotype"/>
          <w:b/>
          <w:sz w:val="41"/>
        </w:rPr>
      </w:pPr>
    </w:p>
    <w:p>
      <w:pPr>
        <w:pStyle w:val="Heading2"/>
        <w:spacing w:line="249" w:lineRule="auto"/>
        <w:ind w:left="2063" w:right="1130" w:firstLine="801"/>
      </w:pPr>
      <w:r>
        <w:rPr>
          <w:color w:val="231F20"/>
          <w:w w:val="115"/>
        </w:rPr>
        <w:t>Conclusiones generales, recomendaciones de política</w:t>
      </w:r>
    </w:p>
    <w:p>
      <w:pPr>
        <w:spacing w:before="2"/>
        <w:ind w:left="850" w:right="0" w:firstLine="0"/>
        <w:jc w:val="left"/>
        <w:rPr>
          <w:sz w:val="40"/>
        </w:rPr>
      </w:pPr>
      <w:r>
        <w:rPr>
          <w:color w:val="231F20"/>
          <w:w w:val="120"/>
          <w:sz w:val="40"/>
        </w:rPr>
        <w:t>y escenarios posibles para el sector</w:t>
      </w:r>
    </w:p>
    <w:p>
      <w:pPr>
        <w:spacing w:line="249" w:lineRule="auto" w:before="20"/>
        <w:ind w:left="2827" w:right="1128" w:firstLine="433"/>
        <w:jc w:val="left"/>
        <w:rPr>
          <w:sz w:val="40"/>
        </w:rPr>
      </w:pPr>
      <w:r>
        <w:rPr>
          <w:color w:val="231F20"/>
          <w:spacing w:val="-4"/>
          <w:w w:val="115"/>
          <w:sz w:val="40"/>
        </w:rPr>
        <w:t>automotriz </w:t>
      </w:r>
      <w:r>
        <w:rPr>
          <w:color w:val="231F20"/>
          <w:spacing w:val="-1"/>
          <w:w w:val="115"/>
          <w:sz w:val="40"/>
        </w:rPr>
        <w:t>en </w:t>
      </w:r>
      <w:r>
        <w:rPr>
          <w:color w:val="231F20"/>
          <w:w w:val="115"/>
          <w:sz w:val="40"/>
        </w:rPr>
        <w:t>México y</w:t>
      </w:r>
      <w:r>
        <w:rPr>
          <w:color w:val="231F20"/>
          <w:spacing w:val="-32"/>
          <w:w w:val="115"/>
          <w:sz w:val="40"/>
        </w:rPr>
        <w:t> </w:t>
      </w:r>
      <w:r>
        <w:rPr>
          <w:color w:val="231F20"/>
          <w:w w:val="115"/>
          <w:sz w:val="40"/>
        </w:rPr>
        <w:t>en</w:t>
      </w:r>
      <w:r>
        <w:rPr>
          <w:color w:val="231F20"/>
          <w:spacing w:val="-32"/>
          <w:w w:val="115"/>
          <w:sz w:val="40"/>
        </w:rPr>
        <w:t> </w:t>
      </w:r>
      <w:r>
        <w:rPr>
          <w:color w:val="231F20"/>
          <w:w w:val="115"/>
          <w:sz w:val="40"/>
        </w:rPr>
        <w:t>el</w:t>
      </w:r>
      <w:r>
        <w:rPr>
          <w:color w:val="231F20"/>
          <w:spacing w:val="-32"/>
          <w:w w:val="115"/>
          <w:sz w:val="40"/>
        </w:rPr>
        <w:t> </w:t>
      </w:r>
      <w:r>
        <w:rPr>
          <w:color w:val="231F20"/>
          <w:spacing w:val="-3"/>
          <w:w w:val="115"/>
          <w:sz w:val="40"/>
        </w:rPr>
        <w:t>Estado</w:t>
      </w:r>
      <w:r>
        <w:rPr>
          <w:color w:val="231F20"/>
          <w:spacing w:val="-32"/>
          <w:w w:val="115"/>
          <w:sz w:val="40"/>
        </w:rPr>
        <w:t> </w:t>
      </w:r>
      <w:r>
        <w:rPr>
          <w:color w:val="231F20"/>
          <w:w w:val="115"/>
          <w:sz w:val="40"/>
        </w:rPr>
        <w:t>de</w:t>
      </w:r>
      <w:r>
        <w:rPr>
          <w:color w:val="231F20"/>
          <w:spacing w:val="-32"/>
          <w:w w:val="115"/>
          <w:sz w:val="40"/>
        </w:rPr>
        <w:t> </w:t>
      </w:r>
      <w:r>
        <w:rPr>
          <w:color w:val="231F20"/>
          <w:w w:val="115"/>
          <w:sz w:val="40"/>
        </w:rPr>
        <w:t>México</w:t>
      </w:r>
    </w:p>
    <w:p>
      <w:pPr>
        <w:pStyle w:val="BodyText"/>
        <w:rPr>
          <w:sz w:val="40"/>
        </w:rPr>
      </w:pPr>
    </w:p>
    <w:p>
      <w:pPr>
        <w:pStyle w:val="BodyText"/>
        <w:rPr>
          <w:sz w:val="40"/>
        </w:rPr>
      </w:pPr>
    </w:p>
    <w:p>
      <w:pPr>
        <w:pStyle w:val="BodyText"/>
        <w:spacing w:before="9"/>
        <w:rPr>
          <w:sz w:val="48"/>
        </w:rPr>
      </w:pPr>
    </w:p>
    <w:p>
      <w:pPr>
        <w:pStyle w:val="Heading3"/>
        <w:numPr>
          <w:ilvl w:val="1"/>
          <w:numId w:val="23"/>
        </w:numPr>
        <w:tabs>
          <w:tab w:pos="538" w:val="left" w:leader="none"/>
        </w:tabs>
        <w:spacing w:line="240" w:lineRule="auto" w:before="0" w:after="0"/>
        <w:ind w:left="537" w:right="0" w:hanging="414"/>
        <w:jc w:val="left"/>
      </w:pPr>
      <w:r>
        <w:rPr>
          <w:color w:val="231F20"/>
          <w:w w:val="90"/>
        </w:rPr>
        <w:t>Conclusiones</w:t>
      </w:r>
      <w:r>
        <w:rPr>
          <w:color w:val="231F20"/>
          <w:spacing w:val="8"/>
          <w:w w:val="90"/>
        </w:rPr>
        <w:t> </w:t>
      </w:r>
      <w:r>
        <w:rPr>
          <w:color w:val="231F20"/>
          <w:w w:val="90"/>
        </w:rPr>
        <w:t>generales</w:t>
      </w:r>
    </w:p>
    <w:p>
      <w:pPr>
        <w:pStyle w:val="BodyText"/>
        <w:spacing w:line="278" w:lineRule="auto" w:before="125"/>
        <w:ind w:left="123" w:right="1115"/>
      </w:pPr>
      <w:r>
        <w:rPr>
          <w:color w:val="231F20"/>
        </w:rPr>
        <w:t>Las conclusiones que se presentan a continuación se orientan en tres niveles: el sector automotriz a nivel mundial, a nivel nacional y en el Estado de México.</w:t>
      </w:r>
    </w:p>
    <w:p>
      <w:pPr>
        <w:pStyle w:val="BodyText"/>
        <w:spacing w:line="278" w:lineRule="auto" w:before="1"/>
        <w:ind w:left="123" w:right="1133" w:firstLine="396"/>
        <w:jc w:val="both"/>
      </w:pPr>
      <w:r>
        <w:rPr>
          <w:color w:val="231F20"/>
        </w:rPr>
        <w:t>Del sector automotriz a nivel mundial debe destacarse lo que se menciona a continuación.</w:t>
      </w:r>
    </w:p>
    <w:p>
      <w:pPr>
        <w:pStyle w:val="BodyText"/>
        <w:spacing w:line="264" w:lineRule="auto" w:before="1"/>
        <w:ind w:left="123" w:right="1130" w:firstLine="396"/>
        <w:jc w:val="both"/>
      </w:pPr>
      <w:r>
        <w:rPr>
          <w:color w:val="231F20"/>
        </w:rPr>
        <w:t>La cadena automotriz-autopartes claramente se identifica, en términos de Gere- ffi (2001), como </w:t>
      </w:r>
      <w:r>
        <w:rPr>
          <w:rFonts w:ascii="Palatino Linotype" w:hAnsi="Palatino Linotype"/>
          <w:i/>
          <w:color w:val="231F20"/>
        </w:rPr>
        <w:t>producer driven</w:t>
      </w:r>
      <w:r>
        <w:rPr>
          <w:color w:val="231F20"/>
        </w:rPr>
        <w:t>, es </w:t>
      </w:r>
      <w:r>
        <w:rPr>
          <w:color w:val="231F20"/>
          <w:spacing w:val="-3"/>
        </w:rPr>
        <w:t>decir, </w:t>
      </w:r>
      <w:r>
        <w:rPr>
          <w:color w:val="231F20"/>
        </w:rPr>
        <w:t>es intensiva en capital y tecnología y está liderada por las grandes transnacionales automotrices; son éstas las que controlan y organizan la producción, coordinan los eslabonamientos hacia atrás y hacia delante, organizan</w:t>
      </w:r>
      <w:r>
        <w:rPr>
          <w:color w:val="231F20"/>
          <w:spacing w:val="-4"/>
        </w:rPr>
        <w:t> </w:t>
      </w:r>
      <w:r>
        <w:rPr>
          <w:color w:val="231F20"/>
        </w:rPr>
        <w:t>la</w:t>
      </w:r>
      <w:r>
        <w:rPr>
          <w:color w:val="231F20"/>
          <w:spacing w:val="-4"/>
        </w:rPr>
        <w:t> </w:t>
      </w:r>
      <w:r>
        <w:rPr>
          <w:color w:val="231F20"/>
        </w:rPr>
        <w:t>cadena</w:t>
      </w:r>
      <w:r>
        <w:rPr>
          <w:color w:val="231F20"/>
          <w:spacing w:val="-4"/>
        </w:rPr>
        <w:t> </w:t>
      </w:r>
      <w:r>
        <w:rPr>
          <w:color w:val="231F20"/>
        </w:rPr>
        <w:t>de</w:t>
      </w:r>
      <w:r>
        <w:rPr>
          <w:color w:val="231F20"/>
          <w:spacing w:val="-4"/>
        </w:rPr>
        <w:t> </w:t>
      </w:r>
      <w:r>
        <w:rPr>
          <w:color w:val="231F20"/>
        </w:rPr>
        <w:t>proveedores</w:t>
      </w:r>
      <w:r>
        <w:rPr>
          <w:color w:val="231F20"/>
          <w:spacing w:val="-4"/>
        </w:rPr>
        <w:t> </w:t>
      </w:r>
      <w:r>
        <w:rPr>
          <w:color w:val="231F20"/>
        </w:rPr>
        <w:t>y</w:t>
      </w:r>
      <w:r>
        <w:rPr>
          <w:color w:val="231F20"/>
          <w:spacing w:val="-4"/>
        </w:rPr>
        <w:t> </w:t>
      </w:r>
      <w:r>
        <w:rPr>
          <w:color w:val="231F20"/>
        </w:rPr>
        <w:t>determinan</w:t>
      </w:r>
      <w:r>
        <w:rPr>
          <w:color w:val="231F20"/>
          <w:spacing w:val="-4"/>
        </w:rPr>
        <w:t> </w:t>
      </w:r>
      <w:r>
        <w:rPr>
          <w:color w:val="231F20"/>
        </w:rPr>
        <w:t>el</w:t>
      </w:r>
      <w:r>
        <w:rPr>
          <w:color w:val="231F20"/>
          <w:spacing w:val="-4"/>
        </w:rPr>
        <w:t> </w:t>
      </w:r>
      <w:r>
        <w:rPr>
          <w:color w:val="231F20"/>
        </w:rPr>
        <w:t>precio,</w:t>
      </w:r>
      <w:r>
        <w:rPr>
          <w:color w:val="231F20"/>
          <w:spacing w:val="-4"/>
        </w:rPr>
        <w:t> </w:t>
      </w:r>
      <w:r>
        <w:rPr>
          <w:color w:val="231F20"/>
        </w:rPr>
        <w:t>la</w:t>
      </w:r>
      <w:r>
        <w:rPr>
          <w:color w:val="231F20"/>
          <w:spacing w:val="-4"/>
        </w:rPr>
        <w:t> </w:t>
      </w:r>
      <w:r>
        <w:rPr>
          <w:color w:val="231F20"/>
        </w:rPr>
        <w:t>cantidad</w:t>
      </w:r>
      <w:r>
        <w:rPr>
          <w:color w:val="231F20"/>
          <w:spacing w:val="-4"/>
        </w:rPr>
        <w:t> </w:t>
      </w:r>
      <w:r>
        <w:rPr>
          <w:color w:val="231F20"/>
        </w:rPr>
        <w:t>y</w:t>
      </w:r>
      <w:r>
        <w:rPr>
          <w:color w:val="231F20"/>
          <w:spacing w:val="-4"/>
        </w:rPr>
        <w:t> </w:t>
      </w:r>
      <w:r>
        <w:rPr>
          <w:color w:val="231F20"/>
        </w:rPr>
        <w:t>la</w:t>
      </w:r>
      <w:r>
        <w:rPr>
          <w:color w:val="231F20"/>
          <w:spacing w:val="-4"/>
        </w:rPr>
        <w:t> </w:t>
      </w:r>
      <w:r>
        <w:rPr>
          <w:color w:val="231F20"/>
        </w:rPr>
        <w:t>calidad</w:t>
      </w:r>
      <w:r>
        <w:rPr>
          <w:color w:val="231F20"/>
          <w:spacing w:val="-4"/>
        </w:rPr>
        <w:t> </w:t>
      </w:r>
      <w:r>
        <w:rPr>
          <w:color w:val="231F20"/>
        </w:rPr>
        <w:t>de las mercancías y los componentes que se producen y circulan a lo largo de la cadena</w:t>
      </w:r>
      <w:r>
        <w:rPr>
          <w:rFonts w:ascii="Palatino Linotype" w:hAnsi="Palatino Linotype"/>
          <w:i/>
          <w:color w:val="231F20"/>
        </w:rPr>
        <w:t>. </w:t>
      </w:r>
      <w:r>
        <w:rPr>
          <w:color w:val="231F20"/>
        </w:rPr>
        <w:t>Además, son las que deciden quién entra y sale del mercado y a qué segmentos de la cadena pueden incorporarse los productores locales,</w:t>
      </w:r>
      <w:r>
        <w:rPr>
          <w:color w:val="231F20"/>
          <w:spacing w:val="-13"/>
        </w:rPr>
        <w:t> </w:t>
      </w:r>
      <w:r>
        <w:rPr>
          <w:color w:val="231F20"/>
        </w:rPr>
        <w:t>etcétera.</w:t>
      </w:r>
    </w:p>
    <w:p>
      <w:pPr>
        <w:pStyle w:val="BodyText"/>
        <w:spacing w:line="278" w:lineRule="auto" w:before="15"/>
        <w:ind w:left="123" w:right="1131" w:firstLine="396"/>
        <w:jc w:val="both"/>
      </w:pPr>
      <w:r>
        <w:rPr>
          <w:color w:val="231F20"/>
        </w:rPr>
        <w:t>Es claro que la automotriz es una industria intensiva en capital y tecnología y que el desarrollo de estos factores ha sido fundamental para posicionar las empresas  a nivel</w:t>
      </w:r>
      <w:r>
        <w:rPr>
          <w:color w:val="231F20"/>
          <w:spacing w:val="16"/>
        </w:rPr>
        <w:t> </w:t>
      </w:r>
      <w:r>
        <w:rPr>
          <w:color w:val="231F20"/>
        </w:rPr>
        <w:t>mundial.</w:t>
      </w:r>
    </w:p>
    <w:p>
      <w:pPr>
        <w:pStyle w:val="BodyText"/>
        <w:spacing w:line="278" w:lineRule="auto" w:before="1"/>
        <w:ind w:left="123" w:right="1131" w:firstLine="396"/>
        <w:jc w:val="both"/>
      </w:pPr>
      <w:r>
        <w:rPr>
          <w:color w:val="231F20"/>
        </w:rPr>
        <w:t>El</w:t>
      </w:r>
      <w:r>
        <w:rPr>
          <w:color w:val="231F20"/>
          <w:spacing w:val="-16"/>
        </w:rPr>
        <w:t> </w:t>
      </w:r>
      <w:r>
        <w:rPr>
          <w:color w:val="231F20"/>
        </w:rPr>
        <w:t>uso</w:t>
      </w:r>
      <w:r>
        <w:rPr>
          <w:color w:val="231F20"/>
          <w:spacing w:val="-16"/>
        </w:rPr>
        <w:t> </w:t>
      </w:r>
      <w:r>
        <w:rPr>
          <w:color w:val="231F20"/>
        </w:rPr>
        <w:t>de</w:t>
      </w:r>
      <w:r>
        <w:rPr>
          <w:color w:val="231F20"/>
          <w:spacing w:val="-16"/>
        </w:rPr>
        <w:t> </w:t>
      </w:r>
      <w:r>
        <w:rPr>
          <w:color w:val="231F20"/>
        </w:rPr>
        <w:t>nuevas</w:t>
      </w:r>
      <w:r>
        <w:rPr>
          <w:color w:val="231F20"/>
          <w:spacing w:val="-16"/>
        </w:rPr>
        <w:t> </w:t>
      </w:r>
      <w:r>
        <w:rPr>
          <w:color w:val="231F20"/>
        </w:rPr>
        <w:t>tecnologías</w:t>
      </w:r>
      <w:r>
        <w:rPr>
          <w:color w:val="231F20"/>
          <w:spacing w:val="-16"/>
        </w:rPr>
        <w:t> </w:t>
      </w:r>
      <w:r>
        <w:rPr>
          <w:color w:val="231F20"/>
        </w:rPr>
        <w:t>encaminadas</w:t>
      </w:r>
      <w:r>
        <w:rPr>
          <w:color w:val="231F20"/>
          <w:spacing w:val="-16"/>
        </w:rPr>
        <w:t> </w:t>
      </w:r>
      <w:r>
        <w:rPr>
          <w:color w:val="231F20"/>
        </w:rPr>
        <w:t>a</w:t>
      </w:r>
      <w:r>
        <w:rPr>
          <w:color w:val="231F20"/>
          <w:spacing w:val="-16"/>
        </w:rPr>
        <w:t> </w:t>
      </w:r>
      <w:r>
        <w:rPr>
          <w:color w:val="231F20"/>
        </w:rPr>
        <w:t>los</w:t>
      </w:r>
      <w:r>
        <w:rPr>
          <w:color w:val="231F20"/>
          <w:spacing w:val="-16"/>
        </w:rPr>
        <w:t> </w:t>
      </w:r>
      <w:r>
        <w:rPr>
          <w:color w:val="231F20"/>
        </w:rPr>
        <w:t>sistemas</w:t>
      </w:r>
      <w:r>
        <w:rPr>
          <w:color w:val="231F20"/>
          <w:spacing w:val="-16"/>
        </w:rPr>
        <w:t> </w:t>
      </w:r>
      <w:r>
        <w:rPr>
          <w:color w:val="231F20"/>
        </w:rPr>
        <w:t>híbridos</w:t>
      </w:r>
      <w:r>
        <w:rPr>
          <w:color w:val="231F20"/>
          <w:spacing w:val="-16"/>
        </w:rPr>
        <w:t> </w:t>
      </w:r>
      <w:r>
        <w:rPr>
          <w:color w:val="231F20"/>
        </w:rPr>
        <w:t>en</w:t>
      </w:r>
      <w:r>
        <w:rPr>
          <w:color w:val="231F20"/>
          <w:spacing w:val="-16"/>
        </w:rPr>
        <w:t> </w:t>
      </w:r>
      <w:r>
        <w:rPr>
          <w:color w:val="231F20"/>
        </w:rPr>
        <w:t>la</w:t>
      </w:r>
      <w:r>
        <w:rPr>
          <w:color w:val="231F20"/>
          <w:spacing w:val="-16"/>
        </w:rPr>
        <w:t> </w:t>
      </w:r>
      <w:r>
        <w:rPr>
          <w:color w:val="231F20"/>
        </w:rPr>
        <w:t>producción de</w:t>
      </w:r>
      <w:r>
        <w:rPr>
          <w:color w:val="231F20"/>
          <w:spacing w:val="-5"/>
        </w:rPr>
        <w:t> </w:t>
      </w:r>
      <w:r>
        <w:rPr>
          <w:color w:val="231F20"/>
        </w:rPr>
        <w:t>vehículos</w:t>
      </w:r>
      <w:r>
        <w:rPr>
          <w:color w:val="231F20"/>
          <w:spacing w:val="-5"/>
        </w:rPr>
        <w:t> </w:t>
      </w:r>
      <w:r>
        <w:rPr>
          <w:color w:val="231F20"/>
        </w:rPr>
        <w:t>y</w:t>
      </w:r>
      <w:r>
        <w:rPr>
          <w:color w:val="231F20"/>
          <w:spacing w:val="-5"/>
        </w:rPr>
        <w:t> </w:t>
      </w:r>
      <w:r>
        <w:rPr>
          <w:color w:val="231F20"/>
        </w:rPr>
        <w:t>la</w:t>
      </w:r>
      <w:r>
        <w:rPr>
          <w:color w:val="231F20"/>
          <w:spacing w:val="-5"/>
        </w:rPr>
        <w:t> </w:t>
      </w:r>
      <w:r>
        <w:rPr>
          <w:color w:val="231F20"/>
        </w:rPr>
        <w:t>búsqueda</w:t>
      </w:r>
      <w:r>
        <w:rPr>
          <w:color w:val="231F20"/>
          <w:spacing w:val="-5"/>
        </w:rPr>
        <w:t> </w:t>
      </w:r>
      <w:r>
        <w:rPr>
          <w:color w:val="231F20"/>
        </w:rPr>
        <w:t>de</w:t>
      </w:r>
      <w:r>
        <w:rPr>
          <w:color w:val="231F20"/>
          <w:spacing w:val="-5"/>
        </w:rPr>
        <w:t> </w:t>
      </w:r>
      <w:r>
        <w:rPr>
          <w:color w:val="231F20"/>
        </w:rPr>
        <w:t>combustibles</w:t>
      </w:r>
      <w:r>
        <w:rPr>
          <w:color w:val="231F20"/>
          <w:spacing w:val="-5"/>
        </w:rPr>
        <w:t> </w:t>
      </w:r>
      <w:r>
        <w:rPr>
          <w:color w:val="231F20"/>
        </w:rPr>
        <w:t>alternativos</w:t>
      </w:r>
      <w:r>
        <w:rPr>
          <w:color w:val="231F20"/>
          <w:spacing w:val="-5"/>
        </w:rPr>
        <w:t> </w:t>
      </w:r>
      <w:r>
        <w:rPr>
          <w:color w:val="231F20"/>
        </w:rPr>
        <w:t>a</w:t>
      </w:r>
      <w:r>
        <w:rPr>
          <w:color w:val="231F20"/>
          <w:spacing w:val="-5"/>
        </w:rPr>
        <w:t> </w:t>
      </w:r>
      <w:r>
        <w:rPr>
          <w:color w:val="231F20"/>
        </w:rPr>
        <w:t>las</w:t>
      </w:r>
      <w:r>
        <w:rPr>
          <w:color w:val="231F20"/>
          <w:spacing w:val="-5"/>
        </w:rPr>
        <w:t> </w:t>
      </w:r>
      <w:r>
        <w:rPr>
          <w:color w:val="231F20"/>
        </w:rPr>
        <w:t>gasolinas</w:t>
      </w:r>
      <w:r>
        <w:rPr>
          <w:color w:val="231F20"/>
          <w:spacing w:val="-5"/>
        </w:rPr>
        <w:t> </w:t>
      </w:r>
      <w:r>
        <w:rPr>
          <w:color w:val="231F20"/>
        </w:rPr>
        <w:t>están</w:t>
      </w:r>
      <w:r>
        <w:rPr>
          <w:color w:val="231F20"/>
          <w:spacing w:val="-5"/>
        </w:rPr>
        <w:t> </w:t>
      </w:r>
      <w:r>
        <w:rPr>
          <w:color w:val="231F20"/>
        </w:rPr>
        <w:t>generan- do</w:t>
      </w:r>
      <w:r>
        <w:rPr>
          <w:color w:val="231F20"/>
          <w:spacing w:val="34"/>
        </w:rPr>
        <w:t> </w:t>
      </w:r>
      <w:r>
        <w:rPr>
          <w:color w:val="231F20"/>
        </w:rPr>
        <w:t>un</w:t>
      </w:r>
      <w:r>
        <w:rPr>
          <w:color w:val="231F20"/>
          <w:spacing w:val="34"/>
        </w:rPr>
        <w:t> </w:t>
      </w:r>
      <w:r>
        <w:rPr>
          <w:color w:val="231F20"/>
        </w:rPr>
        <w:t>momento</w:t>
      </w:r>
      <w:r>
        <w:rPr>
          <w:color w:val="231F20"/>
          <w:spacing w:val="34"/>
        </w:rPr>
        <w:t> </w:t>
      </w:r>
      <w:r>
        <w:rPr>
          <w:color w:val="231F20"/>
        </w:rPr>
        <w:t>de</w:t>
      </w:r>
      <w:r>
        <w:rPr>
          <w:color w:val="231F20"/>
          <w:spacing w:val="34"/>
        </w:rPr>
        <w:t> </w:t>
      </w:r>
      <w:r>
        <w:rPr>
          <w:color w:val="231F20"/>
        </w:rPr>
        <w:t>transición</w:t>
      </w:r>
      <w:r>
        <w:rPr>
          <w:color w:val="231F20"/>
          <w:spacing w:val="34"/>
        </w:rPr>
        <w:t> </w:t>
      </w:r>
      <w:r>
        <w:rPr>
          <w:color w:val="231F20"/>
        </w:rPr>
        <w:t>fundamental</w:t>
      </w:r>
      <w:r>
        <w:rPr>
          <w:color w:val="231F20"/>
          <w:spacing w:val="34"/>
        </w:rPr>
        <w:t> </w:t>
      </w:r>
      <w:r>
        <w:rPr>
          <w:color w:val="231F20"/>
        </w:rPr>
        <w:t>dentro</w:t>
      </w:r>
      <w:r>
        <w:rPr>
          <w:color w:val="231F20"/>
          <w:spacing w:val="34"/>
        </w:rPr>
        <w:t> </w:t>
      </w:r>
      <w:r>
        <w:rPr>
          <w:color w:val="231F20"/>
        </w:rPr>
        <w:t>de</w:t>
      </w:r>
      <w:r>
        <w:rPr>
          <w:color w:val="231F20"/>
          <w:spacing w:val="34"/>
        </w:rPr>
        <w:t> </w:t>
      </w:r>
      <w:r>
        <w:rPr>
          <w:color w:val="231F20"/>
        </w:rPr>
        <w:t>la</w:t>
      </w:r>
      <w:r>
        <w:rPr>
          <w:color w:val="231F20"/>
          <w:spacing w:val="34"/>
        </w:rPr>
        <w:t> </w:t>
      </w:r>
      <w:r>
        <w:rPr>
          <w:color w:val="231F20"/>
        </w:rPr>
        <w:t>industria</w:t>
      </w:r>
      <w:r>
        <w:rPr>
          <w:color w:val="231F20"/>
          <w:spacing w:val="34"/>
        </w:rPr>
        <w:t> </w:t>
      </w:r>
      <w:r>
        <w:rPr>
          <w:color w:val="231F20"/>
        </w:rPr>
        <w:t>automotriz,</w:t>
      </w:r>
      <w:r>
        <w:rPr>
          <w:color w:val="231F20"/>
          <w:spacing w:val="34"/>
        </w:rPr>
        <w:t> </w:t>
      </w:r>
      <w:r>
        <w:rPr>
          <w:color w:val="231F20"/>
        </w:rPr>
        <w:t>que,</w:t>
      </w:r>
    </w:p>
    <w:p>
      <w:pPr>
        <w:spacing w:after="0" w:line="278" w:lineRule="auto"/>
        <w:jc w:val="both"/>
        <w:sectPr>
          <w:headerReference w:type="default" r:id="rId352"/>
          <w:pgSz w:w="9640" w:h="13040"/>
          <w:pgMar w:header="0" w:footer="654" w:top="0" w:bottom="840" w:left="1180" w:right="0"/>
        </w:sectPr>
      </w:pPr>
    </w:p>
    <w:p>
      <w:pPr>
        <w:pStyle w:val="BodyText"/>
        <w:rPr>
          <w:sz w:val="20"/>
        </w:rPr>
      </w:pPr>
    </w:p>
    <w:p>
      <w:pPr>
        <w:pStyle w:val="BodyText"/>
        <w:spacing w:before="6"/>
      </w:pPr>
    </w:p>
    <w:p>
      <w:pPr>
        <w:pStyle w:val="BodyText"/>
        <w:spacing w:line="278" w:lineRule="auto" w:before="58"/>
        <w:ind w:left="713" w:right="101"/>
        <w:jc w:val="both"/>
      </w:pPr>
      <w:r>
        <w:rPr>
          <w:color w:val="231F20"/>
        </w:rPr>
        <w:t>con</w:t>
      </w:r>
      <w:r>
        <w:rPr>
          <w:color w:val="231F20"/>
          <w:spacing w:val="-4"/>
        </w:rPr>
        <w:t> </w:t>
      </w:r>
      <w:r>
        <w:rPr>
          <w:color w:val="231F20"/>
        </w:rPr>
        <w:t>seguridad,</w:t>
      </w:r>
      <w:r>
        <w:rPr>
          <w:color w:val="231F20"/>
          <w:spacing w:val="-4"/>
        </w:rPr>
        <w:t> </w:t>
      </w:r>
      <w:r>
        <w:rPr>
          <w:color w:val="231F20"/>
        </w:rPr>
        <w:t>marcará</w:t>
      </w:r>
      <w:r>
        <w:rPr>
          <w:color w:val="231F20"/>
          <w:spacing w:val="-4"/>
        </w:rPr>
        <w:t> </w:t>
      </w:r>
      <w:r>
        <w:rPr>
          <w:color w:val="231F20"/>
        </w:rPr>
        <w:t>el</w:t>
      </w:r>
      <w:r>
        <w:rPr>
          <w:color w:val="231F20"/>
          <w:spacing w:val="-4"/>
        </w:rPr>
        <w:t> </w:t>
      </w:r>
      <w:r>
        <w:rPr>
          <w:color w:val="231F20"/>
        </w:rPr>
        <w:t>camino</w:t>
      </w:r>
      <w:r>
        <w:rPr>
          <w:color w:val="231F20"/>
          <w:spacing w:val="-4"/>
        </w:rPr>
        <w:t> </w:t>
      </w:r>
      <w:r>
        <w:rPr>
          <w:color w:val="231F20"/>
        </w:rPr>
        <w:t>a</w:t>
      </w:r>
      <w:r>
        <w:rPr>
          <w:color w:val="231F20"/>
          <w:spacing w:val="-4"/>
        </w:rPr>
        <w:t> </w:t>
      </w:r>
      <w:r>
        <w:rPr>
          <w:color w:val="231F20"/>
        </w:rPr>
        <w:t>seguir.</w:t>
      </w:r>
      <w:r>
        <w:rPr>
          <w:color w:val="231F20"/>
          <w:spacing w:val="-4"/>
        </w:rPr>
        <w:t> </w:t>
      </w:r>
      <w:r>
        <w:rPr>
          <w:color w:val="231F20"/>
        </w:rPr>
        <w:t>Ahora</w:t>
      </w:r>
      <w:r>
        <w:rPr>
          <w:color w:val="231F20"/>
          <w:spacing w:val="-4"/>
        </w:rPr>
        <w:t> </w:t>
      </w:r>
      <w:r>
        <w:rPr>
          <w:color w:val="231F20"/>
        </w:rPr>
        <w:t>las</w:t>
      </w:r>
      <w:r>
        <w:rPr>
          <w:color w:val="231F20"/>
          <w:spacing w:val="-4"/>
        </w:rPr>
        <w:t> </w:t>
      </w:r>
      <w:r>
        <w:rPr>
          <w:color w:val="231F20"/>
        </w:rPr>
        <w:t>grandes</w:t>
      </w:r>
      <w:r>
        <w:rPr>
          <w:color w:val="231F20"/>
          <w:spacing w:val="-4"/>
        </w:rPr>
        <w:t> </w:t>
      </w:r>
      <w:r>
        <w:rPr>
          <w:color w:val="231F20"/>
        </w:rPr>
        <w:t>armadoras</w:t>
      </w:r>
      <w:r>
        <w:rPr>
          <w:color w:val="231F20"/>
          <w:spacing w:val="-4"/>
        </w:rPr>
        <w:t> </w:t>
      </w:r>
      <w:r>
        <w:rPr>
          <w:color w:val="231F20"/>
        </w:rPr>
        <w:t>apuestan</w:t>
      </w:r>
      <w:r>
        <w:rPr>
          <w:color w:val="231F20"/>
          <w:spacing w:val="-4"/>
        </w:rPr>
        <w:t> </w:t>
      </w:r>
      <w:r>
        <w:rPr>
          <w:color w:val="231F20"/>
        </w:rPr>
        <w:t>a</w:t>
      </w:r>
      <w:r>
        <w:rPr>
          <w:color w:val="231F20"/>
          <w:spacing w:val="-4"/>
        </w:rPr>
        <w:t> </w:t>
      </w:r>
      <w:r>
        <w:rPr>
          <w:color w:val="231F20"/>
        </w:rPr>
        <w:t>la producción y la venta de vehículos híbridos como el motor que marcará las pautas en el sector en los años</w:t>
      </w:r>
      <w:r>
        <w:rPr>
          <w:color w:val="231F20"/>
          <w:spacing w:val="-36"/>
        </w:rPr>
        <w:t> </w:t>
      </w:r>
      <w:r>
        <w:rPr>
          <w:color w:val="231F20"/>
        </w:rPr>
        <w:t>próximos.</w:t>
      </w:r>
    </w:p>
    <w:p>
      <w:pPr>
        <w:pStyle w:val="BodyText"/>
        <w:spacing w:line="278" w:lineRule="auto" w:before="1"/>
        <w:ind w:left="713" w:right="101" w:firstLine="396"/>
        <w:jc w:val="both"/>
      </w:pPr>
      <w:r>
        <w:rPr>
          <w:color w:val="231F20"/>
        </w:rPr>
        <w:t>Esta tendencia no será fácil de enfrentar, sobre todo por las dificultades que se puedan generar en los países en desarrollo. Existen muchas barreras a </w:t>
      </w:r>
      <w:r>
        <w:rPr>
          <w:color w:val="231F20"/>
          <w:spacing w:val="-3"/>
        </w:rPr>
        <w:t>vencer, </w:t>
      </w:r>
      <w:r>
        <w:rPr>
          <w:color w:val="231F20"/>
        </w:rPr>
        <w:t>que van desde la infraestructura necesaria para hacer funcionar estos vehículos hasta cuestio- nes culturales. Las empresas proveedoras de autopartes deberán ajustarse a las</w:t>
      </w:r>
      <w:r>
        <w:rPr>
          <w:color w:val="231F20"/>
          <w:spacing w:val="-26"/>
        </w:rPr>
        <w:t> </w:t>
      </w:r>
      <w:r>
        <w:rPr>
          <w:color w:val="231F20"/>
        </w:rPr>
        <w:t>nuevas necesidades y los requerimientos de la industria terminal. En este sentido, deberán re- diseñar</w:t>
      </w:r>
      <w:r>
        <w:rPr>
          <w:color w:val="231F20"/>
          <w:spacing w:val="-4"/>
        </w:rPr>
        <w:t> </w:t>
      </w:r>
      <w:r>
        <w:rPr>
          <w:color w:val="231F20"/>
        </w:rPr>
        <w:t>sus</w:t>
      </w:r>
      <w:r>
        <w:rPr>
          <w:color w:val="231F20"/>
          <w:spacing w:val="-4"/>
        </w:rPr>
        <w:t> </w:t>
      </w:r>
      <w:r>
        <w:rPr>
          <w:color w:val="231F20"/>
        </w:rPr>
        <w:t>métodos</w:t>
      </w:r>
      <w:r>
        <w:rPr>
          <w:color w:val="231F20"/>
          <w:spacing w:val="-4"/>
        </w:rPr>
        <w:t> </w:t>
      </w:r>
      <w:r>
        <w:rPr>
          <w:color w:val="231F20"/>
        </w:rPr>
        <w:t>y</w:t>
      </w:r>
      <w:r>
        <w:rPr>
          <w:color w:val="231F20"/>
          <w:spacing w:val="-4"/>
        </w:rPr>
        <w:t> </w:t>
      </w:r>
      <w:r>
        <w:rPr>
          <w:color w:val="231F20"/>
        </w:rPr>
        <w:t>formas</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de</w:t>
      </w:r>
      <w:r>
        <w:rPr>
          <w:color w:val="231F20"/>
          <w:spacing w:val="-4"/>
        </w:rPr>
        <w:t> </w:t>
      </w:r>
      <w:r>
        <w:rPr>
          <w:color w:val="231F20"/>
        </w:rPr>
        <w:t>partes</w:t>
      </w:r>
      <w:r>
        <w:rPr>
          <w:color w:val="231F20"/>
          <w:spacing w:val="-4"/>
        </w:rPr>
        <w:t> </w:t>
      </w:r>
      <w:r>
        <w:rPr>
          <w:color w:val="231F20"/>
        </w:rPr>
        <w:t>y</w:t>
      </w:r>
      <w:r>
        <w:rPr>
          <w:color w:val="231F20"/>
          <w:spacing w:val="-4"/>
        </w:rPr>
        <w:t> </w:t>
      </w:r>
      <w:r>
        <w:rPr>
          <w:color w:val="231F20"/>
        </w:rPr>
        <w:t>componentes</w:t>
      </w:r>
      <w:r>
        <w:rPr>
          <w:color w:val="231F20"/>
          <w:spacing w:val="-4"/>
        </w:rPr>
        <w:t> </w:t>
      </w:r>
      <w:r>
        <w:rPr>
          <w:color w:val="231F20"/>
        </w:rPr>
        <w:t>para</w:t>
      </w:r>
      <w:r>
        <w:rPr>
          <w:color w:val="231F20"/>
          <w:spacing w:val="-4"/>
        </w:rPr>
        <w:t> </w:t>
      </w:r>
      <w:r>
        <w:rPr>
          <w:color w:val="231F20"/>
        </w:rPr>
        <w:t>los</w:t>
      </w:r>
      <w:r>
        <w:rPr>
          <w:color w:val="231F20"/>
          <w:spacing w:val="-4"/>
        </w:rPr>
        <w:t> </w:t>
      </w:r>
      <w:r>
        <w:rPr>
          <w:color w:val="231F20"/>
        </w:rPr>
        <w:t>nuevos vehículos híbridos, para que de esta forma no queden fuera del</w:t>
      </w:r>
      <w:r>
        <w:rPr>
          <w:color w:val="231F20"/>
          <w:spacing w:val="-23"/>
        </w:rPr>
        <w:t> </w:t>
      </w:r>
      <w:r>
        <w:rPr>
          <w:color w:val="231F20"/>
        </w:rPr>
        <w:t>mercado.</w:t>
      </w:r>
    </w:p>
    <w:p>
      <w:pPr>
        <w:pStyle w:val="BodyText"/>
        <w:spacing w:line="278" w:lineRule="auto" w:before="1"/>
        <w:ind w:left="713" w:right="100" w:firstLine="396"/>
        <w:jc w:val="both"/>
      </w:pPr>
      <w:r>
        <w:rPr>
          <w:color w:val="231F20"/>
        </w:rPr>
        <w:t>Las innovaciones tecnológicas no sólo han generado cambios en los procesos productivos en la industria automotriz, sino también han propiciado una importante reconfiguración del mercado mundial de vehículos, en el cual las grandes empresas norteamericanas,</w:t>
      </w:r>
      <w:r>
        <w:rPr>
          <w:color w:val="231F20"/>
          <w:spacing w:val="-9"/>
        </w:rPr>
        <w:t> </w:t>
      </w:r>
      <w:r>
        <w:rPr>
          <w:color w:val="231F20"/>
        </w:rPr>
        <w:t>líderes</w:t>
      </w:r>
      <w:r>
        <w:rPr>
          <w:color w:val="231F20"/>
          <w:spacing w:val="-9"/>
        </w:rPr>
        <w:t> </w:t>
      </w:r>
      <w:r>
        <w:rPr>
          <w:color w:val="231F20"/>
        </w:rPr>
        <w:t>en</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venta</w:t>
      </w:r>
      <w:r>
        <w:rPr>
          <w:color w:val="231F20"/>
          <w:spacing w:val="-9"/>
        </w:rPr>
        <w:t> </w:t>
      </w:r>
      <w:r>
        <w:rPr>
          <w:color w:val="231F20"/>
        </w:rPr>
        <w:t>de</w:t>
      </w:r>
      <w:r>
        <w:rPr>
          <w:color w:val="231F20"/>
          <w:spacing w:val="-9"/>
        </w:rPr>
        <w:t> </w:t>
      </w:r>
      <w:r>
        <w:rPr>
          <w:color w:val="231F20"/>
        </w:rPr>
        <w:t>vehículos</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últimas</w:t>
      </w:r>
      <w:r>
        <w:rPr>
          <w:color w:val="231F20"/>
          <w:spacing w:val="-9"/>
        </w:rPr>
        <w:t> </w:t>
      </w:r>
      <w:r>
        <w:rPr>
          <w:color w:val="231F20"/>
        </w:rPr>
        <w:t>décadas</w:t>
      </w:r>
      <w:r>
        <w:rPr>
          <w:color w:val="231F20"/>
          <w:spacing w:val="-9"/>
        </w:rPr>
        <w:t> </w:t>
      </w:r>
      <w:r>
        <w:rPr>
          <w:color w:val="231F20"/>
        </w:rPr>
        <w:t>del siglo XX, han perdido mercado ante la fuerte competencia de las empresas japonesas </w:t>
      </w:r>
      <w:r>
        <w:rPr>
          <w:color w:val="231F20"/>
          <w:spacing w:val="-5"/>
        </w:rPr>
        <w:t>Toyota </w:t>
      </w:r>
      <w:r>
        <w:rPr>
          <w:color w:val="231F20"/>
        </w:rPr>
        <w:t>y Honda (grandes innovadoras tecnológicamente), con lo que se ha generado una</w:t>
      </w:r>
      <w:r>
        <w:rPr>
          <w:color w:val="231F20"/>
          <w:spacing w:val="-4"/>
        </w:rPr>
        <w:t> </w:t>
      </w:r>
      <w:r>
        <w:rPr>
          <w:color w:val="231F20"/>
        </w:rPr>
        <w:t>reestructuración</w:t>
      </w:r>
      <w:r>
        <w:rPr>
          <w:color w:val="231F20"/>
          <w:spacing w:val="-4"/>
        </w:rPr>
        <w:t> </w:t>
      </w:r>
      <w:r>
        <w:rPr>
          <w:color w:val="231F20"/>
        </w:rPr>
        <w:t>en</w:t>
      </w:r>
      <w:r>
        <w:rPr>
          <w:color w:val="231F20"/>
          <w:spacing w:val="-4"/>
        </w:rPr>
        <w:t> </w:t>
      </w:r>
      <w:r>
        <w:rPr>
          <w:color w:val="231F20"/>
        </w:rPr>
        <w:t>términos</w:t>
      </w:r>
      <w:r>
        <w:rPr>
          <w:color w:val="231F20"/>
          <w:spacing w:val="-4"/>
        </w:rPr>
        <w:t> </w:t>
      </w:r>
      <w:r>
        <w:rPr>
          <w:color w:val="231F20"/>
        </w:rPr>
        <w:t>de</w:t>
      </w:r>
      <w:r>
        <w:rPr>
          <w:color w:val="231F20"/>
          <w:spacing w:val="-4"/>
        </w:rPr>
        <w:t> </w:t>
      </w:r>
      <w:r>
        <w:rPr>
          <w:color w:val="231F20"/>
        </w:rPr>
        <w:t>regiones</w:t>
      </w:r>
      <w:r>
        <w:rPr>
          <w:color w:val="231F20"/>
          <w:spacing w:val="-4"/>
        </w:rPr>
        <w:t> </w:t>
      </w:r>
      <w:r>
        <w:rPr>
          <w:color w:val="231F20"/>
        </w:rPr>
        <w:t>y</w:t>
      </w:r>
      <w:r>
        <w:rPr>
          <w:color w:val="231F20"/>
          <w:spacing w:val="-4"/>
        </w:rPr>
        <w:t> </w:t>
      </w:r>
      <w:r>
        <w:rPr>
          <w:color w:val="231F20"/>
        </w:rPr>
        <w:t>países,</w:t>
      </w:r>
      <w:r>
        <w:rPr>
          <w:color w:val="231F20"/>
          <w:spacing w:val="-4"/>
        </w:rPr>
        <w:t> </w:t>
      </w:r>
      <w:r>
        <w:rPr>
          <w:color w:val="231F20"/>
        </w:rPr>
        <w:t>tanto</w:t>
      </w:r>
      <w:r>
        <w:rPr>
          <w:color w:val="231F20"/>
          <w:spacing w:val="-4"/>
        </w:rPr>
        <w:t> </w:t>
      </w:r>
      <w:r>
        <w:rPr>
          <w:color w:val="231F20"/>
        </w:rPr>
        <w:t>en</w:t>
      </w:r>
      <w:r>
        <w:rPr>
          <w:color w:val="231F20"/>
          <w:spacing w:val="-4"/>
        </w:rPr>
        <w:t> </w:t>
      </w:r>
      <w:r>
        <w:rPr>
          <w:color w:val="231F20"/>
        </w:rPr>
        <w:t>la</w:t>
      </w:r>
      <w:r>
        <w:rPr>
          <w:color w:val="231F20"/>
          <w:spacing w:val="-4"/>
        </w:rPr>
        <w:t> </w:t>
      </w:r>
      <w:r>
        <w:rPr>
          <w:color w:val="231F20"/>
        </w:rPr>
        <w:t>producción</w:t>
      </w:r>
      <w:r>
        <w:rPr>
          <w:color w:val="231F20"/>
          <w:spacing w:val="-4"/>
        </w:rPr>
        <w:t> </w:t>
      </w:r>
      <w:r>
        <w:rPr>
          <w:color w:val="231F20"/>
        </w:rPr>
        <w:t>como</w:t>
      </w:r>
      <w:r>
        <w:rPr>
          <w:color w:val="231F20"/>
          <w:spacing w:val="-4"/>
        </w:rPr>
        <w:t> </w:t>
      </w:r>
      <w:r>
        <w:rPr>
          <w:color w:val="231F20"/>
        </w:rPr>
        <w:t>en la</w:t>
      </w:r>
      <w:r>
        <w:rPr>
          <w:color w:val="231F20"/>
          <w:spacing w:val="-14"/>
        </w:rPr>
        <w:t> </w:t>
      </w:r>
      <w:r>
        <w:rPr>
          <w:color w:val="231F20"/>
        </w:rPr>
        <w:t>venta</w:t>
      </w:r>
      <w:r>
        <w:rPr>
          <w:color w:val="231F20"/>
          <w:spacing w:val="-14"/>
        </w:rPr>
        <w:t> </w:t>
      </w:r>
      <w:r>
        <w:rPr>
          <w:color w:val="231F20"/>
        </w:rPr>
        <w:t>de</w:t>
      </w:r>
      <w:r>
        <w:rPr>
          <w:color w:val="231F20"/>
          <w:spacing w:val="-14"/>
        </w:rPr>
        <w:t> </w:t>
      </w:r>
      <w:r>
        <w:rPr>
          <w:color w:val="231F20"/>
        </w:rPr>
        <w:t>vehículos.</w:t>
      </w:r>
    </w:p>
    <w:p>
      <w:pPr>
        <w:pStyle w:val="BodyText"/>
        <w:spacing w:line="278" w:lineRule="auto" w:before="1"/>
        <w:ind w:left="713" w:right="100" w:firstLine="396"/>
        <w:jc w:val="both"/>
      </w:pPr>
      <w:r>
        <w:rPr>
          <w:color w:val="231F20"/>
          <w:spacing w:val="-5"/>
        </w:rPr>
        <w:t>Toyota </w:t>
      </w:r>
      <w:r>
        <w:rPr>
          <w:color w:val="231F20"/>
        </w:rPr>
        <w:t>y Honda han logrado un sistema de producción global y están considera- das en la categoría de actores globales. Cerca de la mitad de su producción se realiza fuera</w:t>
      </w:r>
      <w:r>
        <w:rPr>
          <w:color w:val="231F20"/>
          <w:spacing w:val="-12"/>
        </w:rPr>
        <w:t> </w:t>
      </w:r>
      <w:r>
        <w:rPr>
          <w:color w:val="231F20"/>
        </w:rPr>
        <w:t>de</w:t>
      </w:r>
      <w:r>
        <w:rPr>
          <w:color w:val="231F20"/>
          <w:spacing w:val="-12"/>
        </w:rPr>
        <w:t> </w:t>
      </w:r>
      <w:r>
        <w:rPr>
          <w:color w:val="231F20"/>
        </w:rPr>
        <w:t>su</w:t>
      </w:r>
      <w:r>
        <w:rPr>
          <w:color w:val="231F20"/>
          <w:spacing w:val="-12"/>
        </w:rPr>
        <w:t> </w:t>
      </w:r>
      <w:r>
        <w:rPr>
          <w:color w:val="231F20"/>
        </w:rPr>
        <w:t>país</w:t>
      </w:r>
      <w:r>
        <w:rPr>
          <w:color w:val="231F20"/>
          <w:spacing w:val="-12"/>
        </w:rPr>
        <w:t> </w:t>
      </w:r>
      <w:r>
        <w:rPr>
          <w:color w:val="231F20"/>
        </w:rPr>
        <w:t>de</w:t>
      </w:r>
      <w:r>
        <w:rPr>
          <w:color w:val="231F20"/>
          <w:spacing w:val="-12"/>
        </w:rPr>
        <w:t> </w:t>
      </w:r>
      <w:r>
        <w:rPr>
          <w:color w:val="231F20"/>
        </w:rPr>
        <w:t>origen</w:t>
      </w:r>
      <w:r>
        <w:rPr>
          <w:color w:val="231F20"/>
          <w:spacing w:val="-12"/>
        </w:rPr>
        <w:t> </w:t>
      </w:r>
      <w:r>
        <w:rPr>
          <w:color w:val="231F20"/>
        </w:rPr>
        <w:t>y</w:t>
      </w:r>
      <w:r>
        <w:rPr>
          <w:color w:val="231F20"/>
          <w:spacing w:val="-12"/>
        </w:rPr>
        <w:t> </w:t>
      </w:r>
      <w:r>
        <w:rPr>
          <w:color w:val="231F20"/>
        </w:rPr>
        <w:t>más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mitad</w:t>
      </w:r>
      <w:r>
        <w:rPr>
          <w:color w:val="231F20"/>
          <w:spacing w:val="-12"/>
        </w:rPr>
        <w:t> </w:t>
      </w:r>
      <w:r>
        <w:rPr>
          <w:color w:val="231F20"/>
        </w:rPr>
        <w:t>de</w:t>
      </w:r>
      <w:r>
        <w:rPr>
          <w:color w:val="231F20"/>
          <w:spacing w:val="-12"/>
        </w:rPr>
        <w:t> </w:t>
      </w:r>
      <w:r>
        <w:rPr>
          <w:color w:val="231F20"/>
        </w:rPr>
        <w:t>las</w:t>
      </w:r>
      <w:r>
        <w:rPr>
          <w:color w:val="231F20"/>
          <w:spacing w:val="-12"/>
        </w:rPr>
        <w:t> </w:t>
      </w:r>
      <w:r>
        <w:rPr>
          <w:color w:val="231F20"/>
        </w:rPr>
        <w:t>ventas</w:t>
      </w:r>
      <w:r>
        <w:rPr>
          <w:color w:val="231F20"/>
          <w:spacing w:val="-12"/>
        </w:rPr>
        <w:t> </w:t>
      </w:r>
      <w:r>
        <w:rPr>
          <w:color w:val="231F20"/>
        </w:rPr>
        <w:t>totales</w:t>
      </w:r>
      <w:r>
        <w:rPr>
          <w:color w:val="231F20"/>
          <w:spacing w:val="-12"/>
        </w:rPr>
        <w:t> </w:t>
      </w:r>
      <w:r>
        <w:rPr>
          <w:color w:val="231F20"/>
        </w:rPr>
        <w:t>se</w:t>
      </w:r>
      <w:r>
        <w:rPr>
          <w:color w:val="231F20"/>
          <w:spacing w:val="-12"/>
        </w:rPr>
        <w:t> </w:t>
      </w:r>
      <w:r>
        <w:rPr>
          <w:color w:val="231F20"/>
        </w:rPr>
        <w:t>hacen</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exterior, a</w:t>
      </w:r>
      <w:r>
        <w:rPr>
          <w:color w:val="231F20"/>
          <w:spacing w:val="-6"/>
        </w:rPr>
        <w:t> </w:t>
      </w:r>
      <w:r>
        <w:rPr>
          <w:color w:val="231F20"/>
        </w:rPr>
        <w:t>diferencia</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estadounidenses</w:t>
      </w:r>
      <w:r>
        <w:rPr>
          <w:color w:val="231F20"/>
          <w:spacing w:val="-6"/>
        </w:rPr>
        <w:t> </w:t>
      </w:r>
      <w:r>
        <w:rPr>
          <w:color w:val="231F20"/>
        </w:rPr>
        <w:t>General</w:t>
      </w:r>
      <w:r>
        <w:rPr>
          <w:color w:val="231F20"/>
          <w:spacing w:val="-6"/>
        </w:rPr>
        <w:t> </w:t>
      </w:r>
      <w:r>
        <w:rPr>
          <w:color w:val="231F20"/>
          <w:spacing w:val="-3"/>
        </w:rPr>
        <w:t>Motors,</w:t>
      </w:r>
      <w:r>
        <w:rPr>
          <w:color w:val="231F20"/>
          <w:spacing w:val="-6"/>
        </w:rPr>
        <w:t> </w:t>
      </w:r>
      <w:r>
        <w:rPr>
          <w:color w:val="231F20"/>
          <w:spacing w:val="-3"/>
        </w:rPr>
        <w:t>Ford</w:t>
      </w:r>
      <w:r>
        <w:rPr>
          <w:color w:val="231F20"/>
          <w:spacing w:val="-6"/>
        </w:rPr>
        <w:t> </w:t>
      </w:r>
      <w:r>
        <w:rPr>
          <w:color w:val="231F20"/>
        </w:rPr>
        <w:t>y</w:t>
      </w:r>
      <w:r>
        <w:rPr>
          <w:color w:val="231F20"/>
          <w:spacing w:val="-6"/>
        </w:rPr>
        <w:t> </w:t>
      </w:r>
      <w:r>
        <w:rPr>
          <w:color w:val="231F20"/>
        </w:rPr>
        <w:t>Chrysler,</w:t>
      </w:r>
      <w:r>
        <w:rPr>
          <w:color w:val="231F20"/>
          <w:spacing w:val="-6"/>
        </w:rPr>
        <w:t> </w:t>
      </w:r>
      <w:r>
        <w:rPr>
          <w:color w:val="231F20"/>
        </w:rPr>
        <w:t>y</w:t>
      </w:r>
      <w:r>
        <w:rPr>
          <w:color w:val="231F20"/>
          <w:spacing w:val="-6"/>
        </w:rPr>
        <w:t> </w:t>
      </w:r>
      <w:r>
        <w:rPr>
          <w:color w:val="231F20"/>
        </w:rPr>
        <w:t>de</w:t>
      </w:r>
      <w:r>
        <w:rPr>
          <w:color w:val="231F20"/>
          <w:spacing w:val="-6"/>
        </w:rPr>
        <w:t> </w:t>
      </w:r>
      <w:r>
        <w:rPr>
          <w:color w:val="231F20"/>
        </w:rPr>
        <w:t>las</w:t>
      </w:r>
      <w:r>
        <w:rPr>
          <w:color w:val="231F20"/>
          <w:spacing w:val="-6"/>
        </w:rPr>
        <w:t> </w:t>
      </w:r>
      <w:r>
        <w:rPr>
          <w:color w:val="231F20"/>
        </w:rPr>
        <w:t>europeas </w:t>
      </w:r>
      <w:r>
        <w:rPr>
          <w:color w:val="231F20"/>
          <w:spacing w:val="-3"/>
        </w:rPr>
        <w:t>Volkswagen,</w:t>
      </w:r>
      <w:r>
        <w:rPr>
          <w:color w:val="231F20"/>
          <w:spacing w:val="-10"/>
        </w:rPr>
        <w:t> </w:t>
      </w:r>
      <w:r>
        <w:rPr>
          <w:color w:val="231F20"/>
        </w:rPr>
        <w:t>Grupo</w:t>
      </w:r>
      <w:r>
        <w:rPr>
          <w:color w:val="231F20"/>
          <w:spacing w:val="-10"/>
        </w:rPr>
        <w:t> </w:t>
      </w:r>
      <w:r>
        <w:rPr>
          <w:color w:val="231F20"/>
        </w:rPr>
        <w:t>PSA,</w:t>
      </w:r>
      <w:r>
        <w:rPr>
          <w:color w:val="231F20"/>
          <w:spacing w:val="-10"/>
        </w:rPr>
        <w:t> </w:t>
      </w:r>
      <w:r>
        <w:rPr>
          <w:color w:val="231F20"/>
        </w:rPr>
        <w:t>Fiat,</w:t>
      </w:r>
      <w:r>
        <w:rPr>
          <w:color w:val="231F20"/>
          <w:spacing w:val="-10"/>
        </w:rPr>
        <w:t> </w:t>
      </w:r>
      <w:r>
        <w:rPr>
          <w:color w:val="231F20"/>
        </w:rPr>
        <w:t>BMW</w:t>
      </w:r>
      <w:r>
        <w:rPr>
          <w:color w:val="231F20"/>
          <w:spacing w:val="-10"/>
        </w:rPr>
        <w:t> </w:t>
      </w:r>
      <w:r>
        <w:rPr>
          <w:color w:val="231F20"/>
        </w:rPr>
        <w:t>y</w:t>
      </w:r>
      <w:r>
        <w:rPr>
          <w:color w:val="231F20"/>
          <w:spacing w:val="-10"/>
        </w:rPr>
        <w:t> </w:t>
      </w:r>
      <w:r>
        <w:rPr>
          <w:color w:val="231F20"/>
        </w:rPr>
        <w:t>Renault,</w:t>
      </w:r>
      <w:r>
        <w:rPr>
          <w:color w:val="231F20"/>
          <w:spacing w:val="-10"/>
        </w:rPr>
        <w:t> </w:t>
      </w:r>
      <w:r>
        <w:rPr>
          <w:color w:val="231F20"/>
        </w:rPr>
        <w:t>que</w:t>
      </w:r>
      <w:r>
        <w:rPr>
          <w:color w:val="231F20"/>
          <w:spacing w:val="-10"/>
        </w:rPr>
        <w:t> </w:t>
      </w:r>
      <w:r>
        <w:rPr>
          <w:color w:val="231F20"/>
        </w:rPr>
        <w:t>se</w:t>
      </w:r>
      <w:r>
        <w:rPr>
          <w:color w:val="231F20"/>
          <w:spacing w:val="-10"/>
        </w:rPr>
        <w:t> </w:t>
      </w:r>
      <w:r>
        <w:rPr>
          <w:color w:val="231F20"/>
        </w:rPr>
        <w:t>han</w:t>
      </w:r>
      <w:r>
        <w:rPr>
          <w:color w:val="231F20"/>
          <w:spacing w:val="-10"/>
        </w:rPr>
        <w:t> </w:t>
      </w:r>
      <w:r>
        <w:rPr>
          <w:color w:val="231F20"/>
        </w:rPr>
        <w:t>constituido</w:t>
      </w:r>
      <w:r>
        <w:rPr>
          <w:color w:val="231F20"/>
          <w:spacing w:val="-10"/>
        </w:rPr>
        <w:t> </w:t>
      </w:r>
      <w:r>
        <w:rPr>
          <w:color w:val="231F20"/>
        </w:rPr>
        <w:t>en</w:t>
      </w:r>
      <w:r>
        <w:rPr>
          <w:color w:val="231F20"/>
          <w:spacing w:val="-10"/>
        </w:rPr>
        <w:t> </w:t>
      </w:r>
      <w:r>
        <w:rPr>
          <w:color w:val="231F20"/>
        </w:rPr>
        <w:t>importantes actores</w:t>
      </w:r>
      <w:r>
        <w:rPr>
          <w:color w:val="231F20"/>
          <w:spacing w:val="-16"/>
        </w:rPr>
        <w:t> </w:t>
      </w:r>
      <w:r>
        <w:rPr>
          <w:color w:val="231F20"/>
        </w:rPr>
        <w:t>a</w:t>
      </w:r>
      <w:r>
        <w:rPr>
          <w:color w:val="231F20"/>
          <w:spacing w:val="-16"/>
        </w:rPr>
        <w:t> </w:t>
      </w:r>
      <w:r>
        <w:rPr>
          <w:color w:val="231F20"/>
        </w:rPr>
        <w:t>nivel</w:t>
      </w:r>
      <w:r>
        <w:rPr>
          <w:color w:val="231F20"/>
          <w:spacing w:val="-16"/>
        </w:rPr>
        <w:t> </w:t>
      </w:r>
      <w:r>
        <w:rPr>
          <w:color w:val="231F20"/>
        </w:rPr>
        <w:t>regional.</w:t>
      </w:r>
    </w:p>
    <w:p>
      <w:pPr>
        <w:pStyle w:val="BodyText"/>
        <w:spacing w:line="278" w:lineRule="auto" w:before="1"/>
        <w:ind w:left="713" w:right="101" w:firstLine="396"/>
        <w:jc w:val="both"/>
      </w:pPr>
      <w:r>
        <w:rPr>
          <w:color w:val="231F20"/>
          <w:spacing w:val="-4"/>
        </w:rPr>
        <w:t>Por </w:t>
      </w:r>
      <w:r>
        <w:rPr>
          <w:color w:val="231F20"/>
        </w:rPr>
        <w:t>otro lado, el proceso de reestructuración de la industria automotriz a nivel mundial y el aumento de la competencia entre las grandes empresas automotrices han provocado una fuerte concentración de esta industria, por lo que se han realizado im- portantes fusiones, alianzas y adquisiciones entre empresas. Actualmente, más de la mitad</w:t>
      </w:r>
      <w:r>
        <w:rPr>
          <w:color w:val="231F20"/>
          <w:spacing w:val="-6"/>
        </w:rPr>
        <w:t> </w:t>
      </w:r>
      <w:r>
        <w:rPr>
          <w:color w:val="231F20"/>
        </w:rPr>
        <w:t>de</w:t>
      </w:r>
      <w:r>
        <w:rPr>
          <w:color w:val="231F20"/>
          <w:spacing w:val="-6"/>
        </w:rPr>
        <w:t> </w:t>
      </w:r>
      <w:r>
        <w:rPr>
          <w:color w:val="231F20"/>
        </w:rPr>
        <w:t>la</w:t>
      </w:r>
      <w:r>
        <w:rPr>
          <w:color w:val="231F20"/>
          <w:spacing w:val="-6"/>
        </w:rPr>
        <w:t> </w:t>
      </w:r>
      <w:r>
        <w:rPr>
          <w:color w:val="231F20"/>
        </w:rPr>
        <w:t>producción</w:t>
      </w:r>
      <w:r>
        <w:rPr>
          <w:color w:val="231F20"/>
          <w:spacing w:val="-6"/>
        </w:rPr>
        <w:t> </w:t>
      </w:r>
      <w:r>
        <w:rPr>
          <w:color w:val="231F20"/>
        </w:rPr>
        <w:t>y</w:t>
      </w:r>
      <w:r>
        <w:rPr>
          <w:color w:val="231F20"/>
          <w:spacing w:val="-6"/>
        </w:rPr>
        <w:t> </w:t>
      </w:r>
      <w:r>
        <w:rPr>
          <w:color w:val="231F20"/>
        </w:rPr>
        <w:t>las</w:t>
      </w:r>
      <w:r>
        <w:rPr>
          <w:color w:val="231F20"/>
          <w:spacing w:val="-6"/>
        </w:rPr>
        <w:t> </w:t>
      </w:r>
      <w:r>
        <w:rPr>
          <w:color w:val="231F20"/>
        </w:rPr>
        <w:t>ventas</w:t>
      </w:r>
      <w:r>
        <w:rPr>
          <w:color w:val="231F20"/>
          <w:spacing w:val="-6"/>
        </w:rPr>
        <w:t> </w:t>
      </w:r>
      <w:r>
        <w:rPr>
          <w:color w:val="231F20"/>
        </w:rPr>
        <w:t>globales</w:t>
      </w:r>
      <w:r>
        <w:rPr>
          <w:color w:val="231F20"/>
          <w:spacing w:val="-6"/>
        </w:rPr>
        <w:t> </w:t>
      </w:r>
      <w:r>
        <w:rPr>
          <w:color w:val="231F20"/>
        </w:rPr>
        <w:t>corresponden</w:t>
      </w:r>
      <w:r>
        <w:rPr>
          <w:color w:val="231F20"/>
          <w:spacing w:val="-6"/>
        </w:rPr>
        <w:t> </w:t>
      </w:r>
      <w:r>
        <w:rPr>
          <w:color w:val="231F20"/>
        </w:rPr>
        <w:t>a</w:t>
      </w:r>
      <w:r>
        <w:rPr>
          <w:color w:val="231F20"/>
          <w:spacing w:val="-6"/>
        </w:rPr>
        <w:t> </w:t>
      </w:r>
      <w:r>
        <w:rPr>
          <w:color w:val="231F20"/>
        </w:rPr>
        <w:t>las</w:t>
      </w:r>
      <w:r>
        <w:rPr>
          <w:color w:val="231F20"/>
          <w:spacing w:val="-6"/>
        </w:rPr>
        <w:t> </w:t>
      </w:r>
      <w:r>
        <w:rPr>
          <w:color w:val="231F20"/>
        </w:rPr>
        <w:t>cinco</w:t>
      </w:r>
      <w:r>
        <w:rPr>
          <w:color w:val="231F20"/>
          <w:spacing w:val="-6"/>
        </w:rPr>
        <w:t> </w:t>
      </w:r>
      <w:r>
        <w:rPr>
          <w:color w:val="231F20"/>
        </w:rPr>
        <w:t>mayores</w:t>
      </w:r>
      <w:r>
        <w:rPr>
          <w:color w:val="231F20"/>
          <w:spacing w:val="-6"/>
        </w:rPr>
        <w:t> </w:t>
      </w:r>
      <w:r>
        <w:rPr>
          <w:color w:val="231F20"/>
        </w:rPr>
        <w:t>empre- sas</w:t>
      </w:r>
      <w:r>
        <w:rPr>
          <w:color w:val="231F20"/>
          <w:spacing w:val="-9"/>
        </w:rPr>
        <w:t> </w:t>
      </w:r>
      <w:r>
        <w:rPr>
          <w:color w:val="231F20"/>
        </w:rPr>
        <w:t>ensambladoras:</w:t>
      </w:r>
      <w:r>
        <w:rPr>
          <w:color w:val="231F20"/>
          <w:spacing w:val="-9"/>
        </w:rPr>
        <w:t> </w:t>
      </w:r>
      <w:r>
        <w:rPr>
          <w:color w:val="231F20"/>
        </w:rPr>
        <w:t>General</w:t>
      </w:r>
      <w:r>
        <w:rPr>
          <w:color w:val="231F20"/>
          <w:spacing w:val="-9"/>
        </w:rPr>
        <w:t> </w:t>
      </w:r>
      <w:r>
        <w:rPr>
          <w:color w:val="231F20"/>
          <w:spacing w:val="-3"/>
        </w:rPr>
        <w:t>Motors,</w:t>
      </w:r>
      <w:r>
        <w:rPr>
          <w:color w:val="231F20"/>
          <w:spacing w:val="-9"/>
        </w:rPr>
        <w:t> </w:t>
      </w:r>
      <w:r>
        <w:rPr>
          <w:color w:val="231F20"/>
          <w:spacing w:val="-3"/>
        </w:rPr>
        <w:t>Ford,</w:t>
      </w:r>
      <w:r>
        <w:rPr>
          <w:color w:val="231F20"/>
          <w:spacing w:val="-9"/>
        </w:rPr>
        <w:t> </w:t>
      </w:r>
      <w:r>
        <w:rPr>
          <w:color w:val="231F20"/>
        </w:rPr>
        <w:t>Chrysler,</w:t>
      </w:r>
      <w:r>
        <w:rPr>
          <w:color w:val="231F20"/>
          <w:spacing w:val="-9"/>
        </w:rPr>
        <w:t> </w:t>
      </w:r>
      <w:r>
        <w:rPr>
          <w:color w:val="231F20"/>
          <w:spacing w:val="-5"/>
        </w:rPr>
        <w:t>Toyota</w:t>
      </w:r>
      <w:r>
        <w:rPr>
          <w:color w:val="231F20"/>
          <w:spacing w:val="-9"/>
        </w:rPr>
        <w:t> </w:t>
      </w:r>
      <w:r>
        <w:rPr>
          <w:color w:val="231F20"/>
        </w:rPr>
        <w:t>y</w:t>
      </w:r>
      <w:r>
        <w:rPr>
          <w:color w:val="231F20"/>
          <w:spacing w:val="-9"/>
        </w:rPr>
        <w:t> </w:t>
      </w:r>
      <w:r>
        <w:rPr>
          <w:color w:val="231F20"/>
          <w:spacing w:val="-3"/>
        </w:rPr>
        <w:t>Volkswagen.</w:t>
      </w:r>
    </w:p>
    <w:p>
      <w:pPr>
        <w:pStyle w:val="BodyText"/>
        <w:spacing w:line="278" w:lineRule="auto" w:before="1"/>
        <w:ind w:left="713" w:right="101" w:firstLine="396"/>
        <w:jc w:val="both"/>
      </w:pPr>
      <w:r>
        <w:rPr>
          <w:color w:val="231F20"/>
        </w:rPr>
        <w:t>En términos de países, China se ha convertido en el mayor productor y mercado de vehículos a nivel mundial, pero no se ha limitado sólo al papel de la manufactura dependiente</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tecnología</w:t>
      </w:r>
      <w:r>
        <w:rPr>
          <w:color w:val="231F20"/>
          <w:spacing w:val="-8"/>
        </w:rPr>
        <w:t> </w:t>
      </w:r>
      <w:r>
        <w:rPr>
          <w:color w:val="231F20"/>
        </w:rPr>
        <w:t>del</w:t>
      </w:r>
      <w:r>
        <w:rPr>
          <w:color w:val="231F20"/>
          <w:spacing w:val="-8"/>
        </w:rPr>
        <w:t> </w:t>
      </w:r>
      <w:r>
        <w:rPr>
          <w:color w:val="231F20"/>
        </w:rPr>
        <w:t>exterior,</w:t>
      </w:r>
      <w:r>
        <w:rPr>
          <w:color w:val="231F20"/>
          <w:spacing w:val="-8"/>
        </w:rPr>
        <w:t> </w:t>
      </w:r>
      <w:r>
        <w:rPr>
          <w:color w:val="231F20"/>
        </w:rPr>
        <w:t>sino</w:t>
      </w:r>
      <w:r>
        <w:rPr>
          <w:color w:val="231F20"/>
          <w:spacing w:val="-8"/>
        </w:rPr>
        <w:t> </w:t>
      </w:r>
      <w:r>
        <w:rPr>
          <w:color w:val="231F20"/>
        </w:rPr>
        <w:t>que</w:t>
      </w:r>
      <w:r>
        <w:rPr>
          <w:color w:val="231F20"/>
          <w:spacing w:val="-8"/>
        </w:rPr>
        <w:t> </w:t>
      </w:r>
      <w:r>
        <w:rPr>
          <w:color w:val="231F20"/>
        </w:rPr>
        <w:t>ha</w:t>
      </w:r>
      <w:r>
        <w:rPr>
          <w:color w:val="231F20"/>
          <w:spacing w:val="-8"/>
        </w:rPr>
        <w:t> </w:t>
      </w:r>
      <w:r>
        <w:rPr>
          <w:color w:val="231F20"/>
        </w:rPr>
        <w:t>impulsado</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finali- dad</w:t>
      </w:r>
      <w:r>
        <w:rPr>
          <w:color w:val="231F20"/>
          <w:spacing w:val="-9"/>
        </w:rPr>
        <w:t> </w:t>
      </w:r>
      <w:r>
        <w:rPr>
          <w:color w:val="231F20"/>
        </w:rPr>
        <w:t>de</w:t>
      </w:r>
      <w:r>
        <w:rPr>
          <w:color w:val="231F20"/>
          <w:spacing w:val="-9"/>
        </w:rPr>
        <w:t> </w:t>
      </w:r>
      <w:r>
        <w:rPr>
          <w:color w:val="231F20"/>
        </w:rPr>
        <w:t>crear</w:t>
      </w:r>
      <w:r>
        <w:rPr>
          <w:color w:val="231F20"/>
          <w:spacing w:val="-9"/>
        </w:rPr>
        <w:t> </w:t>
      </w:r>
      <w:r>
        <w:rPr>
          <w:color w:val="231F20"/>
        </w:rPr>
        <w:t>sus</w:t>
      </w:r>
      <w:r>
        <w:rPr>
          <w:color w:val="231F20"/>
          <w:spacing w:val="-9"/>
        </w:rPr>
        <w:t> </w:t>
      </w:r>
      <w:r>
        <w:rPr>
          <w:color w:val="231F20"/>
        </w:rPr>
        <w:t>marcas</w:t>
      </w:r>
      <w:r>
        <w:rPr>
          <w:color w:val="231F20"/>
          <w:spacing w:val="-9"/>
        </w:rPr>
        <w:t> </w:t>
      </w:r>
      <w:r>
        <w:rPr>
          <w:color w:val="231F20"/>
        </w:rPr>
        <w:t>propias,</w:t>
      </w:r>
      <w:r>
        <w:rPr>
          <w:color w:val="231F20"/>
          <w:spacing w:val="-9"/>
        </w:rPr>
        <w:t> </w:t>
      </w:r>
      <w:r>
        <w:rPr>
          <w:color w:val="231F20"/>
        </w:rPr>
        <w:t>que</w:t>
      </w:r>
      <w:r>
        <w:rPr>
          <w:color w:val="231F20"/>
          <w:spacing w:val="-9"/>
        </w:rPr>
        <w:t> </w:t>
      </w:r>
      <w:r>
        <w:rPr>
          <w:color w:val="231F20"/>
        </w:rPr>
        <w:t>poco</w:t>
      </w:r>
      <w:r>
        <w:rPr>
          <w:color w:val="231F20"/>
          <w:spacing w:val="-9"/>
        </w:rPr>
        <w:t> </w:t>
      </w:r>
      <w:r>
        <w:rPr>
          <w:color w:val="231F20"/>
        </w:rPr>
        <w:t>a</w:t>
      </w:r>
      <w:r>
        <w:rPr>
          <w:color w:val="231F20"/>
          <w:spacing w:val="-9"/>
        </w:rPr>
        <w:t> </w:t>
      </w:r>
      <w:r>
        <w:rPr>
          <w:color w:val="231F20"/>
        </w:rPr>
        <w:t>poco</w:t>
      </w:r>
      <w:r>
        <w:rPr>
          <w:color w:val="231F20"/>
          <w:spacing w:val="-9"/>
        </w:rPr>
        <w:t> </w:t>
      </w:r>
      <w:r>
        <w:rPr>
          <w:color w:val="231F20"/>
        </w:rPr>
        <w:t>se</w:t>
      </w:r>
      <w:r>
        <w:rPr>
          <w:color w:val="231F20"/>
          <w:spacing w:val="-9"/>
        </w:rPr>
        <w:t> </w:t>
      </w:r>
      <w:r>
        <w:rPr>
          <w:color w:val="231F20"/>
        </w:rPr>
        <w:t>van</w:t>
      </w:r>
      <w:r>
        <w:rPr>
          <w:color w:val="231F20"/>
          <w:spacing w:val="-9"/>
        </w:rPr>
        <w:t> </w:t>
      </w:r>
      <w:r>
        <w:rPr>
          <w:color w:val="231F20"/>
        </w:rPr>
        <w:t>posicionando</w:t>
      </w:r>
      <w:r>
        <w:rPr>
          <w:color w:val="231F20"/>
          <w:spacing w:val="-9"/>
        </w:rPr>
        <w:t> </w:t>
      </w:r>
      <w:r>
        <w:rPr>
          <w:color w:val="231F20"/>
        </w:rPr>
        <w:t>en</w:t>
      </w:r>
      <w:r>
        <w:rPr>
          <w:color w:val="231F20"/>
          <w:spacing w:val="-9"/>
        </w:rPr>
        <w:t> </w:t>
      </w:r>
      <w:r>
        <w:rPr>
          <w:color w:val="231F20"/>
        </w:rPr>
        <w:t>los</w:t>
      </w:r>
      <w:r>
        <w:rPr>
          <w:color w:val="231F20"/>
          <w:spacing w:val="-9"/>
        </w:rPr>
        <w:t> </w:t>
      </w:r>
      <w:r>
        <w:rPr>
          <w:color w:val="231F20"/>
        </w:rPr>
        <w:t>mercados internacionales. Este desarrollo está lejos de ser un parámetro que defina al sector au- tomotriz en México, a pesar de que esta industria tiene mucha más trayectoria en este país que en</w:t>
      </w:r>
      <w:r>
        <w:rPr>
          <w:color w:val="231F20"/>
          <w:spacing w:val="-3"/>
        </w:rPr>
        <w:t> </w:t>
      </w:r>
      <w:r>
        <w:rPr>
          <w:color w:val="231F20"/>
        </w:rPr>
        <w:t>China.</w:t>
      </w:r>
    </w:p>
    <w:p>
      <w:pPr>
        <w:spacing w:after="0" w:line="278" w:lineRule="auto"/>
        <w:jc w:val="both"/>
        <w:sectPr>
          <w:headerReference w:type="even" r:id="rId353"/>
          <w:headerReference w:type="default" r:id="rId354"/>
          <w:footerReference w:type="even" r:id="rId355"/>
          <w:footerReference w:type="default" r:id="rId356"/>
          <w:pgSz w:w="9640" w:h="13040"/>
          <w:pgMar w:header="581" w:footer="654" w:top="780" w:bottom="840" w:left="420" w:right="1200"/>
          <w:pgNumType w:start="134"/>
        </w:sectPr>
      </w:pPr>
    </w:p>
    <w:p>
      <w:pPr>
        <w:pStyle w:val="BodyText"/>
        <w:rPr>
          <w:sz w:val="20"/>
        </w:rPr>
      </w:pPr>
    </w:p>
    <w:p>
      <w:pPr>
        <w:pStyle w:val="BodyText"/>
        <w:spacing w:before="10"/>
        <w:rPr>
          <w:sz w:val="17"/>
        </w:rPr>
      </w:pPr>
    </w:p>
    <w:p>
      <w:pPr>
        <w:pStyle w:val="BodyText"/>
        <w:spacing w:line="278" w:lineRule="auto"/>
        <w:ind w:left="103" w:right="712" w:firstLine="396"/>
        <w:jc w:val="both"/>
      </w:pPr>
      <w:r>
        <w:rPr>
          <w:color w:val="231F20"/>
        </w:rPr>
        <w:t>A</w:t>
      </w:r>
      <w:r>
        <w:rPr>
          <w:color w:val="231F20"/>
          <w:spacing w:val="-5"/>
        </w:rPr>
        <w:t> </w:t>
      </w:r>
      <w:r>
        <w:rPr>
          <w:color w:val="231F20"/>
        </w:rPr>
        <w:t>continuación</w:t>
      </w:r>
      <w:r>
        <w:rPr>
          <w:color w:val="231F20"/>
          <w:spacing w:val="-5"/>
        </w:rPr>
        <w:t> </w:t>
      </w:r>
      <w:r>
        <w:rPr>
          <w:color w:val="231F20"/>
        </w:rPr>
        <w:t>se</w:t>
      </w:r>
      <w:r>
        <w:rPr>
          <w:color w:val="231F20"/>
          <w:spacing w:val="-5"/>
        </w:rPr>
        <w:t> </w:t>
      </w:r>
      <w:r>
        <w:rPr>
          <w:color w:val="231F20"/>
        </w:rPr>
        <w:t>exponen</w:t>
      </w:r>
      <w:r>
        <w:rPr>
          <w:color w:val="231F20"/>
          <w:spacing w:val="-5"/>
        </w:rPr>
        <w:t> </w:t>
      </w:r>
      <w:r>
        <w:rPr>
          <w:color w:val="231F20"/>
        </w:rPr>
        <w:t>las</w:t>
      </w:r>
      <w:r>
        <w:rPr>
          <w:color w:val="231F20"/>
          <w:spacing w:val="-5"/>
        </w:rPr>
        <w:t> </w:t>
      </w:r>
      <w:r>
        <w:rPr>
          <w:color w:val="231F20"/>
        </w:rPr>
        <w:t>conclusiones</w:t>
      </w:r>
      <w:r>
        <w:rPr>
          <w:color w:val="231F20"/>
          <w:spacing w:val="-5"/>
        </w:rPr>
        <w:t> </w:t>
      </w:r>
      <w:r>
        <w:rPr>
          <w:color w:val="231F20"/>
        </w:rPr>
        <w:t>respecto</w:t>
      </w:r>
      <w:r>
        <w:rPr>
          <w:color w:val="231F20"/>
          <w:spacing w:val="-5"/>
        </w:rPr>
        <w:t> </w:t>
      </w:r>
      <w:r>
        <w:rPr>
          <w:color w:val="231F20"/>
        </w:rPr>
        <w:t>al</w:t>
      </w:r>
      <w:r>
        <w:rPr>
          <w:color w:val="231F20"/>
          <w:spacing w:val="-5"/>
        </w:rPr>
        <w:t> </w:t>
      </w:r>
      <w:r>
        <w:rPr>
          <w:color w:val="231F20"/>
        </w:rPr>
        <w:t>sector</w:t>
      </w:r>
      <w:r>
        <w:rPr>
          <w:color w:val="231F20"/>
          <w:spacing w:val="-5"/>
        </w:rPr>
        <w:t> </w:t>
      </w:r>
      <w:r>
        <w:rPr>
          <w:color w:val="231F20"/>
        </w:rPr>
        <w:t>automotriz</w:t>
      </w:r>
      <w:r>
        <w:rPr>
          <w:color w:val="231F20"/>
          <w:spacing w:val="-5"/>
        </w:rPr>
        <w:t> </w:t>
      </w:r>
      <w:r>
        <w:rPr>
          <w:color w:val="231F20"/>
        </w:rPr>
        <w:t>en</w:t>
      </w:r>
      <w:r>
        <w:rPr>
          <w:color w:val="231F20"/>
          <w:spacing w:val="-5"/>
        </w:rPr>
        <w:t> </w:t>
      </w:r>
      <w:r>
        <w:rPr>
          <w:color w:val="231F20"/>
        </w:rPr>
        <w:t>Mé- xico</w:t>
      </w:r>
      <w:r>
        <w:rPr>
          <w:color w:val="231F20"/>
          <w:spacing w:val="-15"/>
        </w:rPr>
        <w:t> </w:t>
      </w:r>
      <w:r>
        <w:rPr>
          <w:color w:val="231F20"/>
        </w:rPr>
        <w:t>y</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Estado</w:t>
      </w:r>
      <w:r>
        <w:rPr>
          <w:color w:val="231F20"/>
          <w:spacing w:val="-15"/>
        </w:rPr>
        <w:t> </w:t>
      </w:r>
      <w:r>
        <w:rPr>
          <w:color w:val="231F20"/>
        </w:rPr>
        <w:t>de</w:t>
      </w:r>
      <w:r>
        <w:rPr>
          <w:color w:val="231F20"/>
          <w:spacing w:val="-15"/>
        </w:rPr>
        <w:t> </w:t>
      </w:r>
      <w:r>
        <w:rPr>
          <w:color w:val="231F20"/>
        </w:rPr>
        <w:t>México.</w:t>
      </w:r>
    </w:p>
    <w:p>
      <w:pPr>
        <w:pStyle w:val="BodyText"/>
        <w:spacing w:line="278" w:lineRule="auto" w:before="1"/>
        <w:ind w:left="103" w:right="711" w:firstLine="396"/>
        <w:jc w:val="both"/>
      </w:pPr>
      <w:r>
        <w:rPr>
          <w:color w:val="231F20"/>
        </w:rPr>
        <w:t>Es cierto que la industria automotriz en México representa una de las actividades más</w:t>
      </w:r>
      <w:r>
        <w:rPr>
          <w:color w:val="231F20"/>
          <w:spacing w:val="-15"/>
        </w:rPr>
        <w:t> </w:t>
      </w:r>
      <w:r>
        <w:rPr>
          <w:color w:val="231F20"/>
        </w:rPr>
        <w:t>relevantes</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economía</w:t>
      </w:r>
      <w:r>
        <w:rPr>
          <w:color w:val="231F20"/>
          <w:spacing w:val="-15"/>
        </w:rPr>
        <w:t> </w:t>
      </w:r>
      <w:r>
        <w:rPr>
          <w:color w:val="231F20"/>
        </w:rPr>
        <w:t>nacional</w:t>
      </w:r>
      <w:r>
        <w:rPr>
          <w:color w:val="231F20"/>
          <w:spacing w:val="-15"/>
        </w:rPr>
        <w:t> </w:t>
      </w:r>
      <w:r>
        <w:rPr>
          <w:color w:val="231F20"/>
        </w:rPr>
        <w:t>por</w:t>
      </w:r>
      <w:r>
        <w:rPr>
          <w:color w:val="231F20"/>
          <w:spacing w:val="-15"/>
        </w:rPr>
        <w:t> </w:t>
      </w:r>
      <w:r>
        <w:rPr>
          <w:color w:val="231F20"/>
        </w:rPr>
        <w:t>los</w:t>
      </w:r>
      <w:r>
        <w:rPr>
          <w:color w:val="231F20"/>
          <w:spacing w:val="-15"/>
        </w:rPr>
        <w:t> </w:t>
      </w:r>
      <w:r>
        <w:rPr>
          <w:color w:val="231F20"/>
        </w:rPr>
        <w:t>empleos,</w:t>
      </w:r>
      <w:r>
        <w:rPr>
          <w:color w:val="231F20"/>
          <w:spacing w:val="-15"/>
        </w:rPr>
        <w:t> </w:t>
      </w:r>
      <w:r>
        <w:rPr>
          <w:color w:val="231F20"/>
        </w:rPr>
        <w:t>servicios</w:t>
      </w:r>
      <w:r>
        <w:rPr>
          <w:color w:val="231F20"/>
          <w:spacing w:val="-15"/>
        </w:rPr>
        <w:t> </w:t>
      </w:r>
      <w:r>
        <w:rPr>
          <w:color w:val="231F20"/>
        </w:rPr>
        <w:t>y</w:t>
      </w:r>
      <w:r>
        <w:rPr>
          <w:color w:val="231F20"/>
          <w:spacing w:val="-15"/>
        </w:rPr>
        <w:t> </w:t>
      </w:r>
      <w:r>
        <w:rPr>
          <w:color w:val="231F20"/>
        </w:rPr>
        <w:t>productos</w:t>
      </w:r>
      <w:r>
        <w:rPr>
          <w:color w:val="231F20"/>
          <w:spacing w:val="-15"/>
        </w:rPr>
        <w:t> </w:t>
      </w:r>
      <w:r>
        <w:rPr>
          <w:color w:val="231F20"/>
        </w:rPr>
        <w:t>que</w:t>
      </w:r>
      <w:r>
        <w:rPr>
          <w:color w:val="231F20"/>
          <w:spacing w:val="-15"/>
        </w:rPr>
        <w:t> </w:t>
      </w:r>
      <w:r>
        <w:rPr>
          <w:color w:val="231F20"/>
        </w:rPr>
        <w:t>de ella</w:t>
      </w:r>
      <w:r>
        <w:rPr>
          <w:color w:val="231F20"/>
          <w:spacing w:val="-8"/>
        </w:rPr>
        <w:t> </w:t>
      </w:r>
      <w:r>
        <w:rPr>
          <w:color w:val="231F20"/>
        </w:rPr>
        <w:t>se</w:t>
      </w:r>
      <w:r>
        <w:rPr>
          <w:color w:val="231F20"/>
          <w:spacing w:val="-8"/>
        </w:rPr>
        <w:t> </w:t>
      </w:r>
      <w:r>
        <w:rPr>
          <w:color w:val="231F20"/>
        </w:rPr>
        <w:t>derivan,</w:t>
      </w:r>
      <w:r>
        <w:rPr>
          <w:color w:val="231F20"/>
          <w:spacing w:val="-8"/>
        </w:rPr>
        <w:t> </w:t>
      </w:r>
      <w:r>
        <w:rPr>
          <w:color w:val="231F20"/>
        </w:rPr>
        <w:t>por</w:t>
      </w:r>
      <w:r>
        <w:rPr>
          <w:color w:val="231F20"/>
          <w:spacing w:val="-8"/>
        </w:rPr>
        <w:t> </w:t>
      </w:r>
      <w:r>
        <w:rPr>
          <w:color w:val="231F20"/>
        </w:rPr>
        <w:t>su</w:t>
      </w:r>
      <w:r>
        <w:rPr>
          <w:color w:val="231F20"/>
          <w:spacing w:val="-8"/>
        </w:rPr>
        <w:t> </w:t>
      </w:r>
      <w:r>
        <w:rPr>
          <w:color w:val="231F20"/>
        </w:rPr>
        <w:t>aportación</w:t>
      </w:r>
      <w:r>
        <w:rPr>
          <w:color w:val="231F20"/>
          <w:spacing w:val="-8"/>
        </w:rPr>
        <w:t> </w:t>
      </w:r>
      <w:r>
        <w:rPr>
          <w:color w:val="231F20"/>
        </w:rPr>
        <w:t>al</w:t>
      </w:r>
      <w:r>
        <w:rPr>
          <w:color w:val="231F20"/>
          <w:spacing w:val="-8"/>
        </w:rPr>
        <w:t> </w:t>
      </w:r>
      <w:r>
        <w:rPr>
          <w:color w:val="231F20"/>
        </w:rPr>
        <w:t>PIB</w:t>
      </w:r>
      <w:r>
        <w:rPr>
          <w:color w:val="231F20"/>
          <w:spacing w:val="-8"/>
        </w:rPr>
        <w:t> </w:t>
      </w:r>
      <w:r>
        <w:rPr>
          <w:color w:val="231F20"/>
        </w:rPr>
        <w:t>nacional</w:t>
      </w:r>
      <w:r>
        <w:rPr>
          <w:color w:val="231F20"/>
          <w:spacing w:val="-8"/>
        </w:rPr>
        <w:t> </w:t>
      </w:r>
      <w:r>
        <w:rPr>
          <w:color w:val="231F20"/>
        </w:rPr>
        <w:t>total</w:t>
      </w:r>
      <w:r>
        <w:rPr>
          <w:color w:val="231F20"/>
          <w:spacing w:val="-8"/>
        </w:rPr>
        <w:t> </w:t>
      </w:r>
      <w:r>
        <w:rPr>
          <w:color w:val="231F20"/>
        </w:rPr>
        <w:t>y</w:t>
      </w:r>
      <w:r>
        <w:rPr>
          <w:color w:val="231F20"/>
          <w:spacing w:val="-8"/>
        </w:rPr>
        <w:t> </w:t>
      </w:r>
      <w:r>
        <w:rPr>
          <w:color w:val="231F20"/>
        </w:rPr>
        <w:t>al</w:t>
      </w:r>
      <w:r>
        <w:rPr>
          <w:color w:val="231F20"/>
          <w:spacing w:val="-8"/>
        </w:rPr>
        <w:t> </w:t>
      </w:r>
      <w:r>
        <w:rPr>
          <w:color w:val="231F20"/>
        </w:rPr>
        <w:t>manufacturero</w:t>
      </w:r>
      <w:r>
        <w:rPr>
          <w:color w:val="231F20"/>
          <w:spacing w:val="-8"/>
        </w:rPr>
        <w:t> </w:t>
      </w:r>
      <w:r>
        <w:rPr>
          <w:color w:val="231F20"/>
        </w:rPr>
        <w:t>y</w:t>
      </w:r>
      <w:r>
        <w:rPr>
          <w:color w:val="231F20"/>
          <w:spacing w:val="-8"/>
        </w:rPr>
        <w:t> </w:t>
      </w:r>
      <w:r>
        <w:rPr>
          <w:color w:val="231F20"/>
        </w:rPr>
        <w:t>por</w:t>
      </w:r>
      <w:r>
        <w:rPr>
          <w:color w:val="231F20"/>
          <w:spacing w:val="-8"/>
        </w:rPr>
        <w:t> </w:t>
      </w:r>
      <w:r>
        <w:rPr>
          <w:color w:val="231F20"/>
        </w:rPr>
        <w:t>los</w:t>
      </w:r>
      <w:r>
        <w:rPr>
          <w:color w:val="231F20"/>
          <w:spacing w:val="-8"/>
        </w:rPr>
        <w:t> </w:t>
      </w:r>
      <w:r>
        <w:rPr>
          <w:color w:val="231F20"/>
        </w:rPr>
        <w:t>en- cadenamientos con otras actividades productivas. </w:t>
      </w:r>
      <w:r>
        <w:rPr>
          <w:color w:val="231F20"/>
          <w:spacing w:val="-4"/>
        </w:rPr>
        <w:t>Por </w:t>
      </w:r>
      <w:r>
        <w:rPr>
          <w:color w:val="231F20"/>
        </w:rPr>
        <w:t>estas virtudes, también es </w:t>
      </w:r>
      <w:r>
        <w:rPr>
          <w:color w:val="231F20"/>
          <w:spacing w:val="-2"/>
        </w:rPr>
        <w:t>muy </w:t>
      </w:r>
      <w:r>
        <w:rPr>
          <w:color w:val="231F20"/>
        </w:rPr>
        <w:t>importante</w:t>
      </w:r>
      <w:r>
        <w:rPr>
          <w:color w:val="231F20"/>
          <w:spacing w:val="-5"/>
        </w:rPr>
        <w:t> </w:t>
      </w:r>
      <w:r>
        <w:rPr>
          <w:color w:val="231F20"/>
        </w:rPr>
        <w:t>para</w:t>
      </w:r>
      <w:r>
        <w:rPr>
          <w:color w:val="231F20"/>
          <w:spacing w:val="-5"/>
        </w:rPr>
        <w:t> </w:t>
      </w:r>
      <w:r>
        <w:rPr>
          <w:color w:val="231F20"/>
        </w:rPr>
        <w:t>la</w:t>
      </w:r>
      <w:r>
        <w:rPr>
          <w:color w:val="231F20"/>
          <w:spacing w:val="-5"/>
        </w:rPr>
        <w:t> </w:t>
      </w:r>
      <w:r>
        <w:rPr>
          <w:color w:val="231F20"/>
        </w:rPr>
        <w:t>actividad</w:t>
      </w:r>
      <w:r>
        <w:rPr>
          <w:color w:val="231F20"/>
          <w:spacing w:val="-5"/>
        </w:rPr>
        <w:t> </w:t>
      </w:r>
      <w:r>
        <w:rPr>
          <w:color w:val="231F20"/>
        </w:rPr>
        <w:t>económica</w:t>
      </w:r>
      <w:r>
        <w:rPr>
          <w:color w:val="231F20"/>
          <w:spacing w:val="-5"/>
        </w:rPr>
        <w:t> </w:t>
      </w:r>
      <w:r>
        <w:rPr>
          <w:color w:val="231F20"/>
        </w:rPr>
        <w:t>en</w:t>
      </w:r>
      <w:r>
        <w:rPr>
          <w:color w:val="231F20"/>
          <w:spacing w:val="-5"/>
        </w:rPr>
        <w:t> </w:t>
      </w:r>
      <w:r>
        <w:rPr>
          <w:color w:val="231F20"/>
        </w:rPr>
        <w:t>el</w:t>
      </w:r>
      <w:r>
        <w:rPr>
          <w:color w:val="231F20"/>
          <w:spacing w:val="-5"/>
        </w:rPr>
        <w:t> </w:t>
      </w:r>
      <w:r>
        <w:rPr>
          <w:color w:val="231F20"/>
        </w:rPr>
        <w:t>Estado</w:t>
      </w:r>
      <w:r>
        <w:rPr>
          <w:color w:val="231F20"/>
          <w:spacing w:val="-5"/>
        </w:rPr>
        <w:t> </w:t>
      </w:r>
      <w:r>
        <w:rPr>
          <w:color w:val="231F20"/>
        </w:rPr>
        <w:t>de</w:t>
      </w:r>
      <w:r>
        <w:rPr>
          <w:color w:val="231F20"/>
          <w:spacing w:val="-5"/>
        </w:rPr>
        <w:t> </w:t>
      </w:r>
      <w:r>
        <w:rPr>
          <w:color w:val="231F20"/>
        </w:rPr>
        <w:t>México,</w:t>
      </w:r>
      <w:r>
        <w:rPr>
          <w:color w:val="231F20"/>
          <w:spacing w:val="-5"/>
        </w:rPr>
        <w:t> </w:t>
      </w:r>
      <w:r>
        <w:rPr>
          <w:color w:val="231F20"/>
        </w:rPr>
        <w:t>aunque</w:t>
      </w:r>
      <w:r>
        <w:rPr>
          <w:color w:val="231F20"/>
          <w:spacing w:val="-5"/>
        </w:rPr>
        <w:t> </w:t>
      </w:r>
      <w:r>
        <w:rPr>
          <w:color w:val="231F20"/>
        </w:rPr>
        <w:t>se</w:t>
      </w:r>
      <w:r>
        <w:rPr>
          <w:color w:val="231F20"/>
          <w:spacing w:val="-5"/>
        </w:rPr>
        <w:t> </w:t>
      </w:r>
      <w:r>
        <w:rPr>
          <w:color w:val="231F20"/>
        </w:rPr>
        <w:t>deben</w:t>
      </w:r>
      <w:r>
        <w:rPr>
          <w:color w:val="231F20"/>
          <w:spacing w:val="-5"/>
        </w:rPr>
        <w:t> </w:t>
      </w:r>
      <w:r>
        <w:rPr>
          <w:color w:val="231F20"/>
        </w:rPr>
        <w:t>des- tacar</w:t>
      </w:r>
      <w:r>
        <w:rPr>
          <w:color w:val="231F20"/>
          <w:spacing w:val="-9"/>
        </w:rPr>
        <w:t> </w:t>
      </w:r>
      <w:r>
        <w:rPr>
          <w:color w:val="231F20"/>
        </w:rPr>
        <w:t>algunas</w:t>
      </w:r>
      <w:r>
        <w:rPr>
          <w:color w:val="231F20"/>
          <w:spacing w:val="-9"/>
        </w:rPr>
        <w:t> </w:t>
      </w:r>
      <w:r>
        <w:rPr>
          <w:color w:val="231F20"/>
        </w:rPr>
        <w:t>características</w:t>
      </w:r>
      <w:r>
        <w:rPr>
          <w:color w:val="231F20"/>
          <w:spacing w:val="-9"/>
        </w:rPr>
        <w:t> </w:t>
      </w:r>
      <w:r>
        <w:rPr>
          <w:color w:val="231F20"/>
        </w:rPr>
        <w:t>del</w:t>
      </w:r>
      <w:r>
        <w:rPr>
          <w:color w:val="231F20"/>
          <w:spacing w:val="-9"/>
        </w:rPr>
        <w:t> </w:t>
      </w:r>
      <w:r>
        <w:rPr>
          <w:color w:val="231F20"/>
        </w:rPr>
        <w:t>sector</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entidad</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rPr>
        <w:t>país</w:t>
      </w:r>
      <w:r>
        <w:rPr>
          <w:color w:val="231F20"/>
          <w:spacing w:val="-9"/>
        </w:rPr>
        <w:t> </w:t>
      </w:r>
      <w:r>
        <w:rPr>
          <w:color w:val="231F20"/>
        </w:rPr>
        <w:t>que</w:t>
      </w:r>
      <w:r>
        <w:rPr>
          <w:color w:val="231F20"/>
          <w:spacing w:val="-9"/>
        </w:rPr>
        <w:t> </w:t>
      </w:r>
      <w:r>
        <w:rPr>
          <w:color w:val="231F20"/>
        </w:rPr>
        <w:t>en</w:t>
      </w:r>
      <w:r>
        <w:rPr>
          <w:color w:val="231F20"/>
          <w:spacing w:val="-9"/>
        </w:rPr>
        <w:t> </w:t>
      </w:r>
      <w:r>
        <w:rPr>
          <w:color w:val="231F20"/>
        </w:rPr>
        <w:t>algún</w:t>
      </w:r>
      <w:r>
        <w:rPr>
          <w:color w:val="231F20"/>
          <w:spacing w:val="-9"/>
        </w:rPr>
        <w:t> </w:t>
      </w:r>
      <w:r>
        <w:rPr>
          <w:color w:val="231F20"/>
        </w:rPr>
        <w:t>momento podrían cuestionar su impacto en el crecimiento económico de la</w:t>
      </w:r>
      <w:r>
        <w:rPr>
          <w:color w:val="231F20"/>
          <w:spacing w:val="5"/>
        </w:rPr>
        <w:t> </w:t>
      </w:r>
      <w:r>
        <w:rPr>
          <w:color w:val="231F20"/>
        </w:rPr>
        <w:t>nación.</w:t>
      </w:r>
    </w:p>
    <w:p>
      <w:pPr>
        <w:pStyle w:val="BodyText"/>
        <w:spacing w:line="278" w:lineRule="auto" w:before="1"/>
        <w:ind w:left="103" w:right="710" w:firstLine="396"/>
        <w:jc w:val="both"/>
      </w:pPr>
      <w:r>
        <w:rPr>
          <w:color w:val="231F20"/>
        </w:rPr>
        <w:t>Primero, a pesar del largo camino que tiene recorrido la industria automotriz en México (comenzó cerca de noventa años atrás, cuando </w:t>
      </w:r>
      <w:r>
        <w:rPr>
          <w:color w:val="231F20"/>
          <w:spacing w:val="-3"/>
        </w:rPr>
        <w:t>Ford </w:t>
      </w:r>
      <w:r>
        <w:rPr>
          <w:color w:val="231F20"/>
        </w:rPr>
        <w:t>llega a nuestro país), aún no se ha logrado conformar un sector automotriz mexicano, con una mayor parti- cipación del capital nacional; es </w:t>
      </w:r>
      <w:r>
        <w:rPr>
          <w:color w:val="231F20"/>
          <w:spacing w:val="-3"/>
        </w:rPr>
        <w:t>decir, </w:t>
      </w:r>
      <w:r>
        <w:rPr>
          <w:color w:val="231F20"/>
        </w:rPr>
        <w:t>a la fecha no existe una industria automotriz mexicana</w:t>
      </w:r>
      <w:r>
        <w:rPr>
          <w:color w:val="231F20"/>
          <w:spacing w:val="-7"/>
        </w:rPr>
        <w:t> </w:t>
      </w:r>
      <w:r>
        <w:rPr>
          <w:color w:val="231F20"/>
        </w:rPr>
        <w:t>como</w:t>
      </w:r>
      <w:r>
        <w:rPr>
          <w:color w:val="231F20"/>
          <w:spacing w:val="-7"/>
        </w:rPr>
        <w:t> </w:t>
      </w:r>
      <w:r>
        <w:rPr>
          <w:color w:val="231F20"/>
        </w:rPr>
        <w:t>tal.</w:t>
      </w:r>
      <w:r>
        <w:rPr>
          <w:color w:val="231F20"/>
          <w:spacing w:val="-7"/>
        </w:rPr>
        <w:t> </w:t>
      </w:r>
      <w:r>
        <w:rPr>
          <w:color w:val="231F20"/>
        </w:rPr>
        <w:t>Las</w:t>
      </w:r>
      <w:r>
        <w:rPr>
          <w:color w:val="231F20"/>
          <w:spacing w:val="-7"/>
        </w:rPr>
        <w:t> </w:t>
      </w:r>
      <w:r>
        <w:rPr>
          <w:color w:val="231F20"/>
        </w:rPr>
        <w:t>armadoras</w:t>
      </w:r>
      <w:r>
        <w:rPr>
          <w:color w:val="231F20"/>
          <w:spacing w:val="-7"/>
        </w:rPr>
        <w:t> </w:t>
      </w:r>
      <w:r>
        <w:rPr>
          <w:color w:val="231F20"/>
        </w:rPr>
        <w:t>que</w:t>
      </w:r>
      <w:r>
        <w:rPr>
          <w:color w:val="231F20"/>
          <w:spacing w:val="-7"/>
        </w:rPr>
        <w:t> </w:t>
      </w:r>
      <w:r>
        <w:rPr>
          <w:color w:val="231F20"/>
        </w:rPr>
        <w:t>se</w:t>
      </w:r>
      <w:r>
        <w:rPr>
          <w:color w:val="231F20"/>
          <w:spacing w:val="-7"/>
        </w:rPr>
        <w:t> </w:t>
      </w:r>
      <w:r>
        <w:rPr>
          <w:color w:val="231F20"/>
        </w:rPr>
        <w:t>localizan</w:t>
      </w:r>
      <w:r>
        <w:rPr>
          <w:color w:val="231F20"/>
          <w:spacing w:val="-7"/>
        </w:rPr>
        <w:t> </w:t>
      </w:r>
      <w:r>
        <w:rPr>
          <w:color w:val="231F20"/>
        </w:rPr>
        <w:t>en</w:t>
      </w:r>
      <w:r>
        <w:rPr>
          <w:color w:val="231F20"/>
          <w:spacing w:val="-7"/>
        </w:rPr>
        <w:t> </w:t>
      </w:r>
      <w:r>
        <w:rPr>
          <w:color w:val="231F20"/>
        </w:rPr>
        <w:t>este</w:t>
      </w:r>
      <w:r>
        <w:rPr>
          <w:color w:val="231F20"/>
          <w:spacing w:val="-7"/>
        </w:rPr>
        <w:t> </w:t>
      </w:r>
      <w:r>
        <w:rPr>
          <w:color w:val="231F20"/>
        </w:rPr>
        <w:t>país</w:t>
      </w:r>
      <w:r>
        <w:rPr>
          <w:color w:val="231F20"/>
          <w:spacing w:val="-7"/>
        </w:rPr>
        <w:t> </w:t>
      </w:r>
      <w:r>
        <w:rPr>
          <w:color w:val="231F20"/>
        </w:rPr>
        <w:t>son</w:t>
      </w:r>
      <w:r>
        <w:rPr>
          <w:color w:val="231F20"/>
          <w:spacing w:val="-7"/>
        </w:rPr>
        <w:t> </w:t>
      </w:r>
      <w:r>
        <w:rPr>
          <w:color w:val="231F20"/>
        </w:rPr>
        <w:t>de</w:t>
      </w:r>
      <w:r>
        <w:rPr>
          <w:color w:val="231F20"/>
          <w:spacing w:val="-7"/>
        </w:rPr>
        <w:t> </w:t>
      </w:r>
      <w:r>
        <w:rPr>
          <w:color w:val="231F20"/>
        </w:rPr>
        <w:t>capital</w:t>
      </w:r>
      <w:r>
        <w:rPr>
          <w:color w:val="231F20"/>
          <w:spacing w:val="-7"/>
        </w:rPr>
        <w:t> </w:t>
      </w:r>
      <w:r>
        <w:rPr>
          <w:color w:val="231F20"/>
        </w:rPr>
        <w:t>cien</w:t>
      </w:r>
      <w:r>
        <w:rPr>
          <w:color w:val="231F20"/>
          <w:spacing w:val="-7"/>
        </w:rPr>
        <w:t> </w:t>
      </w:r>
      <w:r>
        <w:rPr>
          <w:color w:val="231F20"/>
        </w:rPr>
        <w:t>por ciento extranjero y en el </w:t>
      </w:r>
      <w:r>
        <w:rPr>
          <w:color w:val="231F20"/>
          <w:spacing w:val="-3"/>
        </w:rPr>
        <w:t>ámbito </w:t>
      </w:r>
      <w:r>
        <w:rPr>
          <w:color w:val="231F20"/>
        </w:rPr>
        <w:t>de las autopartes la mayoría de las empresas también lo son</w:t>
      </w:r>
      <w:r>
        <w:rPr>
          <w:color w:val="231F20"/>
          <w:spacing w:val="-32"/>
        </w:rPr>
        <w:t> </w:t>
      </w:r>
      <w:r>
        <w:rPr>
          <w:color w:val="231F20"/>
        </w:rPr>
        <w:t>(70%).</w:t>
      </w:r>
    </w:p>
    <w:p>
      <w:pPr>
        <w:pStyle w:val="BodyText"/>
        <w:spacing w:line="260" w:lineRule="exact"/>
        <w:ind w:left="103" w:firstLine="396"/>
        <w:jc w:val="both"/>
      </w:pPr>
      <w:r>
        <w:rPr>
          <w:color w:val="231F20"/>
        </w:rPr>
        <w:t>En este sentido, las oportunidades de </w:t>
      </w:r>
      <w:r>
        <w:rPr>
          <w:rFonts w:ascii="Palatino Linotype"/>
          <w:i/>
          <w:color w:val="231F20"/>
        </w:rPr>
        <w:t>upgrading </w:t>
      </w:r>
      <w:r>
        <w:rPr>
          <w:color w:val="231F20"/>
        </w:rPr>
        <w:t>o escalamiento para las  empre-</w:t>
      </w:r>
    </w:p>
    <w:p>
      <w:pPr>
        <w:pStyle w:val="BodyText"/>
        <w:spacing w:line="278" w:lineRule="auto" w:before="21"/>
        <w:ind w:left="103" w:right="711"/>
        <w:jc w:val="both"/>
      </w:pPr>
      <w:r>
        <w:rPr>
          <w:color w:val="231F20"/>
        </w:rPr>
        <w:t>sas nacionales son escasas. Las grandes transnacionales son quienes lideran la cadena productiva global del sector; toman las decisiones para todo el sector, incluyendo las autopartes; definen precios, estrategias de venta, innovaciones e inversiones; deciden qué competidores pueden entrar (barreras a la entrada); etcétera.</w:t>
      </w:r>
    </w:p>
    <w:p>
      <w:pPr>
        <w:pStyle w:val="BodyText"/>
        <w:spacing w:line="278" w:lineRule="auto" w:before="1"/>
        <w:ind w:left="103" w:right="711" w:firstLine="396"/>
        <w:jc w:val="both"/>
      </w:pPr>
      <w:r>
        <w:rPr>
          <w:color w:val="231F20"/>
        </w:rPr>
        <w:t>Así,</w:t>
      </w:r>
      <w:r>
        <w:rPr>
          <w:color w:val="231F20"/>
          <w:spacing w:val="-14"/>
        </w:rPr>
        <w:t> </w:t>
      </w:r>
      <w:r>
        <w:rPr>
          <w:color w:val="231F20"/>
        </w:rPr>
        <w:t>al</w:t>
      </w:r>
      <w:r>
        <w:rPr>
          <w:color w:val="231F20"/>
          <w:spacing w:val="-14"/>
        </w:rPr>
        <w:t> </w:t>
      </w:r>
      <w:r>
        <w:rPr>
          <w:color w:val="231F20"/>
        </w:rPr>
        <w:t>ser</w:t>
      </w:r>
      <w:r>
        <w:rPr>
          <w:color w:val="231F20"/>
          <w:spacing w:val="-14"/>
        </w:rPr>
        <w:t> </w:t>
      </w:r>
      <w:r>
        <w:rPr>
          <w:color w:val="231F20"/>
        </w:rPr>
        <w:t>las</w:t>
      </w:r>
      <w:r>
        <w:rPr>
          <w:color w:val="231F20"/>
          <w:spacing w:val="-14"/>
        </w:rPr>
        <w:t> </w:t>
      </w:r>
      <w:r>
        <w:rPr>
          <w:color w:val="231F20"/>
        </w:rPr>
        <w:t>grandes</w:t>
      </w:r>
      <w:r>
        <w:rPr>
          <w:color w:val="231F20"/>
          <w:spacing w:val="-14"/>
        </w:rPr>
        <w:t> </w:t>
      </w:r>
      <w:r>
        <w:rPr>
          <w:color w:val="231F20"/>
        </w:rPr>
        <w:t>transnacionales</w:t>
      </w:r>
      <w:r>
        <w:rPr>
          <w:color w:val="231F20"/>
          <w:spacing w:val="-14"/>
        </w:rPr>
        <w:t> </w:t>
      </w:r>
      <w:r>
        <w:rPr>
          <w:color w:val="231F20"/>
        </w:rPr>
        <w:t>las</w:t>
      </w:r>
      <w:r>
        <w:rPr>
          <w:color w:val="231F20"/>
          <w:spacing w:val="-14"/>
        </w:rPr>
        <w:t> </w:t>
      </w:r>
      <w:r>
        <w:rPr>
          <w:color w:val="231F20"/>
        </w:rPr>
        <w:t>que</w:t>
      </w:r>
      <w:r>
        <w:rPr>
          <w:color w:val="231F20"/>
          <w:spacing w:val="-14"/>
        </w:rPr>
        <w:t> </w:t>
      </w:r>
      <w:r>
        <w:rPr>
          <w:color w:val="231F20"/>
        </w:rPr>
        <w:t>deciden</w:t>
      </w:r>
      <w:r>
        <w:rPr>
          <w:color w:val="231F20"/>
          <w:spacing w:val="-14"/>
        </w:rPr>
        <w:t> </w:t>
      </w:r>
      <w:r>
        <w:rPr>
          <w:color w:val="231F20"/>
        </w:rPr>
        <w:t>el</w:t>
      </w:r>
      <w:r>
        <w:rPr>
          <w:color w:val="231F20"/>
          <w:spacing w:val="-14"/>
        </w:rPr>
        <w:t> </w:t>
      </w:r>
      <w:r>
        <w:rPr>
          <w:color w:val="231F20"/>
        </w:rPr>
        <w:t>funcionamiento</w:t>
      </w:r>
      <w:r>
        <w:rPr>
          <w:color w:val="231F20"/>
          <w:spacing w:val="-14"/>
        </w:rPr>
        <w:t> </w:t>
      </w:r>
      <w:r>
        <w:rPr>
          <w:color w:val="231F20"/>
        </w:rPr>
        <w:t>a</w:t>
      </w:r>
      <w:r>
        <w:rPr>
          <w:color w:val="231F20"/>
          <w:spacing w:val="-14"/>
        </w:rPr>
        <w:t> </w:t>
      </w:r>
      <w:r>
        <w:rPr>
          <w:color w:val="231F20"/>
        </w:rPr>
        <w:t>lo</w:t>
      </w:r>
      <w:r>
        <w:rPr>
          <w:color w:val="231F20"/>
          <w:spacing w:val="-14"/>
        </w:rPr>
        <w:t> </w:t>
      </w:r>
      <w:r>
        <w:rPr>
          <w:color w:val="231F20"/>
        </w:rPr>
        <w:t>largo de la cadena, poca oportunidad dan a los inversionistas locales y a los propios terri- torios en cuanto a decisiones relacionadas con el </w:t>
      </w:r>
      <w:r>
        <w:rPr>
          <w:color w:val="231F20"/>
          <w:spacing w:val="-3"/>
        </w:rPr>
        <w:t>sector. </w:t>
      </w:r>
      <w:r>
        <w:rPr>
          <w:color w:val="231F20"/>
        </w:rPr>
        <w:t>Difícilmente permitirán el ingreso</w:t>
      </w:r>
      <w:r>
        <w:rPr>
          <w:color w:val="231F20"/>
          <w:spacing w:val="-12"/>
        </w:rPr>
        <w:t> </w:t>
      </w:r>
      <w:r>
        <w:rPr>
          <w:color w:val="231F20"/>
        </w:rPr>
        <w:t>de</w:t>
      </w:r>
      <w:r>
        <w:rPr>
          <w:color w:val="231F20"/>
          <w:spacing w:val="-12"/>
        </w:rPr>
        <w:t> </w:t>
      </w:r>
      <w:r>
        <w:rPr>
          <w:color w:val="231F20"/>
        </w:rPr>
        <w:t>capitales</w:t>
      </w:r>
      <w:r>
        <w:rPr>
          <w:color w:val="231F20"/>
          <w:spacing w:val="-12"/>
        </w:rPr>
        <w:t> </w:t>
      </w:r>
      <w:r>
        <w:rPr>
          <w:color w:val="231F20"/>
        </w:rPr>
        <w:t>nacionales</w:t>
      </w:r>
      <w:r>
        <w:rPr>
          <w:color w:val="231F20"/>
          <w:spacing w:val="-12"/>
        </w:rPr>
        <w:t> </w:t>
      </w:r>
      <w:r>
        <w:rPr>
          <w:color w:val="231F20"/>
        </w:rPr>
        <w:t>en</w:t>
      </w:r>
      <w:r>
        <w:rPr>
          <w:color w:val="231F20"/>
          <w:spacing w:val="-12"/>
        </w:rPr>
        <w:t> </w:t>
      </w:r>
      <w:r>
        <w:rPr>
          <w:color w:val="231F20"/>
        </w:rPr>
        <w:t>actividades</w:t>
      </w:r>
      <w:r>
        <w:rPr>
          <w:color w:val="231F20"/>
          <w:spacing w:val="-12"/>
        </w:rPr>
        <w:t> </w:t>
      </w:r>
      <w:r>
        <w:rPr>
          <w:color w:val="231F20"/>
        </w:rPr>
        <w:t>estratégicas</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industria,</w:t>
      </w:r>
      <w:r>
        <w:rPr>
          <w:color w:val="231F20"/>
          <w:spacing w:val="-12"/>
        </w:rPr>
        <w:t> </w:t>
      </w:r>
      <w:r>
        <w:rPr>
          <w:color w:val="231F20"/>
        </w:rPr>
        <w:t>por</w:t>
      </w:r>
      <w:r>
        <w:rPr>
          <w:color w:val="231F20"/>
          <w:spacing w:val="-12"/>
        </w:rPr>
        <w:t> </w:t>
      </w:r>
      <w:r>
        <w:rPr>
          <w:color w:val="231F20"/>
        </w:rPr>
        <w:t>lo</w:t>
      </w:r>
      <w:r>
        <w:rPr>
          <w:color w:val="231F20"/>
          <w:spacing w:val="-12"/>
        </w:rPr>
        <w:t> </w:t>
      </w:r>
      <w:r>
        <w:rPr>
          <w:color w:val="231F20"/>
        </w:rPr>
        <w:t>menos en</w:t>
      </w:r>
      <w:r>
        <w:rPr>
          <w:color w:val="231F20"/>
          <w:spacing w:val="-14"/>
        </w:rPr>
        <w:t> </w:t>
      </w:r>
      <w:r>
        <w:rPr>
          <w:color w:val="231F20"/>
        </w:rPr>
        <w:t>el</w:t>
      </w:r>
      <w:r>
        <w:rPr>
          <w:color w:val="231F20"/>
          <w:spacing w:val="-14"/>
        </w:rPr>
        <w:t> </w:t>
      </w:r>
      <w:r>
        <w:rPr>
          <w:color w:val="231F20"/>
        </w:rPr>
        <w:t>caso</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y</w:t>
      </w:r>
      <w:r>
        <w:rPr>
          <w:color w:val="231F20"/>
          <w:spacing w:val="-14"/>
        </w:rPr>
        <w:t> </w:t>
      </w:r>
      <w:r>
        <w:rPr>
          <w:color w:val="231F20"/>
        </w:rPr>
        <w:t>el</w:t>
      </w:r>
      <w:r>
        <w:rPr>
          <w:color w:val="231F20"/>
          <w:spacing w:val="-14"/>
        </w:rPr>
        <w:t> </w:t>
      </w:r>
      <w:r>
        <w:rPr>
          <w:color w:val="231F20"/>
        </w:rPr>
        <w:t>Estado</w:t>
      </w:r>
      <w:r>
        <w:rPr>
          <w:color w:val="231F20"/>
          <w:spacing w:val="-14"/>
        </w:rPr>
        <w:t> </w:t>
      </w:r>
      <w:r>
        <w:rPr>
          <w:color w:val="231F20"/>
        </w:rPr>
        <w:t>de</w:t>
      </w:r>
      <w:r>
        <w:rPr>
          <w:color w:val="231F20"/>
          <w:spacing w:val="-14"/>
        </w:rPr>
        <w:t> </w:t>
      </w:r>
      <w:r>
        <w:rPr>
          <w:color w:val="231F20"/>
        </w:rPr>
        <w:t>México.</w:t>
      </w:r>
    </w:p>
    <w:p>
      <w:pPr>
        <w:pStyle w:val="BodyText"/>
        <w:spacing w:line="266" w:lineRule="auto" w:before="1"/>
        <w:ind w:left="103" w:right="711" w:firstLine="396"/>
        <w:jc w:val="both"/>
      </w:pPr>
      <w:r>
        <w:rPr>
          <w:color w:val="231F20"/>
        </w:rPr>
        <w:t>En</w:t>
      </w:r>
      <w:r>
        <w:rPr>
          <w:color w:val="231F20"/>
          <w:spacing w:val="-12"/>
        </w:rPr>
        <w:t> </w:t>
      </w:r>
      <w:r>
        <w:rPr>
          <w:color w:val="231F20"/>
        </w:rPr>
        <w:t>ese</w:t>
      </w:r>
      <w:r>
        <w:rPr>
          <w:color w:val="231F20"/>
          <w:spacing w:val="-12"/>
        </w:rPr>
        <w:t> </w:t>
      </w:r>
      <w:r>
        <w:rPr>
          <w:color w:val="231F20"/>
        </w:rPr>
        <w:t>sentido,</w:t>
      </w:r>
      <w:r>
        <w:rPr>
          <w:color w:val="231F20"/>
          <w:spacing w:val="-12"/>
        </w:rPr>
        <w:t> </w:t>
      </w:r>
      <w:r>
        <w:rPr>
          <w:color w:val="231F20"/>
        </w:rPr>
        <w:t>es</w:t>
      </w:r>
      <w:r>
        <w:rPr>
          <w:color w:val="231F20"/>
          <w:spacing w:val="-12"/>
        </w:rPr>
        <w:t> </w:t>
      </w:r>
      <w:r>
        <w:rPr>
          <w:color w:val="231F20"/>
        </w:rPr>
        <w:t>difícil</w:t>
      </w:r>
      <w:r>
        <w:rPr>
          <w:color w:val="231F20"/>
          <w:spacing w:val="-12"/>
        </w:rPr>
        <w:t> </w:t>
      </w:r>
      <w:r>
        <w:rPr>
          <w:color w:val="231F20"/>
        </w:rPr>
        <w:t>que</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territorio</w:t>
      </w:r>
      <w:r>
        <w:rPr>
          <w:color w:val="231F20"/>
          <w:spacing w:val="-12"/>
        </w:rPr>
        <w:t> </w:t>
      </w:r>
      <w:r>
        <w:rPr>
          <w:color w:val="231F20"/>
        </w:rPr>
        <w:t>se</w:t>
      </w:r>
      <w:r>
        <w:rPr>
          <w:color w:val="231F20"/>
          <w:spacing w:val="-12"/>
        </w:rPr>
        <w:t> </w:t>
      </w:r>
      <w:r>
        <w:rPr>
          <w:color w:val="231F20"/>
        </w:rPr>
        <w:t>reproduzcan</w:t>
      </w:r>
      <w:r>
        <w:rPr>
          <w:color w:val="231F20"/>
          <w:spacing w:val="-12"/>
        </w:rPr>
        <w:t> </w:t>
      </w:r>
      <w:r>
        <w:rPr>
          <w:color w:val="231F20"/>
        </w:rPr>
        <w:t>dinámicas</w:t>
      </w:r>
      <w:r>
        <w:rPr>
          <w:color w:val="231F20"/>
          <w:spacing w:val="-12"/>
        </w:rPr>
        <w:t> </w:t>
      </w:r>
      <w:r>
        <w:rPr>
          <w:color w:val="231F20"/>
        </w:rPr>
        <w:t>económicas virtuosas</w:t>
      </w:r>
      <w:r>
        <w:rPr>
          <w:color w:val="231F20"/>
          <w:spacing w:val="-6"/>
        </w:rPr>
        <w:t> </w:t>
      </w:r>
      <w:r>
        <w:rPr>
          <w:color w:val="231F20"/>
        </w:rPr>
        <w:t>que</w:t>
      </w:r>
      <w:r>
        <w:rPr>
          <w:color w:val="231F20"/>
          <w:spacing w:val="-6"/>
        </w:rPr>
        <w:t> </w:t>
      </w:r>
      <w:r>
        <w:rPr>
          <w:color w:val="231F20"/>
        </w:rPr>
        <w:t>propicien</w:t>
      </w:r>
      <w:r>
        <w:rPr>
          <w:color w:val="231F20"/>
          <w:spacing w:val="-6"/>
        </w:rPr>
        <w:t> </w:t>
      </w:r>
      <w:r>
        <w:rPr>
          <w:color w:val="231F20"/>
        </w:rPr>
        <w:t>procesos</w:t>
      </w:r>
      <w:r>
        <w:rPr>
          <w:color w:val="231F20"/>
          <w:spacing w:val="-6"/>
        </w:rPr>
        <w:t> </w:t>
      </w:r>
      <w:r>
        <w:rPr>
          <w:color w:val="231F20"/>
        </w:rPr>
        <w:t>de</w:t>
      </w:r>
      <w:r>
        <w:rPr>
          <w:color w:val="231F20"/>
          <w:spacing w:val="-6"/>
        </w:rPr>
        <w:t> </w:t>
      </w:r>
      <w:r>
        <w:rPr>
          <w:color w:val="231F20"/>
        </w:rPr>
        <w:t>endogeneidad</w:t>
      </w:r>
      <w:r>
        <w:rPr>
          <w:color w:val="231F20"/>
          <w:spacing w:val="-6"/>
        </w:rPr>
        <w:t> </w:t>
      </w:r>
      <w:r>
        <w:rPr>
          <w:color w:val="231F20"/>
        </w:rPr>
        <w:t>territorial,</w:t>
      </w:r>
      <w:r>
        <w:rPr>
          <w:color w:val="231F20"/>
          <w:spacing w:val="-6"/>
        </w:rPr>
        <w:t> </w:t>
      </w:r>
      <w:r>
        <w:rPr>
          <w:color w:val="231F20"/>
        </w:rPr>
        <w:t>entendida</w:t>
      </w:r>
      <w:r>
        <w:rPr>
          <w:color w:val="231F20"/>
          <w:spacing w:val="-6"/>
        </w:rPr>
        <w:t> </w:t>
      </w:r>
      <w:r>
        <w:rPr>
          <w:color w:val="231F20"/>
        </w:rPr>
        <w:t>como</w:t>
      </w:r>
      <w:r>
        <w:rPr>
          <w:color w:val="231F20"/>
          <w:spacing w:val="-6"/>
        </w:rPr>
        <w:t> </w:t>
      </w:r>
      <w:r>
        <w:rPr>
          <w:color w:val="231F20"/>
        </w:rPr>
        <w:t>el</w:t>
      </w:r>
      <w:r>
        <w:rPr>
          <w:color w:val="231F20"/>
          <w:spacing w:val="-6"/>
        </w:rPr>
        <w:t> </w:t>
      </w:r>
      <w:r>
        <w:rPr>
          <w:color w:val="231F20"/>
        </w:rPr>
        <w:t>grado de</w:t>
      </w:r>
      <w:r>
        <w:rPr>
          <w:color w:val="231F20"/>
          <w:spacing w:val="-12"/>
        </w:rPr>
        <w:t> </w:t>
      </w:r>
      <w:r>
        <w:rPr>
          <w:color w:val="231F20"/>
        </w:rPr>
        <w:t>integración</w:t>
      </w:r>
      <w:r>
        <w:rPr>
          <w:color w:val="231F20"/>
          <w:spacing w:val="-12"/>
        </w:rPr>
        <w:t> </w:t>
      </w:r>
      <w:r>
        <w:rPr>
          <w:color w:val="231F20"/>
        </w:rPr>
        <w:t>de</w:t>
      </w:r>
      <w:r>
        <w:rPr>
          <w:color w:val="231F20"/>
          <w:spacing w:val="-12"/>
        </w:rPr>
        <w:t> </w:t>
      </w:r>
      <w:r>
        <w:rPr>
          <w:color w:val="231F20"/>
        </w:rPr>
        <w:t>los</w:t>
      </w:r>
      <w:r>
        <w:rPr>
          <w:color w:val="231F20"/>
          <w:spacing w:val="-12"/>
        </w:rPr>
        <w:t> </w:t>
      </w:r>
      <w:r>
        <w:rPr>
          <w:color w:val="231F20"/>
        </w:rPr>
        <w:t>territorios</w:t>
      </w:r>
      <w:r>
        <w:rPr>
          <w:color w:val="231F20"/>
          <w:spacing w:val="-12"/>
        </w:rPr>
        <w:t> </w:t>
      </w:r>
      <w:r>
        <w:rPr>
          <w:color w:val="231F20"/>
        </w:rPr>
        <w:t>específicos</w:t>
      </w:r>
      <w:r>
        <w:rPr>
          <w:color w:val="231F20"/>
          <w:spacing w:val="-12"/>
        </w:rPr>
        <w:t> </w:t>
      </w:r>
      <w:r>
        <w:rPr>
          <w:color w:val="231F20"/>
        </w:rPr>
        <w:t>en</w:t>
      </w:r>
      <w:r>
        <w:rPr>
          <w:color w:val="231F20"/>
          <w:spacing w:val="-12"/>
        </w:rPr>
        <w:t> </w:t>
      </w:r>
      <w:r>
        <w:rPr>
          <w:color w:val="231F20"/>
        </w:rPr>
        <w:t>la</w:t>
      </w:r>
      <w:r>
        <w:rPr>
          <w:color w:val="231F20"/>
          <w:spacing w:val="-12"/>
        </w:rPr>
        <w:t> </w:t>
      </w:r>
      <w:r>
        <w:rPr>
          <w:color w:val="231F20"/>
        </w:rPr>
        <w:t>cadena</w:t>
      </w:r>
      <w:r>
        <w:rPr>
          <w:color w:val="231F20"/>
          <w:spacing w:val="-12"/>
        </w:rPr>
        <w:t> </w:t>
      </w:r>
      <w:r>
        <w:rPr>
          <w:color w:val="231F20"/>
        </w:rPr>
        <w:t>de</w:t>
      </w:r>
      <w:r>
        <w:rPr>
          <w:color w:val="231F20"/>
          <w:spacing w:val="-12"/>
        </w:rPr>
        <w:t> </w:t>
      </w:r>
      <w:r>
        <w:rPr>
          <w:color w:val="231F20"/>
        </w:rPr>
        <w:t>valor</w:t>
      </w:r>
      <w:r>
        <w:rPr>
          <w:color w:val="231F20"/>
          <w:spacing w:val="-12"/>
        </w:rPr>
        <w:t> </w:t>
      </w:r>
      <w:r>
        <w:rPr>
          <w:color w:val="231F20"/>
        </w:rPr>
        <w:t>(Dussel</w:t>
      </w:r>
      <w:r>
        <w:rPr>
          <w:color w:val="231F20"/>
          <w:spacing w:val="-12"/>
        </w:rPr>
        <w:t> </w:t>
      </w:r>
      <w:r>
        <w:rPr>
          <w:color w:val="231F20"/>
        </w:rPr>
        <w:t>Peters,</w:t>
      </w:r>
      <w:r>
        <w:rPr>
          <w:color w:val="231F20"/>
          <w:spacing w:val="-12"/>
        </w:rPr>
        <w:t> </w:t>
      </w:r>
      <w:r>
        <w:rPr>
          <w:color w:val="231F20"/>
        </w:rPr>
        <w:t>2003), así como el escalamiento (</w:t>
      </w:r>
      <w:r>
        <w:rPr>
          <w:rFonts w:ascii="Palatino Linotype" w:hAnsi="Palatino Linotype"/>
          <w:i/>
          <w:color w:val="231F20"/>
        </w:rPr>
        <w:t>upgrading</w:t>
      </w:r>
      <w:r>
        <w:rPr>
          <w:color w:val="231F20"/>
        </w:rPr>
        <w:t>) por parte de los empresarios locales de capital nacional</w:t>
      </w:r>
      <w:r>
        <w:rPr>
          <w:color w:val="231F20"/>
          <w:spacing w:val="-9"/>
        </w:rPr>
        <w:t> </w:t>
      </w:r>
      <w:r>
        <w:rPr>
          <w:color w:val="231F20"/>
        </w:rPr>
        <w:t>hacia</w:t>
      </w:r>
      <w:r>
        <w:rPr>
          <w:color w:val="231F20"/>
          <w:spacing w:val="-9"/>
        </w:rPr>
        <w:t> </w:t>
      </w:r>
      <w:r>
        <w:rPr>
          <w:color w:val="231F20"/>
        </w:rPr>
        <w:t>mejores</w:t>
      </w:r>
      <w:r>
        <w:rPr>
          <w:color w:val="231F20"/>
          <w:spacing w:val="-9"/>
        </w:rPr>
        <w:t> </w:t>
      </w:r>
      <w:r>
        <w:rPr>
          <w:color w:val="231F20"/>
        </w:rPr>
        <w:t>eslabones</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cadena</w:t>
      </w:r>
      <w:r>
        <w:rPr>
          <w:color w:val="231F20"/>
          <w:spacing w:val="-9"/>
        </w:rPr>
        <w:t> </w:t>
      </w:r>
      <w:r>
        <w:rPr>
          <w:color w:val="231F20"/>
        </w:rPr>
        <w:t>productiva,</w:t>
      </w:r>
      <w:r>
        <w:rPr>
          <w:color w:val="231F20"/>
          <w:spacing w:val="-9"/>
        </w:rPr>
        <w:t> </w:t>
      </w:r>
      <w:r>
        <w:rPr>
          <w:color w:val="231F20"/>
        </w:rPr>
        <w:t>con</w:t>
      </w:r>
      <w:r>
        <w:rPr>
          <w:color w:val="231F20"/>
          <w:spacing w:val="-9"/>
        </w:rPr>
        <w:t> </w:t>
      </w:r>
      <w:r>
        <w:rPr>
          <w:color w:val="231F20"/>
        </w:rPr>
        <w:t>mayor</w:t>
      </w:r>
      <w:r>
        <w:rPr>
          <w:color w:val="231F20"/>
          <w:spacing w:val="-9"/>
        </w:rPr>
        <w:t> </w:t>
      </w:r>
      <w:r>
        <w:rPr>
          <w:color w:val="231F20"/>
        </w:rPr>
        <w:t>valor</w:t>
      </w:r>
      <w:r>
        <w:rPr>
          <w:color w:val="231F20"/>
          <w:spacing w:val="-9"/>
        </w:rPr>
        <w:t> </w:t>
      </w:r>
      <w:r>
        <w:rPr>
          <w:color w:val="231F20"/>
        </w:rPr>
        <w:t>agregado.</w:t>
      </w:r>
    </w:p>
    <w:p>
      <w:pPr>
        <w:pStyle w:val="BodyText"/>
        <w:spacing w:line="278" w:lineRule="auto" w:before="13"/>
        <w:ind w:left="103" w:right="712" w:firstLine="396"/>
        <w:jc w:val="both"/>
      </w:pPr>
      <w:r>
        <w:rPr>
          <w:color w:val="231F20"/>
        </w:rPr>
        <w:t>Las</w:t>
      </w:r>
      <w:r>
        <w:rPr>
          <w:color w:val="231F20"/>
          <w:spacing w:val="-18"/>
        </w:rPr>
        <w:t> </w:t>
      </w:r>
      <w:r>
        <w:rPr>
          <w:color w:val="231F20"/>
        </w:rPr>
        <w:t>perspectivas</w:t>
      </w:r>
      <w:r>
        <w:rPr>
          <w:color w:val="231F20"/>
          <w:spacing w:val="-18"/>
        </w:rPr>
        <w:t> </w:t>
      </w:r>
      <w:r>
        <w:rPr>
          <w:color w:val="231F20"/>
        </w:rPr>
        <w:t>que</w:t>
      </w:r>
      <w:r>
        <w:rPr>
          <w:color w:val="231F20"/>
          <w:spacing w:val="-18"/>
        </w:rPr>
        <w:t> </w:t>
      </w:r>
      <w:r>
        <w:rPr>
          <w:color w:val="231F20"/>
        </w:rPr>
        <w:t>se</w:t>
      </w:r>
      <w:r>
        <w:rPr>
          <w:color w:val="231F20"/>
          <w:spacing w:val="-18"/>
        </w:rPr>
        <w:t> </w:t>
      </w:r>
      <w:r>
        <w:rPr>
          <w:color w:val="231F20"/>
        </w:rPr>
        <w:t>ven</w:t>
      </w:r>
      <w:r>
        <w:rPr>
          <w:color w:val="231F20"/>
          <w:spacing w:val="-18"/>
        </w:rPr>
        <w:t> </w:t>
      </w:r>
      <w:r>
        <w:rPr>
          <w:color w:val="231F20"/>
        </w:rPr>
        <w:t>a</w:t>
      </w:r>
      <w:r>
        <w:rPr>
          <w:color w:val="231F20"/>
          <w:spacing w:val="-18"/>
        </w:rPr>
        <w:t> </w:t>
      </w:r>
      <w:r>
        <w:rPr>
          <w:color w:val="231F20"/>
        </w:rPr>
        <w:t>futuro</w:t>
      </w:r>
      <w:r>
        <w:rPr>
          <w:color w:val="231F20"/>
          <w:spacing w:val="-18"/>
        </w:rPr>
        <w:t> </w:t>
      </w:r>
      <w:r>
        <w:rPr>
          <w:color w:val="231F20"/>
        </w:rPr>
        <w:t>en</w:t>
      </w:r>
      <w:r>
        <w:rPr>
          <w:color w:val="231F20"/>
          <w:spacing w:val="-18"/>
        </w:rPr>
        <w:t> </w:t>
      </w:r>
      <w:r>
        <w:rPr>
          <w:color w:val="231F20"/>
        </w:rPr>
        <w:t>este</w:t>
      </w:r>
      <w:r>
        <w:rPr>
          <w:color w:val="231F20"/>
          <w:spacing w:val="-18"/>
        </w:rPr>
        <w:t> </w:t>
      </w:r>
      <w:r>
        <w:rPr>
          <w:color w:val="231F20"/>
        </w:rPr>
        <w:t>sentido</w:t>
      </w:r>
      <w:r>
        <w:rPr>
          <w:color w:val="231F20"/>
          <w:spacing w:val="-18"/>
        </w:rPr>
        <w:t> </w:t>
      </w:r>
      <w:r>
        <w:rPr>
          <w:color w:val="231F20"/>
        </w:rPr>
        <w:t>son</w:t>
      </w:r>
      <w:r>
        <w:rPr>
          <w:color w:val="231F20"/>
          <w:spacing w:val="-18"/>
        </w:rPr>
        <w:t> </w:t>
      </w:r>
      <w:r>
        <w:rPr>
          <w:color w:val="231F20"/>
          <w:spacing w:val="-2"/>
        </w:rPr>
        <w:t>muy</w:t>
      </w:r>
      <w:r>
        <w:rPr>
          <w:color w:val="231F20"/>
          <w:spacing w:val="-18"/>
        </w:rPr>
        <w:t> </w:t>
      </w:r>
      <w:r>
        <w:rPr>
          <w:color w:val="231F20"/>
        </w:rPr>
        <w:t>poco</w:t>
      </w:r>
      <w:r>
        <w:rPr>
          <w:color w:val="231F20"/>
          <w:spacing w:val="-18"/>
        </w:rPr>
        <w:t> </w:t>
      </w:r>
      <w:r>
        <w:rPr>
          <w:color w:val="231F20"/>
        </w:rPr>
        <w:t>favorables.</w:t>
      </w:r>
      <w:r>
        <w:rPr>
          <w:color w:val="231F20"/>
          <w:spacing w:val="-18"/>
        </w:rPr>
        <w:t> </w:t>
      </w:r>
      <w:r>
        <w:rPr>
          <w:color w:val="231F20"/>
        </w:rPr>
        <w:t>Exis- tirán siempre esas barreras a la entrada que dificultarán la conformación de un sector automotriz con mayor participación de capitales</w:t>
      </w:r>
      <w:r>
        <w:rPr>
          <w:color w:val="231F20"/>
          <w:spacing w:val="-22"/>
        </w:rPr>
        <w:t> </w:t>
      </w:r>
      <w:r>
        <w:rPr>
          <w:color w:val="231F20"/>
        </w:rPr>
        <w:t>mexicanos.</w:t>
      </w:r>
    </w:p>
    <w:p>
      <w:pPr>
        <w:pStyle w:val="BodyText"/>
        <w:spacing w:line="278" w:lineRule="auto" w:before="1"/>
        <w:ind w:left="103" w:right="711" w:firstLine="396"/>
        <w:jc w:val="both"/>
      </w:pPr>
      <w:r>
        <w:rPr>
          <w:color w:val="231F20"/>
        </w:rPr>
        <w:t>Las dinámicas virtuosas en términos de empleo, producción, ventas, servicios y encadenamientos</w:t>
      </w:r>
      <w:r>
        <w:rPr>
          <w:color w:val="231F20"/>
          <w:spacing w:val="-10"/>
        </w:rPr>
        <w:t> </w:t>
      </w:r>
      <w:r>
        <w:rPr>
          <w:color w:val="231F20"/>
        </w:rPr>
        <w:t>productivos</w:t>
      </w:r>
      <w:r>
        <w:rPr>
          <w:color w:val="231F20"/>
          <w:spacing w:val="-10"/>
        </w:rPr>
        <w:t> </w:t>
      </w:r>
      <w:r>
        <w:rPr>
          <w:color w:val="231F20"/>
        </w:rPr>
        <w:t>que</w:t>
      </w:r>
      <w:r>
        <w:rPr>
          <w:color w:val="231F20"/>
          <w:spacing w:val="-10"/>
        </w:rPr>
        <w:t> </w:t>
      </w:r>
      <w:r>
        <w:rPr>
          <w:color w:val="231F20"/>
        </w:rPr>
        <w:t>pueden</w:t>
      </w:r>
      <w:r>
        <w:rPr>
          <w:color w:val="231F20"/>
          <w:spacing w:val="-10"/>
        </w:rPr>
        <w:t> </w:t>
      </w:r>
      <w:r>
        <w:rPr>
          <w:color w:val="231F20"/>
        </w:rPr>
        <w:t>generarse</w:t>
      </w:r>
      <w:r>
        <w:rPr>
          <w:color w:val="231F20"/>
          <w:spacing w:val="-10"/>
        </w:rPr>
        <w:t> </w:t>
      </w:r>
      <w:r>
        <w:rPr>
          <w:color w:val="231F20"/>
        </w:rPr>
        <w:t>en</w:t>
      </w:r>
      <w:r>
        <w:rPr>
          <w:color w:val="231F20"/>
          <w:spacing w:val="-10"/>
        </w:rPr>
        <w:t> </w:t>
      </w:r>
      <w:r>
        <w:rPr>
          <w:color w:val="231F20"/>
        </w:rPr>
        <w:t>los</w:t>
      </w:r>
      <w:r>
        <w:rPr>
          <w:color w:val="231F20"/>
          <w:spacing w:val="-10"/>
        </w:rPr>
        <w:t> </w:t>
      </w:r>
      <w:r>
        <w:rPr>
          <w:color w:val="231F20"/>
        </w:rPr>
        <w:t>espacios</w:t>
      </w:r>
      <w:r>
        <w:rPr>
          <w:color w:val="231F20"/>
          <w:spacing w:val="-10"/>
        </w:rPr>
        <w:t> </w:t>
      </w:r>
      <w:r>
        <w:rPr>
          <w:color w:val="231F20"/>
        </w:rPr>
        <w:t>geográficos</w:t>
      </w:r>
      <w:r>
        <w:rPr>
          <w:color w:val="231F20"/>
          <w:spacing w:val="-10"/>
        </w:rPr>
        <w:t> </w:t>
      </w:r>
      <w:r>
        <w:rPr>
          <w:color w:val="231F20"/>
        </w:rPr>
        <w:t>donde se</w:t>
      </w:r>
      <w:r>
        <w:rPr>
          <w:color w:val="231F20"/>
          <w:spacing w:val="-15"/>
        </w:rPr>
        <w:t> </w:t>
      </w:r>
      <w:r>
        <w:rPr>
          <w:color w:val="231F20"/>
        </w:rPr>
        <w:t>localiza</w:t>
      </w:r>
      <w:r>
        <w:rPr>
          <w:color w:val="231F20"/>
          <w:spacing w:val="-15"/>
        </w:rPr>
        <w:t> </w:t>
      </w:r>
      <w:r>
        <w:rPr>
          <w:color w:val="231F20"/>
        </w:rPr>
        <w:t>el</w:t>
      </w:r>
      <w:r>
        <w:rPr>
          <w:color w:val="231F20"/>
          <w:spacing w:val="-15"/>
        </w:rPr>
        <w:t> </w:t>
      </w:r>
      <w:r>
        <w:rPr>
          <w:color w:val="231F20"/>
        </w:rPr>
        <w:t>sector</w:t>
      </w:r>
      <w:r>
        <w:rPr>
          <w:color w:val="231F20"/>
          <w:spacing w:val="-15"/>
        </w:rPr>
        <w:t> </w:t>
      </w:r>
      <w:r>
        <w:rPr>
          <w:color w:val="231F20"/>
        </w:rPr>
        <w:t>automotriz</w:t>
      </w:r>
      <w:r>
        <w:rPr>
          <w:color w:val="231F20"/>
          <w:spacing w:val="-15"/>
        </w:rPr>
        <w:t> </w:t>
      </w:r>
      <w:r>
        <w:rPr>
          <w:color w:val="231F20"/>
        </w:rPr>
        <w:t>lo</w:t>
      </w:r>
      <w:r>
        <w:rPr>
          <w:color w:val="231F20"/>
          <w:spacing w:val="-15"/>
        </w:rPr>
        <w:t> </w:t>
      </w:r>
      <w:r>
        <w:rPr>
          <w:color w:val="231F20"/>
        </w:rPr>
        <w:t>convierten</w:t>
      </w:r>
      <w:r>
        <w:rPr>
          <w:color w:val="231F20"/>
          <w:spacing w:val="-15"/>
        </w:rPr>
        <w:t> </w:t>
      </w:r>
      <w:r>
        <w:rPr>
          <w:color w:val="231F20"/>
        </w:rPr>
        <w:t>en</w:t>
      </w:r>
      <w:r>
        <w:rPr>
          <w:color w:val="231F20"/>
          <w:spacing w:val="-15"/>
        </w:rPr>
        <w:t> </w:t>
      </w:r>
      <w:r>
        <w:rPr>
          <w:color w:val="231F20"/>
        </w:rPr>
        <w:t>una</w:t>
      </w:r>
      <w:r>
        <w:rPr>
          <w:color w:val="231F20"/>
          <w:spacing w:val="-15"/>
        </w:rPr>
        <w:t> </w:t>
      </w:r>
      <w:r>
        <w:rPr>
          <w:color w:val="231F20"/>
        </w:rPr>
        <w:t>actividad</w:t>
      </w:r>
      <w:r>
        <w:rPr>
          <w:color w:val="231F20"/>
          <w:spacing w:val="-15"/>
        </w:rPr>
        <w:t> </w:t>
      </w:r>
      <w:r>
        <w:rPr>
          <w:color w:val="231F20"/>
        </w:rPr>
        <w:t>económica</w:t>
      </w:r>
      <w:r>
        <w:rPr>
          <w:color w:val="231F20"/>
          <w:spacing w:val="-15"/>
        </w:rPr>
        <w:t> </w:t>
      </w:r>
      <w:r>
        <w:rPr>
          <w:color w:val="231F20"/>
        </w:rPr>
        <w:t>relevante.</w:t>
      </w:r>
      <w:r>
        <w:rPr>
          <w:color w:val="231F20"/>
          <w:spacing w:val="-15"/>
        </w:rPr>
        <w:t> </w:t>
      </w:r>
      <w:r>
        <w:rPr>
          <w:color w:val="231F20"/>
          <w:spacing w:val="-4"/>
        </w:rPr>
        <w:t>Por</w:t>
      </w:r>
    </w:p>
    <w:p>
      <w:pPr>
        <w:spacing w:after="0" w:line="278" w:lineRule="auto"/>
        <w:jc w:val="both"/>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96"/>
      </w:pPr>
      <w:r>
        <w:rPr>
          <w:color w:val="231F20"/>
        </w:rPr>
        <w:t>ello, su localización espacial ha jugado un papel muy notable como uno de los princi- pales factores de dinamismo y competitividad de esta industria.</w:t>
      </w:r>
    </w:p>
    <w:p>
      <w:pPr>
        <w:pStyle w:val="BodyText"/>
        <w:spacing w:line="278" w:lineRule="auto" w:before="1"/>
        <w:ind w:left="713" w:right="101" w:firstLine="396"/>
        <w:jc w:val="both"/>
      </w:pPr>
      <w:r>
        <w:rPr>
          <w:color w:val="231F20"/>
        </w:rPr>
        <w:t>Tanto la política de descentralización de la década de los ochenta, como las re- gulaciones y los decretos de apoyo específicos para el sector que emitió el gobierno federal en la década de los setenta y principios de los ochenta, propiciaron paulati- namente la relocalización de las plantas automotrices del centro hacia los estados del norte de México.</w:t>
      </w:r>
    </w:p>
    <w:p>
      <w:pPr>
        <w:pStyle w:val="BodyText"/>
        <w:spacing w:line="278" w:lineRule="auto" w:before="1"/>
        <w:ind w:left="713" w:right="100" w:firstLine="396"/>
        <w:jc w:val="both"/>
      </w:pPr>
      <w:r>
        <w:rPr>
          <w:color w:val="231F20"/>
        </w:rPr>
        <w:t>La política de apertura económica seguida por México desde principios de los ochenta, especialmente la firma del TLCAN entre México, Estados Unidos y Canadá, marcó de manera importante el desarrollo del </w:t>
      </w:r>
      <w:r>
        <w:rPr>
          <w:color w:val="231F20"/>
          <w:spacing w:val="-3"/>
        </w:rPr>
        <w:t>sector. </w:t>
      </w:r>
      <w:r>
        <w:rPr>
          <w:color w:val="231F20"/>
          <w:spacing w:val="-4"/>
        </w:rPr>
        <w:t>Por </w:t>
      </w:r>
      <w:r>
        <w:rPr>
          <w:color w:val="231F20"/>
        </w:rPr>
        <w:t>un lado, consolidó la reu- bicación de complejos automotrices (armadoras y productoras de autopartes) en los estados del norte de México, en detrimento de la industria localizada en el centro del país,</w:t>
      </w:r>
      <w:r>
        <w:rPr>
          <w:color w:val="231F20"/>
          <w:spacing w:val="-7"/>
        </w:rPr>
        <w:t> </w:t>
      </w:r>
      <w:r>
        <w:rPr>
          <w:color w:val="231F20"/>
        </w:rPr>
        <w:t>concretamente</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Estado</w:t>
      </w:r>
      <w:r>
        <w:rPr>
          <w:color w:val="231F20"/>
          <w:spacing w:val="-7"/>
        </w:rPr>
        <w:t> </w:t>
      </w:r>
      <w:r>
        <w:rPr>
          <w:color w:val="231F20"/>
        </w:rPr>
        <w:t>de</w:t>
      </w:r>
      <w:r>
        <w:rPr>
          <w:color w:val="231F20"/>
          <w:spacing w:val="-7"/>
        </w:rPr>
        <w:t> </w:t>
      </w:r>
      <w:r>
        <w:rPr>
          <w:color w:val="231F20"/>
        </w:rPr>
        <w:t>México;</w:t>
      </w:r>
      <w:r>
        <w:rPr>
          <w:color w:val="231F20"/>
          <w:spacing w:val="-7"/>
        </w:rPr>
        <w:t> </w:t>
      </w:r>
      <w:r>
        <w:rPr>
          <w:color w:val="231F20"/>
        </w:rPr>
        <w:t>por</w:t>
      </w:r>
      <w:r>
        <w:rPr>
          <w:color w:val="231F20"/>
          <w:spacing w:val="-7"/>
        </w:rPr>
        <w:t> </w:t>
      </w:r>
      <w:r>
        <w:rPr>
          <w:color w:val="231F20"/>
          <w:spacing w:val="-3"/>
        </w:rPr>
        <w:t>otro,</w:t>
      </w:r>
      <w:r>
        <w:rPr>
          <w:color w:val="231F20"/>
          <w:spacing w:val="-7"/>
        </w:rPr>
        <w:t> </w:t>
      </w:r>
      <w:r>
        <w:rPr>
          <w:color w:val="231F20"/>
        </w:rPr>
        <w:t>favoreció</w:t>
      </w:r>
      <w:r>
        <w:rPr>
          <w:color w:val="231F20"/>
          <w:spacing w:val="-7"/>
        </w:rPr>
        <w:t> </w:t>
      </w:r>
      <w:r>
        <w:rPr>
          <w:color w:val="231F20"/>
        </w:rPr>
        <w:t>un</w:t>
      </w:r>
      <w:r>
        <w:rPr>
          <w:color w:val="231F20"/>
          <w:spacing w:val="-7"/>
        </w:rPr>
        <w:t> </w:t>
      </w:r>
      <w:r>
        <w:rPr>
          <w:color w:val="231F20"/>
        </w:rPr>
        <w:t>proceso</w:t>
      </w:r>
      <w:r>
        <w:rPr>
          <w:color w:val="231F20"/>
          <w:spacing w:val="-7"/>
        </w:rPr>
        <w:t> </w:t>
      </w:r>
      <w:r>
        <w:rPr>
          <w:color w:val="231F20"/>
        </w:rPr>
        <w:t>de</w:t>
      </w:r>
      <w:r>
        <w:rPr>
          <w:color w:val="231F20"/>
          <w:spacing w:val="-7"/>
        </w:rPr>
        <w:t> </w:t>
      </w:r>
      <w:r>
        <w:rPr>
          <w:color w:val="231F20"/>
        </w:rPr>
        <w:t>gradual desregulación y consolidación de la etapa</w:t>
      </w:r>
      <w:r>
        <w:rPr>
          <w:color w:val="231F20"/>
          <w:spacing w:val="-28"/>
        </w:rPr>
        <w:t> </w:t>
      </w:r>
      <w:r>
        <w:rPr>
          <w:color w:val="231F20"/>
        </w:rPr>
        <w:t>exportadora.</w:t>
      </w:r>
    </w:p>
    <w:p>
      <w:pPr>
        <w:pStyle w:val="BodyText"/>
        <w:spacing w:line="278" w:lineRule="auto" w:before="1"/>
        <w:ind w:left="713" w:right="101" w:firstLine="396"/>
        <w:jc w:val="both"/>
      </w:pPr>
      <w:r>
        <w:rPr>
          <w:color w:val="231F20"/>
        </w:rPr>
        <w:t>El TLCAN representó para México la consolidación del modelo económico de apertura, en el que las relaciones con el mercado exterior se volvieron prioridad. En este sentido, también se hizo necesario el desplazamiento del sector automotriz de las regiones tradicionalmente industrializadas del centro del país hacia nuevas regiones emergentes, que contaban con mejores y mayores ventajas comparativas para operar bajo el nuevo modelo de características flexibles y mayores vínculos con el exterior.</w:t>
      </w:r>
    </w:p>
    <w:p>
      <w:pPr>
        <w:pStyle w:val="BodyText"/>
        <w:spacing w:line="278" w:lineRule="auto" w:before="1"/>
        <w:ind w:left="713" w:right="101" w:firstLine="396"/>
        <w:jc w:val="both"/>
      </w:pPr>
      <w:r>
        <w:rPr>
          <w:color w:val="231F20"/>
        </w:rPr>
        <w:t>Con</w:t>
      </w:r>
      <w:r>
        <w:rPr>
          <w:color w:val="231F20"/>
          <w:spacing w:val="-11"/>
        </w:rPr>
        <w:t> </w:t>
      </w:r>
      <w:r>
        <w:rPr>
          <w:color w:val="231F20"/>
        </w:rPr>
        <w:t>la</w:t>
      </w:r>
      <w:r>
        <w:rPr>
          <w:color w:val="231F20"/>
          <w:spacing w:val="-11"/>
        </w:rPr>
        <w:t> </w:t>
      </w:r>
      <w:r>
        <w:rPr>
          <w:color w:val="231F20"/>
        </w:rPr>
        <w:t>firma</w:t>
      </w:r>
      <w:r>
        <w:rPr>
          <w:color w:val="231F20"/>
          <w:spacing w:val="-11"/>
        </w:rPr>
        <w:t> </w:t>
      </w:r>
      <w:r>
        <w:rPr>
          <w:color w:val="231F20"/>
        </w:rPr>
        <w:t>del</w:t>
      </w:r>
      <w:r>
        <w:rPr>
          <w:color w:val="231F20"/>
          <w:spacing w:val="-11"/>
        </w:rPr>
        <w:t> </w:t>
      </w:r>
      <w:r>
        <w:rPr>
          <w:color w:val="231F20"/>
        </w:rPr>
        <w:t>TLCAN</w:t>
      </w:r>
      <w:r>
        <w:rPr>
          <w:color w:val="231F20"/>
          <w:spacing w:val="-11"/>
        </w:rPr>
        <w:t> </w:t>
      </w:r>
      <w:r>
        <w:rPr>
          <w:color w:val="231F20"/>
        </w:rPr>
        <w:t>y</w:t>
      </w:r>
      <w:r>
        <w:rPr>
          <w:color w:val="231F20"/>
          <w:spacing w:val="-11"/>
        </w:rPr>
        <w:t> </w:t>
      </w:r>
      <w:r>
        <w:rPr>
          <w:color w:val="231F20"/>
        </w:rPr>
        <w:t>la</w:t>
      </w:r>
      <w:r>
        <w:rPr>
          <w:color w:val="231F20"/>
          <w:spacing w:val="-11"/>
        </w:rPr>
        <w:t> </w:t>
      </w:r>
      <w:r>
        <w:rPr>
          <w:color w:val="231F20"/>
        </w:rPr>
        <w:t>consolidación</w:t>
      </w:r>
      <w:r>
        <w:rPr>
          <w:color w:val="231F20"/>
          <w:spacing w:val="-11"/>
        </w:rPr>
        <w:t> </w:t>
      </w:r>
      <w:r>
        <w:rPr>
          <w:color w:val="231F20"/>
        </w:rPr>
        <w:t>de</w:t>
      </w:r>
      <w:r>
        <w:rPr>
          <w:color w:val="231F20"/>
          <w:spacing w:val="-11"/>
        </w:rPr>
        <w:t> </w:t>
      </w:r>
      <w:r>
        <w:rPr>
          <w:color w:val="231F20"/>
        </w:rPr>
        <w:t>esta</w:t>
      </w:r>
      <w:r>
        <w:rPr>
          <w:color w:val="231F20"/>
          <w:spacing w:val="-11"/>
        </w:rPr>
        <w:t> </w:t>
      </w:r>
      <w:r>
        <w:rPr>
          <w:color w:val="231F20"/>
        </w:rPr>
        <w:t>etapa</w:t>
      </w:r>
      <w:r>
        <w:rPr>
          <w:color w:val="231F20"/>
          <w:spacing w:val="-11"/>
        </w:rPr>
        <w:t> </w:t>
      </w:r>
      <w:r>
        <w:rPr>
          <w:color w:val="231F20"/>
        </w:rPr>
        <w:t>de</w:t>
      </w:r>
      <w:r>
        <w:rPr>
          <w:color w:val="231F20"/>
          <w:spacing w:val="-11"/>
        </w:rPr>
        <w:t> </w:t>
      </w:r>
      <w:r>
        <w:rPr>
          <w:color w:val="231F20"/>
        </w:rPr>
        <w:t>exportación,</w:t>
      </w:r>
      <w:r>
        <w:rPr>
          <w:color w:val="231F20"/>
          <w:spacing w:val="-11"/>
        </w:rPr>
        <w:t> </w:t>
      </w:r>
      <w:r>
        <w:rPr>
          <w:color w:val="231F20"/>
        </w:rPr>
        <w:t>el</w:t>
      </w:r>
      <w:r>
        <w:rPr>
          <w:color w:val="231F20"/>
          <w:spacing w:val="-11"/>
        </w:rPr>
        <w:t> </w:t>
      </w:r>
      <w:r>
        <w:rPr>
          <w:color w:val="231F20"/>
        </w:rPr>
        <w:t>sector automotriz se ha apuntalado como una industria prioritaria dentro de la economía nacional; sin embargo, para el sector automotriz del Estado de México la situación no ha</w:t>
      </w:r>
      <w:r>
        <w:rPr>
          <w:color w:val="231F20"/>
          <w:spacing w:val="-6"/>
        </w:rPr>
        <w:t> </w:t>
      </w:r>
      <w:r>
        <w:rPr>
          <w:color w:val="231F20"/>
        </w:rPr>
        <w:t>sido</w:t>
      </w:r>
      <w:r>
        <w:rPr>
          <w:color w:val="231F20"/>
          <w:spacing w:val="-6"/>
        </w:rPr>
        <w:t> </w:t>
      </w:r>
      <w:r>
        <w:rPr>
          <w:color w:val="231F20"/>
        </w:rPr>
        <w:t>de</w:t>
      </w:r>
      <w:r>
        <w:rPr>
          <w:color w:val="231F20"/>
          <w:spacing w:val="-6"/>
        </w:rPr>
        <w:t> </w:t>
      </w:r>
      <w:r>
        <w:rPr>
          <w:color w:val="231F20"/>
        </w:rPr>
        <w:t>lo</w:t>
      </w:r>
      <w:r>
        <w:rPr>
          <w:color w:val="231F20"/>
          <w:spacing w:val="-6"/>
        </w:rPr>
        <w:t> </w:t>
      </w:r>
      <w:r>
        <w:rPr>
          <w:color w:val="231F20"/>
        </w:rPr>
        <w:t>más</w:t>
      </w:r>
      <w:r>
        <w:rPr>
          <w:color w:val="231F20"/>
          <w:spacing w:val="-6"/>
        </w:rPr>
        <w:t> </w:t>
      </w:r>
      <w:r>
        <w:rPr>
          <w:color w:val="231F20"/>
        </w:rPr>
        <w:t>favorable.</w:t>
      </w:r>
      <w:r>
        <w:rPr>
          <w:color w:val="231F20"/>
          <w:spacing w:val="-6"/>
        </w:rPr>
        <w:t> </w:t>
      </w:r>
      <w:r>
        <w:rPr>
          <w:color w:val="231F20"/>
        </w:rPr>
        <w:t>Primero,</w:t>
      </w:r>
      <w:r>
        <w:rPr>
          <w:color w:val="231F20"/>
          <w:spacing w:val="-6"/>
        </w:rPr>
        <w:t> </w:t>
      </w:r>
      <w:r>
        <w:rPr>
          <w:color w:val="231F20"/>
        </w:rPr>
        <w:t>por</w:t>
      </w:r>
      <w:r>
        <w:rPr>
          <w:color w:val="231F20"/>
          <w:spacing w:val="-6"/>
        </w:rPr>
        <w:t> </w:t>
      </w:r>
      <w:r>
        <w:rPr>
          <w:color w:val="231F20"/>
        </w:rPr>
        <w:t>los</w:t>
      </w:r>
      <w:r>
        <w:rPr>
          <w:color w:val="231F20"/>
          <w:spacing w:val="-6"/>
        </w:rPr>
        <w:t> </w:t>
      </w:r>
      <w:r>
        <w:rPr>
          <w:color w:val="231F20"/>
        </w:rPr>
        <w:t>aspectos</w:t>
      </w:r>
      <w:r>
        <w:rPr>
          <w:color w:val="231F20"/>
          <w:spacing w:val="-6"/>
        </w:rPr>
        <w:t> </w:t>
      </w:r>
      <w:r>
        <w:rPr>
          <w:color w:val="231F20"/>
        </w:rPr>
        <w:t>referentes</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localización</w:t>
      </w:r>
      <w:r>
        <w:rPr>
          <w:color w:val="231F20"/>
          <w:spacing w:val="-6"/>
        </w:rPr>
        <w:t> </w:t>
      </w:r>
      <w:r>
        <w:rPr>
          <w:color w:val="231F20"/>
        </w:rPr>
        <w:t>geo- gráfica; y segundo, como resultado del profundo sesgo antiexportador que padecía la planta productiva mexiquense, incluida la</w:t>
      </w:r>
      <w:r>
        <w:rPr>
          <w:color w:val="231F20"/>
          <w:spacing w:val="-10"/>
        </w:rPr>
        <w:t> </w:t>
      </w:r>
      <w:r>
        <w:rPr>
          <w:color w:val="231F20"/>
        </w:rPr>
        <w:t>automotriz.</w:t>
      </w:r>
    </w:p>
    <w:p>
      <w:pPr>
        <w:pStyle w:val="BodyText"/>
        <w:spacing w:line="278" w:lineRule="auto" w:before="1"/>
        <w:ind w:left="713" w:right="101" w:firstLine="396"/>
        <w:jc w:val="both"/>
      </w:pPr>
      <w:r>
        <w:rPr>
          <w:color w:val="231F20"/>
        </w:rPr>
        <w:t>Existen marcadas diferencias entre las viejas plantas localizadas en el centro del país,</w:t>
      </w:r>
      <w:r>
        <w:rPr>
          <w:color w:val="231F20"/>
          <w:spacing w:val="-6"/>
        </w:rPr>
        <w:t> </w:t>
      </w:r>
      <w:r>
        <w:rPr>
          <w:color w:val="231F20"/>
        </w:rPr>
        <w:t>cuyo</w:t>
      </w:r>
      <w:r>
        <w:rPr>
          <w:color w:val="231F20"/>
          <w:spacing w:val="-6"/>
        </w:rPr>
        <w:t> </w:t>
      </w:r>
      <w:r>
        <w:rPr>
          <w:color w:val="231F20"/>
        </w:rPr>
        <w:t>propósito</w:t>
      </w:r>
      <w:r>
        <w:rPr>
          <w:color w:val="231F20"/>
          <w:spacing w:val="-6"/>
        </w:rPr>
        <w:t> </w:t>
      </w:r>
      <w:r>
        <w:rPr>
          <w:color w:val="231F20"/>
        </w:rPr>
        <w:t>principal</w:t>
      </w:r>
      <w:r>
        <w:rPr>
          <w:color w:val="231F20"/>
          <w:spacing w:val="-6"/>
        </w:rPr>
        <w:t> </w:t>
      </w:r>
      <w:r>
        <w:rPr>
          <w:color w:val="231F20"/>
        </w:rPr>
        <w:t>fue</w:t>
      </w:r>
      <w:r>
        <w:rPr>
          <w:color w:val="231F20"/>
          <w:spacing w:val="-6"/>
        </w:rPr>
        <w:t> </w:t>
      </w:r>
      <w:r>
        <w:rPr>
          <w:color w:val="231F20"/>
        </w:rPr>
        <w:t>abastecer</w:t>
      </w:r>
      <w:r>
        <w:rPr>
          <w:color w:val="231F20"/>
          <w:spacing w:val="-6"/>
        </w:rPr>
        <w:t> </w:t>
      </w:r>
      <w:r>
        <w:rPr>
          <w:color w:val="231F20"/>
        </w:rPr>
        <w:t>el</w:t>
      </w:r>
      <w:r>
        <w:rPr>
          <w:color w:val="231F20"/>
          <w:spacing w:val="-6"/>
        </w:rPr>
        <w:t> </w:t>
      </w:r>
      <w:r>
        <w:rPr>
          <w:color w:val="231F20"/>
        </w:rPr>
        <w:t>mercado</w:t>
      </w:r>
      <w:r>
        <w:rPr>
          <w:color w:val="231F20"/>
          <w:spacing w:val="-6"/>
        </w:rPr>
        <w:t> </w:t>
      </w:r>
      <w:r>
        <w:rPr>
          <w:color w:val="231F20"/>
        </w:rPr>
        <w:t>interno</w:t>
      </w:r>
      <w:r>
        <w:rPr>
          <w:color w:val="231F20"/>
          <w:spacing w:val="-6"/>
        </w:rPr>
        <w:t> </w:t>
      </w:r>
      <w:r>
        <w:rPr>
          <w:color w:val="231F20"/>
        </w:rPr>
        <w:t>en</w:t>
      </w:r>
      <w:r>
        <w:rPr>
          <w:color w:val="231F20"/>
          <w:spacing w:val="-6"/>
        </w:rPr>
        <w:t> </w:t>
      </w:r>
      <w:r>
        <w:rPr>
          <w:color w:val="231F20"/>
        </w:rPr>
        <w:t>una</w:t>
      </w:r>
      <w:r>
        <w:rPr>
          <w:color w:val="231F20"/>
          <w:spacing w:val="-6"/>
        </w:rPr>
        <w:t> </w:t>
      </w:r>
      <w:r>
        <w:rPr>
          <w:color w:val="231F20"/>
        </w:rPr>
        <w:t>etapa</w:t>
      </w:r>
      <w:r>
        <w:rPr>
          <w:color w:val="231F20"/>
          <w:spacing w:val="-6"/>
        </w:rPr>
        <w:t> </w:t>
      </w:r>
      <w:r>
        <w:rPr>
          <w:color w:val="231F20"/>
        </w:rPr>
        <w:t>altamente proteccionista y con grandes restricciones al mercado externo, y las nuevas plantas emplazadas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frontera</w:t>
      </w:r>
      <w:r>
        <w:rPr>
          <w:color w:val="231F20"/>
          <w:spacing w:val="-8"/>
        </w:rPr>
        <w:t> </w:t>
      </w:r>
      <w:r>
        <w:rPr>
          <w:color w:val="231F20"/>
        </w:rPr>
        <w:t>norte</w:t>
      </w:r>
      <w:r>
        <w:rPr>
          <w:color w:val="231F20"/>
          <w:spacing w:val="-8"/>
        </w:rPr>
        <w:t> </w:t>
      </w:r>
      <w:r>
        <w:rPr>
          <w:color w:val="231F20"/>
        </w:rPr>
        <w:t>de</w:t>
      </w:r>
      <w:r>
        <w:rPr>
          <w:color w:val="231F20"/>
          <w:spacing w:val="-8"/>
        </w:rPr>
        <w:t> </w:t>
      </w:r>
      <w:r>
        <w:rPr>
          <w:color w:val="231F20"/>
        </w:rPr>
        <w:t>México,</w:t>
      </w:r>
      <w:r>
        <w:rPr>
          <w:color w:val="231F20"/>
          <w:spacing w:val="-8"/>
        </w:rPr>
        <w:t> </w:t>
      </w:r>
      <w:r>
        <w:rPr>
          <w:color w:val="231F20"/>
        </w:rPr>
        <w:t>cuyas</w:t>
      </w:r>
      <w:r>
        <w:rPr>
          <w:color w:val="231F20"/>
          <w:spacing w:val="-8"/>
        </w:rPr>
        <w:t> </w:t>
      </w:r>
      <w:r>
        <w:rPr>
          <w:color w:val="231F20"/>
        </w:rPr>
        <w:t>estrategias</w:t>
      </w:r>
      <w:r>
        <w:rPr>
          <w:color w:val="231F20"/>
          <w:spacing w:val="-8"/>
        </w:rPr>
        <w:t> </w:t>
      </w:r>
      <w:r>
        <w:rPr>
          <w:color w:val="231F20"/>
        </w:rPr>
        <w:t>se</w:t>
      </w:r>
      <w:r>
        <w:rPr>
          <w:color w:val="231F20"/>
          <w:spacing w:val="-8"/>
        </w:rPr>
        <w:t> </w:t>
      </w:r>
      <w:r>
        <w:rPr>
          <w:color w:val="231F20"/>
        </w:rPr>
        <w:t>gestaban</w:t>
      </w:r>
      <w:r>
        <w:rPr>
          <w:color w:val="231F20"/>
          <w:spacing w:val="-8"/>
        </w:rPr>
        <w:t> </w:t>
      </w:r>
      <w:r>
        <w:rPr>
          <w:color w:val="231F20"/>
        </w:rPr>
        <w:t>en</w:t>
      </w:r>
      <w:r>
        <w:rPr>
          <w:color w:val="231F20"/>
          <w:spacing w:val="-8"/>
        </w:rPr>
        <w:t> </w:t>
      </w:r>
      <w:r>
        <w:rPr>
          <w:color w:val="231F20"/>
        </w:rPr>
        <w:t>una</w:t>
      </w:r>
      <w:r>
        <w:rPr>
          <w:color w:val="231F20"/>
          <w:spacing w:val="-8"/>
        </w:rPr>
        <w:t> </w:t>
      </w:r>
      <w:r>
        <w:rPr>
          <w:color w:val="231F20"/>
        </w:rPr>
        <w:t>nueva lógica</w:t>
      </w:r>
      <w:r>
        <w:rPr>
          <w:color w:val="231F20"/>
          <w:spacing w:val="-9"/>
        </w:rPr>
        <w:t> </w:t>
      </w:r>
      <w:r>
        <w:rPr>
          <w:color w:val="231F20"/>
        </w:rPr>
        <w:t>de</w:t>
      </w:r>
      <w:r>
        <w:rPr>
          <w:color w:val="231F20"/>
          <w:spacing w:val="-9"/>
        </w:rPr>
        <w:t> </w:t>
      </w:r>
      <w:r>
        <w:rPr>
          <w:color w:val="231F20"/>
        </w:rPr>
        <w:t>producción</w:t>
      </w:r>
      <w:r>
        <w:rPr>
          <w:color w:val="231F20"/>
          <w:spacing w:val="-9"/>
        </w:rPr>
        <w:t> </w:t>
      </w:r>
      <w:r>
        <w:rPr>
          <w:color w:val="231F20"/>
        </w:rPr>
        <w:t>y</w:t>
      </w:r>
      <w:r>
        <w:rPr>
          <w:color w:val="231F20"/>
          <w:spacing w:val="-9"/>
        </w:rPr>
        <w:t> </w:t>
      </w:r>
      <w:r>
        <w:rPr>
          <w:color w:val="231F20"/>
        </w:rPr>
        <w:t>abasto</w:t>
      </w:r>
      <w:r>
        <w:rPr>
          <w:color w:val="231F20"/>
          <w:spacing w:val="-9"/>
        </w:rPr>
        <w:t> </w:t>
      </w:r>
      <w:r>
        <w:rPr>
          <w:color w:val="231F20"/>
        </w:rPr>
        <w:t>al</w:t>
      </w:r>
      <w:r>
        <w:rPr>
          <w:color w:val="231F20"/>
          <w:spacing w:val="-9"/>
        </w:rPr>
        <w:t> </w:t>
      </w:r>
      <w:r>
        <w:rPr>
          <w:color w:val="231F20"/>
        </w:rPr>
        <w:t>mercado</w:t>
      </w:r>
      <w:r>
        <w:rPr>
          <w:color w:val="231F20"/>
          <w:spacing w:val="-9"/>
        </w:rPr>
        <w:t> </w:t>
      </w:r>
      <w:r>
        <w:rPr>
          <w:color w:val="231F20"/>
        </w:rPr>
        <w:t>externo.</w:t>
      </w:r>
      <w:r>
        <w:rPr>
          <w:color w:val="231F20"/>
          <w:spacing w:val="-9"/>
        </w:rPr>
        <w:t> </w:t>
      </w:r>
      <w:r>
        <w:rPr>
          <w:color w:val="231F20"/>
        </w:rPr>
        <w:t>En</w:t>
      </w:r>
      <w:r>
        <w:rPr>
          <w:color w:val="231F20"/>
          <w:spacing w:val="-9"/>
        </w:rPr>
        <w:t> </w:t>
      </w:r>
      <w:r>
        <w:rPr>
          <w:color w:val="231F20"/>
        </w:rPr>
        <w:t>las</w:t>
      </w:r>
      <w:r>
        <w:rPr>
          <w:color w:val="231F20"/>
          <w:spacing w:val="-9"/>
        </w:rPr>
        <w:t> </w:t>
      </w:r>
      <w:r>
        <w:rPr>
          <w:color w:val="231F20"/>
        </w:rPr>
        <w:t>nuevas</w:t>
      </w:r>
      <w:r>
        <w:rPr>
          <w:color w:val="231F20"/>
          <w:spacing w:val="-9"/>
        </w:rPr>
        <w:t> </w:t>
      </w:r>
      <w:r>
        <w:rPr>
          <w:color w:val="231F20"/>
        </w:rPr>
        <w:t>plantas,</w:t>
      </w:r>
      <w:r>
        <w:rPr>
          <w:color w:val="231F20"/>
          <w:spacing w:val="-9"/>
        </w:rPr>
        <w:t> </w:t>
      </w:r>
      <w:r>
        <w:rPr>
          <w:color w:val="231F20"/>
        </w:rPr>
        <w:t>la</w:t>
      </w:r>
      <w:r>
        <w:rPr>
          <w:color w:val="231F20"/>
          <w:spacing w:val="-9"/>
        </w:rPr>
        <w:t> </w:t>
      </w:r>
      <w:r>
        <w:rPr>
          <w:color w:val="231F20"/>
        </w:rPr>
        <w:t>transferen- cia de tecnología ha sido un factor </w:t>
      </w:r>
      <w:r>
        <w:rPr>
          <w:color w:val="231F20"/>
          <w:spacing w:val="-2"/>
        </w:rPr>
        <w:t>muy </w:t>
      </w:r>
      <w:r>
        <w:rPr>
          <w:color w:val="231F20"/>
        </w:rPr>
        <w:t>relevante, que se ha reflejado en el equipo, la maquinaria</w:t>
      </w:r>
      <w:r>
        <w:rPr>
          <w:color w:val="231F20"/>
          <w:spacing w:val="-5"/>
        </w:rPr>
        <w:t> </w:t>
      </w:r>
      <w:r>
        <w:rPr>
          <w:color w:val="231F20"/>
        </w:rPr>
        <w:t>y</w:t>
      </w:r>
      <w:r>
        <w:rPr>
          <w:color w:val="231F20"/>
          <w:spacing w:val="-5"/>
        </w:rPr>
        <w:t> </w:t>
      </w:r>
      <w:r>
        <w:rPr>
          <w:color w:val="231F20"/>
        </w:rPr>
        <w:t>las</w:t>
      </w:r>
      <w:r>
        <w:rPr>
          <w:color w:val="231F20"/>
          <w:spacing w:val="-5"/>
        </w:rPr>
        <w:t> </w:t>
      </w:r>
      <w:r>
        <w:rPr>
          <w:color w:val="231F20"/>
        </w:rPr>
        <w:t>nuevas</w:t>
      </w:r>
      <w:r>
        <w:rPr>
          <w:color w:val="231F20"/>
          <w:spacing w:val="-5"/>
        </w:rPr>
        <w:t> </w:t>
      </w:r>
      <w:r>
        <w:rPr>
          <w:color w:val="231F20"/>
        </w:rPr>
        <w:t>condiciones</w:t>
      </w:r>
      <w:r>
        <w:rPr>
          <w:color w:val="231F20"/>
          <w:spacing w:val="-5"/>
        </w:rPr>
        <w:t> </w:t>
      </w:r>
      <w:r>
        <w:rPr>
          <w:color w:val="231F20"/>
        </w:rPr>
        <w:t>de</w:t>
      </w:r>
      <w:r>
        <w:rPr>
          <w:color w:val="231F20"/>
          <w:spacing w:val="-5"/>
        </w:rPr>
        <w:t> </w:t>
      </w:r>
      <w:r>
        <w:rPr>
          <w:color w:val="231F20"/>
        </w:rPr>
        <w:t>trabajo,</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tenido</w:t>
      </w:r>
      <w:r>
        <w:rPr>
          <w:color w:val="231F20"/>
          <w:spacing w:val="-5"/>
        </w:rPr>
        <w:t> </w:t>
      </w:r>
      <w:r>
        <w:rPr>
          <w:color w:val="231F20"/>
        </w:rPr>
        <w:t>efectos</w:t>
      </w:r>
      <w:r>
        <w:rPr>
          <w:color w:val="231F20"/>
          <w:spacing w:val="-5"/>
        </w:rPr>
        <w:t> </w:t>
      </w:r>
      <w:r>
        <w:rPr>
          <w:color w:val="231F20"/>
        </w:rPr>
        <w:t>también</w:t>
      </w:r>
      <w:r>
        <w:rPr>
          <w:color w:val="231F20"/>
          <w:spacing w:val="-5"/>
        </w:rPr>
        <w:t> </w:t>
      </w:r>
      <w:r>
        <w:rPr>
          <w:color w:val="231F20"/>
        </w:rPr>
        <w:t>en</w:t>
      </w:r>
      <w:r>
        <w:rPr>
          <w:color w:val="231F20"/>
          <w:spacing w:val="-5"/>
        </w:rPr>
        <w:t> </w:t>
      </w:r>
      <w:r>
        <w:rPr>
          <w:color w:val="231F20"/>
        </w:rPr>
        <w:t>la competitividad.</w:t>
      </w:r>
    </w:p>
    <w:p>
      <w:pPr>
        <w:pStyle w:val="BodyText"/>
        <w:spacing w:line="278" w:lineRule="auto" w:before="1"/>
        <w:ind w:left="713" w:right="100" w:firstLine="396"/>
        <w:jc w:val="both"/>
      </w:pPr>
      <w:r>
        <w:rPr>
          <w:color w:val="231F20"/>
        </w:rPr>
        <w:t>Ante</w:t>
      </w:r>
      <w:r>
        <w:rPr>
          <w:color w:val="231F20"/>
          <w:spacing w:val="-13"/>
        </w:rPr>
        <w:t> </w:t>
      </w:r>
      <w:r>
        <w:rPr>
          <w:color w:val="231F20"/>
        </w:rPr>
        <w:t>el</w:t>
      </w:r>
      <w:r>
        <w:rPr>
          <w:color w:val="231F20"/>
          <w:spacing w:val="-13"/>
        </w:rPr>
        <w:t> </w:t>
      </w:r>
      <w:r>
        <w:rPr>
          <w:color w:val="231F20"/>
        </w:rPr>
        <w:t>nuevo</w:t>
      </w:r>
      <w:r>
        <w:rPr>
          <w:color w:val="231F20"/>
          <w:spacing w:val="-13"/>
        </w:rPr>
        <w:t> </w:t>
      </w:r>
      <w:r>
        <w:rPr>
          <w:color w:val="231F20"/>
        </w:rPr>
        <w:t>orden</w:t>
      </w:r>
      <w:r>
        <w:rPr>
          <w:color w:val="231F20"/>
          <w:spacing w:val="-13"/>
        </w:rPr>
        <w:t> </w:t>
      </w:r>
      <w:r>
        <w:rPr>
          <w:color w:val="231F20"/>
        </w:rPr>
        <w:t>económico</w:t>
      </w:r>
      <w:r>
        <w:rPr>
          <w:color w:val="231F20"/>
          <w:spacing w:val="-13"/>
        </w:rPr>
        <w:t> </w:t>
      </w:r>
      <w:r>
        <w:rPr>
          <w:color w:val="231F20"/>
        </w:rPr>
        <w:t>y</w:t>
      </w:r>
      <w:r>
        <w:rPr>
          <w:color w:val="231F20"/>
          <w:spacing w:val="-13"/>
        </w:rPr>
        <w:t> </w:t>
      </w:r>
      <w:r>
        <w:rPr>
          <w:color w:val="231F20"/>
        </w:rPr>
        <w:t>comercial</w:t>
      </w:r>
      <w:r>
        <w:rPr>
          <w:color w:val="231F20"/>
          <w:spacing w:val="-13"/>
        </w:rPr>
        <w:t> </w:t>
      </w:r>
      <w:r>
        <w:rPr>
          <w:color w:val="231F20"/>
        </w:rPr>
        <w:t>vinculado</w:t>
      </w:r>
      <w:r>
        <w:rPr>
          <w:color w:val="231F20"/>
          <w:spacing w:val="-13"/>
        </w:rPr>
        <w:t> </w:t>
      </w:r>
      <w:r>
        <w:rPr>
          <w:color w:val="231F20"/>
        </w:rPr>
        <w:t>con</w:t>
      </w:r>
      <w:r>
        <w:rPr>
          <w:color w:val="231F20"/>
          <w:spacing w:val="-13"/>
        </w:rPr>
        <w:t> </w:t>
      </w:r>
      <w:r>
        <w:rPr>
          <w:color w:val="231F20"/>
        </w:rPr>
        <w:t>los</w:t>
      </w:r>
      <w:r>
        <w:rPr>
          <w:color w:val="231F20"/>
          <w:spacing w:val="-13"/>
        </w:rPr>
        <w:t> </w:t>
      </w:r>
      <w:r>
        <w:rPr>
          <w:color w:val="231F20"/>
        </w:rPr>
        <w:t>mercados</w:t>
      </w:r>
      <w:r>
        <w:rPr>
          <w:color w:val="231F20"/>
          <w:spacing w:val="-13"/>
        </w:rPr>
        <w:t> </w:t>
      </w:r>
      <w:r>
        <w:rPr>
          <w:color w:val="231F20"/>
        </w:rPr>
        <w:t>externos, 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deja</w:t>
      </w:r>
      <w:r>
        <w:rPr>
          <w:color w:val="231F20"/>
          <w:spacing w:val="-10"/>
        </w:rPr>
        <w:t> </w:t>
      </w:r>
      <w:r>
        <w:rPr>
          <w:color w:val="231F20"/>
        </w:rPr>
        <w:t>de</w:t>
      </w:r>
      <w:r>
        <w:rPr>
          <w:color w:val="231F20"/>
          <w:spacing w:val="-10"/>
        </w:rPr>
        <w:t> </w:t>
      </w:r>
      <w:r>
        <w:rPr>
          <w:color w:val="231F20"/>
        </w:rPr>
        <w:t>ser</w:t>
      </w:r>
      <w:r>
        <w:rPr>
          <w:color w:val="231F20"/>
          <w:spacing w:val="-10"/>
        </w:rPr>
        <w:t> </w:t>
      </w:r>
      <w:r>
        <w:rPr>
          <w:color w:val="231F20"/>
        </w:rPr>
        <w:t>atractivo</w:t>
      </w:r>
      <w:r>
        <w:rPr>
          <w:color w:val="231F20"/>
          <w:spacing w:val="-10"/>
        </w:rPr>
        <w:t> </w:t>
      </w:r>
      <w:r>
        <w:rPr>
          <w:color w:val="231F20"/>
        </w:rPr>
        <w:t>para</w:t>
      </w:r>
      <w:r>
        <w:rPr>
          <w:color w:val="231F20"/>
          <w:spacing w:val="-10"/>
        </w:rPr>
        <w:t> </w:t>
      </w:r>
      <w:r>
        <w:rPr>
          <w:color w:val="231F20"/>
        </w:rPr>
        <w:t>las</w:t>
      </w:r>
      <w:r>
        <w:rPr>
          <w:color w:val="231F20"/>
          <w:spacing w:val="-10"/>
        </w:rPr>
        <w:t> </w:t>
      </w:r>
      <w:r>
        <w:rPr>
          <w:color w:val="231F20"/>
        </w:rPr>
        <w:t>grandes</w:t>
      </w:r>
      <w:r>
        <w:rPr>
          <w:color w:val="231F20"/>
          <w:spacing w:val="-10"/>
        </w:rPr>
        <w:t> </w:t>
      </w:r>
      <w:r>
        <w:rPr>
          <w:color w:val="231F20"/>
        </w:rPr>
        <w:t>transnacionales</w:t>
      </w:r>
      <w:r>
        <w:rPr>
          <w:color w:val="231F20"/>
          <w:spacing w:val="-10"/>
        </w:rPr>
        <w:t> </w:t>
      </w:r>
      <w:r>
        <w:rPr>
          <w:color w:val="231F20"/>
        </w:rPr>
        <w:t>que</w:t>
      </w:r>
      <w:r>
        <w:rPr>
          <w:color w:val="231F20"/>
          <w:spacing w:val="-10"/>
        </w:rPr>
        <w:t> </w:t>
      </w:r>
      <w:r>
        <w:rPr>
          <w:color w:val="231F20"/>
        </w:rPr>
        <w:t>fijan</w:t>
      </w:r>
      <w:r>
        <w:rPr>
          <w:color w:val="231F20"/>
          <w:spacing w:val="-10"/>
        </w:rPr>
        <w:t> </w:t>
      </w:r>
      <w:r>
        <w:rPr>
          <w:color w:val="231F20"/>
        </w:rPr>
        <w:t>sus expectativas</w:t>
      </w:r>
      <w:r>
        <w:rPr>
          <w:color w:val="231F20"/>
          <w:spacing w:val="-7"/>
        </w:rPr>
        <w:t> </w:t>
      </w:r>
      <w:r>
        <w:rPr>
          <w:color w:val="231F20"/>
        </w:rPr>
        <w:t>de</w:t>
      </w:r>
      <w:r>
        <w:rPr>
          <w:color w:val="231F20"/>
          <w:spacing w:val="-7"/>
        </w:rPr>
        <w:t> </w:t>
      </w:r>
      <w:r>
        <w:rPr>
          <w:color w:val="231F20"/>
        </w:rPr>
        <w:t>crecimiento</w:t>
      </w:r>
      <w:r>
        <w:rPr>
          <w:color w:val="231F20"/>
          <w:spacing w:val="-7"/>
        </w:rPr>
        <w:t> </w:t>
      </w:r>
      <w:r>
        <w:rPr>
          <w:color w:val="231F20"/>
        </w:rPr>
        <w:t>en</w:t>
      </w:r>
      <w:r>
        <w:rPr>
          <w:color w:val="231F20"/>
          <w:spacing w:val="-7"/>
        </w:rPr>
        <w:t> </w:t>
      </w:r>
      <w:r>
        <w:rPr>
          <w:color w:val="231F20"/>
        </w:rPr>
        <w:t>las</w:t>
      </w:r>
      <w:r>
        <w:rPr>
          <w:color w:val="231F20"/>
          <w:spacing w:val="-7"/>
        </w:rPr>
        <w:t> </w:t>
      </w:r>
      <w:r>
        <w:rPr>
          <w:color w:val="231F20"/>
        </w:rPr>
        <w:t>ventajas</w:t>
      </w:r>
      <w:r>
        <w:rPr>
          <w:color w:val="231F20"/>
          <w:spacing w:val="-7"/>
        </w:rPr>
        <w:t> </w:t>
      </w:r>
      <w:r>
        <w:rPr>
          <w:color w:val="231F20"/>
        </w:rPr>
        <w:t>de</w:t>
      </w:r>
      <w:r>
        <w:rPr>
          <w:color w:val="231F20"/>
          <w:spacing w:val="-7"/>
        </w:rPr>
        <w:t> </w:t>
      </w:r>
      <w:r>
        <w:rPr>
          <w:color w:val="231F20"/>
        </w:rPr>
        <w:t>localización</w:t>
      </w:r>
      <w:r>
        <w:rPr>
          <w:color w:val="231F20"/>
          <w:spacing w:val="-7"/>
        </w:rPr>
        <w:t> </w:t>
      </w:r>
      <w:r>
        <w:rPr>
          <w:color w:val="231F20"/>
        </w:rPr>
        <w:t>(cercanía</w:t>
      </w:r>
      <w:r>
        <w:rPr>
          <w:color w:val="231F20"/>
          <w:spacing w:val="-7"/>
        </w:rPr>
        <w:t> </w:t>
      </w:r>
      <w:r>
        <w:rPr>
          <w:color w:val="231F20"/>
        </w:rPr>
        <w:t>con</w:t>
      </w:r>
      <w:r>
        <w:rPr>
          <w:color w:val="231F20"/>
          <w:spacing w:val="-7"/>
        </w:rPr>
        <w:t> </w:t>
      </w:r>
      <w:r>
        <w:rPr>
          <w:color w:val="231F20"/>
        </w:rPr>
        <w:t>los</w:t>
      </w:r>
      <w:r>
        <w:rPr>
          <w:color w:val="231F20"/>
          <w:spacing w:val="-7"/>
        </w:rPr>
        <w:t> </w:t>
      </w:r>
      <w:r>
        <w:rPr>
          <w:color w:val="231F20"/>
        </w:rPr>
        <w:t>mercados</w:t>
      </w:r>
    </w:p>
    <w:p>
      <w:pPr>
        <w:spacing w:after="0" w:line="278" w:lineRule="auto"/>
        <w:jc w:val="both"/>
        <w:sectPr>
          <w:pgSz w:w="9640" w:h="13040"/>
          <w:pgMar w:header="581" w:footer="654" w:top="780" w:bottom="840" w:left="420" w:right="1200"/>
        </w:sectPr>
      </w:pPr>
    </w:p>
    <w:p>
      <w:pPr>
        <w:pStyle w:val="BodyText"/>
        <w:rPr>
          <w:sz w:val="20"/>
        </w:rPr>
      </w:pPr>
    </w:p>
    <w:p>
      <w:pPr>
        <w:pStyle w:val="BodyText"/>
        <w:spacing w:before="10"/>
        <w:rPr>
          <w:sz w:val="17"/>
        </w:rPr>
      </w:pPr>
    </w:p>
    <w:p>
      <w:pPr>
        <w:pStyle w:val="BodyText"/>
        <w:spacing w:line="278" w:lineRule="auto"/>
        <w:ind w:left="103" w:right="712"/>
        <w:jc w:val="both"/>
      </w:pPr>
      <w:r>
        <w:rPr>
          <w:color w:val="231F20"/>
        </w:rPr>
        <w:t>estadounidense</w:t>
      </w:r>
      <w:r>
        <w:rPr>
          <w:color w:val="231F20"/>
          <w:spacing w:val="-4"/>
        </w:rPr>
        <w:t> </w:t>
      </w:r>
      <w:r>
        <w:rPr>
          <w:color w:val="231F20"/>
        </w:rPr>
        <w:t>y</w:t>
      </w:r>
      <w:r>
        <w:rPr>
          <w:color w:val="231F20"/>
          <w:spacing w:val="-4"/>
        </w:rPr>
        <w:t> </w:t>
      </w:r>
      <w:r>
        <w:rPr>
          <w:color w:val="231F20"/>
        </w:rPr>
        <w:t>canadiense,</w:t>
      </w:r>
      <w:r>
        <w:rPr>
          <w:color w:val="231F20"/>
          <w:spacing w:val="-4"/>
        </w:rPr>
        <w:t> </w:t>
      </w:r>
      <w:r>
        <w:rPr>
          <w:color w:val="231F20"/>
        </w:rPr>
        <w:t>mano</w:t>
      </w:r>
      <w:r>
        <w:rPr>
          <w:color w:val="231F20"/>
          <w:spacing w:val="-4"/>
        </w:rPr>
        <w:t> </w:t>
      </w:r>
      <w:r>
        <w:rPr>
          <w:color w:val="231F20"/>
        </w:rPr>
        <w:t>de</w:t>
      </w:r>
      <w:r>
        <w:rPr>
          <w:color w:val="231F20"/>
          <w:spacing w:val="-4"/>
        </w:rPr>
        <w:t> </w:t>
      </w:r>
      <w:r>
        <w:rPr>
          <w:color w:val="231F20"/>
        </w:rPr>
        <w:t>obra</w:t>
      </w:r>
      <w:r>
        <w:rPr>
          <w:color w:val="231F20"/>
          <w:spacing w:val="-4"/>
        </w:rPr>
        <w:t> </w:t>
      </w:r>
      <w:r>
        <w:rPr>
          <w:color w:val="231F20"/>
        </w:rPr>
        <w:t>barata</w:t>
      </w:r>
      <w:r>
        <w:rPr>
          <w:color w:val="231F20"/>
          <w:spacing w:val="-4"/>
        </w:rPr>
        <w:t> </w:t>
      </w:r>
      <w:r>
        <w:rPr>
          <w:color w:val="231F20"/>
        </w:rPr>
        <w:t>y</w:t>
      </w:r>
      <w:r>
        <w:rPr>
          <w:color w:val="231F20"/>
          <w:spacing w:val="-4"/>
        </w:rPr>
        <w:t> </w:t>
      </w:r>
      <w:r>
        <w:rPr>
          <w:color w:val="231F20"/>
        </w:rPr>
        <w:t>calificada,</w:t>
      </w:r>
      <w:r>
        <w:rPr>
          <w:color w:val="231F20"/>
          <w:spacing w:val="-4"/>
        </w:rPr>
        <w:t> </w:t>
      </w:r>
      <w:r>
        <w:rPr>
          <w:color w:val="231F20"/>
        </w:rPr>
        <w:t>escasa</w:t>
      </w:r>
      <w:r>
        <w:rPr>
          <w:color w:val="231F20"/>
          <w:spacing w:val="-4"/>
        </w:rPr>
        <w:t> </w:t>
      </w:r>
      <w:r>
        <w:rPr>
          <w:color w:val="231F20"/>
        </w:rPr>
        <w:t>tradición</w:t>
      </w:r>
      <w:r>
        <w:rPr>
          <w:color w:val="231F20"/>
          <w:spacing w:val="-4"/>
        </w:rPr>
        <w:t> </w:t>
      </w:r>
      <w:r>
        <w:rPr>
          <w:color w:val="231F20"/>
        </w:rPr>
        <w:t>sindi- cal, apoyos gubernamentales, infraestructura) que les ofrecen los estados del norte</w:t>
      </w:r>
      <w:r>
        <w:rPr>
          <w:color w:val="231F20"/>
          <w:spacing w:val="-32"/>
        </w:rPr>
        <w:t> </w:t>
      </w:r>
      <w:r>
        <w:rPr>
          <w:color w:val="231F20"/>
        </w:rPr>
        <w:t>del país,</w:t>
      </w:r>
      <w:r>
        <w:rPr>
          <w:color w:val="231F20"/>
          <w:spacing w:val="-6"/>
        </w:rPr>
        <w:t> </w:t>
      </w:r>
      <w:r>
        <w:rPr>
          <w:color w:val="231F20"/>
        </w:rPr>
        <w:t>por</w:t>
      </w:r>
      <w:r>
        <w:rPr>
          <w:color w:val="231F20"/>
          <w:spacing w:val="-6"/>
        </w:rPr>
        <w:t> </w:t>
      </w:r>
      <w:r>
        <w:rPr>
          <w:color w:val="231F20"/>
        </w:rPr>
        <w:t>su</w:t>
      </w:r>
      <w:r>
        <w:rPr>
          <w:color w:val="231F20"/>
          <w:spacing w:val="-6"/>
        </w:rPr>
        <w:t> </w:t>
      </w:r>
      <w:r>
        <w:rPr>
          <w:color w:val="231F20"/>
        </w:rPr>
        <w:t>cercanía</w:t>
      </w:r>
      <w:r>
        <w:rPr>
          <w:color w:val="231F20"/>
          <w:spacing w:val="-6"/>
        </w:rPr>
        <w:t> </w:t>
      </w:r>
      <w:r>
        <w:rPr>
          <w:color w:val="231F20"/>
        </w:rPr>
        <w:t>a</w:t>
      </w:r>
      <w:r>
        <w:rPr>
          <w:color w:val="231F20"/>
          <w:spacing w:val="-6"/>
        </w:rPr>
        <w:t> </w:t>
      </w:r>
      <w:r>
        <w:rPr>
          <w:color w:val="231F20"/>
        </w:rPr>
        <w:t>los</w:t>
      </w:r>
      <w:r>
        <w:rPr>
          <w:color w:val="231F20"/>
          <w:spacing w:val="-6"/>
        </w:rPr>
        <w:t> </w:t>
      </w:r>
      <w:r>
        <w:rPr>
          <w:color w:val="231F20"/>
        </w:rPr>
        <w:t>mercados</w:t>
      </w:r>
      <w:r>
        <w:rPr>
          <w:color w:val="231F20"/>
          <w:spacing w:val="-6"/>
        </w:rPr>
        <w:t> </w:t>
      </w:r>
      <w:r>
        <w:rPr>
          <w:color w:val="231F20"/>
        </w:rPr>
        <w:t>estadounidense</w:t>
      </w:r>
      <w:r>
        <w:rPr>
          <w:color w:val="231F20"/>
          <w:spacing w:val="-6"/>
        </w:rPr>
        <w:t> </w:t>
      </w:r>
      <w:r>
        <w:rPr>
          <w:color w:val="231F20"/>
        </w:rPr>
        <w:t>y</w:t>
      </w:r>
      <w:r>
        <w:rPr>
          <w:color w:val="231F20"/>
          <w:spacing w:val="-6"/>
        </w:rPr>
        <w:t> </w:t>
      </w:r>
      <w:r>
        <w:rPr>
          <w:color w:val="231F20"/>
        </w:rPr>
        <w:t>canadiense.</w:t>
      </w:r>
    </w:p>
    <w:p>
      <w:pPr>
        <w:pStyle w:val="BodyText"/>
        <w:spacing w:line="278" w:lineRule="auto" w:before="1"/>
        <w:ind w:left="103" w:right="711" w:firstLine="396"/>
        <w:jc w:val="both"/>
      </w:pPr>
      <w:r>
        <w:rPr>
          <w:color w:val="231F20"/>
          <w:spacing w:val="-4"/>
        </w:rPr>
        <w:t>Por </w:t>
      </w:r>
      <w:r>
        <w:rPr>
          <w:color w:val="231F20"/>
        </w:rPr>
        <w:t>otro lado, se presenta el agotamiento de procesos productivos; es </w:t>
      </w:r>
      <w:r>
        <w:rPr>
          <w:color w:val="231F20"/>
          <w:spacing w:val="-3"/>
        </w:rPr>
        <w:t>decir, </w:t>
      </w:r>
      <w:r>
        <w:rPr>
          <w:color w:val="231F20"/>
        </w:rPr>
        <w:t>que, dados los requerimientos de la demanda y las necesidades del mercado externo, la planta</w:t>
      </w:r>
      <w:r>
        <w:rPr>
          <w:color w:val="231F20"/>
          <w:spacing w:val="-9"/>
        </w:rPr>
        <w:t> </w:t>
      </w:r>
      <w:r>
        <w:rPr>
          <w:color w:val="231F20"/>
        </w:rPr>
        <w:t>productiva</w:t>
      </w:r>
      <w:r>
        <w:rPr>
          <w:color w:val="231F20"/>
          <w:spacing w:val="-9"/>
        </w:rPr>
        <w:t> </w:t>
      </w:r>
      <w:r>
        <w:rPr>
          <w:color w:val="231F20"/>
        </w:rPr>
        <w:t>del</w:t>
      </w:r>
      <w:r>
        <w:rPr>
          <w:color w:val="231F20"/>
          <w:spacing w:val="-9"/>
        </w:rPr>
        <w:t> </w:t>
      </w:r>
      <w:r>
        <w:rPr>
          <w:color w:val="231F20"/>
        </w:rPr>
        <w:t>estado</w:t>
      </w:r>
      <w:r>
        <w:rPr>
          <w:color w:val="231F20"/>
          <w:spacing w:val="-9"/>
        </w:rPr>
        <w:t> </w:t>
      </w:r>
      <w:r>
        <w:rPr>
          <w:color w:val="231F20"/>
        </w:rPr>
        <w:t>no</w:t>
      </w:r>
      <w:r>
        <w:rPr>
          <w:color w:val="231F20"/>
          <w:spacing w:val="-9"/>
        </w:rPr>
        <w:t> </w:t>
      </w:r>
      <w:r>
        <w:rPr>
          <w:color w:val="231F20"/>
        </w:rPr>
        <w:t>cuenta</w:t>
      </w:r>
      <w:r>
        <w:rPr>
          <w:color w:val="231F20"/>
          <w:spacing w:val="-9"/>
        </w:rPr>
        <w:t> </w:t>
      </w:r>
      <w:r>
        <w:rPr>
          <w:color w:val="231F20"/>
        </w:rPr>
        <w:t>con</w:t>
      </w:r>
      <w:r>
        <w:rPr>
          <w:color w:val="231F20"/>
          <w:spacing w:val="-9"/>
        </w:rPr>
        <w:t> </w:t>
      </w:r>
      <w:r>
        <w:rPr>
          <w:color w:val="231F20"/>
        </w:rPr>
        <w:t>las</w:t>
      </w:r>
      <w:r>
        <w:rPr>
          <w:color w:val="231F20"/>
          <w:spacing w:val="-9"/>
        </w:rPr>
        <w:t> </w:t>
      </w:r>
      <w:r>
        <w:rPr>
          <w:color w:val="231F20"/>
        </w:rPr>
        <w:t>mejores</w:t>
      </w:r>
      <w:r>
        <w:rPr>
          <w:color w:val="231F20"/>
          <w:spacing w:val="-9"/>
        </w:rPr>
        <w:t> </w:t>
      </w:r>
      <w:r>
        <w:rPr>
          <w:color w:val="231F20"/>
        </w:rPr>
        <w:t>condiciones</w:t>
      </w:r>
      <w:r>
        <w:rPr>
          <w:color w:val="231F20"/>
          <w:spacing w:val="-9"/>
        </w:rPr>
        <w:t> </w:t>
      </w:r>
      <w:r>
        <w:rPr>
          <w:color w:val="231F20"/>
        </w:rPr>
        <w:t>para</w:t>
      </w:r>
      <w:r>
        <w:rPr>
          <w:color w:val="231F20"/>
          <w:spacing w:val="-9"/>
        </w:rPr>
        <w:t> </w:t>
      </w:r>
      <w:r>
        <w:rPr>
          <w:color w:val="231F20"/>
        </w:rPr>
        <w:t>convertirse</w:t>
      </w:r>
      <w:r>
        <w:rPr>
          <w:color w:val="231F20"/>
          <w:spacing w:val="-9"/>
        </w:rPr>
        <w:t> </w:t>
      </w:r>
      <w:r>
        <w:rPr>
          <w:color w:val="231F20"/>
        </w:rPr>
        <w:t>en motor</w:t>
      </w:r>
      <w:r>
        <w:rPr>
          <w:color w:val="231F20"/>
          <w:spacing w:val="-5"/>
        </w:rPr>
        <w:t> </w:t>
      </w:r>
      <w:r>
        <w:rPr>
          <w:color w:val="231F20"/>
        </w:rPr>
        <w:t>del</w:t>
      </w:r>
      <w:r>
        <w:rPr>
          <w:color w:val="231F20"/>
          <w:spacing w:val="-5"/>
        </w:rPr>
        <w:t> </w:t>
      </w:r>
      <w:r>
        <w:rPr>
          <w:color w:val="231F20"/>
        </w:rPr>
        <w:t>crecimiento,</w:t>
      </w:r>
      <w:r>
        <w:rPr>
          <w:color w:val="231F20"/>
          <w:spacing w:val="-5"/>
        </w:rPr>
        <w:t> </w:t>
      </w:r>
      <w:r>
        <w:rPr>
          <w:color w:val="231F20"/>
        </w:rPr>
        <w:t>pues</w:t>
      </w:r>
      <w:r>
        <w:rPr>
          <w:color w:val="231F20"/>
          <w:spacing w:val="-5"/>
        </w:rPr>
        <w:t> </w:t>
      </w:r>
      <w:r>
        <w:rPr>
          <w:color w:val="231F20"/>
        </w:rPr>
        <w:t>fue</w:t>
      </w:r>
      <w:r>
        <w:rPr>
          <w:color w:val="231F20"/>
          <w:spacing w:val="-5"/>
        </w:rPr>
        <w:t> </w:t>
      </w:r>
      <w:r>
        <w:rPr>
          <w:color w:val="231F20"/>
        </w:rPr>
        <w:t>creada</w:t>
      </w:r>
      <w:r>
        <w:rPr>
          <w:color w:val="231F20"/>
          <w:spacing w:val="-5"/>
        </w:rPr>
        <w:t> </w:t>
      </w:r>
      <w:r>
        <w:rPr>
          <w:color w:val="231F20"/>
        </w:rPr>
        <w:t>bajo</w:t>
      </w:r>
      <w:r>
        <w:rPr>
          <w:color w:val="231F20"/>
          <w:spacing w:val="-5"/>
        </w:rPr>
        <w:t> </w:t>
      </w:r>
      <w:r>
        <w:rPr>
          <w:color w:val="231F20"/>
        </w:rPr>
        <w:t>una</w:t>
      </w:r>
      <w:r>
        <w:rPr>
          <w:color w:val="231F20"/>
          <w:spacing w:val="-5"/>
        </w:rPr>
        <w:t> </w:t>
      </w:r>
      <w:r>
        <w:rPr>
          <w:color w:val="231F20"/>
        </w:rPr>
        <w:t>lógica</w:t>
      </w:r>
      <w:r>
        <w:rPr>
          <w:color w:val="231F20"/>
          <w:spacing w:val="-5"/>
        </w:rPr>
        <w:t> </w:t>
      </w:r>
      <w:r>
        <w:rPr>
          <w:color w:val="231F20"/>
        </w:rPr>
        <w:t>económica</w:t>
      </w:r>
      <w:r>
        <w:rPr>
          <w:color w:val="231F20"/>
          <w:spacing w:val="-5"/>
        </w:rPr>
        <w:t> </w:t>
      </w:r>
      <w:r>
        <w:rPr>
          <w:color w:val="231F20"/>
        </w:rPr>
        <w:t>distinta.</w:t>
      </w:r>
    </w:p>
    <w:p>
      <w:pPr>
        <w:pStyle w:val="BodyText"/>
        <w:spacing w:line="278" w:lineRule="auto" w:before="1"/>
        <w:ind w:left="103" w:right="710" w:firstLine="396"/>
        <w:jc w:val="both"/>
      </w:pPr>
      <w:r>
        <w:rPr>
          <w:color w:val="231F20"/>
        </w:rPr>
        <w:t>En el Estado de México no se ha logrado consolidar un clúster automotriz como tal, lo que sin duda responde a intereses de las firmas. Las armadoras han buscado lo- calizarse</w:t>
      </w:r>
      <w:r>
        <w:rPr>
          <w:color w:val="231F20"/>
          <w:spacing w:val="-14"/>
        </w:rPr>
        <w:t> </w:t>
      </w:r>
      <w:r>
        <w:rPr>
          <w:color w:val="231F20"/>
        </w:rPr>
        <w:t>donde</w:t>
      </w:r>
      <w:r>
        <w:rPr>
          <w:color w:val="231F20"/>
          <w:spacing w:val="-14"/>
        </w:rPr>
        <w:t> </w:t>
      </w:r>
      <w:r>
        <w:rPr>
          <w:color w:val="231F20"/>
        </w:rPr>
        <w:t>les</w:t>
      </w:r>
      <w:r>
        <w:rPr>
          <w:color w:val="231F20"/>
          <w:spacing w:val="-14"/>
        </w:rPr>
        <w:t> </w:t>
      </w:r>
      <w:r>
        <w:rPr>
          <w:color w:val="231F20"/>
        </w:rPr>
        <w:t>ofrezcan</w:t>
      </w:r>
      <w:r>
        <w:rPr>
          <w:color w:val="231F20"/>
          <w:spacing w:val="-14"/>
        </w:rPr>
        <w:t> </w:t>
      </w:r>
      <w:r>
        <w:rPr>
          <w:color w:val="231F20"/>
        </w:rPr>
        <w:t>las</w:t>
      </w:r>
      <w:r>
        <w:rPr>
          <w:color w:val="231F20"/>
          <w:spacing w:val="-14"/>
        </w:rPr>
        <w:t> </w:t>
      </w:r>
      <w:r>
        <w:rPr>
          <w:color w:val="231F20"/>
        </w:rPr>
        <w:t>mejores</w:t>
      </w:r>
      <w:r>
        <w:rPr>
          <w:color w:val="231F20"/>
          <w:spacing w:val="-14"/>
        </w:rPr>
        <w:t> </w:t>
      </w:r>
      <w:r>
        <w:rPr>
          <w:color w:val="231F20"/>
        </w:rPr>
        <w:t>condiciones</w:t>
      </w:r>
      <w:r>
        <w:rPr>
          <w:color w:val="231F20"/>
          <w:spacing w:val="-14"/>
        </w:rPr>
        <w:t> </w:t>
      </w:r>
      <w:r>
        <w:rPr>
          <w:color w:val="231F20"/>
        </w:rPr>
        <w:t>para</w:t>
      </w:r>
      <w:r>
        <w:rPr>
          <w:color w:val="231F20"/>
          <w:spacing w:val="-14"/>
        </w:rPr>
        <w:t> </w:t>
      </w:r>
      <w:r>
        <w:rPr>
          <w:color w:val="231F20"/>
        </w:rPr>
        <w:t>poder</w:t>
      </w:r>
      <w:r>
        <w:rPr>
          <w:color w:val="231F20"/>
          <w:spacing w:val="-14"/>
        </w:rPr>
        <w:t> </w:t>
      </w:r>
      <w:r>
        <w:rPr>
          <w:color w:val="231F20"/>
        </w:rPr>
        <w:t>competir</w:t>
      </w:r>
      <w:r>
        <w:rPr>
          <w:color w:val="231F20"/>
          <w:spacing w:val="-14"/>
        </w:rPr>
        <w:t> </w:t>
      </w:r>
      <w:r>
        <w:rPr>
          <w:color w:val="231F20"/>
        </w:rPr>
        <w:t>en</w:t>
      </w:r>
      <w:r>
        <w:rPr>
          <w:color w:val="231F20"/>
          <w:spacing w:val="-14"/>
        </w:rPr>
        <w:t> </w:t>
      </w:r>
      <w:r>
        <w:rPr>
          <w:color w:val="231F20"/>
        </w:rPr>
        <w:t>los</w:t>
      </w:r>
      <w:r>
        <w:rPr>
          <w:color w:val="231F20"/>
          <w:spacing w:val="-14"/>
        </w:rPr>
        <w:t> </w:t>
      </w:r>
      <w:r>
        <w:rPr>
          <w:color w:val="231F20"/>
        </w:rPr>
        <w:t>merca- dos</w:t>
      </w:r>
      <w:r>
        <w:rPr>
          <w:color w:val="231F20"/>
          <w:spacing w:val="-15"/>
        </w:rPr>
        <w:t> </w:t>
      </w:r>
      <w:r>
        <w:rPr>
          <w:color w:val="231F20"/>
        </w:rPr>
        <w:t>nacionales,</w:t>
      </w:r>
      <w:r>
        <w:rPr>
          <w:color w:val="231F20"/>
          <w:spacing w:val="-15"/>
        </w:rPr>
        <w:t> </w:t>
      </w:r>
      <w:r>
        <w:rPr>
          <w:color w:val="231F20"/>
        </w:rPr>
        <w:t>pero</w:t>
      </w:r>
      <w:r>
        <w:rPr>
          <w:color w:val="231F20"/>
          <w:spacing w:val="-15"/>
        </w:rPr>
        <w:t> </w:t>
      </w:r>
      <w:r>
        <w:rPr>
          <w:color w:val="231F20"/>
        </w:rPr>
        <w:t>sobre</w:t>
      </w:r>
      <w:r>
        <w:rPr>
          <w:color w:val="231F20"/>
          <w:spacing w:val="-15"/>
        </w:rPr>
        <w:t> </w:t>
      </w:r>
      <w:r>
        <w:rPr>
          <w:color w:val="231F20"/>
        </w:rPr>
        <w:t>todo</w:t>
      </w:r>
      <w:r>
        <w:rPr>
          <w:color w:val="231F20"/>
          <w:spacing w:val="-15"/>
        </w:rPr>
        <w:t> </w:t>
      </w:r>
      <w:r>
        <w:rPr>
          <w:color w:val="231F20"/>
        </w:rPr>
        <w:t>internacionales;</w:t>
      </w:r>
      <w:r>
        <w:rPr>
          <w:color w:val="231F20"/>
          <w:spacing w:val="-15"/>
        </w:rPr>
        <w:t> </w:t>
      </w:r>
      <w:r>
        <w:rPr>
          <w:color w:val="231F20"/>
        </w:rPr>
        <w:t>en</w:t>
      </w:r>
      <w:r>
        <w:rPr>
          <w:color w:val="231F20"/>
          <w:spacing w:val="-15"/>
        </w:rPr>
        <w:t> </w:t>
      </w:r>
      <w:r>
        <w:rPr>
          <w:color w:val="231F20"/>
        </w:rPr>
        <w:t>este</w:t>
      </w:r>
      <w:r>
        <w:rPr>
          <w:color w:val="231F20"/>
          <w:spacing w:val="-15"/>
        </w:rPr>
        <w:t> </w:t>
      </w:r>
      <w:r>
        <w:rPr>
          <w:color w:val="231F20"/>
        </w:rPr>
        <w:t>caso,</w:t>
      </w:r>
      <w:r>
        <w:rPr>
          <w:color w:val="231F20"/>
          <w:spacing w:val="-15"/>
        </w:rPr>
        <w:t> </w:t>
      </w:r>
      <w:r>
        <w:rPr>
          <w:color w:val="231F20"/>
        </w:rPr>
        <w:t>las</w:t>
      </w:r>
      <w:r>
        <w:rPr>
          <w:color w:val="231F20"/>
          <w:spacing w:val="-15"/>
        </w:rPr>
        <w:t> </w:t>
      </w:r>
      <w:r>
        <w:rPr>
          <w:color w:val="231F20"/>
        </w:rPr>
        <w:t>ofrecen</w:t>
      </w:r>
      <w:r>
        <w:rPr>
          <w:color w:val="231F20"/>
          <w:spacing w:val="-15"/>
        </w:rPr>
        <w:t> </w:t>
      </w:r>
      <w:r>
        <w:rPr>
          <w:color w:val="231F20"/>
        </w:rPr>
        <w:t>los</w:t>
      </w:r>
      <w:r>
        <w:rPr>
          <w:color w:val="231F20"/>
          <w:spacing w:val="-15"/>
        </w:rPr>
        <w:t> </w:t>
      </w:r>
      <w:r>
        <w:rPr>
          <w:color w:val="231F20"/>
        </w:rPr>
        <w:t>estados</w:t>
      </w:r>
      <w:r>
        <w:rPr>
          <w:color w:val="231F20"/>
          <w:spacing w:val="-15"/>
        </w:rPr>
        <w:t> </w:t>
      </w:r>
      <w:r>
        <w:rPr>
          <w:color w:val="231F20"/>
        </w:rPr>
        <w:t>del norte,</w:t>
      </w:r>
      <w:r>
        <w:rPr>
          <w:color w:val="231F20"/>
          <w:spacing w:val="-10"/>
        </w:rPr>
        <w:t> </w:t>
      </w:r>
      <w:r>
        <w:rPr>
          <w:color w:val="231F20"/>
        </w:rPr>
        <w:t>por</w:t>
      </w:r>
      <w:r>
        <w:rPr>
          <w:color w:val="231F20"/>
          <w:spacing w:val="-10"/>
        </w:rPr>
        <w:t> </w:t>
      </w:r>
      <w:r>
        <w:rPr>
          <w:color w:val="231F20"/>
        </w:rPr>
        <w:t>lo</w:t>
      </w:r>
      <w:r>
        <w:rPr>
          <w:color w:val="231F20"/>
          <w:spacing w:val="-10"/>
        </w:rPr>
        <w:t> </w:t>
      </w:r>
      <w:r>
        <w:rPr>
          <w:color w:val="231F20"/>
        </w:rPr>
        <w:t>que</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ha</w:t>
      </w:r>
      <w:r>
        <w:rPr>
          <w:color w:val="231F20"/>
          <w:spacing w:val="-10"/>
        </w:rPr>
        <w:t> </w:t>
      </w:r>
      <w:r>
        <w:rPr>
          <w:color w:val="231F20"/>
        </w:rPr>
        <w:t>perdido</w:t>
      </w:r>
      <w:r>
        <w:rPr>
          <w:color w:val="231F20"/>
          <w:spacing w:val="-10"/>
        </w:rPr>
        <w:t> </w:t>
      </w:r>
      <w:r>
        <w:rPr>
          <w:color w:val="231F20"/>
        </w:rPr>
        <w:t>atractivo</w:t>
      </w:r>
      <w:r>
        <w:rPr>
          <w:color w:val="231F20"/>
          <w:spacing w:val="-10"/>
        </w:rPr>
        <w:t> </w:t>
      </w:r>
      <w:r>
        <w:rPr>
          <w:color w:val="231F20"/>
        </w:rPr>
        <w:t>como</w:t>
      </w:r>
      <w:r>
        <w:rPr>
          <w:color w:val="231F20"/>
          <w:spacing w:val="-10"/>
        </w:rPr>
        <w:t> </w:t>
      </w:r>
      <w:r>
        <w:rPr>
          <w:color w:val="231F20"/>
        </w:rPr>
        <w:t>punto</w:t>
      </w:r>
      <w:r>
        <w:rPr>
          <w:color w:val="231F20"/>
          <w:spacing w:val="-10"/>
        </w:rPr>
        <w:t> </w:t>
      </w:r>
      <w:r>
        <w:rPr>
          <w:color w:val="231F20"/>
        </w:rPr>
        <w:t>de</w:t>
      </w:r>
      <w:r>
        <w:rPr>
          <w:color w:val="231F20"/>
          <w:spacing w:val="-10"/>
        </w:rPr>
        <w:t> </w:t>
      </w:r>
      <w:r>
        <w:rPr>
          <w:color w:val="231F20"/>
        </w:rPr>
        <w:t>localización. </w:t>
      </w:r>
      <w:r>
        <w:rPr>
          <w:color w:val="231F20"/>
          <w:spacing w:val="-4"/>
        </w:rPr>
        <w:t>Por </w:t>
      </w:r>
      <w:r>
        <w:rPr>
          <w:color w:val="231F20"/>
        </w:rPr>
        <w:t>el lado de las autopartes, en la lógica de abastecer a las armadoras se han concen- trado también en zonas próximas a</w:t>
      </w:r>
      <w:r>
        <w:rPr>
          <w:color w:val="231F20"/>
          <w:spacing w:val="-23"/>
        </w:rPr>
        <w:t> </w:t>
      </w:r>
      <w:r>
        <w:rPr>
          <w:color w:val="231F20"/>
        </w:rPr>
        <w:t>ellas.</w:t>
      </w:r>
    </w:p>
    <w:p>
      <w:pPr>
        <w:pStyle w:val="BodyText"/>
        <w:spacing w:line="278" w:lineRule="auto" w:before="1"/>
        <w:ind w:left="103" w:right="710" w:firstLine="396"/>
        <w:jc w:val="both"/>
      </w:pPr>
      <w:r>
        <w:rPr>
          <w:color w:val="231F20"/>
        </w:rPr>
        <w:t>Las grandes transnacionales establecidas en el Estado de México dependen fuer- temente</w:t>
      </w:r>
      <w:r>
        <w:rPr>
          <w:color w:val="231F20"/>
          <w:spacing w:val="-5"/>
        </w:rPr>
        <w:t> </w:t>
      </w:r>
      <w:r>
        <w:rPr>
          <w:color w:val="231F20"/>
        </w:rPr>
        <w:t>de</w:t>
      </w:r>
      <w:r>
        <w:rPr>
          <w:color w:val="231F20"/>
          <w:spacing w:val="-5"/>
        </w:rPr>
        <w:t> </w:t>
      </w:r>
      <w:r>
        <w:rPr>
          <w:color w:val="231F20"/>
        </w:rPr>
        <w:t>insumos</w:t>
      </w:r>
      <w:r>
        <w:rPr>
          <w:color w:val="231F20"/>
          <w:spacing w:val="-5"/>
        </w:rPr>
        <w:t> </w:t>
      </w:r>
      <w:r>
        <w:rPr>
          <w:color w:val="231F20"/>
        </w:rPr>
        <w:t>importados</w:t>
      </w:r>
      <w:r>
        <w:rPr>
          <w:color w:val="231F20"/>
          <w:spacing w:val="-5"/>
        </w:rPr>
        <w:t> </w:t>
      </w:r>
      <w:r>
        <w:rPr>
          <w:color w:val="231F20"/>
        </w:rPr>
        <w:t>(Estados</w:t>
      </w:r>
      <w:r>
        <w:rPr>
          <w:color w:val="231F20"/>
          <w:spacing w:val="-5"/>
        </w:rPr>
        <w:t> </w:t>
      </w:r>
      <w:r>
        <w:rPr>
          <w:color w:val="231F20"/>
        </w:rPr>
        <w:t>Unidos</w:t>
      </w:r>
      <w:r>
        <w:rPr>
          <w:color w:val="231F20"/>
          <w:spacing w:val="-5"/>
        </w:rPr>
        <w:t> </w:t>
      </w:r>
      <w:r>
        <w:rPr>
          <w:color w:val="231F20"/>
        </w:rPr>
        <w:t>y</w:t>
      </w:r>
      <w:r>
        <w:rPr>
          <w:color w:val="231F20"/>
          <w:spacing w:val="-5"/>
        </w:rPr>
        <w:t> </w:t>
      </w:r>
      <w:r>
        <w:rPr>
          <w:color w:val="231F20"/>
        </w:rPr>
        <w:t>Alemania),</w:t>
      </w:r>
      <w:r>
        <w:rPr>
          <w:color w:val="231F20"/>
          <w:spacing w:val="-5"/>
        </w:rPr>
        <w:t> </w:t>
      </w:r>
      <w:r>
        <w:rPr>
          <w:color w:val="231F20"/>
        </w:rPr>
        <w:t>lo</w:t>
      </w:r>
      <w:r>
        <w:rPr>
          <w:color w:val="231F20"/>
          <w:spacing w:val="-5"/>
        </w:rPr>
        <w:t> </w:t>
      </w:r>
      <w:r>
        <w:rPr>
          <w:color w:val="231F20"/>
        </w:rPr>
        <w:t>que</w:t>
      </w:r>
      <w:r>
        <w:rPr>
          <w:color w:val="231F20"/>
          <w:spacing w:val="-5"/>
        </w:rPr>
        <w:t> </w:t>
      </w:r>
      <w:r>
        <w:rPr>
          <w:color w:val="231F20"/>
        </w:rPr>
        <w:t>ha</w:t>
      </w:r>
      <w:r>
        <w:rPr>
          <w:color w:val="231F20"/>
          <w:spacing w:val="-5"/>
        </w:rPr>
        <w:t> </w:t>
      </w:r>
      <w:r>
        <w:rPr>
          <w:color w:val="231F20"/>
        </w:rPr>
        <w:t>dificultado</w:t>
      </w:r>
      <w:r>
        <w:rPr>
          <w:color w:val="231F20"/>
          <w:spacing w:val="-5"/>
        </w:rPr>
        <w:t> </w:t>
      </w:r>
      <w:r>
        <w:rPr>
          <w:color w:val="231F20"/>
        </w:rPr>
        <w:t>la conformación y la consolidación de una base de proveedores de autopartes local inte- grada</w:t>
      </w:r>
      <w:r>
        <w:rPr>
          <w:color w:val="231F20"/>
          <w:spacing w:val="-8"/>
        </w:rPr>
        <w:t> </w:t>
      </w:r>
      <w:r>
        <w:rPr>
          <w:color w:val="231F20"/>
        </w:rPr>
        <w:t>y</w:t>
      </w:r>
      <w:r>
        <w:rPr>
          <w:color w:val="231F20"/>
          <w:spacing w:val="-8"/>
        </w:rPr>
        <w:t> </w:t>
      </w:r>
      <w:r>
        <w:rPr>
          <w:color w:val="231F20"/>
        </w:rPr>
        <w:t>competitiva,</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capacidad</w:t>
      </w:r>
      <w:r>
        <w:rPr>
          <w:color w:val="231F20"/>
          <w:spacing w:val="-8"/>
        </w:rPr>
        <w:t> </w:t>
      </w:r>
      <w:r>
        <w:rPr>
          <w:color w:val="231F20"/>
        </w:rPr>
        <w:t>de</w:t>
      </w:r>
      <w:r>
        <w:rPr>
          <w:color w:val="231F20"/>
          <w:spacing w:val="-8"/>
        </w:rPr>
        <w:t> </w:t>
      </w:r>
      <w:r>
        <w:rPr>
          <w:color w:val="231F20"/>
        </w:rPr>
        <w:t>innovar</w:t>
      </w:r>
      <w:r>
        <w:rPr>
          <w:color w:val="231F20"/>
          <w:spacing w:val="-8"/>
        </w:rPr>
        <w:t> </w:t>
      </w:r>
      <w:r>
        <w:rPr>
          <w:color w:val="231F20"/>
        </w:rPr>
        <w:t>y</w:t>
      </w:r>
      <w:r>
        <w:rPr>
          <w:color w:val="231F20"/>
          <w:spacing w:val="-8"/>
        </w:rPr>
        <w:t> </w:t>
      </w:r>
      <w:r>
        <w:rPr>
          <w:color w:val="231F20"/>
        </w:rPr>
        <w:t>que</w:t>
      </w:r>
      <w:r>
        <w:rPr>
          <w:color w:val="231F20"/>
          <w:spacing w:val="-8"/>
        </w:rPr>
        <w:t> </w:t>
      </w:r>
      <w:r>
        <w:rPr>
          <w:color w:val="231F20"/>
        </w:rPr>
        <w:t>cuente</w:t>
      </w:r>
      <w:r>
        <w:rPr>
          <w:color w:val="231F20"/>
          <w:spacing w:val="-8"/>
        </w:rPr>
        <w:t> </w:t>
      </w:r>
      <w:r>
        <w:rPr>
          <w:color w:val="231F20"/>
        </w:rPr>
        <w:t>con</w:t>
      </w:r>
      <w:r>
        <w:rPr>
          <w:color w:val="231F20"/>
          <w:spacing w:val="-8"/>
        </w:rPr>
        <w:t> </w:t>
      </w:r>
      <w:r>
        <w:rPr>
          <w:color w:val="231F20"/>
        </w:rPr>
        <w:t>tecnología</w:t>
      </w:r>
      <w:r>
        <w:rPr>
          <w:color w:val="231F20"/>
          <w:spacing w:val="-8"/>
        </w:rPr>
        <w:t> </w:t>
      </w:r>
      <w:r>
        <w:rPr>
          <w:color w:val="231F20"/>
        </w:rPr>
        <w:t>de</w:t>
      </w:r>
      <w:r>
        <w:rPr>
          <w:color w:val="231F20"/>
          <w:spacing w:val="-8"/>
        </w:rPr>
        <w:t> </w:t>
      </w:r>
      <w:r>
        <w:rPr>
          <w:color w:val="231F20"/>
        </w:rPr>
        <w:t>punta que permita fortalecer al sector automotriz del</w:t>
      </w:r>
      <w:r>
        <w:rPr>
          <w:color w:val="231F20"/>
          <w:spacing w:val="-16"/>
        </w:rPr>
        <w:t> </w:t>
      </w:r>
      <w:r>
        <w:rPr>
          <w:color w:val="231F20"/>
        </w:rPr>
        <w:t>estado.</w:t>
      </w:r>
    </w:p>
    <w:p>
      <w:pPr>
        <w:pStyle w:val="BodyText"/>
        <w:spacing w:line="278" w:lineRule="auto" w:before="1"/>
        <w:ind w:left="103" w:right="711" w:firstLine="396"/>
        <w:jc w:val="both"/>
      </w:pPr>
      <w:r>
        <w:rPr>
          <w:color w:val="231F20"/>
        </w:rPr>
        <w:t>El sector automotriz localizado en el Estado de México ha perdido dinamismo; sin</w:t>
      </w:r>
      <w:r>
        <w:rPr>
          <w:color w:val="231F20"/>
          <w:spacing w:val="-5"/>
        </w:rPr>
        <w:t> </w:t>
      </w:r>
      <w:r>
        <w:rPr>
          <w:color w:val="231F20"/>
        </w:rPr>
        <w:t>embargo,</w:t>
      </w:r>
      <w:r>
        <w:rPr>
          <w:color w:val="231F20"/>
          <w:spacing w:val="-5"/>
        </w:rPr>
        <w:t> </w:t>
      </w:r>
      <w:r>
        <w:rPr>
          <w:color w:val="231F20"/>
        </w:rPr>
        <w:t>ésta</w:t>
      </w:r>
      <w:r>
        <w:rPr>
          <w:color w:val="231F20"/>
          <w:spacing w:val="-5"/>
        </w:rPr>
        <w:t> </w:t>
      </w:r>
      <w:r>
        <w:rPr>
          <w:color w:val="231F20"/>
        </w:rPr>
        <w:t>no</w:t>
      </w:r>
      <w:r>
        <w:rPr>
          <w:color w:val="231F20"/>
          <w:spacing w:val="-5"/>
        </w:rPr>
        <w:t> </w:t>
      </w:r>
      <w:r>
        <w:rPr>
          <w:color w:val="231F20"/>
        </w:rPr>
        <w:t>es</w:t>
      </w:r>
      <w:r>
        <w:rPr>
          <w:color w:val="231F20"/>
          <w:spacing w:val="-5"/>
        </w:rPr>
        <w:t> </w:t>
      </w:r>
      <w:r>
        <w:rPr>
          <w:color w:val="231F20"/>
        </w:rPr>
        <w:t>una</w:t>
      </w:r>
      <w:r>
        <w:rPr>
          <w:color w:val="231F20"/>
          <w:spacing w:val="-5"/>
        </w:rPr>
        <w:t> </w:t>
      </w:r>
      <w:r>
        <w:rPr>
          <w:color w:val="231F20"/>
        </w:rPr>
        <w:t>situación</w:t>
      </w:r>
      <w:r>
        <w:rPr>
          <w:color w:val="231F20"/>
          <w:spacing w:val="-5"/>
        </w:rPr>
        <w:t> </w:t>
      </w:r>
      <w:r>
        <w:rPr>
          <w:color w:val="231F20"/>
        </w:rPr>
        <w:t>particular</w:t>
      </w:r>
      <w:r>
        <w:rPr>
          <w:color w:val="231F20"/>
          <w:spacing w:val="-5"/>
        </w:rPr>
        <w:t> </w:t>
      </w:r>
      <w:r>
        <w:rPr>
          <w:color w:val="231F20"/>
        </w:rPr>
        <w:t>del</w:t>
      </w:r>
      <w:r>
        <w:rPr>
          <w:color w:val="231F20"/>
          <w:spacing w:val="-5"/>
        </w:rPr>
        <w:t> </w:t>
      </w:r>
      <w:r>
        <w:rPr>
          <w:color w:val="231F20"/>
        </w:rPr>
        <w:t>sector</w:t>
      </w:r>
      <w:r>
        <w:rPr>
          <w:color w:val="231F20"/>
          <w:spacing w:val="-5"/>
        </w:rPr>
        <w:t> </w:t>
      </w:r>
      <w:r>
        <w:rPr>
          <w:color w:val="231F20"/>
        </w:rPr>
        <w:t>automotriz,</w:t>
      </w:r>
      <w:r>
        <w:rPr>
          <w:color w:val="231F20"/>
          <w:spacing w:val="-5"/>
        </w:rPr>
        <w:t> </w:t>
      </w:r>
      <w:r>
        <w:rPr>
          <w:color w:val="231F20"/>
        </w:rPr>
        <w:t>más</w:t>
      </w:r>
      <w:r>
        <w:rPr>
          <w:color w:val="231F20"/>
          <w:spacing w:val="-5"/>
        </w:rPr>
        <w:t> </w:t>
      </w:r>
      <w:r>
        <w:rPr>
          <w:color w:val="231F20"/>
        </w:rPr>
        <w:t>bien</w:t>
      </w:r>
      <w:r>
        <w:rPr>
          <w:color w:val="231F20"/>
          <w:spacing w:val="-5"/>
        </w:rPr>
        <w:t> </w:t>
      </w:r>
      <w:r>
        <w:rPr>
          <w:color w:val="231F20"/>
        </w:rPr>
        <w:t>es</w:t>
      </w:r>
      <w:r>
        <w:rPr>
          <w:color w:val="231F20"/>
          <w:spacing w:val="-5"/>
        </w:rPr>
        <w:t> </w:t>
      </w:r>
      <w:r>
        <w:rPr>
          <w:color w:val="231F20"/>
        </w:rPr>
        <w:t>una característica que se ha presentado en general en la actividad económica industrial de la entidad. Esta situación se relaciona con varios factores; entre ellos, la existencia de una industria creada bajo un modelo económico cerrado y protegido (encaminado a abastecer</w:t>
      </w:r>
      <w:r>
        <w:rPr>
          <w:color w:val="231F20"/>
          <w:spacing w:val="-5"/>
        </w:rPr>
        <w:t> </w:t>
      </w:r>
      <w:r>
        <w:rPr>
          <w:color w:val="231F20"/>
        </w:rPr>
        <w:t>el</w:t>
      </w:r>
      <w:r>
        <w:rPr>
          <w:color w:val="231F20"/>
          <w:spacing w:val="-5"/>
        </w:rPr>
        <w:t> </w:t>
      </w:r>
      <w:r>
        <w:rPr>
          <w:color w:val="231F20"/>
        </w:rPr>
        <w:t>mercado</w:t>
      </w:r>
      <w:r>
        <w:rPr>
          <w:color w:val="231F20"/>
          <w:spacing w:val="-5"/>
        </w:rPr>
        <w:t> </w:t>
      </w:r>
      <w:r>
        <w:rPr>
          <w:color w:val="231F20"/>
        </w:rPr>
        <w:t>interno),</w:t>
      </w:r>
      <w:r>
        <w:rPr>
          <w:color w:val="231F20"/>
          <w:spacing w:val="-5"/>
        </w:rPr>
        <w:t> </w:t>
      </w:r>
      <w:r>
        <w:rPr>
          <w:color w:val="231F20"/>
        </w:rPr>
        <w:t>que</w:t>
      </w:r>
      <w:r>
        <w:rPr>
          <w:color w:val="231F20"/>
          <w:spacing w:val="-5"/>
        </w:rPr>
        <w:t> </w:t>
      </w:r>
      <w:r>
        <w:rPr>
          <w:color w:val="231F20"/>
        </w:rPr>
        <w:t>no</w:t>
      </w:r>
      <w:r>
        <w:rPr>
          <w:color w:val="231F20"/>
          <w:spacing w:val="-5"/>
        </w:rPr>
        <w:t> </w:t>
      </w:r>
      <w:r>
        <w:rPr>
          <w:color w:val="231F20"/>
        </w:rPr>
        <w:t>ha</w:t>
      </w:r>
      <w:r>
        <w:rPr>
          <w:color w:val="231F20"/>
          <w:spacing w:val="-5"/>
        </w:rPr>
        <w:t> </w:t>
      </w:r>
      <w:r>
        <w:rPr>
          <w:color w:val="231F20"/>
        </w:rPr>
        <w:t>tenido</w:t>
      </w:r>
      <w:r>
        <w:rPr>
          <w:color w:val="231F20"/>
          <w:spacing w:val="-5"/>
        </w:rPr>
        <w:t> </w:t>
      </w:r>
      <w:r>
        <w:rPr>
          <w:color w:val="231F20"/>
        </w:rPr>
        <w:t>la</w:t>
      </w:r>
      <w:r>
        <w:rPr>
          <w:color w:val="231F20"/>
          <w:spacing w:val="-5"/>
        </w:rPr>
        <w:t> </w:t>
      </w:r>
      <w:r>
        <w:rPr>
          <w:color w:val="231F20"/>
        </w:rPr>
        <w:t>capacidad</w:t>
      </w:r>
      <w:r>
        <w:rPr>
          <w:color w:val="231F20"/>
          <w:spacing w:val="-5"/>
        </w:rPr>
        <w:t> </w:t>
      </w:r>
      <w:r>
        <w:rPr>
          <w:color w:val="231F20"/>
        </w:rPr>
        <w:t>de</w:t>
      </w:r>
      <w:r>
        <w:rPr>
          <w:color w:val="231F20"/>
          <w:spacing w:val="-5"/>
        </w:rPr>
        <w:t> </w:t>
      </w:r>
      <w:r>
        <w:rPr>
          <w:color w:val="231F20"/>
        </w:rPr>
        <w:t>transformarse</w:t>
      </w:r>
      <w:r>
        <w:rPr>
          <w:color w:val="231F20"/>
          <w:spacing w:val="-5"/>
        </w:rPr>
        <w:t> </w:t>
      </w:r>
      <w:r>
        <w:rPr>
          <w:color w:val="231F20"/>
        </w:rPr>
        <w:t>para</w:t>
      </w:r>
      <w:r>
        <w:rPr>
          <w:color w:val="231F20"/>
          <w:spacing w:val="-5"/>
        </w:rPr>
        <w:t> </w:t>
      </w:r>
      <w:r>
        <w:rPr>
          <w:color w:val="231F20"/>
        </w:rPr>
        <w:t>ser competitivo</w:t>
      </w:r>
      <w:r>
        <w:rPr>
          <w:color w:val="231F20"/>
          <w:spacing w:val="-6"/>
        </w:rPr>
        <w:t> </w:t>
      </w:r>
      <w:r>
        <w:rPr>
          <w:color w:val="231F20"/>
        </w:rPr>
        <w:t>ante</w:t>
      </w:r>
      <w:r>
        <w:rPr>
          <w:color w:val="231F20"/>
          <w:spacing w:val="-6"/>
        </w:rPr>
        <w:t> </w:t>
      </w:r>
      <w:r>
        <w:rPr>
          <w:color w:val="231F20"/>
        </w:rPr>
        <w:t>los</w:t>
      </w:r>
      <w:r>
        <w:rPr>
          <w:color w:val="231F20"/>
          <w:spacing w:val="-6"/>
        </w:rPr>
        <w:t> </w:t>
      </w:r>
      <w:r>
        <w:rPr>
          <w:color w:val="231F20"/>
        </w:rPr>
        <w:t>nuevos</w:t>
      </w:r>
      <w:r>
        <w:rPr>
          <w:color w:val="231F20"/>
          <w:spacing w:val="-6"/>
        </w:rPr>
        <w:t> </w:t>
      </w:r>
      <w:r>
        <w:rPr>
          <w:color w:val="231F20"/>
        </w:rPr>
        <w:t>requerimientos</w:t>
      </w:r>
      <w:r>
        <w:rPr>
          <w:color w:val="231F20"/>
          <w:spacing w:val="-6"/>
        </w:rPr>
        <w:t> </w:t>
      </w:r>
      <w:r>
        <w:rPr>
          <w:color w:val="231F20"/>
        </w:rPr>
        <w:t>que</w:t>
      </w:r>
      <w:r>
        <w:rPr>
          <w:color w:val="231F20"/>
          <w:spacing w:val="-6"/>
        </w:rPr>
        <w:t> </w:t>
      </w:r>
      <w:r>
        <w:rPr>
          <w:color w:val="231F20"/>
        </w:rPr>
        <w:t>exige</w:t>
      </w:r>
      <w:r>
        <w:rPr>
          <w:color w:val="231F20"/>
          <w:spacing w:val="-6"/>
        </w:rPr>
        <w:t> </w:t>
      </w:r>
      <w:r>
        <w:rPr>
          <w:color w:val="231F20"/>
        </w:rPr>
        <w:t>la</w:t>
      </w:r>
      <w:r>
        <w:rPr>
          <w:color w:val="231F20"/>
          <w:spacing w:val="-6"/>
        </w:rPr>
        <w:t> </w:t>
      </w:r>
      <w:r>
        <w:rPr>
          <w:color w:val="231F20"/>
        </w:rPr>
        <w:t>competencia</w:t>
      </w:r>
      <w:r>
        <w:rPr>
          <w:color w:val="231F20"/>
          <w:spacing w:val="-6"/>
        </w:rPr>
        <w:t> </w:t>
      </w:r>
      <w:r>
        <w:rPr>
          <w:color w:val="231F20"/>
        </w:rPr>
        <w:t>internacional.</w:t>
      </w:r>
    </w:p>
    <w:p>
      <w:pPr>
        <w:pStyle w:val="BodyText"/>
        <w:spacing w:line="278" w:lineRule="auto" w:before="1"/>
        <w:ind w:left="103" w:right="711" w:firstLine="396"/>
        <w:jc w:val="both"/>
      </w:pPr>
      <w:r>
        <w:rPr>
          <w:color w:val="231F20"/>
        </w:rPr>
        <w:t>El sector automotriz establecido en el Estado de México debe reconvertirse, tal como ocurrió con la planta de Ford en Cuautitlán, que fue desmantelada en su totali- dad y reconstruida con todos los requerimientos actuales de tecnología, y que actual- mente permite manufacturar el Ford Fiesta híbrido para todo el mundo.</w:t>
      </w:r>
    </w:p>
    <w:p>
      <w:pPr>
        <w:pStyle w:val="BodyText"/>
        <w:spacing w:line="278" w:lineRule="auto" w:before="1"/>
        <w:ind w:left="103" w:right="708" w:firstLine="396"/>
        <w:jc w:val="both"/>
      </w:pPr>
      <w:r>
        <w:rPr>
          <w:color w:val="231F20"/>
        </w:rPr>
        <w:t>Una de las conclusiones más importantes a las que se llega es que cualquier de- cisión o proyecto de la industria automotriz en México o en el Estado de México </w:t>
      </w:r>
      <w:r>
        <w:rPr>
          <w:color w:val="231F20"/>
          <w:spacing w:val="2"/>
        </w:rPr>
        <w:t>será </w:t>
      </w:r>
      <w:r>
        <w:rPr>
          <w:color w:val="231F20"/>
        </w:rPr>
        <w:t>siempre un proyecto subordinado a las grandes transnacionales dueñas del capital y  de las marcas, quienes lideran la cadena productiva y siempre buscan que éstos res- pondan a sus intereses, dejando pocas oportunidades para las empresas mexicanas, que han limitado su participación al segmento de las autopartes, con escasa endoge- neidad</w:t>
      </w:r>
      <w:r>
        <w:rPr>
          <w:color w:val="231F20"/>
          <w:spacing w:val="12"/>
        </w:rPr>
        <w:t> </w:t>
      </w:r>
      <w:r>
        <w:rPr>
          <w:color w:val="231F20"/>
        </w:rPr>
        <w:t>territorial.</w:t>
      </w:r>
      <w:r>
        <w:rPr>
          <w:color w:val="231F20"/>
          <w:spacing w:val="12"/>
        </w:rPr>
        <w:t> </w:t>
      </w:r>
      <w:r>
        <w:rPr>
          <w:color w:val="231F20"/>
        </w:rPr>
        <w:t>Esta</w:t>
      </w:r>
      <w:r>
        <w:rPr>
          <w:color w:val="231F20"/>
          <w:spacing w:val="12"/>
        </w:rPr>
        <w:t> </w:t>
      </w:r>
      <w:r>
        <w:rPr>
          <w:color w:val="231F20"/>
        </w:rPr>
        <w:t>situación</w:t>
      </w:r>
      <w:r>
        <w:rPr>
          <w:color w:val="231F20"/>
          <w:spacing w:val="12"/>
        </w:rPr>
        <w:t> </w:t>
      </w:r>
      <w:r>
        <w:rPr>
          <w:color w:val="231F20"/>
        </w:rPr>
        <w:t>no</w:t>
      </w:r>
      <w:r>
        <w:rPr>
          <w:color w:val="231F20"/>
          <w:spacing w:val="12"/>
        </w:rPr>
        <w:t> </w:t>
      </w:r>
      <w:r>
        <w:rPr>
          <w:color w:val="231F20"/>
        </w:rPr>
        <w:t>cambiará</w:t>
      </w:r>
      <w:r>
        <w:rPr>
          <w:color w:val="231F20"/>
          <w:spacing w:val="12"/>
        </w:rPr>
        <w:t> </w:t>
      </w:r>
      <w:r>
        <w:rPr>
          <w:color w:val="231F20"/>
        </w:rPr>
        <w:t>mientras</w:t>
      </w:r>
      <w:r>
        <w:rPr>
          <w:color w:val="231F20"/>
          <w:spacing w:val="12"/>
        </w:rPr>
        <w:t> </w:t>
      </w:r>
      <w:r>
        <w:rPr>
          <w:color w:val="231F20"/>
        </w:rPr>
        <w:t>no</w:t>
      </w:r>
      <w:r>
        <w:rPr>
          <w:color w:val="231F20"/>
          <w:spacing w:val="12"/>
        </w:rPr>
        <w:t> </w:t>
      </w:r>
      <w:r>
        <w:rPr>
          <w:color w:val="231F20"/>
        </w:rPr>
        <w:t>se</w:t>
      </w:r>
      <w:r>
        <w:rPr>
          <w:color w:val="231F20"/>
          <w:spacing w:val="12"/>
        </w:rPr>
        <w:t> </w:t>
      </w:r>
      <w:r>
        <w:rPr>
          <w:color w:val="231F20"/>
        </w:rPr>
        <w:t>dé</w:t>
      </w:r>
      <w:r>
        <w:rPr>
          <w:color w:val="231F20"/>
          <w:spacing w:val="12"/>
        </w:rPr>
        <w:t> </w:t>
      </w:r>
      <w:r>
        <w:rPr>
          <w:color w:val="231F20"/>
        </w:rPr>
        <w:t>el</w:t>
      </w:r>
      <w:r>
        <w:rPr>
          <w:color w:val="231F20"/>
          <w:spacing w:val="12"/>
        </w:rPr>
        <w:t> </w:t>
      </w:r>
      <w:r>
        <w:rPr>
          <w:color w:val="231F20"/>
        </w:rPr>
        <w:t>apoyo</w:t>
      </w:r>
      <w:r>
        <w:rPr>
          <w:color w:val="231F20"/>
          <w:spacing w:val="12"/>
        </w:rPr>
        <w:t> </w:t>
      </w:r>
      <w:r>
        <w:rPr>
          <w:color w:val="231F20"/>
        </w:rPr>
        <w:t>a</w:t>
      </w:r>
      <w:r>
        <w:rPr>
          <w:color w:val="231F20"/>
          <w:spacing w:val="12"/>
        </w:rPr>
        <w:t> </w:t>
      </w:r>
      <w:r>
        <w:rPr>
          <w:color w:val="231F20"/>
        </w:rPr>
        <w:t>través</w:t>
      </w:r>
      <w:r>
        <w:rPr>
          <w:color w:val="231F20"/>
          <w:spacing w:val="12"/>
        </w:rPr>
        <w:t> </w:t>
      </w:r>
      <w:r>
        <w:rPr>
          <w:color w:val="231F20"/>
        </w:rPr>
        <w:t>de</w:t>
      </w:r>
    </w:p>
    <w:p>
      <w:pPr>
        <w:spacing w:after="0" w:line="278" w:lineRule="auto"/>
        <w:jc w:val="both"/>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101"/>
        <w:jc w:val="both"/>
      </w:pPr>
      <w:r>
        <w:rPr>
          <w:color w:val="231F20"/>
        </w:rPr>
        <w:t>políticas gubernamentales industriales, financieras y de comercio, entre otras, que permitan desarrollar una estructura tecnológica propia, así como contar con apoyos financieros y, en general, con las condiciones para desarrollar una industria automo- triz nacional.</w:t>
      </w:r>
    </w:p>
    <w:p>
      <w:pPr>
        <w:pStyle w:val="BodyText"/>
        <w:spacing w:line="278" w:lineRule="auto" w:before="1"/>
        <w:ind w:left="713" w:right="101" w:firstLine="396"/>
        <w:jc w:val="both"/>
      </w:pPr>
      <w:r>
        <w:rPr>
          <w:color w:val="231F20"/>
        </w:rPr>
        <w:t>Finalmente, es claro que la situación actual del sector automotriz en México y  en el Estado de México es resultado de las políticas tanto específicas para su apoyo y </w:t>
      </w:r>
      <w:r>
        <w:rPr>
          <w:color w:val="231F20"/>
          <w:spacing w:val="-3"/>
        </w:rPr>
        <w:t>fomento, </w:t>
      </w:r>
      <w:r>
        <w:rPr>
          <w:color w:val="231F20"/>
        </w:rPr>
        <w:t>como aquellas que por las características del sector han tenido repercusiones de peso (por ejemplo, la comercial). A partir de estas políticas se han generado desde procesos de reubicación espacial de las plantas, hasta la desregulación y la permisivi- dad paulatinas en la inversión extranjera; sin embargo, es indudable que el gobierno mexicano requiere generar las estrategias que impulsen la creación de una industria automotriz</w:t>
      </w:r>
      <w:r>
        <w:rPr>
          <w:color w:val="231F20"/>
          <w:spacing w:val="-8"/>
        </w:rPr>
        <w:t> </w:t>
      </w:r>
      <w:r>
        <w:rPr>
          <w:color w:val="231F20"/>
        </w:rPr>
        <w:t>con</w:t>
      </w:r>
      <w:r>
        <w:rPr>
          <w:color w:val="231F20"/>
          <w:spacing w:val="-8"/>
        </w:rPr>
        <w:t> </w:t>
      </w:r>
      <w:r>
        <w:rPr>
          <w:color w:val="231F20"/>
        </w:rPr>
        <w:t>mayor</w:t>
      </w:r>
      <w:r>
        <w:rPr>
          <w:color w:val="231F20"/>
          <w:spacing w:val="-8"/>
        </w:rPr>
        <w:t> </w:t>
      </w:r>
      <w:r>
        <w:rPr>
          <w:color w:val="231F20"/>
        </w:rPr>
        <w:t>participación</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capitales</w:t>
      </w:r>
      <w:r>
        <w:rPr>
          <w:color w:val="231F20"/>
          <w:spacing w:val="-8"/>
        </w:rPr>
        <w:t> </w:t>
      </w:r>
      <w:r>
        <w:rPr>
          <w:color w:val="231F20"/>
        </w:rPr>
        <w:t>nacionales</w:t>
      </w:r>
      <w:r>
        <w:rPr>
          <w:color w:val="231F20"/>
          <w:spacing w:val="-8"/>
        </w:rPr>
        <w:t> </w:t>
      </w:r>
      <w:r>
        <w:rPr>
          <w:color w:val="231F20"/>
        </w:rPr>
        <w:t>en</w:t>
      </w:r>
      <w:r>
        <w:rPr>
          <w:color w:val="231F20"/>
          <w:spacing w:val="-8"/>
        </w:rPr>
        <w:t> </w:t>
      </w:r>
      <w:r>
        <w:rPr>
          <w:color w:val="231F20"/>
        </w:rPr>
        <w:t>actividades</w:t>
      </w:r>
      <w:r>
        <w:rPr>
          <w:color w:val="231F20"/>
          <w:spacing w:val="-8"/>
        </w:rPr>
        <w:t> </w:t>
      </w:r>
      <w:r>
        <w:rPr>
          <w:color w:val="231F20"/>
        </w:rPr>
        <w:t>con</w:t>
      </w:r>
      <w:r>
        <w:rPr>
          <w:color w:val="231F20"/>
          <w:spacing w:val="-8"/>
        </w:rPr>
        <w:t> </w:t>
      </w:r>
      <w:r>
        <w:rPr>
          <w:color w:val="231F20"/>
        </w:rPr>
        <w:t>ma- yor valor agregado, las cuales sin duda repercutirán en dinámicas virtuosas para las empresas y los</w:t>
      </w:r>
      <w:r>
        <w:rPr>
          <w:color w:val="231F20"/>
          <w:spacing w:val="-23"/>
        </w:rPr>
        <w:t> </w:t>
      </w:r>
      <w:r>
        <w:rPr>
          <w:color w:val="231F20"/>
        </w:rPr>
        <w:t>territorios.</w:t>
      </w:r>
    </w:p>
    <w:p>
      <w:pPr>
        <w:pStyle w:val="BodyText"/>
        <w:spacing w:line="278" w:lineRule="auto" w:before="1"/>
        <w:ind w:left="713" w:right="101" w:firstLine="396"/>
        <w:jc w:val="both"/>
      </w:pPr>
      <w:r>
        <w:rPr>
          <w:color w:val="231F20"/>
        </w:rPr>
        <w:t>En estas condiciones, la industria automotriz localizada en el Estado de México, más que replantear las posibilidades de competir con las plantas del norte, debe apun- tar hacia la especialización de algunos procesos para afianzar un mercado en el que tenga</w:t>
      </w:r>
      <w:r>
        <w:rPr>
          <w:color w:val="231F20"/>
          <w:spacing w:val="-21"/>
        </w:rPr>
        <w:t> </w:t>
      </w:r>
      <w:r>
        <w:rPr>
          <w:color w:val="231F20"/>
        </w:rPr>
        <w:t>ventajas</w:t>
      </w:r>
      <w:r>
        <w:rPr>
          <w:color w:val="231F20"/>
          <w:spacing w:val="-21"/>
        </w:rPr>
        <w:t> </w:t>
      </w:r>
      <w:r>
        <w:rPr>
          <w:color w:val="231F20"/>
        </w:rPr>
        <w:t>y</w:t>
      </w:r>
      <w:r>
        <w:rPr>
          <w:color w:val="231F20"/>
          <w:spacing w:val="-21"/>
        </w:rPr>
        <w:t> </w:t>
      </w:r>
      <w:r>
        <w:rPr>
          <w:color w:val="231F20"/>
        </w:rPr>
        <w:t>sea</w:t>
      </w:r>
      <w:r>
        <w:rPr>
          <w:color w:val="231F20"/>
          <w:spacing w:val="-21"/>
        </w:rPr>
        <w:t> </w:t>
      </w:r>
      <w:r>
        <w:rPr>
          <w:color w:val="231F20"/>
        </w:rPr>
        <w:t>competitiva.</w:t>
      </w:r>
      <w:r>
        <w:rPr>
          <w:color w:val="231F20"/>
          <w:spacing w:val="-21"/>
        </w:rPr>
        <w:t> </w:t>
      </w:r>
      <w:r>
        <w:rPr>
          <w:color w:val="231F20"/>
        </w:rPr>
        <w:t>La</w:t>
      </w:r>
      <w:r>
        <w:rPr>
          <w:color w:val="231F20"/>
          <w:spacing w:val="-21"/>
        </w:rPr>
        <w:t> </w:t>
      </w:r>
      <w:r>
        <w:rPr>
          <w:color w:val="231F20"/>
        </w:rPr>
        <w:t>especialización</w:t>
      </w:r>
      <w:r>
        <w:rPr>
          <w:color w:val="231F20"/>
          <w:spacing w:val="-21"/>
        </w:rPr>
        <w:t> </w:t>
      </w:r>
      <w:r>
        <w:rPr>
          <w:color w:val="231F20"/>
        </w:rPr>
        <w:t>más</w:t>
      </w:r>
      <w:r>
        <w:rPr>
          <w:color w:val="231F20"/>
          <w:spacing w:val="-21"/>
        </w:rPr>
        <w:t> </w:t>
      </w:r>
      <w:r>
        <w:rPr>
          <w:color w:val="231F20"/>
        </w:rPr>
        <w:t>viable</w:t>
      </w:r>
      <w:r>
        <w:rPr>
          <w:color w:val="231F20"/>
          <w:spacing w:val="-21"/>
        </w:rPr>
        <w:t> </w:t>
      </w:r>
      <w:r>
        <w:rPr>
          <w:color w:val="231F20"/>
        </w:rPr>
        <w:t>de</w:t>
      </w:r>
      <w:r>
        <w:rPr>
          <w:color w:val="231F20"/>
          <w:spacing w:val="-21"/>
        </w:rPr>
        <w:t> </w:t>
      </w:r>
      <w:r>
        <w:rPr>
          <w:color w:val="231F20"/>
        </w:rPr>
        <w:t>acuerdo</w:t>
      </w:r>
      <w:r>
        <w:rPr>
          <w:color w:val="231F20"/>
          <w:spacing w:val="-21"/>
        </w:rPr>
        <w:t> </w:t>
      </w:r>
      <w:r>
        <w:rPr>
          <w:color w:val="231F20"/>
        </w:rPr>
        <w:t>con</w:t>
      </w:r>
      <w:r>
        <w:rPr>
          <w:color w:val="231F20"/>
          <w:spacing w:val="-21"/>
        </w:rPr>
        <w:t> </w:t>
      </w:r>
      <w:r>
        <w:rPr>
          <w:color w:val="231F20"/>
        </w:rPr>
        <w:t>los</w:t>
      </w:r>
      <w:r>
        <w:rPr>
          <w:color w:val="231F20"/>
          <w:spacing w:val="-21"/>
        </w:rPr>
        <w:t> </w:t>
      </w:r>
      <w:r>
        <w:rPr>
          <w:color w:val="231F20"/>
        </w:rPr>
        <w:t>datos apunta</w:t>
      </w:r>
      <w:r>
        <w:rPr>
          <w:color w:val="231F20"/>
          <w:spacing w:val="-13"/>
        </w:rPr>
        <w:t> </w:t>
      </w:r>
      <w:r>
        <w:rPr>
          <w:color w:val="231F20"/>
        </w:rPr>
        <w:t>a</w:t>
      </w:r>
      <w:r>
        <w:rPr>
          <w:color w:val="231F20"/>
          <w:spacing w:val="-13"/>
        </w:rPr>
        <w:t> </w:t>
      </w:r>
      <w:r>
        <w:rPr>
          <w:color w:val="231F20"/>
        </w:rPr>
        <w:t>la</w:t>
      </w:r>
      <w:r>
        <w:rPr>
          <w:color w:val="231F20"/>
          <w:spacing w:val="-13"/>
        </w:rPr>
        <w:t> </w:t>
      </w:r>
      <w:r>
        <w:rPr>
          <w:color w:val="231F20"/>
        </w:rPr>
        <w:t>fabricación</w:t>
      </w:r>
      <w:r>
        <w:rPr>
          <w:color w:val="231F20"/>
          <w:spacing w:val="-13"/>
        </w:rPr>
        <w:t> </w:t>
      </w:r>
      <w:r>
        <w:rPr>
          <w:color w:val="231F20"/>
        </w:rPr>
        <w:t>de</w:t>
      </w:r>
      <w:r>
        <w:rPr>
          <w:color w:val="231F20"/>
          <w:spacing w:val="-13"/>
        </w:rPr>
        <w:t> </w:t>
      </w:r>
      <w:r>
        <w:rPr>
          <w:color w:val="231F20"/>
        </w:rPr>
        <w:t>partes</w:t>
      </w:r>
      <w:r>
        <w:rPr>
          <w:color w:val="231F20"/>
          <w:spacing w:val="-13"/>
        </w:rPr>
        <w:t> </w:t>
      </w:r>
      <w:r>
        <w:rPr>
          <w:color w:val="231F20"/>
        </w:rPr>
        <w:t>específicas,</w:t>
      </w:r>
      <w:r>
        <w:rPr>
          <w:color w:val="231F20"/>
          <w:spacing w:val="-13"/>
        </w:rPr>
        <w:t> </w:t>
      </w:r>
      <w:r>
        <w:rPr>
          <w:color w:val="231F20"/>
        </w:rPr>
        <w:t>más</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ensamble</w:t>
      </w:r>
      <w:r>
        <w:rPr>
          <w:color w:val="231F20"/>
          <w:spacing w:val="-13"/>
        </w:rPr>
        <w:t> </w:t>
      </w:r>
      <w:r>
        <w:rPr>
          <w:color w:val="231F20"/>
        </w:rPr>
        <w:t>y</w:t>
      </w:r>
      <w:r>
        <w:rPr>
          <w:color w:val="231F20"/>
          <w:spacing w:val="-13"/>
        </w:rPr>
        <w:t> </w:t>
      </w:r>
      <w:r>
        <w:rPr>
          <w:color w:val="231F20"/>
        </w:rPr>
        <w:t>las</w:t>
      </w:r>
      <w:r>
        <w:rPr>
          <w:color w:val="231F20"/>
          <w:spacing w:val="-13"/>
        </w:rPr>
        <w:t> </w:t>
      </w:r>
      <w:r>
        <w:rPr>
          <w:color w:val="231F20"/>
        </w:rPr>
        <w:t>áreas</w:t>
      </w:r>
      <w:r>
        <w:rPr>
          <w:color w:val="231F20"/>
          <w:spacing w:val="-13"/>
        </w:rPr>
        <w:t> </w:t>
      </w:r>
      <w:r>
        <w:rPr>
          <w:color w:val="231F20"/>
        </w:rPr>
        <w:t>de</w:t>
      </w:r>
      <w:r>
        <w:rPr>
          <w:color w:val="231F20"/>
          <w:spacing w:val="-13"/>
        </w:rPr>
        <w:t> </w:t>
      </w:r>
      <w:r>
        <w:rPr>
          <w:color w:val="231F20"/>
        </w:rPr>
        <w:t>diseño, que han cobrado importancia en los últimos años en el</w:t>
      </w:r>
      <w:r>
        <w:rPr>
          <w:color w:val="231F20"/>
          <w:spacing w:val="-6"/>
        </w:rPr>
        <w:t> </w:t>
      </w:r>
      <w:r>
        <w:rPr>
          <w:color w:val="231F20"/>
        </w:rPr>
        <w:t>estado.</w:t>
      </w:r>
    </w:p>
    <w:p>
      <w:pPr>
        <w:pStyle w:val="BodyText"/>
        <w:spacing w:line="278" w:lineRule="auto" w:before="1"/>
        <w:ind w:left="713" w:right="101" w:firstLine="396"/>
        <w:jc w:val="both"/>
      </w:pPr>
      <w:r>
        <w:rPr>
          <w:color w:val="231F20"/>
        </w:rPr>
        <w:t>Esta</w:t>
      </w:r>
      <w:r>
        <w:rPr>
          <w:color w:val="231F20"/>
          <w:spacing w:val="-16"/>
        </w:rPr>
        <w:t> </w:t>
      </w:r>
      <w:r>
        <w:rPr>
          <w:color w:val="231F20"/>
        </w:rPr>
        <w:t>especialización</w:t>
      </w:r>
      <w:r>
        <w:rPr>
          <w:color w:val="231F20"/>
          <w:spacing w:val="-16"/>
        </w:rPr>
        <w:t> </w:t>
      </w:r>
      <w:r>
        <w:rPr>
          <w:color w:val="231F20"/>
        </w:rPr>
        <w:t>podría</w:t>
      </w:r>
      <w:r>
        <w:rPr>
          <w:color w:val="231F20"/>
          <w:spacing w:val="-16"/>
        </w:rPr>
        <w:t> </w:t>
      </w:r>
      <w:r>
        <w:rPr>
          <w:color w:val="231F20"/>
        </w:rPr>
        <w:t>encaminarse</w:t>
      </w:r>
      <w:r>
        <w:rPr>
          <w:color w:val="231F20"/>
          <w:spacing w:val="-16"/>
        </w:rPr>
        <w:t> </w:t>
      </w:r>
      <w:r>
        <w:rPr>
          <w:color w:val="231F20"/>
        </w:rPr>
        <w:t>y</w:t>
      </w:r>
      <w:r>
        <w:rPr>
          <w:color w:val="231F20"/>
          <w:spacing w:val="-16"/>
        </w:rPr>
        <w:t> </w:t>
      </w:r>
      <w:r>
        <w:rPr>
          <w:color w:val="231F20"/>
        </w:rPr>
        <w:t>profundizarse</w:t>
      </w:r>
      <w:r>
        <w:rPr>
          <w:color w:val="231F20"/>
          <w:spacing w:val="-16"/>
        </w:rPr>
        <w:t> </w:t>
      </w:r>
      <w:r>
        <w:rPr>
          <w:color w:val="231F20"/>
        </w:rPr>
        <w:t>hacia</w:t>
      </w:r>
      <w:r>
        <w:rPr>
          <w:color w:val="231F20"/>
          <w:spacing w:val="-16"/>
        </w:rPr>
        <w:t> </w:t>
      </w:r>
      <w:r>
        <w:rPr>
          <w:color w:val="231F20"/>
        </w:rPr>
        <w:t>aquellas</w:t>
      </w:r>
      <w:r>
        <w:rPr>
          <w:color w:val="231F20"/>
          <w:spacing w:val="-16"/>
        </w:rPr>
        <w:t> </w:t>
      </w:r>
      <w:r>
        <w:rPr>
          <w:color w:val="231F20"/>
        </w:rPr>
        <w:t>autopartes en las que las plantas localizadas en el Estado de México han tenido ya trayectoria de fabricación importante, como en la fabricación de motores de gasolina y sus partes; de</w:t>
      </w:r>
      <w:r>
        <w:rPr>
          <w:color w:val="231F20"/>
          <w:spacing w:val="-5"/>
        </w:rPr>
        <w:t> </w:t>
      </w:r>
      <w:r>
        <w:rPr>
          <w:color w:val="231F20"/>
        </w:rPr>
        <w:t>partes</w:t>
      </w:r>
      <w:r>
        <w:rPr>
          <w:color w:val="231F20"/>
          <w:spacing w:val="-5"/>
        </w:rPr>
        <w:t> </w:t>
      </w:r>
      <w:r>
        <w:rPr>
          <w:color w:val="231F20"/>
        </w:rPr>
        <w:t>de</w:t>
      </w:r>
      <w:r>
        <w:rPr>
          <w:color w:val="231F20"/>
          <w:spacing w:val="-5"/>
        </w:rPr>
        <w:t> </w:t>
      </w:r>
      <w:r>
        <w:rPr>
          <w:color w:val="231F20"/>
        </w:rPr>
        <w:t>sistemas</w:t>
      </w:r>
      <w:r>
        <w:rPr>
          <w:color w:val="231F20"/>
          <w:spacing w:val="-5"/>
        </w:rPr>
        <w:t> </w:t>
      </w:r>
      <w:r>
        <w:rPr>
          <w:color w:val="231F20"/>
        </w:rPr>
        <w:t>de</w:t>
      </w:r>
      <w:r>
        <w:rPr>
          <w:color w:val="231F20"/>
          <w:spacing w:val="-5"/>
        </w:rPr>
        <w:t> </w:t>
      </w:r>
      <w:r>
        <w:rPr>
          <w:color w:val="231F20"/>
        </w:rPr>
        <w:t>dirección</w:t>
      </w:r>
      <w:r>
        <w:rPr>
          <w:color w:val="231F20"/>
          <w:spacing w:val="-5"/>
        </w:rPr>
        <w:t> </w:t>
      </w:r>
      <w:r>
        <w:rPr>
          <w:color w:val="231F20"/>
        </w:rPr>
        <w:t>y</w:t>
      </w:r>
      <w:r>
        <w:rPr>
          <w:color w:val="231F20"/>
          <w:spacing w:val="-5"/>
        </w:rPr>
        <w:t> </w:t>
      </w:r>
      <w:r>
        <w:rPr>
          <w:color w:val="231F20"/>
        </w:rPr>
        <w:t>de</w:t>
      </w:r>
      <w:r>
        <w:rPr>
          <w:color w:val="231F20"/>
          <w:spacing w:val="-5"/>
        </w:rPr>
        <w:t> </w:t>
      </w:r>
      <w:r>
        <w:rPr>
          <w:color w:val="231F20"/>
        </w:rPr>
        <w:t>suspensión;</w:t>
      </w:r>
      <w:r>
        <w:rPr>
          <w:color w:val="231F20"/>
          <w:spacing w:val="-5"/>
        </w:rPr>
        <w:t> </w:t>
      </w:r>
      <w:r>
        <w:rPr>
          <w:color w:val="231F20"/>
        </w:rPr>
        <w:t>de</w:t>
      </w:r>
      <w:r>
        <w:rPr>
          <w:color w:val="231F20"/>
          <w:spacing w:val="-5"/>
        </w:rPr>
        <w:t> </w:t>
      </w:r>
      <w:r>
        <w:rPr>
          <w:color w:val="231F20"/>
        </w:rPr>
        <w:t>partes</w:t>
      </w:r>
      <w:r>
        <w:rPr>
          <w:color w:val="231F20"/>
          <w:spacing w:val="-5"/>
        </w:rPr>
        <w:t> </w:t>
      </w:r>
      <w:r>
        <w:rPr>
          <w:color w:val="231F20"/>
        </w:rPr>
        <w:t>de</w:t>
      </w:r>
      <w:r>
        <w:rPr>
          <w:color w:val="231F20"/>
          <w:spacing w:val="-5"/>
        </w:rPr>
        <w:t> </w:t>
      </w:r>
      <w:r>
        <w:rPr>
          <w:color w:val="231F20"/>
        </w:rPr>
        <w:t>sistemas</w:t>
      </w:r>
      <w:r>
        <w:rPr>
          <w:color w:val="231F20"/>
          <w:spacing w:val="-5"/>
        </w:rPr>
        <w:t> </w:t>
      </w:r>
      <w:r>
        <w:rPr>
          <w:color w:val="231F20"/>
        </w:rPr>
        <w:t>de</w:t>
      </w:r>
      <w:r>
        <w:rPr>
          <w:color w:val="231F20"/>
          <w:spacing w:val="-5"/>
        </w:rPr>
        <w:t> </w:t>
      </w:r>
      <w:r>
        <w:rPr>
          <w:color w:val="231F20"/>
        </w:rPr>
        <w:t>frenos;</w:t>
      </w:r>
      <w:r>
        <w:rPr>
          <w:color w:val="231F20"/>
          <w:spacing w:val="-5"/>
        </w:rPr>
        <w:t> </w:t>
      </w:r>
      <w:r>
        <w:rPr>
          <w:color w:val="231F20"/>
        </w:rPr>
        <w:t>de partes de sistemas de transmisión; de asientos y accesorios interiores para vehículos automotores;</w:t>
      </w:r>
      <w:r>
        <w:rPr>
          <w:color w:val="231F20"/>
          <w:spacing w:val="-11"/>
        </w:rPr>
        <w:t> </w:t>
      </w:r>
      <w:r>
        <w:rPr>
          <w:color w:val="231F20"/>
        </w:rPr>
        <w:t>de</w:t>
      </w:r>
      <w:r>
        <w:rPr>
          <w:color w:val="231F20"/>
          <w:spacing w:val="-11"/>
        </w:rPr>
        <w:t> </w:t>
      </w:r>
      <w:r>
        <w:rPr>
          <w:color w:val="231F20"/>
        </w:rPr>
        <w:t>piezas</w:t>
      </w:r>
      <w:r>
        <w:rPr>
          <w:color w:val="231F20"/>
          <w:spacing w:val="-11"/>
        </w:rPr>
        <w:t> </w:t>
      </w:r>
      <w:r>
        <w:rPr>
          <w:color w:val="231F20"/>
        </w:rPr>
        <w:t>metálicas</w:t>
      </w:r>
      <w:r>
        <w:rPr>
          <w:color w:val="231F20"/>
          <w:spacing w:val="-11"/>
        </w:rPr>
        <w:t> </w:t>
      </w:r>
      <w:r>
        <w:rPr>
          <w:color w:val="231F20"/>
        </w:rPr>
        <w:t>troqueladas</w:t>
      </w:r>
      <w:r>
        <w:rPr>
          <w:color w:val="231F20"/>
          <w:spacing w:val="-11"/>
        </w:rPr>
        <w:t> </w:t>
      </w:r>
      <w:r>
        <w:rPr>
          <w:color w:val="231F20"/>
        </w:rPr>
        <w:t>para</w:t>
      </w:r>
      <w:r>
        <w:rPr>
          <w:color w:val="231F20"/>
          <w:spacing w:val="-11"/>
        </w:rPr>
        <w:t> </w:t>
      </w:r>
      <w:r>
        <w:rPr>
          <w:color w:val="231F20"/>
        </w:rPr>
        <w:t>vehículos</w:t>
      </w:r>
      <w:r>
        <w:rPr>
          <w:color w:val="231F20"/>
          <w:spacing w:val="-11"/>
        </w:rPr>
        <w:t> </w:t>
      </w:r>
      <w:r>
        <w:rPr>
          <w:color w:val="231F20"/>
        </w:rPr>
        <w:t>automotrices;</w:t>
      </w:r>
      <w:r>
        <w:rPr>
          <w:color w:val="231F20"/>
          <w:spacing w:val="-11"/>
        </w:rPr>
        <w:t> </w:t>
      </w:r>
      <w:r>
        <w:rPr>
          <w:color w:val="231F20"/>
        </w:rPr>
        <w:t>y</w:t>
      </w:r>
      <w:r>
        <w:rPr>
          <w:color w:val="231F20"/>
          <w:spacing w:val="-11"/>
        </w:rPr>
        <w:t> </w:t>
      </w:r>
      <w:r>
        <w:rPr>
          <w:color w:val="231F20"/>
        </w:rPr>
        <w:t>de</w:t>
      </w:r>
      <w:r>
        <w:rPr>
          <w:color w:val="231F20"/>
          <w:spacing w:val="-11"/>
        </w:rPr>
        <w:t> </w:t>
      </w:r>
      <w:r>
        <w:rPr>
          <w:color w:val="231F20"/>
        </w:rPr>
        <w:t>equipo eléctrico y</w:t>
      </w:r>
      <w:r>
        <w:rPr>
          <w:color w:val="231F20"/>
          <w:spacing w:val="-36"/>
        </w:rPr>
        <w:t> </w:t>
      </w:r>
      <w:r>
        <w:rPr>
          <w:color w:val="231F20"/>
        </w:rPr>
        <w:t>electrónico.</w:t>
      </w:r>
    </w:p>
    <w:p>
      <w:pPr>
        <w:pStyle w:val="Heading3"/>
        <w:numPr>
          <w:ilvl w:val="1"/>
          <w:numId w:val="23"/>
        </w:numPr>
        <w:tabs>
          <w:tab w:pos="1128" w:val="left" w:leader="none"/>
        </w:tabs>
        <w:spacing w:line="240" w:lineRule="auto" w:before="174" w:after="0"/>
        <w:ind w:left="1127" w:right="0" w:hanging="414"/>
        <w:jc w:val="both"/>
      </w:pPr>
      <w:r>
        <w:rPr>
          <w:color w:val="231F20"/>
          <w:w w:val="90"/>
        </w:rPr>
        <w:t>Recomendaciones de política </w:t>
      </w:r>
      <w:r>
        <w:rPr>
          <w:color w:val="231F20"/>
          <w:spacing w:val="19"/>
          <w:w w:val="90"/>
        </w:rPr>
        <w:t> </w:t>
      </w:r>
      <w:r>
        <w:rPr>
          <w:color w:val="231F20"/>
          <w:w w:val="90"/>
        </w:rPr>
        <w:t>económica</w:t>
      </w:r>
    </w:p>
    <w:p>
      <w:pPr>
        <w:pStyle w:val="BodyText"/>
        <w:spacing w:line="278" w:lineRule="auto" w:before="125"/>
        <w:ind w:left="713" w:right="101"/>
        <w:jc w:val="both"/>
      </w:pPr>
      <w:r>
        <w:rPr>
          <w:color w:val="231F20"/>
        </w:rPr>
        <w:t>La evidencia empírica ha demostrado que la estrategia de desarrollo instrumentada para la economía mexicana desde finales de los ochenta, basada en la apertura eco- nómica y financiera, si bien ha logrado la estabilización de las variables macroeco- nómicas, no ha sido suficiente para generar procesos de crecimiento endógeno, que permitan incrementar la capacidad competitiva de las empresas nacionales, incluidas las</w:t>
      </w:r>
      <w:r>
        <w:rPr>
          <w:color w:val="231F20"/>
          <w:spacing w:val="-9"/>
        </w:rPr>
        <w:t> </w:t>
      </w:r>
      <w:r>
        <w:rPr>
          <w:color w:val="231F20"/>
        </w:rPr>
        <w:t>que</w:t>
      </w:r>
      <w:r>
        <w:rPr>
          <w:color w:val="231F20"/>
          <w:spacing w:val="-9"/>
        </w:rPr>
        <w:t> </w:t>
      </w:r>
      <w:r>
        <w:rPr>
          <w:color w:val="231F20"/>
        </w:rPr>
        <w:t>se</w:t>
      </w:r>
      <w:r>
        <w:rPr>
          <w:color w:val="231F20"/>
          <w:spacing w:val="-9"/>
        </w:rPr>
        <w:t> </w:t>
      </w:r>
      <w:r>
        <w:rPr>
          <w:color w:val="231F20"/>
        </w:rPr>
        <w:t>encuentran</w:t>
      </w:r>
      <w:r>
        <w:rPr>
          <w:color w:val="231F20"/>
          <w:spacing w:val="-9"/>
        </w:rPr>
        <w:t> </w:t>
      </w:r>
      <w:r>
        <w:rPr>
          <w:color w:val="231F20"/>
        </w:rPr>
        <w:t>insertas</w:t>
      </w:r>
      <w:r>
        <w:rPr>
          <w:color w:val="231F20"/>
          <w:spacing w:val="-9"/>
        </w:rPr>
        <w:t> </w:t>
      </w:r>
      <w:r>
        <w:rPr>
          <w:color w:val="231F20"/>
        </w:rPr>
        <w:t>dentro</w:t>
      </w:r>
      <w:r>
        <w:rPr>
          <w:color w:val="231F20"/>
          <w:spacing w:val="-9"/>
        </w:rPr>
        <w:t> </w:t>
      </w:r>
      <w:r>
        <w:rPr>
          <w:color w:val="231F20"/>
        </w:rPr>
        <w:t>del</w:t>
      </w:r>
      <w:r>
        <w:rPr>
          <w:color w:val="231F20"/>
          <w:spacing w:val="-9"/>
        </w:rPr>
        <w:t> </w:t>
      </w:r>
      <w:r>
        <w:rPr>
          <w:color w:val="231F20"/>
        </w:rPr>
        <w:t>sector</w:t>
      </w:r>
      <w:r>
        <w:rPr>
          <w:color w:val="231F20"/>
          <w:spacing w:val="-9"/>
        </w:rPr>
        <w:t> </w:t>
      </w:r>
      <w:r>
        <w:rPr>
          <w:color w:val="231F20"/>
        </w:rPr>
        <w:t>automotriz.</w:t>
      </w:r>
      <w:r>
        <w:rPr>
          <w:color w:val="231F20"/>
          <w:spacing w:val="-9"/>
        </w:rPr>
        <w:t> </w:t>
      </w:r>
      <w:r>
        <w:rPr>
          <w:color w:val="231F20"/>
          <w:spacing w:val="-4"/>
        </w:rPr>
        <w:t>Por</w:t>
      </w:r>
      <w:r>
        <w:rPr>
          <w:color w:val="231F20"/>
          <w:spacing w:val="-9"/>
        </w:rPr>
        <w:t> </w:t>
      </w:r>
      <w:r>
        <w:rPr>
          <w:color w:val="231F20"/>
        </w:rPr>
        <w:t>esta</w:t>
      </w:r>
      <w:r>
        <w:rPr>
          <w:color w:val="231F20"/>
          <w:spacing w:val="-9"/>
        </w:rPr>
        <w:t> </w:t>
      </w:r>
      <w:r>
        <w:rPr>
          <w:color w:val="231F20"/>
        </w:rPr>
        <w:t>razón,</w:t>
      </w:r>
      <w:r>
        <w:rPr>
          <w:color w:val="231F20"/>
          <w:spacing w:val="-9"/>
        </w:rPr>
        <w:t> </w:t>
      </w:r>
      <w:r>
        <w:rPr>
          <w:color w:val="231F20"/>
        </w:rPr>
        <w:t>es</w:t>
      </w:r>
      <w:r>
        <w:rPr>
          <w:color w:val="231F20"/>
          <w:spacing w:val="-9"/>
        </w:rPr>
        <w:t> </w:t>
      </w:r>
      <w:r>
        <w:rPr>
          <w:color w:val="231F20"/>
        </w:rPr>
        <w:t>necesaria la</w:t>
      </w:r>
      <w:r>
        <w:rPr>
          <w:color w:val="231F20"/>
          <w:spacing w:val="-9"/>
        </w:rPr>
        <w:t> </w:t>
      </w:r>
      <w:r>
        <w:rPr>
          <w:color w:val="231F20"/>
        </w:rPr>
        <w:t>instrumentación</w:t>
      </w:r>
      <w:r>
        <w:rPr>
          <w:color w:val="231F20"/>
          <w:spacing w:val="-9"/>
        </w:rPr>
        <w:t> </w:t>
      </w:r>
      <w:r>
        <w:rPr>
          <w:color w:val="231F20"/>
        </w:rPr>
        <w:t>de</w:t>
      </w:r>
      <w:r>
        <w:rPr>
          <w:color w:val="231F20"/>
          <w:spacing w:val="-9"/>
        </w:rPr>
        <w:t> </w:t>
      </w:r>
      <w:r>
        <w:rPr>
          <w:color w:val="231F20"/>
        </w:rPr>
        <w:t>una</w:t>
      </w:r>
      <w:r>
        <w:rPr>
          <w:color w:val="231F20"/>
          <w:spacing w:val="-9"/>
        </w:rPr>
        <w:t> </w:t>
      </w:r>
      <w:r>
        <w:rPr>
          <w:color w:val="231F20"/>
        </w:rPr>
        <w:t>nueva</w:t>
      </w:r>
      <w:r>
        <w:rPr>
          <w:color w:val="231F20"/>
          <w:spacing w:val="-9"/>
        </w:rPr>
        <w:t> </w:t>
      </w:r>
      <w:r>
        <w:rPr>
          <w:color w:val="231F20"/>
        </w:rPr>
        <w:t>estrategia</w:t>
      </w:r>
      <w:r>
        <w:rPr>
          <w:color w:val="231F20"/>
          <w:spacing w:val="-9"/>
        </w:rPr>
        <w:t> </w:t>
      </w:r>
      <w:r>
        <w:rPr>
          <w:color w:val="231F20"/>
        </w:rPr>
        <w:t>de</w:t>
      </w:r>
      <w:r>
        <w:rPr>
          <w:color w:val="231F20"/>
          <w:spacing w:val="-9"/>
        </w:rPr>
        <w:t> </w:t>
      </w:r>
      <w:r>
        <w:rPr>
          <w:color w:val="231F20"/>
        </w:rPr>
        <w:t>desarrollo,</w:t>
      </w:r>
      <w:r>
        <w:rPr>
          <w:color w:val="231F20"/>
          <w:spacing w:val="-9"/>
        </w:rPr>
        <w:t> </w:t>
      </w:r>
      <w:r>
        <w:rPr>
          <w:color w:val="231F20"/>
        </w:rPr>
        <w:t>que</w:t>
      </w:r>
      <w:r>
        <w:rPr>
          <w:color w:val="231F20"/>
          <w:spacing w:val="-9"/>
        </w:rPr>
        <w:t> </w:t>
      </w:r>
      <w:r>
        <w:rPr>
          <w:color w:val="231F20"/>
        </w:rPr>
        <w:t>genere</w:t>
      </w:r>
      <w:r>
        <w:rPr>
          <w:color w:val="231F20"/>
          <w:spacing w:val="-9"/>
        </w:rPr>
        <w:t> </w:t>
      </w:r>
      <w:r>
        <w:rPr>
          <w:color w:val="231F20"/>
        </w:rPr>
        <w:t>condiciones</w:t>
      </w:r>
      <w:r>
        <w:rPr>
          <w:color w:val="231F20"/>
          <w:spacing w:val="-9"/>
        </w:rPr>
        <w:t> </w:t>
      </w:r>
      <w:r>
        <w:rPr>
          <w:color w:val="231F20"/>
        </w:rPr>
        <w:t>com- petitivas</w:t>
      </w:r>
      <w:r>
        <w:rPr>
          <w:color w:val="231F20"/>
          <w:spacing w:val="-6"/>
        </w:rPr>
        <w:t> </w:t>
      </w:r>
      <w:r>
        <w:rPr>
          <w:color w:val="231F20"/>
        </w:rPr>
        <w:t>de</w:t>
      </w:r>
      <w:r>
        <w:rPr>
          <w:color w:val="231F20"/>
          <w:spacing w:val="-6"/>
        </w:rPr>
        <w:t> </w:t>
      </w:r>
      <w:r>
        <w:rPr>
          <w:color w:val="231F20"/>
        </w:rPr>
        <w:t>crecimiento</w:t>
      </w:r>
      <w:r>
        <w:rPr>
          <w:color w:val="231F20"/>
          <w:spacing w:val="-6"/>
        </w:rPr>
        <w:t> </w:t>
      </w:r>
      <w:r>
        <w:rPr>
          <w:color w:val="231F20"/>
        </w:rPr>
        <w:t>para</w:t>
      </w:r>
      <w:r>
        <w:rPr>
          <w:color w:val="231F20"/>
          <w:spacing w:val="-6"/>
        </w:rPr>
        <w:t> </w:t>
      </w:r>
      <w:r>
        <w:rPr>
          <w:color w:val="231F20"/>
        </w:rPr>
        <w:t>el</w:t>
      </w:r>
      <w:r>
        <w:rPr>
          <w:color w:val="231F20"/>
          <w:spacing w:val="-6"/>
        </w:rPr>
        <w:t> </w:t>
      </w:r>
      <w:r>
        <w:rPr>
          <w:color w:val="231F20"/>
        </w:rPr>
        <w:t>sector</w:t>
      </w:r>
      <w:r>
        <w:rPr>
          <w:color w:val="231F20"/>
          <w:spacing w:val="-6"/>
        </w:rPr>
        <w:t> </w:t>
      </w:r>
      <w:r>
        <w:rPr>
          <w:color w:val="231F20"/>
        </w:rPr>
        <w:t>productivo</w:t>
      </w:r>
      <w:r>
        <w:rPr>
          <w:color w:val="231F20"/>
          <w:spacing w:val="-6"/>
        </w:rPr>
        <w:t> </w:t>
      </w:r>
      <w:r>
        <w:rPr>
          <w:color w:val="231F20"/>
        </w:rPr>
        <w:t>nacional</w:t>
      </w:r>
      <w:r>
        <w:rPr>
          <w:color w:val="231F20"/>
          <w:spacing w:val="-6"/>
        </w:rPr>
        <w:t> </w:t>
      </w:r>
      <w:r>
        <w:rPr>
          <w:color w:val="231F20"/>
        </w:rPr>
        <w:t>a</w:t>
      </w:r>
      <w:r>
        <w:rPr>
          <w:color w:val="231F20"/>
          <w:spacing w:val="-6"/>
        </w:rPr>
        <w:t> </w:t>
      </w:r>
      <w:r>
        <w:rPr>
          <w:color w:val="231F20"/>
        </w:rPr>
        <w:t>mediano</w:t>
      </w:r>
      <w:r>
        <w:rPr>
          <w:color w:val="231F20"/>
          <w:spacing w:val="-6"/>
        </w:rPr>
        <w:t> </w:t>
      </w:r>
      <w:r>
        <w:rPr>
          <w:color w:val="231F20"/>
        </w:rPr>
        <w:t>y</w:t>
      </w:r>
      <w:r>
        <w:rPr>
          <w:color w:val="231F20"/>
          <w:spacing w:val="-6"/>
        </w:rPr>
        <w:t> </w:t>
      </w:r>
      <w:r>
        <w:rPr>
          <w:color w:val="231F20"/>
        </w:rPr>
        <w:t>largo</w:t>
      </w:r>
      <w:r>
        <w:rPr>
          <w:color w:val="231F20"/>
          <w:spacing w:val="-6"/>
        </w:rPr>
        <w:t> </w:t>
      </w:r>
      <w:r>
        <w:rPr>
          <w:color w:val="231F20"/>
        </w:rPr>
        <w:t>plazo.</w:t>
      </w:r>
    </w:p>
    <w:p>
      <w:pPr>
        <w:spacing w:after="0" w:line="278" w:lineRule="auto"/>
        <w:jc w:val="both"/>
        <w:sectPr>
          <w:pgSz w:w="9640" w:h="13040"/>
          <w:pgMar w:header="581" w:footer="654" w:top="780" w:bottom="840" w:left="420" w:right="1200"/>
        </w:sectPr>
      </w:pPr>
    </w:p>
    <w:p>
      <w:pPr>
        <w:pStyle w:val="BodyText"/>
        <w:rPr>
          <w:sz w:val="20"/>
        </w:rPr>
      </w:pPr>
    </w:p>
    <w:p>
      <w:pPr>
        <w:pStyle w:val="BodyText"/>
        <w:spacing w:before="10"/>
        <w:rPr>
          <w:sz w:val="17"/>
        </w:rPr>
      </w:pPr>
    </w:p>
    <w:p>
      <w:pPr>
        <w:pStyle w:val="BodyText"/>
        <w:spacing w:line="278" w:lineRule="auto"/>
        <w:ind w:left="103" w:right="711" w:firstLine="396"/>
        <w:jc w:val="both"/>
      </w:pPr>
      <w:r>
        <w:rPr>
          <w:color w:val="231F20"/>
        </w:rPr>
        <w:t>Es </w:t>
      </w:r>
      <w:r>
        <w:rPr>
          <w:color w:val="231F20"/>
          <w:spacing w:val="-3"/>
        </w:rPr>
        <w:t>decir, </w:t>
      </w:r>
      <w:r>
        <w:rPr>
          <w:color w:val="231F20"/>
        </w:rPr>
        <w:t>de manera general, se requiere la generación de políticas públicas que favorezcan procesos de endogeneidad territorial, a partir de crear las condiciones que les permitan a las empresas nacionales la posibilidad de escalar en la cadena de valor hacia</w:t>
      </w:r>
      <w:r>
        <w:rPr>
          <w:color w:val="231F20"/>
          <w:spacing w:val="-5"/>
        </w:rPr>
        <w:t> </w:t>
      </w:r>
      <w:r>
        <w:rPr>
          <w:color w:val="231F20"/>
        </w:rPr>
        <w:t>actividades</w:t>
      </w:r>
      <w:r>
        <w:rPr>
          <w:color w:val="231F20"/>
          <w:spacing w:val="-5"/>
        </w:rPr>
        <w:t> </w:t>
      </w:r>
      <w:r>
        <w:rPr>
          <w:color w:val="231F20"/>
        </w:rPr>
        <w:t>de</w:t>
      </w:r>
      <w:r>
        <w:rPr>
          <w:color w:val="231F20"/>
          <w:spacing w:val="-5"/>
        </w:rPr>
        <w:t> </w:t>
      </w:r>
      <w:r>
        <w:rPr>
          <w:color w:val="231F20"/>
        </w:rPr>
        <w:t>mayor</w:t>
      </w:r>
      <w:r>
        <w:rPr>
          <w:color w:val="231F20"/>
          <w:spacing w:val="-5"/>
        </w:rPr>
        <w:t> </w:t>
      </w:r>
      <w:r>
        <w:rPr>
          <w:color w:val="231F20"/>
        </w:rPr>
        <w:t>valor</w:t>
      </w:r>
      <w:r>
        <w:rPr>
          <w:color w:val="231F20"/>
          <w:spacing w:val="-5"/>
        </w:rPr>
        <w:t> </w:t>
      </w:r>
      <w:r>
        <w:rPr>
          <w:color w:val="231F20"/>
        </w:rPr>
        <w:t>agregado.</w:t>
      </w:r>
      <w:r>
        <w:rPr>
          <w:color w:val="231F20"/>
          <w:spacing w:val="-5"/>
        </w:rPr>
        <w:t> </w:t>
      </w:r>
      <w:r>
        <w:rPr>
          <w:color w:val="231F20"/>
        </w:rPr>
        <w:t>Para</w:t>
      </w:r>
      <w:r>
        <w:rPr>
          <w:color w:val="231F20"/>
          <w:spacing w:val="-5"/>
        </w:rPr>
        <w:t> </w:t>
      </w:r>
      <w:r>
        <w:rPr>
          <w:color w:val="231F20"/>
        </w:rPr>
        <w:t>ello,</w:t>
      </w:r>
      <w:r>
        <w:rPr>
          <w:color w:val="231F20"/>
          <w:spacing w:val="-5"/>
        </w:rPr>
        <w:t> </w:t>
      </w:r>
      <w:r>
        <w:rPr>
          <w:color w:val="231F20"/>
        </w:rPr>
        <w:t>se</w:t>
      </w:r>
      <w:r>
        <w:rPr>
          <w:color w:val="231F20"/>
          <w:spacing w:val="-5"/>
        </w:rPr>
        <w:t> </w:t>
      </w:r>
      <w:r>
        <w:rPr>
          <w:color w:val="231F20"/>
        </w:rPr>
        <w:t>debe</w:t>
      </w:r>
      <w:r>
        <w:rPr>
          <w:color w:val="231F20"/>
          <w:spacing w:val="-5"/>
        </w:rPr>
        <w:t> </w:t>
      </w:r>
      <w:r>
        <w:rPr>
          <w:color w:val="231F20"/>
        </w:rPr>
        <w:t>trabajar</w:t>
      </w:r>
      <w:r>
        <w:rPr>
          <w:color w:val="231F20"/>
          <w:spacing w:val="-5"/>
        </w:rPr>
        <w:t> </w:t>
      </w:r>
      <w:r>
        <w:rPr>
          <w:color w:val="231F20"/>
        </w:rPr>
        <w:t>a</w:t>
      </w:r>
      <w:r>
        <w:rPr>
          <w:color w:val="231F20"/>
          <w:spacing w:val="-5"/>
        </w:rPr>
        <w:t> </w:t>
      </w:r>
      <w:r>
        <w:rPr>
          <w:color w:val="231F20"/>
        </w:rPr>
        <w:t>corto</w:t>
      </w:r>
      <w:r>
        <w:rPr>
          <w:color w:val="231F20"/>
          <w:spacing w:val="-5"/>
        </w:rPr>
        <w:t> </w:t>
      </w:r>
      <w:r>
        <w:rPr>
          <w:color w:val="231F20"/>
        </w:rPr>
        <w:t>plazo</w:t>
      </w:r>
      <w:r>
        <w:rPr>
          <w:color w:val="231F20"/>
          <w:spacing w:val="-5"/>
        </w:rPr>
        <w:t> </w:t>
      </w:r>
      <w:r>
        <w:rPr>
          <w:color w:val="231F20"/>
        </w:rPr>
        <w:t>en aquellos</w:t>
      </w:r>
      <w:r>
        <w:rPr>
          <w:color w:val="231F20"/>
          <w:spacing w:val="-13"/>
        </w:rPr>
        <w:t> </w:t>
      </w:r>
      <w:r>
        <w:rPr>
          <w:color w:val="231F20"/>
        </w:rPr>
        <w:t>factores</w:t>
      </w:r>
      <w:r>
        <w:rPr>
          <w:color w:val="231F20"/>
          <w:spacing w:val="-13"/>
        </w:rPr>
        <w:t> </w:t>
      </w:r>
      <w:r>
        <w:rPr>
          <w:color w:val="231F20"/>
        </w:rPr>
        <w:t>que</w:t>
      </w:r>
      <w:r>
        <w:rPr>
          <w:color w:val="231F20"/>
          <w:spacing w:val="-13"/>
        </w:rPr>
        <w:t> </w:t>
      </w:r>
      <w:r>
        <w:rPr>
          <w:color w:val="231F20"/>
        </w:rPr>
        <w:t>favorezcan</w:t>
      </w:r>
      <w:r>
        <w:rPr>
          <w:color w:val="231F20"/>
          <w:spacing w:val="-13"/>
        </w:rPr>
        <w:t> </w:t>
      </w:r>
      <w:r>
        <w:rPr>
          <w:color w:val="231F20"/>
        </w:rPr>
        <w:t>la</w:t>
      </w:r>
      <w:r>
        <w:rPr>
          <w:color w:val="231F20"/>
          <w:spacing w:val="-13"/>
        </w:rPr>
        <w:t> </w:t>
      </w:r>
      <w:r>
        <w:rPr>
          <w:color w:val="231F20"/>
        </w:rPr>
        <w:t>inversión</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capital</w:t>
      </w:r>
      <w:r>
        <w:rPr>
          <w:color w:val="231F20"/>
          <w:spacing w:val="-13"/>
        </w:rPr>
        <w:t> </w:t>
      </w:r>
      <w:r>
        <w:rPr>
          <w:color w:val="231F20"/>
        </w:rPr>
        <w:t>físico</w:t>
      </w:r>
      <w:r>
        <w:rPr>
          <w:color w:val="231F20"/>
          <w:spacing w:val="-13"/>
        </w:rPr>
        <w:t> </w:t>
      </w:r>
      <w:r>
        <w:rPr>
          <w:color w:val="231F20"/>
        </w:rPr>
        <w:t>y</w:t>
      </w:r>
      <w:r>
        <w:rPr>
          <w:color w:val="231F20"/>
          <w:spacing w:val="-13"/>
        </w:rPr>
        <w:t> </w:t>
      </w:r>
      <w:r>
        <w:rPr>
          <w:color w:val="231F20"/>
        </w:rPr>
        <w:t>humano</w:t>
      </w:r>
      <w:r>
        <w:rPr>
          <w:color w:val="231F20"/>
          <w:spacing w:val="-13"/>
        </w:rPr>
        <w:t> </w:t>
      </w:r>
      <w:r>
        <w:rPr>
          <w:color w:val="231F20"/>
        </w:rPr>
        <w:t>y</w:t>
      </w:r>
      <w:r>
        <w:rPr>
          <w:color w:val="231F20"/>
          <w:spacing w:val="-13"/>
        </w:rPr>
        <w:t> </w:t>
      </w:r>
      <w:r>
        <w:rPr>
          <w:color w:val="231F20"/>
        </w:rPr>
        <w:t>en</w:t>
      </w:r>
      <w:r>
        <w:rPr>
          <w:color w:val="231F20"/>
          <w:spacing w:val="-13"/>
        </w:rPr>
        <w:t> </w:t>
      </w:r>
      <w:r>
        <w:rPr>
          <w:color w:val="231F20"/>
        </w:rPr>
        <w:t>innova- ción</w:t>
      </w:r>
      <w:r>
        <w:rPr>
          <w:color w:val="231F20"/>
          <w:spacing w:val="-19"/>
        </w:rPr>
        <w:t> </w:t>
      </w:r>
      <w:r>
        <w:rPr>
          <w:color w:val="231F20"/>
        </w:rPr>
        <w:t>tecnológica.</w:t>
      </w:r>
    </w:p>
    <w:p>
      <w:pPr>
        <w:pStyle w:val="BodyText"/>
        <w:spacing w:line="278" w:lineRule="auto" w:before="1"/>
        <w:ind w:left="103" w:right="710" w:firstLine="396"/>
        <w:jc w:val="both"/>
      </w:pPr>
      <w:r>
        <w:rPr>
          <w:color w:val="231F20"/>
        </w:rPr>
        <w:t>Entre</w:t>
      </w:r>
      <w:r>
        <w:rPr>
          <w:color w:val="231F20"/>
          <w:spacing w:val="-8"/>
        </w:rPr>
        <w:t> </w:t>
      </w:r>
      <w:r>
        <w:rPr>
          <w:color w:val="231F20"/>
        </w:rPr>
        <w:t>los</w:t>
      </w:r>
      <w:r>
        <w:rPr>
          <w:color w:val="231F20"/>
          <w:spacing w:val="-8"/>
        </w:rPr>
        <w:t> </w:t>
      </w:r>
      <w:r>
        <w:rPr>
          <w:color w:val="231F20"/>
        </w:rPr>
        <w:t>determinantes</w:t>
      </w:r>
      <w:r>
        <w:rPr>
          <w:color w:val="231F20"/>
          <w:spacing w:val="-8"/>
        </w:rPr>
        <w:t> </w:t>
      </w:r>
      <w:r>
        <w:rPr>
          <w:color w:val="231F20"/>
        </w:rPr>
        <w:t>del</w:t>
      </w:r>
      <w:r>
        <w:rPr>
          <w:color w:val="231F20"/>
          <w:spacing w:val="-8"/>
        </w:rPr>
        <w:t> </w:t>
      </w:r>
      <w:r>
        <w:rPr>
          <w:color w:val="231F20"/>
        </w:rPr>
        <w:t>crecimiento</w:t>
      </w:r>
      <w:r>
        <w:rPr>
          <w:color w:val="231F20"/>
          <w:spacing w:val="-8"/>
        </w:rPr>
        <w:t> </w:t>
      </w:r>
      <w:r>
        <w:rPr>
          <w:color w:val="231F20"/>
        </w:rPr>
        <w:t>económico,</w:t>
      </w:r>
      <w:r>
        <w:rPr>
          <w:color w:val="231F20"/>
          <w:spacing w:val="-8"/>
        </w:rPr>
        <w:t> </w:t>
      </w:r>
      <w:r>
        <w:rPr>
          <w:color w:val="231F20"/>
        </w:rPr>
        <w:t>específicamente</w:t>
      </w:r>
      <w:r>
        <w:rPr>
          <w:color w:val="231F20"/>
          <w:spacing w:val="-8"/>
        </w:rPr>
        <w:t> </w:t>
      </w:r>
      <w:r>
        <w:rPr>
          <w:color w:val="231F20"/>
        </w:rPr>
        <w:t>de</w:t>
      </w:r>
      <w:r>
        <w:rPr>
          <w:color w:val="231F20"/>
          <w:spacing w:val="-8"/>
        </w:rPr>
        <w:t> </w:t>
      </w:r>
      <w:r>
        <w:rPr>
          <w:color w:val="231F20"/>
        </w:rPr>
        <w:t>las</w:t>
      </w:r>
      <w:r>
        <w:rPr>
          <w:color w:val="231F20"/>
          <w:spacing w:val="-8"/>
        </w:rPr>
        <w:t> </w:t>
      </w:r>
      <w:r>
        <w:rPr>
          <w:color w:val="231F20"/>
        </w:rPr>
        <w:t>regio- nes,</w:t>
      </w:r>
      <w:r>
        <w:rPr>
          <w:color w:val="231F20"/>
          <w:spacing w:val="-10"/>
        </w:rPr>
        <w:t> </w:t>
      </w:r>
      <w:r>
        <w:rPr>
          <w:color w:val="231F20"/>
        </w:rPr>
        <w:t>se</w:t>
      </w:r>
      <w:r>
        <w:rPr>
          <w:color w:val="231F20"/>
          <w:spacing w:val="-10"/>
        </w:rPr>
        <w:t> </w:t>
      </w:r>
      <w:r>
        <w:rPr>
          <w:color w:val="231F20"/>
        </w:rPr>
        <w:t>encuentra</w:t>
      </w:r>
      <w:r>
        <w:rPr>
          <w:color w:val="231F20"/>
          <w:spacing w:val="-10"/>
        </w:rPr>
        <w:t> </w:t>
      </w:r>
      <w:r>
        <w:rPr>
          <w:color w:val="231F20"/>
        </w:rPr>
        <w:t>el</w:t>
      </w:r>
      <w:r>
        <w:rPr>
          <w:color w:val="231F20"/>
          <w:spacing w:val="-10"/>
        </w:rPr>
        <w:t> </w:t>
      </w:r>
      <w:r>
        <w:rPr>
          <w:color w:val="231F20"/>
        </w:rPr>
        <w:t>capital</w:t>
      </w:r>
      <w:r>
        <w:rPr>
          <w:color w:val="231F20"/>
          <w:spacing w:val="-10"/>
        </w:rPr>
        <w:t> </w:t>
      </w:r>
      <w:r>
        <w:rPr>
          <w:color w:val="231F20"/>
          <w:spacing w:val="-3"/>
        </w:rPr>
        <w:t>humano.</w:t>
      </w:r>
      <w:r>
        <w:rPr>
          <w:color w:val="231F20"/>
          <w:spacing w:val="-10"/>
        </w:rPr>
        <w:t> </w:t>
      </w:r>
      <w:r>
        <w:rPr>
          <w:color w:val="231F20"/>
        </w:rPr>
        <w:t>Es</w:t>
      </w:r>
      <w:r>
        <w:rPr>
          <w:color w:val="231F20"/>
          <w:spacing w:val="-10"/>
        </w:rPr>
        <w:t> </w:t>
      </w:r>
      <w:r>
        <w:rPr>
          <w:color w:val="231F20"/>
        </w:rPr>
        <w:t>una</w:t>
      </w:r>
      <w:r>
        <w:rPr>
          <w:color w:val="231F20"/>
          <w:spacing w:val="-10"/>
        </w:rPr>
        <w:t> </w:t>
      </w:r>
      <w:r>
        <w:rPr>
          <w:color w:val="231F20"/>
        </w:rPr>
        <w:t>realidad</w:t>
      </w:r>
      <w:r>
        <w:rPr>
          <w:color w:val="231F20"/>
          <w:spacing w:val="-10"/>
        </w:rPr>
        <w:t> </w:t>
      </w:r>
      <w:r>
        <w:rPr>
          <w:color w:val="231F20"/>
        </w:rPr>
        <w:t>que</w:t>
      </w:r>
      <w:r>
        <w:rPr>
          <w:color w:val="231F20"/>
          <w:spacing w:val="-10"/>
        </w:rPr>
        <w:t> </w:t>
      </w:r>
      <w:r>
        <w:rPr>
          <w:color w:val="231F20"/>
        </w:rPr>
        <w:t>para</w:t>
      </w:r>
      <w:r>
        <w:rPr>
          <w:color w:val="231F20"/>
          <w:spacing w:val="-10"/>
        </w:rPr>
        <w:t> </w:t>
      </w:r>
      <w:r>
        <w:rPr>
          <w:color w:val="231F20"/>
        </w:rPr>
        <w:t>mejorar</w:t>
      </w:r>
      <w:r>
        <w:rPr>
          <w:color w:val="231F20"/>
          <w:spacing w:val="-10"/>
        </w:rPr>
        <w:t> </w:t>
      </w:r>
      <w:r>
        <w:rPr>
          <w:color w:val="231F20"/>
        </w:rPr>
        <w:t>la</w:t>
      </w:r>
      <w:r>
        <w:rPr>
          <w:color w:val="231F20"/>
          <w:spacing w:val="-10"/>
        </w:rPr>
        <w:t> </w:t>
      </w:r>
      <w:r>
        <w:rPr>
          <w:color w:val="231F20"/>
        </w:rPr>
        <w:t>productividad, y</w:t>
      </w:r>
      <w:r>
        <w:rPr>
          <w:color w:val="231F20"/>
          <w:spacing w:val="-12"/>
        </w:rPr>
        <w:t> </w:t>
      </w:r>
      <w:r>
        <w:rPr>
          <w:color w:val="231F20"/>
        </w:rPr>
        <w:t>con</w:t>
      </w:r>
      <w:r>
        <w:rPr>
          <w:color w:val="231F20"/>
          <w:spacing w:val="-12"/>
        </w:rPr>
        <w:t> </w:t>
      </w:r>
      <w:r>
        <w:rPr>
          <w:color w:val="231F20"/>
        </w:rPr>
        <w:t>ello</w:t>
      </w:r>
      <w:r>
        <w:rPr>
          <w:color w:val="231F20"/>
          <w:spacing w:val="-12"/>
        </w:rPr>
        <w:t> </w:t>
      </w:r>
      <w:r>
        <w:rPr>
          <w:color w:val="231F20"/>
        </w:rPr>
        <w:t>la</w:t>
      </w:r>
      <w:r>
        <w:rPr>
          <w:color w:val="231F20"/>
          <w:spacing w:val="-12"/>
        </w:rPr>
        <w:t> </w:t>
      </w:r>
      <w:r>
        <w:rPr>
          <w:color w:val="231F20"/>
        </w:rPr>
        <w:t>competitividad</w:t>
      </w:r>
      <w:r>
        <w:rPr>
          <w:color w:val="231F20"/>
          <w:spacing w:val="-12"/>
        </w:rPr>
        <w:t> </w:t>
      </w:r>
      <w:r>
        <w:rPr>
          <w:color w:val="231F20"/>
        </w:rPr>
        <w:t>de</w:t>
      </w:r>
      <w:r>
        <w:rPr>
          <w:color w:val="231F20"/>
          <w:spacing w:val="-12"/>
        </w:rPr>
        <w:t> </w:t>
      </w:r>
      <w:r>
        <w:rPr>
          <w:color w:val="231F20"/>
        </w:rPr>
        <w:t>cualquier</w:t>
      </w:r>
      <w:r>
        <w:rPr>
          <w:color w:val="231F20"/>
          <w:spacing w:val="-12"/>
        </w:rPr>
        <w:t> </w:t>
      </w:r>
      <w:r>
        <w:rPr>
          <w:color w:val="231F20"/>
        </w:rPr>
        <w:t>empresa</w:t>
      </w:r>
      <w:r>
        <w:rPr>
          <w:color w:val="231F20"/>
          <w:spacing w:val="-12"/>
        </w:rPr>
        <w:t> </w:t>
      </w:r>
      <w:r>
        <w:rPr>
          <w:color w:val="231F20"/>
        </w:rPr>
        <w:t>o</w:t>
      </w:r>
      <w:r>
        <w:rPr>
          <w:color w:val="231F20"/>
          <w:spacing w:val="-12"/>
        </w:rPr>
        <w:t> </w:t>
      </w:r>
      <w:r>
        <w:rPr>
          <w:color w:val="231F20"/>
        </w:rPr>
        <w:t>sector</w:t>
      </w:r>
      <w:r>
        <w:rPr>
          <w:color w:val="231F20"/>
          <w:spacing w:val="-12"/>
        </w:rPr>
        <w:t> </w:t>
      </w:r>
      <w:r>
        <w:rPr>
          <w:color w:val="231F20"/>
        </w:rPr>
        <w:t>de</w:t>
      </w:r>
      <w:r>
        <w:rPr>
          <w:color w:val="231F20"/>
          <w:spacing w:val="-12"/>
        </w:rPr>
        <w:t> </w:t>
      </w:r>
      <w:r>
        <w:rPr>
          <w:color w:val="231F20"/>
        </w:rPr>
        <w:t>actividad</w:t>
      </w:r>
      <w:r>
        <w:rPr>
          <w:color w:val="231F20"/>
          <w:spacing w:val="-12"/>
        </w:rPr>
        <w:t> </w:t>
      </w:r>
      <w:r>
        <w:rPr>
          <w:color w:val="231F20"/>
        </w:rPr>
        <w:t>de</w:t>
      </w:r>
      <w:r>
        <w:rPr>
          <w:color w:val="231F20"/>
          <w:spacing w:val="-12"/>
        </w:rPr>
        <w:t> </w:t>
      </w:r>
      <w:r>
        <w:rPr>
          <w:color w:val="231F20"/>
        </w:rPr>
        <w:t>la</w:t>
      </w:r>
      <w:r>
        <w:rPr>
          <w:color w:val="231F20"/>
          <w:spacing w:val="-12"/>
        </w:rPr>
        <w:t> </w:t>
      </w:r>
      <w:r>
        <w:rPr>
          <w:color w:val="231F20"/>
        </w:rPr>
        <w:t>economía, se</w:t>
      </w:r>
      <w:r>
        <w:rPr>
          <w:color w:val="231F20"/>
          <w:spacing w:val="-3"/>
        </w:rPr>
        <w:t> </w:t>
      </w:r>
      <w:r>
        <w:rPr>
          <w:color w:val="231F20"/>
        </w:rPr>
        <w:t>debe</w:t>
      </w:r>
      <w:r>
        <w:rPr>
          <w:color w:val="231F20"/>
          <w:spacing w:val="-3"/>
        </w:rPr>
        <w:t> </w:t>
      </w:r>
      <w:r>
        <w:rPr>
          <w:color w:val="231F20"/>
        </w:rPr>
        <w:t>fomentar</w:t>
      </w:r>
      <w:r>
        <w:rPr>
          <w:color w:val="231F20"/>
          <w:spacing w:val="-3"/>
        </w:rPr>
        <w:t> </w:t>
      </w:r>
      <w:r>
        <w:rPr>
          <w:color w:val="231F20"/>
        </w:rPr>
        <w:t>la</w:t>
      </w:r>
      <w:r>
        <w:rPr>
          <w:color w:val="231F20"/>
          <w:spacing w:val="-3"/>
        </w:rPr>
        <w:t> </w:t>
      </w:r>
      <w:r>
        <w:rPr>
          <w:color w:val="231F20"/>
        </w:rPr>
        <w:t>capacitación</w:t>
      </w:r>
      <w:r>
        <w:rPr>
          <w:color w:val="231F20"/>
          <w:spacing w:val="-3"/>
        </w:rPr>
        <w:t> </w:t>
      </w:r>
      <w:r>
        <w:rPr>
          <w:color w:val="231F20"/>
        </w:rPr>
        <w:t>y</w:t>
      </w:r>
      <w:r>
        <w:rPr>
          <w:color w:val="231F20"/>
          <w:spacing w:val="-3"/>
        </w:rPr>
        <w:t> </w:t>
      </w:r>
      <w:r>
        <w:rPr>
          <w:color w:val="231F20"/>
        </w:rPr>
        <w:t>la</w:t>
      </w:r>
      <w:r>
        <w:rPr>
          <w:color w:val="231F20"/>
          <w:spacing w:val="-3"/>
        </w:rPr>
        <w:t> </w:t>
      </w:r>
      <w:r>
        <w:rPr>
          <w:color w:val="231F20"/>
        </w:rPr>
        <w:t>educación</w:t>
      </w:r>
      <w:r>
        <w:rPr>
          <w:color w:val="231F20"/>
          <w:spacing w:val="-3"/>
        </w:rPr>
        <w:t> </w:t>
      </w:r>
      <w:r>
        <w:rPr>
          <w:color w:val="231F20"/>
        </w:rPr>
        <w:t>de</w:t>
      </w:r>
      <w:r>
        <w:rPr>
          <w:color w:val="231F20"/>
          <w:spacing w:val="-3"/>
        </w:rPr>
        <w:t> </w:t>
      </w:r>
      <w:r>
        <w:rPr>
          <w:color w:val="231F20"/>
        </w:rPr>
        <w:t>la</w:t>
      </w:r>
      <w:r>
        <w:rPr>
          <w:color w:val="231F20"/>
          <w:spacing w:val="-3"/>
        </w:rPr>
        <w:t> </w:t>
      </w:r>
      <w:r>
        <w:rPr>
          <w:color w:val="231F20"/>
        </w:rPr>
        <w:t>mano</w:t>
      </w:r>
      <w:r>
        <w:rPr>
          <w:color w:val="231F20"/>
          <w:spacing w:val="-3"/>
        </w:rPr>
        <w:t> </w:t>
      </w:r>
      <w:r>
        <w:rPr>
          <w:color w:val="231F20"/>
        </w:rPr>
        <w:t>de</w:t>
      </w:r>
      <w:r>
        <w:rPr>
          <w:color w:val="231F20"/>
          <w:spacing w:val="-3"/>
        </w:rPr>
        <w:t> </w:t>
      </w:r>
      <w:r>
        <w:rPr>
          <w:color w:val="231F20"/>
        </w:rPr>
        <w:t>obra.</w:t>
      </w:r>
      <w:r>
        <w:rPr>
          <w:color w:val="231F20"/>
          <w:spacing w:val="-3"/>
        </w:rPr>
        <w:t> </w:t>
      </w:r>
      <w:r>
        <w:rPr>
          <w:color w:val="231F20"/>
        </w:rPr>
        <w:t>En</w:t>
      </w:r>
      <w:r>
        <w:rPr>
          <w:color w:val="231F20"/>
          <w:spacing w:val="-3"/>
        </w:rPr>
        <w:t> </w:t>
      </w:r>
      <w:r>
        <w:rPr>
          <w:color w:val="231F20"/>
        </w:rPr>
        <w:t>la</w:t>
      </w:r>
      <w:r>
        <w:rPr>
          <w:color w:val="231F20"/>
          <w:spacing w:val="-3"/>
        </w:rPr>
        <w:t> </w:t>
      </w:r>
      <w:r>
        <w:rPr>
          <w:color w:val="231F20"/>
        </w:rPr>
        <w:t>medida</w:t>
      </w:r>
      <w:r>
        <w:rPr>
          <w:color w:val="231F20"/>
          <w:spacing w:val="-3"/>
        </w:rPr>
        <w:t> </w:t>
      </w:r>
      <w:r>
        <w:rPr>
          <w:color w:val="231F20"/>
        </w:rPr>
        <w:t>que esto</w:t>
      </w:r>
      <w:r>
        <w:rPr>
          <w:color w:val="231F20"/>
          <w:spacing w:val="-9"/>
        </w:rPr>
        <w:t> </w:t>
      </w:r>
      <w:r>
        <w:rPr>
          <w:color w:val="231F20"/>
        </w:rPr>
        <w:t>ocurra,</w:t>
      </w:r>
      <w:r>
        <w:rPr>
          <w:color w:val="231F20"/>
          <w:spacing w:val="-9"/>
        </w:rPr>
        <w:t> </w:t>
      </w:r>
      <w:r>
        <w:rPr>
          <w:color w:val="231F20"/>
        </w:rPr>
        <w:t>el</w:t>
      </w:r>
      <w:r>
        <w:rPr>
          <w:color w:val="231F20"/>
          <w:spacing w:val="-9"/>
        </w:rPr>
        <w:t> </w:t>
      </w:r>
      <w:r>
        <w:rPr>
          <w:color w:val="231F20"/>
        </w:rPr>
        <w:t>desempeño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mano</w:t>
      </w:r>
      <w:r>
        <w:rPr>
          <w:color w:val="231F20"/>
          <w:spacing w:val="-9"/>
        </w:rPr>
        <w:t> </w:t>
      </w:r>
      <w:r>
        <w:rPr>
          <w:color w:val="231F20"/>
        </w:rPr>
        <w:t>de</w:t>
      </w:r>
      <w:r>
        <w:rPr>
          <w:color w:val="231F20"/>
          <w:spacing w:val="-9"/>
        </w:rPr>
        <w:t> </w:t>
      </w:r>
      <w:r>
        <w:rPr>
          <w:color w:val="231F20"/>
        </w:rPr>
        <w:t>obra</w:t>
      </w:r>
      <w:r>
        <w:rPr>
          <w:color w:val="231F20"/>
          <w:spacing w:val="-9"/>
        </w:rPr>
        <w:t> </w:t>
      </w:r>
      <w:r>
        <w:rPr>
          <w:color w:val="231F20"/>
        </w:rPr>
        <w:t>en</w:t>
      </w:r>
      <w:r>
        <w:rPr>
          <w:color w:val="231F20"/>
          <w:spacing w:val="-9"/>
        </w:rPr>
        <w:t> </w:t>
      </w:r>
      <w:r>
        <w:rPr>
          <w:color w:val="231F20"/>
        </w:rPr>
        <w:t>sus</w:t>
      </w:r>
      <w:r>
        <w:rPr>
          <w:color w:val="231F20"/>
          <w:spacing w:val="-9"/>
        </w:rPr>
        <w:t> </w:t>
      </w:r>
      <w:r>
        <w:rPr>
          <w:color w:val="231F20"/>
        </w:rPr>
        <w:t>actividades</w:t>
      </w:r>
      <w:r>
        <w:rPr>
          <w:color w:val="231F20"/>
          <w:spacing w:val="-9"/>
        </w:rPr>
        <w:t> </w:t>
      </w:r>
      <w:r>
        <w:rPr>
          <w:color w:val="231F20"/>
        </w:rPr>
        <w:t>productivas</w:t>
      </w:r>
      <w:r>
        <w:rPr>
          <w:color w:val="231F20"/>
          <w:spacing w:val="-9"/>
        </w:rPr>
        <w:t> </w:t>
      </w:r>
      <w:r>
        <w:rPr>
          <w:color w:val="231F20"/>
        </w:rPr>
        <w:t>mejorará, y así la mano de obra tendrá las habilidades y los conocimientos para aprender </w:t>
      </w:r>
      <w:r>
        <w:rPr>
          <w:color w:val="231F20"/>
          <w:spacing w:val="-8"/>
        </w:rPr>
        <w:t>y, </w:t>
      </w:r>
      <w:r>
        <w:rPr>
          <w:color w:val="231F20"/>
        </w:rPr>
        <w:t>con ello,</w:t>
      </w:r>
      <w:r>
        <w:rPr>
          <w:color w:val="231F20"/>
          <w:spacing w:val="-19"/>
        </w:rPr>
        <w:t> </w:t>
      </w:r>
      <w:r>
        <w:rPr>
          <w:color w:val="231F20"/>
        </w:rPr>
        <w:t>perfeccionar</w:t>
      </w:r>
      <w:r>
        <w:rPr>
          <w:color w:val="231F20"/>
          <w:spacing w:val="-19"/>
        </w:rPr>
        <w:t> </w:t>
      </w:r>
      <w:r>
        <w:rPr>
          <w:color w:val="231F20"/>
        </w:rPr>
        <w:t>los</w:t>
      </w:r>
      <w:r>
        <w:rPr>
          <w:color w:val="231F20"/>
          <w:spacing w:val="-19"/>
        </w:rPr>
        <w:t> </w:t>
      </w:r>
      <w:r>
        <w:rPr>
          <w:color w:val="231F20"/>
        </w:rPr>
        <w:t>procesos</w:t>
      </w:r>
      <w:r>
        <w:rPr>
          <w:color w:val="231F20"/>
          <w:spacing w:val="-19"/>
        </w:rPr>
        <w:t> </w:t>
      </w:r>
      <w:r>
        <w:rPr>
          <w:color w:val="231F20"/>
        </w:rPr>
        <w:t>productivos.</w:t>
      </w:r>
      <w:r>
        <w:rPr>
          <w:color w:val="231F20"/>
          <w:spacing w:val="-19"/>
        </w:rPr>
        <w:t> </w:t>
      </w:r>
      <w:r>
        <w:rPr>
          <w:color w:val="231F20"/>
          <w:spacing w:val="-4"/>
        </w:rPr>
        <w:t>Por</w:t>
      </w:r>
      <w:r>
        <w:rPr>
          <w:color w:val="231F20"/>
          <w:spacing w:val="-19"/>
        </w:rPr>
        <w:t> </w:t>
      </w:r>
      <w:r>
        <w:rPr>
          <w:color w:val="231F20"/>
        </w:rPr>
        <w:t>eso</w:t>
      </w:r>
      <w:r>
        <w:rPr>
          <w:color w:val="231F20"/>
          <w:spacing w:val="-19"/>
        </w:rPr>
        <w:t> </w:t>
      </w:r>
      <w:r>
        <w:rPr>
          <w:color w:val="231F20"/>
        </w:rPr>
        <w:t>se</w:t>
      </w:r>
      <w:r>
        <w:rPr>
          <w:color w:val="231F20"/>
          <w:spacing w:val="-19"/>
        </w:rPr>
        <w:t> </w:t>
      </w:r>
      <w:r>
        <w:rPr>
          <w:color w:val="231F20"/>
        </w:rPr>
        <w:t>vuelve</w:t>
      </w:r>
      <w:r>
        <w:rPr>
          <w:color w:val="231F20"/>
          <w:spacing w:val="-19"/>
        </w:rPr>
        <w:t> </w:t>
      </w:r>
      <w:r>
        <w:rPr>
          <w:color w:val="231F20"/>
        </w:rPr>
        <w:t>una</w:t>
      </w:r>
      <w:r>
        <w:rPr>
          <w:color w:val="231F20"/>
          <w:spacing w:val="-19"/>
        </w:rPr>
        <w:t> </w:t>
      </w:r>
      <w:r>
        <w:rPr>
          <w:color w:val="231F20"/>
        </w:rPr>
        <w:t>necesidad</w:t>
      </w:r>
      <w:r>
        <w:rPr>
          <w:color w:val="231F20"/>
          <w:spacing w:val="-19"/>
        </w:rPr>
        <w:t> </w:t>
      </w:r>
      <w:r>
        <w:rPr>
          <w:color w:val="231F20"/>
        </w:rPr>
        <w:t>apremiante crear las condiciones para mejorar la calidad de la mano de</w:t>
      </w:r>
      <w:r>
        <w:rPr>
          <w:color w:val="231F20"/>
          <w:spacing w:val="-35"/>
        </w:rPr>
        <w:t> </w:t>
      </w:r>
      <w:r>
        <w:rPr>
          <w:color w:val="231F20"/>
        </w:rPr>
        <w:t>obra.</w:t>
      </w:r>
    </w:p>
    <w:p>
      <w:pPr>
        <w:pStyle w:val="BodyText"/>
        <w:spacing w:line="278" w:lineRule="auto" w:before="1"/>
        <w:ind w:left="103" w:right="711" w:firstLine="396"/>
        <w:jc w:val="both"/>
      </w:pPr>
      <w:r>
        <w:rPr>
          <w:color w:val="231F20"/>
        </w:rPr>
        <w:t>En</w:t>
      </w:r>
      <w:r>
        <w:rPr>
          <w:color w:val="231F20"/>
          <w:spacing w:val="-8"/>
        </w:rPr>
        <w:t> </w:t>
      </w:r>
      <w:r>
        <w:rPr>
          <w:color w:val="231F20"/>
        </w:rPr>
        <w:t>este</w:t>
      </w:r>
      <w:r>
        <w:rPr>
          <w:color w:val="231F20"/>
          <w:spacing w:val="-8"/>
        </w:rPr>
        <w:t> </w:t>
      </w:r>
      <w:r>
        <w:rPr>
          <w:color w:val="231F20"/>
        </w:rPr>
        <w:t>sentido,</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promover</w:t>
      </w:r>
      <w:r>
        <w:rPr>
          <w:color w:val="231F20"/>
          <w:spacing w:val="-8"/>
        </w:rPr>
        <w:t> </w:t>
      </w:r>
      <w:r>
        <w:rPr>
          <w:color w:val="231F20"/>
        </w:rPr>
        <w:t>una</w:t>
      </w:r>
      <w:r>
        <w:rPr>
          <w:color w:val="231F20"/>
          <w:spacing w:val="-8"/>
        </w:rPr>
        <w:t> </w:t>
      </w:r>
      <w:r>
        <w:rPr>
          <w:color w:val="231F20"/>
        </w:rPr>
        <w:t>estructura</w:t>
      </w:r>
      <w:r>
        <w:rPr>
          <w:color w:val="231F20"/>
          <w:spacing w:val="-8"/>
        </w:rPr>
        <w:t> </w:t>
      </w:r>
      <w:r>
        <w:rPr>
          <w:color w:val="231F20"/>
        </w:rPr>
        <w:t>adecuada</w:t>
      </w:r>
      <w:r>
        <w:rPr>
          <w:color w:val="231F20"/>
          <w:spacing w:val="-8"/>
        </w:rPr>
        <w:t> </w:t>
      </w:r>
      <w:r>
        <w:rPr>
          <w:color w:val="231F20"/>
        </w:rPr>
        <w:t>de</w:t>
      </w:r>
      <w:r>
        <w:rPr>
          <w:color w:val="231F20"/>
          <w:spacing w:val="-8"/>
        </w:rPr>
        <w:t> </w:t>
      </w:r>
      <w:r>
        <w:rPr>
          <w:color w:val="231F20"/>
        </w:rPr>
        <w:t>incentivos</w:t>
      </w:r>
      <w:r>
        <w:rPr>
          <w:color w:val="231F20"/>
          <w:spacing w:val="-8"/>
        </w:rPr>
        <w:t> </w:t>
      </w:r>
      <w:r>
        <w:rPr>
          <w:color w:val="231F20"/>
        </w:rPr>
        <w:t>que permita la interacción entre las instituciones de investigación, el sector productivo y empresarial y el sector público, y que propicie las actividades de ciencia, tecnología  e innovación. Es preciso que se destinen los recursos financieros necesarios para la creación de infraestructura y la formación de capital </w:t>
      </w:r>
      <w:r>
        <w:rPr>
          <w:color w:val="231F20"/>
          <w:spacing w:val="-3"/>
        </w:rPr>
        <w:t>humano, </w:t>
      </w:r>
      <w:r>
        <w:rPr>
          <w:color w:val="231F20"/>
        </w:rPr>
        <w:t>con el propósito de de- sarrollar</w:t>
      </w:r>
      <w:r>
        <w:rPr>
          <w:color w:val="231F20"/>
          <w:spacing w:val="-14"/>
        </w:rPr>
        <w:t> </w:t>
      </w:r>
      <w:r>
        <w:rPr>
          <w:color w:val="231F20"/>
        </w:rPr>
        <w:t>la</w:t>
      </w:r>
      <w:r>
        <w:rPr>
          <w:color w:val="231F20"/>
          <w:spacing w:val="-14"/>
        </w:rPr>
        <w:t> </w:t>
      </w:r>
      <w:r>
        <w:rPr>
          <w:color w:val="231F20"/>
        </w:rPr>
        <w:t>innovación</w:t>
      </w:r>
      <w:r>
        <w:rPr>
          <w:color w:val="231F20"/>
          <w:spacing w:val="-14"/>
        </w:rPr>
        <w:t> </w:t>
      </w:r>
      <w:r>
        <w:rPr>
          <w:color w:val="231F20"/>
        </w:rPr>
        <w:t>científica</w:t>
      </w:r>
      <w:r>
        <w:rPr>
          <w:color w:val="231F20"/>
          <w:spacing w:val="-14"/>
        </w:rPr>
        <w:t> </w:t>
      </w:r>
      <w:r>
        <w:rPr>
          <w:color w:val="231F20"/>
        </w:rPr>
        <w:t>y</w:t>
      </w:r>
      <w:r>
        <w:rPr>
          <w:color w:val="231F20"/>
          <w:spacing w:val="-14"/>
        </w:rPr>
        <w:t> </w:t>
      </w:r>
      <w:r>
        <w:rPr>
          <w:color w:val="231F20"/>
        </w:rPr>
        <w:t>tecnológica.</w:t>
      </w:r>
    </w:p>
    <w:p>
      <w:pPr>
        <w:pStyle w:val="BodyText"/>
        <w:spacing w:line="278" w:lineRule="auto" w:before="1"/>
        <w:ind w:left="103" w:right="708" w:firstLine="396"/>
        <w:jc w:val="both"/>
      </w:pPr>
      <w:r>
        <w:rPr>
          <w:color w:val="231F20"/>
        </w:rPr>
        <w:t>En esta misma lógica se requiere la creación de programas que permitan una mayor vinculación entre las empresas del sector automotriz y las instituciones edu- cativas, de tal forma que se propicie una mayor correspondencia entre la demanda   de trabajo y la oferta, representada en este caso por los egresados de las instituciones educativas que tienen el </w:t>
      </w:r>
      <w:r>
        <w:rPr>
          <w:color w:val="231F20"/>
          <w:spacing w:val="2"/>
        </w:rPr>
        <w:t>perfil </w:t>
      </w:r>
      <w:r>
        <w:rPr>
          <w:color w:val="231F20"/>
        </w:rPr>
        <w:t>para incorporarse a esta industria. Más aun, generar  las condiciones para que los egresados de las instituciones educativas de la entidad logren tener una participación más activa en el diseño y la mercadotecnia de </w:t>
      </w:r>
      <w:r>
        <w:rPr>
          <w:color w:val="231F20"/>
          <w:spacing w:val="2"/>
        </w:rPr>
        <w:t>los </w:t>
      </w:r>
      <w:r>
        <w:rPr>
          <w:color w:val="231F20"/>
        </w:rPr>
        <w:t>productos, así como participar en el mejoramiento continuo mediante innovación y desarrollo tecnológico de aplicación</w:t>
      </w:r>
      <w:r>
        <w:rPr>
          <w:color w:val="231F20"/>
          <w:spacing w:val="19"/>
        </w:rPr>
        <w:t> </w:t>
      </w:r>
      <w:r>
        <w:rPr>
          <w:color w:val="231F20"/>
        </w:rPr>
        <w:t>específica.</w:t>
      </w:r>
    </w:p>
    <w:p>
      <w:pPr>
        <w:pStyle w:val="BodyText"/>
        <w:spacing w:line="278" w:lineRule="auto" w:before="1"/>
        <w:ind w:left="103" w:right="710" w:firstLine="396"/>
        <w:jc w:val="both"/>
      </w:pPr>
      <w:r>
        <w:rPr>
          <w:color w:val="231F20"/>
          <w:spacing w:val="-4"/>
        </w:rPr>
        <w:t>También </w:t>
      </w:r>
      <w:r>
        <w:rPr>
          <w:color w:val="231F20"/>
        </w:rPr>
        <w:t>queda pendiente la idea de que la innovación debe formar parte de los elementos para apuntalar el desarrollo industrial en la región. En este sentido, es ne- cesario generar las condiciones que permitan a las empresas de capital nacional intro- ducidas en el sector automotriz desarrollar proyectos de investigación que se</w:t>
      </w:r>
      <w:r>
        <w:rPr>
          <w:color w:val="231F20"/>
          <w:spacing w:val="-30"/>
        </w:rPr>
        <w:t> </w:t>
      </w:r>
      <w:r>
        <w:rPr>
          <w:color w:val="231F20"/>
        </w:rPr>
        <w:t>vinculen al sector y que les permitan escalar en la cadena de valor hacia actividades con mayor valor</w:t>
      </w:r>
      <w:r>
        <w:rPr>
          <w:color w:val="231F20"/>
          <w:spacing w:val="-16"/>
        </w:rPr>
        <w:t> </w:t>
      </w:r>
      <w:r>
        <w:rPr>
          <w:color w:val="231F20"/>
        </w:rPr>
        <w:t>agregado.</w:t>
      </w:r>
      <w:r>
        <w:rPr>
          <w:color w:val="231F20"/>
          <w:spacing w:val="-16"/>
        </w:rPr>
        <w:t> </w:t>
      </w:r>
      <w:r>
        <w:rPr>
          <w:color w:val="231F20"/>
          <w:spacing w:val="-4"/>
        </w:rPr>
        <w:t>Por</w:t>
      </w:r>
      <w:r>
        <w:rPr>
          <w:color w:val="231F20"/>
          <w:spacing w:val="-16"/>
        </w:rPr>
        <w:t> </w:t>
      </w:r>
      <w:r>
        <w:rPr>
          <w:color w:val="231F20"/>
        </w:rPr>
        <w:t>ello</w:t>
      </w:r>
      <w:r>
        <w:rPr>
          <w:color w:val="231F20"/>
          <w:spacing w:val="-16"/>
        </w:rPr>
        <w:t> </w:t>
      </w:r>
      <w:r>
        <w:rPr>
          <w:color w:val="231F20"/>
        </w:rPr>
        <w:t>se</w:t>
      </w:r>
      <w:r>
        <w:rPr>
          <w:color w:val="231F20"/>
          <w:spacing w:val="-16"/>
        </w:rPr>
        <w:t> </w:t>
      </w:r>
      <w:r>
        <w:rPr>
          <w:color w:val="231F20"/>
        </w:rPr>
        <w:t>requiere</w:t>
      </w:r>
      <w:r>
        <w:rPr>
          <w:color w:val="231F20"/>
          <w:spacing w:val="-16"/>
        </w:rPr>
        <w:t> </w:t>
      </w:r>
      <w:r>
        <w:rPr>
          <w:color w:val="231F20"/>
        </w:rPr>
        <w:t>la</w:t>
      </w:r>
      <w:r>
        <w:rPr>
          <w:color w:val="231F20"/>
          <w:spacing w:val="-16"/>
        </w:rPr>
        <w:t> </w:t>
      </w:r>
      <w:r>
        <w:rPr>
          <w:color w:val="231F20"/>
        </w:rPr>
        <w:t>participación</w:t>
      </w:r>
      <w:r>
        <w:rPr>
          <w:color w:val="231F20"/>
          <w:spacing w:val="-16"/>
        </w:rPr>
        <w:t> </w:t>
      </w:r>
      <w:r>
        <w:rPr>
          <w:color w:val="231F20"/>
        </w:rPr>
        <w:t>activa</w:t>
      </w:r>
      <w:r>
        <w:rPr>
          <w:color w:val="231F20"/>
          <w:spacing w:val="-16"/>
        </w:rPr>
        <w:t> </w:t>
      </w:r>
      <w:r>
        <w:rPr>
          <w:color w:val="231F20"/>
        </w:rPr>
        <w:t>y</w:t>
      </w:r>
      <w:r>
        <w:rPr>
          <w:color w:val="231F20"/>
          <w:spacing w:val="-16"/>
        </w:rPr>
        <w:t> </w:t>
      </w:r>
      <w:r>
        <w:rPr>
          <w:color w:val="231F20"/>
        </w:rPr>
        <w:t>clara</w:t>
      </w:r>
      <w:r>
        <w:rPr>
          <w:color w:val="231F20"/>
          <w:spacing w:val="-16"/>
        </w:rPr>
        <w:t> </w:t>
      </w:r>
      <w:r>
        <w:rPr>
          <w:color w:val="231F20"/>
        </w:rPr>
        <w:t>de</w:t>
      </w:r>
      <w:r>
        <w:rPr>
          <w:color w:val="231F20"/>
          <w:spacing w:val="-16"/>
        </w:rPr>
        <w:t> </w:t>
      </w:r>
      <w:r>
        <w:rPr>
          <w:color w:val="231F20"/>
        </w:rPr>
        <w:t>instituciones</w:t>
      </w:r>
      <w:r>
        <w:rPr>
          <w:color w:val="231F20"/>
          <w:spacing w:val="-16"/>
        </w:rPr>
        <w:t> </w:t>
      </w:r>
      <w:r>
        <w:rPr>
          <w:color w:val="231F20"/>
        </w:rPr>
        <w:t>como el Conacyt, a través de programas para fomentar la investigación en el </w:t>
      </w:r>
      <w:r>
        <w:rPr>
          <w:color w:val="231F20"/>
          <w:spacing w:val="-3"/>
        </w:rPr>
        <w:t>sector, </w:t>
      </w:r>
      <w:r>
        <w:rPr>
          <w:color w:val="231F20"/>
        </w:rPr>
        <w:t>con la garantía</w:t>
      </w:r>
      <w:r>
        <w:rPr>
          <w:color w:val="231F20"/>
          <w:spacing w:val="-5"/>
        </w:rPr>
        <w:t> </w:t>
      </w:r>
      <w:r>
        <w:rPr>
          <w:color w:val="231F20"/>
        </w:rPr>
        <w:t>de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destino</w:t>
      </w:r>
      <w:r>
        <w:rPr>
          <w:color w:val="231F20"/>
          <w:spacing w:val="-5"/>
        </w:rPr>
        <w:t> </w:t>
      </w:r>
      <w:r>
        <w:rPr>
          <w:color w:val="231F20"/>
        </w:rPr>
        <w:t>y</w:t>
      </w:r>
      <w:r>
        <w:rPr>
          <w:color w:val="231F20"/>
          <w:spacing w:val="-5"/>
        </w:rPr>
        <w:t> </w:t>
      </w:r>
      <w:r>
        <w:rPr>
          <w:color w:val="231F20"/>
        </w:rPr>
        <w:t>el</w:t>
      </w:r>
      <w:r>
        <w:rPr>
          <w:color w:val="231F20"/>
          <w:spacing w:val="-5"/>
        </w:rPr>
        <w:t> </w:t>
      </w:r>
      <w:r>
        <w:rPr>
          <w:color w:val="231F20"/>
        </w:rPr>
        <w:t>uso</w:t>
      </w:r>
      <w:r>
        <w:rPr>
          <w:color w:val="231F20"/>
          <w:spacing w:val="-5"/>
        </w:rPr>
        <w:t> </w:t>
      </w:r>
      <w:r>
        <w:rPr>
          <w:color w:val="231F20"/>
        </w:rPr>
        <w:t>de</w:t>
      </w:r>
      <w:r>
        <w:rPr>
          <w:color w:val="231F20"/>
          <w:spacing w:val="-5"/>
        </w:rPr>
        <w:t> </w:t>
      </w:r>
      <w:r>
        <w:rPr>
          <w:color w:val="231F20"/>
        </w:rPr>
        <w:t>los</w:t>
      </w:r>
      <w:r>
        <w:rPr>
          <w:color w:val="231F20"/>
          <w:spacing w:val="-5"/>
        </w:rPr>
        <w:t> </w:t>
      </w:r>
      <w:r>
        <w:rPr>
          <w:color w:val="231F20"/>
        </w:rPr>
        <w:t>recursos</w:t>
      </w:r>
      <w:r>
        <w:rPr>
          <w:color w:val="231F20"/>
          <w:spacing w:val="-5"/>
        </w:rPr>
        <w:t> </w:t>
      </w:r>
      <w:r>
        <w:rPr>
          <w:color w:val="231F20"/>
        </w:rPr>
        <w:t>sea</w:t>
      </w:r>
      <w:r>
        <w:rPr>
          <w:color w:val="231F20"/>
          <w:spacing w:val="-5"/>
        </w:rPr>
        <w:t> </w:t>
      </w:r>
      <w:r>
        <w:rPr>
          <w:color w:val="231F20"/>
        </w:rPr>
        <w:t>el</w:t>
      </w:r>
      <w:r>
        <w:rPr>
          <w:color w:val="231F20"/>
          <w:spacing w:val="-5"/>
        </w:rPr>
        <w:t> </w:t>
      </w:r>
      <w:r>
        <w:rPr>
          <w:color w:val="231F20"/>
          <w:spacing w:val="-3"/>
        </w:rPr>
        <w:t>apropiado.</w:t>
      </w:r>
    </w:p>
    <w:p>
      <w:pPr>
        <w:spacing w:after="0" w:line="278" w:lineRule="auto"/>
        <w:jc w:val="both"/>
        <w:sectPr>
          <w:pgSz w:w="9640" w:h="13040"/>
          <w:pgMar w:header="520" w:footer="654" w:top="880" w:bottom="840" w:left="1200" w:right="420"/>
        </w:sectPr>
      </w:pPr>
    </w:p>
    <w:p>
      <w:pPr>
        <w:pStyle w:val="BodyText"/>
        <w:rPr>
          <w:sz w:val="20"/>
        </w:rPr>
      </w:pPr>
    </w:p>
    <w:p>
      <w:pPr>
        <w:pStyle w:val="BodyText"/>
        <w:spacing w:before="6"/>
      </w:pPr>
    </w:p>
    <w:p>
      <w:pPr>
        <w:pStyle w:val="BodyText"/>
        <w:spacing w:line="278" w:lineRule="auto" w:before="58"/>
        <w:ind w:left="713" w:right="101" w:firstLine="396"/>
        <w:jc w:val="both"/>
      </w:pPr>
      <w:r>
        <w:rPr>
          <w:color w:val="231F20"/>
        </w:rPr>
        <w:t>A</w:t>
      </w:r>
      <w:r>
        <w:rPr>
          <w:color w:val="231F20"/>
          <w:spacing w:val="-11"/>
        </w:rPr>
        <w:t> </w:t>
      </w:r>
      <w:r>
        <w:rPr>
          <w:color w:val="231F20"/>
        </w:rPr>
        <w:t>nivel</w:t>
      </w:r>
      <w:r>
        <w:rPr>
          <w:color w:val="231F20"/>
          <w:spacing w:val="-11"/>
        </w:rPr>
        <w:t> </w:t>
      </w:r>
      <w:r>
        <w:rPr>
          <w:color w:val="231F20"/>
        </w:rPr>
        <w:t>del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además,</w:t>
      </w:r>
      <w:r>
        <w:rPr>
          <w:color w:val="231F20"/>
          <w:spacing w:val="-11"/>
        </w:rPr>
        <w:t> </w:t>
      </w:r>
      <w:r>
        <w:rPr>
          <w:color w:val="231F20"/>
        </w:rPr>
        <w:t>se</w:t>
      </w:r>
      <w:r>
        <w:rPr>
          <w:color w:val="231F20"/>
          <w:spacing w:val="-11"/>
        </w:rPr>
        <w:t> </w:t>
      </w:r>
      <w:r>
        <w:rPr>
          <w:color w:val="231F20"/>
        </w:rPr>
        <w:t>requiere</w:t>
      </w:r>
      <w:r>
        <w:rPr>
          <w:color w:val="231F20"/>
          <w:spacing w:val="-11"/>
        </w:rPr>
        <w:t> </w:t>
      </w:r>
      <w:r>
        <w:rPr>
          <w:color w:val="231F20"/>
        </w:rPr>
        <w:t>que</w:t>
      </w:r>
      <w:r>
        <w:rPr>
          <w:color w:val="231F20"/>
          <w:spacing w:val="-11"/>
        </w:rPr>
        <w:t> </w:t>
      </w:r>
      <w:r>
        <w:rPr>
          <w:color w:val="231F20"/>
        </w:rPr>
        <w:t>instituciones</w:t>
      </w:r>
      <w:r>
        <w:rPr>
          <w:color w:val="231F20"/>
          <w:spacing w:val="-11"/>
        </w:rPr>
        <w:t> </w:t>
      </w:r>
      <w:r>
        <w:rPr>
          <w:color w:val="231F20"/>
        </w:rPr>
        <w:t>como</w:t>
      </w:r>
      <w:r>
        <w:rPr>
          <w:color w:val="231F20"/>
          <w:spacing w:val="-11"/>
        </w:rPr>
        <w:t> </w:t>
      </w:r>
      <w:r>
        <w:rPr>
          <w:color w:val="231F20"/>
        </w:rPr>
        <w:t>el</w:t>
      </w:r>
      <w:r>
        <w:rPr>
          <w:color w:val="231F20"/>
          <w:spacing w:val="-11"/>
        </w:rPr>
        <w:t> </w:t>
      </w:r>
      <w:r>
        <w:rPr>
          <w:color w:val="231F20"/>
        </w:rPr>
        <w:t>Con- sejo</w:t>
      </w:r>
      <w:r>
        <w:rPr>
          <w:color w:val="231F20"/>
          <w:spacing w:val="-8"/>
        </w:rPr>
        <w:t> </w:t>
      </w:r>
      <w:r>
        <w:rPr>
          <w:color w:val="231F20"/>
        </w:rPr>
        <w:t>Mexiquense</w:t>
      </w:r>
      <w:r>
        <w:rPr>
          <w:color w:val="231F20"/>
          <w:spacing w:val="-8"/>
        </w:rPr>
        <w:t> </w:t>
      </w:r>
      <w:r>
        <w:rPr>
          <w:color w:val="231F20"/>
        </w:rPr>
        <w:t>de</w:t>
      </w:r>
      <w:r>
        <w:rPr>
          <w:color w:val="231F20"/>
          <w:spacing w:val="-8"/>
        </w:rPr>
        <w:t> </w:t>
      </w:r>
      <w:r>
        <w:rPr>
          <w:color w:val="231F20"/>
        </w:rPr>
        <w:t>Ciencia</w:t>
      </w:r>
      <w:r>
        <w:rPr>
          <w:color w:val="231F20"/>
          <w:spacing w:val="-8"/>
        </w:rPr>
        <w:t> </w:t>
      </w:r>
      <w:r>
        <w:rPr>
          <w:color w:val="231F20"/>
        </w:rPr>
        <w:t>y</w:t>
      </w:r>
      <w:r>
        <w:rPr>
          <w:color w:val="231F20"/>
          <w:spacing w:val="-8"/>
        </w:rPr>
        <w:t> </w:t>
      </w:r>
      <w:r>
        <w:rPr>
          <w:color w:val="231F20"/>
          <w:spacing w:val="-3"/>
        </w:rPr>
        <w:t>Tecnología</w:t>
      </w:r>
      <w:r>
        <w:rPr>
          <w:color w:val="231F20"/>
          <w:spacing w:val="-8"/>
        </w:rPr>
        <w:t> </w:t>
      </w:r>
      <w:r>
        <w:rPr>
          <w:color w:val="231F20"/>
        </w:rPr>
        <w:t>(Comecyt)</w:t>
      </w:r>
      <w:r>
        <w:rPr>
          <w:color w:val="231F20"/>
          <w:spacing w:val="-8"/>
        </w:rPr>
        <w:t> </w:t>
      </w:r>
      <w:r>
        <w:rPr>
          <w:color w:val="231F20"/>
        </w:rPr>
        <w:t>tenga</w:t>
      </w:r>
      <w:r>
        <w:rPr>
          <w:color w:val="231F20"/>
          <w:spacing w:val="-8"/>
        </w:rPr>
        <w:t> </w:t>
      </w:r>
      <w:r>
        <w:rPr>
          <w:color w:val="231F20"/>
        </w:rPr>
        <w:t>una</w:t>
      </w:r>
      <w:r>
        <w:rPr>
          <w:color w:val="231F20"/>
          <w:spacing w:val="-8"/>
        </w:rPr>
        <w:t> </w:t>
      </w:r>
      <w:r>
        <w:rPr>
          <w:color w:val="231F20"/>
        </w:rPr>
        <w:t>participación</w:t>
      </w:r>
      <w:r>
        <w:rPr>
          <w:color w:val="231F20"/>
          <w:spacing w:val="-8"/>
        </w:rPr>
        <w:t> </w:t>
      </w:r>
      <w:r>
        <w:rPr>
          <w:color w:val="231F20"/>
        </w:rPr>
        <w:t>más</w:t>
      </w:r>
      <w:r>
        <w:rPr>
          <w:color w:val="231F20"/>
          <w:spacing w:val="-8"/>
        </w:rPr>
        <w:t> </w:t>
      </w:r>
      <w:r>
        <w:rPr>
          <w:color w:val="231F20"/>
        </w:rPr>
        <w:t>acti- va</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fomento</w:t>
      </w:r>
      <w:r>
        <w:rPr>
          <w:color w:val="231F20"/>
          <w:spacing w:val="-11"/>
        </w:rPr>
        <w:t> </w:t>
      </w:r>
      <w:r>
        <w:rPr>
          <w:color w:val="231F20"/>
        </w:rPr>
        <w:t>a</w:t>
      </w:r>
      <w:r>
        <w:rPr>
          <w:color w:val="231F20"/>
          <w:spacing w:val="-11"/>
        </w:rPr>
        <w:t> </w:t>
      </w:r>
      <w:r>
        <w:rPr>
          <w:color w:val="231F20"/>
        </w:rPr>
        <w:t>la</w:t>
      </w:r>
      <w:r>
        <w:rPr>
          <w:color w:val="231F20"/>
          <w:spacing w:val="-11"/>
        </w:rPr>
        <w:t> </w:t>
      </w:r>
      <w:r>
        <w:rPr>
          <w:color w:val="231F20"/>
        </w:rPr>
        <w:t>investigación,</w:t>
      </w:r>
      <w:r>
        <w:rPr>
          <w:color w:val="231F20"/>
          <w:spacing w:val="-11"/>
        </w:rPr>
        <w:t> </w:t>
      </w:r>
      <w:r>
        <w:rPr>
          <w:color w:val="231F20"/>
        </w:rPr>
        <w:t>con</w:t>
      </w:r>
      <w:r>
        <w:rPr>
          <w:color w:val="231F20"/>
          <w:spacing w:val="-11"/>
        </w:rPr>
        <w:t> </w:t>
      </w:r>
      <w:r>
        <w:rPr>
          <w:color w:val="231F20"/>
        </w:rPr>
        <w:t>participación</w:t>
      </w:r>
      <w:r>
        <w:rPr>
          <w:color w:val="231F20"/>
          <w:spacing w:val="-11"/>
        </w:rPr>
        <w:t> </w:t>
      </w:r>
      <w:r>
        <w:rPr>
          <w:color w:val="231F20"/>
        </w:rPr>
        <w:t>directa</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industria</w:t>
      </w:r>
      <w:r>
        <w:rPr>
          <w:color w:val="231F20"/>
          <w:spacing w:val="-11"/>
        </w:rPr>
        <w:t> </w:t>
      </w:r>
      <w:r>
        <w:rPr>
          <w:color w:val="231F20"/>
        </w:rPr>
        <w:t>automotriz 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necesidades</w:t>
      </w:r>
      <w:r>
        <w:rPr>
          <w:color w:val="231F20"/>
          <w:spacing w:val="-4"/>
        </w:rPr>
        <w:t> </w:t>
      </w:r>
      <w:r>
        <w:rPr>
          <w:color w:val="231F20"/>
        </w:rPr>
        <w:t>y</w:t>
      </w:r>
      <w:r>
        <w:rPr>
          <w:color w:val="231F20"/>
          <w:spacing w:val="-4"/>
        </w:rPr>
        <w:t> </w:t>
      </w:r>
      <w:r>
        <w:rPr>
          <w:color w:val="231F20"/>
        </w:rPr>
        <w:t>problemas</w:t>
      </w:r>
      <w:r>
        <w:rPr>
          <w:color w:val="231F20"/>
          <w:spacing w:val="-4"/>
        </w:rPr>
        <w:t> </w:t>
      </w:r>
      <w:r>
        <w:rPr>
          <w:color w:val="231F20"/>
        </w:rPr>
        <w:t>específicos</w:t>
      </w:r>
      <w:r>
        <w:rPr>
          <w:color w:val="231F20"/>
          <w:spacing w:val="-4"/>
        </w:rPr>
        <w:t> </w:t>
      </w:r>
      <w:r>
        <w:rPr>
          <w:color w:val="231F20"/>
        </w:rPr>
        <w:t>y</w:t>
      </w:r>
      <w:r>
        <w:rPr>
          <w:color w:val="231F20"/>
          <w:spacing w:val="-4"/>
        </w:rPr>
        <w:t> </w:t>
      </w:r>
      <w:r>
        <w:rPr>
          <w:color w:val="231F20"/>
        </w:rPr>
        <w:t>de</w:t>
      </w:r>
      <w:r>
        <w:rPr>
          <w:color w:val="231F20"/>
          <w:spacing w:val="-4"/>
        </w:rPr>
        <w:t> </w:t>
      </w:r>
      <w:r>
        <w:rPr>
          <w:color w:val="231F20"/>
        </w:rPr>
        <w:t>la</w:t>
      </w:r>
      <w:r>
        <w:rPr>
          <w:color w:val="231F20"/>
          <w:spacing w:val="-4"/>
        </w:rPr>
        <w:t> </w:t>
      </w:r>
      <w:r>
        <w:rPr>
          <w:color w:val="231F20"/>
        </w:rPr>
        <w:t>investigación</w:t>
      </w:r>
      <w:r>
        <w:rPr>
          <w:color w:val="231F20"/>
          <w:spacing w:val="-4"/>
        </w:rPr>
        <w:t> </w:t>
      </w:r>
      <w:r>
        <w:rPr>
          <w:color w:val="231F20"/>
        </w:rPr>
        <w:t>que</w:t>
      </w:r>
      <w:r>
        <w:rPr>
          <w:color w:val="231F20"/>
          <w:spacing w:val="-4"/>
        </w:rPr>
        <w:t> </w:t>
      </w:r>
      <w:r>
        <w:rPr>
          <w:color w:val="231F20"/>
        </w:rPr>
        <w:t>se</w:t>
      </w:r>
      <w:r>
        <w:rPr>
          <w:color w:val="231F20"/>
          <w:spacing w:val="-4"/>
        </w:rPr>
        <w:t> </w:t>
      </w:r>
      <w:r>
        <w:rPr>
          <w:color w:val="231F20"/>
        </w:rPr>
        <w:t>desarrolle en</w:t>
      </w:r>
      <w:r>
        <w:rPr>
          <w:color w:val="231F20"/>
          <w:spacing w:val="-13"/>
        </w:rPr>
        <w:t> </w:t>
      </w:r>
      <w:r>
        <w:rPr>
          <w:color w:val="231F20"/>
        </w:rPr>
        <w:t>las</w:t>
      </w:r>
      <w:r>
        <w:rPr>
          <w:color w:val="231F20"/>
          <w:spacing w:val="-13"/>
        </w:rPr>
        <w:t> </w:t>
      </w:r>
      <w:r>
        <w:rPr>
          <w:color w:val="231F20"/>
        </w:rPr>
        <w:t>universidades</w:t>
      </w:r>
      <w:r>
        <w:rPr>
          <w:color w:val="231F20"/>
          <w:spacing w:val="-13"/>
        </w:rPr>
        <w:t> </w:t>
      </w:r>
      <w:r>
        <w:rPr>
          <w:color w:val="231F20"/>
        </w:rPr>
        <w:t>y</w:t>
      </w:r>
      <w:r>
        <w:rPr>
          <w:color w:val="231F20"/>
          <w:spacing w:val="-13"/>
        </w:rPr>
        <w:t> </w:t>
      </w:r>
      <w:r>
        <w:rPr>
          <w:color w:val="231F20"/>
        </w:rPr>
        <w:t>tecnológicos.</w:t>
      </w:r>
    </w:p>
    <w:p>
      <w:pPr>
        <w:pStyle w:val="BodyText"/>
        <w:spacing w:line="278" w:lineRule="auto" w:before="1"/>
        <w:ind w:left="713" w:right="102" w:firstLine="396"/>
        <w:jc w:val="both"/>
      </w:pPr>
      <w:r>
        <w:rPr>
          <w:color w:val="231F20"/>
        </w:rPr>
        <w:t>De manera específica para el Estado de México, se requiere instrumentar una</w:t>
      </w:r>
      <w:r>
        <w:rPr>
          <w:color w:val="231F20"/>
          <w:spacing w:val="-33"/>
        </w:rPr>
        <w:t> </w:t>
      </w:r>
      <w:r>
        <w:rPr>
          <w:color w:val="231F20"/>
        </w:rPr>
        <w:t>po- lítica industrial —pues desde hace años está ausente del territorio del Estado de Mé- xico—, que, basada en un buen diagnóstico, defina con claridad los lineamientos que debe</w:t>
      </w:r>
      <w:r>
        <w:rPr>
          <w:color w:val="231F20"/>
          <w:spacing w:val="-10"/>
        </w:rPr>
        <w:t> </w:t>
      </w:r>
      <w:r>
        <w:rPr>
          <w:color w:val="231F20"/>
        </w:rPr>
        <w:t>seguir</w:t>
      </w:r>
      <w:r>
        <w:rPr>
          <w:color w:val="231F20"/>
          <w:spacing w:val="-10"/>
        </w:rPr>
        <w:t> </w:t>
      </w:r>
      <w:r>
        <w:rPr>
          <w:color w:val="231F20"/>
        </w:rPr>
        <w:t>el</w:t>
      </w:r>
      <w:r>
        <w:rPr>
          <w:color w:val="231F20"/>
          <w:spacing w:val="-10"/>
        </w:rPr>
        <w:t> </w:t>
      </w:r>
      <w:r>
        <w:rPr>
          <w:color w:val="231F20"/>
        </w:rPr>
        <w:t>desarrollo</w:t>
      </w:r>
      <w:r>
        <w:rPr>
          <w:color w:val="231F20"/>
          <w:spacing w:val="-10"/>
        </w:rPr>
        <w:t> </w:t>
      </w:r>
      <w:r>
        <w:rPr>
          <w:color w:val="231F20"/>
        </w:rPr>
        <w:t>industrial</w:t>
      </w:r>
      <w:r>
        <w:rPr>
          <w:color w:val="231F20"/>
          <w:spacing w:val="-10"/>
        </w:rPr>
        <w:t> </w:t>
      </w:r>
      <w:r>
        <w:rPr>
          <w:color w:val="231F20"/>
        </w:rPr>
        <w:t>en</w:t>
      </w:r>
      <w:r>
        <w:rPr>
          <w:color w:val="231F20"/>
          <w:spacing w:val="-10"/>
        </w:rPr>
        <w:t> </w:t>
      </w:r>
      <w:r>
        <w:rPr>
          <w:color w:val="231F20"/>
        </w:rPr>
        <w:t>la</w:t>
      </w:r>
      <w:r>
        <w:rPr>
          <w:color w:val="231F20"/>
          <w:spacing w:val="-10"/>
        </w:rPr>
        <w:t> </w:t>
      </w:r>
      <w:r>
        <w:rPr>
          <w:color w:val="231F20"/>
        </w:rPr>
        <w:t>entidad,</w:t>
      </w:r>
      <w:r>
        <w:rPr>
          <w:color w:val="231F20"/>
          <w:spacing w:val="-10"/>
        </w:rPr>
        <w:t> </w:t>
      </w:r>
      <w:r>
        <w:rPr>
          <w:color w:val="231F20"/>
        </w:rPr>
        <w:t>de</w:t>
      </w:r>
      <w:r>
        <w:rPr>
          <w:color w:val="231F20"/>
          <w:spacing w:val="-10"/>
        </w:rPr>
        <w:t> </w:t>
      </w:r>
      <w:r>
        <w:rPr>
          <w:color w:val="231F20"/>
        </w:rPr>
        <w:t>tal</w:t>
      </w:r>
      <w:r>
        <w:rPr>
          <w:color w:val="231F20"/>
          <w:spacing w:val="-10"/>
        </w:rPr>
        <w:t> </w:t>
      </w:r>
      <w:r>
        <w:rPr>
          <w:color w:val="231F20"/>
        </w:rPr>
        <w:t>forma</w:t>
      </w:r>
      <w:r>
        <w:rPr>
          <w:color w:val="231F20"/>
          <w:spacing w:val="-10"/>
        </w:rPr>
        <w:t> </w:t>
      </w:r>
      <w:r>
        <w:rPr>
          <w:color w:val="231F20"/>
        </w:rPr>
        <w:t>que</w:t>
      </w:r>
      <w:r>
        <w:rPr>
          <w:color w:val="231F20"/>
          <w:spacing w:val="-10"/>
        </w:rPr>
        <w:t> </w:t>
      </w:r>
      <w:r>
        <w:rPr>
          <w:color w:val="231F20"/>
        </w:rPr>
        <w:t>impulse</w:t>
      </w:r>
      <w:r>
        <w:rPr>
          <w:color w:val="231F20"/>
          <w:spacing w:val="-10"/>
        </w:rPr>
        <w:t> </w:t>
      </w:r>
      <w:r>
        <w:rPr>
          <w:color w:val="231F20"/>
        </w:rPr>
        <w:t>el</w:t>
      </w:r>
      <w:r>
        <w:rPr>
          <w:color w:val="231F20"/>
          <w:spacing w:val="-10"/>
        </w:rPr>
        <w:t> </w:t>
      </w:r>
      <w:r>
        <w:rPr>
          <w:color w:val="231F20"/>
        </w:rPr>
        <w:t>desarrollo y</w:t>
      </w:r>
      <w:r>
        <w:rPr>
          <w:color w:val="231F20"/>
          <w:spacing w:val="-13"/>
        </w:rPr>
        <w:t> </w:t>
      </w:r>
      <w:r>
        <w:rPr>
          <w:color w:val="231F20"/>
        </w:rPr>
        <w:t>la</w:t>
      </w:r>
      <w:r>
        <w:rPr>
          <w:color w:val="231F20"/>
          <w:spacing w:val="-13"/>
        </w:rPr>
        <w:t> </w:t>
      </w:r>
      <w:r>
        <w:rPr>
          <w:color w:val="231F20"/>
        </w:rPr>
        <w:t>competitividad</w:t>
      </w:r>
      <w:r>
        <w:rPr>
          <w:color w:val="231F20"/>
          <w:spacing w:val="-13"/>
        </w:rPr>
        <w:t> </w:t>
      </w:r>
      <w:r>
        <w:rPr>
          <w:color w:val="231F20"/>
        </w:rPr>
        <w:t>de</w:t>
      </w:r>
      <w:r>
        <w:rPr>
          <w:color w:val="231F20"/>
          <w:spacing w:val="-13"/>
        </w:rPr>
        <w:t> </w:t>
      </w:r>
      <w:r>
        <w:rPr>
          <w:color w:val="231F20"/>
        </w:rPr>
        <w:t>las</w:t>
      </w:r>
      <w:r>
        <w:rPr>
          <w:color w:val="231F20"/>
          <w:spacing w:val="-13"/>
        </w:rPr>
        <w:t> </w:t>
      </w:r>
      <w:r>
        <w:rPr>
          <w:color w:val="231F20"/>
        </w:rPr>
        <w:t>empresas</w:t>
      </w:r>
      <w:r>
        <w:rPr>
          <w:color w:val="231F20"/>
          <w:spacing w:val="-13"/>
        </w:rPr>
        <w:t> </w:t>
      </w:r>
      <w:r>
        <w:rPr>
          <w:color w:val="231F20"/>
        </w:rPr>
        <w:t>involucradas</w:t>
      </w:r>
      <w:r>
        <w:rPr>
          <w:color w:val="231F20"/>
          <w:spacing w:val="-13"/>
        </w:rPr>
        <w:t> </w:t>
      </w:r>
      <w:r>
        <w:rPr>
          <w:color w:val="231F20"/>
        </w:rPr>
        <w:t>en</w:t>
      </w:r>
      <w:r>
        <w:rPr>
          <w:color w:val="231F20"/>
          <w:spacing w:val="-13"/>
        </w:rPr>
        <w:t> </w:t>
      </w:r>
      <w:r>
        <w:rPr>
          <w:color w:val="231F20"/>
        </w:rPr>
        <w:t>el</w:t>
      </w:r>
      <w:r>
        <w:rPr>
          <w:color w:val="231F20"/>
          <w:spacing w:val="-13"/>
        </w:rPr>
        <w:t> </w:t>
      </w:r>
      <w:r>
        <w:rPr>
          <w:color w:val="231F20"/>
        </w:rPr>
        <w:t>sector</w:t>
      </w:r>
      <w:r>
        <w:rPr>
          <w:color w:val="231F20"/>
          <w:spacing w:val="-13"/>
        </w:rPr>
        <w:t> </w:t>
      </w:r>
      <w:r>
        <w:rPr>
          <w:color w:val="231F20"/>
        </w:rPr>
        <w:t>automotriz,</w:t>
      </w:r>
      <w:r>
        <w:rPr>
          <w:color w:val="231F20"/>
          <w:spacing w:val="-13"/>
        </w:rPr>
        <w:t> </w:t>
      </w:r>
      <w:r>
        <w:rPr>
          <w:color w:val="231F20"/>
        </w:rPr>
        <w:t>y</w:t>
      </w:r>
      <w:r>
        <w:rPr>
          <w:color w:val="231F20"/>
          <w:spacing w:val="-13"/>
        </w:rPr>
        <w:t> </w:t>
      </w:r>
      <w:r>
        <w:rPr>
          <w:color w:val="231F20"/>
        </w:rPr>
        <w:t>que</w:t>
      </w:r>
      <w:r>
        <w:rPr>
          <w:color w:val="231F20"/>
          <w:spacing w:val="-13"/>
        </w:rPr>
        <w:t> </w:t>
      </w:r>
      <w:r>
        <w:rPr>
          <w:color w:val="231F20"/>
        </w:rPr>
        <w:t>permita que</w:t>
      </w:r>
      <w:r>
        <w:rPr>
          <w:color w:val="231F20"/>
          <w:spacing w:val="-6"/>
        </w:rPr>
        <w:t> </w:t>
      </w:r>
      <w:r>
        <w:rPr>
          <w:color w:val="231F20"/>
        </w:rPr>
        <w:t>el</w:t>
      </w:r>
      <w:r>
        <w:rPr>
          <w:color w:val="231F20"/>
          <w:spacing w:val="-6"/>
        </w:rPr>
        <w:t> </w:t>
      </w:r>
      <w:r>
        <w:rPr>
          <w:color w:val="231F20"/>
        </w:rPr>
        <w:t>Estado</w:t>
      </w:r>
      <w:r>
        <w:rPr>
          <w:color w:val="231F20"/>
          <w:spacing w:val="-6"/>
        </w:rPr>
        <w:t> </w:t>
      </w:r>
      <w:r>
        <w:rPr>
          <w:color w:val="231F20"/>
        </w:rPr>
        <w:t>recobre</w:t>
      </w:r>
      <w:r>
        <w:rPr>
          <w:color w:val="231F20"/>
          <w:spacing w:val="-6"/>
        </w:rPr>
        <w:t> </w:t>
      </w:r>
      <w:r>
        <w:rPr>
          <w:color w:val="231F20"/>
        </w:rPr>
        <w:t>el</w:t>
      </w:r>
      <w:r>
        <w:rPr>
          <w:color w:val="231F20"/>
          <w:spacing w:val="-6"/>
        </w:rPr>
        <w:t> </w:t>
      </w:r>
      <w:r>
        <w:rPr>
          <w:color w:val="231F20"/>
        </w:rPr>
        <w:t>dinamismo</w:t>
      </w:r>
      <w:r>
        <w:rPr>
          <w:color w:val="231F20"/>
          <w:spacing w:val="-6"/>
        </w:rPr>
        <w:t> </w:t>
      </w:r>
      <w:r>
        <w:rPr>
          <w:color w:val="231F20"/>
        </w:rPr>
        <w:t>que</w:t>
      </w:r>
      <w:r>
        <w:rPr>
          <w:color w:val="231F20"/>
          <w:spacing w:val="-6"/>
        </w:rPr>
        <w:t> </w:t>
      </w:r>
      <w:r>
        <w:rPr>
          <w:color w:val="231F20"/>
        </w:rPr>
        <w:t>lo</w:t>
      </w:r>
      <w:r>
        <w:rPr>
          <w:color w:val="231F20"/>
          <w:spacing w:val="-6"/>
        </w:rPr>
        <w:t> </w:t>
      </w:r>
      <w:r>
        <w:rPr>
          <w:color w:val="231F20"/>
        </w:rPr>
        <w:t>caracterizó</w:t>
      </w:r>
      <w:r>
        <w:rPr>
          <w:color w:val="231F20"/>
          <w:spacing w:val="-6"/>
        </w:rPr>
        <w:t> </w:t>
      </w:r>
      <w:r>
        <w:rPr>
          <w:color w:val="231F20"/>
        </w:rPr>
        <w:t>en</w:t>
      </w:r>
      <w:r>
        <w:rPr>
          <w:color w:val="231F20"/>
          <w:spacing w:val="-6"/>
        </w:rPr>
        <w:t> </w:t>
      </w:r>
      <w:r>
        <w:rPr>
          <w:color w:val="231F20"/>
        </w:rPr>
        <w:t>décadas</w:t>
      </w:r>
      <w:r>
        <w:rPr>
          <w:color w:val="231F20"/>
          <w:spacing w:val="-6"/>
        </w:rPr>
        <w:t> </w:t>
      </w:r>
      <w:r>
        <w:rPr>
          <w:color w:val="231F20"/>
        </w:rPr>
        <w:t>pasadas.</w:t>
      </w:r>
    </w:p>
    <w:p>
      <w:pPr>
        <w:pStyle w:val="BodyText"/>
        <w:spacing w:before="1"/>
        <w:ind w:left="1110"/>
      </w:pPr>
      <w:r>
        <w:rPr>
          <w:color w:val="231F20"/>
        </w:rPr>
        <w:t>A partir de </w:t>
      </w:r>
      <w:r>
        <w:rPr>
          <w:color w:val="231F20"/>
          <w:spacing w:val="-3"/>
        </w:rPr>
        <w:t>estos aspectos, pueden </w:t>
      </w:r>
      <w:r>
        <w:rPr>
          <w:color w:val="231F20"/>
          <w:spacing w:val="-4"/>
        </w:rPr>
        <w:t>plantearse </w:t>
      </w:r>
      <w:r>
        <w:rPr>
          <w:color w:val="231F20"/>
        </w:rPr>
        <w:t>los </w:t>
      </w:r>
      <w:r>
        <w:rPr>
          <w:color w:val="231F20"/>
          <w:spacing w:val="-4"/>
        </w:rPr>
        <w:t>siguientes </w:t>
      </w:r>
      <w:r>
        <w:rPr>
          <w:color w:val="231F20"/>
          <w:spacing w:val="-3"/>
        </w:rPr>
        <w:t>escenarios para </w:t>
      </w:r>
      <w:r>
        <w:rPr>
          <w:color w:val="231F20"/>
        </w:rPr>
        <w:t>el </w:t>
      </w:r>
      <w:r>
        <w:rPr>
          <w:color w:val="231F20"/>
          <w:spacing w:val="-5"/>
        </w:rPr>
        <w:t>sector.</w:t>
      </w:r>
    </w:p>
    <w:p>
      <w:pPr>
        <w:pStyle w:val="BodyText"/>
        <w:spacing w:before="3"/>
        <w:rPr>
          <w:sz w:val="18"/>
        </w:rPr>
      </w:pPr>
    </w:p>
    <w:p>
      <w:pPr>
        <w:pStyle w:val="Heading3"/>
        <w:numPr>
          <w:ilvl w:val="1"/>
          <w:numId w:val="23"/>
        </w:numPr>
        <w:tabs>
          <w:tab w:pos="1128" w:val="left" w:leader="none"/>
        </w:tabs>
        <w:spacing w:line="240" w:lineRule="auto" w:before="0" w:after="0"/>
        <w:ind w:left="1127" w:right="0" w:hanging="414"/>
        <w:jc w:val="both"/>
      </w:pPr>
      <w:r>
        <w:rPr>
          <w:color w:val="231F20"/>
          <w:w w:val="95"/>
        </w:rPr>
        <w:t>Escenarios</w:t>
      </w:r>
      <w:r>
        <w:rPr>
          <w:color w:val="231F20"/>
          <w:spacing w:val="-35"/>
          <w:w w:val="95"/>
        </w:rPr>
        <w:t> </w:t>
      </w:r>
      <w:r>
        <w:rPr>
          <w:color w:val="231F20"/>
          <w:w w:val="95"/>
        </w:rPr>
        <w:t>posibles</w:t>
      </w:r>
      <w:r>
        <w:rPr>
          <w:color w:val="231F20"/>
          <w:spacing w:val="-35"/>
          <w:w w:val="95"/>
        </w:rPr>
        <w:t> </w:t>
      </w:r>
      <w:r>
        <w:rPr>
          <w:color w:val="231F20"/>
          <w:w w:val="95"/>
        </w:rPr>
        <w:t>para</w:t>
      </w:r>
      <w:r>
        <w:rPr>
          <w:color w:val="231F20"/>
          <w:spacing w:val="-35"/>
          <w:w w:val="95"/>
        </w:rPr>
        <w:t> </w:t>
      </w:r>
      <w:r>
        <w:rPr>
          <w:color w:val="231F20"/>
          <w:w w:val="95"/>
        </w:rPr>
        <w:t>el</w:t>
      </w:r>
      <w:r>
        <w:rPr>
          <w:color w:val="231F20"/>
          <w:spacing w:val="-35"/>
          <w:w w:val="95"/>
        </w:rPr>
        <w:t> </w:t>
      </w:r>
      <w:r>
        <w:rPr>
          <w:color w:val="231F20"/>
          <w:w w:val="95"/>
        </w:rPr>
        <w:t>sector</w:t>
      </w:r>
    </w:p>
    <w:p>
      <w:pPr>
        <w:pStyle w:val="BodyText"/>
        <w:spacing w:line="278" w:lineRule="auto" w:before="125"/>
        <w:ind w:left="713" w:right="101"/>
        <w:jc w:val="both"/>
      </w:pPr>
      <w:r>
        <w:rPr>
          <w:color w:val="231F20"/>
        </w:rPr>
        <w:t>La revisión y el análisis de la información reciente dan elementos para pensar que se está generando una tercera fase de transición dentro de esta industria, que va a ser fundamental y que se relaciona con el uso de nuevas tecnologías encaminadas a los sistemas híbridos en la producción de vehículos y la búsqueda de combustibles alter- nativos a las gasolinas.</w:t>
      </w:r>
    </w:p>
    <w:p>
      <w:pPr>
        <w:pStyle w:val="BodyText"/>
        <w:spacing w:line="278" w:lineRule="auto" w:before="1"/>
        <w:ind w:left="713" w:right="101" w:firstLine="396"/>
        <w:jc w:val="both"/>
      </w:pPr>
      <w:r>
        <w:rPr>
          <w:color w:val="231F20"/>
        </w:rPr>
        <w:t>La</w:t>
      </w:r>
      <w:r>
        <w:rPr>
          <w:color w:val="231F20"/>
          <w:spacing w:val="-5"/>
        </w:rPr>
        <w:t> </w:t>
      </w:r>
      <w:r>
        <w:rPr>
          <w:color w:val="231F20"/>
        </w:rPr>
        <w:t>producción</w:t>
      </w:r>
      <w:r>
        <w:rPr>
          <w:color w:val="231F20"/>
          <w:spacing w:val="-5"/>
        </w:rPr>
        <w:t> </w:t>
      </w:r>
      <w:r>
        <w:rPr>
          <w:color w:val="231F20"/>
        </w:rPr>
        <w:t>de</w:t>
      </w:r>
      <w:r>
        <w:rPr>
          <w:color w:val="231F20"/>
          <w:spacing w:val="-5"/>
        </w:rPr>
        <w:t> </w:t>
      </w:r>
      <w:r>
        <w:rPr>
          <w:color w:val="231F20"/>
        </w:rPr>
        <w:t>autos</w:t>
      </w:r>
      <w:r>
        <w:rPr>
          <w:color w:val="231F20"/>
          <w:spacing w:val="-5"/>
        </w:rPr>
        <w:t> </w:t>
      </w:r>
      <w:r>
        <w:rPr>
          <w:color w:val="231F20"/>
        </w:rPr>
        <w:t>híbridos</w:t>
      </w:r>
      <w:r>
        <w:rPr>
          <w:color w:val="231F20"/>
          <w:spacing w:val="-5"/>
        </w:rPr>
        <w:t> </w:t>
      </w:r>
      <w:r>
        <w:rPr>
          <w:color w:val="231F20"/>
        </w:rPr>
        <w:t>parece</w:t>
      </w:r>
      <w:r>
        <w:rPr>
          <w:color w:val="231F20"/>
          <w:spacing w:val="-5"/>
        </w:rPr>
        <w:t> </w:t>
      </w:r>
      <w:r>
        <w:rPr>
          <w:color w:val="231F20"/>
        </w:rPr>
        <w:t>ser</w:t>
      </w:r>
      <w:r>
        <w:rPr>
          <w:color w:val="231F20"/>
          <w:spacing w:val="-5"/>
        </w:rPr>
        <w:t> </w:t>
      </w:r>
      <w:r>
        <w:rPr>
          <w:color w:val="231F20"/>
        </w:rPr>
        <w:t>una</w:t>
      </w:r>
      <w:r>
        <w:rPr>
          <w:color w:val="231F20"/>
          <w:spacing w:val="-5"/>
        </w:rPr>
        <w:t> </w:t>
      </w:r>
      <w:r>
        <w:rPr>
          <w:color w:val="231F20"/>
        </w:rPr>
        <w:t>de</w:t>
      </w:r>
      <w:r>
        <w:rPr>
          <w:color w:val="231F20"/>
          <w:spacing w:val="-5"/>
        </w:rPr>
        <w:t> </w:t>
      </w:r>
      <w:r>
        <w:rPr>
          <w:color w:val="231F20"/>
        </w:rPr>
        <w:t>las</w:t>
      </w:r>
      <w:r>
        <w:rPr>
          <w:color w:val="231F20"/>
          <w:spacing w:val="-5"/>
        </w:rPr>
        <w:t> </w:t>
      </w:r>
      <w:r>
        <w:rPr>
          <w:color w:val="231F20"/>
        </w:rPr>
        <w:t>principales</w:t>
      </w:r>
      <w:r>
        <w:rPr>
          <w:color w:val="231F20"/>
          <w:spacing w:val="-5"/>
        </w:rPr>
        <w:t> </w:t>
      </w:r>
      <w:r>
        <w:rPr>
          <w:color w:val="231F20"/>
        </w:rPr>
        <w:t>estrategias</w:t>
      </w:r>
      <w:r>
        <w:rPr>
          <w:color w:val="231F20"/>
          <w:spacing w:val="-5"/>
        </w:rPr>
        <w:t> </w:t>
      </w:r>
      <w:r>
        <w:rPr>
          <w:color w:val="231F20"/>
        </w:rPr>
        <w:t>a</w:t>
      </w:r>
      <w:r>
        <w:rPr>
          <w:color w:val="231F20"/>
          <w:spacing w:val="-5"/>
        </w:rPr>
        <w:t> </w:t>
      </w:r>
      <w:r>
        <w:rPr>
          <w:color w:val="231F20"/>
        </w:rPr>
        <w:t>las que las grandes armadoras de vehículos les están apostando actualmente; por ello, se han</w:t>
      </w:r>
      <w:r>
        <w:rPr>
          <w:color w:val="231F20"/>
          <w:spacing w:val="-7"/>
        </w:rPr>
        <w:t> </w:t>
      </w:r>
      <w:r>
        <w:rPr>
          <w:color w:val="231F20"/>
        </w:rPr>
        <w:t>realizado</w:t>
      </w:r>
      <w:r>
        <w:rPr>
          <w:color w:val="231F20"/>
          <w:spacing w:val="-7"/>
        </w:rPr>
        <w:t> </w:t>
      </w:r>
      <w:r>
        <w:rPr>
          <w:color w:val="231F20"/>
        </w:rPr>
        <w:t>inversiones</w:t>
      </w:r>
      <w:r>
        <w:rPr>
          <w:color w:val="231F20"/>
          <w:spacing w:val="-7"/>
        </w:rPr>
        <w:t> </w:t>
      </w:r>
      <w:r>
        <w:rPr>
          <w:color w:val="231F20"/>
        </w:rPr>
        <w:t>masivas</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terreno</w:t>
      </w:r>
      <w:r>
        <w:rPr>
          <w:color w:val="231F20"/>
          <w:spacing w:val="-7"/>
        </w:rPr>
        <w:t> </w:t>
      </w:r>
      <w:r>
        <w:rPr>
          <w:color w:val="231F20"/>
        </w:rPr>
        <w:t>de</w:t>
      </w:r>
      <w:r>
        <w:rPr>
          <w:color w:val="231F20"/>
          <w:spacing w:val="-7"/>
        </w:rPr>
        <w:t> </w:t>
      </w:r>
      <w:r>
        <w:rPr>
          <w:color w:val="231F20"/>
        </w:rPr>
        <w:t>I+D</w:t>
      </w:r>
      <w:r>
        <w:rPr>
          <w:color w:val="231F20"/>
          <w:spacing w:val="-7"/>
        </w:rPr>
        <w:t> </w:t>
      </w:r>
      <w:r>
        <w:rPr>
          <w:color w:val="231F20"/>
        </w:rPr>
        <w:t>de</w:t>
      </w:r>
      <w:r>
        <w:rPr>
          <w:color w:val="231F20"/>
          <w:spacing w:val="-7"/>
        </w:rPr>
        <w:t> </w:t>
      </w:r>
      <w:r>
        <w:rPr>
          <w:color w:val="231F20"/>
        </w:rPr>
        <w:t>nuevas</w:t>
      </w:r>
      <w:r>
        <w:rPr>
          <w:color w:val="231F20"/>
          <w:spacing w:val="-7"/>
        </w:rPr>
        <w:t> </w:t>
      </w:r>
      <w:r>
        <w:rPr>
          <w:color w:val="231F20"/>
        </w:rPr>
        <w:t>tecnologías.</w:t>
      </w:r>
    </w:p>
    <w:p>
      <w:pPr>
        <w:pStyle w:val="BodyText"/>
        <w:spacing w:line="278" w:lineRule="auto" w:before="1"/>
        <w:ind w:left="713" w:right="101" w:firstLine="396"/>
        <w:jc w:val="both"/>
      </w:pPr>
      <w:r>
        <w:rPr>
          <w:color w:val="231F20"/>
        </w:rPr>
        <w:t>Las</w:t>
      </w:r>
      <w:r>
        <w:rPr>
          <w:color w:val="231F20"/>
          <w:spacing w:val="-12"/>
        </w:rPr>
        <w:t> </w:t>
      </w:r>
      <w:r>
        <w:rPr>
          <w:color w:val="231F20"/>
        </w:rPr>
        <w:t>empresas</w:t>
      </w:r>
      <w:r>
        <w:rPr>
          <w:color w:val="231F20"/>
          <w:spacing w:val="-12"/>
        </w:rPr>
        <w:t> </w:t>
      </w:r>
      <w:r>
        <w:rPr>
          <w:color w:val="231F20"/>
        </w:rPr>
        <w:t>proveedoras</w:t>
      </w:r>
      <w:r>
        <w:rPr>
          <w:color w:val="231F20"/>
          <w:spacing w:val="-12"/>
        </w:rPr>
        <w:t> </w:t>
      </w:r>
      <w:r>
        <w:rPr>
          <w:color w:val="231F20"/>
        </w:rPr>
        <w:t>de</w:t>
      </w:r>
      <w:r>
        <w:rPr>
          <w:color w:val="231F20"/>
          <w:spacing w:val="-12"/>
        </w:rPr>
        <w:t> </w:t>
      </w:r>
      <w:r>
        <w:rPr>
          <w:color w:val="231F20"/>
        </w:rPr>
        <w:t>autopartes</w:t>
      </w:r>
      <w:r>
        <w:rPr>
          <w:color w:val="231F20"/>
          <w:spacing w:val="-12"/>
        </w:rPr>
        <w:t> </w:t>
      </w:r>
      <w:r>
        <w:rPr>
          <w:color w:val="231F20"/>
        </w:rPr>
        <w:t>se</w:t>
      </w:r>
      <w:r>
        <w:rPr>
          <w:color w:val="231F20"/>
          <w:spacing w:val="-12"/>
        </w:rPr>
        <w:t> </w:t>
      </w:r>
      <w:r>
        <w:rPr>
          <w:color w:val="231F20"/>
        </w:rPr>
        <w:t>han</w:t>
      </w:r>
      <w:r>
        <w:rPr>
          <w:color w:val="231F20"/>
          <w:spacing w:val="-12"/>
        </w:rPr>
        <w:t> </w:t>
      </w:r>
      <w:r>
        <w:rPr>
          <w:color w:val="231F20"/>
        </w:rPr>
        <w:t>visto</w:t>
      </w:r>
      <w:r>
        <w:rPr>
          <w:color w:val="231F20"/>
          <w:spacing w:val="-12"/>
        </w:rPr>
        <w:t> </w:t>
      </w:r>
      <w:r>
        <w:rPr>
          <w:color w:val="231F20"/>
        </w:rPr>
        <w:t>también</w:t>
      </w:r>
      <w:r>
        <w:rPr>
          <w:color w:val="231F20"/>
          <w:spacing w:val="-12"/>
        </w:rPr>
        <w:t> </w:t>
      </w:r>
      <w:r>
        <w:rPr>
          <w:color w:val="231F20"/>
        </w:rPr>
        <w:t>afectadas</w:t>
      </w:r>
      <w:r>
        <w:rPr>
          <w:color w:val="231F20"/>
          <w:spacing w:val="-12"/>
        </w:rPr>
        <w:t> </w:t>
      </w:r>
      <w:r>
        <w:rPr>
          <w:color w:val="231F20"/>
        </w:rPr>
        <w:t>por</w:t>
      </w:r>
      <w:r>
        <w:rPr>
          <w:color w:val="231F20"/>
          <w:spacing w:val="-12"/>
        </w:rPr>
        <w:t> </w:t>
      </w:r>
      <w:r>
        <w:rPr>
          <w:color w:val="231F20"/>
        </w:rPr>
        <w:t>el</w:t>
      </w:r>
      <w:r>
        <w:rPr>
          <w:color w:val="231F20"/>
          <w:spacing w:val="-12"/>
        </w:rPr>
        <w:t> </w:t>
      </w:r>
      <w:r>
        <w:rPr>
          <w:color w:val="231F20"/>
        </w:rPr>
        <w:t>pro- ceso de reestructuración del sector automotriz a nivel mundial, por lo que deberán transformarse</w:t>
      </w:r>
      <w:r>
        <w:rPr>
          <w:color w:val="231F20"/>
          <w:spacing w:val="-7"/>
        </w:rPr>
        <w:t> </w:t>
      </w:r>
      <w:r>
        <w:rPr>
          <w:color w:val="231F20"/>
        </w:rPr>
        <w:t>a</w:t>
      </w:r>
      <w:r>
        <w:rPr>
          <w:color w:val="231F20"/>
          <w:spacing w:val="-7"/>
        </w:rPr>
        <w:t> </w:t>
      </w:r>
      <w:r>
        <w:rPr>
          <w:color w:val="231F20"/>
        </w:rPr>
        <w:t>fin</w:t>
      </w:r>
      <w:r>
        <w:rPr>
          <w:color w:val="231F20"/>
          <w:spacing w:val="-7"/>
        </w:rPr>
        <w:t> </w:t>
      </w:r>
      <w:r>
        <w:rPr>
          <w:color w:val="231F20"/>
        </w:rPr>
        <w:t>de</w:t>
      </w:r>
      <w:r>
        <w:rPr>
          <w:color w:val="231F20"/>
          <w:spacing w:val="-7"/>
        </w:rPr>
        <w:t> </w:t>
      </w:r>
      <w:r>
        <w:rPr>
          <w:color w:val="231F20"/>
        </w:rPr>
        <w:t>ajustarse</w:t>
      </w:r>
      <w:r>
        <w:rPr>
          <w:color w:val="231F20"/>
          <w:spacing w:val="-7"/>
        </w:rPr>
        <w:t> </w:t>
      </w:r>
      <w:r>
        <w:rPr>
          <w:color w:val="231F20"/>
        </w:rPr>
        <w:t>a</w:t>
      </w:r>
      <w:r>
        <w:rPr>
          <w:color w:val="231F20"/>
          <w:spacing w:val="-7"/>
        </w:rPr>
        <w:t> </w:t>
      </w:r>
      <w:r>
        <w:rPr>
          <w:color w:val="231F20"/>
        </w:rPr>
        <w:t>los</w:t>
      </w:r>
      <w:r>
        <w:rPr>
          <w:color w:val="231F20"/>
          <w:spacing w:val="-7"/>
        </w:rPr>
        <w:t> </w:t>
      </w:r>
      <w:r>
        <w:rPr>
          <w:color w:val="231F20"/>
        </w:rPr>
        <w:t>nuevos</w:t>
      </w:r>
      <w:r>
        <w:rPr>
          <w:color w:val="231F20"/>
          <w:spacing w:val="-7"/>
        </w:rPr>
        <w:t> </w:t>
      </w:r>
      <w:r>
        <w:rPr>
          <w:color w:val="231F20"/>
        </w:rPr>
        <w:t>requerimientos</w:t>
      </w:r>
      <w:r>
        <w:rPr>
          <w:color w:val="231F20"/>
          <w:spacing w:val="-7"/>
        </w:rPr>
        <w:t> </w:t>
      </w:r>
      <w:r>
        <w:rPr>
          <w:color w:val="231F20"/>
        </w:rPr>
        <w:t>y</w:t>
      </w:r>
      <w:r>
        <w:rPr>
          <w:color w:val="231F20"/>
          <w:spacing w:val="-7"/>
        </w:rPr>
        <w:t> </w:t>
      </w:r>
      <w:r>
        <w:rPr>
          <w:color w:val="231F20"/>
        </w:rPr>
        <w:t>necesidades</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indus- tria terminal. En este sentido, las empresas de primer nivel, principalmente, deberán rediseñar sus métodos y formas de producción de partes y componentes para los nue- vos</w:t>
      </w:r>
      <w:r>
        <w:rPr>
          <w:color w:val="231F20"/>
          <w:spacing w:val="-4"/>
        </w:rPr>
        <w:t> </w:t>
      </w:r>
      <w:r>
        <w:rPr>
          <w:color w:val="231F20"/>
        </w:rPr>
        <w:t>vehículos</w:t>
      </w:r>
      <w:r>
        <w:rPr>
          <w:color w:val="231F20"/>
          <w:spacing w:val="-4"/>
        </w:rPr>
        <w:t> </w:t>
      </w:r>
      <w:r>
        <w:rPr>
          <w:color w:val="231F20"/>
        </w:rPr>
        <w:t>híbridos.</w:t>
      </w:r>
      <w:r>
        <w:rPr>
          <w:color w:val="231F20"/>
          <w:spacing w:val="-4"/>
        </w:rPr>
        <w:t> </w:t>
      </w:r>
      <w:r>
        <w:rPr>
          <w:color w:val="231F20"/>
        </w:rPr>
        <w:t>De</w:t>
      </w:r>
      <w:r>
        <w:rPr>
          <w:color w:val="231F20"/>
          <w:spacing w:val="-4"/>
        </w:rPr>
        <w:t> </w:t>
      </w:r>
      <w:r>
        <w:rPr>
          <w:color w:val="231F20"/>
        </w:rPr>
        <w:t>esta</w:t>
      </w:r>
      <w:r>
        <w:rPr>
          <w:color w:val="231F20"/>
          <w:spacing w:val="-4"/>
        </w:rPr>
        <w:t> </w:t>
      </w:r>
      <w:r>
        <w:rPr>
          <w:color w:val="231F20"/>
        </w:rPr>
        <w:t>forma</w:t>
      </w:r>
      <w:r>
        <w:rPr>
          <w:color w:val="231F20"/>
          <w:spacing w:val="-4"/>
        </w:rPr>
        <w:t> </w:t>
      </w:r>
      <w:r>
        <w:rPr>
          <w:color w:val="231F20"/>
        </w:rPr>
        <w:t>no</w:t>
      </w:r>
      <w:r>
        <w:rPr>
          <w:color w:val="231F20"/>
          <w:spacing w:val="-4"/>
        </w:rPr>
        <w:t> </w:t>
      </w:r>
      <w:r>
        <w:rPr>
          <w:color w:val="231F20"/>
        </w:rPr>
        <w:t>quedarán</w:t>
      </w:r>
      <w:r>
        <w:rPr>
          <w:color w:val="231F20"/>
          <w:spacing w:val="-4"/>
        </w:rPr>
        <w:t> </w:t>
      </w:r>
      <w:r>
        <w:rPr>
          <w:color w:val="231F20"/>
        </w:rPr>
        <w:t>fuera</w:t>
      </w:r>
      <w:r>
        <w:rPr>
          <w:color w:val="231F20"/>
          <w:spacing w:val="-4"/>
        </w:rPr>
        <w:t> </w:t>
      </w:r>
      <w:r>
        <w:rPr>
          <w:color w:val="231F20"/>
        </w:rPr>
        <w:t>del</w:t>
      </w:r>
      <w:r>
        <w:rPr>
          <w:color w:val="231F20"/>
          <w:spacing w:val="-4"/>
        </w:rPr>
        <w:t> </w:t>
      </w:r>
      <w:r>
        <w:rPr>
          <w:color w:val="231F20"/>
        </w:rPr>
        <w:t>mercado.</w:t>
      </w:r>
    </w:p>
    <w:p>
      <w:pPr>
        <w:pStyle w:val="BodyText"/>
        <w:spacing w:line="278" w:lineRule="auto" w:before="1"/>
        <w:ind w:left="713" w:right="100" w:firstLine="396"/>
        <w:jc w:val="both"/>
      </w:pPr>
      <w:r>
        <w:rPr>
          <w:color w:val="231F20"/>
        </w:rPr>
        <w:t>Las empresas seguirán en la búsqueda de innovaciones tecnológicas que les per- mitan</w:t>
      </w:r>
      <w:r>
        <w:rPr>
          <w:color w:val="231F20"/>
          <w:spacing w:val="-5"/>
        </w:rPr>
        <w:t> </w:t>
      </w:r>
      <w:r>
        <w:rPr>
          <w:color w:val="231F20"/>
        </w:rPr>
        <w:t>posicionarse</w:t>
      </w:r>
      <w:r>
        <w:rPr>
          <w:color w:val="231F20"/>
          <w:spacing w:val="-5"/>
        </w:rPr>
        <w:t> </w:t>
      </w:r>
      <w:r>
        <w:rPr>
          <w:color w:val="231F20"/>
        </w:rPr>
        <w:t>como</w:t>
      </w:r>
      <w:r>
        <w:rPr>
          <w:color w:val="231F20"/>
          <w:spacing w:val="-5"/>
        </w:rPr>
        <w:t> </w:t>
      </w:r>
      <w:r>
        <w:rPr>
          <w:color w:val="231F20"/>
        </w:rPr>
        <w:t>líderes</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cadena</w:t>
      </w:r>
      <w:r>
        <w:rPr>
          <w:color w:val="231F20"/>
          <w:spacing w:val="-5"/>
        </w:rPr>
        <w:t> </w:t>
      </w:r>
      <w:r>
        <w:rPr>
          <w:color w:val="231F20"/>
        </w:rPr>
        <w:t>productiva;</w:t>
      </w:r>
      <w:r>
        <w:rPr>
          <w:color w:val="231F20"/>
          <w:spacing w:val="-5"/>
        </w:rPr>
        <w:t> </w:t>
      </w:r>
      <w:r>
        <w:rPr>
          <w:color w:val="231F20"/>
        </w:rPr>
        <w:t>pues</w:t>
      </w:r>
      <w:r>
        <w:rPr>
          <w:color w:val="231F20"/>
          <w:spacing w:val="-5"/>
        </w:rPr>
        <w:t> </w:t>
      </w:r>
      <w:r>
        <w:rPr>
          <w:color w:val="231F20"/>
        </w:rPr>
        <w:t>es</w:t>
      </w:r>
      <w:r>
        <w:rPr>
          <w:color w:val="231F20"/>
          <w:spacing w:val="-5"/>
        </w:rPr>
        <w:t> </w:t>
      </w:r>
      <w:r>
        <w:rPr>
          <w:color w:val="231F20"/>
        </w:rPr>
        <w:t>innegable</w:t>
      </w:r>
      <w:r>
        <w:rPr>
          <w:color w:val="231F20"/>
          <w:spacing w:val="-5"/>
        </w:rPr>
        <w:t> </w:t>
      </w:r>
      <w:r>
        <w:rPr>
          <w:color w:val="231F20"/>
        </w:rPr>
        <w:t>que</w:t>
      </w:r>
      <w:r>
        <w:rPr>
          <w:color w:val="231F20"/>
          <w:spacing w:val="-5"/>
        </w:rPr>
        <w:t> </w:t>
      </w:r>
      <w:r>
        <w:rPr>
          <w:color w:val="231F20"/>
        </w:rPr>
        <w:t>el</w:t>
      </w:r>
      <w:r>
        <w:rPr>
          <w:color w:val="231F20"/>
          <w:spacing w:val="-5"/>
        </w:rPr>
        <w:t> </w:t>
      </w:r>
      <w:r>
        <w:rPr>
          <w:color w:val="231F20"/>
        </w:rPr>
        <w:t>uso de las nuevas tecnologías representa uno de los motores fundamentales que están im- pulsando el sector a nivel</w:t>
      </w:r>
      <w:r>
        <w:rPr>
          <w:color w:val="231F20"/>
          <w:spacing w:val="-24"/>
        </w:rPr>
        <w:t> </w:t>
      </w:r>
      <w:r>
        <w:rPr>
          <w:color w:val="231F20"/>
        </w:rPr>
        <w:t>mundial.</w:t>
      </w:r>
    </w:p>
    <w:p>
      <w:pPr>
        <w:pStyle w:val="BodyText"/>
        <w:spacing w:line="278" w:lineRule="auto" w:before="1"/>
        <w:ind w:left="713" w:right="101" w:firstLine="396"/>
        <w:jc w:val="both"/>
      </w:pPr>
      <w:r>
        <w:rPr>
          <w:color w:val="231F20"/>
        </w:rPr>
        <w:t>Para</w:t>
      </w:r>
      <w:r>
        <w:rPr>
          <w:color w:val="231F20"/>
          <w:spacing w:val="-4"/>
        </w:rPr>
        <w:t> </w:t>
      </w:r>
      <w:r>
        <w:rPr>
          <w:color w:val="231F20"/>
        </w:rPr>
        <w:t>países</w:t>
      </w:r>
      <w:r>
        <w:rPr>
          <w:color w:val="231F20"/>
          <w:spacing w:val="-4"/>
        </w:rPr>
        <w:t> </w:t>
      </w:r>
      <w:r>
        <w:rPr>
          <w:color w:val="231F20"/>
        </w:rPr>
        <w:t>como</w:t>
      </w:r>
      <w:r>
        <w:rPr>
          <w:color w:val="231F20"/>
          <w:spacing w:val="-4"/>
        </w:rPr>
        <w:t> </w:t>
      </w:r>
      <w:r>
        <w:rPr>
          <w:color w:val="231F20"/>
        </w:rPr>
        <w:t>China</w:t>
      </w:r>
      <w:r>
        <w:rPr>
          <w:color w:val="231F20"/>
          <w:spacing w:val="-4"/>
        </w:rPr>
        <w:t> </w:t>
      </w:r>
      <w:r>
        <w:rPr>
          <w:color w:val="231F20"/>
        </w:rPr>
        <w:t>el</w:t>
      </w:r>
      <w:r>
        <w:rPr>
          <w:color w:val="231F20"/>
          <w:spacing w:val="-4"/>
        </w:rPr>
        <w:t> </w:t>
      </w:r>
      <w:r>
        <w:rPr>
          <w:color w:val="231F20"/>
        </w:rPr>
        <w:t>escenario</w:t>
      </w:r>
      <w:r>
        <w:rPr>
          <w:color w:val="231F20"/>
          <w:spacing w:val="-4"/>
        </w:rPr>
        <w:t> </w:t>
      </w:r>
      <w:r>
        <w:rPr>
          <w:color w:val="231F20"/>
        </w:rPr>
        <w:t>se</w:t>
      </w:r>
      <w:r>
        <w:rPr>
          <w:color w:val="231F20"/>
          <w:spacing w:val="-4"/>
        </w:rPr>
        <w:t> </w:t>
      </w:r>
      <w:r>
        <w:rPr>
          <w:color w:val="231F20"/>
        </w:rPr>
        <w:t>vuelve</w:t>
      </w:r>
      <w:r>
        <w:rPr>
          <w:color w:val="231F20"/>
          <w:spacing w:val="-4"/>
        </w:rPr>
        <w:t> </w:t>
      </w:r>
      <w:r>
        <w:rPr>
          <w:color w:val="231F20"/>
          <w:spacing w:val="-3"/>
        </w:rPr>
        <w:t>prometedor.</w:t>
      </w:r>
      <w:r>
        <w:rPr>
          <w:color w:val="231F20"/>
          <w:spacing w:val="-4"/>
        </w:rPr>
        <w:t> </w:t>
      </w:r>
      <w:r>
        <w:rPr>
          <w:color w:val="231F20"/>
        </w:rPr>
        <w:t>Este</w:t>
      </w:r>
      <w:r>
        <w:rPr>
          <w:color w:val="231F20"/>
          <w:spacing w:val="-4"/>
        </w:rPr>
        <w:t> </w:t>
      </w:r>
      <w:r>
        <w:rPr>
          <w:color w:val="231F20"/>
        </w:rPr>
        <w:t>país,</w:t>
      </w:r>
      <w:r>
        <w:rPr>
          <w:color w:val="231F20"/>
          <w:spacing w:val="-4"/>
        </w:rPr>
        <w:t> </w:t>
      </w:r>
      <w:r>
        <w:rPr>
          <w:color w:val="231F20"/>
        </w:rPr>
        <w:t>a</w:t>
      </w:r>
      <w:r>
        <w:rPr>
          <w:color w:val="231F20"/>
          <w:spacing w:val="-4"/>
        </w:rPr>
        <w:t> </w:t>
      </w:r>
      <w:r>
        <w:rPr>
          <w:color w:val="231F20"/>
        </w:rPr>
        <w:t>diferencia de México, no sólo se ha posicionado como el principal productor de vehículos en los años recientes (uno de cada cuatro vehículos se produce en China), sino que también el sector automotriz chino se ha visto fuertemente apoyado por políticas gubernamen- tales</w:t>
      </w:r>
      <w:r>
        <w:rPr>
          <w:color w:val="231F20"/>
          <w:spacing w:val="21"/>
        </w:rPr>
        <w:t> </w:t>
      </w:r>
      <w:r>
        <w:rPr>
          <w:color w:val="231F20"/>
        </w:rPr>
        <w:t>industriales,</w:t>
      </w:r>
      <w:r>
        <w:rPr>
          <w:color w:val="231F20"/>
          <w:spacing w:val="21"/>
        </w:rPr>
        <w:t> </w:t>
      </w:r>
      <w:r>
        <w:rPr>
          <w:color w:val="231F20"/>
        </w:rPr>
        <w:t>financieras</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comercio,</w:t>
      </w:r>
      <w:r>
        <w:rPr>
          <w:color w:val="231F20"/>
          <w:spacing w:val="21"/>
        </w:rPr>
        <w:t> </w:t>
      </w:r>
      <w:r>
        <w:rPr>
          <w:color w:val="231F20"/>
        </w:rPr>
        <w:t>lo</w:t>
      </w:r>
      <w:r>
        <w:rPr>
          <w:color w:val="231F20"/>
          <w:spacing w:val="21"/>
        </w:rPr>
        <w:t> </w:t>
      </w:r>
      <w:r>
        <w:rPr>
          <w:color w:val="231F20"/>
        </w:rPr>
        <w:t>que</w:t>
      </w:r>
      <w:r>
        <w:rPr>
          <w:color w:val="231F20"/>
          <w:spacing w:val="21"/>
        </w:rPr>
        <w:t> </w:t>
      </w:r>
      <w:r>
        <w:rPr>
          <w:color w:val="231F20"/>
        </w:rPr>
        <w:t>le</w:t>
      </w:r>
      <w:r>
        <w:rPr>
          <w:color w:val="231F20"/>
          <w:spacing w:val="21"/>
        </w:rPr>
        <w:t> </w:t>
      </w:r>
      <w:r>
        <w:rPr>
          <w:color w:val="231F20"/>
        </w:rPr>
        <w:t>ha</w:t>
      </w:r>
      <w:r>
        <w:rPr>
          <w:color w:val="231F20"/>
          <w:spacing w:val="21"/>
        </w:rPr>
        <w:t> </w:t>
      </w:r>
      <w:r>
        <w:rPr>
          <w:color w:val="231F20"/>
        </w:rPr>
        <w:t>permitido</w:t>
      </w:r>
      <w:r>
        <w:rPr>
          <w:color w:val="231F20"/>
          <w:spacing w:val="21"/>
        </w:rPr>
        <w:t> </w:t>
      </w:r>
      <w:r>
        <w:rPr>
          <w:color w:val="231F20"/>
        </w:rPr>
        <w:t>desarrollar</w:t>
      </w:r>
      <w:r>
        <w:rPr>
          <w:color w:val="231F20"/>
          <w:spacing w:val="21"/>
        </w:rPr>
        <w:t> </w:t>
      </w:r>
      <w:r>
        <w:rPr>
          <w:color w:val="231F20"/>
        </w:rPr>
        <w:t>una</w:t>
      </w:r>
    </w:p>
    <w:p>
      <w:pPr>
        <w:spacing w:after="0" w:line="278" w:lineRule="auto"/>
        <w:jc w:val="both"/>
        <w:sectPr>
          <w:footerReference w:type="even" r:id="rId357"/>
          <w:footerReference w:type="default" r:id="rId358"/>
          <w:pgSz w:w="9640" w:h="13040"/>
          <w:pgMar w:footer="654" w:header="581" w:top="780" w:bottom="840" w:left="420" w:right="1200"/>
        </w:sectPr>
      </w:pPr>
    </w:p>
    <w:p>
      <w:pPr>
        <w:pStyle w:val="BodyText"/>
        <w:rPr>
          <w:sz w:val="20"/>
        </w:rPr>
      </w:pPr>
    </w:p>
    <w:p>
      <w:pPr>
        <w:pStyle w:val="BodyText"/>
        <w:spacing w:before="10"/>
        <w:rPr>
          <w:sz w:val="17"/>
        </w:rPr>
      </w:pPr>
    </w:p>
    <w:p>
      <w:pPr>
        <w:pStyle w:val="BodyText"/>
        <w:spacing w:line="278" w:lineRule="auto"/>
        <w:ind w:left="123" w:right="712"/>
        <w:jc w:val="both"/>
      </w:pPr>
      <w:r>
        <w:rPr>
          <w:color w:val="231F20"/>
        </w:rPr>
        <w:t>estructura</w:t>
      </w:r>
      <w:r>
        <w:rPr>
          <w:color w:val="231F20"/>
          <w:spacing w:val="-8"/>
        </w:rPr>
        <w:t> </w:t>
      </w:r>
      <w:r>
        <w:rPr>
          <w:color w:val="231F20"/>
        </w:rPr>
        <w:t>tecnológica</w:t>
      </w:r>
      <w:r>
        <w:rPr>
          <w:color w:val="231F20"/>
          <w:spacing w:val="-8"/>
        </w:rPr>
        <w:t> </w:t>
      </w:r>
      <w:r>
        <w:rPr>
          <w:color w:val="231F20"/>
        </w:rPr>
        <w:t>propia</w:t>
      </w:r>
      <w:r>
        <w:rPr>
          <w:color w:val="231F20"/>
          <w:spacing w:val="-8"/>
        </w:rPr>
        <w:t> </w:t>
      </w:r>
      <w:r>
        <w:rPr>
          <w:color w:val="231F20"/>
        </w:rPr>
        <w:t>y</w:t>
      </w:r>
      <w:r>
        <w:rPr>
          <w:color w:val="231F20"/>
          <w:spacing w:val="-8"/>
        </w:rPr>
        <w:t> </w:t>
      </w:r>
      <w:r>
        <w:rPr>
          <w:color w:val="231F20"/>
        </w:rPr>
        <w:t>contar</w:t>
      </w:r>
      <w:r>
        <w:rPr>
          <w:color w:val="231F20"/>
          <w:spacing w:val="-8"/>
        </w:rPr>
        <w:t> </w:t>
      </w:r>
      <w:r>
        <w:rPr>
          <w:color w:val="231F20"/>
        </w:rPr>
        <w:t>con</w:t>
      </w:r>
      <w:r>
        <w:rPr>
          <w:color w:val="231F20"/>
          <w:spacing w:val="-8"/>
        </w:rPr>
        <w:t> </w:t>
      </w:r>
      <w:r>
        <w:rPr>
          <w:color w:val="231F20"/>
        </w:rPr>
        <w:t>apoyo</w:t>
      </w:r>
      <w:r>
        <w:rPr>
          <w:color w:val="231F20"/>
          <w:spacing w:val="-8"/>
        </w:rPr>
        <w:t> </w:t>
      </w:r>
      <w:r>
        <w:rPr>
          <w:color w:val="231F20"/>
        </w:rPr>
        <w:t>financiero</w:t>
      </w:r>
      <w:r>
        <w:rPr>
          <w:color w:val="231F20"/>
          <w:spacing w:val="-8"/>
        </w:rPr>
        <w:t> </w:t>
      </w:r>
      <w:r>
        <w:rPr>
          <w:color w:val="231F20"/>
        </w:rPr>
        <w:t>y</w:t>
      </w:r>
      <w:r>
        <w:rPr>
          <w:color w:val="231F20"/>
          <w:spacing w:val="-8"/>
        </w:rPr>
        <w:t> </w:t>
      </w:r>
      <w:r>
        <w:rPr>
          <w:color w:val="231F20"/>
        </w:rPr>
        <w:t>con</w:t>
      </w:r>
      <w:r>
        <w:rPr>
          <w:color w:val="231F20"/>
          <w:spacing w:val="-8"/>
        </w:rPr>
        <w:t> </w:t>
      </w:r>
      <w:r>
        <w:rPr>
          <w:color w:val="231F20"/>
        </w:rPr>
        <w:t>precios</w:t>
      </w:r>
      <w:r>
        <w:rPr>
          <w:color w:val="231F20"/>
          <w:spacing w:val="-8"/>
        </w:rPr>
        <w:t> </w:t>
      </w:r>
      <w:r>
        <w:rPr>
          <w:color w:val="231F20"/>
          <w:spacing w:val="-2"/>
        </w:rPr>
        <w:t>muy</w:t>
      </w:r>
      <w:r>
        <w:rPr>
          <w:color w:val="231F20"/>
          <w:spacing w:val="-8"/>
        </w:rPr>
        <w:t> </w:t>
      </w:r>
      <w:r>
        <w:rPr>
          <w:color w:val="231F20"/>
        </w:rPr>
        <w:t>compe- titivos</w:t>
      </w:r>
      <w:r>
        <w:rPr>
          <w:color w:val="231F20"/>
          <w:spacing w:val="-6"/>
        </w:rPr>
        <w:t> </w:t>
      </w:r>
      <w:r>
        <w:rPr>
          <w:color w:val="231F20"/>
        </w:rPr>
        <w:t>(Dussel</w:t>
      </w:r>
      <w:r>
        <w:rPr>
          <w:color w:val="231F20"/>
          <w:spacing w:val="-6"/>
        </w:rPr>
        <w:t> </w:t>
      </w:r>
      <w:r>
        <w:rPr>
          <w:color w:val="231F20"/>
        </w:rPr>
        <w:t>Peters,</w:t>
      </w:r>
      <w:r>
        <w:rPr>
          <w:color w:val="231F20"/>
          <w:spacing w:val="-6"/>
        </w:rPr>
        <w:t> </w:t>
      </w:r>
      <w:r>
        <w:rPr>
          <w:color w:val="231F20"/>
        </w:rPr>
        <w:t>2012).</w:t>
      </w:r>
      <w:r>
        <w:rPr>
          <w:color w:val="231F20"/>
          <w:spacing w:val="-6"/>
        </w:rPr>
        <w:t> </w:t>
      </w:r>
      <w:r>
        <w:rPr>
          <w:color w:val="231F20"/>
        </w:rPr>
        <w:t>De</w:t>
      </w:r>
      <w:r>
        <w:rPr>
          <w:color w:val="231F20"/>
          <w:spacing w:val="-6"/>
        </w:rPr>
        <w:t> </w:t>
      </w:r>
      <w:r>
        <w:rPr>
          <w:color w:val="231F20"/>
        </w:rPr>
        <w:t>esta</w:t>
      </w:r>
      <w:r>
        <w:rPr>
          <w:color w:val="231F20"/>
          <w:spacing w:val="-6"/>
        </w:rPr>
        <w:t> </w:t>
      </w:r>
      <w:r>
        <w:rPr>
          <w:color w:val="231F20"/>
        </w:rPr>
        <w:t>forma,</w:t>
      </w:r>
      <w:r>
        <w:rPr>
          <w:color w:val="231F20"/>
          <w:spacing w:val="-6"/>
        </w:rPr>
        <w:t> </w:t>
      </w:r>
      <w:r>
        <w:rPr>
          <w:color w:val="231F20"/>
        </w:rPr>
        <w:t>en</w:t>
      </w:r>
      <w:r>
        <w:rPr>
          <w:color w:val="231F20"/>
          <w:spacing w:val="-6"/>
        </w:rPr>
        <w:t> </w:t>
      </w:r>
      <w:r>
        <w:rPr>
          <w:color w:val="231F20"/>
        </w:rPr>
        <w:t>China</w:t>
      </w:r>
      <w:r>
        <w:rPr>
          <w:color w:val="231F20"/>
          <w:spacing w:val="-6"/>
        </w:rPr>
        <w:t> </w:t>
      </w:r>
      <w:r>
        <w:rPr>
          <w:color w:val="231F20"/>
        </w:rPr>
        <w:t>se</w:t>
      </w:r>
      <w:r>
        <w:rPr>
          <w:color w:val="231F20"/>
          <w:spacing w:val="-6"/>
        </w:rPr>
        <w:t> </w:t>
      </w:r>
      <w:r>
        <w:rPr>
          <w:color w:val="231F20"/>
        </w:rPr>
        <w:t>han</w:t>
      </w:r>
      <w:r>
        <w:rPr>
          <w:color w:val="231F20"/>
          <w:spacing w:val="-6"/>
        </w:rPr>
        <w:t> </w:t>
      </w:r>
      <w:r>
        <w:rPr>
          <w:color w:val="231F20"/>
        </w:rPr>
        <w:t>creado</w:t>
      </w:r>
      <w:r>
        <w:rPr>
          <w:color w:val="231F20"/>
          <w:spacing w:val="-6"/>
        </w:rPr>
        <w:t> </w:t>
      </w:r>
      <w:r>
        <w:rPr>
          <w:color w:val="231F20"/>
        </w:rPr>
        <w:t>cientos</w:t>
      </w:r>
      <w:r>
        <w:rPr>
          <w:color w:val="231F20"/>
          <w:spacing w:val="-6"/>
        </w:rPr>
        <w:t> </w:t>
      </w:r>
      <w:r>
        <w:rPr>
          <w:color w:val="231F20"/>
        </w:rPr>
        <w:t>de</w:t>
      </w:r>
      <w:r>
        <w:rPr>
          <w:color w:val="231F20"/>
          <w:spacing w:val="-6"/>
        </w:rPr>
        <w:t> </w:t>
      </w:r>
      <w:r>
        <w:rPr>
          <w:color w:val="231F20"/>
        </w:rPr>
        <w:t>marcas nacionales</w:t>
      </w:r>
      <w:r>
        <w:rPr>
          <w:color w:val="231F20"/>
          <w:spacing w:val="-15"/>
        </w:rPr>
        <w:t> </w:t>
      </w:r>
      <w:r>
        <w:rPr>
          <w:color w:val="231F20"/>
        </w:rPr>
        <w:t>del</w:t>
      </w:r>
      <w:r>
        <w:rPr>
          <w:color w:val="231F20"/>
          <w:spacing w:val="-15"/>
        </w:rPr>
        <w:t> </w:t>
      </w:r>
      <w:r>
        <w:rPr>
          <w:color w:val="231F20"/>
        </w:rPr>
        <w:t>segmento</w:t>
      </w:r>
      <w:r>
        <w:rPr>
          <w:color w:val="231F20"/>
          <w:spacing w:val="-15"/>
        </w:rPr>
        <w:t> </w:t>
      </w:r>
      <w:r>
        <w:rPr>
          <w:color w:val="231F20"/>
        </w:rPr>
        <w:t>automotriz</w:t>
      </w:r>
      <w:r>
        <w:rPr>
          <w:color w:val="231F20"/>
          <w:spacing w:val="-15"/>
        </w:rPr>
        <w:t> </w:t>
      </w:r>
      <w:r>
        <w:rPr>
          <w:color w:val="231F20"/>
        </w:rPr>
        <w:t>y</w:t>
      </w:r>
      <w:r>
        <w:rPr>
          <w:color w:val="231F20"/>
          <w:spacing w:val="-15"/>
        </w:rPr>
        <w:t> </w:t>
      </w:r>
      <w:r>
        <w:rPr>
          <w:color w:val="231F20"/>
        </w:rPr>
        <w:t>de</w:t>
      </w:r>
      <w:r>
        <w:rPr>
          <w:color w:val="231F20"/>
          <w:spacing w:val="-15"/>
        </w:rPr>
        <w:t> </w:t>
      </w:r>
      <w:r>
        <w:rPr>
          <w:color w:val="231F20"/>
        </w:rPr>
        <w:t>autopartes,</w:t>
      </w:r>
      <w:r>
        <w:rPr>
          <w:color w:val="231F20"/>
          <w:spacing w:val="-15"/>
        </w:rPr>
        <w:t> </w:t>
      </w:r>
      <w:r>
        <w:rPr>
          <w:color w:val="231F20"/>
        </w:rPr>
        <w:t>mientras</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firmas</w:t>
      </w:r>
      <w:r>
        <w:rPr>
          <w:color w:val="231F20"/>
          <w:spacing w:val="-15"/>
        </w:rPr>
        <w:t> </w:t>
      </w:r>
      <w:r>
        <w:rPr>
          <w:color w:val="231F20"/>
        </w:rPr>
        <w:t>mexicanas sólo</w:t>
      </w:r>
      <w:r>
        <w:rPr>
          <w:color w:val="231F20"/>
          <w:spacing w:val="-12"/>
        </w:rPr>
        <w:t> </w:t>
      </w:r>
      <w:r>
        <w:rPr>
          <w:color w:val="231F20"/>
        </w:rPr>
        <w:t>han</w:t>
      </w:r>
      <w:r>
        <w:rPr>
          <w:color w:val="231F20"/>
          <w:spacing w:val="-12"/>
        </w:rPr>
        <w:t> </w:t>
      </w:r>
      <w:r>
        <w:rPr>
          <w:color w:val="231F20"/>
        </w:rPr>
        <w:t>participado</w:t>
      </w:r>
      <w:r>
        <w:rPr>
          <w:color w:val="231F20"/>
          <w:spacing w:val="-12"/>
        </w:rPr>
        <w:t> </w:t>
      </w:r>
      <w:r>
        <w:rPr>
          <w:color w:val="231F20"/>
        </w:rPr>
        <w:t>en</w:t>
      </w:r>
      <w:r>
        <w:rPr>
          <w:color w:val="231F20"/>
          <w:spacing w:val="-12"/>
        </w:rPr>
        <w:t> </w:t>
      </w:r>
      <w:r>
        <w:rPr>
          <w:color w:val="231F20"/>
        </w:rPr>
        <w:t>el</w:t>
      </w:r>
      <w:r>
        <w:rPr>
          <w:color w:val="231F20"/>
          <w:spacing w:val="-12"/>
        </w:rPr>
        <w:t> </w:t>
      </w:r>
      <w:r>
        <w:rPr>
          <w:color w:val="231F20"/>
        </w:rPr>
        <w:t>segmento</w:t>
      </w:r>
      <w:r>
        <w:rPr>
          <w:color w:val="231F20"/>
          <w:spacing w:val="-12"/>
        </w:rPr>
        <w:t> </w:t>
      </w:r>
      <w:r>
        <w:rPr>
          <w:color w:val="231F20"/>
        </w:rPr>
        <w:t>de</w:t>
      </w:r>
      <w:r>
        <w:rPr>
          <w:color w:val="231F20"/>
          <w:spacing w:val="-12"/>
        </w:rPr>
        <w:t> </w:t>
      </w:r>
      <w:r>
        <w:rPr>
          <w:color w:val="231F20"/>
        </w:rPr>
        <w:t>autopartes.</w:t>
      </w:r>
      <w:r>
        <w:rPr>
          <w:color w:val="231F20"/>
          <w:spacing w:val="-12"/>
        </w:rPr>
        <w:t> </w:t>
      </w:r>
      <w:r>
        <w:rPr>
          <w:color w:val="231F20"/>
        </w:rPr>
        <w:t>Además,</w:t>
      </w:r>
      <w:r>
        <w:rPr>
          <w:color w:val="231F20"/>
          <w:spacing w:val="-12"/>
        </w:rPr>
        <w:t> </w:t>
      </w:r>
      <w:r>
        <w:rPr>
          <w:color w:val="231F20"/>
        </w:rPr>
        <w:t>con</w:t>
      </w:r>
      <w:r>
        <w:rPr>
          <w:color w:val="231F20"/>
          <w:spacing w:val="-12"/>
        </w:rPr>
        <w:t> </w:t>
      </w:r>
      <w:r>
        <w:rPr>
          <w:color w:val="231F20"/>
        </w:rPr>
        <w:t>el</w:t>
      </w:r>
      <w:r>
        <w:rPr>
          <w:color w:val="231F20"/>
          <w:spacing w:val="-12"/>
        </w:rPr>
        <w:t> </w:t>
      </w:r>
      <w:r>
        <w:rPr>
          <w:color w:val="231F20"/>
        </w:rPr>
        <w:t>TLCAN,</w:t>
      </w:r>
      <w:r>
        <w:rPr>
          <w:color w:val="231F20"/>
          <w:spacing w:val="-12"/>
        </w:rPr>
        <w:t> </w:t>
      </w:r>
      <w:r>
        <w:rPr>
          <w:color w:val="231F20"/>
        </w:rPr>
        <w:t>México</w:t>
      </w:r>
      <w:r>
        <w:rPr>
          <w:color w:val="231F20"/>
          <w:spacing w:val="-12"/>
        </w:rPr>
        <w:t> </w:t>
      </w:r>
      <w:r>
        <w:rPr>
          <w:color w:val="231F20"/>
        </w:rPr>
        <w:t>ha optado</w:t>
      </w:r>
      <w:r>
        <w:rPr>
          <w:color w:val="231F20"/>
          <w:spacing w:val="-4"/>
        </w:rPr>
        <w:t> </w:t>
      </w:r>
      <w:r>
        <w:rPr>
          <w:color w:val="231F20"/>
        </w:rPr>
        <w:t>por</w:t>
      </w:r>
      <w:r>
        <w:rPr>
          <w:color w:val="231F20"/>
          <w:spacing w:val="-4"/>
        </w:rPr>
        <w:t> </w:t>
      </w:r>
      <w:r>
        <w:rPr>
          <w:color w:val="231F20"/>
        </w:rPr>
        <w:t>una</w:t>
      </w:r>
      <w:r>
        <w:rPr>
          <w:color w:val="231F20"/>
          <w:spacing w:val="-4"/>
        </w:rPr>
        <w:t> </w:t>
      </w:r>
      <w:r>
        <w:rPr>
          <w:color w:val="231F20"/>
        </w:rPr>
        <w:t>estructura</w:t>
      </w:r>
      <w:r>
        <w:rPr>
          <w:color w:val="231F20"/>
          <w:spacing w:val="-4"/>
        </w:rPr>
        <w:t> </w:t>
      </w:r>
      <w:r>
        <w:rPr>
          <w:color w:val="231F20"/>
        </w:rPr>
        <w:t>de</w:t>
      </w:r>
      <w:r>
        <w:rPr>
          <w:color w:val="231F20"/>
          <w:spacing w:val="-4"/>
        </w:rPr>
        <w:t> </w:t>
      </w:r>
      <w:r>
        <w:rPr>
          <w:color w:val="231F20"/>
        </w:rPr>
        <w:t>producción</w:t>
      </w:r>
      <w:r>
        <w:rPr>
          <w:color w:val="231F20"/>
          <w:spacing w:val="-4"/>
        </w:rPr>
        <w:t> </w:t>
      </w:r>
      <w:r>
        <w:rPr>
          <w:color w:val="231F20"/>
        </w:rPr>
        <w:t>orientada</w:t>
      </w:r>
      <w:r>
        <w:rPr>
          <w:color w:val="231F20"/>
          <w:spacing w:val="-4"/>
        </w:rPr>
        <w:t> </w:t>
      </w:r>
      <w:r>
        <w:rPr>
          <w:color w:val="231F20"/>
        </w:rPr>
        <w:t>a</w:t>
      </w:r>
      <w:r>
        <w:rPr>
          <w:color w:val="231F20"/>
          <w:spacing w:val="-4"/>
        </w:rPr>
        <w:t> </w:t>
      </w:r>
      <w:r>
        <w:rPr>
          <w:color w:val="231F20"/>
        </w:rPr>
        <w:t>las</w:t>
      </w:r>
      <w:r>
        <w:rPr>
          <w:color w:val="231F20"/>
          <w:spacing w:val="-4"/>
        </w:rPr>
        <w:t> </w:t>
      </w:r>
      <w:r>
        <w:rPr>
          <w:color w:val="231F20"/>
        </w:rPr>
        <w:t>exportaciones</w:t>
      </w:r>
      <w:r>
        <w:rPr>
          <w:color w:val="231F20"/>
          <w:spacing w:val="-4"/>
        </w:rPr>
        <w:t> </w:t>
      </w:r>
      <w:r>
        <w:rPr>
          <w:color w:val="231F20"/>
        </w:rPr>
        <w:t>con</w:t>
      </w:r>
      <w:r>
        <w:rPr>
          <w:color w:val="231F20"/>
          <w:spacing w:val="-4"/>
        </w:rPr>
        <w:t> </w:t>
      </w:r>
      <w:r>
        <w:rPr>
          <w:color w:val="231F20"/>
        </w:rPr>
        <w:t>endogenei- dad territorial limitada. Eso supone que esta plataforma de exportación incurre en una base</w:t>
      </w:r>
      <w:r>
        <w:rPr>
          <w:color w:val="231F20"/>
          <w:spacing w:val="-7"/>
        </w:rPr>
        <w:t> </w:t>
      </w:r>
      <w:r>
        <w:rPr>
          <w:color w:val="231F20"/>
        </w:rPr>
        <w:t>relevante</w:t>
      </w:r>
      <w:r>
        <w:rPr>
          <w:color w:val="231F20"/>
          <w:spacing w:val="-7"/>
        </w:rPr>
        <w:t> </w:t>
      </w:r>
      <w:r>
        <w:rPr>
          <w:color w:val="231F20"/>
        </w:rPr>
        <w:t>de</w:t>
      </w:r>
      <w:r>
        <w:rPr>
          <w:color w:val="231F20"/>
          <w:spacing w:val="-7"/>
        </w:rPr>
        <w:t> </w:t>
      </w:r>
      <w:r>
        <w:rPr>
          <w:color w:val="231F20"/>
        </w:rPr>
        <w:t>importaciones</w:t>
      </w:r>
      <w:r>
        <w:rPr>
          <w:color w:val="231F20"/>
          <w:spacing w:val="-7"/>
        </w:rPr>
        <w:t> </w:t>
      </w:r>
      <w:r>
        <w:rPr>
          <w:color w:val="231F20"/>
        </w:rPr>
        <w:t>de</w:t>
      </w:r>
      <w:r>
        <w:rPr>
          <w:color w:val="231F20"/>
          <w:spacing w:val="-7"/>
        </w:rPr>
        <w:t> </w:t>
      </w:r>
      <w:r>
        <w:rPr>
          <w:color w:val="231F20"/>
        </w:rPr>
        <w:t>partes</w:t>
      </w:r>
      <w:r>
        <w:rPr>
          <w:color w:val="231F20"/>
          <w:spacing w:val="-7"/>
        </w:rPr>
        <w:t> </w:t>
      </w:r>
      <w:r>
        <w:rPr>
          <w:color w:val="231F20"/>
        </w:rPr>
        <w:t>para</w:t>
      </w:r>
      <w:r>
        <w:rPr>
          <w:color w:val="231F20"/>
          <w:spacing w:val="-7"/>
        </w:rPr>
        <w:t> </w:t>
      </w:r>
      <w:r>
        <w:rPr>
          <w:color w:val="231F20"/>
        </w:rPr>
        <w:t>la</w:t>
      </w:r>
      <w:r>
        <w:rPr>
          <w:color w:val="231F20"/>
          <w:spacing w:val="-7"/>
        </w:rPr>
        <w:t> </w:t>
      </w:r>
      <w:r>
        <w:rPr>
          <w:color w:val="231F20"/>
        </w:rPr>
        <w:t>producción,</w:t>
      </w:r>
      <w:r>
        <w:rPr>
          <w:color w:val="231F20"/>
          <w:spacing w:val="-7"/>
        </w:rPr>
        <w:t> </w:t>
      </w:r>
      <w:r>
        <w:rPr>
          <w:color w:val="231F20"/>
        </w:rPr>
        <w:t>que</w:t>
      </w:r>
      <w:r>
        <w:rPr>
          <w:color w:val="231F20"/>
          <w:spacing w:val="-7"/>
        </w:rPr>
        <w:t> </w:t>
      </w:r>
      <w:r>
        <w:rPr>
          <w:color w:val="231F20"/>
        </w:rPr>
        <w:t>son</w:t>
      </w:r>
      <w:r>
        <w:rPr>
          <w:color w:val="231F20"/>
          <w:spacing w:val="-7"/>
        </w:rPr>
        <w:t> </w:t>
      </w:r>
      <w:r>
        <w:rPr>
          <w:color w:val="231F20"/>
        </w:rPr>
        <w:t>incorporadas</w:t>
      </w:r>
      <w:r>
        <w:rPr>
          <w:color w:val="231F20"/>
          <w:spacing w:val="-7"/>
        </w:rPr>
        <w:t> </w:t>
      </w:r>
      <w:r>
        <w:rPr>
          <w:color w:val="231F20"/>
        </w:rPr>
        <w:t>en unidades terminadas, cuyo destino final serán los mercados internacionales. Con esto se</w:t>
      </w:r>
      <w:r>
        <w:rPr>
          <w:color w:val="231F20"/>
          <w:spacing w:val="-14"/>
        </w:rPr>
        <w:t> </w:t>
      </w:r>
      <w:r>
        <w:rPr>
          <w:color w:val="231F20"/>
        </w:rPr>
        <w:t>han</w:t>
      </w:r>
      <w:r>
        <w:rPr>
          <w:color w:val="231F20"/>
          <w:spacing w:val="-14"/>
        </w:rPr>
        <w:t> </w:t>
      </w:r>
      <w:r>
        <w:rPr>
          <w:color w:val="231F20"/>
        </w:rPr>
        <w:t>generado</w:t>
      </w:r>
      <w:r>
        <w:rPr>
          <w:color w:val="231F20"/>
          <w:spacing w:val="-14"/>
        </w:rPr>
        <w:t> </w:t>
      </w:r>
      <w:r>
        <w:rPr>
          <w:color w:val="231F20"/>
        </w:rPr>
        <w:t>profundas</w:t>
      </w:r>
      <w:r>
        <w:rPr>
          <w:color w:val="231F20"/>
          <w:spacing w:val="-14"/>
        </w:rPr>
        <w:t> </w:t>
      </w:r>
      <w:r>
        <w:rPr>
          <w:color w:val="231F20"/>
        </w:rPr>
        <w:t>debilidades</w:t>
      </w:r>
      <w:r>
        <w:rPr>
          <w:color w:val="231F20"/>
          <w:spacing w:val="-14"/>
        </w:rPr>
        <w:t> </w:t>
      </w:r>
      <w:r>
        <w:rPr>
          <w:color w:val="231F20"/>
        </w:rPr>
        <w:t>tecnológicas</w:t>
      </w:r>
      <w:r>
        <w:rPr>
          <w:color w:val="231F20"/>
          <w:spacing w:val="-14"/>
        </w:rPr>
        <w:t> </w:t>
      </w:r>
      <w:r>
        <w:rPr>
          <w:color w:val="231F20"/>
        </w:rPr>
        <w:t>y</w:t>
      </w:r>
      <w:r>
        <w:rPr>
          <w:color w:val="231F20"/>
          <w:spacing w:val="-14"/>
        </w:rPr>
        <w:t> </w:t>
      </w:r>
      <w:r>
        <w:rPr>
          <w:color w:val="231F20"/>
        </w:rPr>
        <w:t>se</w:t>
      </w:r>
      <w:r>
        <w:rPr>
          <w:color w:val="231F20"/>
          <w:spacing w:val="-14"/>
        </w:rPr>
        <w:t> </w:t>
      </w:r>
      <w:r>
        <w:rPr>
          <w:color w:val="231F20"/>
        </w:rPr>
        <w:t>ha</w:t>
      </w:r>
      <w:r>
        <w:rPr>
          <w:color w:val="231F20"/>
          <w:spacing w:val="-14"/>
        </w:rPr>
        <w:t> </w:t>
      </w:r>
      <w:r>
        <w:rPr>
          <w:color w:val="231F20"/>
        </w:rPr>
        <w:t>reducido</w:t>
      </w:r>
      <w:r>
        <w:rPr>
          <w:color w:val="231F20"/>
          <w:spacing w:val="-14"/>
        </w:rPr>
        <w:t> </w:t>
      </w:r>
      <w:r>
        <w:rPr>
          <w:color w:val="231F20"/>
        </w:rPr>
        <w:t>el</w:t>
      </w:r>
      <w:r>
        <w:rPr>
          <w:color w:val="231F20"/>
          <w:spacing w:val="-14"/>
        </w:rPr>
        <w:t> </w:t>
      </w:r>
      <w:r>
        <w:rPr>
          <w:color w:val="231F20"/>
        </w:rPr>
        <w:t>valor</w:t>
      </w:r>
      <w:r>
        <w:rPr>
          <w:color w:val="231F20"/>
          <w:spacing w:val="-14"/>
        </w:rPr>
        <w:t> </w:t>
      </w:r>
      <w:r>
        <w:rPr>
          <w:color w:val="231F20"/>
        </w:rPr>
        <w:t>agregado, a</w:t>
      </w:r>
      <w:r>
        <w:rPr>
          <w:color w:val="231F20"/>
          <w:spacing w:val="-8"/>
        </w:rPr>
        <w:t> </w:t>
      </w:r>
      <w:r>
        <w:rPr>
          <w:color w:val="231F20"/>
        </w:rPr>
        <w:t>pesar</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tratados</w:t>
      </w:r>
      <w:r>
        <w:rPr>
          <w:color w:val="231F20"/>
          <w:spacing w:val="-8"/>
        </w:rPr>
        <w:t> </w:t>
      </w:r>
      <w:r>
        <w:rPr>
          <w:color w:val="231F20"/>
        </w:rPr>
        <w:t>de</w:t>
      </w:r>
      <w:r>
        <w:rPr>
          <w:color w:val="231F20"/>
          <w:spacing w:val="-8"/>
        </w:rPr>
        <w:t> </w:t>
      </w:r>
      <w:r>
        <w:rPr>
          <w:color w:val="231F20"/>
        </w:rPr>
        <w:t>comercio</w:t>
      </w:r>
      <w:r>
        <w:rPr>
          <w:color w:val="231F20"/>
          <w:spacing w:val="-8"/>
        </w:rPr>
        <w:t> </w:t>
      </w:r>
      <w:r>
        <w:rPr>
          <w:color w:val="231F20"/>
        </w:rPr>
        <w:t>con</w:t>
      </w:r>
      <w:r>
        <w:rPr>
          <w:color w:val="231F20"/>
          <w:spacing w:val="-8"/>
        </w:rPr>
        <w:t> </w:t>
      </w:r>
      <w:r>
        <w:rPr>
          <w:color w:val="231F20"/>
        </w:rPr>
        <w:t>los</w:t>
      </w:r>
      <w:r>
        <w:rPr>
          <w:color w:val="231F20"/>
          <w:spacing w:val="-8"/>
        </w:rPr>
        <w:t> </w:t>
      </w:r>
      <w:r>
        <w:rPr>
          <w:color w:val="231F20"/>
        </w:rPr>
        <w:t>que</w:t>
      </w:r>
      <w:r>
        <w:rPr>
          <w:color w:val="231F20"/>
          <w:spacing w:val="-8"/>
        </w:rPr>
        <w:t> </w:t>
      </w:r>
      <w:r>
        <w:rPr>
          <w:color w:val="231F20"/>
        </w:rPr>
        <w:t>México</w:t>
      </w:r>
      <w:r>
        <w:rPr>
          <w:color w:val="231F20"/>
          <w:spacing w:val="-8"/>
        </w:rPr>
        <w:t> </w:t>
      </w:r>
      <w:r>
        <w:rPr>
          <w:color w:val="231F20"/>
        </w:rPr>
        <w:t>cuenta</w:t>
      </w:r>
      <w:r>
        <w:rPr>
          <w:color w:val="231F20"/>
          <w:spacing w:val="-8"/>
        </w:rPr>
        <w:t> </w:t>
      </w:r>
      <w:r>
        <w:rPr>
          <w:color w:val="231F20"/>
        </w:rPr>
        <w:t>(Dussel</w:t>
      </w:r>
      <w:r>
        <w:rPr>
          <w:color w:val="231F20"/>
          <w:spacing w:val="-8"/>
        </w:rPr>
        <w:t> </w:t>
      </w:r>
      <w:r>
        <w:rPr>
          <w:color w:val="231F20"/>
        </w:rPr>
        <w:t>Peters,</w:t>
      </w:r>
      <w:r>
        <w:rPr>
          <w:color w:val="231F20"/>
          <w:spacing w:val="-8"/>
        </w:rPr>
        <w:t> </w:t>
      </w:r>
      <w:r>
        <w:rPr>
          <w:color w:val="231F20"/>
        </w:rPr>
        <w:t>2012).</w:t>
      </w:r>
    </w:p>
    <w:p>
      <w:pPr>
        <w:pStyle w:val="BodyText"/>
        <w:spacing w:line="278" w:lineRule="auto" w:before="1"/>
        <w:ind w:left="123" w:right="711" w:firstLine="396"/>
        <w:jc w:val="both"/>
      </w:pPr>
      <w:r>
        <w:rPr>
          <w:color w:val="231F20"/>
        </w:rPr>
        <w:t>Esta situación no cambiará mientras no se proporcione apoyo al sector a través de políticas gubernamentales industriales, financieras y de comercio, entre otras, que permitan, como en el caso de China, desarrollar una estructura tecnológica propia y contar con apoyos financieros y, en general, con las condiciones para desarrollar una industria automotriz nacional.</w:t>
      </w:r>
    </w:p>
    <w:p>
      <w:pPr>
        <w:pStyle w:val="BodyText"/>
        <w:spacing w:line="278" w:lineRule="auto" w:before="1"/>
        <w:ind w:left="123" w:right="710" w:firstLine="396"/>
        <w:jc w:val="both"/>
      </w:pPr>
      <w:r>
        <w:rPr>
          <w:color w:val="231F20"/>
        </w:rPr>
        <w:t>Bajo</w:t>
      </w:r>
      <w:r>
        <w:rPr>
          <w:color w:val="231F20"/>
          <w:spacing w:val="-8"/>
        </w:rPr>
        <w:t> </w:t>
      </w:r>
      <w:r>
        <w:rPr>
          <w:color w:val="231F20"/>
        </w:rPr>
        <w:t>estas</w:t>
      </w:r>
      <w:r>
        <w:rPr>
          <w:color w:val="231F20"/>
          <w:spacing w:val="-8"/>
        </w:rPr>
        <w:t> </w:t>
      </w:r>
      <w:r>
        <w:rPr>
          <w:color w:val="231F20"/>
        </w:rPr>
        <w:t>condiciones,</w:t>
      </w:r>
      <w:r>
        <w:rPr>
          <w:color w:val="231F20"/>
          <w:spacing w:val="-8"/>
        </w:rPr>
        <w:t> </w:t>
      </w:r>
      <w:r>
        <w:rPr>
          <w:color w:val="231F20"/>
        </w:rPr>
        <w:t>el</w:t>
      </w:r>
      <w:r>
        <w:rPr>
          <w:color w:val="231F20"/>
          <w:spacing w:val="-8"/>
        </w:rPr>
        <w:t> </w:t>
      </w:r>
      <w:r>
        <w:rPr>
          <w:color w:val="231F20"/>
        </w:rPr>
        <w:t>escenario</w:t>
      </w:r>
      <w:r>
        <w:rPr>
          <w:color w:val="231F20"/>
          <w:spacing w:val="-8"/>
        </w:rPr>
        <w:t> </w:t>
      </w:r>
      <w:r>
        <w:rPr>
          <w:color w:val="231F20"/>
        </w:rPr>
        <w:t>que</w:t>
      </w:r>
      <w:r>
        <w:rPr>
          <w:color w:val="231F20"/>
          <w:spacing w:val="-8"/>
        </w:rPr>
        <w:t> </w:t>
      </w:r>
      <w:r>
        <w:rPr>
          <w:color w:val="231F20"/>
        </w:rPr>
        <w:t>se</w:t>
      </w:r>
      <w:r>
        <w:rPr>
          <w:color w:val="231F20"/>
          <w:spacing w:val="-8"/>
        </w:rPr>
        <w:t> </w:t>
      </w:r>
      <w:r>
        <w:rPr>
          <w:color w:val="231F20"/>
        </w:rPr>
        <w:t>vislumbra</w:t>
      </w:r>
      <w:r>
        <w:rPr>
          <w:color w:val="231F20"/>
          <w:spacing w:val="-8"/>
        </w:rPr>
        <w:t> </w:t>
      </w:r>
      <w:r>
        <w:rPr>
          <w:color w:val="231F20"/>
        </w:rPr>
        <w:t>para</w:t>
      </w:r>
      <w:r>
        <w:rPr>
          <w:color w:val="231F20"/>
          <w:spacing w:val="-8"/>
        </w:rPr>
        <w:t> </w:t>
      </w:r>
      <w:r>
        <w:rPr>
          <w:color w:val="231F20"/>
        </w:rPr>
        <w:t>el</w:t>
      </w:r>
      <w:r>
        <w:rPr>
          <w:color w:val="231F20"/>
          <w:spacing w:val="-8"/>
        </w:rPr>
        <w:t> </w:t>
      </w:r>
      <w:r>
        <w:rPr>
          <w:color w:val="231F20"/>
        </w:rPr>
        <w:t>sector</w:t>
      </w:r>
      <w:r>
        <w:rPr>
          <w:color w:val="231F20"/>
          <w:spacing w:val="-8"/>
        </w:rPr>
        <w:t> </w:t>
      </w:r>
      <w:r>
        <w:rPr>
          <w:color w:val="231F20"/>
        </w:rPr>
        <w:t>automotriz</w:t>
      </w:r>
      <w:r>
        <w:rPr>
          <w:color w:val="231F20"/>
          <w:spacing w:val="-8"/>
        </w:rPr>
        <w:t> </w:t>
      </w:r>
      <w:r>
        <w:rPr>
          <w:color w:val="231F20"/>
        </w:rPr>
        <w:t>en México se deriva de las tendencias que ha tenido su evolución en las últimas décadas. </w:t>
      </w:r>
      <w:r>
        <w:rPr>
          <w:color w:val="231F20"/>
          <w:spacing w:val="-4"/>
        </w:rPr>
        <w:t>Por </w:t>
      </w:r>
      <w:r>
        <w:rPr>
          <w:color w:val="231F20"/>
        </w:rPr>
        <w:t>un lado, la consolidación de la región norte del país como principal polo de desa- rrollo</w:t>
      </w:r>
      <w:r>
        <w:rPr>
          <w:color w:val="231F20"/>
          <w:spacing w:val="-8"/>
        </w:rPr>
        <w:t> </w:t>
      </w:r>
      <w:r>
        <w:rPr>
          <w:color w:val="231F20"/>
        </w:rPr>
        <w:t>del</w:t>
      </w:r>
      <w:r>
        <w:rPr>
          <w:color w:val="231F20"/>
          <w:spacing w:val="-8"/>
        </w:rPr>
        <w:t> </w:t>
      </w:r>
      <w:r>
        <w:rPr>
          <w:color w:val="231F20"/>
          <w:spacing w:val="-3"/>
        </w:rPr>
        <w:t>sector,</w:t>
      </w:r>
      <w:r>
        <w:rPr>
          <w:color w:val="231F20"/>
          <w:spacing w:val="-8"/>
        </w:rPr>
        <w:t> </w:t>
      </w:r>
      <w:r>
        <w:rPr>
          <w:color w:val="231F20"/>
        </w:rPr>
        <w:t>derivada</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cercanía</w:t>
      </w:r>
      <w:r>
        <w:rPr>
          <w:color w:val="231F20"/>
          <w:spacing w:val="-8"/>
        </w:rPr>
        <w:t> </w:t>
      </w:r>
      <w:r>
        <w:rPr>
          <w:color w:val="231F20"/>
        </w:rPr>
        <w:t>con</w:t>
      </w:r>
      <w:r>
        <w:rPr>
          <w:color w:val="231F20"/>
          <w:spacing w:val="-8"/>
        </w:rPr>
        <w:t> </w:t>
      </w:r>
      <w:r>
        <w:rPr>
          <w:color w:val="231F20"/>
        </w:rPr>
        <w:t>la</w:t>
      </w:r>
      <w:r>
        <w:rPr>
          <w:color w:val="231F20"/>
          <w:spacing w:val="-8"/>
        </w:rPr>
        <w:t> </w:t>
      </w:r>
      <w:r>
        <w:rPr>
          <w:color w:val="231F20"/>
        </w:rPr>
        <w:t>zona</w:t>
      </w:r>
      <w:r>
        <w:rPr>
          <w:color w:val="231F20"/>
          <w:spacing w:val="-8"/>
        </w:rPr>
        <w:t> </w:t>
      </w:r>
      <w:r>
        <w:rPr>
          <w:color w:val="231F20"/>
        </w:rPr>
        <w:t>del</w:t>
      </w:r>
      <w:r>
        <w:rPr>
          <w:color w:val="231F20"/>
          <w:spacing w:val="-8"/>
        </w:rPr>
        <w:t> </w:t>
      </w:r>
      <w:r>
        <w:rPr>
          <w:color w:val="231F20"/>
        </w:rPr>
        <w:t>TLCAN,</w:t>
      </w:r>
      <w:r>
        <w:rPr>
          <w:color w:val="231F20"/>
          <w:spacing w:val="-8"/>
        </w:rPr>
        <w:t> </w:t>
      </w:r>
      <w:r>
        <w:rPr>
          <w:color w:val="231F20"/>
        </w:rPr>
        <w:t>así</w:t>
      </w:r>
      <w:r>
        <w:rPr>
          <w:color w:val="231F20"/>
          <w:spacing w:val="-8"/>
        </w:rPr>
        <w:t> </w:t>
      </w:r>
      <w:r>
        <w:rPr>
          <w:color w:val="231F20"/>
        </w:rPr>
        <w:t>como</w:t>
      </w:r>
      <w:r>
        <w:rPr>
          <w:color w:val="231F20"/>
          <w:spacing w:val="-8"/>
        </w:rPr>
        <w:t> </w:t>
      </w:r>
      <w:r>
        <w:rPr>
          <w:color w:val="231F20"/>
        </w:rPr>
        <w:t>el</w:t>
      </w:r>
      <w:r>
        <w:rPr>
          <w:color w:val="231F20"/>
          <w:spacing w:val="-8"/>
        </w:rPr>
        <w:t> </w:t>
      </w:r>
      <w:r>
        <w:rPr>
          <w:color w:val="231F20"/>
        </w:rPr>
        <w:t>fortaleci- miento</w:t>
      </w:r>
      <w:r>
        <w:rPr>
          <w:color w:val="231F20"/>
          <w:spacing w:val="-10"/>
        </w:rPr>
        <w:t> </w:t>
      </w:r>
      <w:r>
        <w:rPr>
          <w:color w:val="231F20"/>
        </w:rPr>
        <w:t>de</w:t>
      </w:r>
      <w:r>
        <w:rPr>
          <w:color w:val="231F20"/>
          <w:spacing w:val="-10"/>
        </w:rPr>
        <w:t> </w:t>
      </w:r>
      <w:r>
        <w:rPr>
          <w:color w:val="231F20"/>
        </w:rPr>
        <w:t>otras</w:t>
      </w:r>
      <w:r>
        <w:rPr>
          <w:color w:val="231F20"/>
          <w:spacing w:val="-10"/>
        </w:rPr>
        <w:t> </w:t>
      </w:r>
      <w:r>
        <w:rPr>
          <w:color w:val="231F20"/>
        </w:rPr>
        <w:t>regiones,</w:t>
      </w:r>
      <w:r>
        <w:rPr>
          <w:color w:val="231F20"/>
          <w:spacing w:val="-10"/>
        </w:rPr>
        <w:t> </w:t>
      </w:r>
      <w:r>
        <w:rPr>
          <w:color w:val="231F20"/>
        </w:rPr>
        <w:t>como</w:t>
      </w:r>
      <w:r>
        <w:rPr>
          <w:color w:val="231F20"/>
          <w:spacing w:val="-10"/>
        </w:rPr>
        <w:t> </w:t>
      </w:r>
      <w:r>
        <w:rPr>
          <w:color w:val="231F20"/>
        </w:rPr>
        <w:t>la</w:t>
      </w:r>
      <w:r>
        <w:rPr>
          <w:color w:val="231F20"/>
          <w:spacing w:val="-10"/>
        </w:rPr>
        <w:t> </w:t>
      </w:r>
      <w:r>
        <w:rPr>
          <w:color w:val="231F20"/>
        </w:rPr>
        <w:t>del</w:t>
      </w:r>
      <w:r>
        <w:rPr>
          <w:color w:val="231F20"/>
          <w:spacing w:val="-10"/>
        </w:rPr>
        <w:t> </w:t>
      </w:r>
      <w:r>
        <w:rPr>
          <w:color w:val="231F20"/>
        </w:rPr>
        <w:t>Bajío</w:t>
      </w:r>
      <w:r>
        <w:rPr>
          <w:color w:val="231F20"/>
          <w:spacing w:val="-10"/>
        </w:rPr>
        <w:t> </w:t>
      </w:r>
      <w:r>
        <w:rPr>
          <w:color w:val="231F20"/>
        </w:rPr>
        <w:t>(San</w:t>
      </w:r>
      <w:r>
        <w:rPr>
          <w:color w:val="231F20"/>
          <w:spacing w:val="-10"/>
        </w:rPr>
        <w:t> </w:t>
      </w:r>
      <w:r>
        <w:rPr>
          <w:color w:val="231F20"/>
        </w:rPr>
        <w:t>Luis</w:t>
      </w:r>
      <w:r>
        <w:rPr>
          <w:color w:val="231F20"/>
          <w:spacing w:val="-10"/>
        </w:rPr>
        <w:t> </w:t>
      </w:r>
      <w:r>
        <w:rPr>
          <w:color w:val="231F20"/>
        </w:rPr>
        <w:t>Potosí,</w:t>
      </w:r>
      <w:r>
        <w:rPr>
          <w:color w:val="231F20"/>
          <w:spacing w:val="-10"/>
        </w:rPr>
        <w:t> </w:t>
      </w:r>
      <w:r>
        <w:rPr>
          <w:color w:val="231F20"/>
          <w:spacing w:val="-3"/>
        </w:rPr>
        <w:t>Guanajuato,</w:t>
      </w:r>
      <w:r>
        <w:rPr>
          <w:color w:val="231F20"/>
          <w:spacing w:val="-10"/>
        </w:rPr>
        <w:t> </w:t>
      </w:r>
      <w:r>
        <w:rPr>
          <w:color w:val="231F20"/>
        </w:rPr>
        <w:t>Querétaro)</w:t>
      </w:r>
      <w:r>
        <w:rPr>
          <w:color w:val="231F20"/>
          <w:spacing w:val="-10"/>
        </w:rPr>
        <w:t> </w:t>
      </w:r>
      <w:r>
        <w:rPr>
          <w:color w:val="231F20"/>
        </w:rPr>
        <w:t>y la</w:t>
      </w:r>
      <w:r>
        <w:rPr>
          <w:color w:val="231F20"/>
          <w:spacing w:val="-11"/>
        </w:rPr>
        <w:t> </w:t>
      </w:r>
      <w:r>
        <w:rPr>
          <w:color w:val="231F20"/>
        </w:rPr>
        <w:t>centro-occidente</w:t>
      </w:r>
      <w:r>
        <w:rPr>
          <w:color w:val="231F20"/>
          <w:spacing w:val="-11"/>
        </w:rPr>
        <w:t> </w:t>
      </w:r>
      <w:r>
        <w:rPr>
          <w:color w:val="231F20"/>
        </w:rPr>
        <w:t>(Aguascalientes</w:t>
      </w:r>
      <w:r>
        <w:rPr>
          <w:color w:val="231F20"/>
          <w:spacing w:val="-11"/>
        </w:rPr>
        <w:t> </w:t>
      </w:r>
      <w:r>
        <w:rPr>
          <w:color w:val="231F20"/>
        </w:rPr>
        <w:t>y</w:t>
      </w:r>
      <w:r>
        <w:rPr>
          <w:color w:val="231F20"/>
          <w:spacing w:val="-11"/>
        </w:rPr>
        <w:t> </w:t>
      </w:r>
      <w:r>
        <w:rPr>
          <w:color w:val="231F20"/>
        </w:rPr>
        <w:t>Jalisco),</w:t>
      </w:r>
      <w:r>
        <w:rPr>
          <w:color w:val="231F20"/>
          <w:spacing w:val="-11"/>
        </w:rPr>
        <w:t> </w:t>
      </w:r>
      <w:r>
        <w:rPr>
          <w:color w:val="231F20"/>
        </w:rPr>
        <w:t>donde</w:t>
      </w:r>
      <w:r>
        <w:rPr>
          <w:color w:val="231F20"/>
          <w:spacing w:val="-11"/>
        </w:rPr>
        <w:t> </w:t>
      </w:r>
      <w:r>
        <w:rPr>
          <w:color w:val="231F20"/>
        </w:rPr>
        <w:t>en</w:t>
      </w:r>
      <w:r>
        <w:rPr>
          <w:color w:val="231F20"/>
          <w:spacing w:val="-11"/>
        </w:rPr>
        <w:t> </w:t>
      </w:r>
      <w:r>
        <w:rPr>
          <w:color w:val="231F20"/>
        </w:rPr>
        <w:t>los</w:t>
      </w:r>
      <w:r>
        <w:rPr>
          <w:color w:val="231F20"/>
          <w:spacing w:val="-11"/>
        </w:rPr>
        <w:t> </w:t>
      </w:r>
      <w:r>
        <w:rPr>
          <w:color w:val="231F20"/>
        </w:rPr>
        <w:t>últimos</w:t>
      </w:r>
      <w:r>
        <w:rPr>
          <w:color w:val="231F20"/>
          <w:spacing w:val="-11"/>
        </w:rPr>
        <w:t> </w:t>
      </w:r>
      <w:r>
        <w:rPr>
          <w:color w:val="231F20"/>
        </w:rPr>
        <w:t>años</w:t>
      </w:r>
      <w:r>
        <w:rPr>
          <w:color w:val="231F20"/>
          <w:spacing w:val="-11"/>
        </w:rPr>
        <w:t> </w:t>
      </w:r>
      <w:r>
        <w:rPr>
          <w:color w:val="231F20"/>
        </w:rPr>
        <w:t>se</w:t>
      </w:r>
      <w:r>
        <w:rPr>
          <w:color w:val="231F20"/>
          <w:spacing w:val="-11"/>
        </w:rPr>
        <w:t> </w:t>
      </w:r>
      <w:r>
        <w:rPr>
          <w:color w:val="231F20"/>
        </w:rPr>
        <w:t>ha</w:t>
      </w:r>
      <w:r>
        <w:rPr>
          <w:color w:val="231F20"/>
          <w:spacing w:val="-11"/>
        </w:rPr>
        <w:t> </w:t>
      </w:r>
      <w:r>
        <w:rPr>
          <w:color w:val="231F20"/>
        </w:rPr>
        <w:t>estable- cido un número importante de empresas del</w:t>
      </w:r>
      <w:r>
        <w:rPr>
          <w:color w:val="231F20"/>
          <w:spacing w:val="27"/>
        </w:rPr>
        <w:t> </w:t>
      </w:r>
      <w:r>
        <w:rPr>
          <w:color w:val="231F20"/>
          <w:spacing w:val="-3"/>
        </w:rPr>
        <w:t>sector.</w:t>
      </w:r>
    </w:p>
    <w:p>
      <w:pPr>
        <w:pStyle w:val="BodyText"/>
        <w:spacing w:line="278" w:lineRule="auto" w:before="1"/>
        <w:ind w:left="123" w:right="711" w:firstLine="396"/>
        <w:jc w:val="both"/>
      </w:pPr>
      <w:r>
        <w:rPr>
          <w:color w:val="231F20"/>
        </w:rPr>
        <w:t>Como se ha mencionado en las conclusiones, por el desempeño del sector auto- motriz</w:t>
      </w:r>
      <w:r>
        <w:rPr>
          <w:color w:val="231F20"/>
          <w:spacing w:val="-10"/>
        </w:rPr>
        <w:t> </w:t>
      </w:r>
      <w:r>
        <w:rPr>
          <w:color w:val="231F20"/>
        </w:rPr>
        <w:t>establecido</w:t>
      </w:r>
      <w:r>
        <w:rPr>
          <w:color w:val="231F20"/>
          <w:spacing w:val="-10"/>
        </w:rPr>
        <w:t> </w:t>
      </w:r>
      <w:r>
        <w:rPr>
          <w:color w:val="231F20"/>
        </w:rPr>
        <w:t>en</w:t>
      </w:r>
      <w:r>
        <w:rPr>
          <w:color w:val="231F20"/>
          <w:spacing w:val="-10"/>
        </w:rPr>
        <w:t> </w:t>
      </w:r>
      <w:r>
        <w:rPr>
          <w:color w:val="231F20"/>
        </w:rPr>
        <w:t>el</w:t>
      </w:r>
      <w:r>
        <w:rPr>
          <w:color w:val="231F20"/>
          <w:spacing w:val="-10"/>
        </w:rPr>
        <w:t> </w:t>
      </w:r>
      <w:r>
        <w:rPr>
          <w:color w:val="231F20"/>
        </w:rPr>
        <w:t>Estado</w:t>
      </w:r>
      <w:r>
        <w:rPr>
          <w:color w:val="231F20"/>
          <w:spacing w:val="-10"/>
        </w:rPr>
        <w:t> </w:t>
      </w:r>
      <w:r>
        <w:rPr>
          <w:color w:val="231F20"/>
        </w:rPr>
        <w:t>de</w:t>
      </w:r>
      <w:r>
        <w:rPr>
          <w:color w:val="231F20"/>
          <w:spacing w:val="-10"/>
        </w:rPr>
        <w:t> </w:t>
      </w:r>
      <w:r>
        <w:rPr>
          <w:color w:val="231F20"/>
        </w:rPr>
        <w:t>México</w:t>
      </w:r>
      <w:r>
        <w:rPr>
          <w:color w:val="231F20"/>
          <w:spacing w:val="-10"/>
        </w:rPr>
        <w:t> </w:t>
      </w:r>
      <w:r>
        <w:rPr>
          <w:color w:val="231F20"/>
        </w:rPr>
        <w:t>todo</w:t>
      </w:r>
      <w:r>
        <w:rPr>
          <w:color w:val="231F20"/>
          <w:spacing w:val="-10"/>
        </w:rPr>
        <w:t> </w:t>
      </w:r>
      <w:r>
        <w:rPr>
          <w:color w:val="231F20"/>
        </w:rPr>
        <w:t>apunta</w:t>
      </w:r>
      <w:r>
        <w:rPr>
          <w:color w:val="231F20"/>
          <w:spacing w:val="-10"/>
        </w:rPr>
        <w:t> </w:t>
      </w:r>
      <w:r>
        <w:rPr>
          <w:color w:val="231F20"/>
        </w:rPr>
        <w:t>a</w:t>
      </w:r>
      <w:r>
        <w:rPr>
          <w:color w:val="231F20"/>
          <w:spacing w:val="-10"/>
        </w:rPr>
        <w:t> </w:t>
      </w:r>
      <w:r>
        <w:rPr>
          <w:color w:val="231F20"/>
        </w:rPr>
        <w:t>que</w:t>
      </w:r>
      <w:r>
        <w:rPr>
          <w:color w:val="231F20"/>
          <w:spacing w:val="-10"/>
        </w:rPr>
        <w:t> </w:t>
      </w:r>
      <w:r>
        <w:rPr>
          <w:color w:val="231F20"/>
        </w:rPr>
        <w:t>éste</w:t>
      </w:r>
      <w:r>
        <w:rPr>
          <w:color w:val="231F20"/>
          <w:spacing w:val="-10"/>
        </w:rPr>
        <w:t> </w:t>
      </w:r>
      <w:r>
        <w:rPr>
          <w:color w:val="231F20"/>
        </w:rPr>
        <w:t>deberá</w:t>
      </w:r>
      <w:r>
        <w:rPr>
          <w:color w:val="231F20"/>
          <w:spacing w:val="-10"/>
        </w:rPr>
        <w:t> </w:t>
      </w:r>
      <w:r>
        <w:rPr>
          <w:color w:val="231F20"/>
        </w:rPr>
        <w:t>reconvertirse, tal como pasó con la </w:t>
      </w:r>
      <w:r>
        <w:rPr>
          <w:color w:val="231F20"/>
          <w:spacing w:val="-3"/>
        </w:rPr>
        <w:t>Ford </w:t>
      </w:r>
      <w:r>
        <w:rPr>
          <w:color w:val="231F20"/>
        </w:rPr>
        <w:t>en</w:t>
      </w:r>
      <w:r>
        <w:rPr>
          <w:color w:val="231F20"/>
          <w:spacing w:val="-2"/>
        </w:rPr>
        <w:t> </w:t>
      </w:r>
      <w:r>
        <w:rPr>
          <w:color w:val="231F20"/>
        </w:rPr>
        <w:t>Cuautitlán.</w:t>
      </w:r>
    </w:p>
    <w:p>
      <w:pPr>
        <w:pStyle w:val="BodyText"/>
        <w:spacing w:line="278" w:lineRule="auto" w:before="1"/>
        <w:ind w:left="123" w:right="711" w:firstLine="396"/>
        <w:jc w:val="both"/>
      </w:pPr>
      <w:r>
        <w:rPr>
          <w:color w:val="231F20"/>
        </w:rPr>
        <w:t>En</w:t>
      </w:r>
      <w:r>
        <w:rPr>
          <w:color w:val="231F20"/>
          <w:spacing w:val="-14"/>
        </w:rPr>
        <w:t> </w:t>
      </w:r>
      <w:r>
        <w:rPr>
          <w:color w:val="231F20"/>
        </w:rPr>
        <w:t>el</w:t>
      </w:r>
      <w:r>
        <w:rPr>
          <w:color w:val="231F20"/>
          <w:spacing w:val="-15"/>
        </w:rPr>
        <w:t> </w:t>
      </w:r>
      <w:r>
        <w:rPr>
          <w:color w:val="231F20"/>
        </w:rPr>
        <w:t>caso</w:t>
      </w:r>
      <w:r>
        <w:rPr>
          <w:color w:val="231F20"/>
          <w:spacing w:val="-15"/>
        </w:rPr>
        <w:t> </w:t>
      </w:r>
      <w:r>
        <w:rPr>
          <w:color w:val="231F20"/>
        </w:rPr>
        <w:t>de</w:t>
      </w:r>
      <w:r>
        <w:rPr>
          <w:color w:val="231F20"/>
          <w:spacing w:val="-14"/>
        </w:rPr>
        <w:t> </w:t>
      </w:r>
      <w:r>
        <w:rPr>
          <w:color w:val="231F20"/>
        </w:rPr>
        <w:t>General</w:t>
      </w:r>
      <w:r>
        <w:rPr>
          <w:color w:val="231F20"/>
          <w:spacing w:val="-14"/>
        </w:rPr>
        <w:t> </w:t>
      </w:r>
      <w:r>
        <w:rPr>
          <w:color w:val="231F20"/>
          <w:spacing w:val="-3"/>
        </w:rPr>
        <w:t>Motors</w:t>
      </w:r>
      <w:r>
        <w:rPr>
          <w:color w:val="231F20"/>
          <w:spacing w:val="-15"/>
        </w:rPr>
        <w:t> </w:t>
      </w:r>
      <w:r>
        <w:rPr>
          <w:color w:val="231F20"/>
        </w:rPr>
        <w:t>Estado</w:t>
      </w:r>
      <w:r>
        <w:rPr>
          <w:color w:val="231F20"/>
          <w:spacing w:val="-14"/>
        </w:rPr>
        <w:t> </w:t>
      </w:r>
      <w:r>
        <w:rPr>
          <w:color w:val="231F20"/>
        </w:rPr>
        <w:t>de</w:t>
      </w:r>
      <w:r>
        <w:rPr>
          <w:color w:val="231F20"/>
          <w:spacing w:val="-15"/>
        </w:rPr>
        <w:t> </w:t>
      </w:r>
      <w:r>
        <w:rPr>
          <w:color w:val="231F20"/>
        </w:rPr>
        <w:t>México,</w:t>
      </w:r>
      <w:r>
        <w:rPr>
          <w:color w:val="231F20"/>
          <w:spacing w:val="-15"/>
        </w:rPr>
        <w:t> </w:t>
      </w:r>
      <w:r>
        <w:rPr>
          <w:color w:val="231F20"/>
        </w:rPr>
        <w:t>se</w:t>
      </w:r>
      <w:r>
        <w:rPr>
          <w:color w:val="231F20"/>
          <w:spacing w:val="-14"/>
        </w:rPr>
        <w:t> </w:t>
      </w:r>
      <w:r>
        <w:rPr>
          <w:color w:val="231F20"/>
        </w:rPr>
        <w:t>ha</w:t>
      </w:r>
      <w:r>
        <w:rPr>
          <w:color w:val="231F20"/>
          <w:spacing w:val="-14"/>
        </w:rPr>
        <w:t> </w:t>
      </w:r>
      <w:r>
        <w:rPr>
          <w:color w:val="231F20"/>
        </w:rPr>
        <w:t>dejado</w:t>
      </w:r>
      <w:r>
        <w:rPr>
          <w:color w:val="231F20"/>
          <w:spacing w:val="-14"/>
        </w:rPr>
        <w:t> </w:t>
      </w:r>
      <w:r>
        <w:rPr>
          <w:color w:val="231F20"/>
        </w:rPr>
        <w:t>de</w:t>
      </w:r>
      <w:r>
        <w:rPr>
          <w:color w:val="231F20"/>
          <w:spacing w:val="-15"/>
        </w:rPr>
        <w:t> </w:t>
      </w:r>
      <w:r>
        <w:rPr>
          <w:color w:val="231F20"/>
        </w:rPr>
        <w:t>hacer</w:t>
      </w:r>
      <w:r>
        <w:rPr>
          <w:color w:val="231F20"/>
          <w:spacing w:val="-14"/>
        </w:rPr>
        <w:t> </w:t>
      </w:r>
      <w:r>
        <w:rPr>
          <w:color w:val="231F20"/>
        </w:rPr>
        <w:t>el</w:t>
      </w:r>
      <w:r>
        <w:rPr>
          <w:color w:val="231F20"/>
          <w:spacing w:val="-14"/>
        </w:rPr>
        <w:t> </w:t>
      </w:r>
      <w:r>
        <w:rPr>
          <w:color w:val="231F20"/>
        </w:rPr>
        <w:t>ensamble de</w:t>
      </w:r>
      <w:r>
        <w:rPr>
          <w:color w:val="231F20"/>
          <w:spacing w:val="-7"/>
        </w:rPr>
        <w:t> </w:t>
      </w:r>
      <w:r>
        <w:rPr>
          <w:color w:val="231F20"/>
        </w:rPr>
        <w:t>vehículos</w:t>
      </w:r>
      <w:r>
        <w:rPr>
          <w:color w:val="231F20"/>
          <w:spacing w:val="-7"/>
        </w:rPr>
        <w:t> </w:t>
      </w:r>
      <w:r>
        <w:rPr>
          <w:color w:val="231F20"/>
        </w:rPr>
        <w:t>y</w:t>
      </w:r>
      <w:r>
        <w:rPr>
          <w:color w:val="231F20"/>
          <w:spacing w:val="-7"/>
        </w:rPr>
        <w:t> </w:t>
      </w:r>
      <w:r>
        <w:rPr>
          <w:color w:val="231F20"/>
        </w:rPr>
        <w:t>se</w:t>
      </w:r>
      <w:r>
        <w:rPr>
          <w:color w:val="231F20"/>
          <w:spacing w:val="-7"/>
        </w:rPr>
        <w:t> </w:t>
      </w:r>
      <w:r>
        <w:rPr>
          <w:color w:val="231F20"/>
        </w:rPr>
        <w:t>ha</w:t>
      </w:r>
      <w:r>
        <w:rPr>
          <w:color w:val="231F20"/>
          <w:spacing w:val="-7"/>
        </w:rPr>
        <w:t> </w:t>
      </w:r>
      <w:r>
        <w:rPr>
          <w:color w:val="231F20"/>
        </w:rPr>
        <w:t>dado</w:t>
      </w:r>
      <w:r>
        <w:rPr>
          <w:color w:val="231F20"/>
          <w:spacing w:val="-7"/>
        </w:rPr>
        <w:t> </w:t>
      </w:r>
      <w:r>
        <w:rPr>
          <w:color w:val="231F20"/>
        </w:rPr>
        <w:t>prioridad</w:t>
      </w:r>
      <w:r>
        <w:rPr>
          <w:color w:val="231F20"/>
          <w:spacing w:val="-7"/>
        </w:rPr>
        <w:t> </w:t>
      </w:r>
      <w:r>
        <w:rPr>
          <w:color w:val="231F20"/>
        </w:rPr>
        <w:t>al</w:t>
      </w:r>
      <w:r>
        <w:rPr>
          <w:color w:val="231F20"/>
          <w:spacing w:val="-7"/>
        </w:rPr>
        <w:t> </w:t>
      </w:r>
      <w:r>
        <w:rPr>
          <w:color w:val="231F20"/>
        </w:rPr>
        <w:t>diseño</w:t>
      </w:r>
      <w:r>
        <w:rPr>
          <w:color w:val="231F20"/>
          <w:spacing w:val="-7"/>
        </w:rPr>
        <w:t> </w:t>
      </w:r>
      <w:r>
        <w:rPr>
          <w:color w:val="231F20"/>
        </w:rPr>
        <w:t>en</w:t>
      </w:r>
      <w:r>
        <w:rPr>
          <w:color w:val="231F20"/>
          <w:spacing w:val="-7"/>
        </w:rPr>
        <w:t> </w:t>
      </w:r>
      <w:r>
        <w:rPr>
          <w:color w:val="231F20"/>
        </w:rPr>
        <w:t>el</w:t>
      </w:r>
      <w:r>
        <w:rPr>
          <w:color w:val="231F20"/>
          <w:spacing w:val="-7"/>
        </w:rPr>
        <w:t> </w:t>
      </w:r>
      <w:r>
        <w:rPr>
          <w:color w:val="231F20"/>
        </w:rPr>
        <w:t>Centro</w:t>
      </w:r>
      <w:r>
        <w:rPr>
          <w:color w:val="231F20"/>
          <w:spacing w:val="-7"/>
        </w:rPr>
        <w:t> </w:t>
      </w:r>
      <w:r>
        <w:rPr>
          <w:color w:val="231F20"/>
        </w:rPr>
        <w:t>Regional</w:t>
      </w:r>
      <w:r>
        <w:rPr>
          <w:color w:val="231F20"/>
          <w:spacing w:val="-7"/>
        </w:rPr>
        <w:t> </w:t>
      </w:r>
      <w:r>
        <w:rPr>
          <w:color w:val="231F20"/>
        </w:rPr>
        <w:t>de</w:t>
      </w:r>
      <w:r>
        <w:rPr>
          <w:color w:val="231F20"/>
          <w:spacing w:val="-7"/>
        </w:rPr>
        <w:t> </w:t>
      </w:r>
      <w:r>
        <w:rPr>
          <w:color w:val="231F20"/>
        </w:rPr>
        <w:t>Ingeniería,</w:t>
      </w:r>
      <w:r>
        <w:rPr>
          <w:color w:val="231F20"/>
          <w:spacing w:val="-7"/>
        </w:rPr>
        <w:t> </w:t>
      </w:r>
      <w:r>
        <w:rPr>
          <w:color w:val="231F20"/>
        </w:rPr>
        <w:t>que, de acuerdo con información de la propia empresa, es uno de los más avanzados en Latinoamérica. En él trabaja un equipo importante de ingenieros mexicanos, que inte- ractúa con la más alta tecnología, diseñando y desarrollando productos innovadores; forma parte de la Plataforma Global de Ingeniería y Manufactura de General</w:t>
      </w:r>
      <w:r>
        <w:rPr>
          <w:color w:val="231F20"/>
          <w:spacing w:val="-35"/>
        </w:rPr>
        <w:t> </w:t>
      </w:r>
      <w:r>
        <w:rPr>
          <w:color w:val="231F20"/>
          <w:spacing w:val="-3"/>
        </w:rPr>
        <w:t>Motors.</w:t>
      </w:r>
    </w:p>
    <w:p>
      <w:pPr>
        <w:pStyle w:val="BodyText"/>
        <w:spacing w:line="278" w:lineRule="auto" w:before="1"/>
        <w:ind w:left="123" w:right="711" w:firstLine="396"/>
        <w:jc w:val="both"/>
        <w:rPr>
          <w:sz w:val="12"/>
        </w:rPr>
      </w:pPr>
      <w:r>
        <w:rPr>
          <w:color w:val="231F20"/>
        </w:rPr>
        <w:t>Para este centro de diseño se han aprovechado los convenios con instituciones</w:t>
      </w:r>
      <w:r>
        <w:rPr>
          <w:color w:val="231F20"/>
          <w:spacing w:val="-23"/>
        </w:rPr>
        <w:t> </w:t>
      </w:r>
      <w:r>
        <w:rPr>
          <w:color w:val="231F20"/>
        </w:rPr>
        <w:t>de educación</w:t>
      </w:r>
      <w:r>
        <w:rPr>
          <w:color w:val="231F20"/>
          <w:spacing w:val="-9"/>
        </w:rPr>
        <w:t> </w:t>
      </w:r>
      <w:r>
        <w:rPr>
          <w:color w:val="231F20"/>
          <w:spacing w:val="-3"/>
        </w:rPr>
        <w:t>superior,</w:t>
      </w:r>
      <w:r>
        <w:rPr>
          <w:color w:val="231F20"/>
          <w:spacing w:val="-9"/>
        </w:rPr>
        <w:t> </w:t>
      </w:r>
      <w:r>
        <w:rPr>
          <w:color w:val="231F20"/>
        </w:rPr>
        <w:t>como</w:t>
      </w:r>
      <w:r>
        <w:rPr>
          <w:color w:val="231F20"/>
          <w:spacing w:val="-9"/>
        </w:rPr>
        <w:t> </w:t>
      </w:r>
      <w:r>
        <w:rPr>
          <w:color w:val="231F20"/>
        </w:rPr>
        <w:t>el</w:t>
      </w:r>
      <w:r>
        <w:rPr>
          <w:color w:val="231F20"/>
          <w:spacing w:val="-9"/>
        </w:rPr>
        <w:t> </w:t>
      </w:r>
      <w:r>
        <w:rPr>
          <w:color w:val="231F20"/>
        </w:rPr>
        <w:t>Instituto</w:t>
      </w:r>
      <w:r>
        <w:rPr>
          <w:color w:val="231F20"/>
          <w:spacing w:val="-9"/>
        </w:rPr>
        <w:t> </w:t>
      </w:r>
      <w:r>
        <w:rPr>
          <w:color w:val="231F20"/>
        </w:rPr>
        <w:t>Tecnológico</w:t>
      </w:r>
      <w:r>
        <w:rPr>
          <w:color w:val="231F20"/>
          <w:spacing w:val="-9"/>
        </w:rPr>
        <w:t> </w:t>
      </w:r>
      <w:r>
        <w:rPr>
          <w:color w:val="231F20"/>
        </w:rPr>
        <w:t>de</w:t>
      </w:r>
      <w:r>
        <w:rPr>
          <w:color w:val="231F20"/>
          <w:spacing w:val="-9"/>
        </w:rPr>
        <w:t> </w:t>
      </w:r>
      <w:r>
        <w:rPr>
          <w:color w:val="231F20"/>
          <w:spacing w:val="-5"/>
        </w:rPr>
        <w:t>Toluca</w:t>
      </w:r>
      <w:r>
        <w:rPr>
          <w:color w:val="231F20"/>
          <w:spacing w:val="-9"/>
        </w:rPr>
        <w:t> </w:t>
      </w:r>
      <w:r>
        <w:rPr>
          <w:color w:val="231F20"/>
        </w:rPr>
        <w:t>y</w:t>
      </w:r>
      <w:r>
        <w:rPr>
          <w:color w:val="231F20"/>
          <w:spacing w:val="-9"/>
        </w:rPr>
        <w:t> </w:t>
      </w:r>
      <w:r>
        <w:rPr>
          <w:color w:val="231F20"/>
        </w:rPr>
        <w:t>el</w:t>
      </w:r>
      <w:r>
        <w:rPr>
          <w:color w:val="231F20"/>
          <w:spacing w:val="-9"/>
        </w:rPr>
        <w:t> </w:t>
      </w:r>
      <w:r>
        <w:rPr>
          <w:color w:val="231F20"/>
        </w:rPr>
        <w:t>Instituto</w:t>
      </w:r>
      <w:r>
        <w:rPr>
          <w:color w:val="231F20"/>
          <w:spacing w:val="-9"/>
        </w:rPr>
        <w:t> </w:t>
      </w:r>
      <w:r>
        <w:rPr>
          <w:color w:val="231F20"/>
        </w:rPr>
        <w:t>Tecnológico y</w:t>
      </w:r>
      <w:r>
        <w:rPr>
          <w:color w:val="231F20"/>
          <w:spacing w:val="-6"/>
        </w:rPr>
        <w:t> </w:t>
      </w:r>
      <w:r>
        <w:rPr>
          <w:color w:val="231F20"/>
        </w:rPr>
        <w:t>de</w:t>
      </w:r>
      <w:r>
        <w:rPr>
          <w:color w:val="231F20"/>
          <w:spacing w:val="-6"/>
        </w:rPr>
        <w:t> </w:t>
      </w:r>
      <w:r>
        <w:rPr>
          <w:color w:val="231F20"/>
        </w:rPr>
        <w:t>Estudios</w:t>
      </w:r>
      <w:r>
        <w:rPr>
          <w:color w:val="231F20"/>
          <w:spacing w:val="-6"/>
        </w:rPr>
        <w:t> </w:t>
      </w:r>
      <w:r>
        <w:rPr>
          <w:color w:val="231F20"/>
        </w:rPr>
        <w:t>Superiores</w:t>
      </w:r>
      <w:r>
        <w:rPr>
          <w:color w:val="231F20"/>
          <w:spacing w:val="-6"/>
        </w:rPr>
        <w:t> </w:t>
      </w:r>
      <w:r>
        <w:rPr>
          <w:color w:val="231F20"/>
        </w:rPr>
        <w:t>de</w:t>
      </w:r>
      <w:r>
        <w:rPr>
          <w:color w:val="231F20"/>
          <w:spacing w:val="-6"/>
        </w:rPr>
        <w:t> </w:t>
      </w:r>
      <w:r>
        <w:rPr>
          <w:color w:val="231F20"/>
          <w:spacing w:val="-4"/>
        </w:rPr>
        <w:t>Monterrey,</w:t>
      </w:r>
      <w:r>
        <w:rPr>
          <w:color w:val="231F20"/>
          <w:spacing w:val="-6"/>
        </w:rPr>
        <w:t> </w:t>
      </w:r>
      <w:r>
        <w:rPr>
          <w:color w:val="231F20"/>
        </w:rPr>
        <w:t>campus</w:t>
      </w:r>
      <w:r>
        <w:rPr>
          <w:color w:val="231F20"/>
          <w:spacing w:val="-6"/>
        </w:rPr>
        <w:t> </w:t>
      </w:r>
      <w:r>
        <w:rPr>
          <w:color w:val="231F20"/>
          <w:spacing w:val="-4"/>
        </w:rPr>
        <w:t>Toluca,</w:t>
      </w:r>
      <w:r>
        <w:rPr>
          <w:color w:val="231F20"/>
          <w:spacing w:val="-6"/>
        </w:rPr>
        <w:t> </w:t>
      </w:r>
      <w:r>
        <w:rPr>
          <w:color w:val="231F20"/>
        </w:rPr>
        <w:t>que</w:t>
      </w:r>
      <w:r>
        <w:rPr>
          <w:color w:val="231F20"/>
          <w:spacing w:val="-6"/>
        </w:rPr>
        <w:t> </w:t>
      </w:r>
      <w:r>
        <w:rPr>
          <w:color w:val="231F20"/>
        </w:rPr>
        <w:t>proveen</w:t>
      </w:r>
      <w:r>
        <w:rPr>
          <w:color w:val="231F20"/>
          <w:spacing w:val="-6"/>
        </w:rPr>
        <w:t> </w:t>
      </w:r>
      <w:r>
        <w:rPr>
          <w:color w:val="231F20"/>
        </w:rPr>
        <w:t>de</w:t>
      </w:r>
      <w:r>
        <w:rPr>
          <w:color w:val="231F20"/>
          <w:spacing w:val="-6"/>
        </w:rPr>
        <w:t> </w:t>
      </w:r>
      <w:r>
        <w:rPr>
          <w:color w:val="231F20"/>
        </w:rPr>
        <w:t>ingenieros</w:t>
      </w:r>
      <w:r>
        <w:rPr>
          <w:color w:val="231F20"/>
          <w:spacing w:val="-6"/>
        </w:rPr>
        <w:t> </w:t>
      </w:r>
      <w:r>
        <w:rPr>
          <w:color w:val="231F20"/>
        </w:rPr>
        <w:t>a</w:t>
      </w:r>
      <w:r>
        <w:rPr>
          <w:color w:val="231F20"/>
          <w:spacing w:val="-6"/>
        </w:rPr>
        <w:t> </w:t>
      </w:r>
      <w:r>
        <w:rPr>
          <w:color w:val="231F20"/>
        </w:rPr>
        <w:t>la planta industrial de General Motors.</w:t>
      </w:r>
      <w:r>
        <w:rPr>
          <w:color w:val="231F20"/>
          <w:position w:val="7"/>
          <w:sz w:val="12"/>
        </w:rPr>
        <w:t>1</w:t>
      </w:r>
    </w:p>
    <w:p>
      <w:pPr>
        <w:pStyle w:val="BodyText"/>
        <w:rPr>
          <w:sz w:val="20"/>
        </w:rPr>
      </w:pPr>
    </w:p>
    <w:p>
      <w:pPr>
        <w:pStyle w:val="BodyText"/>
        <w:spacing w:before="6"/>
        <w:rPr>
          <w:sz w:val="10"/>
        </w:rPr>
      </w:pPr>
      <w:r>
        <w:rPr/>
        <w:pict>
          <v:line style="position:absolute;mso-position-horizontal-relative:page;mso-position-vertical-relative:paragraph;z-index:11464;mso-wrap-distance-left:0;mso-wrap-distance-right:0" from="65.196899pt,8.256468pt" to="206.928899pt,8.256468pt" stroked="true" strokeweight=".5pt" strokecolor="#231f20">
            <w10:wrap type="topAndBottom"/>
          </v:line>
        </w:pict>
      </w:r>
    </w:p>
    <w:p>
      <w:pPr>
        <w:spacing w:before="43"/>
        <w:ind w:left="123" w:right="904" w:firstLine="0"/>
        <w:jc w:val="left"/>
        <w:rPr>
          <w:sz w:val="16"/>
        </w:rPr>
      </w:pPr>
      <w:r>
        <w:rPr>
          <w:color w:val="231F20"/>
          <w:position w:val="5"/>
          <w:sz w:val="9"/>
        </w:rPr>
        <w:t>1     </w:t>
      </w:r>
      <w:r>
        <w:rPr>
          <w:color w:val="231F20"/>
          <w:sz w:val="16"/>
        </w:rPr>
        <w:t>Información proporcionada por personal de la planta y de las instituciones educativas.</w:t>
      </w:r>
    </w:p>
    <w:p>
      <w:pPr>
        <w:spacing w:after="0"/>
        <w:jc w:val="left"/>
        <w:rPr>
          <w:sz w:val="16"/>
        </w:rPr>
        <w:sectPr>
          <w:pgSz w:w="9640" w:h="13040"/>
          <w:pgMar w:header="520" w:footer="654" w:top="880" w:bottom="840" w:left="1180" w:right="420"/>
        </w:sectPr>
      </w:pPr>
    </w:p>
    <w:p>
      <w:pPr>
        <w:pStyle w:val="BodyText"/>
        <w:rPr>
          <w:sz w:val="20"/>
        </w:rPr>
      </w:pPr>
    </w:p>
    <w:p>
      <w:pPr>
        <w:pStyle w:val="BodyText"/>
        <w:spacing w:before="6"/>
      </w:pPr>
    </w:p>
    <w:p>
      <w:pPr>
        <w:pStyle w:val="BodyText"/>
        <w:spacing w:line="278" w:lineRule="auto" w:before="58"/>
        <w:ind w:left="713" w:right="101" w:firstLine="396"/>
        <w:jc w:val="both"/>
        <w:rPr>
          <w:sz w:val="12"/>
        </w:rPr>
      </w:pPr>
      <w:r>
        <w:rPr>
          <w:color w:val="231F20"/>
        </w:rPr>
        <w:t>Chrysler, por su parte, ha tomado nueva fuerza, lo que se deriva de la fusión con Fiat. Actualmente, en su planta de Toluca se producen los vehículos Dodge Journey, Fiat 500 y Fiat Freemont (en 2010 dejó de producirse el PT Cruiser). Además cuenta con una planta de estampado en este mismo municipio, donde se fabrican paneles de carrocería para los vehículos mencionados.</w:t>
      </w:r>
      <w:r>
        <w:rPr>
          <w:color w:val="231F20"/>
          <w:position w:val="7"/>
          <w:sz w:val="12"/>
        </w:rPr>
        <w:t>2</w:t>
      </w:r>
    </w:p>
    <w:p>
      <w:pPr>
        <w:pStyle w:val="BodyText"/>
        <w:spacing w:line="278" w:lineRule="auto" w:before="1"/>
        <w:ind w:left="713" w:right="100" w:firstLine="396"/>
        <w:jc w:val="both"/>
      </w:pPr>
      <w:r>
        <w:rPr>
          <w:color w:val="231F20"/>
        </w:rPr>
        <w:t>A</w:t>
      </w:r>
      <w:r>
        <w:rPr>
          <w:color w:val="231F20"/>
          <w:spacing w:val="-4"/>
        </w:rPr>
        <w:t> </w:t>
      </w:r>
      <w:r>
        <w:rPr>
          <w:color w:val="231F20"/>
        </w:rPr>
        <w:t>partir</w:t>
      </w:r>
      <w:r>
        <w:rPr>
          <w:color w:val="231F20"/>
          <w:spacing w:val="-4"/>
        </w:rPr>
        <w:t> </w:t>
      </w:r>
      <w:r>
        <w:rPr>
          <w:color w:val="231F20"/>
        </w:rPr>
        <w:t>de</w:t>
      </w:r>
      <w:r>
        <w:rPr>
          <w:color w:val="231F20"/>
          <w:spacing w:val="-4"/>
        </w:rPr>
        <w:t> </w:t>
      </w:r>
      <w:r>
        <w:rPr>
          <w:color w:val="231F20"/>
        </w:rPr>
        <w:t>este</w:t>
      </w:r>
      <w:r>
        <w:rPr>
          <w:color w:val="231F20"/>
          <w:spacing w:val="-4"/>
        </w:rPr>
        <w:t> </w:t>
      </w:r>
      <w:r>
        <w:rPr>
          <w:color w:val="231F20"/>
        </w:rPr>
        <w:t>desempeño,</w:t>
      </w:r>
      <w:r>
        <w:rPr>
          <w:color w:val="231F20"/>
          <w:spacing w:val="-4"/>
        </w:rPr>
        <w:t> </w:t>
      </w:r>
      <w:r>
        <w:rPr>
          <w:color w:val="231F20"/>
        </w:rPr>
        <w:t>el</w:t>
      </w:r>
      <w:r>
        <w:rPr>
          <w:color w:val="231F20"/>
          <w:spacing w:val="-4"/>
        </w:rPr>
        <w:t> </w:t>
      </w:r>
      <w:r>
        <w:rPr>
          <w:color w:val="231F20"/>
        </w:rPr>
        <w:t>Estado</w:t>
      </w:r>
      <w:r>
        <w:rPr>
          <w:color w:val="231F20"/>
          <w:spacing w:val="-4"/>
        </w:rPr>
        <w:t> </w:t>
      </w:r>
      <w:r>
        <w:rPr>
          <w:color w:val="231F20"/>
        </w:rPr>
        <w:t>de</w:t>
      </w:r>
      <w:r>
        <w:rPr>
          <w:color w:val="231F20"/>
          <w:spacing w:val="-4"/>
        </w:rPr>
        <w:t> </w:t>
      </w:r>
      <w:r>
        <w:rPr>
          <w:color w:val="231F20"/>
        </w:rPr>
        <w:t>México</w:t>
      </w:r>
      <w:r>
        <w:rPr>
          <w:color w:val="231F20"/>
          <w:spacing w:val="-4"/>
        </w:rPr>
        <w:t> </w:t>
      </w:r>
      <w:r>
        <w:rPr>
          <w:color w:val="231F20"/>
        </w:rPr>
        <w:t>debe</w:t>
      </w:r>
      <w:r>
        <w:rPr>
          <w:color w:val="231F20"/>
          <w:spacing w:val="-4"/>
        </w:rPr>
        <w:t> </w:t>
      </w:r>
      <w:r>
        <w:rPr>
          <w:color w:val="231F20"/>
        </w:rPr>
        <w:t>apostar</w:t>
      </w:r>
      <w:r>
        <w:rPr>
          <w:color w:val="231F20"/>
          <w:spacing w:val="-4"/>
        </w:rPr>
        <w:t> </w:t>
      </w:r>
      <w:r>
        <w:rPr>
          <w:color w:val="231F20"/>
        </w:rPr>
        <w:t>por</w:t>
      </w:r>
      <w:r>
        <w:rPr>
          <w:color w:val="231F20"/>
          <w:spacing w:val="-4"/>
        </w:rPr>
        <w:t> </w:t>
      </w:r>
      <w:r>
        <w:rPr>
          <w:color w:val="231F20"/>
        </w:rPr>
        <w:t>aprovechar</w:t>
      </w:r>
      <w:r>
        <w:rPr>
          <w:color w:val="231F20"/>
          <w:spacing w:val="-4"/>
        </w:rPr>
        <w:t> </w:t>
      </w:r>
      <w:r>
        <w:rPr>
          <w:color w:val="231F20"/>
        </w:rPr>
        <w:t>las ventajas</w:t>
      </w:r>
      <w:r>
        <w:rPr>
          <w:color w:val="231F20"/>
          <w:spacing w:val="-21"/>
        </w:rPr>
        <w:t> </w:t>
      </w:r>
      <w:r>
        <w:rPr>
          <w:color w:val="231F20"/>
        </w:rPr>
        <w:t>competitivas</w:t>
      </w:r>
      <w:r>
        <w:rPr>
          <w:color w:val="231F20"/>
          <w:spacing w:val="-21"/>
        </w:rPr>
        <w:t> </w:t>
      </w:r>
      <w:r>
        <w:rPr>
          <w:color w:val="231F20"/>
        </w:rPr>
        <w:t>con</w:t>
      </w:r>
      <w:r>
        <w:rPr>
          <w:color w:val="231F20"/>
          <w:spacing w:val="-21"/>
        </w:rPr>
        <w:t> </w:t>
      </w:r>
      <w:r>
        <w:rPr>
          <w:color w:val="231F20"/>
        </w:rPr>
        <w:t>que</w:t>
      </w:r>
      <w:r>
        <w:rPr>
          <w:color w:val="231F20"/>
          <w:spacing w:val="-21"/>
        </w:rPr>
        <w:t> </w:t>
      </w:r>
      <w:r>
        <w:rPr>
          <w:color w:val="231F20"/>
        </w:rPr>
        <w:t>cuenta,</w:t>
      </w:r>
      <w:r>
        <w:rPr>
          <w:color w:val="231F20"/>
          <w:spacing w:val="-21"/>
        </w:rPr>
        <w:t> </w:t>
      </w:r>
      <w:r>
        <w:rPr>
          <w:color w:val="231F20"/>
        </w:rPr>
        <w:t>es</w:t>
      </w:r>
      <w:r>
        <w:rPr>
          <w:color w:val="231F20"/>
          <w:spacing w:val="-21"/>
        </w:rPr>
        <w:t> </w:t>
      </w:r>
      <w:r>
        <w:rPr>
          <w:color w:val="231F20"/>
          <w:spacing w:val="-3"/>
        </w:rPr>
        <w:t>decir,</w:t>
      </w:r>
      <w:r>
        <w:rPr>
          <w:color w:val="231F20"/>
          <w:spacing w:val="-21"/>
        </w:rPr>
        <w:t> </w:t>
      </w:r>
      <w:r>
        <w:rPr>
          <w:color w:val="231F20"/>
        </w:rPr>
        <w:t>aprovechar</w:t>
      </w:r>
      <w:r>
        <w:rPr>
          <w:color w:val="231F20"/>
          <w:spacing w:val="-21"/>
        </w:rPr>
        <w:t> </w:t>
      </w:r>
      <w:r>
        <w:rPr>
          <w:color w:val="231F20"/>
        </w:rPr>
        <w:t>todas</w:t>
      </w:r>
      <w:r>
        <w:rPr>
          <w:color w:val="231F20"/>
          <w:spacing w:val="-21"/>
        </w:rPr>
        <w:t> </w:t>
      </w:r>
      <w:r>
        <w:rPr>
          <w:color w:val="231F20"/>
        </w:rPr>
        <w:t>esas</w:t>
      </w:r>
      <w:r>
        <w:rPr>
          <w:color w:val="231F20"/>
          <w:spacing w:val="-21"/>
        </w:rPr>
        <w:t> </w:t>
      </w:r>
      <w:r>
        <w:rPr>
          <w:color w:val="231F20"/>
        </w:rPr>
        <w:t>“ventajas</w:t>
      </w:r>
      <w:r>
        <w:rPr>
          <w:color w:val="231F20"/>
          <w:spacing w:val="-21"/>
        </w:rPr>
        <w:t> </w:t>
      </w:r>
      <w:r>
        <w:rPr>
          <w:color w:val="231F20"/>
        </w:rPr>
        <w:t>creadas” que le da la experiencia en el sector industrial, además de la infraestructura física, las carreteras,</w:t>
      </w:r>
      <w:r>
        <w:rPr>
          <w:color w:val="231F20"/>
          <w:spacing w:val="-8"/>
        </w:rPr>
        <w:t> </w:t>
      </w:r>
      <w:r>
        <w:rPr>
          <w:color w:val="231F20"/>
        </w:rPr>
        <w:t>los</w:t>
      </w:r>
      <w:r>
        <w:rPr>
          <w:color w:val="231F20"/>
          <w:spacing w:val="-8"/>
        </w:rPr>
        <w:t> </w:t>
      </w:r>
      <w:r>
        <w:rPr>
          <w:color w:val="231F20"/>
        </w:rPr>
        <w:t>aeropuertos</w:t>
      </w:r>
      <w:r>
        <w:rPr>
          <w:color w:val="231F20"/>
          <w:spacing w:val="-8"/>
        </w:rPr>
        <w:t> </w:t>
      </w:r>
      <w:r>
        <w:rPr>
          <w:color w:val="231F20"/>
        </w:rPr>
        <w:t>y</w:t>
      </w:r>
      <w:r>
        <w:rPr>
          <w:color w:val="231F20"/>
          <w:spacing w:val="-8"/>
        </w:rPr>
        <w:t> </w:t>
      </w:r>
      <w:r>
        <w:rPr>
          <w:color w:val="231F20"/>
        </w:rPr>
        <w:t>la</w:t>
      </w:r>
      <w:r>
        <w:rPr>
          <w:color w:val="231F20"/>
          <w:spacing w:val="-8"/>
        </w:rPr>
        <w:t> </w:t>
      </w:r>
      <w:r>
        <w:rPr>
          <w:color w:val="231F20"/>
        </w:rPr>
        <w:t>mano</w:t>
      </w:r>
      <w:r>
        <w:rPr>
          <w:color w:val="231F20"/>
          <w:spacing w:val="-8"/>
        </w:rPr>
        <w:t> </w:t>
      </w:r>
      <w:r>
        <w:rPr>
          <w:color w:val="231F20"/>
        </w:rPr>
        <w:t>de</w:t>
      </w:r>
      <w:r>
        <w:rPr>
          <w:color w:val="231F20"/>
          <w:spacing w:val="-8"/>
        </w:rPr>
        <w:t> </w:t>
      </w:r>
      <w:r>
        <w:rPr>
          <w:color w:val="231F20"/>
        </w:rPr>
        <w:t>obra</w:t>
      </w:r>
      <w:r>
        <w:rPr>
          <w:color w:val="231F20"/>
          <w:spacing w:val="-8"/>
        </w:rPr>
        <w:t> </w:t>
      </w:r>
      <w:r>
        <w:rPr>
          <w:color w:val="231F20"/>
        </w:rPr>
        <w:t>calificada</w:t>
      </w:r>
      <w:r>
        <w:rPr>
          <w:color w:val="231F20"/>
          <w:spacing w:val="-8"/>
        </w:rPr>
        <w:t> </w:t>
      </w:r>
      <w:r>
        <w:rPr>
          <w:color w:val="231F20"/>
        </w:rPr>
        <w:t>que</w:t>
      </w:r>
      <w:r>
        <w:rPr>
          <w:color w:val="231F20"/>
          <w:spacing w:val="-8"/>
        </w:rPr>
        <w:t> </w:t>
      </w:r>
      <w:r>
        <w:rPr>
          <w:color w:val="231F20"/>
        </w:rPr>
        <w:t>provee</w:t>
      </w:r>
      <w:r>
        <w:rPr>
          <w:color w:val="231F20"/>
          <w:spacing w:val="-8"/>
        </w:rPr>
        <w:t> </w:t>
      </w:r>
      <w:r>
        <w:rPr>
          <w:color w:val="231F20"/>
        </w:rPr>
        <w:t>la</w:t>
      </w:r>
      <w:r>
        <w:rPr>
          <w:color w:val="231F20"/>
          <w:spacing w:val="-8"/>
        </w:rPr>
        <w:t> </w:t>
      </w:r>
      <w:r>
        <w:rPr>
          <w:color w:val="231F20"/>
        </w:rPr>
        <w:t>región.</w:t>
      </w:r>
    </w:p>
    <w:p>
      <w:pPr>
        <w:pStyle w:val="BodyText"/>
        <w:spacing w:line="256" w:lineRule="auto" w:before="1"/>
        <w:ind w:left="713" w:right="101" w:firstLine="396"/>
        <w:jc w:val="both"/>
      </w:pPr>
      <w:r>
        <w:rPr>
          <w:color w:val="231F20"/>
        </w:rPr>
        <w:t>De manera específica, las siguientes pueden considerarse como ventajas locales para la industria automotriz localizada en el estado: </w:t>
      </w:r>
      <w:r>
        <w:rPr>
          <w:rFonts w:ascii="Palatino Linotype" w:hAnsi="Palatino Linotype"/>
          <w:i/>
          <w:color w:val="231F20"/>
        </w:rPr>
        <w:t>a) </w:t>
      </w:r>
      <w:r>
        <w:rPr>
          <w:color w:val="231F20"/>
        </w:rPr>
        <w:t>existencia de importantes zo- nas y parques industriales, lo cual garantiza abundante mano de obra calificada, con experiencia en el trabajo industrial a nivel operativo; </w:t>
      </w:r>
      <w:r>
        <w:rPr>
          <w:rFonts w:ascii="Palatino Linotype" w:hAnsi="Palatino Linotype"/>
          <w:i/>
          <w:color w:val="231F20"/>
        </w:rPr>
        <w:t>b) </w:t>
      </w:r>
      <w:r>
        <w:rPr>
          <w:color w:val="231F20"/>
        </w:rPr>
        <w:t>presencia de un número im- portante</w:t>
      </w:r>
      <w:r>
        <w:rPr>
          <w:color w:val="231F20"/>
          <w:spacing w:val="-8"/>
        </w:rPr>
        <w:t> </w:t>
      </w:r>
      <w:r>
        <w:rPr>
          <w:color w:val="231F20"/>
        </w:rPr>
        <w:t>de</w:t>
      </w:r>
      <w:r>
        <w:rPr>
          <w:color w:val="231F20"/>
          <w:spacing w:val="-8"/>
        </w:rPr>
        <w:t> </w:t>
      </w:r>
      <w:r>
        <w:rPr>
          <w:color w:val="231F20"/>
        </w:rPr>
        <w:t>proveedores</w:t>
      </w:r>
      <w:r>
        <w:rPr>
          <w:color w:val="231F20"/>
          <w:spacing w:val="-8"/>
        </w:rPr>
        <w:t> </w:t>
      </w:r>
      <w:r>
        <w:rPr>
          <w:color w:val="231F20"/>
        </w:rPr>
        <w:t>de</w:t>
      </w:r>
      <w:r>
        <w:rPr>
          <w:color w:val="231F20"/>
          <w:spacing w:val="-8"/>
        </w:rPr>
        <w:t> </w:t>
      </w:r>
      <w:r>
        <w:rPr>
          <w:color w:val="231F20"/>
        </w:rPr>
        <w:t>primer</w:t>
      </w:r>
      <w:r>
        <w:rPr>
          <w:color w:val="231F20"/>
          <w:spacing w:val="-8"/>
        </w:rPr>
        <w:t> </w:t>
      </w:r>
      <w:r>
        <w:rPr>
          <w:color w:val="231F20"/>
        </w:rPr>
        <w:t>nivel</w:t>
      </w:r>
      <w:r>
        <w:rPr>
          <w:color w:val="231F20"/>
          <w:spacing w:val="-8"/>
        </w:rPr>
        <w:t> </w:t>
      </w:r>
      <w:r>
        <w:rPr>
          <w:color w:val="231F20"/>
        </w:rPr>
        <w:t>y</w:t>
      </w:r>
      <w:r>
        <w:rPr>
          <w:color w:val="231F20"/>
          <w:spacing w:val="-8"/>
        </w:rPr>
        <w:t> </w:t>
      </w:r>
      <w:r>
        <w:rPr>
          <w:color w:val="231F20"/>
        </w:rPr>
        <w:t>subproveedores;</w:t>
      </w:r>
      <w:r>
        <w:rPr>
          <w:color w:val="231F20"/>
          <w:spacing w:val="-8"/>
        </w:rPr>
        <w:t> </w:t>
      </w:r>
      <w:r>
        <w:rPr>
          <w:rFonts w:ascii="Palatino Linotype" w:hAnsi="Palatino Linotype"/>
          <w:i/>
          <w:color w:val="231F20"/>
        </w:rPr>
        <w:t>c)</w:t>
      </w:r>
      <w:r>
        <w:rPr>
          <w:rFonts w:ascii="Palatino Linotype" w:hAnsi="Palatino Linotype"/>
          <w:i/>
          <w:color w:val="231F20"/>
          <w:spacing w:val="-8"/>
        </w:rPr>
        <w:t> </w:t>
      </w:r>
      <w:r>
        <w:rPr>
          <w:color w:val="231F20"/>
        </w:rPr>
        <w:t>localización</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región más poblada del país, donde se concentra la mayor cantidad de población ocupada y con mejores niveles de ingreso, y una importante demanda potencial; </w:t>
      </w:r>
      <w:r>
        <w:rPr>
          <w:rFonts w:ascii="Palatino Linotype" w:hAnsi="Palatino Linotype"/>
          <w:i/>
          <w:color w:val="231F20"/>
        </w:rPr>
        <w:t>d) </w:t>
      </w:r>
      <w:r>
        <w:rPr>
          <w:color w:val="231F20"/>
        </w:rPr>
        <w:t>infraestruc- tura, dos aeropuertos, carreteras y vialidades con conexión a las principales zonas industriales y comerciales y a aquellas que se están fortaleciendo como polos de cre- cimiento (estados del norte y el corredor del TLCAN); </w:t>
      </w:r>
      <w:r>
        <w:rPr>
          <w:rFonts w:ascii="Palatino Linotype" w:hAnsi="Palatino Linotype"/>
          <w:i/>
          <w:color w:val="231F20"/>
        </w:rPr>
        <w:t>e) </w:t>
      </w:r>
      <w:r>
        <w:rPr>
          <w:color w:val="231F20"/>
        </w:rPr>
        <w:t>existencia de instituciones educativas, donde se ofertan carreras de ingeniería a nivel licenciatura y posgrado (Ingeniería Automotriz, Mecánica y Mecatrónica), así como de instituciones educa- tivas para la capacitación técnica; </w:t>
      </w:r>
      <w:r>
        <w:rPr>
          <w:rFonts w:ascii="Palatino Linotype" w:hAnsi="Palatino Linotype"/>
          <w:i/>
          <w:color w:val="231F20"/>
          <w:spacing w:val="8"/>
        </w:rPr>
        <w:t>f) </w:t>
      </w:r>
      <w:r>
        <w:rPr>
          <w:color w:val="231F20"/>
        </w:rPr>
        <w:t>importantes zonas comerciales, que facilitan la comercialización de</w:t>
      </w:r>
      <w:r>
        <w:rPr>
          <w:color w:val="231F20"/>
          <w:spacing w:val="-10"/>
        </w:rPr>
        <w:t> </w:t>
      </w:r>
      <w:r>
        <w:rPr>
          <w:color w:val="231F20"/>
        </w:rPr>
        <w:t>vehículos.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4"/>
        </w:rPr>
      </w:pPr>
      <w:r>
        <w:rPr/>
        <w:pict>
          <v:line style="position:absolute;mso-position-horizontal-relative:page;mso-position-vertical-relative:paragraph;z-index:11488;mso-wrap-distance-left:0;mso-wrap-distance-right:0" from="56.692902pt,10.746409pt" to="198.424902pt,10.746409pt" stroked="true" strokeweight=".5pt" strokecolor="#231f20">
            <w10:wrap type="topAndBottom"/>
          </v:line>
        </w:pict>
      </w:r>
    </w:p>
    <w:p>
      <w:pPr>
        <w:spacing w:line="288" w:lineRule="auto" w:before="43"/>
        <w:ind w:left="883" w:right="100" w:hanging="171"/>
        <w:jc w:val="both"/>
        <w:rPr>
          <w:sz w:val="16"/>
        </w:rPr>
      </w:pPr>
      <w:r>
        <w:rPr>
          <w:color w:val="231F20"/>
          <w:position w:val="5"/>
          <w:sz w:val="9"/>
        </w:rPr>
        <w:t>2</w:t>
      </w:r>
      <w:r>
        <w:rPr>
          <w:color w:val="231F20"/>
          <w:spacing w:val="7"/>
          <w:position w:val="5"/>
          <w:sz w:val="9"/>
        </w:rPr>
        <w:t> </w:t>
      </w:r>
      <w:r>
        <w:rPr>
          <w:color w:val="231F20"/>
          <w:sz w:val="16"/>
        </w:rPr>
        <w:t>En</w:t>
      </w:r>
      <w:r>
        <w:rPr>
          <w:color w:val="231F20"/>
          <w:spacing w:val="-10"/>
          <w:sz w:val="16"/>
        </w:rPr>
        <w:t> </w:t>
      </w:r>
      <w:r>
        <w:rPr>
          <w:color w:val="231F20"/>
          <w:sz w:val="16"/>
        </w:rPr>
        <w:t>Santa</w:t>
      </w:r>
      <w:r>
        <w:rPr>
          <w:color w:val="231F20"/>
          <w:spacing w:val="-10"/>
          <w:sz w:val="16"/>
        </w:rPr>
        <w:t> </w:t>
      </w:r>
      <w:r>
        <w:rPr>
          <w:color w:val="231F20"/>
          <w:sz w:val="16"/>
        </w:rPr>
        <w:t>Fe,</w:t>
      </w:r>
      <w:r>
        <w:rPr>
          <w:color w:val="231F20"/>
          <w:spacing w:val="-10"/>
          <w:sz w:val="16"/>
        </w:rPr>
        <w:t> </w:t>
      </w:r>
      <w:r>
        <w:rPr>
          <w:color w:val="231F20"/>
          <w:sz w:val="16"/>
        </w:rPr>
        <w:t>Ciudad</w:t>
      </w:r>
      <w:r>
        <w:rPr>
          <w:color w:val="231F20"/>
          <w:spacing w:val="-10"/>
          <w:sz w:val="16"/>
        </w:rPr>
        <w:t> </w:t>
      </w:r>
      <w:r>
        <w:rPr>
          <w:color w:val="231F20"/>
          <w:sz w:val="16"/>
        </w:rPr>
        <w:t>de</w:t>
      </w:r>
      <w:r>
        <w:rPr>
          <w:color w:val="231F20"/>
          <w:spacing w:val="-10"/>
          <w:sz w:val="16"/>
        </w:rPr>
        <w:t> </w:t>
      </w:r>
      <w:r>
        <w:rPr>
          <w:color w:val="231F20"/>
          <w:sz w:val="16"/>
        </w:rPr>
        <w:t>México,</w:t>
      </w:r>
      <w:r>
        <w:rPr>
          <w:color w:val="231F20"/>
          <w:spacing w:val="-10"/>
          <w:sz w:val="16"/>
        </w:rPr>
        <w:t> </w:t>
      </w:r>
      <w:r>
        <w:rPr>
          <w:color w:val="231F20"/>
          <w:sz w:val="16"/>
        </w:rPr>
        <w:t>Chrysler</w:t>
      </w:r>
      <w:r>
        <w:rPr>
          <w:color w:val="231F20"/>
          <w:spacing w:val="-10"/>
          <w:sz w:val="16"/>
        </w:rPr>
        <w:t> </w:t>
      </w:r>
      <w:r>
        <w:rPr>
          <w:color w:val="231F20"/>
          <w:sz w:val="16"/>
        </w:rPr>
        <w:t>cuenta</w:t>
      </w:r>
      <w:r>
        <w:rPr>
          <w:color w:val="231F20"/>
          <w:spacing w:val="-10"/>
          <w:sz w:val="16"/>
        </w:rPr>
        <w:t> </w:t>
      </w:r>
      <w:r>
        <w:rPr>
          <w:color w:val="231F20"/>
          <w:sz w:val="16"/>
        </w:rPr>
        <w:t>con</w:t>
      </w:r>
      <w:r>
        <w:rPr>
          <w:color w:val="231F20"/>
          <w:spacing w:val="-10"/>
          <w:sz w:val="16"/>
        </w:rPr>
        <w:t> </w:t>
      </w:r>
      <w:r>
        <w:rPr>
          <w:color w:val="231F20"/>
          <w:sz w:val="16"/>
        </w:rPr>
        <w:t>un</w:t>
      </w:r>
      <w:r>
        <w:rPr>
          <w:color w:val="231F20"/>
          <w:spacing w:val="-10"/>
          <w:sz w:val="16"/>
        </w:rPr>
        <w:t> </w:t>
      </w:r>
      <w:r>
        <w:rPr>
          <w:color w:val="231F20"/>
          <w:sz w:val="16"/>
        </w:rPr>
        <w:t>Centro</w:t>
      </w:r>
      <w:r>
        <w:rPr>
          <w:color w:val="231F20"/>
          <w:spacing w:val="-10"/>
          <w:sz w:val="16"/>
        </w:rPr>
        <w:t> </w:t>
      </w:r>
      <w:r>
        <w:rPr>
          <w:color w:val="231F20"/>
          <w:sz w:val="16"/>
        </w:rPr>
        <w:t>de</w:t>
      </w:r>
      <w:r>
        <w:rPr>
          <w:color w:val="231F20"/>
          <w:spacing w:val="-10"/>
          <w:sz w:val="16"/>
        </w:rPr>
        <w:t> </w:t>
      </w:r>
      <w:r>
        <w:rPr>
          <w:color w:val="231F20"/>
          <w:sz w:val="16"/>
        </w:rPr>
        <w:t>Investigación,</w:t>
      </w:r>
      <w:r>
        <w:rPr>
          <w:color w:val="231F20"/>
          <w:spacing w:val="-10"/>
          <w:sz w:val="16"/>
        </w:rPr>
        <w:t> </w:t>
      </w:r>
      <w:r>
        <w:rPr>
          <w:color w:val="231F20"/>
          <w:sz w:val="16"/>
        </w:rPr>
        <w:t>Desarrollo</w:t>
      </w:r>
      <w:r>
        <w:rPr>
          <w:color w:val="231F20"/>
          <w:spacing w:val="-10"/>
          <w:sz w:val="16"/>
        </w:rPr>
        <w:t> </w:t>
      </w:r>
      <w:r>
        <w:rPr>
          <w:color w:val="231F20"/>
          <w:sz w:val="16"/>
        </w:rPr>
        <w:t>y</w:t>
      </w:r>
      <w:r>
        <w:rPr>
          <w:color w:val="231F20"/>
          <w:spacing w:val="-10"/>
          <w:sz w:val="16"/>
        </w:rPr>
        <w:t> </w:t>
      </w:r>
      <w:r>
        <w:rPr>
          <w:color w:val="231F20"/>
          <w:sz w:val="16"/>
        </w:rPr>
        <w:t>Pruebas</w:t>
      </w:r>
      <w:r>
        <w:rPr>
          <w:color w:val="231F20"/>
          <w:spacing w:val="-10"/>
          <w:sz w:val="16"/>
        </w:rPr>
        <w:t> </w:t>
      </w:r>
      <w:r>
        <w:rPr>
          <w:color w:val="231F20"/>
          <w:sz w:val="16"/>
        </w:rPr>
        <w:t>de</w:t>
      </w:r>
      <w:r>
        <w:rPr>
          <w:color w:val="231F20"/>
          <w:spacing w:val="-10"/>
          <w:sz w:val="16"/>
        </w:rPr>
        <w:t> </w:t>
      </w:r>
      <w:r>
        <w:rPr>
          <w:color w:val="231F20"/>
          <w:sz w:val="16"/>
        </w:rPr>
        <w:t>Inge- niería Automotriz, inaugurado en 2005. En él se realizan pruebas de ingeniería de clase mundial y se estudian tanto</w:t>
      </w:r>
      <w:r>
        <w:rPr>
          <w:color w:val="231F20"/>
          <w:spacing w:val="-8"/>
          <w:sz w:val="16"/>
        </w:rPr>
        <w:t> </w:t>
      </w:r>
      <w:r>
        <w:rPr>
          <w:color w:val="231F20"/>
          <w:sz w:val="16"/>
        </w:rPr>
        <w:t>materias</w:t>
      </w:r>
      <w:r>
        <w:rPr>
          <w:color w:val="231F20"/>
          <w:spacing w:val="-8"/>
          <w:sz w:val="16"/>
        </w:rPr>
        <w:t> </w:t>
      </w:r>
      <w:r>
        <w:rPr>
          <w:color w:val="231F20"/>
          <w:sz w:val="16"/>
        </w:rPr>
        <w:t>primas</w:t>
      </w:r>
      <w:r>
        <w:rPr>
          <w:color w:val="231F20"/>
          <w:spacing w:val="-8"/>
          <w:sz w:val="16"/>
        </w:rPr>
        <w:t> </w:t>
      </w:r>
      <w:r>
        <w:rPr>
          <w:color w:val="231F20"/>
          <w:sz w:val="16"/>
        </w:rPr>
        <w:t>amigables</w:t>
      </w:r>
      <w:r>
        <w:rPr>
          <w:color w:val="231F20"/>
          <w:spacing w:val="-8"/>
          <w:sz w:val="16"/>
        </w:rPr>
        <w:t> </w:t>
      </w:r>
      <w:r>
        <w:rPr>
          <w:color w:val="231F20"/>
          <w:sz w:val="16"/>
        </w:rPr>
        <w:t>con</w:t>
      </w:r>
      <w:r>
        <w:rPr>
          <w:color w:val="231F20"/>
          <w:spacing w:val="-8"/>
          <w:sz w:val="16"/>
        </w:rPr>
        <w:t> </w:t>
      </w:r>
      <w:r>
        <w:rPr>
          <w:color w:val="231F20"/>
          <w:sz w:val="16"/>
        </w:rPr>
        <w:t>el</w:t>
      </w:r>
      <w:r>
        <w:rPr>
          <w:color w:val="231F20"/>
          <w:spacing w:val="-8"/>
          <w:sz w:val="16"/>
        </w:rPr>
        <w:t> </w:t>
      </w:r>
      <w:r>
        <w:rPr>
          <w:color w:val="231F20"/>
          <w:sz w:val="16"/>
        </w:rPr>
        <w:t>medio</w:t>
      </w:r>
      <w:r>
        <w:rPr>
          <w:color w:val="231F20"/>
          <w:spacing w:val="-8"/>
          <w:sz w:val="16"/>
        </w:rPr>
        <w:t> </w:t>
      </w:r>
      <w:r>
        <w:rPr>
          <w:color w:val="231F20"/>
          <w:sz w:val="16"/>
        </w:rPr>
        <w:t>ambiente,</w:t>
      </w:r>
      <w:r>
        <w:rPr>
          <w:color w:val="231F20"/>
          <w:spacing w:val="-8"/>
          <w:sz w:val="16"/>
        </w:rPr>
        <w:t> </w:t>
      </w:r>
      <w:r>
        <w:rPr>
          <w:color w:val="231F20"/>
          <w:sz w:val="16"/>
        </w:rPr>
        <w:t>como</w:t>
      </w:r>
      <w:r>
        <w:rPr>
          <w:color w:val="231F20"/>
          <w:spacing w:val="-8"/>
          <w:sz w:val="16"/>
        </w:rPr>
        <w:t> </w:t>
      </w:r>
      <w:r>
        <w:rPr>
          <w:color w:val="231F20"/>
          <w:sz w:val="16"/>
        </w:rPr>
        <w:t>tecnologías</w:t>
      </w:r>
      <w:r>
        <w:rPr>
          <w:color w:val="231F20"/>
          <w:spacing w:val="-8"/>
          <w:sz w:val="16"/>
        </w:rPr>
        <w:t> </w:t>
      </w:r>
      <w:r>
        <w:rPr>
          <w:color w:val="231F20"/>
          <w:sz w:val="16"/>
        </w:rPr>
        <w:t>de</w:t>
      </w:r>
      <w:r>
        <w:rPr>
          <w:color w:val="231F20"/>
          <w:spacing w:val="-8"/>
          <w:sz w:val="16"/>
        </w:rPr>
        <w:t> </w:t>
      </w:r>
      <w:r>
        <w:rPr>
          <w:color w:val="231F20"/>
          <w:sz w:val="16"/>
        </w:rPr>
        <w:t>combustibles</w:t>
      </w:r>
      <w:r>
        <w:rPr>
          <w:color w:val="231F20"/>
          <w:spacing w:val="-8"/>
          <w:sz w:val="16"/>
        </w:rPr>
        <w:t> </w:t>
      </w:r>
      <w:r>
        <w:rPr>
          <w:color w:val="231F20"/>
          <w:sz w:val="16"/>
        </w:rPr>
        <w:t>alternos,</w:t>
      </w:r>
      <w:r>
        <w:rPr>
          <w:color w:val="231F20"/>
          <w:spacing w:val="-8"/>
          <w:sz w:val="16"/>
        </w:rPr>
        <w:t> </w:t>
      </w:r>
      <w:r>
        <w:rPr>
          <w:color w:val="231F20"/>
          <w:sz w:val="16"/>
        </w:rPr>
        <w:t>reducción de</w:t>
      </w:r>
      <w:r>
        <w:rPr>
          <w:color w:val="231F20"/>
          <w:spacing w:val="-8"/>
          <w:sz w:val="16"/>
        </w:rPr>
        <w:t> </w:t>
      </w:r>
      <w:r>
        <w:rPr>
          <w:color w:val="231F20"/>
          <w:sz w:val="16"/>
        </w:rPr>
        <w:t>emisiones</w:t>
      </w:r>
      <w:r>
        <w:rPr>
          <w:color w:val="231F20"/>
          <w:spacing w:val="-8"/>
          <w:sz w:val="16"/>
        </w:rPr>
        <w:t> </w:t>
      </w:r>
      <w:r>
        <w:rPr>
          <w:color w:val="231F20"/>
          <w:sz w:val="16"/>
        </w:rPr>
        <w:t>y</w:t>
      </w:r>
      <w:r>
        <w:rPr>
          <w:color w:val="231F20"/>
          <w:spacing w:val="-8"/>
          <w:sz w:val="16"/>
        </w:rPr>
        <w:t> </w:t>
      </w:r>
      <w:r>
        <w:rPr>
          <w:color w:val="231F20"/>
          <w:sz w:val="16"/>
        </w:rPr>
        <w:t>consumo</w:t>
      </w:r>
      <w:r>
        <w:rPr>
          <w:color w:val="231F20"/>
          <w:spacing w:val="-8"/>
          <w:sz w:val="16"/>
        </w:rPr>
        <w:t> </w:t>
      </w:r>
      <w:r>
        <w:rPr>
          <w:color w:val="231F20"/>
          <w:sz w:val="16"/>
        </w:rPr>
        <w:t>de</w:t>
      </w:r>
      <w:r>
        <w:rPr>
          <w:color w:val="231F20"/>
          <w:spacing w:val="-8"/>
          <w:sz w:val="16"/>
        </w:rPr>
        <w:t> </w:t>
      </w:r>
      <w:r>
        <w:rPr>
          <w:color w:val="231F20"/>
          <w:sz w:val="16"/>
        </w:rPr>
        <w:t>combustibles</w:t>
      </w:r>
      <w:r>
        <w:rPr>
          <w:color w:val="231F20"/>
          <w:spacing w:val="-8"/>
          <w:sz w:val="16"/>
        </w:rPr>
        <w:t> </w:t>
      </w:r>
      <w:r>
        <w:rPr>
          <w:color w:val="231F20"/>
          <w:sz w:val="16"/>
        </w:rPr>
        <w:t>derivados</w:t>
      </w:r>
      <w:r>
        <w:rPr>
          <w:color w:val="231F20"/>
          <w:spacing w:val="-8"/>
          <w:sz w:val="16"/>
        </w:rPr>
        <w:t> </w:t>
      </w:r>
      <w:r>
        <w:rPr>
          <w:color w:val="231F20"/>
          <w:sz w:val="16"/>
        </w:rPr>
        <w:t>del</w:t>
      </w:r>
      <w:r>
        <w:rPr>
          <w:color w:val="231F20"/>
          <w:spacing w:val="-8"/>
          <w:sz w:val="16"/>
        </w:rPr>
        <w:t> </w:t>
      </w:r>
      <w:r>
        <w:rPr>
          <w:color w:val="231F20"/>
          <w:sz w:val="16"/>
        </w:rPr>
        <w:t>petróleo.</w:t>
      </w:r>
      <w:r>
        <w:rPr>
          <w:color w:val="231F20"/>
          <w:spacing w:val="-8"/>
          <w:sz w:val="16"/>
        </w:rPr>
        <w:t> </w:t>
      </w:r>
      <w:r>
        <w:rPr>
          <w:color w:val="231F20"/>
          <w:sz w:val="16"/>
        </w:rPr>
        <w:t>Comprende</w:t>
      </w:r>
      <w:r>
        <w:rPr>
          <w:color w:val="231F20"/>
          <w:spacing w:val="-8"/>
          <w:sz w:val="16"/>
        </w:rPr>
        <w:t> </w:t>
      </w:r>
      <w:r>
        <w:rPr>
          <w:color w:val="231F20"/>
          <w:sz w:val="16"/>
        </w:rPr>
        <w:t>pruebas</w:t>
      </w:r>
      <w:r>
        <w:rPr>
          <w:color w:val="231F20"/>
          <w:spacing w:val="-8"/>
          <w:sz w:val="16"/>
        </w:rPr>
        <w:t> </w:t>
      </w:r>
      <w:r>
        <w:rPr>
          <w:color w:val="231F20"/>
          <w:sz w:val="16"/>
        </w:rPr>
        <w:t>vehiculares,</w:t>
      </w:r>
      <w:r>
        <w:rPr>
          <w:color w:val="231F20"/>
          <w:spacing w:val="-8"/>
          <w:sz w:val="16"/>
        </w:rPr>
        <w:t> </w:t>
      </w:r>
      <w:r>
        <w:rPr>
          <w:color w:val="231F20"/>
          <w:sz w:val="16"/>
        </w:rPr>
        <w:t>laboratorios para medir emisiones contaminantes, laboratorios de ingeniería de materiales y metrología, y dinamómetros de</w:t>
      </w:r>
      <w:r>
        <w:rPr>
          <w:color w:val="231F20"/>
          <w:spacing w:val="-8"/>
          <w:sz w:val="16"/>
        </w:rPr>
        <w:t> </w:t>
      </w:r>
      <w:r>
        <w:rPr>
          <w:color w:val="231F20"/>
          <w:sz w:val="16"/>
        </w:rPr>
        <w:t>motores</w:t>
      </w:r>
      <w:r>
        <w:rPr>
          <w:color w:val="231F20"/>
          <w:spacing w:val="-8"/>
          <w:sz w:val="16"/>
        </w:rPr>
        <w:t> </w:t>
      </w:r>
      <w:r>
        <w:rPr>
          <w:color w:val="231F20"/>
          <w:sz w:val="16"/>
        </w:rPr>
        <w:t>y</w:t>
      </w:r>
      <w:r>
        <w:rPr>
          <w:color w:val="231F20"/>
          <w:spacing w:val="-8"/>
          <w:sz w:val="16"/>
        </w:rPr>
        <w:t> </w:t>
      </w:r>
      <w:r>
        <w:rPr>
          <w:color w:val="231F20"/>
          <w:sz w:val="16"/>
        </w:rPr>
        <w:t>transmisiones.</w:t>
      </w:r>
      <w:r>
        <w:rPr>
          <w:color w:val="231F20"/>
          <w:spacing w:val="-8"/>
          <w:sz w:val="16"/>
        </w:rPr>
        <w:t> </w:t>
      </w:r>
      <w:r>
        <w:rPr>
          <w:color w:val="231F20"/>
          <w:sz w:val="16"/>
        </w:rPr>
        <w:t>El</w:t>
      </w:r>
      <w:r>
        <w:rPr>
          <w:color w:val="231F20"/>
          <w:spacing w:val="-8"/>
          <w:sz w:val="16"/>
        </w:rPr>
        <w:t> </w:t>
      </w:r>
      <w:r>
        <w:rPr>
          <w:color w:val="231F20"/>
          <w:sz w:val="16"/>
        </w:rPr>
        <w:t>área</w:t>
      </w:r>
      <w:r>
        <w:rPr>
          <w:color w:val="231F20"/>
          <w:spacing w:val="-8"/>
          <w:sz w:val="16"/>
        </w:rPr>
        <w:t> </w:t>
      </w:r>
      <w:r>
        <w:rPr>
          <w:color w:val="231F20"/>
          <w:sz w:val="16"/>
        </w:rPr>
        <w:t>de</w:t>
      </w:r>
      <w:r>
        <w:rPr>
          <w:color w:val="231F20"/>
          <w:spacing w:val="-8"/>
          <w:sz w:val="16"/>
        </w:rPr>
        <w:t> </w:t>
      </w:r>
      <w:r>
        <w:rPr>
          <w:color w:val="231F20"/>
          <w:sz w:val="16"/>
        </w:rPr>
        <w:t>pruebas,</w:t>
      </w:r>
      <w:r>
        <w:rPr>
          <w:color w:val="231F20"/>
          <w:spacing w:val="-8"/>
          <w:sz w:val="16"/>
        </w:rPr>
        <w:t> </w:t>
      </w:r>
      <w:r>
        <w:rPr>
          <w:color w:val="231F20"/>
          <w:sz w:val="16"/>
        </w:rPr>
        <w:t>investigación</w:t>
      </w:r>
      <w:r>
        <w:rPr>
          <w:color w:val="231F20"/>
          <w:spacing w:val="-8"/>
          <w:sz w:val="16"/>
        </w:rPr>
        <w:t> </w:t>
      </w:r>
      <w:r>
        <w:rPr>
          <w:color w:val="231F20"/>
          <w:sz w:val="16"/>
        </w:rPr>
        <w:t>y</w:t>
      </w:r>
      <w:r>
        <w:rPr>
          <w:color w:val="231F20"/>
          <w:spacing w:val="-8"/>
          <w:sz w:val="16"/>
        </w:rPr>
        <w:t> </w:t>
      </w:r>
      <w:r>
        <w:rPr>
          <w:color w:val="231F20"/>
          <w:sz w:val="16"/>
        </w:rPr>
        <w:t>desarrollo</w:t>
      </w:r>
      <w:r>
        <w:rPr>
          <w:color w:val="231F20"/>
          <w:spacing w:val="-8"/>
          <w:sz w:val="16"/>
        </w:rPr>
        <w:t> </w:t>
      </w:r>
      <w:r>
        <w:rPr>
          <w:color w:val="231F20"/>
          <w:sz w:val="16"/>
        </w:rPr>
        <w:t>de</w:t>
      </w:r>
      <w:r>
        <w:rPr>
          <w:color w:val="231F20"/>
          <w:spacing w:val="-8"/>
          <w:sz w:val="16"/>
        </w:rPr>
        <w:t> </w:t>
      </w:r>
      <w:r>
        <w:rPr>
          <w:color w:val="231F20"/>
          <w:sz w:val="16"/>
        </w:rPr>
        <w:t>vehículos</w:t>
      </w:r>
      <w:r>
        <w:rPr>
          <w:color w:val="231F20"/>
          <w:spacing w:val="-8"/>
          <w:sz w:val="16"/>
        </w:rPr>
        <w:t> </w:t>
      </w:r>
      <w:r>
        <w:rPr>
          <w:color w:val="231F20"/>
          <w:sz w:val="16"/>
        </w:rPr>
        <w:t>ocupa</w:t>
      </w:r>
      <w:r>
        <w:rPr>
          <w:color w:val="231F20"/>
          <w:spacing w:val="-8"/>
          <w:sz w:val="16"/>
        </w:rPr>
        <w:t> </w:t>
      </w:r>
      <w:r>
        <w:rPr>
          <w:color w:val="231F20"/>
          <w:sz w:val="16"/>
        </w:rPr>
        <w:t>el</w:t>
      </w:r>
      <w:r>
        <w:rPr>
          <w:color w:val="231F20"/>
          <w:spacing w:val="-8"/>
          <w:sz w:val="16"/>
        </w:rPr>
        <w:t> </w:t>
      </w:r>
      <w:r>
        <w:rPr>
          <w:color w:val="231F20"/>
          <w:sz w:val="16"/>
        </w:rPr>
        <w:t>mayor</w:t>
      </w:r>
      <w:r>
        <w:rPr>
          <w:color w:val="231F20"/>
          <w:spacing w:val="-8"/>
          <w:sz w:val="16"/>
        </w:rPr>
        <w:t> </w:t>
      </w:r>
      <w:r>
        <w:rPr>
          <w:color w:val="231F20"/>
          <w:sz w:val="16"/>
        </w:rPr>
        <w:t>espacio en</w:t>
      </w:r>
      <w:r>
        <w:rPr>
          <w:color w:val="231F20"/>
          <w:spacing w:val="-4"/>
          <w:sz w:val="16"/>
        </w:rPr>
        <w:t> </w:t>
      </w:r>
      <w:r>
        <w:rPr>
          <w:color w:val="231F20"/>
          <w:sz w:val="16"/>
        </w:rPr>
        <w:t>estas</w:t>
      </w:r>
      <w:r>
        <w:rPr>
          <w:color w:val="231F20"/>
          <w:spacing w:val="-4"/>
          <w:sz w:val="16"/>
        </w:rPr>
        <w:t> </w:t>
      </w:r>
      <w:r>
        <w:rPr>
          <w:color w:val="231F20"/>
          <w:sz w:val="16"/>
        </w:rPr>
        <w:t>instalaciones</w:t>
      </w:r>
      <w:r>
        <w:rPr>
          <w:color w:val="231F20"/>
          <w:spacing w:val="-4"/>
          <w:sz w:val="16"/>
        </w:rPr>
        <w:t> </w:t>
      </w:r>
      <w:r>
        <w:rPr>
          <w:color w:val="231F20"/>
          <w:sz w:val="16"/>
        </w:rPr>
        <w:t>y</w:t>
      </w:r>
      <w:r>
        <w:rPr>
          <w:color w:val="231F20"/>
          <w:spacing w:val="-4"/>
          <w:sz w:val="16"/>
        </w:rPr>
        <w:t> </w:t>
      </w:r>
      <w:r>
        <w:rPr>
          <w:color w:val="231F20"/>
          <w:sz w:val="16"/>
        </w:rPr>
        <w:t>permite</w:t>
      </w:r>
      <w:r>
        <w:rPr>
          <w:color w:val="231F20"/>
          <w:spacing w:val="-4"/>
          <w:sz w:val="16"/>
        </w:rPr>
        <w:t> </w:t>
      </w:r>
      <w:r>
        <w:rPr>
          <w:color w:val="231F20"/>
          <w:sz w:val="16"/>
        </w:rPr>
        <w:t>trabajar</w:t>
      </w:r>
      <w:r>
        <w:rPr>
          <w:color w:val="231F20"/>
          <w:spacing w:val="-4"/>
          <w:sz w:val="16"/>
        </w:rPr>
        <w:t> </w:t>
      </w:r>
      <w:r>
        <w:rPr>
          <w:color w:val="231F20"/>
          <w:sz w:val="16"/>
        </w:rPr>
        <w:t>directamente</w:t>
      </w:r>
      <w:r>
        <w:rPr>
          <w:color w:val="231F20"/>
          <w:spacing w:val="-4"/>
          <w:sz w:val="16"/>
        </w:rPr>
        <w:t> </w:t>
      </w:r>
      <w:r>
        <w:rPr>
          <w:color w:val="231F20"/>
          <w:sz w:val="16"/>
        </w:rPr>
        <w:t>en</w:t>
      </w:r>
      <w:r>
        <w:rPr>
          <w:color w:val="231F20"/>
          <w:spacing w:val="-4"/>
          <w:sz w:val="16"/>
        </w:rPr>
        <w:t> </w:t>
      </w:r>
      <w:r>
        <w:rPr>
          <w:color w:val="231F20"/>
          <w:sz w:val="16"/>
        </w:rPr>
        <w:t>las</w:t>
      </w:r>
      <w:r>
        <w:rPr>
          <w:color w:val="231F20"/>
          <w:spacing w:val="-4"/>
          <w:sz w:val="16"/>
        </w:rPr>
        <w:t> </w:t>
      </w:r>
      <w:r>
        <w:rPr>
          <w:color w:val="231F20"/>
          <w:sz w:val="16"/>
        </w:rPr>
        <w:t>unidades</w:t>
      </w:r>
      <w:r>
        <w:rPr>
          <w:color w:val="231F20"/>
          <w:spacing w:val="-4"/>
          <w:sz w:val="16"/>
        </w:rPr>
        <w:t> </w:t>
      </w:r>
      <w:r>
        <w:rPr>
          <w:color w:val="231F20"/>
          <w:sz w:val="16"/>
        </w:rPr>
        <w:t>que</w:t>
      </w:r>
      <w:r>
        <w:rPr>
          <w:color w:val="231F20"/>
          <w:spacing w:val="-4"/>
          <w:sz w:val="16"/>
        </w:rPr>
        <w:t> </w:t>
      </w:r>
      <w:r>
        <w:rPr>
          <w:color w:val="231F20"/>
          <w:sz w:val="16"/>
        </w:rPr>
        <w:t>están</w:t>
      </w:r>
      <w:r>
        <w:rPr>
          <w:color w:val="231F20"/>
          <w:spacing w:val="-4"/>
          <w:sz w:val="16"/>
        </w:rPr>
        <w:t> </w:t>
      </w:r>
      <w:r>
        <w:rPr>
          <w:color w:val="231F20"/>
          <w:sz w:val="16"/>
        </w:rPr>
        <w:t>en</w:t>
      </w:r>
      <w:r>
        <w:rPr>
          <w:color w:val="231F20"/>
          <w:spacing w:val="-4"/>
          <w:sz w:val="16"/>
        </w:rPr>
        <w:t> </w:t>
      </w:r>
      <w:r>
        <w:rPr>
          <w:color w:val="231F20"/>
          <w:sz w:val="16"/>
        </w:rPr>
        <w:t>proceso</w:t>
      </w:r>
      <w:r>
        <w:rPr>
          <w:color w:val="231F20"/>
          <w:spacing w:val="-4"/>
          <w:sz w:val="16"/>
        </w:rPr>
        <w:t> </w:t>
      </w:r>
      <w:r>
        <w:rPr>
          <w:color w:val="231F20"/>
          <w:sz w:val="16"/>
        </w:rPr>
        <w:t>de</w:t>
      </w:r>
      <w:r>
        <w:rPr>
          <w:color w:val="231F20"/>
          <w:spacing w:val="-4"/>
          <w:sz w:val="16"/>
        </w:rPr>
        <w:t> </w:t>
      </w:r>
      <w:r>
        <w:rPr>
          <w:color w:val="231F20"/>
          <w:sz w:val="16"/>
        </w:rPr>
        <w:t>desarrollo,</w:t>
      </w:r>
      <w:r>
        <w:rPr>
          <w:color w:val="231F20"/>
          <w:spacing w:val="-4"/>
          <w:sz w:val="16"/>
        </w:rPr>
        <w:t> </w:t>
      </w:r>
      <w:r>
        <w:rPr>
          <w:color w:val="231F20"/>
          <w:sz w:val="16"/>
        </w:rPr>
        <w:t>revi- sión</w:t>
      </w:r>
      <w:r>
        <w:rPr>
          <w:color w:val="231F20"/>
          <w:spacing w:val="-5"/>
          <w:sz w:val="16"/>
        </w:rPr>
        <w:t> </w:t>
      </w:r>
      <w:r>
        <w:rPr>
          <w:color w:val="231F20"/>
          <w:sz w:val="16"/>
        </w:rPr>
        <w:t>y</w:t>
      </w:r>
      <w:r>
        <w:rPr>
          <w:color w:val="231F20"/>
          <w:spacing w:val="-5"/>
          <w:sz w:val="16"/>
        </w:rPr>
        <w:t> </w:t>
      </w:r>
      <w:r>
        <w:rPr>
          <w:color w:val="231F20"/>
          <w:sz w:val="16"/>
        </w:rPr>
        <w:t>prueba,</w:t>
      </w:r>
      <w:r>
        <w:rPr>
          <w:color w:val="231F20"/>
          <w:spacing w:val="-5"/>
          <w:sz w:val="16"/>
        </w:rPr>
        <w:t> </w:t>
      </w:r>
      <w:r>
        <w:rPr>
          <w:color w:val="231F20"/>
          <w:sz w:val="16"/>
        </w:rPr>
        <w:t>lo</w:t>
      </w:r>
      <w:r>
        <w:rPr>
          <w:color w:val="231F20"/>
          <w:spacing w:val="-5"/>
          <w:sz w:val="16"/>
        </w:rPr>
        <w:t> </w:t>
      </w:r>
      <w:r>
        <w:rPr>
          <w:color w:val="231F20"/>
          <w:sz w:val="16"/>
        </w:rPr>
        <w:t>que</w:t>
      </w:r>
      <w:r>
        <w:rPr>
          <w:color w:val="231F20"/>
          <w:spacing w:val="-5"/>
          <w:sz w:val="16"/>
        </w:rPr>
        <w:t> </w:t>
      </w:r>
      <w:r>
        <w:rPr>
          <w:color w:val="231F20"/>
          <w:sz w:val="16"/>
        </w:rPr>
        <w:t>incluye</w:t>
      </w:r>
      <w:r>
        <w:rPr>
          <w:color w:val="231F20"/>
          <w:spacing w:val="-5"/>
          <w:sz w:val="16"/>
        </w:rPr>
        <w:t> </w:t>
      </w:r>
      <w:r>
        <w:rPr>
          <w:color w:val="231F20"/>
          <w:sz w:val="16"/>
        </w:rPr>
        <w:t>cualquier</w:t>
      </w:r>
      <w:r>
        <w:rPr>
          <w:color w:val="231F20"/>
          <w:spacing w:val="-5"/>
          <w:sz w:val="16"/>
        </w:rPr>
        <w:t> </w:t>
      </w:r>
      <w:r>
        <w:rPr>
          <w:color w:val="231F20"/>
          <w:sz w:val="16"/>
        </w:rPr>
        <w:t>tipo</w:t>
      </w:r>
      <w:r>
        <w:rPr>
          <w:color w:val="231F20"/>
          <w:spacing w:val="-5"/>
          <w:sz w:val="16"/>
        </w:rPr>
        <w:t> </w:t>
      </w:r>
      <w:r>
        <w:rPr>
          <w:color w:val="231F20"/>
          <w:sz w:val="16"/>
        </w:rPr>
        <w:t>de</w:t>
      </w:r>
      <w:r>
        <w:rPr>
          <w:color w:val="231F20"/>
          <w:spacing w:val="-5"/>
          <w:sz w:val="16"/>
        </w:rPr>
        <w:t> </w:t>
      </w:r>
      <w:r>
        <w:rPr>
          <w:color w:val="231F20"/>
          <w:sz w:val="16"/>
        </w:rPr>
        <w:t>operación:</w:t>
      </w:r>
      <w:r>
        <w:rPr>
          <w:color w:val="231F20"/>
          <w:spacing w:val="-5"/>
          <w:sz w:val="16"/>
        </w:rPr>
        <w:t> </w:t>
      </w:r>
      <w:r>
        <w:rPr>
          <w:color w:val="231F20"/>
          <w:sz w:val="16"/>
        </w:rPr>
        <w:t>desde</w:t>
      </w:r>
      <w:r>
        <w:rPr>
          <w:color w:val="231F20"/>
          <w:spacing w:val="-5"/>
          <w:sz w:val="16"/>
        </w:rPr>
        <w:t> </w:t>
      </w:r>
      <w:r>
        <w:rPr>
          <w:color w:val="231F20"/>
          <w:sz w:val="16"/>
        </w:rPr>
        <w:t>el</w:t>
      </w:r>
      <w:r>
        <w:rPr>
          <w:color w:val="231F20"/>
          <w:spacing w:val="-5"/>
          <w:sz w:val="16"/>
        </w:rPr>
        <w:t> </w:t>
      </w:r>
      <w:r>
        <w:rPr>
          <w:color w:val="231F20"/>
          <w:sz w:val="16"/>
        </w:rPr>
        <w:t>simple</w:t>
      </w:r>
      <w:r>
        <w:rPr>
          <w:color w:val="231F20"/>
          <w:spacing w:val="-5"/>
          <w:sz w:val="16"/>
        </w:rPr>
        <w:t> </w:t>
      </w:r>
      <w:r>
        <w:rPr>
          <w:color w:val="231F20"/>
          <w:sz w:val="16"/>
        </w:rPr>
        <w:t>cambio</w:t>
      </w:r>
      <w:r>
        <w:rPr>
          <w:color w:val="231F20"/>
          <w:spacing w:val="-5"/>
          <w:sz w:val="16"/>
        </w:rPr>
        <w:t> </w:t>
      </w:r>
      <w:r>
        <w:rPr>
          <w:color w:val="231F20"/>
          <w:sz w:val="16"/>
        </w:rPr>
        <w:t>o</w:t>
      </w:r>
      <w:r>
        <w:rPr>
          <w:color w:val="231F20"/>
          <w:spacing w:val="-5"/>
          <w:sz w:val="16"/>
        </w:rPr>
        <w:t> </w:t>
      </w:r>
      <w:r>
        <w:rPr>
          <w:color w:val="231F20"/>
          <w:sz w:val="16"/>
        </w:rPr>
        <w:t>modificación</w:t>
      </w:r>
      <w:r>
        <w:rPr>
          <w:color w:val="231F20"/>
          <w:spacing w:val="-5"/>
          <w:sz w:val="16"/>
        </w:rPr>
        <w:t> </w:t>
      </w:r>
      <w:r>
        <w:rPr>
          <w:color w:val="231F20"/>
          <w:sz w:val="16"/>
        </w:rPr>
        <w:t>de</w:t>
      </w:r>
      <w:r>
        <w:rPr>
          <w:color w:val="231F20"/>
          <w:spacing w:val="-5"/>
          <w:sz w:val="16"/>
        </w:rPr>
        <w:t> </w:t>
      </w:r>
      <w:r>
        <w:rPr>
          <w:color w:val="231F20"/>
          <w:sz w:val="16"/>
        </w:rPr>
        <w:t>una</w:t>
      </w:r>
      <w:r>
        <w:rPr>
          <w:color w:val="231F20"/>
          <w:spacing w:val="-5"/>
          <w:sz w:val="16"/>
        </w:rPr>
        <w:t> </w:t>
      </w:r>
      <w:r>
        <w:rPr>
          <w:color w:val="231F20"/>
          <w:sz w:val="16"/>
        </w:rPr>
        <w:t>pieza, hasta</w:t>
      </w:r>
      <w:r>
        <w:rPr>
          <w:color w:val="231F20"/>
          <w:spacing w:val="-5"/>
          <w:sz w:val="16"/>
        </w:rPr>
        <w:t> </w:t>
      </w:r>
      <w:r>
        <w:rPr>
          <w:color w:val="231F20"/>
          <w:sz w:val="16"/>
        </w:rPr>
        <w:t>un</w:t>
      </w:r>
      <w:r>
        <w:rPr>
          <w:color w:val="231F20"/>
          <w:spacing w:val="-5"/>
          <w:sz w:val="16"/>
        </w:rPr>
        <w:t> </w:t>
      </w:r>
      <w:r>
        <w:rPr>
          <w:color w:val="231F20"/>
          <w:sz w:val="16"/>
        </w:rPr>
        <w:t>cambio</w:t>
      </w:r>
      <w:r>
        <w:rPr>
          <w:color w:val="231F20"/>
          <w:spacing w:val="-5"/>
          <w:sz w:val="16"/>
        </w:rPr>
        <w:t> </w:t>
      </w:r>
      <w:r>
        <w:rPr>
          <w:color w:val="231F20"/>
          <w:sz w:val="16"/>
        </w:rPr>
        <w:t>parcial</w:t>
      </w:r>
      <w:r>
        <w:rPr>
          <w:color w:val="231F20"/>
          <w:spacing w:val="-5"/>
          <w:sz w:val="16"/>
        </w:rPr>
        <w:t> </w:t>
      </w:r>
      <w:r>
        <w:rPr>
          <w:color w:val="231F20"/>
          <w:sz w:val="16"/>
        </w:rPr>
        <w:t>o</w:t>
      </w:r>
      <w:r>
        <w:rPr>
          <w:color w:val="231F20"/>
          <w:spacing w:val="-5"/>
          <w:sz w:val="16"/>
        </w:rPr>
        <w:t> </w:t>
      </w:r>
      <w:r>
        <w:rPr>
          <w:color w:val="231F20"/>
          <w:sz w:val="16"/>
        </w:rPr>
        <w:t>total</w:t>
      </w:r>
      <w:r>
        <w:rPr>
          <w:color w:val="231F20"/>
          <w:spacing w:val="-5"/>
          <w:sz w:val="16"/>
        </w:rPr>
        <w:t> </w:t>
      </w:r>
      <w:r>
        <w:rPr>
          <w:color w:val="231F20"/>
          <w:sz w:val="16"/>
        </w:rPr>
        <w:t>de</w:t>
      </w:r>
      <w:r>
        <w:rPr>
          <w:color w:val="231F20"/>
          <w:spacing w:val="-5"/>
          <w:sz w:val="16"/>
        </w:rPr>
        <w:t> </w:t>
      </w:r>
      <w:r>
        <w:rPr>
          <w:color w:val="231F20"/>
          <w:sz w:val="16"/>
        </w:rPr>
        <w:t>carrocería,</w:t>
      </w:r>
      <w:r>
        <w:rPr>
          <w:color w:val="231F20"/>
          <w:spacing w:val="-5"/>
          <w:sz w:val="16"/>
        </w:rPr>
        <w:t> </w:t>
      </w:r>
      <w:r>
        <w:rPr>
          <w:color w:val="231F20"/>
          <w:sz w:val="16"/>
        </w:rPr>
        <w:t>chasis,</w:t>
      </w:r>
      <w:r>
        <w:rPr>
          <w:color w:val="231F20"/>
          <w:spacing w:val="-5"/>
          <w:sz w:val="16"/>
        </w:rPr>
        <w:t> </w:t>
      </w:r>
      <w:r>
        <w:rPr>
          <w:color w:val="231F20"/>
          <w:spacing w:val="-3"/>
          <w:sz w:val="16"/>
        </w:rPr>
        <w:t>motor,</w:t>
      </w:r>
      <w:r>
        <w:rPr>
          <w:color w:val="231F20"/>
          <w:spacing w:val="-5"/>
          <w:sz w:val="16"/>
        </w:rPr>
        <w:t> </w:t>
      </w:r>
      <w:r>
        <w:rPr>
          <w:color w:val="231F20"/>
          <w:sz w:val="16"/>
        </w:rPr>
        <w:t>transmisión,</w:t>
      </w:r>
      <w:r>
        <w:rPr>
          <w:color w:val="231F20"/>
          <w:spacing w:val="-5"/>
          <w:sz w:val="16"/>
        </w:rPr>
        <w:t> </w:t>
      </w:r>
      <w:r>
        <w:rPr>
          <w:color w:val="231F20"/>
          <w:sz w:val="16"/>
        </w:rPr>
        <w:t>etcétera.</w:t>
      </w:r>
      <w:r>
        <w:rPr>
          <w:color w:val="231F20"/>
          <w:spacing w:val="-5"/>
          <w:sz w:val="16"/>
        </w:rPr>
        <w:t> </w:t>
      </w:r>
      <w:r>
        <w:rPr>
          <w:color w:val="231F20"/>
          <w:sz w:val="16"/>
        </w:rPr>
        <w:t>Para</w:t>
      </w:r>
      <w:r>
        <w:rPr>
          <w:color w:val="231F20"/>
          <w:spacing w:val="-5"/>
          <w:sz w:val="16"/>
        </w:rPr>
        <w:t> </w:t>
      </w:r>
      <w:r>
        <w:rPr>
          <w:color w:val="231F20"/>
          <w:sz w:val="16"/>
        </w:rPr>
        <w:t>ello</w:t>
      </w:r>
      <w:r>
        <w:rPr>
          <w:color w:val="231F20"/>
          <w:spacing w:val="-5"/>
          <w:sz w:val="16"/>
        </w:rPr>
        <w:t> </w:t>
      </w:r>
      <w:r>
        <w:rPr>
          <w:color w:val="231F20"/>
          <w:sz w:val="16"/>
        </w:rPr>
        <w:t>se</w:t>
      </w:r>
      <w:r>
        <w:rPr>
          <w:color w:val="231F20"/>
          <w:spacing w:val="-5"/>
          <w:sz w:val="16"/>
        </w:rPr>
        <w:t> </w:t>
      </w:r>
      <w:r>
        <w:rPr>
          <w:color w:val="231F20"/>
          <w:sz w:val="16"/>
        </w:rPr>
        <w:t>utilizan</w:t>
      </w:r>
      <w:r>
        <w:rPr>
          <w:color w:val="231F20"/>
          <w:spacing w:val="-5"/>
          <w:sz w:val="16"/>
        </w:rPr>
        <w:t> </w:t>
      </w:r>
      <w:r>
        <w:rPr>
          <w:color w:val="231F20"/>
          <w:sz w:val="16"/>
        </w:rPr>
        <w:t>modelos actuales, así como los conceptos de los vehículos que serán lanzados en el futuro para su venta. El Centro de Ingeniería</w:t>
      </w:r>
      <w:r>
        <w:rPr>
          <w:color w:val="231F20"/>
          <w:spacing w:val="-7"/>
          <w:sz w:val="16"/>
        </w:rPr>
        <w:t> </w:t>
      </w:r>
      <w:r>
        <w:rPr>
          <w:color w:val="231F20"/>
          <w:sz w:val="16"/>
        </w:rPr>
        <w:t>cuenta</w:t>
      </w:r>
      <w:r>
        <w:rPr>
          <w:color w:val="231F20"/>
          <w:spacing w:val="-7"/>
          <w:sz w:val="16"/>
        </w:rPr>
        <w:t> </w:t>
      </w:r>
      <w:r>
        <w:rPr>
          <w:color w:val="231F20"/>
          <w:sz w:val="16"/>
        </w:rPr>
        <w:t>también</w:t>
      </w:r>
      <w:r>
        <w:rPr>
          <w:color w:val="231F20"/>
          <w:spacing w:val="-7"/>
          <w:sz w:val="16"/>
        </w:rPr>
        <w:t> </w:t>
      </w:r>
      <w:r>
        <w:rPr>
          <w:color w:val="231F20"/>
          <w:sz w:val="16"/>
        </w:rPr>
        <w:t>con</w:t>
      </w:r>
      <w:r>
        <w:rPr>
          <w:color w:val="231F20"/>
          <w:spacing w:val="-7"/>
          <w:sz w:val="16"/>
        </w:rPr>
        <w:t> </w:t>
      </w:r>
      <w:r>
        <w:rPr>
          <w:color w:val="231F20"/>
          <w:sz w:val="16"/>
        </w:rPr>
        <w:t>un</w:t>
      </w:r>
      <w:r>
        <w:rPr>
          <w:color w:val="231F20"/>
          <w:spacing w:val="-7"/>
          <w:sz w:val="16"/>
        </w:rPr>
        <w:t> </w:t>
      </w:r>
      <w:r>
        <w:rPr>
          <w:color w:val="231F20"/>
          <w:sz w:val="16"/>
        </w:rPr>
        <w:t>Laboratorio</w:t>
      </w:r>
      <w:r>
        <w:rPr>
          <w:color w:val="231F20"/>
          <w:spacing w:val="-7"/>
          <w:sz w:val="16"/>
        </w:rPr>
        <w:t> </w:t>
      </w:r>
      <w:r>
        <w:rPr>
          <w:color w:val="231F20"/>
          <w:sz w:val="16"/>
        </w:rPr>
        <w:t>de</w:t>
      </w:r>
      <w:r>
        <w:rPr>
          <w:color w:val="231F20"/>
          <w:spacing w:val="-7"/>
          <w:sz w:val="16"/>
        </w:rPr>
        <w:t> </w:t>
      </w:r>
      <w:r>
        <w:rPr>
          <w:color w:val="231F20"/>
          <w:sz w:val="16"/>
        </w:rPr>
        <w:t>Emisiones</w:t>
      </w:r>
      <w:r>
        <w:rPr>
          <w:color w:val="231F20"/>
          <w:spacing w:val="-7"/>
          <w:sz w:val="16"/>
        </w:rPr>
        <w:t> </w:t>
      </w:r>
      <w:r>
        <w:rPr>
          <w:color w:val="231F20"/>
          <w:sz w:val="16"/>
        </w:rPr>
        <w:t>Contaminantes,</w:t>
      </w:r>
      <w:r>
        <w:rPr>
          <w:color w:val="231F20"/>
          <w:spacing w:val="-7"/>
          <w:sz w:val="16"/>
        </w:rPr>
        <w:t> </w:t>
      </w:r>
      <w:r>
        <w:rPr>
          <w:color w:val="231F20"/>
          <w:sz w:val="16"/>
        </w:rPr>
        <w:t>que</w:t>
      </w:r>
      <w:r>
        <w:rPr>
          <w:color w:val="231F20"/>
          <w:spacing w:val="-7"/>
          <w:sz w:val="16"/>
        </w:rPr>
        <w:t> </w:t>
      </w:r>
      <w:r>
        <w:rPr>
          <w:color w:val="231F20"/>
          <w:sz w:val="16"/>
        </w:rPr>
        <w:t>posee</w:t>
      </w:r>
      <w:r>
        <w:rPr>
          <w:color w:val="231F20"/>
          <w:spacing w:val="-7"/>
          <w:sz w:val="16"/>
        </w:rPr>
        <w:t> </w:t>
      </w:r>
      <w:r>
        <w:rPr>
          <w:color w:val="231F20"/>
          <w:sz w:val="16"/>
        </w:rPr>
        <w:t>el</w:t>
      </w:r>
      <w:r>
        <w:rPr>
          <w:color w:val="231F20"/>
          <w:spacing w:val="-7"/>
          <w:sz w:val="16"/>
        </w:rPr>
        <w:t> </w:t>
      </w:r>
      <w:r>
        <w:rPr>
          <w:color w:val="231F20"/>
          <w:sz w:val="16"/>
        </w:rPr>
        <w:t>equipo</w:t>
      </w:r>
      <w:r>
        <w:rPr>
          <w:color w:val="231F20"/>
          <w:spacing w:val="-7"/>
          <w:sz w:val="16"/>
        </w:rPr>
        <w:t> </w:t>
      </w:r>
      <w:r>
        <w:rPr>
          <w:color w:val="231F20"/>
          <w:sz w:val="16"/>
        </w:rPr>
        <w:t>más</w:t>
      </w:r>
      <w:r>
        <w:rPr>
          <w:color w:val="231F20"/>
          <w:spacing w:val="-7"/>
          <w:sz w:val="16"/>
        </w:rPr>
        <w:t> </w:t>
      </w:r>
      <w:r>
        <w:rPr>
          <w:color w:val="231F20"/>
          <w:sz w:val="16"/>
        </w:rPr>
        <w:t>moderno de</w:t>
      </w:r>
      <w:r>
        <w:rPr>
          <w:color w:val="231F20"/>
          <w:spacing w:val="-6"/>
          <w:sz w:val="16"/>
        </w:rPr>
        <w:t> </w:t>
      </w:r>
      <w:r>
        <w:rPr>
          <w:color w:val="231F20"/>
          <w:sz w:val="16"/>
        </w:rPr>
        <w:t>medición</w:t>
      </w:r>
      <w:r>
        <w:rPr>
          <w:color w:val="231F20"/>
          <w:spacing w:val="-6"/>
          <w:sz w:val="16"/>
        </w:rPr>
        <w:t> </w:t>
      </w:r>
      <w:r>
        <w:rPr>
          <w:color w:val="231F20"/>
          <w:sz w:val="16"/>
        </w:rPr>
        <w:t>de</w:t>
      </w:r>
      <w:r>
        <w:rPr>
          <w:color w:val="231F20"/>
          <w:spacing w:val="-6"/>
          <w:sz w:val="16"/>
        </w:rPr>
        <w:t> </w:t>
      </w:r>
      <w:r>
        <w:rPr>
          <w:color w:val="231F20"/>
          <w:sz w:val="16"/>
        </w:rPr>
        <w:t>gases</w:t>
      </w:r>
      <w:r>
        <w:rPr>
          <w:color w:val="231F20"/>
          <w:spacing w:val="-6"/>
          <w:sz w:val="16"/>
        </w:rPr>
        <w:t> </w:t>
      </w:r>
      <w:r>
        <w:rPr>
          <w:color w:val="231F20"/>
          <w:sz w:val="16"/>
        </w:rPr>
        <w:t>de</w:t>
      </w:r>
      <w:r>
        <w:rPr>
          <w:color w:val="231F20"/>
          <w:spacing w:val="-6"/>
          <w:sz w:val="16"/>
        </w:rPr>
        <w:t> </w:t>
      </w:r>
      <w:r>
        <w:rPr>
          <w:color w:val="231F20"/>
          <w:sz w:val="16"/>
        </w:rPr>
        <w:t>escape</w:t>
      </w:r>
      <w:r>
        <w:rPr>
          <w:color w:val="231F20"/>
          <w:spacing w:val="-6"/>
          <w:sz w:val="16"/>
        </w:rPr>
        <w:t> </w:t>
      </w:r>
      <w:r>
        <w:rPr>
          <w:color w:val="231F20"/>
          <w:sz w:val="16"/>
        </w:rPr>
        <w:t>y</w:t>
      </w:r>
      <w:r>
        <w:rPr>
          <w:color w:val="231F20"/>
          <w:spacing w:val="-6"/>
          <w:sz w:val="16"/>
        </w:rPr>
        <w:t> </w:t>
      </w:r>
      <w:r>
        <w:rPr>
          <w:color w:val="231F20"/>
          <w:sz w:val="16"/>
        </w:rPr>
        <w:t>evaporativos,</w:t>
      </w:r>
      <w:r>
        <w:rPr>
          <w:color w:val="231F20"/>
          <w:spacing w:val="-6"/>
          <w:sz w:val="16"/>
        </w:rPr>
        <w:t> </w:t>
      </w:r>
      <w:r>
        <w:rPr>
          <w:color w:val="231F20"/>
          <w:sz w:val="16"/>
        </w:rPr>
        <w:t>de</w:t>
      </w:r>
      <w:r>
        <w:rPr>
          <w:color w:val="231F20"/>
          <w:spacing w:val="-6"/>
          <w:sz w:val="16"/>
        </w:rPr>
        <w:t> </w:t>
      </w:r>
      <w:r>
        <w:rPr>
          <w:color w:val="231F20"/>
          <w:sz w:val="16"/>
        </w:rPr>
        <w:t>acuerdo</w:t>
      </w:r>
      <w:r>
        <w:rPr>
          <w:color w:val="231F20"/>
          <w:spacing w:val="-6"/>
          <w:sz w:val="16"/>
        </w:rPr>
        <w:t> </w:t>
      </w:r>
      <w:r>
        <w:rPr>
          <w:color w:val="231F20"/>
          <w:sz w:val="16"/>
        </w:rPr>
        <w:t>con</w:t>
      </w:r>
      <w:r>
        <w:rPr>
          <w:color w:val="231F20"/>
          <w:spacing w:val="-6"/>
          <w:sz w:val="16"/>
        </w:rPr>
        <w:t> </w:t>
      </w:r>
      <w:r>
        <w:rPr>
          <w:color w:val="231F20"/>
          <w:sz w:val="16"/>
        </w:rPr>
        <w:t>lo</w:t>
      </w:r>
      <w:r>
        <w:rPr>
          <w:color w:val="231F20"/>
          <w:spacing w:val="-6"/>
          <w:sz w:val="16"/>
        </w:rPr>
        <w:t> </w:t>
      </w:r>
      <w:r>
        <w:rPr>
          <w:color w:val="231F20"/>
          <w:sz w:val="16"/>
        </w:rPr>
        <w:t>establecido</w:t>
      </w:r>
      <w:r>
        <w:rPr>
          <w:color w:val="231F20"/>
          <w:spacing w:val="-6"/>
          <w:sz w:val="16"/>
        </w:rPr>
        <w:t> </w:t>
      </w:r>
      <w:r>
        <w:rPr>
          <w:color w:val="231F20"/>
          <w:sz w:val="16"/>
        </w:rPr>
        <w:t>por</w:t>
      </w:r>
      <w:r>
        <w:rPr>
          <w:color w:val="231F20"/>
          <w:spacing w:val="-6"/>
          <w:sz w:val="16"/>
        </w:rPr>
        <w:t> </w:t>
      </w:r>
      <w:r>
        <w:rPr>
          <w:color w:val="231F20"/>
          <w:sz w:val="16"/>
        </w:rPr>
        <w:t>la</w:t>
      </w:r>
      <w:r>
        <w:rPr>
          <w:color w:val="231F20"/>
          <w:spacing w:val="-6"/>
          <w:sz w:val="16"/>
        </w:rPr>
        <w:t> </w:t>
      </w:r>
      <w:r>
        <w:rPr>
          <w:color w:val="231F20"/>
          <w:sz w:val="16"/>
        </w:rPr>
        <w:t>Norma</w:t>
      </w:r>
      <w:r>
        <w:rPr>
          <w:color w:val="231F20"/>
          <w:spacing w:val="-6"/>
          <w:sz w:val="16"/>
        </w:rPr>
        <w:t> </w:t>
      </w:r>
      <w:r>
        <w:rPr>
          <w:color w:val="231F20"/>
          <w:sz w:val="16"/>
        </w:rPr>
        <w:t>NOM</w:t>
      </w:r>
      <w:r>
        <w:rPr>
          <w:color w:val="231F20"/>
          <w:spacing w:val="-6"/>
          <w:sz w:val="16"/>
        </w:rPr>
        <w:t> </w:t>
      </w:r>
      <w:r>
        <w:rPr>
          <w:color w:val="231F20"/>
          <w:sz w:val="16"/>
        </w:rPr>
        <w:t>042,</w:t>
      </w:r>
      <w:r>
        <w:rPr>
          <w:color w:val="231F20"/>
          <w:spacing w:val="-6"/>
          <w:sz w:val="16"/>
        </w:rPr>
        <w:t> </w:t>
      </w:r>
      <w:r>
        <w:rPr>
          <w:color w:val="231F20"/>
          <w:sz w:val="16"/>
        </w:rPr>
        <w:t>ECOL. 199</w:t>
      </w:r>
      <w:r>
        <w:rPr>
          <w:color w:val="231F20"/>
          <w:spacing w:val="-21"/>
          <w:sz w:val="16"/>
        </w:rPr>
        <w:t> </w:t>
      </w:r>
      <w:r>
        <w:rPr>
          <w:color w:val="231F20"/>
          <w:sz w:val="16"/>
        </w:rPr>
        <w:t>(FCA,</w:t>
      </w:r>
      <w:r>
        <w:rPr>
          <w:color w:val="231F20"/>
          <w:spacing w:val="-21"/>
          <w:sz w:val="16"/>
        </w:rPr>
        <w:t> </w:t>
      </w:r>
      <w:r>
        <w:rPr>
          <w:color w:val="231F20"/>
          <w:sz w:val="16"/>
        </w:rPr>
        <w:t>2014b).</w:t>
      </w:r>
    </w:p>
    <w:p>
      <w:pPr>
        <w:spacing w:after="0" w:line="288" w:lineRule="auto"/>
        <w:jc w:val="both"/>
        <w:rPr>
          <w:sz w:val="16"/>
        </w:rPr>
        <w:sectPr>
          <w:footerReference w:type="even" r:id="rId359"/>
          <w:footerReference w:type="default" r:id="rId360"/>
          <w:pgSz w:w="9640" w:h="13040"/>
          <w:pgMar w:footer="654" w:header="581" w:top="780" w:bottom="840" w:left="420" w:right="1200"/>
          <w:pgNumType w:start="142"/>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7"/>
        </w:rPr>
      </w:pPr>
    </w:p>
    <w:p>
      <w:pPr>
        <w:pStyle w:val="Heading1"/>
        <w:ind w:left="4815"/>
      </w:pPr>
      <w:r>
        <w:rPr/>
        <w:pict>
          <v:group style="position:absolute;margin-left:64.696899pt;margin-top:-62.737774pt;width:417.7pt;height:107.45pt;mso-position-horizontal-relative:page;mso-position-vertical-relative:paragraph;z-index:-608080" coordorigin="1294,-1255" coordsize="8354,2149">
            <v:line style="position:absolute" from="1304,884" to="9638,884" stroked="true" strokeweight="1pt" strokecolor="#58595b"/>
            <v:rect style="position:absolute;left:9194;top:-1255;width:444;height:2144" filled="true" fillcolor="#58595b" stroked="false">
              <v:fill type="solid"/>
            </v:rect>
            <w10:wrap type="none"/>
          </v:group>
        </w:pict>
      </w:r>
      <w:r>
        <w:rPr>
          <w:color w:val="231F20"/>
          <w:w w:val="115"/>
        </w:rPr>
        <w:t>Bibliografía</w:t>
      </w:r>
    </w:p>
    <w:p>
      <w:pPr>
        <w:pStyle w:val="BodyText"/>
        <w:rPr>
          <w:rFonts w:ascii="Palatino Linotype"/>
          <w:b/>
          <w:sz w:val="40"/>
        </w:rPr>
      </w:pPr>
    </w:p>
    <w:p>
      <w:pPr>
        <w:pStyle w:val="BodyText"/>
        <w:spacing w:before="1"/>
        <w:rPr>
          <w:rFonts w:ascii="Palatino Linotype"/>
          <w:b/>
          <w:sz w:val="45"/>
        </w:rPr>
      </w:pPr>
    </w:p>
    <w:p>
      <w:pPr>
        <w:spacing w:line="256" w:lineRule="auto" w:before="0"/>
        <w:ind w:left="123" w:right="1132" w:firstLine="396"/>
        <w:jc w:val="both"/>
        <w:rPr>
          <w:sz w:val="21"/>
        </w:rPr>
      </w:pPr>
      <w:r>
        <w:rPr>
          <w:color w:val="231F20"/>
          <w:sz w:val="21"/>
        </w:rPr>
        <w:t>ABC News (2006), </w:t>
      </w:r>
      <w:r>
        <w:rPr>
          <w:rFonts w:ascii="Palatino Linotype"/>
          <w:i/>
          <w:color w:val="231F20"/>
          <w:sz w:val="21"/>
        </w:rPr>
        <w:t>Final Ford Taurus Interview</w:t>
      </w:r>
      <w:r>
        <w:rPr>
          <w:color w:val="231F20"/>
          <w:sz w:val="21"/>
        </w:rPr>
        <w:t>, consultado en </w:t>
      </w:r>
      <w:hyperlink r:id="rId362">
        <w:r>
          <w:rPr>
            <w:color w:val="231F20"/>
            <w:sz w:val="21"/>
          </w:rPr>
          <w:t>http://abcnews.</w:t>
        </w:r>
      </w:hyperlink>
      <w:r>
        <w:rPr>
          <w:color w:val="231F20"/>
          <w:sz w:val="21"/>
        </w:rPr>
        <w:t> go.com/ (15 de junio de 2010).</w:t>
      </w:r>
    </w:p>
    <w:p>
      <w:pPr>
        <w:pStyle w:val="BodyText"/>
        <w:spacing w:before="1"/>
        <w:rPr>
          <w:sz w:val="24"/>
        </w:rPr>
      </w:pPr>
    </w:p>
    <w:p>
      <w:pPr>
        <w:spacing w:line="249" w:lineRule="auto" w:before="0"/>
        <w:ind w:left="123" w:right="1131" w:firstLine="396"/>
        <w:jc w:val="both"/>
        <w:rPr>
          <w:sz w:val="21"/>
        </w:rPr>
      </w:pPr>
      <w:r>
        <w:rPr>
          <w:color w:val="231F20"/>
          <w:sz w:val="21"/>
        </w:rPr>
        <w:t>Álvarez Medina, Lourdes (2011), “Cadena de valor y organización productiva</w:t>
      </w:r>
      <w:r>
        <w:rPr>
          <w:color w:val="231F20"/>
          <w:spacing w:val="-35"/>
          <w:sz w:val="21"/>
        </w:rPr>
        <w:t> </w:t>
      </w:r>
      <w:r>
        <w:rPr>
          <w:color w:val="231F20"/>
          <w:sz w:val="21"/>
        </w:rPr>
        <w:t>en la</w:t>
      </w:r>
      <w:r>
        <w:rPr>
          <w:color w:val="231F20"/>
          <w:spacing w:val="-10"/>
          <w:sz w:val="21"/>
        </w:rPr>
        <w:t> </w:t>
      </w:r>
      <w:r>
        <w:rPr>
          <w:color w:val="231F20"/>
          <w:sz w:val="21"/>
        </w:rPr>
        <w:t>industria</w:t>
      </w:r>
      <w:r>
        <w:rPr>
          <w:color w:val="231F20"/>
          <w:spacing w:val="-10"/>
          <w:sz w:val="21"/>
        </w:rPr>
        <w:t> </w:t>
      </w:r>
      <w:r>
        <w:rPr>
          <w:color w:val="231F20"/>
          <w:spacing w:val="-5"/>
          <w:sz w:val="21"/>
        </w:rPr>
        <w:t>automotriz”,</w:t>
      </w:r>
      <w:r>
        <w:rPr>
          <w:color w:val="231F20"/>
          <w:spacing w:val="-10"/>
          <w:sz w:val="21"/>
        </w:rPr>
        <w:t> </w:t>
      </w:r>
      <w:r>
        <w:rPr>
          <w:color w:val="231F20"/>
          <w:sz w:val="21"/>
        </w:rPr>
        <w:t>en</w:t>
      </w:r>
      <w:r>
        <w:rPr>
          <w:color w:val="231F20"/>
          <w:spacing w:val="-10"/>
          <w:sz w:val="21"/>
        </w:rPr>
        <w:t> </w:t>
      </w:r>
      <w:r>
        <w:rPr>
          <w:color w:val="231F20"/>
          <w:sz w:val="21"/>
        </w:rPr>
        <w:t>I.</w:t>
      </w:r>
      <w:r>
        <w:rPr>
          <w:color w:val="231F20"/>
          <w:spacing w:val="-10"/>
          <w:sz w:val="21"/>
        </w:rPr>
        <w:t> </w:t>
      </w:r>
      <w:r>
        <w:rPr>
          <w:color w:val="231F20"/>
          <w:sz w:val="21"/>
        </w:rPr>
        <w:t>Rueda</w:t>
      </w:r>
      <w:r>
        <w:rPr>
          <w:color w:val="231F20"/>
          <w:spacing w:val="-10"/>
          <w:sz w:val="21"/>
        </w:rPr>
        <w:t> </w:t>
      </w:r>
      <w:r>
        <w:rPr>
          <w:color w:val="231F20"/>
          <w:sz w:val="21"/>
        </w:rPr>
        <w:t>y</w:t>
      </w:r>
      <w:r>
        <w:rPr>
          <w:color w:val="231F20"/>
          <w:spacing w:val="-10"/>
          <w:sz w:val="21"/>
        </w:rPr>
        <w:t> </w:t>
      </w:r>
      <w:r>
        <w:rPr>
          <w:color w:val="231F20"/>
          <w:sz w:val="21"/>
        </w:rPr>
        <w:t>L.</w:t>
      </w:r>
      <w:r>
        <w:rPr>
          <w:color w:val="231F20"/>
          <w:spacing w:val="-10"/>
          <w:sz w:val="21"/>
        </w:rPr>
        <w:t> </w:t>
      </w:r>
      <w:r>
        <w:rPr>
          <w:color w:val="231F20"/>
          <w:sz w:val="21"/>
        </w:rPr>
        <w:t>Álvarez</w:t>
      </w:r>
      <w:r>
        <w:rPr>
          <w:color w:val="231F20"/>
          <w:spacing w:val="-10"/>
          <w:sz w:val="21"/>
        </w:rPr>
        <w:t> </w:t>
      </w:r>
      <w:r>
        <w:rPr>
          <w:color w:val="231F20"/>
          <w:sz w:val="21"/>
        </w:rPr>
        <w:t>(coords.),</w:t>
      </w:r>
      <w:r>
        <w:rPr>
          <w:color w:val="231F20"/>
          <w:spacing w:val="-10"/>
          <w:sz w:val="21"/>
        </w:rPr>
        <w:t> </w:t>
      </w:r>
      <w:r>
        <w:rPr>
          <w:rFonts w:ascii="Palatino Linotype" w:hAnsi="Palatino Linotype"/>
          <w:i/>
          <w:color w:val="231F20"/>
          <w:sz w:val="21"/>
        </w:rPr>
        <w:t>La</w:t>
      </w:r>
      <w:r>
        <w:rPr>
          <w:rFonts w:ascii="Palatino Linotype" w:hAnsi="Palatino Linotype"/>
          <w:i/>
          <w:color w:val="231F20"/>
          <w:spacing w:val="-9"/>
          <w:sz w:val="21"/>
        </w:rPr>
        <w:t> </w:t>
      </w:r>
      <w:r>
        <w:rPr>
          <w:rFonts w:ascii="Palatino Linotype" w:hAnsi="Palatino Linotype"/>
          <w:i/>
          <w:color w:val="231F20"/>
          <w:sz w:val="21"/>
        </w:rPr>
        <w:t>industria</w:t>
      </w:r>
      <w:r>
        <w:rPr>
          <w:rFonts w:ascii="Palatino Linotype" w:hAnsi="Palatino Linotype"/>
          <w:i/>
          <w:color w:val="231F20"/>
          <w:spacing w:val="-9"/>
          <w:sz w:val="21"/>
        </w:rPr>
        <w:t> </w:t>
      </w:r>
      <w:r>
        <w:rPr>
          <w:rFonts w:ascii="Palatino Linotype" w:hAnsi="Palatino Linotype"/>
          <w:i/>
          <w:color w:val="231F20"/>
          <w:sz w:val="21"/>
        </w:rPr>
        <w:t>automotriz</w:t>
      </w:r>
      <w:r>
        <w:rPr>
          <w:rFonts w:ascii="Palatino Linotype" w:hAnsi="Palatino Linotype"/>
          <w:i/>
          <w:color w:val="231F20"/>
          <w:spacing w:val="-9"/>
          <w:sz w:val="21"/>
        </w:rPr>
        <w:t> </w:t>
      </w:r>
      <w:r>
        <w:rPr>
          <w:rFonts w:ascii="Palatino Linotype" w:hAnsi="Palatino Linotype"/>
          <w:i/>
          <w:color w:val="231F20"/>
          <w:sz w:val="21"/>
        </w:rPr>
        <w:t>en </w:t>
      </w:r>
      <w:r>
        <w:rPr>
          <w:rFonts w:ascii="Palatino Linotype" w:hAnsi="Palatino Linotype"/>
          <w:i/>
          <w:color w:val="231F20"/>
          <w:sz w:val="21"/>
        </w:rPr>
        <w:t>época</w:t>
      </w:r>
      <w:r>
        <w:rPr>
          <w:rFonts w:ascii="Palatino Linotype" w:hAnsi="Palatino Linotype"/>
          <w:i/>
          <w:color w:val="231F20"/>
          <w:spacing w:val="-28"/>
          <w:sz w:val="21"/>
        </w:rPr>
        <w:t> </w:t>
      </w:r>
      <w:r>
        <w:rPr>
          <w:rFonts w:ascii="Palatino Linotype" w:hAnsi="Palatino Linotype"/>
          <w:i/>
          <w:color w:val="231F20"/>
          <w:sz w:val="21"/>
        </w:rPr>
        <w:t>de</w:t>
      </w:r>
      <w:r>
        <w:rPr>
          <w:rFonts w:ascii="Palatino Linotype" w:hAnsi="Palatino Linotype"/>
          <w:i/>
          <w:color w:val="231F20"/>
          <w:spacing w:val="-28"/>
          <w:sz w:val="21"/>
        </w:rPr>
        <w:t> </w:t>
      </w:r>
      <w:r>
        <w:rPr>
          <w:rFonts w:ascii="Palatino Linotype" w:hAnsi="Palatino Linotype"/>
          <w:i/>
          <w:color w:val="231F20"/>
          <w:sz w:val="21"/>
        </w:rPr>
        <w:t>crisis.</w:t>
      </w:r>
      <w:r>
        <w:rPr>
          <w:rFonts w:ascii="Palatino Linotype" w:hAnsi="Palatino Linotype"/>
          <w:i/>
          <w:color w:val="231F20"/>
          <w:spacing w:val="-28"/>
          <w:sz w:val="21"/>
        </w:rPr>
        <w:t> </w:t>
      </w:r>
      <w:r>
        <w:rPr>
          <w:rFonts w:ascii="Palatino Linotype" w:hAnsi="Palatino Linotype"/>
          <w:i/>
          <w:color w:val="231F20"/>
          <w:sz w:val="21"/>
        </w:rPr>
        <w:t>Efectos</w:t>
      </w:r>
      <w:r>
        <w:rPr>
          <w:rFonts w:ascii="Palatino Linotype" w:hAnsi="Palatino Linotype"/>
          <w:i/>
          <w:color w:val="231F20"/>
          <w:spacing w:val="-28"/>
          <w:sz w:val="21"/>
        </w:rPr>
        <w:t> </w:t>
      </w:r>
      <w:r>
        <w:rPr>
          <w:rFonts w:ascii="Palatino Linotype" w:hAnsi="Palatino Linotype"/>
          <w:i/>
          <w:color w:val="231F20"/>
          <w:sz w:val="21"/>
        </w:rPr>
        <w:t>económicos,</w:t>
      </w:r>
      <w:r>
        <w:rPr>
          <w:rFonts w:ascii="Palatino Linotype" w:hAnsi="Palatino Linotype"/>
          <w:i/>
          <w:color w:val="231F20"/>
          <w:spacing w:val="-28"/>
          <w:sz w:val="21"/>
        </w:rPr>
        <w:t> </w:t>
      </w:r>
      <w:r>
        <w:rPr>
          <w:rFonts w:ascii="Palatino Linotype" w:hAnsi="Palatino Linotype"/>
          <w:i/>
          <w:color w:val="231F20"/>
          <w:sz w:val="21"/>
        </w:rPr>
        <w:t>financieros</w:t>
      </w:r>
      <w:r>
        <w:rPr>
          <w:rFonts w:ascii="Palatino Linotype" w:hAnsi="Palatino Linotype"/>
          <w:i/>
          <w:color w:val="231F20"/>
          <w:spacing w:val="-28"/>
          <w:sz w:val="21"/>
        </w:rPr>
        <w:t> </w:t>
      </w:r>
      <w:r>
        <w:rPr>
          <w:rFonts w:ascii="Palatino Linotype" w:hAnsi="Palatino Linotype"/>
          <w:i/>
          <w:color w:val="231F20"/>
          <w:sz w:val="21"/>
        </w:rPr>
        <w:t>y</w:t>
      </w:r>
      <w:r>
        <w:rPr>
          <w:rFonts w:ascii="Palatino Linotype" w:hAnsi="Palatino Linotype"/>
          <w:i/>
          <w:color w:val="231F20"/>
          <w:spacing w:val="-28"/>
          <w:sz w:val="21"/>
        </w:rPr>
        <w:t> </w:t>
      </w:r>
      <w:r>
        <w:rPr>
          <w:rFonts w:ascii="Palatino Linotype" w:hAnsi="Palatino Linotype"/>
          <w:i/>
          <w:color w:val="231F20"/>
          <w:sz w:val="21"/>
        </w:rPr>
        <w:t>sociales</w:t>
      </w:r>
      <w:r>
        <w:rPr>
          <w:color w:val="231F20"/>
          <w:sz w:val="21"/>
        </w:rPr>
        <w:t>,</w:t>
      </w:r>
      <w:r>
        <w:rPr>
          <w:color w:val="231F20"/>
          <w:spacing w:val="-29"/>
          <w:sz w:val="21"/>
        </w:rPr>
        <w:t> </w:t>
      </w:r>
      <w:r>
        <w:rPr>
          <w:color w:val="231F20"/>
          <w:sz w:val="21"/>
        </w:rPr>
        <w:t>México,</w:t>
      </w:r>
      <w:r>
        <w:rPr>
          <w:color w:val="231F20"/>
          <w:spacing w:val="-29"/>
          <w:sz w:val="21"/>
        </w:rPr>
        <w:t> </w:t>
      </w:r>
      <w:r>
        <w:rPr>
          <w:color w:val="231F20"/>
          <w:sz w:val="21"/>
        </w:rPr>
        <w:t>Universidad</w:t>
      </w:r>
      <w:r>
        <w:rPr>
          <w:color w:val="231F20"/>
          <w:spacing w:val="-29"/>
          <w:sz w:val="21"/>
        </w:rPr>
        <w:t> </w:t>
      </w:r>
      <w:r>
        <w:rPr>
          <w:color w:val="231F20"/>
          <w:sz w:val="21"/>
        </w:rPr>
        <w:t>Nacional </w:t>
      </w:r>
      <w:r>
        <w:rPr>
          <w:color w:val="231F20"/>
          <w:spacing w:val="-3"/>
          <w:sz w:val="21"/>
        </w:rPr>
        <w:t>Autónoma </w:t>
      </w:r>
      <w:r>
        <w:rPr>
          <w:color w:val="231F20"/>
          <w:sz w:val="21"/>
        </w:rPr>
        <w:t>de México, </w:t>
      </w:r>
      <w:r>
        <w:rPr>
          <w:color w:val="231F20"/>
          <w:spacing w:val="-4"/>
          <w:sz w:val="21"/>
        </w:rPr>
        <w:t>pp.</w:t>
      </w:r>
      <w:r>
        <w:rPr>
          <w:color w:val="231F20"/>
          <w:spacing w:val="-27"/>
          <w:sz w:val="21"/>
        </w:rPr>
        <w:t> </w:t>
      </w:r>
      <w:r>
        <w:rPr>
          <w:color w:val="231F20"/>
          <w:sz w:val="21"/>
        </w:rPr>
        <w:t>49-66.</w:t>
      </w:r>
    </w:p>
    <w:p>
      <w:pPr>
        <w:pStyle w:val="BodyText"/>
        <w:spacing w:before="7"/>
        <w:rPr>
          <w:sz w:val="19"/>
        </w:rPr>
      </w:pPr>
    </w:p>
    <w:p>
      <w:pPr>
        <w:pStyle w:val="BodyText"/>
        <w:tabs>
          <w:tab w:pos="1030" w:val="left" w:leader="none"/>
        </w:tabs>
        <w:spacing w:line="280" w:lineRule="exact" w:before="31"/>
        <w:ind w:left="123" w:right="1131" w:firstLine="396"/>
      </w:pPr>
      <w:r>
        <w:rPr>
          <w:color w:val="231F20"/>
          <w:w w:val="90"/>
          <w:u w:val="single" w:color="231F20"/>
        </w:rPr>
        <w:t> </w:t>
      </w:r>
      <w:r>
        <w:rPr>
          <w:color w:val="231F20"/>
          <w:u w:val="single" w:color="231F20"/>
        </w:rPr>
        <w:tab/>
      </w:r>
      <w:r>
        <w:rPr>
          <w:color w:val="231F20"/>
          <w:spacing w:val="-8"/>
        </w:rPr>
        <w:t> </w:t>
      </w:r>
      <w:r>
        <w:rPr>
          <w:color w:val="231F20"/>
        </w:rPr>
        <w:t>(2004),</w:t>
      </w:r>
      <w:r>
        <w:rPr>
          <w:color w:val="231F20"/>
          <w:spacing w:val="-13"/>
        </w:rPr>
        <w:t> </w:t>
      </w:r>
      <w:r>
        <w:rPr>
          <w:color w:val="231F20"/>
        </w:rPr>
        <w:t>“Innovación</w:t>
      </w:r>
      <w:r>
        <w:rPr>
          <w:color w:val="231F20"/>
          <w:spacing w:val="-13"/>
        </w:rPr>
        <w:t> </w:t>
      </w:r>
      <w:r>
        <w:rPr>
          <w:color w:val="231F20"/>
        </w:rPr>
        <w:t>tecnológica</w:t>
      </w:r>
      <w:r>
        <w:rPr>
          <w:color w:val="231F20"/>
          <w:spacing w:val="-13"/>
        </w:rPr>
        <w:t> </w:t>
      </w:r>
      <w:r>
        <w:rPr>
          <w:color w:val="231F20"/>
        </w:rPr>
        <w:t>y</w:t>
      </w:r>
      <w:r>
        <w:rPr>
          <w:color w:val="231F20"/>
          <w:spacing w:val="-13"/>
        </w:rPr>
        <w:t> </w:t>
      </w:r>
      <w:r>
        <w:rPr>
          <w:color w:val="231F20"/>
        </w:rPr>
        <w:t>contaminación</w:t>
      </w:r>
      <w:r>
        <w:rPr>
          <w:color w:val="231F20"/>
          <w:spacing w:val="-13"/>
        </w:rPr>
        <w:t> </w:t>
      </w:r>
      <w:r>
        <w:rPr>
          <w:color w:val="231F20"/>
          <w:spacing w:val="-5"/>
        </w:rPr>
        <w:t>ambiental”,</w:t>
      </w:r>
      <w:r>
        <w:rPr>
          <w:color w:val="231F20"/>
          <w:spacing w:val="-13"/>
        </w:rPr>
        <w:t> </w:t>
      </w:r>
      <w:r>
        <w:rPr>
          <w:rFonts w:ascii="Palatino Linotype" w:hAnsi="Palatino Linotype"/>
          <w:i/>
          <w:color w:val="231F20"/>
        </w:rPr>
        <w:t>Economía</w:t>
      </w:r>
      <w:r>
        <w:rPr>
          <w:rFonts w:ascii="Palatino Linotype" w:hAnsi="Palatino Linotype"/>
          <w:i/>
          <w:color w:val="231F20"/>
          <w:spacing w:val="-13"/>
        </w:rPr>
        <w:t> </w:t>
      </w:r>
      <w:r>
        <w:rPr>
          <w:rFonts w:ascii="Palatino Linotype" w:hAnsi="Palatino Linotype"/>
          <w:i/>
          <w:color w:val="231F20"/>
          <w:spacing w:val="-4"/>
        </w:rPr>
        <w:t>In-</w:t>
      </w:r>
      <w:r>
        <w:rPr>
          <w:rFonts w:ascii="Palatino Linotype" w:hAnsi="Palatino Linotype"/>
          <w:i/>
          <w:color w:val="231F20"/>
          <w:w w:val="100"/>
        </w:rPr>
        <w:t> </w:t>
      </w:r>
      <w:r>
        <w:rPr>
          <w:rFonts w:ascii="Palatino Linotype" w:hAnsi="Palatino Linotype"/>
          <w:i/>
          <w:color w:val="231F20"/>
        </w:rPr>
        <w:t>forma</w:t>
      </w:r>
      <w:r>
        <w:rPr>
          <w:color w:val="231F20"/>
        </w:rPr>
        <w:t>, núm. 330, octubre, </w:t>
      </w:r>
      <w:r>
        <w:rPr>
          <w:color w:val="231F20"/>
          <w:spacing w:val="-4"/>
        </w:rPr>
        <w:t>pp.</w:t>
      </w:r>
      <w:r>
        <w:rPr>
          <w:color w:val="231F20"/>
          <w:spacing w:val="-35"/>
        </w:rPr>
        <w:t> </w:t>
      </w:r>
      <w:r>
        <w:rPr>
          <w:color w:val="231F20"/>
        </w:rPr>
        <w:t>65-72.</w:t>
      </w:r>
    </w:p>
    <w:p>
      <w:pPr>
        <w:pStyle w:val="BodyText"/>
        <w:spacing w:before="6"/>
        <w:rPr>
          <w:sz w:val="19"/>
        </w:rPr>
      </w:pPr>
    </w:p>
    <w:p>
      <w:pPr>
        <w:pStyle w:val="BodyText"/>
        <w:spacing w:line="256" w:lineRule="auto" w:before="58"/>
        <w:ind w:left="124" w:right="1131"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14"/>
        </w:rPr>
        <w:t> </w:t>
      </w:r>
      <w:r>
        <w:rPr>
          <w:color w:val="231F20"/>
        </w:rPr>
        <w:t>(2002),</w:t>
      </w:r>
      <w:r>
        <w:rPr>
          <w:color w:val="231F20"/>
          <w:spacing w:val="-19"/>
        </w:rPr>
        <w:t> </w:t>
      </w:r>
      <w:r>
        <w:rPr>
          <w:color w:val="231F20"/>
        </w:rPr>
        <w:t>“Cambios</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industria</w:t>
      </w:r>
      <w:r>
        <w:rPr>
          <w:color w:val="231F20"/>
          <w:spacing w:val="-19"/>
        </w:rPr>
        <w:t> </w:t>
      </w:r>
      <w:r>
        <w:rPr>
          <w:color w:val="231F20"/>
        </w:rPr>
        <w:t>automotriz</w:t>
      </w:r>
      <w:r>
        <w:rPr>
          <w:color w:val="231F20"/>
          <w:spacing w:val="-19"/>
        </w:rPr>
        <w:t> </w:t>
      </w:r>
      <w:r>
        <w:rPr>
          <w:color w:val="231F20"/>
        </w:rPr>
        <w:t>frente</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globalización:</w:t>
      </w:r>
      <w:r>
        <w:rPr>
          <w:color w:val="231F20"/>
          <w:spacing w:val="-19"/>
        </w:rPr>
        <w:t> </w:t>
      </w:r>
      <w:r>
        <w:rPr>
          <w:color w:val="231F20"/>
        </w:rPr>
        <w:t>el</w:t>
      </w:r>
      <w:r>
        <w:rPr>
          <w:color w:val="231F20"/>
          <w:spacing w:val="-19"/>
        </w:rPr>
        <w:t> </w:t>
      </w:r>
      <w:r>
        <w:rPr>
          <w:color w:val="231F20"/>
        </w:rPr>
        <w:t>sec- tor autopartes en </w:t>
      </w:r>
      <w:r>
        <w:rPr>
          <w:color w:val="231F20"/>
          <w:spacing w:val="-7"/>
        </w:rPr>
        <w:t>México”, </w:t>
      </w:r>
      <w:r>
        <w:rPr>
          <w:rFonts w:ascii="Palatino Linotype" w:hAnsi="Palatino Linotype"/>
          <w:i/>
          <w:color w:val="231F20"/>
        </w:rPr>
        <w:t>Contaduría y </w:t>
      </w:r>
      <w:r>
        <w:rPr>
          <w:rFonts w:ascii="Palatino Linotype" w:hAnsi="Palatino Linotype"/>
          <w:i/>
          <w:color w:val="231F20"/>
          <w:spacing w:val="-3"/>
        </w:rPr>
        <w:t>Administración</w:t>
      </w:r>
      <w:r>
        <w:rPr>
          <w:color w:val="231F20"/>
          <w:spacing w:val="-3"/>
        </w:rPr>
        <w:t>, </w:t>
      </w:r>
      <w:r>
        <w:rPr>
          <w:color w:val="231F20"/>
        </w:rPr>
        <w:t>núm. 206, julio-septiembre, </w:t>
      </w:r>
      <w:r>
        <w:rPr>
          <w:color w:val="231F20"/>
          <w:spacing w:val="-4"/>
        </w:rPr>
        <w:t>pp.</w:t>
      </w:r>
      <w:r>
        <w:rPr>
          <w:color w:val="231F20"/>
          <w:spacing w:val="-15"/>
        </w:rPr>
        <w:t> </w:t>
      </w:r>
      <w:r>
        <w:rPr>
          <w:color w:val="231F20"/>
        </w:rPr>
        <w:t>29-49.</w:t>
      </w:r>
    </w:p>
    <w:p>
      <w:pPr>
        <w:pStyle w:val="BodyText"/>
        <w:spacing w:before="11"/>
      </w:pPr>
    </w:p>
    <w:p>
      <w:pPr>
        <w:spacing w:line="256" w:lineRule="auto" w:before="0"/>
        <w:ind w:left="124" w:right="1127" w:firstLine="396"/>
        <w:jc w:val="both"/>
        <w:rPr>
          <w:sz w:val="21"/>
        </w:rPr>
      </w:pPr>
      <w:r>
        <w:rPr>
          <w:color w:val="231F20"/>
          <w:sz w:val="21"/>
        </w:rPr>
        <w:t>AMDA</w:t>
      </w:r>
      <w:r>
        <w:rPr>
          <w:color w:val="231F20"/>
          <w:spacing w:val="-20"/>
          <w:sz w:val="21"/>
        </w:rPr>
        <w:t> </w:t>
      </w:r>
      <w:r>
        <w:rPr>
          <w:color w:val="231F20"/>
          <w:sz w:val="21"/>
        </w:rPr>
        <w:t>(2014),</w:t>
      </w:r>
      <w:r>
        <w:rPr>
          <w:color w:val="231F20"/>
          <w:spacing w:val="-20"/>
          <w:sz w:val="21"/>
        </w:rPr>
        <w:t> </w:t>
      </w:r>
      <w:r>
        <w:rPr>
          <w:color w:val="231F20"/>
          <w:sz w:val="21"/>
        </w:rPr>
        <w:t>“La</w:t>
      </w:r>
      <w:r>
        <w:rPr>
          <w:color w:val="231F20"/>
          <w:spacing w:val="-20"/>
          <w:sz w:val="21"/>
        </w:rPr>
        <w:t> </w:t>
      </w:r>
      <w:r>
        <w:rPr>
          <w:color w:val="231F20"/>
          <w:sz w:val="21"/>
        </w:rPr>
        <w:t>Industria</w:t>
      </w:r>
      <w:r>
        <w:rPr>
          <w:color w:val="231F20"/>
          <w:spacing w:val="-20"/>
          <w:sz w:val="21"/>
        </w:rPr>
        <w:t> </w:t>
      </w:r>
      <w:r>
        <w:rPr>
          <w:color w:val="231F20"/>
          <w:sz w:val="21"/>
        </w:rPr>
        <w:t>Automotriz</w:t>
      </w:r>
      <w:r>
        <w:rPr>
          <w:color w:val="231F20"/>
          <w:spacing w:val="-20"/>
          <w:sz w:val="21"/>
        </w:rPr>
        <w:t> </w:t>
      </w:r>
      <w:r>
        <w:rPr>
          <w:color w:val="231F20"/>
          <w:sz w:val="21"/>
        </w:rPr>
        <w:t>en</w:t>
      </w:r>
      <w:r>
        <w:rPr>
          <w:color w:val="231F20"/>
          <w:spacing w:val="-20"/>
          <w:sz w:val="21"/>
        </w:rPr>
        <w:t> </w:t>
      </w:r>
      <w:r>
        <w:rPr>
          <w:color w:val="231F20"/>
          <w:sz w:val="21"/>
        </w:rPr>
        <w:t>México:</w:t>
      </w:r>
      <w:r>
        <w:rPr>
          <w:color w:val="231F20"/>
          <w:spacing w:val="-20"/>
          <w:sz w:val="21"/>
        </w:rPr>
        <w:t> </w:t>
      </w:r>
      <w:r>
        <w:rPr>
          <w:color w:val="231F20"/>
          <w:sz w:val="21"/>
        </w:rPr>
        <w:t>a</w:t>
      </w:r>
      <w:r>
        <w:rPr>
          <w:color w:val="231F20"/>
          <w:spacing w:val="-20"/>
          <w:sz w:val="21"/>
        </w:rPr>
        <w:t> </w:t>
      </w:r>
      <w:r>
        <w:rPr>
          <w:color w:val="231F20"/>
          <w:sz w:val="21"/>
        </w:rPr>
        <w:t>20</w:t>
      </w:r>
      <w:r>
        <w:rPr>
          <w:color w:val="231F20"/>
          <w:spacing w:val="-20"/>
          <w:sz w:val="21"/>
        </w:rPr>
        <w:t> </w:t>
      </w:r>
      <w:r>
        <w:rPr>
          <w:color w:val="231F20"/>
          <w:sz w:val="21"/>
        </w:rPr>
        <w:t>años</w:t>
      </w:r>
      <w:r>
        <w:rPr>
          <w:color w:val="231F20"/>
          <w:spacing w:val="-20"/>
          <w:sz w:val="21"/>
        </w:rPr>
        <w:t> </w:t>
      </w:r>
      <w:r>
        <w:rPr>
          <w:color w:val="231F20"/>
          <w:sz w:val="21"/>
        </w:rPr>
        <w:t>del</w:t>
      </w:r>
      <w:r>
        <w:rPr>
          <w:color w:val="231F20"/>
          <w:spacing w:val="-20"/>
          <w:sz w:val="21"/>
        </w:rPr>
        <w:t> </w:t>
      </w:r>
      <w:r>
        <w:rPr>
          <w:color w:val="231F20"/>
          <w:spacing w:val="-6"/>
          <w:sz w:val="21"/>
        </w:rPr>
        <w:t>TLCAN”,</w:t>
      </w:r>
      <w:r>
        <w:rPr>
          <w:color w:val="231F20"/>
          <w:spacing w:val="-20"/>
          <w:sz w:val="21"/>
        </w:rPr>
        <w:t> </w:t>
      </w:r>
      <w:r>
        <w:rPr>
          <w:rFonts w:ascii="Palatino Linotype" w:hAnsi="Palatino Linotype"/>
          <w:i/>
          <w:color w:val="231F20"/>
          <w:sz w:val="21"/>
        </w:rPr>
        <w:t>Estu- </w:t>
      </w:r>
      <w:r>
        <w:rPr>
          <w:rFonts w:ascii="Palatino Linotype" w:hAnsi="Palatino Linotype"/>
          <w:i/>
          <w:color w:val="231F20"/>
          <w:sz w:val="21"/>
        </w:rPr>
        <w:t>dios</w:t>
      </w:r>
      <w:r>
        <w:rPr>
          <w:rFonts w:ascii="Palatino Linotype" w:hAnsi="Palatino Linotype"/>
          <w:i/>
          <w:color w:val="231F20"/>
          <w:spacing w:val="-13"/>
          <w:sz w:val="21"/>
        </w:rPr>
        <w:t> </w:t>
      </w:r>
      <w:r>
        <w:rPr>
          <w:rFonts w:ascii="Palatino Linotype" w:hAnsi="Palatino Linotype"/>
          <w:i/>
          <w:color w:val="231F20"/>
          <w:sz w:val="21"/>
        </w:rPr>
        <w:t>Económicos</w:t>
      </w:r>
      <w:r>
        <w:rPr>
          <w:rFonts w:ascii="Palatino Linotype" w:hAnsi="Palatino Linotype"/>
          <w:i/>
          <w:color w:val="231F20"/>
          <w:spacing w:val="-13"/>
          <w:sz w:val="21"/>
        </w:rPr>
        <w:t> </w:t>
      </w:r>
      <w:r>
        <w:rPr>
          <w:rFonts w:ascii="Palatino Linotype" w:hAnsi="Palatino Linotype"/>
          <w:i/>
          <w:color w:val="231F20"/>
          <w:sz w:val="21"/>
        </w:rPr>
        <w:t>de</w:t>
      </w:r>
      <w:r>
        <w:rPr>
          <w:rFonts w:ascii="Palatino Linotype" w:hAnsi="Palatino Linotype"/>
          <w:i/>
          <w:color w:val="231F20"/>
          <w:spacing w:val="-13"/>
          <w:sz w:val="21"/>
        </w:rPr>
        <w:t> </w:t>
      </w:r>
      <w:r>
        <w:rPr>
          <w:rFonts w:ascii="Palatino Linotype" w:hAnsi="Palatino Linotype"/>
          <w:i/>
          <w:color w:val="231F20"/>
          <w:sz w:val="21"/>
        </w:rPr>
        <w:t>la</w:t>
      </w:r>
      <w:r>
        <w:rPr>
          <w:rFonts w:ascii="Palatino Linotype" w:hAnsi="Palatino Linotype"/>
          <w:i/>
          <w:color w:val="231F20"/>
          <w:spacing w:val="-13"/>
          <w:sz w:val="21"/>
        </w:rPr>
        <w:t> </w:t>
      </w:r>
      <w:r>
        <w:rPr>
          <w:rFonts w:ascii="Palatino Linotype" w:hAnsi="Palatino Linotype"/>
          <w:i/>
          <w:color w:val="231F20"/>
          <w:sz w:val="21"/>
        </w:rPr>
        <w:t>Asociación</w:t>
      </w:r>
      <w:r>
        <w:rPr>
          <w:rFonts w:ascii="Palatino Linotype" w:hAnsi="Palatino Linotype"/>
          <w:i/>
          <w:color w:val="231F20"/>
          <w:spacing w:val="-13"/>
          <w:sz w:val="21"/>
        </w:rPr>
        <w:t> </w:t>
      </w:r>
      <w:r>
        <w:rPr>
          <w:rFonts w:ascii="Palatino Linotype" w:hAnsi="Palatino Linotype"/>
          <w:i/>
          <w:color w:val="231F20"/>
          <w:sz w:val="21"/>
        </w:rPr>
        <w:t>Mexicana</w:t>
      </w:r>
      <w:r>
        <w:rPr>
          <w:rFonts w:ascii="Palatino Linotype" w:hAnsi="Palatino Linotype"/>
          <w:i/>
          <w:color w:val="231F20"/>
          <w:spacing w:val="-13"/>
          <w:sz w:val="21"/>
        </w:rPr>
        <w:t> </w:t>
      </w:r>
      <w:r>
        <w:rPr>
          <w:rFonts w:ascii="Palatino Linotype" w:hAnsi="Palatino Linotype"/>
          <w:i/>
          <w:color w:val="231F20"/>
          <w:sz w:val="21"/>
        </w:rPr>
        <w:t>de</w:t>
      </w:r>
      <w:r>
        <w:rPr>
          <w:rFonts w:ascii="Palatino Linotype" w:hAnsi="Palatino Linotype"/>
          <w:i/>
          <w:color w:val="231F20"/>
          <w:spacing w:val="-13"/>
          <w:sz w:val="21"/>
        </w:rPr>
        <w:t> </w:t>
      </w:r>
      <w:r>
        <w:rPr>
          <w:rFonts w:ascii="Palatino Linotype" w:hAnsi="Palatino Linotype"/>
          <w:i/>
          <w:color w:val="231F20"/>
          <w:sz w:val="21"/>
        </w:rPr>
        <w:t>Distribuidores</w:t>
      </w:r>
      <w:r>
        <w:rPr>
          <w:rFonts w:ascii="Palatino Linotype" w:hAnsi="Palatino Linotype"/>
          <w:i/>
          <w:color w:val="231F20"/>
          <w:spacing w:val="-13"/>
          <w:sz w:val="21"/>
        </w:rPr>
        <w:t> </w:t>
      </w:r>
      <w:r>
        <w:rPr>
          <w:rFonts w:ascii="Palatino Linotype" w:hAnsi="Palatino Linotype"/>
          <w:i/>
          <w:color w:val="231F20"/>
          <w:sz w:val="21"/>
        </w:rPr>
        <w:t>de</w:t>
      </w:r>
      <w:r>
        <w:rPr>
          <w:rFonts w:ascii="Palatino Linotype" w:hAnsi="Palatino Linotype"/>
          <w:i/>
          <w:color w:val="231F20"/>
          <w:spacing w:val="-13"/>
          <w:sz w:val="21"/>
        </w:rPr>
        <w:t> </w:t>
      </w:r>
      <w:r>
        <w:rPr>
          <w:rFonts w:ascii="Palatino Linotype" w:hAnsi="Palatino Linotype"/>
          <w:i/>
          <w:color w:val="231F20"/>
          <w:spacing w:val="-3"/>
          <w:sz w:val="21"/>
        </w:rPr>
        <w:t>Automotores</w:t>
      </w:r>
      <w:r>
        <w:rPr>
          <w:color w:val="231F20"/>
          <w:spacing w:val="-3"/>
          <w:sz w:val="21"/>
        </w:rPr>
        <w:t>,</w:t>
      </w:r>
      <w:r>
        <w:rPr>
          <w:color w:val="231F20"/>
          <w:spacing w:val="-13"/>
          <w:sz w:val="21"/>
        </w:rPr>
        <w:t> </w:t>
      </w:r>
      <w:r>
        <w:rPr>
          <w:color w:val="231F20"/>
          <w:sz w:val="21"/>
        </w:rPr>
        <w:t>Distrito Federal, consultado en </w:t>
      </w:r>
      <w:hyperlink r:id="rId363">
        <w:r>
          <w:rPr>
            <w:color w:val="231F20"/>
            <w:spacing w:val="3"/>
            <w:sz w:val="21"/>
          </w:rPr>
          <w:t>http://www.amda.mx/images/stories/Analisis/2014/amda_</w:t>
        </w:r>
      </w:hyperlink>
      <w:r>
        <w:rPr>
          <w:color w:val="231F20"/>
          <w:spacing w:val="3"/>
          <w:sz w:val="21"/>
        </w:rPr>
        <w:t> tlcan_140217.pdf </w:t>
      </w:r>
      <w:r>
        <w:rPr>
          <w:color w:val="231F20"/>
          <w:sz w:val="21"/>
        </w:rPr>
        <w:t>(4 de </w:t>
      </w:r>
      <w:r>
        <w:rPr>
          <w:color w:val="231F20"/>
          <w:spacing w:val="3"/>
          <w:sz w:val="21"/>
        </w:rPr>
        <w:t>julio </w:t>
      </w:r>
      <w:r>
        <w:rPr>
          <w:color w:val="231F20"/>
          <w:sz w:val="21"/>
        </w:rPr>
        <w:t>de</w:t>
      </w:r>
      <w:r>
        <w:rPr>
          <w:color w:val="231F20"/>
          <w:spacing w:val="-8"/>
          <w:sz w:val="21"/>
        </w:rPr>
        <w:t> </w:t>
      </w:r>
      <w:r>
        <w:rPr>
          <w:color w:val="231F20"/>
          <w:spacing w:val="4"/>
          <w:sz w:val="21"/>
        </w:rPr>
        <w:t>2014).</w:t>
      </w:r>
    </w:p>
    <w:p>
      <w:pPr>
        <w:pStyle w:val="BodyText"/>
        <w:spacing w:before="1"/>
        <w:rPr>
          <w:sz w:val="19"/>
        </w:rPr>
      </w:pPr>
    </w:p>
    <w:p>
      <w:pPr>
        <w:spacing w:line="264" w:lineRule="auto" w:before="58"/>
        <w:ind w:left="124" w:right="1131"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3"/>
          <w:sz w:val="21"/>
        </w:rPr>
        <w:t> </w:t>
      </w:r>
      <w:r>
        <w:rPr>
          <w:color w:val="231F20"/>
          <w:sz w:val="21"/>
        </w:rPr>
        <w:t>(2008),</w:t>
      </w:r>
      <w:r>
        <w:rPr>
          <w:color w:val="231F20"/>
          <w:spacing w:val="-10"/>
          <w:sz w:val="21"/>
        </w:rPr>
        <w:t> </w:t>
      </w:r>
      <w:r>
        <w:rPr>
          <w:color w:val="231F20"/>
          <w:sz w:val="21"/>
        </w:rPr>
        <w:t>“Perspectivas</w:t>
      </w:r>
      <w:r>
        <w:rPr>
          <w:color w:val="231F20"/>
          <w:spacing w:val="-10"/>
          <w:sz w:val="21"/>
        </w:rPr>
        <w:t> </w:t>
      </w:r>
      <w:r>
        <w:rPr>
          <w:color w:val="231F20"/>
          <w:sz w:val="21"/>
        </w:rPr>
        <w:t>en</w:t>
      </w:r>
      <w:r>
        <w:rPr>
          <w:color w:val="231F20"/>
          <w:spacing w:val="-10"/>
          <w:sz w:val="21"/>
        </w:rPr>
        <w:t> </w:t>
      </w:r>
      <w:r>
        <w:rPr>
          <w:color w:val="231F20"/>
          <w:sz w:val="21"/>
        </w:rPr>
        <w:t>la</w:t>
      </w:r>
      <w:r>
        <w:rPr>
          <w:color w:val="231F20"/>
          <w:spacing w:val="-10"/>
          <w:sz w:val="21"/>
        </w:rPr>
        <w:t> </w:t>
      </w:r>
      <w:r>
        <w:rPr>
          <w:color w:val="231F20"/>
          <w:sz w:val="21"/>
        </w:rPr>
        <w:t>comercialización</w:t>
      </w:r>
      <w:r>
        <w:rPr>
          <w:color w:val="231F20"/>
          <w:spacing w:val="-10"/>
          <w:sz w:val="21"/>
        </w:rPr>
        <w:t> </w:t>
      </w:r>
      <w:r>
        <w:rPr>
          <w:color w:val="231F20"/>
          <w:sz w:val="21"/>
        </w:rPr>
        <w:t>de</w:t>
      </w:r>
      <w:r>
        <w:rPr>
          <w:color w:val="231F20"/>
          <w:spacing w:val="-10"/>
          <w:sz w:val="21"/>
        </w:rPr>
        <w:t> </w:t>
      </w:r>
      <w:r>
        <w:rPr>
          <w:color w:val="231F20"/>
          <w:sz w:val="21"/>
        </w:rPr>
        <w:t>vehículos</w:t>
      </w:r>
      <w:r>
        <w:rPr>
          <w:color w:val="231F20"/>
          <w:spacing w:val="-10"/>
          <w:sz w:val="21"/>
        </w:rPr>
        <w:t> </w:t>
      </w:r>
      <w:r>
        <w:rPr>
          <w:color w:val="231F20"/>
          <w:sz w:val="21"/>
        </w:rPr>
        <w:t>ligeros</w:t>
      </w:r>
      <w:r>
        <w:rPr>
          <w:color w:val="231F20"/>
          <w:spacing w:val="-10"/>
          <w:sz w:val="21"/>
        </w:rPr>
        <w:t> </w:t>
      </w:r>
      <w:r>
        <w:rPr>
          <w:color w:val="231F20"/>
          <w:sz w:val="21"/>
        </w:rPr>
        <w:t>en</w:t>
      </w:r>
      <w:r>
        <w:rPr>
          <w:color w:val="231F20"/>
          <w:spacing w:val="-10"/>
          <w:sz w:val="21"/>
        </w:rPr>
        <w:t> </w:t>
      </w:r>
      <w:r>
        <w:rPr>
          <w:color w:val="231F20"/>
          <w:spacing w:val="-6"/>
          <w:sz w:val="21"/>
        </w:rPr>
        <w:t>2009”, </w:t>
      </w:r>
      <w:r>
        <w:rPr>
          <w:rFonts w:ascii="Palatino Linotype" w:hAnsi="Palatino Linotype"/>
          <w:i/>
          <w:color w:val="231F20"/>
          <w:sz w:val="21"/>
        </w:rPr>
        <w:t>Estudios</w:t>
      </w:r>
      <w:r>
        <w:rPr>
          <w:rFonts w:ascii="Palatino Linotype" w:hAnsi="Palatino Linotype"/>
          <w:i/>
          <w:color w:val="231F20"/>
          <w:spacing w:val="-26"/>
          <w:sz w:val="21"/>
        </w:rPr>
        <w:t> </w:t>
      </w:r>
      <w:r>
        <w:rPr>
          <w:rFonts w:ascii="Palatino Linotype" w:hAnsi="Palatino Linotype"/>
          <w:i/>
          <w:color w:val="231F20"/>
          <w:sz w:val="21"/>
        </w:rPr>
        <w:t>Económicos</w:t>
      </w:r>
      <w:r>
        <w:rPr>
          <w:rFonts w:ascii="Palatino Linotype" w:hAnsi="Palatino Linotype"/>
          <w:i/>
          <w:color w:val="231F20"/>
          <w:spacing w:val="-26"/>
          <w:sz w:val="21"/>
        </w:rPr>
        <w:t> </w:t>
      </w:r>
      <w:r>
        <w:rPr>
          <w:rFonts w:ascii="Palatino Linotype" w:hAnsi="Palatino Linotype"/>
          <w:i/>
          <w:color w:val="231F20"/>
          <w:sz w:val="21"/>
        </w:rPr>
        <w:t>de</w:t>
      </w:r>
      <w:r>
        <w:rPr>
          <w:rFonts w:ascii="Palatino Linotype" w:hAnsi="Palatino Linotype"/>
          <w:i/>
          <w:color w:val="231F20"/>
          <w:spacing w:val="-26"/>
          <w:sz w:val="21"/>
        </w:rPr>
        <w:t> </w:t>
      </w:r>
      <w:r>
        <w:rPr>
          <w:rFonts w:ascii="Palatino Linotype" w:hAnsi="Palatino Linotype"/>
          <w:i/>
          <w:color w:val="231F20"/>
          <w:sz w:val="21"/>
        </w:rPr>
        <w:t>la</w:t>
      </w:r>
      <w:r>
        <w:rPr>
          <w:rFonts w:ascii="Palatino Linotype" w:hAnsi="Palatino Linotype"/>
          <w:i/>
          <w:color w:val="231F20"/>
          <w:spacing w:val="-26"/>
          <w:sz w:val="21"/>
        </w:rPr>
        <w:t> </w:t>
      </w:r>
      <w:r>
        <w:rPr>
          <w:rFonts w:ascii="Palatino Linotype" w:hAnsi="Palatino Linotype"/>
          <w:i/>
          <w:color w:val="231F20"/>
          <w:sz w:val="21"/>
        </w:rPr>
        <w:t>Asociación</w:t>
      </w:r>
      <w:r>
        <w:rPr>
          <w:rFonts w:ascii="Palatino Linotype" w:hAnsi="Palatino Linotype"/>
          <w:i/>
          <w:color w:val="231F20"/>
          <w:spacing w:val="-26"/>
          <w:sz w:val="21"/>
        </w:rPr>
        <w:t> </w:t>
      </w:r>
      <w:r>
        <w:rPr>
          <w:rFonts w:ascii="Palatino Linotype" w:hAnsi="Palatino Linotype"/>
          <w:i/>
          <w:color w:val="231F20"/>
          <w:sz w:val="21"/>
        </w:rPr>
        <w:t>Mexicana</w:t>
      </w:r>
      <w:r>
        <w:rPr>
          <w:rFonts w:ascii="Palatino Linotype" w:hAnsi="Palatino Linotype"/>
          <w:i/>
          <w:color w:val="231F20"/>
          <w:spacing w:val="-26"/>
          <w:sz w:val="21"/>
        </w:rPr>
        <w:t> </w:t>
      </w:r>
      <w:r>
        <w:rPr>
          <w:rFonts w:ascii="Palatino Linotype" w:hAnsi="Palatino Linotype"/>
          <w:i/>
          <w:color w:val="231F20"/>
          <w:sz w:val="21"/>
        </w:rPr>
        <w:t>de</w:t>
      </w:r>
      <w:r>
        <w:rPr>
          <w:rFonts w:ascii="Palatino Linotype" w:hAnsi="Palatino Linotype"/>
          <w:i/>
          <w:color w:val="231F20"/>
          <w:spacing w:val="-26"/>
          <w:sz w:val="21"/>
        </w:rPr>
        <w:t> </w:t>
      </w:r>
      <w:r>
        <w:rPr>
          <w:rFonts w:ascii="Palatino Linotype" w:hAnsi="Palatino Linotype"/>
          <w:i/>
          <w:color w:val="231F20"/>
          <w:sz w:val="21"/>
        </w:rPr>
        <w:t>Distribuidores</w:t>
      </w:r>
      <w:r>
        <w:rPr>
          <w:rFonts w:ascii="Palatino Linotype" w:hAnsi="Palatino Linotype"/>
          <w:i/>
          <w:color w:val="231F20"/>
          <w:spacing w:val="-26"/>
          <w:sz w:val="21"/>
        </w:rPr>
        <w:t> </w:t>
      </w:r>
      <w:r>
        <w:rPr>
          <w:rFonts w:ascii="Palatino Linotype" w:hAnsi="Palatino Linotype"/>
          <w:i/>
          <w:color w:val="231F20"/>
          <w:sz w:val="21"/>
        </w:rPr>
        <w:t>de</w:t>
      </w:r>
      <w:r>
        <w:rPr>
          <w:rFonts w:ascii="Palatino Linotype" w:hAnsi="Palatino Linotype"/>
          <w:i/>
          <w:color w:val="231F20"/>
          <w:spacing w:val="-26"/>
          <w:sz w:val="21"/>
        </w:rPr>
        <w:t> </w:t>
      </w:r>
      <w:r>
        <w:rPr>
          <w:rFonts w:ascii="Palatino Linotype" w:hAnsi="Palatino Linotype"/>
          <w:i/>
          <w:color w:val="231F20"/>
          <w:spacing w:val="-3"/>
          <w:sz w:val="21"/>
        </w:rPr>
        <w:t>Automotores</w:t>
      </w:r>
      <w:r>
        <w:rPr>
          <w:color w:val="231F20"/>
          <w:spacing w:val="-3"/>
          <w:sz w:val="21"/>
        </w:rPr>
        <w:t>,</w:t>
      </w:r>
      <w:r>
        <w:rPr>
          <w:color w:val="231F20"/>
          <w:spacing w:val="-26"/>
          <w:sz w:val="21"/>
        </w:rPr>
        <w:t> </w:t>
      </w:r>
      <w:r>
        <w:rPr>
          <w:color w:val="231F20"/>
          <w:sz w:val="21"/>
        </w:rPr>
        <w:t>con- sultado en  </w:t>
      </w:r>
      <w:hyperlink r:id="rId364">
        <w:r>
          <w:rPr>
            <w:color w:val="231F20"/>
            <w:spacing w:val="-4"/>
            <w:sz w:val="21"/>
          </w:rPr>
          <w:t>http://test.amda.org.mx/index.php/Analisis-del-Sector-Automotor-Mexico/</w:t>
        </w:r>
      </w:hyperlink>
      <w:r>
        <w:rPr>
          <w:color w:val="231F20"/>
          <w:spacing w:val="-4"/>
          <w:sz w:val="21"/>
        </w:rPr>
        <w:t> </w:t>
      </w:r>
      <w:r>
        <w:rPr>
          <w:color w:val="231F20"/>
          <w:sz w:val="21"/>
        </w:rPr>
        <w:t>(12</w:t>
      </w:r>
      <w:r>
        <w:rPr>
          <w:color w:val="231F20"/>
          <w:spacing w:val="-17"/>
          <w:sz w:val="21"/>
        </w:rPr>
        <w:t> </w:t>
      </w:r>
      <w:r>
        <w:rPr>
          <w:color w:val="231F20"/>
          <w:sz w:val="21"/>
        </w:rPr>
        <w:t>de</w:t>
      </w:r>
      <w:r>
        <w:rPr>
          <w:color w:val="231F20"/>
          <w:spacing w:val="-17"/>
          <w:sz w:val="21"/>
        </w:rPr>
        <w:t> </w:t>
      </w:r>
      <w:r>
        <w:rPr>
          <w:color w:val="231F20"/>
          <w:spacing w:val="-4"/>
          <w:sz w:val="21"/>
        </w:rPr>
        <w:t>febrero</w:t>
      </w:r>
      <w:r>
        <w:rPr>
          <w:color w:val="231F20"/>
          <w:spacing w:val="-17"/>
          <w:sz w:val="21"/>
        </w:rPr>
        <w:t> </w:t>
      </w:r>
      <w:r>
        <w:rPr>
          <w:color w:val="231F20"/>
          <w:sz w:val="21"/>
        </w:rPr>
        <w:t>de</w:t>
      </w:r>
      <w:r>
        <w:rPr>
          <w:color w:val="231F20"/>
          <w:spacing w:val="-17"/>
          <w:sz w:val="21"/>
        </w:rPr>
        <w:t> </w:t>
      </w:r>
      <w:r>
        <w:rPr>
          <w:color w:val="231F20"/>
          <w:spacing w:val="-3"/>
          <w:sz w:val="21"/>
        </w:rPr>
        <w:t>2010).</w:t>
      </w:r>
    </w:p>
    <w:p>
      <w:pPr>
        <w:pStyle w:val="BodyText"/>
        <w:spacing w:before="4"/>
      </w:pPr>
    </w:p>
    <w:p>
      <w:pPr>
        <w:spacing w:line="247" w:lineRule="auto" w:before="0"/>
        <w:ind w:left="124" w:right="1129" w:firstLine="396"/>
        <w:jc w:val="both"/>
        <w:rPr>
          <w:sz w:val="21"/>
        </w:rPr>
      </w:pPr>
      <w:r>
        <w:rPr>
          <w:color w:val="231F20"/>
          <w:sz w:val="21"/>
        </w:rPr>
        <w:t>AMIA (2014), “Información Estadística”, </w:t>
      </w:r>
      <w:r>
        <w:rPr>
          <w:rFonts w:ascii="Palatino Linotype" w:hAnsi="Palatino Linotype"/>
          <w:i/>
          <w:color w:val="231F20"/>
          <w:sz w:val="21"/>
        </w:rPr>
        <w:t>Boletín de Prensa de la Asociación </w:t>
      </w:r>
      <w:r>
        <w:rPr>
          <w:rFonts w:ascii="Palatino Linotype" w:hAnsi="Palatino Linotype"/>
          <w:i/>
          <w:color w:val="231F20"/>
          <w:sz w:val="21"/>
        </w:rPr>
        <w:t>Mexicana de la Industria Automotriz, A.C.</w:t>
      </w:r>
      <w:r>
        <w:rPr>
          <w:color w:val="231F20"/>
          <w:sz w:val="21"/>
        </w:rPr>
        <w:t>, consultado en </w:t>
      </w:r>
      <w:hyperlink r:id="rId365">
        <w:r>
          <w:rPr>
            <w:color w:val="231F20"/>
            <w:sz w:val="21"/>
          </w:rPr>
          <w:t>http://www.amia.com.mx/</w:t>
        </w:r>
      </w:hyperlink>
      <w:r>
        <w:rPr>
          <w:color w:val="231F20"/>
          <w:sz w:val="21"/>
        </w:rPr>
        <w:t> descargarb.html (9 de julio de 2014).</w:t>
      </w:r>
    </w:p>
    <w:p>
      <w:pPr>
        <w:pStyle w:val="BodyText"/>
        <w:spacing w:before="10"/>
        <w:rPr>
          <w:sz w:val="19"/>
        </w:rPr>
      </w:pPr>
    </w:p>
    <w:p>
      <w:pPr>
        <w:spacing w:line="247" w:lineRule="auto" w:before="34"/>
        <w:ind w:left="123" w:right="1129" w:firstLine="396"/>
        <w:jc w:val="both"/>
        <w:rPr>
          <w:sz w:val="21"/>
        </w:rPr>
      </w:pPr>
      <w:r>
        <w:rPr>
          <w:color w:val="231F20"/>
          <w:w w:val="90"/>
          <w:sz w:val="21"/>
          <w:u w:val="single" w:color="231F20"/>
        </w:rPr>
        <w:t> </w:t>
      </w:r>
      <w:r>
        <w:rPr>
          <w:color w:val="231F20"/>
          <w:sz w:val="21"/>
          <w:u w:val="single" w:color="231F20"/>
        </w:rPr>
        <w:t>         </w:t>
      </w:r>
      <w:r>
        <w:rPr>
          <w:color w:val="231F20"/>
          <w:sz w:val="21"/>
        </w:rPr>
        <w:t>  (2009), “Información Estadística”, </w:t>
      </w:r>
      <w:r>
        <w:rPr>
          <w:rFonts w:ascii="Palatino Linotype" w:hAnsi="Palatino Linotype"/>
          <w:i/>
          <w:color w:val="231F20"/>
          <w:sz w:val="21"/>
        </w:rPr>
        <w:t>Boletín de Prensa de la Asociación </w:t>
      </w:r>
      <w:r>
        <w:rPr>
          <w:rFonts w:ascii="Palatino Linotype" w:hAnsi="Palatino Linotype"/>
          <w:i/>
          <w:color w:val="231F20"/>
          <w:sz w:val="21"/>
        </w:rPr>
        <w:t>Mexicana de la Industria Automotriz, A.C</w:t>
      </w:r>
      <w:r>
        <w:rPr>
          <w:color w:val="231F20"/>
          <w:sz w:val="21"/>
        </w:rPr>
        <w:t>., consultado en </w:t>
      </w:r>
      <w:hyperlink r:id="rId365">
        <w:r>
          <w:rPr>
            <w:color w:val="231F20"/>
            <w:sz w:val="21"/>
          </w:rPr>
          <w:t>http://www.amia.com.mx/</w:t>
        </w:r>
      </w:hyperlink>
      <w:r>
        <w:rPr>
          <w:color w:val="231F20"/>
          <w:sz w:val="21"/>
        </w:rPr>
        <w:t> descargarb.html (5 de enero de 2010).</w:t>
      </w:r>
    </w:p>
    <w:p>
      <w:pPr>
        <w:spacing w:after="0" w:line="247" w:lineRule="auto"/>
        <w:jc w:val="both"/>
        <w:rPr>
          <w:sz w:val="21"/>
        </w:rPr>
        <w:sectPr>
          <w:headerReference w:type="default" r:id="rId361"/>
          <w:pgSz w:w="9640" w:h="13040"/>
          <w:pgMar w:header="0" w:footer="654" w:top="0" w:bottom="840" w:left="1180" w:right="0"/>
        </w:sectPr>
      </w:pPr>
    </w:p>
    <w:p>
      <w:pPr>
        <w:pStyle w:val="BodyText"/>
        <w:rPr>
          <w:sz w:val="20"/>
        </w:rPr>
      </w:pPr>
    </w:p>
    <w:p>
      <w:pPr>
        <w:pStyle w:val="BodyText"/>
        <w:spacing w:before="6"/>
      </w:pPr>
    </w:p>
    <w:p>
      <w:pPr>
        <w:pStyle w:val="BodyText"/>
        <w:spacing w:line="244" w:lineRule="auto" w:before="58"/>
        <w:ind w:left="713" w:right="101" w:firstLine="396"/>
        <w:jc w:val="both"/>
      </w:pPr>
      <w:r>
        <w:rPr>
          <w:color w:val="231F20"/>
        </w:rPr>
        <w:t>AMIA</w:t>
      </w:r>
      <w:r>
        <w:rPr>
          <w:color w:val="231F20"/>
          <w:spacing w:val="-4"/>
        </w:rPr>
        <w:t> </w:t>
      </w:r>
      <w:r>
        <w:rPr>
          <w:color w:val="231F20"/>
        </w:rPr>
        <w:t>/</w:t>
      </w:r>
      <w:r>
        <w:rPr>
          <w:color w:val="231F20"/>
          <w:spacing w:val="-4"/>
        </w:rPr>
        <w:t> </w:t>
      </w:r>
      <w:r>
        <w:rPr>
          <w:color w:val="231F20"/>
        </w:rPr>
        <w:t>Secretaría</w:t>
      </w:r>
      <w:r>
        <w:rPr>
          <w:color w:val="231F20"/>
          <w:spacing w:val="-4"/>
        </w:rPr>
        <w:t> </w:t>
      </w:r>
      <w:r>
        <w:rPr>
          <w:color w:val="231F20"/>
        </w:rPr>
        <w:t>de</w:t>
      </w:r>
      <w:r>
        <w:rPr>
          <w:color w:val="231F20"/>
          <w:spacing w:val="-4"/>
        </w:rPr>
        <w:t> </w:t>
      </w:r>
      <w:r>
        <w:rPr>
          <w:color w:val="231F20"/>
        </w:rPr>
        <w:t>Economía</w:t>
      </w:r>
      <w:r>
        <w:rPr>
          <w:color w:val="231F20"/>
          <w:spacing w:val="-4"/>
        </w:rPr>
        <w:t> </w:t>
      </w:r>
      <w:r>
        <w:rPr>
          <w:color w:val="231F20"/>
        </w:rPr>
        <w:t>/</w:t>
      </w:r>
      <w:r>
        <w:rPr>
          <w:color w:val="231F20"/>
          <w:spacing w:val="-4"/>
        </w:rPr>
        <w:t> </w:t>
      </w:r>
      <w:r>
        <w:rPr>
          <w:color w:val="231F20"/>
        </w:rPr>
        <w:t>Tecnológico</w:t>
      </w:r>
      <w:r>
        <w:rPr>
          <w:color w:val="231F20"/>
          <w:spacing w:val="-4"/>
        </w:rPr>
        <w:t> </w:t>
      </w:r>
      <w:r>
        <w:rPr>
          <w:color w:val="231F20"/>
        </w:rPr>
        <w:t>de</w:t>
      </w:r>
      <w:r>
        <w:rPr>
          <w:color w:val="231F20"/>
          <w:spacing w:val="-4"/>
        </w:rPr>
        <w:t> </w:t>
      </w:r>
      <w:r>
        <w:rPr>
          <w:color w:val="231F20"/>
        </w:rPr>
        <w:t>Monterrey</w:t>
      </w:r>
      <w:r>
        <w:rPr>
          <w:color w:val="231F20"/>
          <w:spacing w:val="-4"/>
        </w:rPr>
        <w:t> </w:t>
      </w:r>
      <w:r>
        <w:rPr>
          <w:color w:val="231F20"/>
        </w:rPr>
        <w:t>/</w:t>
      </w:r>
      <w:r>
        <w:rPr>
          <w:color w:val="231F20"/>
          <w:spacing w:val="-4"/>
        </w:rPr>
        <w:t> </w:t>
      </w:r>
      <w:r>
        <w:rPr>
          <w:color w:val="231F20"/>
        </w:rPr>
        <w:t>Desarrollo</w:t>
      </w:r>
      <w:r>
        <w:rPr>
          <w:color w:val="231F20"/>
          <w:spacing w:val="-4"/>
        </w:rPr>
        <w:t> </w:t>
      </w:r>
      <w:r>
        <w:rPr>
          <w:color w:val="231F20"/>
        </w:rPr>
        <w:t>Econó- mico</w:t>
      </w:r>
      <w:r>
        <w:rPr>
          <w:color w:val="231F20"/>
          <w:spacing w:val="-17"/>
        </w:rPr>
        <w:t> </w:t>
      </w:r>
      <w:r>
        <w:rPr>
          <w:color w:val="231F20"/>
        </w:rPr>
        <w:t>/</w:t>
      </w:r>
      <w:r>
        <w:rPr>
          <w:color w:val="231F20"/>
          <w:spacing w:val="18"/>
        </w:rPr>
        <w:t> </w:t>
      </w:r>
      <w:r>
        <w:rPr>
          <w:color w:val="231F20"/>
        </w:rPr>
        <w:t>Asociación</w:t>
      </w:r>
      <w:r>
        <w:rPr>
          <w:color w:val="231F20"/>
          <w:spacing w:val="-17"/>
        </w:rPr>
        <w:t> </w:t>
      </w:r>
      <w:r>
        <w:rPr>
          <w:color w:val="231F20"/>
        </w:rPr>
        <w:t>Mexicana</w:t>
      </w:r>
      <w:r>
        <w:rPr>
          <w:color w:val="231F20"/>
          <w:spacing w:val="-17"/>
        </w:rPr>
        <w:t> </w:t>
      </w:r>
      <w:r>
        <w:rPr>
          <w:color w:val="231F20"/>
        </w:rPr>
        <w:t>de</w:t>
      </w:r>
      <w:r>
        <w:rPr>
          <w:color w:val="231F20"/>
          <w:spacing w:val="-17"/>
        </w:rPr>
        <w:t> </w:t>
      </w:r>
      <w:r>
        <w:rPr>
          <w:color w:val="231F20"/>
        </w:rPr>
        <w:t>Secretarios</w:t>
      </w:r>
      <w:r>
        <w:rPr>
          <w:color w:val="231F20"/>
          <w:spacing w:val="-17"/>
        </w:rPr>
        <w:t> </w:t>
      </w:r>
      <w:r>
        <w:rPr>
          <w:color w:val="231F20"/>
        </w:rPr>
        <w:t>de</w:t>
      </w:r>
      <w:r>
        <w:rPr>
          <w:color w:val="231F20"/>
          <w:spacing w:val="-17"/>
        </w:rPr>
        <w:t> </w:t>
      </w:r>
      <w:r>
        <w:rPr>
          <w:color w:val="231F20"/>
        </w:rPr>
        <w:t>Desarrollo</w:t>
      </w:r>
      <w:r>
        <w:rPr>
          <w:color w:val="231F20"/>
          <w:spacing w:val="-17"/>
        </w:rPr>
        <w:t> </w:t>
      </w:r>
      <w:r>
        <w:rPr>
          <w:color w:val="231F20"/>
        </w:rPr>
        <w:t>Económico</w:t>
      </w:r>
      <w:r>
        <w:rPr>
          <w:color w:val="231F20"/>
          <w:spacing w:val="-17"/>
        </w:rPr>
        <w:t> </w:t>
      </w:r>
      <w:r>
        <w:rPr>
          <w:color w:val="231F20"/>
        </w:rPr>
        <w:t>(2006),</w:t>
      </w:r>
      <w:r>
        <w:rPr>
          <w:color w:val="231F20"/>
          <w:spacing w:val="-17"/>
        </w:rPr>
        <w:t> </w:t>
      </w:r>
      <w:r>
        <w:rPr>
          <w:rFonts w:ascii="Palatino Linotype" w:hAnsi="Palatino Linotype"/>
          <w:i/>
          <w:color w:val="231F20"/>
        </w:rPr>
        <w:t>México</w:t>
      </w:r>
      <w:r>
        <w:rPr>
          <w:rFonts w:ascii="Palatino Linotype" w:hAnsi="Palatino Linotype"/>
          <w:i/>
          <w:color w:val="231F20"/>
          <w:spacing w:val="-17"/>
        </w:rPr>
        <w:t> </w:t>
      </w:r>
      <w:r>
        <w:rPr>
          <w:rFonts w:ascii="Palatino Linotype" w:hAnsi="Palatino Linotype"/>
          <w:i/>
          <w:color w:val="231F20"/>
        </w:rPr>
        <w:t>y </w:t>
      </w:r>
      <w:r>
        <w:rPr>
          <w:rFonts w:ascii="Palatino Linotype" w:hAnsi="Palatino Linotype"/>
          <w:i/>
          <w:color w:val="231F20"/>
        </w:rPr>
        <w:t>su</w:t>
      </w:r>
      <w:r>
        <w:rPr>
          <w:rFonts w:ascii="Palatino Linotype" w:hAnsi="Palatino Linotype"/>
          <w:i/>
          <w:color w:val="231F20"/>
          <w:spacing w:val="-24"/>
        </w:rPr>
        <w:t> </w:t>
      </w:r>
      <w:r>
        <w:rPr>
          <w:rFonts w:ascii="Palatino Linotype" w:hAnsi="Palatino Linotype"/>
          <w:i/>
          <w:color w:val="231F20"/>
        </w:rPr>
        <w:t>industria</w:t>
      </w:r>
      <w:r>
        <w:rPr>
          <w:rFonts w:ascii="Palatino Linotype" w:hAnsi="Palatino Linotype"/>
          <w:i/>
          <w:color w:val="231F20"/>
          <w:spacing w:val="-24"/>
        </w:rPr>
        <w:t> </w:t>
      </w:r>
      <w:r>
        <w:rPr>
          <w:rFonts w:ascii="Palatino Linotype" w:hAnsi="Palatino Linotype"/>
          <w:i/>
          <w:color w:val="231F20"/>
        </w:rPr>
        <w:t>automotriz</w:t>
      </w:r>
      <w:r>
        <w:rPr>
          <w:color w:val="231F20"/>
        </w:rPr>
        <w:t>,</w:t>
      </w:r>
      <w:r>
        <w:rPr>
          <w:color w:val="231F20"/>
          <w:spacing w:val="-24"/>
        </w:rPr>
        <w:t> </w:t>
      </w:r>
      <w:r>
        <w:rPr>
          <w:color w:val="231F20"/>
        </w:rPr>
        <w:t>s/e,</w:t>
      </w:r>
      <w:r>
        <w:rPr>
          <w:color w:val="231F20"/>
          <w:spacing w:val="-24"/>
        </w:rPr>
        <w:t> </w:t>
      </w:r>
      <w:r>
        <w:rPr>
          <w:color w:val="231F20"/>
        </w:rPr>
        <w:t>Distrito</w:t>
      </w:r>
      <w:r>
        <w:rPr>
          <w:color w:val="231F20"/>
          <w:spacing w:val="-24"/>
        </w:rPr>
        <w:t> </w:t>
      </w:r>
      <w:r>
        <w:rPr>
          <w:color w:val="231F20"/>
        </w:rPr>
        <w:t>Federal.</w:t>
      </w:r>
    </w:p>
    <w:p>
      <w:pPr>
        <w:pStyle w:val="BodyText"/>
        <w:spacing w:before="1"/>
      </w:pPr>
    </w:p>
    <w:p>
      <w:pPr>
        <w:spacing w:line="280" w:lineRule="exact" w:before="0"/>
        <w:ind w:left="713" w:right="101" w:firstLine="396"/>
        <w:jc w:val="right"/>
        <w:rPr>
          <w:sz w:val="21"/>
        </w:rPr>
      </w:pPr>
      <w:r>
        <w:rPr>
          <w:color w:val="231F20"/>
          <w:spacing w:val="-6"/>
          <w:sz w:val="21"/>
        </w:rPr>
        <w:t>Anderson,</w:t>
      </w:r>
      <w:r>
        <w:rPr>
          <w:color w:val="231F20"/>
          <w:spacing w:val="-25"/>
          <w:sz w:val="21"/>
        </w:rPr>
        <w:t> </w:t>
      </w:r>
      <w:r>
        <w:rPr>
          <w:color w:val="231F20"/>
          <w:spacing w:val="-5"/>
          <w:sz w:val="21"/>
        </w:rPr>
        <w:t>David</w:t>
      </w:r>
      <w:r>
        <w:rPr>
          <w:color w:val="231F20"/>
          <w:spacing w:val="-25"/>
          <w:sz w:val="21"/>
        </w:rPr>
        <w:t> </w:t>
      </w:r>
      <w:r>
        <w:rPr>
          <w:color w:val="231F20"/>
          <w:spacing w:val="-3"/>
          <w:sz w:val="21"/>
        </w:rPr>
        <w:t>M.</w:t>
      </w:r>
      <w:r>
        <w:rPr>
          <w:color w:val="231F20"/>
          <w:spacing w:val="-25"/>
          <w:sz w:val="21"/>
        </w:rPr>
        <w:t> </w:t>
      </w:r>
      <w:r>
        <w:rPr>
          <w:color w:val="231F20"/>
          <w:sz w:val="21"/>
        </w:rPr>
        <w:t>y</w:t>
      </w:r>
      <w:r>
        <w:rPr>
          <w:color w:val="231F20"/>
          <w:spacing w:val="-25"/>
          <w:sz w:val="21"/>
        </w:rPr>
        <w:t> </w:t>
      </w:r>
      <w:r>
        <w:rPr>
          <w:color w:val="231F20"/>
          <w:spacing w:val="-5"/>
          <w:sz w:val="21"/>
        </w:rPr>
        <w:t>B.</w:t>
      </w:r>
      <w:r>
        <w:rPr>
          <w:color w:val="231F20"/>
          <w:spacing w:val="-25"/>
          <w:sz w:val="21"/>
        </w:rPr>
        <w:t> </w:t>
      </w:r>
      <w:r>
        <w:rPr>
          <w:color w:val="231F20"/>
          <w:spacing w:val="-6"/>
          <w:sz w:val="21"/>
        </w:rPr>
        <w:t>Joseph</w:t>
      </w:r>
      <w:r>
        <w:rPr>
          <w:color w:val="231F20"/>
          <w:spacing w:val="-25"/>
          <w:sz w:val="21"/>
        </w:rPr>
        <w:t> </w:t>
      </w:r>
      <w:r>
        <w:rPr>
          <w:color w:val="231F20"/>
          <w:spacing w:val="-6"/>
          <w:sz w:val="21"/>
        </w:rPr>
        <w:t>Pine</w:t>
      </w:r>
      <w:r>
        <w:rPr>
          <w:color w:val="231F20"/>
          <w:spacing w:val="-25"/>
          <w:sz w:val="21"/>
        </w:rPr>
        <w:t> </w:t>
      </w:r>
      <w:r>
        <w:rPr>
          <w:color w:val="231F20"/>
          <w:spacing w:val="-6"/>
          <w:sz w:val="21"/>
        </w:rPr>
        <w:t>(1997),</w:t>
      </w:r>
      <w:r>
        <w:rPr>
          <w:color w:val="231F20"/>
          <w:spacing w:val="-25"/>
          <w:sz w:val="21"/>
        </w:rPr>
        <w:t> </w:t>
      </w:r>
      <w:r>
        <w:rPr>
          <w:rFonts w:ascii="Palatino Linotype"/>
          <w:i/>
          <w:color w:val="231F20"/>
          <w:spacing w:val="-7"/>
          <w:sz w:val="21"/>
        </w:rPr>
        <w:t>Agile</w:t>
      </w:r>
      <w:r>
        <w:rPr>
          <w:rFonts w:ascii="Palatino Linotype"/>
          <w:i/>
          <w:color w:val="231F20"/>
          <w:spacing w:val="-25"/>
          <w:sz w:val="21"/>
        </w:rPr>
        <w:t> </w:t>
      </w:r>
      <w:r>
        <w:rPr>
          <w:rFonts w:ascii="Palatino Linotype"/>
          <w:i/>
          <w:color w:val="231F20"/>
          <w:spacing w:val="-7"/>
          <w:sz w:val="21"/>
        </w:rPr>
        <w:t>Product</w:t>
      </w:r>
      <w:r>
        <w:rPr>
          <w:rFonts w:ascii="Palatino Linotype"/>
          <w:i/>
          <w:color w:val="231F20"/>
          <w:spacing w:val="-25"/>
          <w:sz w:val="21"/>
        </w:rPr>
        <w:t> </w:t>
      </w:r>
      <w:r>
        <w:rPr>
          <w:rFonts w:ascii="Palatino Linotype"/>
          <w:i/>
          <w:color w:val="231F20"/>
          <w:spacing w:val="-7"/>
          <w:sz w:val="21"/>
        </w:rPr>
        <w:t>Development</w:t>
      </w:r>
      <w:r>
        <w:rPr>
          <w:rFonts w:ascii="Palatino Linotype"/>
          <w:i/>
          <w:color w:val="231F20"/>
          <w:spacing w:val="-25"/>
          <w:sz w:val="21"/>
        </w:rPr>
        <w:t> </w:t>
      </w:r>
      <w:r>
        <w:rPr>
          <w:rFonts w:ascii="Palatino Linotype"/>
          <w:i/>
          <w:color w:val="231F20"/>
          <w:spacing w:val="-6"/>
          <w:sz w:val="21"/>
        </w:rPr>
        <w:t>for</w:t>
      </w:r>
      <w:r>
        <w:rPr>
          <w:rFonts w:ascii="Palatino Linotype"/>
          <w:i/>
          <w:color w:val="231F20"/>
          <w:spacing w:val="-25"/>
          <w:sz w:val="21"/>
        </w:rPr>
        <w:t> </w:t>
      </w:r>
      <w:r>
        <w:rPr>
          <w:rFonts w:ascii="Palatino Linotype"/>
          <w:i/>
          <w:color w:val="231F20"/>
          <w:spacing w:val="-7"/>
          <w:sz w:val="21"/>
        </w:rPr>
        <w:t>Mass</w:t>
      </w:r>
      <w:r>
        <w:rPr>
          <w:rFonts w:ascii="Palatino Linotype"/>
          <w:i/>
          <w:color w:val="231F20"/>
          <w:spacing w:val="-25"/>
          <w:sz w:val="21"/>
        </w:rPr>
        <w:t> </w:t>
      </w:r>
      <w:r>
        <w:rPr>
          <w:rFonts w:ascii="Palatino Linotype"/>
          <w:i/>
          <w:color w:val="231F20"/>
          <w:spacing w:val="-5"/>
          <w:sz w:val="21"/>
        </w:rPr>
        <w:t>Cus-</w:t>
      </w:r>
      <w:r>
        <w:rPr>
          <w:rFonts w:ascii="Palatino Linotype"/>
          <w:i/>
          <w:color w:val="231F20"/>
          <w:w w:val="100"/>
          <w:sz w:val="21"/>
        </w:rPr>
        <w:t> </w:t>
      </w:r>
      <w:r>
        <w:rPr>
          <w:rFonts w:ascii="Palatino Linotype"/>
          <w:i/>
          <w:color w:val="231F20"/>
          <w:spacing w:val="-7"/>
          <w:sz w:val="21"/>
        </w:rPr>
        <w:t>tomization,</w:t>
      </w:r>
      <w:r>
        <w:rPr>
          <w:rFonts w:ascii="Palatino Linotype"/>
          <w:i/>
          <w:color w:val="231F20"/>
          <w:spacing w:val="-36"/>
          <w:sz w:val="21"/>
        </w:rPr>
        <w:t> </w:t>
      </w:r>
      <w:r>
        <w:rPr>
          <w:rFonts w:ascii="Palatino Linotype"/>
          <w:i/>
          <w:color w:val="231F20"/>
          <w:spacing w:val="-7"/>
          <w:sz w:val="21"/>
        </w:rPr>
        <w:t>Niche</w:t>
      </w:r>
      <w:r>
        <w:rPr>
          <w:rFonts w:ascii="Palatino Linotype"/>
          <w:i/>
          <w:color w:val="231F20"/>
          <w:spacing w:val="-36"/>
          <w:sz w:val="21"/>
        </w:rPr>
        <w:t> </w:t>
      </w:r>
      <w:r>
        <w:rPr>
          <w:rFonts w:ascii="Palatino Linotype"/>
          <w:i/>
          <w:color w:val="231F20"/>
          <w:spacing w:val="-7"/>
          <w:sz w:val="21"/>
        </w:rPr>
        <w:t>Markets,</w:t>
      </w:r>
      <w:r>
        <w:rPr>
          <w:rFonts w:ascii="Palatino Linotype"/>
          <w:i/>
          <w:color w:val="231F20"/>
          <w:spacing w:val="-36"/>
          <w:sz w:val="21"/>
        </w:rPr>
        <w:t> </w:t>
      </w:r>
      <w:r>
        <w:rPr>
          <w:rFonts w:ascii="Palatino Linotype"/>
          <w:i/>
          <w:color w:val="231F20"/>
          <w:spacing w:val="-9"/>
          <w:sz w:val="21"/>
        </w:rPr>
        <w:t>JIT,</w:t>
      </w:r>
      <w:r>
        <w:rPr>
          <w:rFonts w:ascii="Palatino Linotype"/>
          <w:i/>
          <w:color w:val="231F20"/>
          <w:spacing w:val="-36"/>
          <w:sz w:val="21"/>
        </w:rPr>
        <w:t> </w:t>
      </w:r>
      <w:r>
        <w:rPr>
          <w:rFonts w:ascii="Palatino Linotype"/>
          <w:i/>
          <w:color w:val="231F20"/>
          <w:spacing w:val="-7"/>
          <w:sz w:val="21"/>
        </w:rPr>
        <w:t>Build-to-Order</w:t>
      </w:r>
      <w:r>
        <w:rPr>
          <w:rFonts w:ascii="Palatino Linotype"/>
          <w:i/>
          <w:color w:val="231F20"/>
          <w:spacing w:val="-36"/>
          <w:sz w:val="21"/>
        </w:rPr>
        <w:t> </w:t>
      </w:r>
      <w:r>
        <w:rPr>
          <w:rFonts w:ascii="Palatino Linotype"/>
          <w:i/>
          <w:color w:val="231F20"/>
          <w:spacing w:val="-6"/>
          <w:sz w:val="21"/>
        </w:rPr>
        <w:t>and</w:t>
      </w:r>
      <w:r>
        <w:rPr>
          <w:rFonts w:ascii="Palatino Linotype"/>
          <w:i/>
          <w:color w:val="231F20"/>
          <w:spacing w:val="-36"/>
          <w:sz w:val="21"/>
        </w:rPr>
        <w:t> </w:t>
      </w:r>
      <w:r>
        <w:rPr>
          <w:rFonts w:ascii="Palatino Linotype"/>
          <w:i/>
          <w:color w:val="231F20"/>
          <w:spacing w:val="-7"/>
          <w:sz w:val="21"/>
        </w:rPr>
        <w:t>Flexible</w:t>
      </w:r>
      <w:r>
        <w:rPr>
          <w:rFonts w:ascii="Palatino Linotype"/>
          <w:i/>
          <w:color w:val="231F20"/>
          <w:spacing w:val="-36"/>
          <w:sz w:val="21"/>
        </w:rPr>
        <w:t> </w:t>
      </w:r>
      <w:r>
        <w:rPr>
          <w:rFonts w:ascii="Palatino Linotype"/>
          <w:i/>
          <w:color w:val="231F20"/>
          <w:spacing w:val="-8"/>
          <w:sz w:val="21"/>
        </w:rPr>
        <w:t>Manufacturing</w:t>
      </w:r>
      <w:r>
        <w:rPr>
          <w:color w:val="231F20"/>
          <w:spacing w:val="-8"/>
          <w:sz w:val="21"/>
        </w:rPr>
        <w:t>,</w:t>
      </w:r>
      <w:r>
        <w:rPr>
          <w:color w:val="231F20"/>
          <w:spacing w:val="-36"/>
          <w:sz w:val="21"/>
        </w:rPr>
        <w:t> </w:t>
      </w:r>
      <w:r>
        <w:rPr>
          <w:color w:val="231F20"/>
          <w:spacing w:val="-7"/>
          <w:sz w:val="21"/>
        </w:rPr>
        <w:t>McGraw-Hill,</w:t>
      </w:r>
      <w:r>
        <w:rPr>
          <w:color w:val="231F20"/>
          <w:spacing w:val="-36"/>
          <w:sz w:val="21"/>
        </w:rPr>
        <w:t> </w:t>
      </w:r>
      <w:r>
        <w:rPr>
          <w:color w:val="231F20"/>
          <w:spacing w:val="-5"/>
          <w:sz w:val="21"/>
        </w:rPr>
        <w:t>s/l.</w:t>
      </w:r>
    </w:p>
    <w:p>
      <w:pPr>
        <w:pStyle w:val="BodyText"/>
        <w:spacing w:before="2"/>
        <w:rPr>
          <w:sz w:val="22"/>
        </w:rPr>
      </w:pPr>
    </w:p>
    <w:p>
      <w:pPr>
        <w:spacing w:line="280" w:lineRule="exact" w:before="0"/>
        <w:ind w:left="713" w:right="101" w:firstLine="396"/>
        <w:jc w:val="both"/>
        <w:rPr>
          <w:sz w:val="21"/>
        </w:rPr>
      </w:pPr>
      <w:r>
        <w:rPr>
          <w:color w:val="231F20"/>
          <w:sz w:val="21"/>
        </w:rPr>
        <w:t>Arrighi, Giovanni (1994), </w:t>
      </w:r>
      <w:r>
        <w:rPr>
          <w:rFonts w:ascii="Palatino Linotype"/>
          <w:i/>
          <w:color w:val="231F20"/>
          <w:sz w:val="21"/>
        </w:rPr>
        <w:t>The Long Twentieth Century: Money, Power, and the </w:t>
      </w:r>
      <w:r>
        <w:rPr>
          <w:rFonts w:ascii="Palatino Linotype"/>
          <w:i/>
          <w:color w:val="231F20"/>
          <w:sz w:val="21"/>
        </w:rPr>
        <w:t>Origins of Our Times</w:t>
      </w:r>
      <w:r>
        <w:rPr>
          <w:color w:val="231F20"/>
          <w:sz w:val="21"/>
        </w:rPr>
        <w:t>, Nueva York, Verso.</w:t>
      </w:r>
    </w:p>
    <w:p>
      <w:pPr>
        <w:pStyle w:val="BodyText"/>
        <w:spacing w:before="5"/>
        <w:rPr>
          <w:sz w:val="22"/>
        </w:rPr>
      </w:pPr>
    </w:p>
    <w:p>
      <w:pPr>
        <w:spacing w:line="256" w:lineRule="auto" w:before="0"/>
        <w:ind w:left="713" w:right="101" w:firstLine="396"/>
        <w:jc w:val="both"/>
        <w:rPr>
          <w:sz w:val="21"/>
        </w:rPr>
      </w:pPr>
      <w:r>
        <w:rPr>
          <w:color w:val="231F20"/>
          <w:sz w:val="21"/>
        </w:rPr>
        <w:t>Brown,</w:t>
      </w:r>
      <w:r>
        <w:rPr>
          <w:color w:val="231F20"/>
          <w:spacing w:val="-27"/>
          <w:sz w:val="21"/>
        </w:rPr>
        <w:t> </w:t>
      </w:r>
      <w:r>
        <w:rPr>
          <w:color w:val="231F20"/>
          <w:sz w:val="21"/>
        </w:rPr>
        <w:t>Flor</w:t>
      </w:r>
      <w:r>
        <w:rPr>
          <w:color w:val="231F20"/>
          <w:spacing w:val="-27"/>
          <w:sz w:val="21"/>
        </w:rPr>
        <w:t> </w:t>
      </w:r>
      <w:r>
        <w:rPr>
          <w:color w:val="231F20"/>
          <w:sz w:val="21"/>
        </w:rPr>
        <w:t>(1998),</w:t>
      </w:r>
      <w:r>
        <w:rPr>
          <w:color w:val="231F20"/>
          <w:spacing w:val="-27"/>
          <w:sz w:val="21"/>
        </w:rPr>
        <w:t> </w:t>
      </w:r>
      <w:r>
        <w:rPr>
          <w:rFonts w:ascii="Palatino Linotype" w:hAnsi="Palatino Linotype"/>
          <w:i/>
          <w:color w:val="231F20"/>
          <w:sz w:val="21"/>
        </w:rPr>
        <w:t>La</w:t>
      </w:r>
      <w:r>
        <w:rPr>
          <w:rFonts w:ascii="Palatino Linotype" w:hAnsi="Palatino Linotype"/>
          <w:i/>
          <w:color w:val="231F20"/>
          <w:spacing w:val="-27"/>
          <w:sz w:val="21"/>
        </w:rPr>
        <w:t> </w:t>
      </w:r>
      <w:r>
        <w:rPr>
          <w:rFonts w:ascii="Palatino Linotype" w:hAnsi="Palatino Linotype"/>
          <w:i/>
          <w:color w:val="231F20"/>
          <w:sz w:val="21"/>
        </w:rPr>
        <w:t>industria</w:t>
      </w:r>
      <w:r>
        <w:rPr>
          <w:rFonts w:ascii="Palatino Linotype" w:hAnsi="Palatino Linotype"/>
          <w:i/>
          <w:color w:val="231F20"/>
          <w:spacing w:val="-27"/>
          <w:sz w:val="21"/>
        </w:rPr>
        <w:t> </w:t>
      </w:r>
      <w:r>
        <w:rPr>
          <w:rFonts w:ascii="Palatino Linotype" w:hAnsi="Palatino Linotype"/>
          <w:i/>
          <w:color w:val="231F20"/>
          <w:sz w:val="21"/>
        </w:rPr>
        <w:t>de</w:t>
      </w:r>
      <w:r>
        <w:rPr>
          <w:rFonts w:ascii="Palatino Linotype" w:hAnsi="Palatino Linotype"/>
          <w:i/>
          <w:color w:val="231F20"/>
          <w:spacing w:val="-27"/>
          <w:sz w:val="21"/>
        </w:rPr>
        <w:t> </w:t>
      </w:r>
      <w:r>
        <w:rPr>
          <w:rFonts w:ascii="Palatino Linotype" w:hAnsi="Palatino Linotype"/>
          <w:i/>
          <w:color w:val="231F20"/>
          <w:sz w:val="21"/>
        </w:rPr>
        <w:t>autopartes</w:t>
      </w:r>
      <w:r>
        <w:rPr>
          <w:rFonts w:ascii="Palatino Linotype" w:hAnsi="Palatino Linotype"/>
          <w:i/>
          <w:color w:val="231F20"/>
          <w:spacing w:val="-27"/>
          <w:sz w:val="21"/>
        </w:rPr>
        <w:t> </w:t>
      </w:r>
      <w:r>
        <w:rPr>
          <w:rFonts w:ascii="Palatino Linotype" w:hAnsi="Palatino Linotype"/>
          <w:i/>
          <w:color w:val="231F20"/>
          <w:sz w:val="21"/>
        </w:rPr>
        <w:t>mexicana:</w:t>
      </w:r>
      <w:r>
        <w:rPr>
          <w:rFonts w:ascii="Palatino Linotype" w:hAnsi="Palatino Linotype"/>
          <w:i/>
          <w:color w:val="231F20"/>
          <w:spacing w:val="-27"/>
          <w:sz w:val="21"/>
        </w:rPr>
        <w:t> </w:t>
      </w:r>
      <w:r>
        <w:rPr>
          <w:rFonts w:ascii="Palatino Linotype" w:hAnsi="Palatino Linotype"/>
          <w:i/>
          <w:color w:val="231F20"/>
          <w:sz w:val="21"/>
        </w:rPr>
        <w:t>reestructuración</w:t>
      </w:r>
      <w:r>
        <w:rPr>
          <w:rFonts w:ascii="Palatino Linotype" w:hAnsi="Palatino Linotype"/>
          <w:i/>
          <w:color w:val="231F20"/>
          <w:spacing w:val="-27"/>
          <w:sz w:val="21"/>
        </w:rPr>
        <w:t> </w:t>
      </w:r>
      <w:r>
        <w:rPr>
          <w:rFonts w:ascii="Palatino Linotype" w:hAnsi="Palatino Linotype"/>
          <w:i/>
          <w:color w:val="231F20"/>
          <w:sz w:val="21"/>
        </w:rPr>
        <w:t>reciente </w:t>
      </w:r>
      <w:r>
        <w:rPr>
          <w:rFonts w:ascii="Palatino Linotype" w:hAnsi="Palatino Linotype"/>
          <w:i/>
          <w:color w:val="231F20"/>
          <w:sz w:val="21"/>
        </w:rPr>
        <w:t>y perspectivas</w:t>
      </w:r>
      <w:r>
        <w:rPr>
          <w:color w:val="231F20"/>
          <w:sz w:val="21"/>
        </w:rPr>
        <w:t>, División de Desarrollo Productivo y Empresarial de la Comisión Eco- nómica</w:t>
      </w:r>
      <w:r>
        <w:rPr>
          <w:color w:val="231F20"/>
          <w:spacing w:val="-9"/>
          <w:sz w:val="21"/>
        </w:rPr>
        <w:t> </w:t>
      </w:r>
      <w:r>
        <w:rPr>
          <w:color w:val="231F20"/>
          <w:sz w:val="21"/>
        </w:rPr>
        <w:t>para</w:t>
      </w:r>
      <w:r>
        <w:rPr>
          <w:color w:val="231F20"/>
          <w:spacing w:val="-9"/>
          <w:sz w:val="21"/>
        </w:rPr>
        <w:t> </w:t>
      </w:r>
      <w:r>
        <w:rPr>
          <w:color w:val="231F20"/>
          <w:sz w:val="21"/>
        </w:rPr>
        <w:t>América</w:t>
      </w:r>
      <w:r>
        <w:rPr>
          <w:color w:val="231F20"/>
          <w:spacing w:val="-9"/>
          <w:sz w:val="21"/>
        </w:rPr>
        <w:t> </w:t>
      </w:r>
      <w:r>
        <w:rPr>
          <w:color w:val="231F20"/>
          <w:sz w:val="21"/>
        </w:rPr>
        <w:t>Latina</w:t>
      </w:r>
      <w:r>
        <w:rPr>
          <w:color w:val="231F20"/>
          <w:spacing w:val="-9"/>
          <w:sz w:val="21"/>
        </w:rPr>
        <w:t> </w:t>
      </w:r>
      <w:r>
        <w:rPr>
          <w:color w:val="231F20"/>
          <w:sz w:val="21"/>
        </w:rPr>
        <w:t>y</w:t>
      </w:r>
      <w:r>
        <w:rPr>
          <w:color w:val="231F20"/>
          <w:spacing w:val="-9"/>
          <w:sz w:val="21"/>
        </w:rPr>
        <w:t> </w:t>
      </w:r>
      <w:r>
        <w:rPr>
          <w:color w:val="231F20"/>
          <w:sz w:val="21"/>
        </w:rPr>
        <w:t>el</w:t>
      </w:r>
      <w:r>
        <w:rPr>
          <w:color w:val="231F20"/>
          <w:spacing w:val="-9"/>
          <w:sz w:val="21"/>
        </w:rPr>
        <w:t> </w:t>
      </w:r>
      <w:r>
        <w:rPr>
          <w:color w:val="231F20"/>
          <w:sz w:val="21"/>
        </w:rPr>
        <w:t>Caribe</w:t>
      </w:r>
      <w:r>
        <w:rPr>
          <w:color w:val="231F20"/>
          <w:spacing w:val="-9"/>
          <w:sz w:val="21"/>
        </w:rPr>
        <w:t> </w:t>
      </w:r>
      <w:r>
        <w:rPr>
          <w:color w:val="231F20"/>
          <w:sz w:val="21"/>
        </w:rPr>
        <w:t>/</w:t>
      </w:r>
      <w:r>
        <w:rPr>
          <w:color w:val="231F20"/>
          <w:spacing w:val="-9"/>
          <w:sz w:val="21"/>
        </w:rPr>
        <w:t> </w:t>
      </w:r>
      <w:r>
        <w:rPr>
          <w:color w:val="231F20"/>
          <w:sz w:val="21"/>
        </w:rPr>
        <w:t>Centro</w:t>
      </w:r>
      <w:r>
        <w:rPr>
          <w:color w:val="231F20"/>
          <w:spacing w:val="-9"/>
          <w:sz w:val="21"/>
        </w:rPr>
        <w:t> </w:t>
      </w:r>
      <w:r>
        <w:rPr>
          <w:color w:val="231F20"/>
          <w:sz w:val="21"/>
        </w:rPr>
        <w:t>Internacional</w:t>
      </w:r>
      <w:r>
        <w:rPr>
          <w:color w:val="231F20"/>
          <w:spacing w:val="-9"/>
          <w:sz w:val="21"/>
        </w:rPr>
        <w:t> </w:t>
      </w:r>
      <w:r>
        <w:rPr>
          <w:color w:val="231F20"/>
          <w:sz w:val="21"/>
        </w:rPr>
        <w:t>de</w:t>
      </w:r>
      <w:r>
        <w:rPr>
          <w:color w:val="231F20"/>
          <w:spacing w:val="-9"/>
          <w:sz w:val="21"/>
        </w:rPr>
        <w:t> </w:t>
      </w:r>
      <w:r>
        <w:rPr>
          <w:color w:val="231F20"/>
          <w:sz w:val="21"/>
        </w:rPr>
        <w:t>Investigaciones</w:t>
      </w:r>
      <w:r>
        <w:rPr>
          <w:color w:val="231F20"/>
          <w:spacing w:val="-9"/>
          <w:sz w:val="21"/>
        </w:rPr>
        <w:t> </w:t>
      </w:r>
      <w:r>
        <w:rPr>
          <w:color w:val="231F20"/>
          <w:sz w:val="21"/>
        </w:rPr>
        <w:t>para el Desarrollo,</w:t>
      </w:r>
      <w:r>
        <w:rPr>
          <w:color w:val="231F20"/>
          <w:spacing w:val="-38"/>
          <w:sz w:val="21"/>
        </w:rPr>
        <w:t> </w:t>
      </w:r>
      <w:r>
        <w:rPr>
          <w:color w:val="231F20"/>
          <w:sz w:val="21"/>
        </w:rPr>
        <w:t>s/l.</w:t>
      </w:r>
    </w:p>
    <w:p>
      <w:pPr>
        <w:pStyle w:val="BodyText"/>
        <w:spacing w:before="1"/>
        <w:rPr>
          <w:sz w:val="24"/>
        </w:rPr>
      </w:pPr>
    </w:p>
    <w:p>
      <w:pPr>
        <w:pStyle w:val="BodyText"/>
        <w:spacing w:line="278" w:lineRule="auto"/>
        <w:ind w:left="713" w:right="102" w:firstLine="396"/>
        <w:jc w:val="both"/>
      </w:pPr>
      <w:r>
        <w:rPr>
          <w:color w:val="231F20"/>
        </w:rPr>
        <w:t>Brunnermeier, Smita B. y Sheila A. Martin (1999), “Interoperability Cost</w:t>
      </w:r>
      <w:r>
        <w:rPr>
          <w:color w:val="231F20"/>
          <w:spacing w:val="-34"/>
        </w:rPr>
        <w:t> </w:t>
      </w:r>
      <w:r>
        <w:rPr>
          <w:color w:val="231F20"/>
        </w:rPr>
        <w:t>Analy- sis</w:t>
      </w:r>
      <w:r>
        <w:rPr>
          <w:color w:val="231F20"/>
          <w:spacing w:val="-7"/>
        </w:rPr>
        <w:t> </w:t>
      </w:r>
      <w:r>
        <w:rPr>
          <w:color w:val="231F20"/>
        </w:rPr>
        <w:t>of</w:t>
      </w:r>
      <w:r>
        <w:rPr>
          <w:color w:val="231F20"/>
          <w:spacing w:val="-7"/>
        </w:rPr>
        <w:t> </w:t>
      </w:r>
      <w:r>
        <w:rPr>
          <w:color w:val="231F20"/>
        </w:rPr>
        <w:t>the</w:t>
      </w:r>
      <w:r>
        <w:rPr>
          <w:color w:val="231F20"/>
          <w:spacing w:val="-7"/>
        </w:rPr>
        <w:t> </w:t>
      </w:r>
      <w:r>
        <w:rPr>
          <w:color w:val="231F20"/>
          <w:spacing w:val="-3"/>
        </w:rPr>
        <w:t>U.S.</w:t>
      </w:r>
      <w:r>
        <w:rPr>
          <w:color w:val="231F20"/>
          <w:spacing w:val="-7"/>
        </w:rPr>
        <w:t> </w:t>
      </w:r>
      <w:r>
        <w:rPr>
          <w:color w:val="231F20"/>
        </w:rPr>
        <w:t>Automotive</w:t>
      </w:r>
      <w:r>
        <w:rPr>
          <w:color w:val="231F20"/>
          <w:spacing w:val="-7"/>
        </w:rPr>
        <w:t> </w:t>
      </w:r>
      <w:r>
        <w:rPr>
          <w:color w:val="231F20"/>
        </w:rPr>
        <w:t>Supply</w:t>
      </w:r>
      <w:r>
        <w:rPr>
          <w:color w:val="231F20"/>
          <w:spacing w:val="-7"/>
        </w:rPr>
        <w:t> </w:t>
      </w:r>
      <w:r>
        <w:rPr>
          <w:color w:val="231F20"/>
          <w:spacing w:val="-6"/>
        </w:rPr>
        <w:t>Chain”,</w:t>
      </w:r>
      <w:r>
        <w:rPr>
          <w:color w:val="231F20"/>
          <w:spacing w:val="-7"/>
        </w:rPr>
        <w:t> </w:t>
      </w:r>
      <w:r>
        <w:rPr>
          <w:color w:val="231F20"/>
        </w:rPr>
        <w:t>reporte</w:t>
      </w:r>
      <w:r>
        <w:rPr>
          <w:color w:val="231F20"/>
          <w:spacing w:val="-7"/>
        </w:rPr>
        <w:t> </w:t>
      </w:r>
      <w:r>
        <w:rPr>
          <w:color w:val="231F20"/>
        </w:rPr>
        <w:t>final</w:t>
      </w:r>
      <w:r>
        <w:rPr>
          <w:color w:val="231F20"/>
          <w:spacing w:val="-7"/>
        </w:rPr>
        <w:t> </w:t>
      </w:r>
      <w:r>
        <w:rPr>
          <w:color w:val="231F20"/>
        </w:rPr>
        <w:t>del</w:t>
      </w:r>
      <w:r>
        <w:rPr>
          <w:color w:val="231F20"/>
          <w:spacing w:val="-7"/>
        </w:rPr>
        <w:t> </w:t>
      </w:r>
      <w:r>
        <w:rPr>
          <w:color w:val="231F20"/>
        </w:rPr>
        <w:t>Research</w:t>
      </w:r>
      <w:r>
        <w:rPr>
          <w:color w:val="231F20"/>
          <w:spacing w:val="-7"/>
        </w:rPr>
        <w:t> </w:t>
      </w:r>
      <w:r>
        <w:rPr>
          <w:color w:val="231F20"/>
        </w:rPr>
        <w:t>Triangle</w:t>
      </w:r>
      <w:r>
        <w:rPr>
          <w:color w:val="231F20"/>
          <w:spacing w:val="-7"/>
        </w:rPr>
        <w:t> </w:t>
      </w:r>
      <w:r>
        <w:rPr>
          <w:color w:val="231F20"/>
        </w:rPr>
        <w:t>Institute Center for Economics Research, Research Triangle Park, Estados</w:t>
      </w:r>
      <w:r>
        <w:rPr>
          <w:color w:val="231F20"/>
          <w:spacing w:val="31"/>
        </w:rPr>
        <w:t> </w:t>
      </w:r>
      <w:r>
        <w:rPr>
          <w:color w:val="231F20"/>
        </w:rPr>
        <w:t>Unidos.</w:t>
      </w:r>
    </w:p>
    <w:p>
      <w:pPr>
        <w:pStyle w:val="BodyText"/>
        <w:spacing w:before="2"/>
        <w:rPr>
          <w:sz w:val="20"/>
        </w:rPr>
      </w:pPr>
    </w:p>
    <w:p>
      <w:pPr>
        <w:spacing w:line="247" w:lineRule="auto" w:before="0"/>
        <w:ind w:left="713" w:right="101" w:firstLine="396"/>
        <w:jc w:val="both"/>
        <w:rPr>
          <w:sz w:val="21"/>
        </w:rPr>
      </w:pPr>
      <w:r>
        <w:rPr>
          <w:color w:val="231F20"/>
          <w:sz w:val="21"/>
        </w:rPr>
        <w:t>Bueno Castellanos, Carmen (2008), </w:t>
      </w:r>
      <w:r>
        <w:rPr>
          <w:rFonts w:ascii="Palatino Linotype" w:hAnsi="Palatino Linotype"/>
          <w:i/>
          <w:color w:val="231F20"/>
          <w:sz w:val="21"/>
        </w:rPr>
        <w:t>Las estrategias globales de innovación de las </w:t>
      </w:r>
      <w:r>
        <w:rPr>
          <w:rFonts w:ascii="Palatino Linotype" w:hAnsi="Palatino Linotype"/>
          <w:i/>
          <w:color w:val="231F20"/>
          <w:sz w:val="21"/>
        </w:rPr>
        <w:t>corporaciones</w:t>
      </w:r>
      <w:r>
        <w:rPr>
          <w:rFonts w:ascii="Palatino Linotype" w:hAnsi="Palatino Linotype"/>
          <w:i/>
          <w:color w:val="231F20"/>
          <w:spacing w:val="-9"/>
          <w:sz w:val="21"/>
        </w:rPr>
        <w:t> </w:t>
      </w:r>
      <w:r>
        <w:rPr>
          <w:rFonts w:ascii="Palatino Linotype" w:hAnsi="Palatino Linotype"/>
          <w:i/>
          <w:color w:val="231F20"/>
          <w:spacing w:val="-2"/>
          <w:sz w:val="21"/>
        </w:rPr>
        <w:t>automotrices</w:t>
      </w:r>
      <w:r>
        <w:rPr>
          <w:rFonts w:ascii="Palatino Linotype" w:hAnsi="Palatino Linotype"/>
          <w:i/>
          <w:color w:val="231F20"/>
          <w:spacing w:val="-9"/>
          <w:sz w:val="21"/>
        </w:rPr>
        <w:t> </w:t>
      </w:r>
      <w:r>
        <w:rPr>
          <w:rFonts w:ascii="Palatino Linotype" w:hAnsi="Palatino Linotype"/>
          <w:i/>
          <w:color w:val="231F20"/>
          <w:sz w:val="21"/>
        </w:rPr>
        <w:t>en</w:t>
      </w:r>
      <w:r>
        <w:rPr>
          <w:rFonts w:ascii="Palatino Linotype" w:hAnsi="Palatino Linotype"/>
          <w:i/>
          <w:color w:val="231F20"/>
          <w:spacing w:val="-9"/>
          <w:sz w:val="21"/>
        </w:rPr>
        <w:t> </w:t>
      </w:r>
      <w:r>
        <w:rPr>
          <w:rFonts w:ascii="Palatino Linotype" w:hAnsi="Palatino Linotype"/>
          <w:i/>
          <w:color w:val="231F20"/>
          <w:sz w:val="21"/>
        </w:rPr>
        <w:t>la</w:t>
      </w:r>
      <w:r>
        <w:rPr>
          <w:rFonts w:ascii="Palatino Linotype" w:hAnsi="Palatino Linotype"/>
          <w:i/>
          <w:color w:val="231F20"/>
          <w:spacing w:val="-9"/>
          <w:sz w:val="21"/>
        </w:rPr>
        <w:t> </w:t>
      </w:r>
      <w:r>
        <w:rPr>
          <w:rFonts w:ascii="Palatino Linotype" w:hAnsi="Palatino Linotype"/>
          <w:i/>
          <w:color w:val="231F20"/>
          <w:sz w:val="21"/>
        </w:rPr>
        <w:t>zona</w:t>
      </w:r>
      <w:r>
        <w:rPr>
          <w:rFonts w:ascii="Palatino Linotype" w:hAnsi="Palatino Linotype"/>
          <w:i/>
          <w:color w:val="231F20"/>
          <w:spacing w:val="-9"/>
          <w:sz w:val="21"/>
        </w:rPr>
        <w:t> </w:t>
      </w:r>
      <w:r>
        <w:rPr>
          <w:rFonts w:ascii="Palatino Linotype" w:hAnsi="Palatino Linotype"/>
          <w:i/>
          <w:color w:val="231F20"/>
          <w:spacing w:val="-3"/>
          <w:sz w:val="21"/>
        </w:rPr>
        <w:t>metropolitana</w:t>
      </w:r>
      <w:r>
        <w:rPr>
          <w:rFonts w:ascii="Palatino Linotype" w:hAnsi="Palatino Linotype"/>
          <w:i/>
          <w:color w:val="231F20"/>
          <w:spacing w:val="-9"/>
          <w:sz w:val="21"/>
        </w:rPr>
        <w:t> </w:t>
      </w:r>
      <w:r>
        <w:rPr>
          <w:rFonts w:ascii="Palatino Linotype" w:hAnsi="Palatino Linotype"/>
          <w:i/>
          <w:color w:val="231F20"/>
          <w:sz w:val="21"/>
        </w:rPr>
        <w:t>de</w:t>
      </w:r>
      <w:r>
        <w:rPr>
          <w:rFonts w:ascii="Palatino Linotype" w:hAnsi="Palatino Linotype"/>
          <w:i/>
          <w:color w:val="231F20"/>
          <w:spacing w:val="-9"/>
          <w:sz w:val="21"/>
        </w:rPr>
        <w:t> </w:t>
      </w:r>
      <w:r>
        <w:rPr>
          <w:rFonts w:ascii="Palatino Linotype" w:hAnsi="Palatino Linotype"/>
          <w:i/>
          <w:color w:val="231F20"/>
          <w:sz w:val="21"/>
        </w:rPr>
        <w:t>la</w:t>
      </w:r>
      <w:r>
        <w:rPr>
          <w:rFonts w:ascii="Palatino Linotype" w:hAnsi="Palatino Linotype"/>
          <w:i/>
          <w:color w:val="231F20"/>
          <w:spacing w:val="-9"/>
          <w:sz w:val="21"/>
        </w:rPr>
        <w:t> </w:t>
      </w:r>
      <w:r>
        <w:rPr>
          <w:rFonts w:ascii="Palatino Linotype" w:hAnsi="Palatino Linotype"/>
          <w:i/>
          <w:color w:val="231F20"/>
          <w:sz w:val="21"/>
        </w:rPr>
        <w:t>Ciudad</w:t>
      </w:r>
      <w:r>
        <w:rPr>
          <w:rFonts w:ascii="Palatino Linotype" w:hAnsi="Palatino Linotype"/>
          <w:i/>
          <w:color w:val="231F20"/>
          <w:spacing w:val="-9"/>
          <w:sz w:val="21"/>
        </w:rPr>
        <w:t> </w:t>
      </w:r>
      <w:r>
        <w:rPr>
          <w:rFonts w:ascii="Palatino Linotype" w:hAnsi="Palatino Linotype"/>
          <w:i/>
          <w:color w:val="231F20"/>
          <w:sz w:val="21"/>
        </w:rPr>
        <w:t>de</w:t>
      </w:r>
      <w:r>
        <w:rPr>
          <w:rFonts w:ascii="Palatino Linotype" w:hAnsi="Palatino Linotype"/>
          <w:i/>
          <w:color w:val="231F20"/>
          <w:spacing w:val="-9"/>
          <w:sz w:val="21"/>
        </w:rPr>
        <w:t> </w:t>
      </w:r>
      <w:r>
        <w:rPr>
          <w:rFonts w:ascii="Palatino Linotype" w:hAnsi="Palatino Linotype"/>
          <w:i/>
          <w:color w:val="231F20"/>
          <w:spacing w:val="-3"/>
          <w:sz w:val="21"/>
        </w:rPr>
        <w:t>México,</w:t>
      </w:r>
      <w:r>
        <w:rPr>
          <w:rFonts w:ascii="Palatino Linotype" w:hAnsi="Palatino Linotype"/>
          <w:i/>
          <w:color w:val="231F20"/>
          <w:spacing w:val="-9"/>
          <w:sz w:val="21"/>
        </w:rPr>
        <w:t> </w:t>
      </w:r>
      <w:r>
        <w:rPr>
          <w:color w:val="231F20"/>
          <w:sz w:val="21"/>
        </w:rPr>
        <w:t>Universi- dad Iberoamericana,</w:t>
      </w:r>
      <w:r>
        <w:rPr>
          <w:color w:val="231F20"/>
          <w:spacing w:val="-19"/>
          <w:sz w:val="21"/>
        </w:rPr>
        <w:t> </w:t>
      </w:r>
      <w:r>
        <w:rPr>
          <w:color w:val="231F20"/>
          <w:sz w:val="21"/>
        </w:rPr>
        <w:t>México.</w:t>
      </w:r>
    </w:p>
    <w:p>
      <w:pPr>
        <w:pStyle w:val="BodyText"/>
        <w:spacing w:before="10"/>
        <w:rPr>
          <w:sz w:val="24"/>
        </w:rPr>
      </w:pPr>
    </w:p>
    <w:p>
      <w:pPr>
        <w:pStyle w:val="BodyText"/>
        <w:spacing w:line="278" w:lineRule="auto"/>
        <w:ind w:left="713" w:right="101" w:firstLine="396"/>
        <w:jc w:val="both"/>
      </w:pPr>
      <w:r>
        <w:rPr>
          <w:color w:val="231F20"/>
        </w:rPr>
        <w:t>Bureau of Transportation Statistics (2010), “Transportation Statistics Annual Report”, consultado en </w:t>
      </w:r>
      <w:hyperlink r:id="rId370">
        <w:r>
          <w:rPr>
            <w:color w:val="231F20"/>
          </w:rPr>
          <w:t>http://www.bts.gov/publications/transportation_statistics_</w:t>
        </w:r>
      </w:hyperlink>
      <w:r>
        <w:rPr>
          <w:color w:val="231F20"/>
        </w:rPr>
        <w:t> annual_report/2010/ (20 de marzo de 2010).</w:t>
      </w:r>
    </w:p>
    <w:p>
      <w:pPr>
        <w:pStyle w:val="BodyText"/>
        <w:spacing w:before="3"/>
        <w:rPr>
          <w:sz w:val="22"/>
        </w:rPr>
      </w:pPr>
    </w:p>
    <w:p>
      <w:pPr>
        <w:pStyle w:val="BodyText"/>
        <w:spacing w:line="278" w:lineRule="auto"/>
        <w:ind w:left="713" w:right="101" w:firstLine="396"/>
        <w:jc w:val="both"/>
      </w:pPr>
      <w:r>
        <w:rPr>
          <w:color w:val="231F20"/>
        </w:rPr>
        <w:t>Business (2011), “Doing Business in Mexico. Automotive Industry”, consultado en </w:t>
      </w:r>
      <w:hyperlink r:id="rId371">
        <w:r>
          <w:rPr>
            <w:color w:val="231F20"/>
          </w:rPr>
          <w:t>http://www.pwc.com/mx/es/publicaciones/archivo/2011-06-DBusiness.pdf</w:t>
        </w:r>
      </w:hyperlink>
      <w:r>
        <w:rPr>
          <w:color w:val="231F20"/>
        </w:rPr>
        <w:t> (14 de noviembre de 2014).</w:t>
      </w:r>
    </w:p>
    <w:p>
      <w:pPr>
        <w:pStyle w:val="BodyText"/>
        <w:spacing w:before="2"/>
        <w:rPr>
          <w:sz w:val="20"/>
        </w:rPr>
      </w:pPr>
    </w:p>
    <w:p>
      <w:pPr>
        <w:spacing w:line="256" w:lineRule="auto" w:before="0"/>
        <w:ind w:left="713" w:right="100" w:firstLine="396"/>
        <w:jc w:val="both"/>
        <w:rPr>
          <w:sz w:val="21"/>
        </w:rPr>
      </w:pPr>
      <w:r>
        <w:rPr>
          <w:color w:val="231F20"/>
          <w:sz w:val="21"/>
        </w:rPr>
        <w:t>Camarena, Margarita (1981), </w:t>
      </w:r>
      <w:r>
        <w:rPr>
          <w:rFonts w:ascii="Palatino Linotype" w:hAnsi="Palatino Linotype"/>
          <w:i/>
          <w:color w:val="231F20"/>
          <w:sz w:val="21"/>
        </w:rPr>
        <w:t>La industria automotriz en México</w:t>
      </w:r>
      <w:r>
        <w:rPr>
          <w:color w:val="231F20"/>
          <w:sz w:val="21"/>
        </w:rPr>
        <w:t>, Universidad Nacional Autónoma de México, México.</w:t>
      </w:r>
    </w:p>
    <w:p>
      <w:pPr>
        <w:pStyle w:val="BodyText"/>
        <w:spacing w:before="1"/>
        <w:rPr>
          <w:sz w:val="24"/>
        </w:rPr>
      </w:pPr>
    </w:p>
    <w:p>
      <w:pPr>
        <w:pStyle w:val="BodyText"/>
        <w:spacing w:line="278" w:lineRule="auto"/>
        <w:ind w:left="713" w:right="101" w:firstLine="396"/>
        <w:jc w:val="both"/>
      </w:pPr>
      <w:r>
        <w:rPr>
          <w:color w:val="231F20"/>
        </w:rPr>
        <w:t>Carbajal, </w:t>
      </w:r>
      <w:r>
        <w:rPr>
          <w:color w:val="231F20"/>
          <w:spacing w:val="-5"/>
        </w:rPr>
        <w:t>Yolanda </w:t>
      </w:r>
      <w:r>
        <w:rPr>
          <w:color w:val="231F20"/>
        </w:rPr>
        <w:t>(2013), “La competitividad del sector automotriz en el Estado de</w:t>
      </w:r>
      <w:r>
        <w:rPr>
          <w:color w:val="231F20"/>
          <w:spacing w:val="-11"/>
        </w:rPr>
        <w:t> </w:t>
      </w:r>
      <w:r>
        <w:rPr>
          <w:color w:val="231F20"/>
        </w:rPr>
        <w:t>México:</w:t>
      </w:r>
      <w:r>
        <w:rPr>
          <w:color w:val="231F20"/>
          <w:spacing w:val="-11"/>
        </w:rPr>
        <w:t> </w:t>
      </w:r>
      <w:r>
        <w:rPr>
          <w:color w:val="231F20"/>
        </w:rPr>
        <w:t>condiciones</w:t>
      </w:r>
      <w:r>
        <w:rPr>
          <w:color w:val="231F20"/>
          <w:spacing w:val="-11"/>
        </w:rPr>
        <w:t> </w:t>
      </w:r>
      <w:r>
        <w:rPr>
          <w:color w:val="231F20"/>
        </w:rPr>
        <w:t>y</w:t>
      </w:r>
      <w:r>
        <w:rPr>
          <w:color w:val="231F20"/>
          <w:spacing w:val="-11"/>
        </w:rPr>
        <w:t> </w:t>
      </w:r>
      <w:r>
        <w:rPr>
          <w:color w:val="231F20"/>
        </w:rPr>
        <w:t>retos</w:t>
      </w:r>
      <w:r>
        <w:rPr>
          <w:color w:val="231F20"/>
          <w:spacing w:val="-11"/>
        </w:rPr>
        <w:t> </w:t>
      </w:r>
      <w:r>
        <w:rPr>
          <w:color w:val="231F20"/>
        </w:rPr>
        <w:t>de</w:t>
      </w:r>
      <w:r>
        <w:rPr>
          <w:color w:val="231F20"/>
          <w:spacing w:val="-11"/>
        </w:rPr>
        <w:t> </w:t>
      </w:r>
      <w:r>
        <w:rPr>
          <w:color w:val="231F20"/>
        </w:rPr>
        <w:t>la</w:t>
      </w:r>
      <w:r>
        <w:rPr>
          <w:color w:val="231F20"/>
          <w:spacing w:val="-11"/>
        </w:rPr>
        <w:t> </w:t>
      </w:r>
      <w:r>
        <w:rPr>
          <w:color w:val="231F20"/>
        </w:rPr>
        <w:t>cadena</w:t>
      </w:r>
      <w:r>
        <w:rPr>
          <w:color w:val="231F20"/>
          <w:spacing w:val="-11"/>
        </w:rPr>
        <w:t> </w:t>
      </w:r>
      <w:r>
        <w:rPr>
          <w:color w:val="231F20"/>
          <w:spacing w:val="-4"/>
        </w:rPr>
        <w:t>automotriz-autopartes”,</w:t>
      </w:r>
      <w:r>
        <w:rPr>
          <w:color w:val="231F20"/>
          <w:spacing w:val="-11"/>
        </w:rPr>
        <w:t> </w:t>
      </w:r>
      <w:r>
        <w:rPr>
          <w:color w:val="231F20"/>
        </w:rPr>
        <w:t>tesis</w:t>
      </w:r>
      <w:r>
        <w:rPr>
          <w:color w:val="231F20"/>
          <w:spacing w:val="-11"/>
        </w:rPr>
        <w:t> </w:t>
      </w:r>
      <w:r>
        <w:rPr>
          <w:color w:val="231F20"/>
        </w:rPr>
        <w:t>de</w:t>
      </w:r>
      <w:r>
        <w:rPr>
          <w:color w:val="231F20"/>
          <w:spacing w:val="-11"/>
        </w:rPr>
        <w:t> </w:t>
      </w:r>
      <w:r>
        <w:rPr>
          <w:color w:val="231F20"/>
        </w:rPr>
        <w:t>doctorado, Universidad</w:t>
      </w:r>
      <w:r>
        <w:rPr>
          <w:color w:val="231F20"/>
          <w:spacing w:val="-14"/>
        </w:rPr>
        <w:t> </w:t>
      </w:r>
      <w:r>
        <w:rPr>
          <w:color w:val="231F20"/>
        </w:rPr>
        <w:t>Nacional</w:t>
      </w:r>
      <w:r>
        <w:rPr>
          <w:color w:val="231F20"/>
          <w:spacing w:val="-14"/>
        </w:rPr>
        <w:t> </w:t>
      </w:r>
      <w:r>
        <w:rPr>
          <w:color w:val="231F20"/>
          <w:spacing w:val="-3"/>
        </w:rPr>
        <w:t>Autónoma</w:t>
      </w:r>
      <w:r>
        <w:rPr>
          <w:color w:val="231F20"/>
          <w:spacing w:val="-14"/>
        </w:rPr>
        <w:t> </w:t>
      </w:r>
      <w:r>
        <w:rPr>
          <w:color w:val="231F20"/>
        </w:rPr>
        <w:t>de</w:t>
      </w:r>
      <w:r>
        <w:rPr>
          <w:color w:val="231F20"/>
          <w:spacing w:val="-14"/>
        </w:rPr>
        <w:t> </w:t>
      </w:r>
      <w:r>
        <w:rPr>
          <w:color w:val="231F20"/>
        </w:rPr>
        <w:t>México,</w:t>
      </w:r>
      <w:r>
        <w:rPr>
          <w:color w:val="231F20"/>
          <w:spacing w:val="-14"/>
        </w:rPr>
        <w:t> </w:t>
      </w:r>
      <w:r>
        <w:rPr>
          <w:color w:val="231F20"/>
        </w:rPr>
        <w:t>México.</w:t>
      </w:r>
    </w:p>
    <w:p>
      <w:pPr>
        <w:spacing w:after="0" w:line="278" w:lineRule="auto"/>
        <w:jc w:val="both"/>
        <w:sectPr>
          <w:headerReference w:type="even" r:id="rId366"/>
          <w:headerReference w:type="default" r:id="rId367"/>
          <w:footerReference w:type="even" r:id="rId368"/>
          <w:footerReference w:type="default" r:id="rId369"/>
          <w:pgSz w:w="9640" w:h="13040"/>
          <w:pgMar w:header="581" w:footer="654" w:top="780" w:bottom="840" w:left="420" w:right="1200"/>
          <w:pgNumType w:start="144"/>
        </w:sectPr>
      </w:pPr>
    </w:p>
    <w:p>
      <w:pPr>
        <w:pStyle w:val="BodyText"/>
        <w:rPr>
          <w:sz w:val="20"/>
        </w:rPr>
      </w:pPr>
    </w:p>
    <w:p>
      <w:pPr>
        <w:pStyle w:val="BodyText"/>
        <w:spacing w:before="7"/>
      </w:pPr>
    </w:p>
    <w:p>
      <w:pPr>
        <w:pStyle w:val="BodyText"/>
        <w:spacing w:line="254" w:lineRule="auto" w:before="58"/>
        <w:ind w:left="104" w:right="713"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9"/>
        </w:rPr>
        <w:t> </w:t>
      </w:r>
      <w:r>
        <w:rPr>
          <w:color w:val="231F20"/>
          <w:spacing w:val="-3"/>
        </w:rPr>
        <w:t>(2012),</w:t>
      </w:r>
      <w:r>
        <w:rPr>
          <w:color w:val="231F20"/>
          <w:spacing w:val="-9"/>
        </w:rPr>
        <w:t> </w:t>
      </w:r>
      <w:r>
        <w:rPr>
          <w:color w:val="231F20"/>
          <w:spacing w:val="-3"/>
        </w:rPr>
        <w:t>“El</w:t>
      </w:r>
      <w:r>
        <w:rPr>
          <w:color w:val="231F20"/>
          <w:spacing w:val="-9"/>
        </w:rPr>
        <w:t> </w:t>
      </w:r>
      <w:r>
        <w:rPr>
          <w:color w:val="231F20"/>
          <w:spacing w:val="-3"/>
        </w:rPr>
        <w:t>sector</w:t>
      </w:r>
      <w:r>
        <w:rPr>
          <w:color w:val="231F20"/>
          <w:spacing w:val="-9"/>
        </w:rPr>
        <w:t> </w:t>
      </w:r>
      <w:r>
        <w:rPr>
          <w:color w:val="231F20"/>
          <w:spacing w:val="-4"/>
        </w:rPr>
        <w:t>automotriz</w:t>
      </w:r>
      <w:r>
        <w:rPr>
          <w:color w:val="231F20"/>
          <w:spacing w:val="-9"/>
        </w:rPr>
        <w:t> </w:t>
      </w:r>
      <w:r>
        <w:rPr>
          <w:color w:val="231F20"/>
        </w:rPr>
        <w:t>en</w:t>
      </w:r>
      <w:r>
        <w:rPr>
          <w:color w:val="231F20"/>
          <w:spacing w:val="-9"/>
        </w:rPr>
        <w:t> </w:t>
      </w:r>
      <w:r>
        <w:rPr>
          <w:color w:val="231F20"/>
        </w:rPr>
        <w:t>el</w:t>
      </w:r>
      <w:r>
        <w:rPr>
          <w:color w:val="231F20"/>
          <w:spacing w:val="-9"/>
        </w:rPr>
        <w:t> </w:t>
      </w:r>
      <w:r>
        <w:rPr>
          <w:color w:val="231F20"/>
          <w:spacing w:val="-3"/>
        </w:rPr>
        <w:t>Estado</w:t>
      </w:r>
      <w:r>
        <w:rPr>
          <w:color w:val="231F20"/>
          <w:spacing w:val="-9"/>
        </w:rPr>
        <w:t> </w:t>
      </w:r>
      <w:r>
        <w:rPr>
          <w:color w:val="231F20"/>
        </w:rPr>
        <w:t>de</w:t>
      </w:r>
      <w:r>
        <w:rPr>
          <w:color w:val="231F20"/>
          <w:spacing w:val="-9"/>
        </w:rPr>
        <w:t> </w:t>
      </w:r>
      <w:r>
        <w:rPr>
          <w:color w:val="231F20"/>
          <w:spacing w:val="-5"/>
        </w:rPr>
        <w:t>México.</w:t>
      </w:r>
      <w:r>
        <w:rPr>
          <w:color w:val="231F20"/>
          <w:spacing w:val="-9"/>
        </w:rPr>
        <w:t> </w:t>
      </w:r>
      <w:r>
        <w:rPr>
          <w:color w:val="231F20"/>
          <w:spacing w:val="-3"/>
        </w:rPr>
        <w:t>Condiciones</w:t>
      </w:r>
      <w:r>
        <w:rPr>
          <w:color w:val="231F20"/>
          <w:spacing w:val="-9"/>
        </w:rPr>
        <w:t> </w:t>
      </w:r>
      <w:r>
        <w:rPr>
          <w:color w:val="231F20"/>
        </w:rPr>
        <w:t>y</w:t>
      </w:r>
      <w:r>
        <w:rPr>
          <w:color w:val="231F20"/>
          <w:spacing w:val="-9"/>
        </w:rPr>
        <w:t> </w:t>
      </w:r>
      <w:r>
        <w:rPr>
          <w:color w:val="231F20"/>
          <w:spacing w:val="-3"/>
        </w:rPr>
        <w:t>retos</w:t>
      </w:r>
      <w:r>
        <w:rPr>
          <w:color w:val="231F20"/>
          <w:spacing w:val="-9"/>
        </w:rPr>
        <w:t> </w:t>
      </w:r>
      <w:r>
        <w:rPr>
          <w:color w:val="231F20"/>
          <w:spacing w:val="-3"/>
        </w:rPr>
        <w:t>de </w:t>
      </w:r>
      <w:r>
        <w:rPr>
          <w:color w:val="231F20"/>
        </w:rPr>
        <w:t>la</w:t>
      </w:r>
      <w:r>
        <w:rPr>
          <w:color w:val="231F20"/>
          <w:spacing w:val="-11"/>
        </w:rPr>
        <w:t> </w:t>
      </w:r>
      <w:r>
        <w:rPr>
          <w:color w:val="231F20"/>
          <w:spacing w:val="-3"/>
        </w:rPr>
        <w:t>cadena</w:t>
      </w:r>
      <w:r>
        <w:rPr>
          <w:color w:val="231F20"/>
          <w:spacing w:val="-11"/>
        </w:rPr>
        <w:t> </w:t>
      </w:r>
      <w:r>
        <w:rPr>
          <w:color w:val="231F20"/>
          <w:spacing w:val="-7"/>
        </w:rPr>
        <w:t>productiva”,</w:t>
      </w:r>
      <w:r>
        <w:rPr>
          <w:color w:val="231F20"/>
          <w:spacing w:val="-11"/>
        </w:rPr>
        <w:t> </w:t>
      </w:r>
      <w:r>
        <w:rPr>
          <w:rFonts w:ascii="Palatino Linotype" w:hAnsi="Palatino Linotype"/>
          <w:i/>
          <w:color w:val="231F20"/>
          <w:spacing w:val="-5"/>
        </w:rPr>
        <w:t>Paradigma</w:t>
      </w:r>
      <w:r>
        <w:rPr>
          <w:rFonts w:ascii="Palatino Linotype" w:hAnsi="Palatino Linotype"/>
          <w:i/>
          <w:color w:val="231F20"/>
          <w:spacing w:val="-10"/>
        </w:rPr>
        <w:t> </w:t>
      </w:r>
      <w:r>
        <w:rPr>
          <w:rFonts w:ascii="Palatino Linotype" w:hAnsi="Palatino Linotype"/>
          <w:i/>
          <w:color w:val="231F20"/>
          <w:spacing w:val="-4"/>
        </w:rPr>
        <w:t>Económico</w:t>
      </w:r>
      <w:r>
        <w:rPr>
          <w:color w:val="231F20"/>
          <w:spacing w:val="-4"/>
        </w:rPr>
        <w:t>,</w:t>
      </w:r>
      <w:r>
        <w:rPr>
          <w:color w:val="231F20"/>
          <w:spacing w:val="-11"/>
        </w:rPr>
        <w:t> </w:t>
      </w:r>
      <w:r>
        <w:rPr>
          <w:color w:val="231F20"/>
          <w:spacing w:val="-3"/>
        </w:rPr>
        <w:t>vol.</w:t>
      </w:r>
      <w:r>
        <w:rPr>
          <w:color w:val="231F20"/>
          <w:spacing w:val="-11"/>
        </w:rPr>
        <w:t> </w:t>
      </w:r>
      <w:r>
        <w:rPr>
          <w:color w:val="231F20"/>
        </w:rPr>
        <w:t>4,</w:t>
      </w:r>
      <w:r>
        <w:rPr>
          <w:color w:val="231F20"/>
          <w:spacing w:val="-11"/>
        </w:rPr>
        <w:t> </w:t>
      </w:r>
      <w:r>
        <w:rPr>
          <w:color w:val="231F20"/>
          <w:spacing w:val="-4"/>
        </w:rPr>
        <w:t>núm.</w:t>
      </w:r>
      <w:r>
        <w:rPr>
          <w:color w:val="231F20"/>
          <w:spacing w:val="-11"/>
        </w:rPr>
        <w:t> </w:t>
      </w:r>
      <w:r>
        <w:rPr>
          <w:color w:val="231F20"/>
        </w:rPr>
        <w:t>2,</w:t>
      </w:r>
      <w:r>
        <w:rPr>
          <w:color w:val="231F20"/>
          <w:spacing w:val="-11"/>
        </w:rPr>
        <w:t> </w:t>
      </w:r>
      <w:r>
        <w:rPr>
          <w:color w:val="231F20"/>
          <w:spacing w:val="-4"/>
        </w:rPr>
        <w:t>julio-diciembre,</w:t>
      </w:r>
      <w:r>
        <w:rPr>
          <w:color w:val="231F20"/>
          <w:spacing w:val="-11"/>
        </w:rPr>
        <w:t> </w:t>
      </w:r>
      <w:r>
        <w:rPr>
          <w:color w:val="231F20"/>
          <w:spacing w:val="-5"/>
        </w:rPr>
        <w:t>pp.</w:t>
      </w:r>
      <w:r>
        <w:rPr>
          <w:color w:val="231F20"/>
          <w:spacing w:val="-11"/>
        </w:rPr>
        <w:t> </w:t>
      </w:r>
      <w:r>
        <w:rPr>
          <w:color w:val="231F20"/>
          <w:spacing w:val="-3"/>
        </w:rPr>
        <w:t>29-59.</w:t>
      </w:r>
    </w:p>
    <w:p>
      <w:pPr>
        <w:pStyle w:val="BodyText"/>
        <w:spacing w:before="6"/>
        <w:rPr>
          <w:sz w:val="22"/>
        </w:rPr>
      </w:pPr>
    </w:p>
    <w:p>
      <w:pPr>
        <w:spacing w:line="244" w:lineRule="auto" w:before="0"/>
        <w:ind w:left="104" w:right="711" w:firstLine="396"/>
        <w:jc w:val="both"/>
        <w:rPr>
          <w:sz w:val="21"/>
        </w:rPr>
      </w:pPr>
      <w:r>
        <w:rPr>
          <w:color w:val="231F20"/>
          <w:sz w:val="21"/>
        </w:rPr>
        <w:t>Carbajal, </w:t>
      </w:r>
      <w:r>
        <w:rPr>
          <w:color w:val="231F20"/>
          <w:spacing w:val="-5"/>
          <w:sz w:val="21"/>
        </w:rPr>
        <w:t>Yolanda </w:t>
      </w:r>
      <w:r>
        <w:rPr>
          <w:color w:val="231F20"/>
          <w:sz w:val="21"/>
        </w:rPr>
        <w:t>y Leobardo de Jesús (2013), “El sector automotriz en México: un análisis </w:t>
      </w:r>
      <w:r>
        <w:rPr>
          <w:color w:val="231F20"/>
          <w:spacing w:val="-5"/>
          <w:sz w:val="21"/>
        </w:rPr>
        <w:t>regional”, </w:t>
      </w:r>
      <w:r>
        <w:rPr>
          <w:color w:val="231F20"/>
          <w:sz w:val="21"/>
        </w:rPr>
        <w:t>en </w:t>
      </w:r>
      <w:r>
        <w:rPr>
          <w:color w:val="231F20"/>
          <w:spacing w:val="-15"/>
          <w:sz w:val="21"/>
        </w:rPr>
        <w:t>P. </w:t>
      </w:r>
      <w:r>
        <w:rPr>
          <w:color w:val="231F20"/>
          <w:sz w:val="21"/>
        </w:rPr>
        <w:t>Mejía Reyes (coord.), </w:t>
      </w:r>
      <w:r>
        <w:rPr>
          <w:rFonts w:ascii="Palatino Linotype" w:hAnsi="Palatino Linotype"/>
          <w:i/>
          <w:color w:val="231F20"/>
          <w:sz w:val="21"/>
        </w:rPr>
        <w:t>Fluctuaciones cíclicas y crecimiento </w:t>
      </w:r>
      <w:r>
        <w:rPr>
          <w:rFonts w:ascii="Palatino Linotype" w:hAnsi="Palatino Linotype"/>
          <w:i/>
          <w:color w:val="231F20"/>
          <w:spacing w:val="-3"/>
          <w:sz w:val="21"/>
        </w:rPr>
        <w:t>económico </w:t>
      </w:r>
      <w:r>
        <w:rPr>
          <w:rFonts w:ascii="Palatino Linotype" w:hAnsi="Palatino Linotype"/>
          <w:i/>
          <w:color w:val="231F20"/>
          <w:sz w:val="21"/>
        </w:rPr>
        <w:t>en México</w:t>
      </w:r>
      <w:r>
        <w:rPr>
          <w:color w:val="231F20"/>
          <w:sz w:val="21"/>
        </w:rPr>
        <w:t>, Plaza y </w:t>
      </w:r>
      <w:r>
        <w:rPr>
          <w:color w:val="231F20"/>
          <w:spacing w:val="-4"/>
          <w:sz w:val="21"/>
        </w:rPr>
        <w:t>Valdés </w:t>
      </w:r>
      <w:r>
        <w:rPr>
          <w:color w:val="231F20"/>
          <w:sz w:val="21"/>
        </w:rPr>
        <w:t>Editores, México, </w:t>
      </w:r>
      <w:r>
        <w:rPr>
          <w:color w:val="231F20"/>
          <w:spacing w:val="-4"/>
          <w:sz w:val="21"/>
        </w:rPr>
        <w:t>pp. </w:t>
      </w:r>
      <w:r>
        <w:rPr>
          <w:color w:val="231F20"/>
          <w:sz w:val="21"/>
        </w:rPr>
        <w:t>311-344.</w:t>
      </w:r>
    </w:p>
    <w:p>
      <w:pPr>
        <w:pStyle w:val="BodyText"/>
        <w:spacing w:before="6"/>
        <w:rPr>
          <w:sz w:val="23"/>
        </w:rPr>
      </w:pPr>
    </w:p>
    <w:p>
      <w:pPr>
        <w:pStyle w:val="BodyText"/>
        <w:spacing w:line="278" w:lineRule="auto"/>
        <w:ind w:left="104" w:right="711" w:firstLine="396"/>
        <w:jc w:val="both"/>
      </w:pPr>
      <w:r>
        <w:rPr>
          <w:color w:val="231F20"/>
        </w:rPr>
        <w:t>Carrillo,</w:t>
      </w:r>
      <w:r>
        <w:rPr>
          <w:color w:val="231F20"/>
          <w:spacing w:val="-17"/>
        </w:rPr>
        <w:t> </w:t>
      </w:r>
      <w:r>
        <w:rPr>
          <w:color w:val="231F20"/>
          <w:spacing w:val="-3"/>
        </w:rPr>
        <w:t>Jorge</w:t>
      </w:r>
      <w:r>
        <w:rPr>
          <w:color w:val="231F20"/>
          <w:spacing w:val="-17"/>
        </w:rPr>
        <w:t> </w:t>
      </w:r>
      <w:r>
        <w:rPr>
          <w:color w:val="231F20"/>
        </w:rPr>
        <w:t>y</w:t>
      </w:r>
      <w:r>
        <w:rPr>
          <w:color w:val="231F20"/>
          <w:spacing w:val="-17"/>
        </w:rPr>
        <w:t> </w:t>
      </w:r>
      <w:r>
        <w:rPr>
          <w:color w:val="231F20"/>
        </w:rPr>
        <w:t>Miguel</w:t>
      </w:r>
      <w:r>
        <w:rPr>
          <w:color w:val="231F20"/>
          <w:spacing w:val="-17"/>
        </w:rPr>
        <w:t> </w:t>
      </w:r>
      <w:r>
        <w:rPr>
          <w:color w:val="231F20"/>
        </w:rPr>
        <w:t>Ramírez</w:t>
      </w:r>
      <w:r>
        <w:rPr>
          <w:color w:val="231F20"/>
          <w:spacing w:val="-17"/>
        </w:rPr>
        <w:t> </w:t>
      </w:r>
      <w:r>
        <w:rPr>
          <w:color w:val="231F20"/>
        </w:rPr>
        <w:t>(1997),</w:t>
      </w:r>
      <w:r>
        <w:rPr>
          <w:color w:val="231F20"/>
          <w:spacing w:val="-17"/>
        </w:rPr>
        <w:t> </w:t>
      </w:r>
      <w:r>
        <w:rPr>
          <w:color w:val="231F20"/>
        </w:rPr>
        <w:t>“Reestructuración,</w:t>
      </w:r>
      <w:r>
        <w:rPr>
          <w:color w:val="231F20"/>
          <w:spacing w:val="-17"/>
        </w:rPr>
        <w:t> </w:t>
      </w:r>
      <w:r>
        <w:rPr>
          <w:color w:val="231F20"/>
        </w:rPr>
        <w:t>eslabonamientos</w:t>
      </w:r>
      <w:r>
        <w:rPr>
          <w:color w:val="231F20"/>
          <w:spacing w:val="-17"/>
        </w:rPr>
        <w:t> </w:t>
      </w:r>
      <w:r>
        <w:rPr>
          <w:color w:val="231F20"/>
        </w:rPr>
        <w:t>pro- ductivos y competencias laborales en la industria automotriz en </w:t>
      </w:r>
      <w:r>
        <w:rPr>
          <w:color w:val="231F20"/>
          <w:spacing w:val="-7"/>
        </w:rPr>
        <w:t>México”, </w:t>
      </w:r>
      <w:r>
        <w:rPr>
          <w:color w:val="231F20"/>
        </w:rPr>
        <w:t>XX Interna- tional</w:t>
      </w:r>
      <w:r>
        <w:rPr>
          <w:color w:val="231F20"/>
          <w:spacing w:val="-20"/>
        </w:rPr>
        <w:t> </w:t>
      </w:r>
      <w:r>
        <w:rPr>
          <w:color w:val="231F20"/>
        </w:rPr>
        <w:t>LASA,</w:t>
      </w:r>
      <w:r>
        <w:rPr>
          <w:color w:val="231F20"/>
          <w:spacing w:val="-20"/>
        </w:rPr>
        <w:t> </w:t>
      </w:r>
      <w:r>
        <w:rPr>
          <w:color w:val="231F20"/>
        </w:rPr>
        <w:t>Guadalajara,</w:t>
      </w:r>
      <w:r>
        <w:rPr>
          <w:color w:val="231F20"/>
          <w:spacing w:val="-20"/>
        </w:rPr>
        <w:t> </w:t>
      </w:r>
      <w:r>
        <w:rPr>
          <w:color w:val="231F20"/>
        </w:rPr>
        <w:t>17-19</w:t>
      </w:r>
      <w:r>
        <w:rPr>
          <w:color w:val="231F20"/>
          <w:spacing w:val="-20"/>
        </w:rPr>
        <w:t> </w:t>
      </w:r>
      <w:r>
        <w:rPr>
          <w:color w:val="231F20"/>
        </w:rPr>
        <w:t>de</w:t>
      </w:r>
      <w:r>
        <w:rPr>
          <w:color w:val="231F20"/>
          <w:spacing w:val="-20"/>
        </w:rPr>
        <w:t> </w:t>
      </w:r>
      <w:r>
        <w:rPr>
          <w:color w:val="231F20"/>
        </w:rPr>
        <w:t>abril.</w:t>
      </w:r>
    </w:p>
    <w:p>
      <w:pPr>
        <w:pStyle w:val="BodyText"/>
        <w:spacing w:before="2"/>
        <w:rPr>
          <w:sz w:val="20"/>
        </w:rPr>
      </w:pPr>
    </w:p>
    <w:p>
      <w:pPr>
        <w:spacing w:line="266" w:lineRule="auto" w:before="0"/>
        <w:ind w:left="104" w:right="711" w:firstLine="396"/>
        <w:jc w:val="both"/>
        <w:rPr>
          <w:sz w:val="21"/>
        </w:rPr>
      </w:pPr>
      <w:r>
        <w:rPr>
          <w:color w:val="231F20"/>
          <w:spacing w:val="-4"/>
          <w:sz w:val="21"/>
        </w:rPr>
        <w:t>CEPAL</w:t>
      </w:r>
      <w:r>
        <w:rPr>
          <w:color w:val="231F20"/>
          <w:spacing w:val="-6"/>
          <w:sz w:val="21"/>
        </w:rPr>
        <w:t> </w:t>
      </w:r>
      <w:r>
        <w:rPr>
          <w:color w:val="231F20"/>
          <w:sz w:val="21"/>
        </w:rPr>
        <w:t>(2009),</w:t>
      </w:r>
      <w:r>
        <w:rPr>
          <w:color w:val="231F20"/>
          <w:spacing w:val="-6"/>
          <w:sz w:val="21"/>
        </w:rPr>
        <w:t> </w:t>
      </w:r>
      <w:r>
        <w:rPr>
          <w:rFonts w:ascii="Palatino Linotype" w:hAnsi="Palatino Linotype"/>
          <w:i/>
          <w:color w:val="231F20"/>
          <w:sz w:val="21"/>
        </w:rPr>
        <w:t>La</w:t>
      </w:r>
      <w:r>
        <w:rPr>
          <w:rFonts w:ascii="Palatino Linotype" w:hAnsi="Palatino Linotype"/>
          <w:i/>
          <w:color w:val="231F20"/>
          <w:spacing w:val="-5"/>
          <w:sz w:val="21"/>
        </w:rPr>
        <w:t> </w:t>
      </w:r>
      <w:r>
        <w:rPr>
          <w:rFonts w:ascii="Palatino Linotype" w:hAnsi="Palatino Linotype"/>
          <w:i/>
          <w:color w:val="231F20"/>
          <w:sz w:val="21"/>
        </w:rPr>
        <w:t>inversión</w:t>
      </w:r>
      <w:r>
        <w:rPr>
          <w:rFonts w:ascii="Palatino Linotype" w:hAnsi="Palatino Linotype"/>
          <w:i/>
          <w:color w:val="231F20"/>
          <w:spacing w:val="-5"/>
          <w:sz w:val="21"/>
        </w:rPr>
        <w:t> </w:t>
      </w:r>
      <w:r>
        <w:rPr>
          <w:rFonts w:ascii="Palatino Linotype" w:hAnsi="Palatino Linotype"/>
          <w:i/>
          <w:color w:val="231F20"/>
          <w:sz w:val="21"/>
        </w:rPr>
        <w:t>extranjera</w:t>
      </w:r>
      <w:r>
        <w:rPr>
          <w:rFonts w:ascii="Palatino Linotype" w:hAnsi="Palatino Linotype"/>
          <w:i/>
          <w:color w:val="231F20"/>
          <w:spacing w:val="-5"/>
          <w:sz w:val="21"/>
        </w:rPr>
        <w:t> </w:t>
      </w:r>
      <w:r>
        <w:rPr>
          <w:rFonts w:ascii="Palatino Linotype" w:hAnsi="Palatino Linotype"/>
          <w:i/>
          <w:color w:val="231F20"/>
          <w:sz w:val="21"/>
        </w:rPr>
        <w:t>en</w:t>
      </w:r>
      <w:r>
        <w:rPr>
          <w:rFonts w:ascii="Palatino Linotype" w:hAnsi="Palatino Linotype"/>
          <w:i/>
          <w:color w:val="231F20"/>
          <w:spacing w:val="-5"/>
          <w:sz w:val="21"/>
        </w:rPr>
        <w:t> </w:t>
      </w:r>
      <w:r>
        <w:rPr>
          <w:rFonts w:ascii="Palatino Linotype" w:hAnsi="Palatino Linotype"/>
          <w:i/>
          <w:color w:val="231F20"/>
          <w:sz w:val="21"/>
        </w:rPr>
        <w:t>América</w:t>
      </w:r>
      <w:r>
        <w:rPr>
          <w:rFonts w:ascii="Palatino Linotype" w:hAnsi="Palatino Linotype"/>
          <w:i/>
          <w:color w:val="231F20"/>
          <w:spacing w:val="-5"/>
          <w:sz w:val="21"/>
        </w:rPr>
        <w:t> </w:t>
      </w:r>
      <w:r>
        <w:rPr>
          <w:rFonts w:ascii="Palatino Linotype" w:hAnsi="Palatino Linotype"/>
          <w:i/>
          <w:color w:val="231F20"/>
          <w:sz w:val="21"/>
        </w:rPr>
        <w:t>Latina</w:t>
      </w:r>
      <w:r>
        <w:rPr>
          <w:rFonts w:ascii="Palatino Linotype" w:hAnsi="Palatino Linotype"/>
          <w:i/>
          <w:color w:val="231F20"/>
          <w:spacing w:val="-5"/>
          <w:sz w:val="21"/>
        </w:rPr>
        <w:t> </w:t>
      </w:r>
      <w:r>
        <w:rPr>
          <w:rFonts w:ascii="Palatino Linotype" w:hAnsi="Palatino Linotype"/>
          <w:i/>
          <w:color w:val="231F20"/>
          <w:sz w:val="21"/>
        </w:rPr>
        <w:t>y</w:t>
      </w:r>
      <w:r>
        <w:rPr>
          <w:rFonts w:ascii="Palatino Linotype" w:hAnsi="Palatino Linotype"/>
          <w:i/>
          <w:color w:val="231F20"/>
          <w:spacing w:val="-5"/>
          <w:sz w:val="21"/>
        </w:rPr>
        <w:t> </w:t>
      </w:r>
      <w:r>
        <w:rPr>
          <w:rFonts w:ascii="Palatino Linotype" w:hAnsi="Palatino Linotype"/>
          <w:i/>
          <w:color w:val="231F20"/>
          <w:sz w:val="21"/>
        </w:rPr>
        <w:t>el</w:t>
      </w:r>
      <w:r>
        <w:rPr>
          <w:rFonts w:ascii="Palatino Linotype" w:hAnsi="Palatino Linotype"/>
          <w:i/>
          <w:color w:val="231F20"/>
          <w:spacing w:val="-5"/>
          <w:sz w:val="21"/>
        </w:rPr>
        <w:t> </w:t>
      </w:r>
      <w:r>
        <w:rPr>
          <w:rFonts w:ascii="Palatino Linotype" w:hAnsi="Palatino Linotype"/>
          <w:i/>
          <w:color w:val="231F20"/>
          <w:sz w:val="21"/>
        </w:rPr>
        <w:t>Caribe,</w:t>
      </w:r>
      <w:r>
        <w:rPr>
          <w:rFonts w:ascii="Palatino Linotype" w:hAnsi="Palatino Linotype"/>
          <w:i/>
          <w:color w:val="231F20"/>
          <w:spacing w:val="-5"/>
          <w:sz w:val="21"/>
        </w:rPr>
        <w:t> </w:t>
      </w:r>
      <w:r>
        <w:rPr>
          <w:rFonts w:ascii="Palatino Linotype" w:hAnsi="Palatino Linotype"/>
          <w:i/>
          <w:color w:val="231F20"/>
          <w:sz w:val="21"/>
        </w:rPr>
        <w:t>2009</w:t>
      </w:r>
      <w:r>
        <w:rPr>
          <w:color w:val="231F20"/>
          <w:sz w:val="21"/>
        </w:rPr>
        <w:t>,</w:t>
      </w:r>
      <w:r>
        <w:rPr>
          <w:color w:val="231F20"/>
          <w:spacing w:val="-6"/>
          <w:sz w:val="21"/>
        </w:rPr>
        <w:t> </w:t>
      </w:r>
      <w:r>
        <w:rPr>
          <w:color w:val="231F20"/>
          <w:sz w:val="21"/>
        </w:rPr>
        <w:t>Co- misión</w:t>
      </w:r>
      <w:r>
        <w:rPr>
          <w:color w:val="231F20"/>
          <w:spacing w:val="-6"/>
          <w:sz w:val="21"/>
        </w:rPr>
        <w:t> </w:t>
      </w:r>
      <w:r>
        <w:rPr>
          <w:color w:val="231F20"/>
          <w:sz w:val="21"/>
        </w:rPr>
        <w:t>Económica</w:t>
      </w:r>
      <w:r>
        <w:rPr>
          <w:color w:val="231F20"/>
          <w:spacing w:val="-6"/>
          <w:sz w:val="21"/>
        </w:rPr>
        <w:t> </w:t>
      </w:r>
      <w:r>
        <w:rPr>
          <w:color w:val="231F20"/>
          <w:sz w:val="21"/>
        </w:rPr>
        <w:t>para</w:t>
      </w:r>
      <w:r>
        <w:rPr>
          <w:color w:val="231F20"/>
          <w:spacing w:val="-6"/>
          <w:sz w:val="21"/>
        </w:rPr>
        <w:t> </w:t>
      </w:r>
      <w:r>
        <w:rPr>
          <w:color w:val="231F20"/>
          <w:sz w:val="21"/>
        </w:rPr>
        <w:t>América</w:t>
      </w:r>
      <w:r>
        <w:rPr>
          <w:color w:val="231F20"/>
          <w:spacing w:val="-6"/>
          <w:sz w:val="21"/>
        </w:rPr>
        <w:t> </w:t>
      </w:r>
      <w:r>
        <w:rPr>
          <w:color w:val="231F20"/>
          <w:sz w:val="21"/>
        </w:rPr>
        <w:t>Latina</w:t>
      </w:r>
      <w:r>
        <w:rPr>
          <w:color w:val="231F20"/>
          <w:spacing w:val="-6"/>
          <w:sz w:val="21"/>
        </w:rPr>
        <w:t> </w:t>
      </w:r>
      <w:r>
        <w:rPr>
          <w:color w:val="231F20"/>
          <w:sz w:val="21"/>
        </w:rPr>
        <w:t>y</w:t>
      </w:r>
      <w:r>
        <w:rPr>
          <w:color w:val="231F20"/>
          <w:spacing w:val="-6"/>
          <w:sz w:val="21"/>
        </w:rPr>
        <w:t> </w:t>
      </w:r>
      <w:r>
        <w:rPr>
          <w:color w:val="231F20"/>
          <w:sz w:val="21"/>
        </w:rPr>
        <w:t>El</w:t>
      </w:r>
      <w:r>
        <w:rPr>
          <w:color w:val="231F20"/>
          <w:spacing w:val="-6"/>
          <w:sz w:val="21"/>
        </w:rPr>
        <w:t> </w:t>
      </w:r>
      <w:r>
        <w:rPr>
          <w:color w:val="231F20"/>
          <w:sz w:val="21"/>
        </w:rPr>
        <w:t>Caribe.</w:t>
      </w:r>
      <w:r>
        <w:rPr>
          <w:color w:val="231F20"/>
          <w:spacing w:val="-6"/>
          <w:sz w:val="21"/>
        </w:rPr>
        <w:t> </w:t>
      </w:r>
      <w:r>
        <w:rPr>
          <w:color w:val="231F20"/>
          <w:sz w:val="21"/>
        </w:rPr>
        <w:t>Publicación</w:t>
      </w:r>
      <w:r>
        <w:rPr>
          <w:color w:val="231F20"/>
          <w:spacing w:val="-6"/>
          <w:sz w:val="21"/>
        </w:rPr>
        <w:t> </w:t>
      </w:r>
      <w:r>
        <w:rPr>
          <w:color w:val="231F20"/>
          <w:sz w:val="21"/>
        </w:rPr>
        <w:t>de</w:t>
      </w:r>
      <w:r>
        <w:rPr>
          <w:color w:val="231F20"/>
          <w:spacing w:val="-6"/>
          <w:sz w:val="21"/>
        </w:rPr>
        <w:t> </w:t>
      </w:r>
      <w:r>
        <w:rPr>
          <w:color w:val="231F20"/>
          <w:sz w:val="21"/>
        </w:rPr>
        <w:t>Naciones</w:t>
      </w:r>
      <w:r>
        <w:rPr>
          <w:color w:val="231F20"/>
          <w:spacing w:val="-6"/>
          <w:sz w:val="21"/>
        </w:rPr>
        <w:t> </w:t>
      </w:r>
      <w:r>
        <w:rPr>
          <w:color w:val="231F20"/>
          <w:sz w:val="21"/>
        </w:rPr>
        <w:t>Unidas, Santiago</w:t>
      </w:r>
      <w:r>
        <w:rPr>
          <w:color w:val="231F20"/>
          <w:spacing w:val="-14"/>
          <w:sz w:val="21"/>
        </w:rPr>
        <w:t> </w:t>
      </w:r>
      <w:r>
        <w:rPr>
          <w:color w:val="231F20"/>
          <w:sz w:val="21"/>
        </w:rPr>
        <w:t>de</w:t>
      </w:r>
      <w:r>
        <w:rPr>
          <w:color w:val="231F20"/>
          <w:spacing w:val="-14"/>
          <w:sz w:val="21"/>
        </w:rPr>
        <w:t> </w:t>
      </w:r>
      <w:r>
        <w:rPr>
          <w:color w:val="231F20"/>
          <w:sz w:val="21"/>
        </w:rPr>
        <w:t>Chile,</w:t>
      </w:r>
      <w:r>
        <w:rPr>
          <w:color w:val="231F20"/>
          <w:spacing w:val="-14"/>
          <w:sz w:val="21"/>
        </w:rPr>
        <w:t> </w:t>
      </w:r>
      <w:r>
        <w:rPr>
          <w:color w:val="231F20"/>
          <w:sz w:val="21"/>
        </w:rPr>
        <w:t>consultado</w:t>
      </w:r>
      <w:r>
        <w:rPr>
          <w:color w:val="231F20"/>
          <w:spacing w:val="-14"/>
          <w:sz w:val="21"/>
        </w:rPr>
        <w:t> </w:t>
      </w:r>
      <w:r>
        <w:rPr>
          <w:color w:val="231F20"/>
          <w:sz w:val="21"/>
        </w:rPr>
        <w:t>en</w:t>
      </w:r>
      <w:r>
        <w:rPr>
          <w:color w:val="231F20"/>
          <w:spacing w:val="-14"/>
          <w:sz w:val="21"/>
        </w:rPr>
        <w:t> </w:t>
      </w:r>
      <w:hyperlink r:id="rId372">
        <w:r>
          <w:rPr>
            <w:color w:val="231F20"/>
            <w:sz w:val="21"/>
          </w:rPr>
          <w:t>www.cepal.org/publicaciones</w:t>
        </w:r>
      </w:hyperlink>
      <w:r>
        <w:rPr>
          <w:color w:val="231F20"/>
          <w:spacing w:val="-14"/>
          <w:sz w:val="21"/>
        </w:rPr>
        <w:t> </w:t>
      </w:r>
      <w:r>
        <w:rPr>
          <w:color w:val="231F20"/>
          <w:sz w:val="21"/>
        </w:rPr>
        <w:t>(10</w:t>
      </w:r>
      <w:r>
        <w:rPr>
          <w:color w:val="231F20"/>
          <w:spacing w:val="-14"/>
          <w:sz w:val="21"/>
        </w:rPr>
        <w:t> </w:t>
      </w:r>
      <w:r>
        <w:rPr>
          <w:color w:val="231F20"/>
          <w:sz w:val="21"/>
        </w:rPr>
        <w:t>de</w:t>
      </w:r>
      <w:r>
        <w:rPr>
          <w:color w:val="231F20"/>
          <w:spacing w:val="-14"/>
          <w:sz w:val="21"/>
        </w:rPr>
        <w:t> </w:t>
      </w:r>
      <w:r>
        <w:rPr>
          <w:color w:val="231F20"/>
          <w:sz w:val="21"/>
        </w:rPr>
        <w:t>junio</w:t>
      </w:r>
      <w:r>
        <w:rPr>
          <w:color w:val="231F20"/>
          <w:spacing w:val="-14"/>
          <w:sz w:val="21"/>
        </w:rPr>
        <w:t> </w:t>
      </w:r>
      <w:r>
        <w:rPr>
          <w:color w:val="231F20"/>
          <w:sz w:val="21"/>
        </w:rPr>
        <w:t>de</w:t>
      </w:r>
      <w:r>
        <w:rPr>
          <w:color w:val="231F20"/>
          <w:spacing w:val="-14"/>
          <w:sz w:val="21"/>
        </w:rPr>
        <w:t> </w:t>
      </w:r>
      <w:r>
        <w:rPr>
          <w:color w:val="231F20"/>
          <w:sz w:val="21"/>
        </w:rPr>
        <w:t>2010).</w:t>
      </w:r>
    </w:p>
    <w:p>
      <w:pPr>
        <w:pStyle w:val="BodyText"/>
        <w:spacing w:before="3"/>
        <w:rPr>
          <w:sz w:val="18"/>
        </w:rPr>
      </w:pPr>
    </w:p>
    <w:p>
      <w:pPr>
        <w:spacing w:line="266" w:lineRule="auto" w:before="34"/>
        <w:ind w:left="103" w:right="711"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1"/>
          <w:sz w:val="21"/>
        </w:rPr>
        <w:t> </w:t>
      </w:r>
      <w:r>
        <w:rPr>
          <w:color w:val="231F20"/>
          <w:sz w:val="21"/>
        </w:rPr>
        <w:t>(2003),</w:t>
      </w:r>
      <w:r>
        <w:rPr>
          <w:color w:val="231F20"/>
          <w:spacing w:val="-15"/>
          <w:sz w:val="21"/>
        </w:rPr>
        <w:t> </w:t>
      </w:r>
      <w:r>
        <w:rPr>
          <w:rFonts w:ascii="Palatino Linotype" w:hAnsi="Palatino Linotype"/>
          <w:i/>
          <w:color w:val="231F20"/>
          <w:sz w:val="21"/>
        </w:rPr>
        <w:t>La</w:t>
      </w:r>
      <w:r>
        <w:rPr>
          <w:rFonts w:ascii="Palatino Linotype" w:hAnsi="Palatino Linotype"/>
          <w:i/>
          <w:color w:val="231F20"/>
          <w:spacing w:val="-14"/>
          <w:sz w:val="21"/>
        </w:rPr>
        <w:t> </w:t>
      </w:r>
      <w:r>
        <w:rPr>
          <w:rFonts w:ascii="Palatino Linotype" w:hAnsi="Palatino Linotype"/>
          <w:i/>
          <w:color w:val="231F20"/>
          <w:sz w:val="21"/>
        </w:rPr>
        <w:t>inversión</w:t>
      </w:r>
      <w:r>
        <w:rPr>
          <w:rFonts w:ascii="Palatino Linotype" w:hAnsi="Palatino Linotype"/>
          <w:i/>
          <w:color w:val="231F20"/>
          <w:spacing w:val="-14"/>
          <w:sz w:val="21"/>
        </w:rPr>
        <w:t> </w:t>
      </w:r>
      <w:r>
        <w:rPr>
          <w:rFonts w:ascii="Palatino Linotype" w:hAnsi="Palatino Linotype"/>
          <w:i/>
          <w:color w:val="231F20"/>
          <w:sz w:val="21"/>
        </w:rPr>
        <w:t>extranjera</w:t>
      </w:r>
      <w:r>
        <w:rPr>
          <w:rFonts w:ascii="Palatino Linotype" w:hAnsi="Palatino Linotype"/>
          <w:i/>
          <w:color w:val="231F20"/>
          <w:spacing w:val="-14"/>
          <w:sz w:val="21"/>
        </w:rPr>
        <w:t> </w:t>
      </w:r>
      <w:r>
        <w:rPr>
          <w:rFonts w:ascii="Palatino Linotype" w:hAnsi="Palatino Linotype"/>
          <w:i/>
          <w:color w:val="231F20"/>
          <w:sz w:val="21"/>
        </w:rPr>
        <w:t>en</w:t>
      </w:r>
      <w:r>
        <w:rPr>
          <w:rFonts w:ascii="Palatino Linotype" w:hAnsi="Palatino Linotype"/>
          <w:i/>
          <w:color w:val="231F20"/>
          <w:spacing w:val="-14"/>
          <w:sz w:val="21"/>
        </w:rPr>
        <w:t> </w:t>
      </w:r>
      <w:r>
        <w:rPr>
          <w:rFonts w:ascii="Palatino Linotype" w:hAnsi="Palatino Linotype"/>
          <w:i/>
          <w:color w:val="231F20"/>
          <w:sz w:val="21"/>
        </w:rPr>
        <w:t>América</w:t>
      </w:r>
      <w:r>
        <w:rPr>
          <w:rFonts w:ascii="Palatino Linotype" w:hAnsi="Palatino Linotype"/>
          <w:i/>
          <w:color w:val="231F20"/>
          <w:spacing w:val="-14"/>
          <w:sz w:val="21"/>
        </w:rPr>
        <w:t> </w:t>
      </w:r>
      <w:r>
        <w:rPr>
          <w:rFonts w:ascii="Palatino Linotype" w:hAnsi="Palatino Linotype"/>
          <w:i/>
          <w:color w:val="231F20"/>
          <w:sz w:val="21"/>
        </w:rPr>
        <w:t>Latina</w:t>
      </w:r>
      <w:r>
        <w:rPr>
          <w:rFonts w:ascii="Palatino Linotype" w:hAnsi="Palatino Linotype"/>
          <w:i/>
          <w:color w:val="231F20"/>
          <w:spacing w:val="-14"/>
          <w:sz w:val="21"/>
        </w:rPr>
        <w:t> </w:t>
      </w:r>
      <w:r>
        <w:rPr>
          <w:rFonts w:ascii="Palatino Linotype" w:hAnsi="Palatino Linotype"/>
          <w:i/>
          <w:color w:val="231F20"/>
          <w:sz w:val="21"/>
        </w:rPr>
        <w:t>y</w:t>
      </w:r>
      <w:r>
        <w:rPr>
          <w:rFonts w:ascii="Palatino Linotype" w:hAnsi="Palatino Linotype"/>
          <w:i/>
          <w:color w:val="231F20"/>
          <w:spacing w:val="-14"/>
          <w:sz w:val="21"/>
        </w:rPr>
        <w:t> </w:t>
      </w:r>
      <w:r>
        <w:rPr>
          <w:rFonts w:ascii="Palatino Linotype" w:hAnsi="Palatino Linotype"/>
          <w:i/>
          <w:color w:val="231F20"/>
          <w:sz w:val="21"/>
        </w:rPr>
        <w:t>el</w:t>
      </w:r>
      <w:r>
        <w:rPr>
          <w:rFonts w:ascii="Palatino Linotype" w:hAnsi="Palatino Linotype"/>
          <w:i/>
          <w:color w:val="231F20"/>
          <w:spacing w:val="-14"/>
          <w:sz w:val="21"/>
        </w:rPr>
        <w:t> </w:t>
      </w:r>
      <w:r>
        <w:rPr>
          <w:rFonts w:ascii="Palatino Linotype" w:hAnsi="Palatino Linotype"/>
          <w:i/>
          <w:color w:val="231F20"/>
          <w:sz w:val="21"/>
        </w:rPr>
        <w:t>Caribe,</w:t>
      </w:r>
      <w:r>
        <w:rPr>
          <w:rFonts w:ascii="Palatino Linotype" w:hAnsi="Palatino Linotype"/>
          <w:i/>
          <w:color w:val="231F20"/>
          <w:spacing w:val="-14"/>
          <w:sz w:val="21"/>
        </w:rPr>
        <w:t> </w:t>
      </w:r>
      <w:r>
        <w:rPr>
          <w:rFonts w:ascii="Palatino Linotype" w:hAnsi="Palatino Linotype"/>
          <w:i/>
          <w:color w:val="231F20"/>
          <w:sz w:val="21"/>
        </w:rPr>
        <w:t>2003</w:t>
      </w:r>
      <w:r>
        <w:rPr>
          <w:color w:val="231F20"/>
          <w:sz w:val="21"/>
        </w:rPr>
        <w:t>,</w:t>
      </w:r>
      <w:r>
        <w:rPr>
          <w:color w:val="231F20"/>
          <w:spacing w:val="-15"/>
          <w:sz w:val="21"/>
        </w:rPr>
        <w:t> </w:t>
      </w:r>
      <w:r>
        <w:rPr>
          <w:color w:val="231F20"/>
          <w:sz w:val="21"/>
        </w:rPr>
        <w:t>Comi- sión Económica para América Latina y El Caribe. Publicación de Naciones Unidas, Santiago</w:t>
      </w:r>
      <w:r>
        <w:rPr>
          <w:color w:val="231F20"/>
          <w:spacing w:val="-15"/>
          <w:sz w:val="21"/>
        </w:rPr>
        <w:t> </w:t>
      </w:r>
      <w:r>
        <w:rPr>
          <w:color w:val="231F20"/>
          <w:sz w:val="21"/>
        </w:rPr>
        <w:t>de</w:t>
      </w:r>
      <w:r>
        <w:rPr>
          <w:color w:val="231F20"/>
          <w:spacing w:val="-15"/>
          <w:sz w:val="21"/>
        </w:rPr>
        <w:t> </w:t>
      </w:r>
      <w:r>
        <w:rPr>
          <w:color w:val="231F20"/>
          <w:sz w:val="21"/>
        </w:rPr>
        <w:t>Chile,</w:t>
      </w:r>
      <w:r>
        <w:rPr>
          <w:color w:val="231F20"/>
          <w:spacing w:val="-15"/>
          <w:sz w:val="21"/>
        </w:rPr>
        <w:t> </w:t>
      </w:r>
      <w:r>
        <w:rPr>
          <w:color w:val="231F20"/>
          <w:sz w:val="21"/>
        </w:rPr>
        <w:t>consultado</w:t>
      </w:r>
      <w:r>
        <w:rPr>
          <w:color w:val="231F20"/>
          <w:spacing w:val="-15"/>
          <w:sz w:val="21"/>
        </w:rPr>
        <w:t> </w:t>
      </w:r>
      <w:r>
        <w:rPr>
          <w:color w:val="231F20"/>
          <w:sz w:val="21"/>
        </w:rPr>
        <w:t>en</w:t>
      </w:r>
      <w:r>
        <w:rPr>
          <w:color w:val="231F20"/>
          <w:spacing w:val="-15"/>
          <w:sz w:val="21"/>
        </w:rPr>
        <w:t> </w:t>
      </w:r>
      <w:hyperlink r:id="rId372">
        <w:r>
          <w:rPr>
            <w:color w:val="231F20"/>
            <w:sz w:val="21"/>
          </w:rPr>
          <w:t>www.cepal.org/publicaciones</w:t>
        </w:r>
      </w:hyperlink>
      <w:r>
        <w:rPr>
          <w:color w:val="231F20"/>
          <w:spacing w:val="-15"/>
          <w:sz w:val="21"/>
        </w:rPr>
        <w:t> </w:t>
      </w:r>
      <w:r>
        <w:rPr>
          <w:color w:val="231F20"/>
          <w:sz w:val="21"/>
        </w:rPr>
        <w:t>(5</w:t>
      </w:r>
      <w:r>
        <w:rPr>
          <w:color w:val="231F20"/>
          <w:spacing w:val="-15"/>
          <w:sz w:val="21"/>
        </w:rPr>
        <w:t> </w:t>
      </w:r>
      <w:r>
        <w:rPr>
          <w:color w:val="231F20"/>
          <w:sz w:val="21"/>
        </w:rPr>
        <w:t>de</w:t>
      </w:r>
      <w:r>
        <w:rPr>
          <w:color w:val="231F20"/>
          <w:spacing w:val="-15"/>
          <w:sz w:val="21"/>
        </w:rPr>
        <w:t> </w:t>
      </w:r>
      <w:r>
        <w:rPr>
          <w:color w:val="231F20"/>
          <w:sz w:val="21"/>
        </w:rPr>
        <w:t>mayo</w:t>
      </w:r>
      <w:r>
        <w:rPr>
          <w:color w:val="231F20"/>
          <w:spacing w:val="-15"/>
          <w:sz w:val="21"/>
        </w:rPr>
        <w:t> </w:t>
      </w:r>
      <w:r>
        <w:rPr>
          <w:color w:val="231F20"/>
          <w:sz w:val="21"/>
        </w:rPr>
        <w:t>de</w:t>
      </w:r>
      <w:r>
        <w:rPr>
          <w:color w:val="231F20"/>
          <w:spacing w:val="-15"/>
          <w:sz w:val="21"/>
        </w:rPr>
        <w:t> </w:t>
      </w:r>
      <w:r>
        <w:rPr>
          <w:color w:val="231F20"/>
          <w:sz w:val="21"/>
        </w:rPr>
        <w:t>2010).</w:t>
      </w:r>
    </w:p>
    <w:p>
      <w:pPr>
        <w:pStyle w:val="BodyText"/>
        <w:spacing w:before="3"/>
        <w:rPr>
          <w:sz w:val="23"/>
        </w:rPr>
      </w:pPr>
    </w:p>
    <w:p>
      <w:pPr>
        <w:spacing w:line="256" w:lineRule="auto" w:before="0"/>
        <w:ind w:left="103" w:right="711" w:firstLine="396"/>
        <w:jc w:val="both"/>
        <w:rPr>
          <w:sz w:val="21"/>
        </w:rPr>
      </w:pPr>
      <w:r>
        <w:rPr>
          <w:color w:val="231F20"/>
          <w:sz w:val="21"/>
        </w:rPr>
        <w:t>Chandler,</w:t>
      </w:r>
      <w:r>
        <w:rPr>
          <w:color w:val="231F20"/>
          <w:spacing w:val="-26"/>
          <w:sz w:val="21"/>
        </w:rPr>
        <w:t> </w:t>
      </w:r>
      <w:r>
        <w:rPr>
          <w:color w:val="231F20"/>
          <w:sz w:val="21"/>
        </w:rPr>
        <w:t>Alfred</w:t>
      </w:r>
      <w:r>
        <w:rPr>
          <w:color w:val="231F20"/>
          <w:spacing w:val="-26"/>
          <w:sz w:val="21"/>
        </w:rPr>
        <w:t> </w:t>
      </w:r>
      <w:r>
        <w:rPr>
          <w:color w:val="231F20"/>
          <w:sz w:val="21"/>
        </w:rPr>
        <w:t>(1978),</w:t>
      </w:r>
      <w:r>
        <w:rPr>
          <w:color w:val="231F20"/>
          <w:spacing w:val="-26"/>
          <w:sz w:val="21"/>
        </w:rPr>
        <w:t> </w:t>
      </w:r>
      <w:r>
        <w:rPr>
          <w:color w:val="231F20"/>
          <w:sz w:val="21"/>
        </w:rPr>
        <w:t>“The</w:t>
      </w:r>
      <w:r>
        <w:rPr>
          <w:color w:val="231F20"/>
          <w:spacing w:val="-26"/>
          <w:sz w:val="21"/>
        </w:rPr>
        <w:t> </w:t>
      </w:r>
      <w:r>
        <w:rPr>
          <w:color w:val="231F20"/>
          <w:spacing w:val="-3"/>
          <w:sz w:val="21"/>
        </w:rPr>
        <w:t>United</w:t>
      </w:r>
      <w:r>
        <w:rPr>
          <w:color w:val="231F20"/>
          <w:spacing w:val="-26"/>
          <w:sz w:val="21"/>
        </w:rPr>
        <w:t> </w:t>
      </w:r>
      <w:r>
        <w:rPr>
          <w:color w:val="231F20"/>
          <w:sz w:val="21"/>
        </w:rPr>
        <w:t>States:</w:t>
      </w:r>
      <w:r>
        <w:rPr>
          <w:color w:val="231F20"/>
          <w:spacing w:val="-26"/>
          <w:sz w:val="21"/>
        </w:rPr>
        <w:t> </w:t>
      </w:r>
      <w:r>
        <w:rPr>
          <w:color w:val="231F20"/>
          <w:sz w:val="21"/>
        </w:rPr>
        <w:t>Evolution</w:t>
      </w:r>
      <w:r>
        <w:rPr>
          <w:color w:val="231F20"/>
          <w:spacing w:val="-26"/>
          <w:sz w:val="21"/>
        </w:rPr>
        <w:t> </w:t>
      </w:r>
      <w:r>
        <w:rPr>
          <w:color w:val="231F20"/>
          <w:sz w:val="21"/>
        </w:rPr>
        <w:t>of</w:t>
      </w:r>
      <w:r>
        <w:rPr>
          <w:color w:val="231F20"/>
          <w:spacing w:val="-26"/>
          <w:sz w:val="21"/>
        </w:rPr>
        <w:t> </w:t>
      </w:r>
      <w:r>
        <w:rPr>
          <w:color w:val="231F20"/>
          <w:spacing w:val="-5"/>
          <w:sz w:val="21"/>
        </w:rPr>
        <w:t>Enterprise”,</w:t>
      </w:r>
      <w:r>
        <w:rPr>
          <w:color w:val="231F20"/>
          <w:spacing w:val="-26"/>
          <w:sz w:val="21"/>
        </w:rPr>
        <w:t> </w:t>
      </w:r>
      <w:r>
        <w:rPr>
          <w:color w:val="231F20"/>
          <w:sz w:val="21"/>
        </w:rPr>
        <w:t>en</w:t>
      </w:r>
      <w:r>
        <w:rPr>
          <w:color w:val="231F20"/>
          <w:spacing w:val="-26"/>
          <w:sz w:val="21"/>
        </w:rPr>
        <w:t> </w:t>
      </w:r>
      <w:r>
        <w:rPr>
          <w:color w:val="231F20"/>
          <w:spacing w:val="-15"/>
          <w:sz w:val="21"/>
        </w:rPr>
        <w:t>P.</w:t>
      </w:r>
      <w:r>
        <w:rPr>
          <w:color w:val="231F20"/>
          <w:spacing w:val="-26"/>
          <w:sz w:val="21"/>
        </w:rPr>
        <w:t> </w:t>
      </w:r>
      <w:r>
        <w:rPr>
          <w:color w:val="231F20"/>
          <w:sz w:val="21"/>
        </w:rPr>
        <w:t>Mathias y</w:t>
      </w:r>
      <w:r>
        <w:rPr>
          <w:color w:val="231F20"/>
          <w:spacing w:val="-21"/>
          <w:sz w:val="21"/>
        </w:rPr>
        <w:t> </w:t>
      </w:r>
      <w:r>
        <w:rPr>
          <w:color w:val="231F20"/>
          <w:sz w:val="21"/>
        </w:rPr>
        <w:t>M.</w:t>
      </w:r>
      <w:r>
        <w:rPr>
          <w:color w:val="231F20"/>
          <w:spacing w:val="-21"/>
          <w:sz w:val="21"/>
        </w:rPr>
        <w:t> </w:t>
      </w:r>
      <w:r>
        <w:rPr>
          <w:color w:val="231F20"/>
          <w:sz w:val="21"/>
        </w:rPr>
        <w:t>M.</w:t>
      </w:r>
      <w:r>
        <w:rPr>
          <w:color w:val="231F20"/>
          <w:spacing w:val="-21"/>
          <w:sz w:val="21"/>
        </w:rPr>
        <w:t> </w:t>
      </w:r>
      <w:r>
        <w:rPr>
          <w:color w:val="231F20"/>
          <w:sz w:val="21"/>
        </w:rPr>
        <w:t>Postan</w:t>
      </w:r>
      <w:r>
        <w:rPr>
          <w:color w:val="231F20"/>
          <w:spacing w:val="-21"/>
          <w:sz w:val="21"/>
        </w:rPr>
        <w:t> </w:t>
      </w:r>
      <w:r>
        <w:rPr>
          <w:color w:val="231F20"/>
          <w:sz w:val="21"/>
        </w:rPr>
        <w:t>(eds.),</w:t>
      </w:r>
      <w:r>
        <w:rPr>
          <w:color w:val="231F20"/>
          <w:spacing w:val="-21"/>
          <w:sz w:val="21"/>
        </w:rPr>
        <w:t> </w:t>
      </w:r>
      <w:r>
        <w:rPr>
          <w:rFonts w:ascii="Palatino Linotype" w:hAnsi="Palatino Linotype"/>
          <w:i/>
          <w:color w:val="231F20"/>
          <w:sz w:val="21"/>
        </w:rPr>
        <w:t>The</w:t>
      </w:r>
      <w:r>
        <w:rPr>
          <w:rFonts w:ascii="Palatino Linotype" w:hAnsi="Palatino Linotype"/>
          <w:i/>
          <w:color w:val="231F20"/>
          <w:spacing w:val="-21"/>
          <w:sz w:val="21"/>
        </w:rPr>
        <w:t> </w:t>
      </w:r>
      <w:r>
        <w:rPr>
          <w:rFonts w:ascii="Palatino Linotype" w:hAnsi="Palatino Linotype"/>
          <w:i/>
          <w:color w:val="231F20"/>
          <w:sz w:val="21"/>
        </w:rPr>
        <w:t>Cambridge</w:t>
      </w:r>
      <w:r>
        <w:rPr>
          <w:rFonts w:ascii="Palatino Linotype" w:hAnsi="Palatino Linotype"/>
          <w:i/>
          <w:color w:val="231F20"/>
          <w:spacing w:val="-21"/>
          <w:sz w:val="21"/>
        </w:rPr>
        <w:t> </w:t>
      </w:r>
      <w:r>
        <w:rPr>
          <w:rFonts w:ascii="Palatino Linotype" w:hAnsi="Palatino Linotype"/>
          <w:i/>
          <w:color w:val="231F20"/>
          <w:sz w:val="21"/>
        </w:rPr>
        <w:t>Economic</w:t>
      </w:r>
      <w:r>
        <w:rPr>
          <w:rFonts w:ascii="Palatino Linotype" w:hAnsi="Palatino Linotype"/>
          <w:i/>
          <w:color w:val="231F20"/>
          <w:spacing w:val="-21"/>
          <w:sz w:val="21"/>
        </w:rPr>
        <w:t> </w:t>
      </w:r>
      <w:r>
        <w:rPr>
          <w:rFonts w:ascii="Palatino Linotype" w:hAnsi="Palatino Linotype"/>
          <w:i/>
          <w:color w:val="231F20"/>
          <w:sz w:val="21"/>
        </w:rPr>
        <w:t>History</w:t>
      </w:r>
      <w:r>
        <w:rPr>
          <w:rFonts w:ascii="Palatino Linotype" w:hAnsi="Palatino Linotype"/>
          <w:i/>
          <w:color w:val="231F20"/>
          <w:spacing w:val="-21"/>
          <w:sz w:val="21"/>
        </w:rPr>
        <w:t> </w:t>
      </w:r>
      <w:r>
        <w:rPr>
          <w:rFonts w:ascii="Palatino Linotype" w:hAnsi="Palatino Linotype"/>
          <w:i/>
          <w:color w:val="231F20"/>
          <w:sz w:val="21"/>
        </w:rPr>
        <w:t>of</w:t>
      </w:r>
      <w:r>
        <w:rPr>
          <w:rFonts w:ascii="Palatino Linotype" w:hAnsi="Palatino Linotype"/>
          <w:i/>
          <w:color w:val="231F20"/>
          <w:spacing w:val="-21"/>
          <w:sz w:val="21"/>
        </w:rPr>
        <w:t> </w:t>
      </w:r>
      <w:r>
        <w:rPr>
          <w:rFonts w:ascii="Palatino Linotype" w:hAnsi="Palatino Linotype"/>
          <w:i/>
          <w:color w:val="231F20"/>
          <w:sz w:val="21"/>
        </w:rPr>
        <w:t>Europe,</w:t>
      </w:r>
      <w:r>
        <w:rPr>
          <w:rFonts w:ascii="Palatino Linotype" w:hAnsi="Palatino Linotype"/>
          <w:i/>
          <w:color w:val="231F20"/>
          <w:spacing w:val="-22"/>
          <w:sz w:val="21"/>
        </w:rPr>
        <w:t> </w:t>
      </w:r>
      <w:r>
        <w:rPr>
          <w:rFonts w:ascii="Palatino Linotype" w:hAnsi="Palatino Linotype"/>
          <w:i/>
          <w:color w:val="231F20"/>
          <w:sz w:val="21"/>
        </w:rPr>
        <w:t>vol.</w:t>
      </w:r>
      <w:r>
        <w:rPr>
          <w:rFonts w:ascii="Palatino Linotype" w:hAnsi="Palatino Linotype"/>
          <w:i/>
          <w:color w:val="231F20"/>
          <w:spacing w:val="-21"/>
          <w:sz w:val="21"/>
        </w:rPr>
        <w:t> </w:t>
      </w:r>
      <w:r>
        <w:rPr>
          <w:rFonts w:ascii="Palatino Linotype" w:hAnsi="Palatino Linotype"/>
          <w:i/>
          <w:color w:val="231F20"/>
          <w:sz w:val="21"/>
        </w:rPr>
        <w:t>VII</w:t>
      </w:r>
      <w:r>
        <w:rPr>
          <w:color w:val="231F20"/>
          <w:sz w:val="21"/>
        </w:rPr>
        <w:t>,</w:t>
      </w:r>
      <w:r>
        <w:rPr>
          <w:color w:val="231F20"/>
          <w:spacing w:val="-21"/>
          <w:sz w:val="21"/>
        </w:rPr>
        <w:t> </w:t>
      </w:r>
      <w:r>
        <w:rPr>
          <w:color w:val="231F20"/>
          <w:sz w:val="21"/>
        </w:rPr>
        <w:t>Cambridge University</w:t>
      </w:r>
      <w:r>
        <w:rPr>
          <w:color w:val="231F20"/>
          <w:spacing w:val="-27"/>
          <w:sz w:val="21"/>
        </w:rPr>
        <w:t> </w:t>
      </w:r>
      <w:r>
        <w:rPr>
          <w:color w:val="231F20"/>
          <w:sz w:val="21"/>
        </w:rPr>
        <w:t>Press,</w:t>
      </w:r>
      <w:r>
        <w:rPr>
          <w:color w:val="231F20"/>
          <w:spacing w:val="-27"/>
          <w:sz w:val="21"/>
        </w:rPr>
        <w:t> </w:t>
      </w:r>
      <w:r>
        <w:rPr>
          <w:color w:val="231F20"/>
          <w:sz w:val="21"/>
        </w:rPr>
        <w:t>s/l.</w:t>
      </w:r>
    </w:p>
    <w:p>
      <w:pPr>
        <w:pStyle w:val="BodyText"/>
        <w:spacing w:before="1"/>
        <w:rPr>
          <w:sz w:val="24"/>
        </w:rPr>
      </w:pPr>
    </w:p>
    <w:p>
      <w:pPr>
        <w:pStyle w:val="BodyText"/>
        <w:spacing w:line="278" w:lineRule="auto"/>
        <w:ind w:left="103" w:right="711" w:firstLine="396"/>
        <w:jc w:val="both"/>
      </w:pPr>
      <w:r>
        <w:rPr>
          <w:color w:val="231F20"/>
        </w:rPr>
        <w:t>Daimler (2014), “Instalaciones de Daimler México”, consultado en </w:t>
      </w:r>
      <w:hyperlink r:id="rId373">
        <w:r>
          <w:rPr>
            <w:color w:val="231F20"/>
          </w:rPr>
          <w:t>http://www.</w:t>
        </w:r>
      </w:hyperlink>
      <w:r>
        <w:rPr>
          <w:color w:val="231F20"/>
        </w:rPr>
        <w:t> daimler.com.mx (5 de diciembre de 2014).</w:t>
      </w:r>
    </w:p>
    <w:p>
      <w:pPr>
        <w:pStyle w:val="BodyText"/>
        <w:spacing w:before="3"/>
        <w:rPr>
          <w:sz w:val="22"/>
        </w:rPr>
      </w:pPr>
    </w:p>
    <w:p>
      <w:pPr>
        <w:spacing w:line="244" w:lineRule="auto" w:before="0"/>
        <w:ind w:left="103" w:right="711" w:firstLine="396"/>
        <w:jc w:val="both"/>
        <w:rPr>
          <w:sz w:val="21"/>
        </w:rPr>
      </w:pPr>
      <w:r>
        <w:rPr>
          <w:color w:val="010202"/>
          <w:sz w:val="21"/>
        </w:rPr>
        <w:t>Dombois,</w:t>
      </w:r>
      <w:r>
        <w:rPr>
          <w:color w:val="010202"/>
          <w:spacing w:val="-12"/>
          <w:sz w:val="21"/>
        </w:rPr>
        <w:t> </w:t>
      </w:r>
      <w:r>
        <w:rPr>
          <w:color w:val="010202"/>
          <w:sz w:val="21"/>
        </w:rPr>
        <w:t>Rainer</w:t>
      </w:r>
      <w:r>
        <w:rPr>
          <w:color w:val="010202"/>
          <w:spacing w:val="-12"/>
          <w:sz w:val="21"/>
        </w:rPr>
        <w:t> </w:t>
      </w:r>
      <w:r>
        <w:rPr>
          <w:color w:val="010202"/>
          <w:sz w:val="21"/>
        </w:rPr>
        <w:t>(1990),</w:t>
      </w:r>
      <w:r>
        <w:rPr>
          <w:color w:val="010202"/>
          <w:spacing w:val="-12"/>
          <w:sz w:val="21"/>
        </w:rPr>
        <w:t> </w:t>
      </w:r>
      <w:r>
        <w:rPr>
          <w:color w:val="010202"/>
          <w:sz w:val="21"/>
        </w:rPr>
        <w:t>“Economía</w:t>
      </w:r>
      <w:r>
        <w:rPr>
          <w:color w:val="010202"/>
          <w:spacing w:val="-12"/>
          <w:sz w:val="21"/>
        </w:rPr>
        <w:t> </w:t>
      </w:r>
      <w:r>
        <w:rPr>
          <w:color w:val="010202"/>
          <w:sz w:val="21"/>
        </w:rPr>
        <w:t>política</w:t>
      </w:r>
      <w:r>
        <w:rPr>
          <w:color w:val="010202"/>
          <w:spacing w:val="-12"/>
          <w:sz w:val="21"/>
        </w:rPr>
        <w:t> </w:t>
      </w:r>
      <w:r>
        <w:rPr>
          <w:color w:val="010202"/>
          <w:sz w:val="21"/>
        </w:rPr>
        <w:t>y</w:t>
      </w:r>
      <w:r>
        <w:rPr>
          <w:color w:val="010202"/>
          <w:spacing w:val="-12"/>
          <w:sz w:val="21"/>
        </w:rPr>
        <w:t> </w:t>
      </w:r>
      <w:r>
        <w:rPr>
          <w:color w:val="010202"/>
          <w:sz w:val="21"/>
        </w:rPr>
        <w:t>relaciones</w:t>
      </w:r>
      <w:r>
        <w:rPr>
          <w:color w:val="010202"/>
          <w:spacing w:val="-12"/>
          <w:sz w:val="21"/>
        </w:rPr>
        <w:t> </w:t>
      </w:r>
      <w:r>
        <w:rPr>
          <w:color w:val="010202"/>
          <w:sz w:val="21"/>
        </w:rPr>
        <w:t>industriales</w:t>
      </w:r>
      <w:r>
        <w:rPr>
          <w:color w:val="010202"/>
          <w:spacing w:val="-12"/>
          <w:sz w:val="21"/>
        </w:rPr>
        <w:t> </w:t>
      </w:r>
      <w:r>
        <w:rPr>
          <w:color w:val="010202"/>
          <w:sz w:val="21"/>
        </w:rPr>
        <w:t>en</w:t>
      </w:r>
      <w:r>
        <w:rPr>
          <w:color w:val="010202"/>
          <w:spacing w:val="-12"/>
          <w:sz w:val="21"/>
        </w:rPr>
        <w:t> </w:t>
      </w:r>
      <w:r>
        <w:rPr>
          <w:color w:val="010202"/>
          <w:sz w:val="21"/>
        </w:rPr>
        <w:t>la</w:t>
      </w:r>
      <w:r>
        <w:rPr>
          <w:color w:val="010202"/>
          <w:spacing w:val="-12"/>
          <w:sz w:val="21"/>
        </w:rPr>
        <w:t> </w:t>
      </w:r>
      <w:r>
        <w:rPr>
          <w:color w:val="010202"/>
          <w:sz w:val="21"/>
        </w:rPr>
        <w:t>indus- tria</w:t>
      </w:r>
      <w:r>
        <w:rPr>
          <w:color w:val="010202"/>
          <w:spacing w:val="-5"/>
          <w:sz w:val="21"/>
        </w:rPr>
        <w:t> </w:t>
      </w:r>
      <w:r>
        <w:rPr>
          <w:color w:val="010202"/>
          <w:sz w:val="21"/>
        </w:rPr>
        <w:t>automotriz</w:t>
      </w:r>
      <w:r>
        <w:rPr>
          <w:color w:val="010202"/>
          <w:spacing w:val="-5"/>
          <w:sz w:val="21"/>
        </w:rPr>
        <w:t> </w:t>
      </w:r>
      <w:r>
        <w:rPr>
          <w:color w:val="010202"/>
          <w:spacing w:val="-6"/>
          <w:sz w:val="21"/>
        </w:rPr>
        <w:t>mexicana”,</w:t>
      </w:r>
      <w:r>
        <w:rPr>
          <w:color w:val="010202"/>
          <w:spacing w:val="-5"/>
          <w:sz w:val="21"/>
        </w:rPr>
        <w:t> </w:t>
      </w:r>
      <w:r>
        <w:rPr>
          <w:color w:val="010202"/>
          <w:sz w:val="21"/>
        </w:rPr>
        <w:t>en</w:t>
      </w:r>
      <w:r>
        <w:rPr>
          <w:color w:val="010202"/>
          <w:spacing w:val="-5"/>
          <w:sz w:val="21"/>
        </w:rPr>
        <w:t> J. </w:t>
      </w:r>
      <w:r>
        <w:rPr>
          <w:color w:val="010202"/>
          <w:sz w:val="21"/>
        </w:rPr>
        <w:t>Carrillo</w:t>
      </w:r>
      <w:r>
        <w:rPr>
          <w:color w:val="010202"/>
          <w:spacing w:val="-5"/>
          <w:sz w:val="21"/>
        </w:rPr>
        <w:t> </w:t>
      </w:r>
      <w:r>
        <w:rPr>
          <w:color w:val="010202"/>
          <w:sz w:val="21"/>
        </w:rPr>
        <w:t>(coord.),</w:t>
      </w:r>
      <w:r>
        <w:rPr>
          <w:color w:val="010202"/>
          <w:spacing w:val="-5"/>
          <w:sz w:val="21"/>
        </w:rPr>
        <w:t> </w:t>
      </w:r>
      <w:r>
        <w:rPr>
          <w:rFonts w:ascii="Palatino Linotype" w:hAnsi="Palatino Linotype"/>
          <w:i/>
          <w:color w:val="010202"/>
          <w:sz w:val="21"/>
        </w:rPr>
        <w:t>La</w:t>
      </w:r>
      <w:r>
        <w:rPr>
          <w:rFonts w:ascii="Palatino Linotype" w:hAnsi="Palatino Linotype"/>
          <w:i/>
          <w:color w:val="010202"/>
          <w:spacing w:val="-5"/>
          <w:sz w:val="21"/>
        </w:rPr>
        <w:t> </w:t>
      </w:r>
      <w:r>
        <w:rPr>
          <w:rFonts w:ascii="Palatino Linotype" w:hAnsi="Palatino Linotype"/>
          <w:i/>
          <w:color w:val="010202"/>
          <w:sz w:val="21"/>
        </w:rPr>
        <w:t>nueva</w:t>
      </w:r>
      <w:r>
        <w:rPr>
          <w:rFonts w:ascii="Palatino Linotype" w:hAnsi="Palatino Linotype"/>
          <w:i/>
          <w:color w:val="010202"/>
          <w:spacing w:val="-5"/>
          <w:sz w:val="21"/>
        </w:rPr>
        <w:t> </w:t>
      </w:r>
      <w:r>
        <w:rPr>
          <w:rFonts w:ascii="Palatino Linotype" w:hAnsi="Palatino Linotype"/>
          <w:i/>
          <w:color w:val="010202"/>
          <w:sz w:val="21"/>
        </w:rPr>
        <w:t>era</w:t>
      </w:r>
      <w:r>
        <w:rPr>
          <w:rFonts w:ascii="Palatino Linotype" w:hAnsi="Palatino Linotype"/>
          <w:i/>
          <w:color w:val="010202"/>
          <w:spacing w:val="-5"/>
          <w:sz w:val="21"/>
        </w:rPr>
        <w:t> </w:t>
      </w:r>
      <w:r>
        <w:rPr>
          <w:rFonts w:ascii="Palatino Linotype" w:hAnsi="Palatino Linotype"/>
          <w:i/>
          <w:color w:val="010202"/>
          <w:sz w:val="21"/>
        </w:rPr>
        <w:t>de</w:t>
      </w:r>
      <w:r>
        <w:rPr>
          <w:rFonts w:ascii="Palatino Linotype" w:hAnsi="Palatino Linotype"/>
          <w:i/>
          <w:color w:val="010202"/>
          <w:spacing w:val="-5"/>
          <w:sz w:val="21"/>
        </w:rPr>
        <w:t> </w:t>
      </w:r>
      <w:r>
        <w:rPr>
          <w:rFonts w:ascii="Palatino Linotype" w:hAnsi="Palatino Linotype"/>
          <w:i/>
          <w:color w:val="010202"/>
          <w:sz w:val="21"/>
        </w:rPr>
        <w:t>la</w:t>
      </w:r>
      <w:r>
        <w:rPr>
          <w:rFonts w:ascii="Palatino Linotype" w:hAnsi="Palatino Linotype"/>
          <w:i/>
          <w:color w:val="010202"/>
          <w:spacing w:val="-5"/>
          <w:sz w:val="21"/>
        </w:rPr>
        <w:t> </w:t>
      </w:r>
      <w:r>
        <w:rPr>
          <w:rFonts w:ascii="Palatino Linotype" w:hAnsi="Palatino Linotype"/>
          <w:i/>
          <w:color w:val="010202"/>
          <w:sz w:val="21"/>
        </w:rPr>
        <w:t>industria</w:t>
      </w:r>
      <w:r>
        <w:rPr>
          <w:rFonts w:ascii="Palatino Linotype" w:hAnsi="Palatino Linotype"/>
          <w:i/>
          <w:color w:val="010202"/>
          <w:spacing w:val="-5"/>
          <w:sz w:val="21"/>
        </w:rPr>
        <w:t> </w:t>
      </w:r>
      <w:r>
        <w:rPr>
          <w:rFonts w:ascii="Palatino Linotype" w:hAnsi="Palatino Linotype"/>
          <w:i/>
          <w:color w:val="010202"/>
          <w:spacing w:val="-3"/>
          <w:sz w:val="21"/>
        </w:rPr>
        <w:t>automo- </w:t>
      </w:r>
      <w:r>
        <w:rPr>
          <w:rFonts w:ascii="Palatino Linotype" w:hAnsi="Palatino Linotype"/>
          <w:i/>
          <w:color w:val="010202"/>
          <w:sz w:val="21"/>
        </w:rPr>
        <w:t>triz</w:t>
      </w:r>
      <w:r>
        <w:rPr>
          <w:rFonts w:ascii="Palatino Linotype" w:hAnsi="Palatino Linotype"/>
          <w:i/>
          <w:color w:val="010202"/>
          <w:spacing w:val="-18"/>
          <w:sz w:val="21"/>
        </w:rPr>
        <w:t> </w:t>
      </w:r>
      <w:r>
        <w:rPr>
          <w:rFonts w:ascii="Palatino Linotype" w:hAnsi="Palatino Linotype"/>
          <w:i/>
          <w:color w:val="010202"/>
          <w:sz w:val="21"/>
        </w:rPr>
        <w:t>en</w:t>
      </w:r>
      <w:r>
        <w:rPr>
          <w:rFonts w:ascii="Palatino Linotype" w:hAnsi="Palatino Linotype"/>
          <w:i/>
          <w:color w:val="010202"/>
          <w:spacing w:val="-18"/>
          <w:sz w:val="21"/>
        </w:rPr>
        <w:t> </w:t>
      </w:r>
      <w:r>
        <w:rPr>
          <w:rFonts w:ascii="Palatino Linotype" w:hAnsi="Palatino Linotype"/>
          <w:i/>
          <w:color w:val="010202"/>
          <w:sz w:val="21"/>
        </w:rPr>
        <w:t>México</w:t>
      </w:r>
      <w:r>
        <w:rPr>
          <w:color w:val="010202"/>
          <w:sz w:val="21"/>
        </w:rPr>
        <w:t>,</w:t>
      </w:r>
      <w:r>
        <w:rPr>
          <w:color w:val="010202"/>
          <w:spacing w:val="-18"/>
          <w:sz w:val="21"/>
        </w:rPr>
        <w:t> </w:t>
      </w:r>
      <w:r>
        <w:rPr>
          <w:color w:val="010202"/>
          <w:sz w:val="21"/>
        </w:rPr>
        <w:t>El</w:t>
      </w:r>
      <w:r>
        <w:rPr>
          <w:color w:val="010202"/>
          <w:spacing w:val="-18"/>
          <w:sz w:val="21"/>
        </w:rPr>
        <w:t> </w:t>
      </w:r>
      <w:r>
        <w:rPr>
          <w:color w:val="010202"/>
          <w:sz w:val="21"/>
        </w:rPr>
        <w:t>Colegio</w:t>
      </w:r>
      <w:r>
        <w:rPr>
          <w:color w:val="010202"/>
          <w:spacing w:val="-18"/>
          <w:sz w:val="21"/>
        </w:rPr>
        <w:t> </w:t>
      </w:r>
      <w:r>
        <w:rPr>
          <w:color w:val="010202"/>
          <w:sz w:val="21"/>
        </w:rPr>
        <w:t>de</w:t>
      </w:r>
      <w:r>
        <w:rPr>
          <w:color w:val="010202"/>
          <w:spacing w:val="-18"/>
          <w:sz w:val="21"/>
        </w:rPr>
        <w:t> </w:t>
      </w:r>
      <w:r>
        <w:rPr>
          <w:color w:val="010202"/>
          <w:sz w:val="21"/>
        </w:rPr>
        <w:t>la</w:t>
      </w:r>
      <w:r>
        <w:rPr>
          <w:color w:val="010202"/>
          <w:spacing w:val="-18"/>
          <w:sz w:val="21"/>
        </w:rPr>
        <w:t> </w:t>
      </w:r>
      <w:r>
        <w:rPr>
          <w:color w:val="010202"/>
          <w:sz w:val="21"/>
        </w:rPr>
        <w:t>Frontera</w:t>
      </w:r>
      <w:r>
        <w:rPr>
          <w:color w:val="010202"/>
          <w:spacing w:val="-18"/>
          <w:sz w:val="21"/>
        </w:rPr>
        <w:t> </w:t>
      </w:r>
      <w:r>
        <w:rPr>
          <w:color w:val="010202"/>
          <w:sz w:val="21"/>
        </w:rPr>
        <w:t>Norte,</w:t>
      </w:r>
      <w:r>
        <w:rPr>
          <w:color w:val="010202"/>
          <w:spacing w:val="-18"/>
          <w:sz w:val="21"/>
        </w:rPr>
        <w:t> </w:t>
      </w:r>
      <w:r>
        <w:rPr>
          <w:color w:val="010202"/>
          <w:sz w:val="21"/>
        </w:rPr>
        <w:t>Baja</w:t>
      </w:r>
      <w:r>
        <w:rPr>
          <w:color w:val="010202"/>
          <w:spacing w:val="-18"/>
          <w:sz w:val="21"/>
        </w:rPr>
        <w:t> </w:t>
      </w:r>
      <w:r>
        <w:rPr>
          <w:color w:val="010202"/>
          <w:sz w:val="21"/>
        </w:rPr>
        <w:t>California,</w:t>
      </w:r>
      <w:r>
        <w:rPr>
          <w:color w:val="010202"/>
          <w:spacing w:val="-18"/>
          <w:sz w:val="21"/>
        </w:rPr>
        <w:t> </w:t>
      </w:r>
      <w:r>
        <w:rPr>
          <w:color w:val="010202"/>
          <w:sz w:val="21"/>
        </w:rPr>
        <w:t>México.</w:t>
      </w:r>
    </w:p>
    <w:p>
      <w:pPr>
        <w:pStyle w:val="BodyText"/>
        <w:spacing w:before="6"/>
        <w:rPr>
          <w:sz w:val="23"/>
        </w:rPr>
      </w:pPr>
    </w:p>
    <w:p>
      <w:pPr>
        <w:pStyle w:val="BodyText"/>
        <w:spacing w:line="278" w:lineRule="auto"/>
        <w:ind w:left="103" w:right="711" w:firstLine="396"/>
        <w:jc w:val="both"/>
      </w:pPr>
      <w:r>
        <w:rPr>
          <w:color w:val="231F20"/>
        </w:rPr>
        <w:t>Dussel Peters, Enrique (2014), “Las importaciones de la cadena autopartes-auto- motriz de Estados Unidos. Principales condiciones y características </w:t>
      </w:r>
      <w:r>
        <w:rPr>
          <w:color w:val="231F20"/>
          <w:spacing w:val="-3"/>
        </w:rPr>
        <w:t>(1990-2012)”,  </w:t>
      </w:r>
      <w:r>
        <w:rPr>
          <w:color w:val="231F20"/>
        </w:rPr>
        <w:t>en</w:t>
      </w:r>
    </w:p>
    <w:p>
      <w:pPr>
        <w:spacing w:line="258" w:lineRule="exact" w:before="0"/>
        <w:ind w:left="103" w:right="96" w:firstLine="0"/>
        <w:jc w:val="left"/>
        <w:rPr>
          <w:rFonts w:ascii="Palatino Linotype" w:hAnsi="Palatino Linotype"/>
          <w:i/>
          <w:sz w:val="21"/>
        </w:rPr>
      </w:pPr>
      <w:r>
        <w:rPr>
          <w:color w:val="231F20"/>
          <w:sz w:val="21"/>
        </w:rPr>
        <w:t>L. Álvarez, J. Carrillo y M. González (coords.), </w:t>
      </w:r>
      <w:r>
        <w:rPr>
          <w:rFonts w:ascii="Palatino Linotype" w:hAnsi="Palatino Linotype"/>
          <w:i/>
          <w:color w:val="231F20"/>
          <w:sz w:val="21"/>
        </w:rPr>
        <w:t>El auge de la industria automotriz en</w:t>
      </w:r>
    </w:p>
    <w:p>
      <w:pPr>
        <w:pStyle w:val="BodyText"/>
        <w:spacing w:line="256" w:lineRule="auto"/>
        <w:ind w:left="103" w:right="635"/>
      </w:pPr>
      <w:r>
        <w:rPr>
          <w:rFonts w:ascii="Palatino Linotype" w:hAnsi="Palatino Linotype"/>
          <w:i/>
          <w:color w:val="231F20"/>
        </w:rPr>
        <w:t>México en el siglo XXI</w:t>
      </w:r>
      <w:r>
        <w:rPr>
          <w:color w:val="231F20"/>
        </w:rPr>
        <w:t>, Universidad Nacional </w:t>
      </w:r>
      <w:r>
        <w:rPr>
          <w:color w:val="231F20"/>
          <w:spacing w:val="-3"/>
        </w:rPr>
        <w:t>Autónoma </w:t>
      </w:r>
      <w:r>
        <w:rPr>
          <w:color w:val="231F20"/>
        </w:rPr>
        <w:t>de México / El Colegio de la Frontera Norte, México, </w:t>
      </w:r>
      <w:r>
        <w:rPr>
          <w:color w:val="231F20"/>
          <w:spacing w:val="-4"/>
        </w:rPr>
        <w:t>pp. </w:t>
      </w:r>
      <w:r>
        <w:rPr>
          <w:color w:val="231F20"/>
        </w:rPr>
        <w:t>133-146.</w:t>
      </w:r>
    </w:p>
    <w:p>
      <w:pPr>
        <w:pStyle w:val="BodyText"/>
        <w:spacing w:before="1"/>
        <w:rPr>
          <w:sz w:val="19"/>
        </w:rPr>
      </w:pPr>
    </w:p>
    <w:p>
      <w:pPr>
        <w:pStyle w:val="BodyText"/>
        <w:tabs>
          <w:tab w:pos="1010" w:val="left" w:leader="none"/>
        </w:tabs>
        <w:spacing w:line="254" w:lineRule="auto" w:before="58"/>
        <w:ind w:left="104" w:right="711" w:firstLine="396"/>
      </w:pPr>
      <w:r>
        <w:rPr>
          <w:color w:val="231F20"/>
          <w:w w:val="90"/>
          <w:u w:val="single" w:color="231F20"/>
        </w:rPr>
        <w:t> </w:t>
      </w:r>
      <w:r>
        <w:rPr>
          <w:color w:val="231F20"/>
          <w:u w:val="single" w:color="231F20"/>
        </w:rPr>
        <w:tab/>
      </w:r>
      <w:r>
        <w:rPr>
          <w:color w:val="231F20"/>
          <w:spacing w:val="-18"/>
        </w:rPr>
        <w:t> </w:t>
      </w:r>
      <w:r>
        <w:rPr>
          <w:color w:val="231F20"/>
          <w:spacing w:val="-6"/>
        </w:rPr>
        <w:t>(2012), </w:t>
      </w:r>
      <w:r>
        <w:rPr>
          <w:color w:val="231F20"/>
          <w:spacing w:val="-3"/>
        </w:rPr>
        <w:t>“The </w:t>
      </w:r>
      <w:r>
        <w:rPr>
          <w:color w:val="231F20"/>
          <w:spacing w:val="-8"/>
        </w:rPr>
        <w:t>Auto Parts-Automotive </w:t>
      </w:r>
      <w:r>
        <w:rPr>
          <w:color w:val="231F20"/>
          <w:spacing w:val="-6"/>
        </w:rPr>
        <w:t>Chain </w:t>
      </w:r>
      <w:r>
        <w:rPr>
          <w:color w:val="231F20"/>
          <w:spacing w:val="-4"/>
        </w:rPr>
        <w:t>in </w:t>
      </w:r>
      <w:r>
        <w:rPr>
          <w:color w:val="231F20"/>
          <w:spacing w:val="-7"/>
        </w:rPr>
        <w:t>Mexico </w:t>
      </w:r>
      <w:r>
        <w:rPr>
          <w:color w:val="231F20"/>
          <w:spacing w:val="-6"/>
        </w:rPr>
        <w:t>and</w:t>
      </w:r>
      <w:r>
        <w:rPr>
          <w:color w:val="231F20"/>
          <w:spacing w:val="-31"/>
        </w:rPr>
        <w:t> </w:t>
      </w:r>
      <w:r>
        <w:rPr>
          <w:color w:val="231F20"/>
          <w:spacing w:val="-6"/>
        </w:rPr>
        <w:t>China.</w:t>
      </w:r>
      <w:r>
        <w:rPr>
          <w:color w:val="231F20"/>
          <w:spacing w:val="-10"/>
        </w:rPr>
        <w:t> </w:t>
      </w:r>
      <w:r>
        <w:rPr>
          <w:color w:val="231F20"/>
          <w:spacing w:val="-7"/>
        </w:rPr>
        <w:t>Co-Operation</w:t>
      </w:r>
      <w:r>
        <w:rPr>
          <w:color w:val="231F20"/>
          <w:w w:val="109"/>
        </w:rPr>
        <w:t> </w:t>
      </w:r>
      <w:r>
        <w:rPr>
          <w:color w:val="231F20"/>
          <w:spacing w:val="-6"/>
        </w:rPr>
        <w:t>Potential?”,</w:t>
      </w:r>
      <w:r>
        <w:rPr>
          <w:color w:val="231F20"/>
          <w:spacing w:val="-17"/>
        </w:rPr>
        <w:t> </w:t>
      </w:r>
      <w:r>
        <w:rPr>
          <w:rFonts w:ascii="Palatino Linotype" w:hAnsi="Palatino Linotype"/>
          <w:i/>
          <w:color w:val="231F20"/>
        </w:rPr>
        <w:t>The</w:t>
      </w:r>
      <w:r>
        <w:rPr>
          <w:rFonts w:ascii="Palatino Linotype" w:hAnsi="Palatino Linotype"/>
          <w:i/>
          <w:color w:val="231F20"/>
          <w:spacing w:val="-17"/>
        </w:rPr>
        <w:t> </w:t>
      </w:r>
      <w:r>
        <w:rPr>
          <w:rFonts w:ascii="Palatino Linotype" w:hAnsi="Palatino Linotype"/>
          <w:i/>
          <w:color w:val="231F20"/>
          <w:spacing w:val="-4"/>
        </w:rPr>
        <w:t>China</w:t>
      </w:r>
      <w:r>
        <w:rPr>
          <w:rFonts w:ascii="Palatino Linotype" w:hAnsi="Palatino Linotype"/>
          <w:i/>
          <w:color w:val="231F20"/>
          <w:spacing w:val="-17"/>
        </w:rPr>
        <w:t> </w:t>
      </w:r>
      <w:r>
        <w:rPr>
          <w:rFonts w:ascii="Palatino Linotype" w:hAnsi="Palatino Linotype"/>
          <w:i/>
          <w:color w:val="231F20"/>
          <w:spacing w:val="-4"/>
        </w:rPr>
        <w:t>Quarterly</w:t>
      </w:r>
      <w:r>
        <w:rPr>
          <w:color w:val="231F20"/>
          <w:spacing w:val="-4"/>
        </w:rPr>
        <w:t>,</w:t>
      </w:r>
      <w:r>
        <w:rPr>
          <w:color w:val="231F20"/>
          <w:spacing w:val="-18"/>
        </w:rPr>
        <w:t> </w:t>
      </w:r>
      <w:r>
        <w:rPr>
          <w:color w:val="231F20"/>
          <w:spacing w:val="-4"/>
        </w:rPr>
        <w:t>núm.</w:t>
      </w:r>
      <w:r>
        <w:rPr>
          <w:color w:val="231F20"/>
          <w:spacing w:val="-18"/>
        </w:rPr>
        <w:t> </w:t>
      </w:r>
      <w:r>
        <w:rPr>
          <w:color w:val="231F20"/>
          <w:spacing w:val="-3"/>
        </w:rPr>
        <w:t>209,</w:t>
      </w:r>
      <w:r>
        <w:rPr>
          <w:color w:val="231F20"/>
          <w:spacing w:val="-18"/>
        </w:rPr>
        <w:t> </w:t>
      </w:r>
      <w:r>
        <w:rPr>
          <w:color w:val="231F20"/>
          <w:spacing w:val="-4"/>
        </w:rPr>
        <w:t>marzo,</w:t>
      </w:r>
      <w:r>
        <w:rPr>
          <w:color w:val="231F20"/>
          <w:spacing w:val="-18"/>
        </w:rPr>
        <w:t> </w:t>
      </w:r>
      <w:r>
        <w:rPr>
          <w:color w:val="231F20"/>
          <w:spacing w:val="-5"/>
        </w:rPr>
        <w:t>pp.</w:t>
      </w:r>
      <w:r>
        <w:rPr>
          <w:color w:val="231F20"/>
          <w:spacing w:val="-18"/>
        </w:rPr>
        <w:t> </w:t>
      </w:r>
      <w:r>
        <w:rPr>
          <w:color w:val="231F20"/>
          <w:spacing w:val="-3"/>
        </w:rPr>
        <w:t>82-110.</w:t>
      </w:r>
    </w:p>
    <w:p>
      <w:pPr>
        <w:spacing w:after="0" w:line="254" w:lineRule="auto"/>
        <w:sectPr>
          <w:pgSz w:w="9640" w:h="13040"/>
          <w:pgMar w:header="580" w:footer="654" w:top="780" w:bottom="840" w:left="1200" w:right="420"/>
        </w:sectPr>
      </w:pPr>
    </w:p>
    <w:p>
      <w:pPr>
        <w:pStyle w:val="BodyText"/>
        <w:rPr>
          <w:sz w:val="20"/>
        </w:rPr>
      </w:pPr>
    </w:p>
    <w:p>
      <w:pPr>
        <w:pStyle w:val="BodyText"/>
        <w:spacing w:before="6"/>
      </w:pPr>
    </w:p>
    <w:p>
      <w:pPr>
        <w:spacing w:line="244" w:lineRule="auto" w:before="58"/>
        <w:ind w:left="713" w:right="101"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6"/>
          <w:sz w:val="21"/>
        </w:rPr>
        <w:t> </w:t>
      </w:r>
      <w:r>
        <w:rPr>
          <w:color w:val="231F20"/>
          <w:sz w:val="21"/>
        </w:rPr>
        <w:t>(2010), “¿Cooperación o competencia en la cadena autopartes-automotriz entre</w:t>
      </w:r>
      <w:r>
        <w:rPr>
          <w:color w:val="231F20"/>
          <w:spacing w:val="-10"/>
          <w:sz w:val="21"/>
        </w:rPr>
        <w:t> </w:t>
      </w:r>
      <w:r>
        <w:rPr>
          <w:color w:val="231F20"/>
          <w:sz w:val="21"/>
        </w:rPr>
        <w:t>China</w:t>
      </w:r>
      <w:r>
        <w:rPr>
          <w:color w:val="231F20"/>
          <w:spacing w:val="-10"/>
          <w:sz w:val="21"/>
        </w:rPr>
        <w:t> </w:t>
      </w:r>
      <w:r>
        <w:rPr>
          <w:color w:val="231F20"/>
          <w:sz w:val="21"/>
        </w:rPr>
        <w:t>y</w:t>
      </w:r>
      <w:r>
        <w:rPr>
          <w:color w:val="231F20"/>
          <w:spacing w:val="-10"/>
          <w:sz w:val="21"/>
        </w:rPr>
        <w:t> </w:t>
      </w:r>
      <w:r>
        <w:rPr>
          <w:color w:val="231F20"/>
          <w:spacing w:val="-5"/>
          <w:sz w:val="21"/>
        </w:rPr>
        <w:t>México?”,</w:t>
      </w:r>
      <w:r>
        <w:rPr>
          <w:color w:val="231F20"/>
          <w:spacing w:val="-10"/>
          <w:sz w:val="21"/>
        </w:rPr>
        <w:t> </w:t>
      </w:r>
      <w:r>
        <w:rPr>
          <w:color w:val="231F20"/>
          <w:sz w:val="21"/>
        </w:rPr>
        <w:t>en</w:t>
      </w:r>
      <w:r>
        <w:rPr>
          <w:color w:val="231F20"/>
          <w:spacing w:val="-10"/>
          <w:sz w:val="21"/>
        </w:rPr>
        <w:t> </w:t>
      </w:r>
      <w:r>
        <w:rPr>
          <w:color w:val="231F20"/>
          <w:sz w:val="21"/>
        </w:rPr>
        <w:t>E.</w:t>
      </w:r>
      <w:r>
        <w:rPr>
          <w:color w:val="231F20"/>
          <w:spacing w:val="-10"/>
          <w:sz w:val="21"/>
        </w:rPr>
        <w:t> </w:t>
      </w:r>
      <w:r>
        <w:rPr>
          <w:color w:val="231F20"/>
          <w:sz w:val="21"/>
        </w:rPr>
        <w:t>Dussel</w:t>
      </w:r>
      <w:r>
        <w:rPr>
          <w:color w:val="231F20"/>
          <w:spacing w:val="-10"/>
          <w:sz w:val="21"/>
        </w:rPr>
        <w:t> </w:t>
      </w:r>
      <w:r>
        <w:rPr>
          <w:color w:val="231F20"/>
          <w:sz w:val="21"/>
        </w:rPr>
        <w:t>Peters</w:t>
      </w:r>
      <w:r>
        <w:rPr>
          <w:color w:val="231F20"/>
          <w:spacing w:val="-10"/>
          <w:sz w:val="21"/>
        </w:rPr>
        <w:t> </w:t>
      </w:r>
      <w:r>
        <w:rPr>
          <w:color w:val="231F20"/>
          <w:sz w:val="21"/>
        </w:rPr>
        <w:t>y</w:t>
      </w:r>
      <w:r>
        <w:rPr>
          <w:color w:val="231F20"/>
          <w:spacing w:val="-10"/>
          <w:sz w:val="21"/>
        </w:rPr>
        <w:t> </w:t>
      </w:r>
      <w:r>
        <w:rPr>
          <w:color w:val="231F20"/>
          <w:spacing w:val="-13"/>
          <w:sz w:val="21"/>
        </w:rPr>
        <w:t>Y.</w:t>
      </w:r>
      <w:r>
        <w:rPr>
          <w:color w:val="231F20"/>
          <w:spacing w:val="-10"/>
          <w:sz w:val="21"/>
        </w:rPr>
        <w:t> </w:t>
      </w:r>
      <w:r>
        <w:rPr>
          <w:color w:val="231F20"/>
          <w:spacing w:val="-4"/>
          <w:sz w:val="21"/>
        </w:rPr>
        <w:t>Trápaga</w:t>
      </w:r>
      <w:r>
        <w:rPr>
          <w:color w:val="231F20"/>
          <w:spacing w:val="-10"/>
          <w:sz w:val="21"/>
        </w:rPr>
        <w:t> </w:t>
      </w:r>
      <w:r>
        <w:rPr>
          <w:color w:val="231F20"/>
          <w:sz w:val="21"/>
        </w:rPr>
        <w:t>(eds.),</w:t>
      </w:r>
      <w:r>
        <w:rPr>
          <w:color w:val="231F20"/>
          <w:spacing w:val="-10"/>
          <w:sz w:val="21"/>
        </w:rPr>
        <w:t> </w:t>
      </w:r>
      <w:r>
        <w:rPr>
          <w:rFonts w:ascii="Palatino Linotype" w:hAnsi="Palatino Linotype"/>
          <w:i/>
          <w:color w:val="231F20"/>
          <w:sz w:val="21"/>
        </w:rPr>
        <w:t>Hacia</w:t>
      </w:r>
      <w:r>
        <w:rPr>
          <w:rFonts w:ascii="Palatino Linotype" w:hAnsi="Palatino Linotype"/>
          <w:i/>
          <w:color w:val="231F20"/>
          <w:spacing w:val="-10"/>
          <w:sz w:val="21"/>
        </w:rPr>
        <w:t> </w:t>
      </w:r>
      <w:r>
        <w:rPr>
          <w:rFonts w:ascii="Palatino Linotype" w:hAnsi="Palatino Linotype"/>
          <w:i/>
          <w:color w:val="231F20"/>
          <w:sz w:val="21"/>
        </w:rPr>
        <w:t>un</w:t>
      </w:r>
      <w:r>
        <w:rPr>
          <w:rFonts w:ascii="Palatino Linotype" w:hAnsi="Palatino Linotype"/>
          <w:i/>
          <w:color w:val="231F20"/>
          <w:spacing w:val="-10"/>
          <w:sz w:val="21"/>
        </w:rPr>
        <w:t> </w:t>
      </w:r>
      <w:r>
        <w:rPr>
          <w:rFonts w:ascii="Palatino Linotype" w:hAnsi="Palatino Linotype"/>
          <w:i/>
          <w:color w:val="231F20"/>
          <w:sz w:val="21"/>
        </w:rPr>
        <w:t>diálogo</w:t>
      </w:r>
      <w:r>
        <w:rPr>
          <w:rFonts w:ascii="Palatino Linotype" w:hAnsi="Palatino Linotype"/>
          <w:i/>
          <w:color w:val="231F20"/>
          <w:spacing w:val="-10"/>
          <w:sz w:val="21"/>
        </w:rPr>
        <w:t> </w:t>
      </w:r>
      <w:r>
        <w:rPr>
          <w:rFonts w:ascii="Palatino Linotype" w:hAnsi="Palatino Linotype"/>
          <w:i/>
          <w:color w:val="231F20"/>
          <w:spacing w:val="-3"/>
          <w:sz w:val="21"/>
        </w:rPr>
        <w:t>entre </w:t>
      </w:r>
      <w:r>
        <w:rPr>
          <w:rFonts w:ascii="Palatino Linotype" w:hAnsi="Palatino Linotype"/>
          <w:i/>
          <w:color w:val="231F20"/>
          <w:sz w:val="21"/>
        </w:rPr>
        <w:t>México</w:t>
      </w:r>
      <w:r>
        <w:rPr>
          <w:rFonts w:ascii="Palatino Linotype" w:hAnsi="Palatino Linotype"/>
          <w:i/>
          <w:color w:val="231F20"/>
          <w:spacing w:val="-10"/>
          <w:sz w:val="21"/>
        </w:rPr>
        <w:t> </w:t>
      </w:r>
      <w:r>
        <w:rPr>
          <w:rFonts w:ascii="Palatino Linotype" w:hAnsi="Palatino Linotype"/>
          <w:i/>
          <w:color w:val="231F20"/>
          <w:sz w:val="21"/>
        </w:rPr>
        <w:t>y</w:t>
      </w:r>
      <w:r>
        <w:rPr>
          <w:rFonts w:ascii="Palatino Linotype" w:hAnsi="Palatino Linotype"/>
          <w:i/>
          <w:color w:val="231F20"/>
          <w:spacing w:val="-10"/>
          <w:sz w:val="21"/>
        </w:rPr>
        <w:t> </w:t>
      </w:r>
      <w:r>
        <w:rPr>
          <w:rFonts w:ascii="Palatino Linotype" w:hAnsi="Palatino Linotype"/>
          <w:i/>
          <w:color w:val="231F20"/>
          <w:sz w:val="21"/>
        </w:rPr>
        <w:t>China:</w:t>
      </w:r>
      <w:r>
        <w:rPr>
          <w:rFonts w:ascii="Palatino Linotype" w:hAnsi="Palatino Linotype"/>
          <w:i/>
          <w:color w:val="231F20"/>
          <w:spacing w:val="-10"/>
          <w:sz w:val="21"/>
        </w:rPr>
        <w:t> </w:t>
      </w:r>
      <w:r>
        <w:rPr>
          <w:rFonts w:ascii="Palatino Linotype" w:hAnsi="Palatino Linotype"/>
          <w:i/>
          <w:color w:val="231F20"/>
          <w:sz w:val="21"/>
        </w:rPr>
        <w:t>Dos</w:t>
      </w:r>
      <w:r>
        <w:rPr>
          <w:rFonts w:ascii="Palatino Linotype" w:hAnsi="Palatino Linotype"/>
          <w:i/>
          <w:color w:val="231F20"/>
          <w:spacing w:val="-10"/>
          <w:sz w:val="21"/>
        </w:rPr>
        <w:t> </w:t>
      </w:r>
      <w:r>
        <w:rPr>
          <w:rFonts w:ascii="Palatino Linotype" w:hAnsi="Palatino Linotype"/>
          <w:i/>
          <w:color w:val="231F20"/>
          <w:sz w:val="21"/>
        </w:rPr>
        <w:t>y</w:t>
      </w:r>
      <w:r>
        <w:rPr>
          <w:rFonts w:ascii="Palatino Linotype" w:hAnsi="Palatino Linotype"/>
          <w:i/>
          <w:color w:val="231F20"/>
          <w:spacing w:val="-10"/>
          <w:sz w:val="21"/>
        </w:rPr>
        <w:t> </w:t>
      </w:r>
      <w:r>
        <w:rPr>
          <w:rFonts w:ascii="Palatino Linotype" w:hAnsi="Palatino Linotype"/>
          <w:i/>
          <w:color w:val="231F20"/>
          <w:sz w:val="21"/>
        </w:rPr>
        <w:t>tres</w:t>
      </w:r>
      <w:r>
        <w:rPr>
          <w:rFonts w:ascii="Palatino Linotype" w:hAnsi="Palatino Linotype"/>
          <w:i/>
          <w:color w:val="231F20"/>
          <w:spacing w:val="-10"/>
          <w:sz w:val="21"/>
        </w:rPr>
        <w:t> </w:t>
      </w:r>
      <w:r>
        <w:rPr>
          <w:rFonts w:ascii="Palatino Linotype" w:hAnsi="Palatino Linotype"/>
          <w:i/>
          <w:color w:val="231F20"/>
          <w:sz w:val="21"/>
        </w:rPr>
        <w:t>décadas</w:t>
      </w:r>
      <w:r>
        <w:rPr>
          <w:rFonts w:ascii="Palatino Linotype" w:hAnsi="Palatino Linotype"/>
          <w:i/>
          <w:color w:val="231F20"/>
          <w:spacing w:val="-10"/>
          <w:sz w:val="21"/>
        </w:rPr>
        <w:t> </w:t>
      </w:r>
      <w:r>
        <w:rPr>
          <w:rFonts w:ascii="Palatino Linotype" w:hAnsi="Palatino Linotype"/>
          <w:i/>
          <w:color w:val="231F20"/>
          <w:sz w:val="21"/>
        </w:rPr>
        <w:t>de</w:t>
      </w:r>
      <w:r>
        <w:rPr>
          <w:rFonts w:ascii="Palatino Linotype" w:hAnsi="Palatino Linotype"/>
          <w:i/>
          <w:color w:val="231F20"/>
          <w:spacing w:val="-10"/>
          <w:sz w:val="21"/>
        </w:rPr>
        <w:t> </w:t>
      </w:r>
      <w:r>
        <w:rPr>
          <w:rFonts w:ascii="Palatino Linotype" w:hAnsi="Palatino Linotype"/>
          <w:i/>
          <w:color w:val="231F20"/>
          <w:spacing w:val="-3"/>
          <w:sz w:val="21"/>
        </w:rPr>
        <w:t>cambios</w:t>
      </w:r>
      <w:r>
        <w:rPr>
          <w:rFonts w:ascii="Palatino Linotype" w:hAnsi="Palatino Linotype"/>
          <w:i/>
          <w:color w:val="231F20"/>
          <w:spacing w:val="-10"/>
          <w:sz w:val="21"/>
        </w:rPr>
        <w:t> </w:t>
      </w:r>
      <w:r>
        <w:rPr>
          <w:rFonts w:ascii="Palatino Linotype" w:hAnsi="Palatino Linotype"/>
          <w:i/>
          <w:color w:val="231F20"/>
          <w:sz w:val="21"/>
        </w:rPr>
        <w:t>socioeconómicos</w:t>
      </w:r>
      <w:r>
        <w:rPr>
          <w:color w:val="231F20"/>
          <w:sz w:val="21"/>
        </w:rPr>
        <w:t>,</w:t>
      </w:r>
      <w:r>
        <w:rPr>
          <w:color w:val="231F20"/>
          <w:spacing w:val="-11"/>
          <w:sz w:val="21"/>
        </w:rPr>
        <w:t> </w:t>
      </w:r>
      <w:r>
        <w:rPr>
          <w:color w:val="231F20"/>
          <w:sz w:val="21"/>
        </w:rPr>
        <w:t>Cámara</w:t>
      </w:r>
      <w:r>
        <w:rPr>
          <w:color w:val="231F20"/>
          <w:spacing w:val="-11"/>
          <w:sz w:val="21"/>
        </w:rPr>
        <w:t> </w:t>
      </w:r>
      <w:r>
        <w:rPr>
          <w:color w:val="231F20"/>
          <w:sz w:val="21"/>
        </w:rPr>
        <w:t>de</w:t>
      </w:r>
      <w:r>
        <w:rPr>
          <w:color w:val="231F20"/>
          <w:spacing w:val="-11"/>
          <w:sz w:val="21"/>
        </w:rPr>
        <w:t> </w:t>
      </w:r>
      <w:r>
        <w:rPr>
          <w:color w:val="231F20"/>
          <w:sz w:val="21"/>
        </w:rPr>
        <w:t>Senadores</w:t>
      </w:r>
    </w:p>
    <w:p>
      <w:pPr>
        <w:pStyle w:val="BodyText"/>
        <w:spacing w:line="278" w:lineRule="auto" w:before="15"/>
        <w:ind w:left="713" w:right="96"/>
      </w:pPr>
      <w:r>
        <w:rPr>
          <w:color w:val="231F20"/>
        </w:rPr>
        <w:t>/ CICIR / Fundación Friedrich Ebert / Universidad Nacional Autónoma de México, Centro de Estudios China-México, México, pp. 271-301</w:t>
      </w:r>
    </w:p>
    <w:p>
      <w:pPr>
        <w:pStyle w:val="BodyText"/>
        <w:spacing w:before="2"/>
        <w:rPr>
          <w:sz w:val="17"/>
        </w:rPr>
      </w:pPr>
    </w:p>
    <w:p>
      <w:pPr>
        <w:spacing w:line="256" w:lineRule="auto" w:before="35"/>
        <w:ind w:left="713" w:right="101"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3"/>
          <w:sz w:val="21"/>
        </w:rPr>
        <w:t> </w:t>
      </w:r>
      <w:r>
        <w:rPr>
          <w:color w:val="231F20"/>
          <w:sz w:val="21"/>
        </w:rPr>
        <w:t>(coord.)</w:t>
      </w:r>
      <w:r>
        <w:rPr>
          <w:color w:val="231F20"/>
          <w:spacing w:val="-17"/>
          <w:sz w:val="21"/>
        </w:rPr>
        <w:t> </w:t>
      </w:r>
      <w:r>
        <w:rPr>
          <w:color w:val="231F20"/>
          <w:sz w:val="21"/>
        </w:rPr>
        <w:t>(2007),</w:t>
      </w:r>
      <w:r>
        <w:rPr>
          <w:color w:val="231F20"/>
          <w:spacing w:val="-17"/>
          <w:sz w:val="21"/>
        </w:rPr>
        <w:t> </w:t>
      </w:r>
      <w:r>
        <w:rPr>
          <w:rFonts w:ascii="Palatino Linotype" w:hAnsi="Palatino Linotype"/>
          <w:i/>
          <w:color w:val="231F20"/>
          <w:spacing w:val="-3"/>
          <w:sz w:val="21"/>
        </w:rPr>
        <w:t>Inversión</w:t>
      </w:r>
      <w:r>
        <w:rPr>
          <w:rFonts w:ascii="Palatino Linotype" w:hAnsi="Palatino Linotype"/>
          <w:i/>
          <w:color w:val="231F20"/>
          <w:spacing w:val="-17"/>
          <w:sz w:val="21"/>
        </w:rPr>
        <w:t> </w:t>
      </w:r>
      <w:r>
        <w:rPr>
          <w:rFonts w:ascii="Palatino Linotype" w:hAnsi="Palatino Linotype"/>
          <w:i/>
          <w:color w:val="231F20"/>
          <w:sz w:val="21"/>
        </w:rPr>
        <w:t>extranjera</w:t>
      </w:r>
      <w:r>
        <w:rPr>
          <w:rFonts w:ascii="Palatino Linotype" w:hAnsi="Palatino Linotype"/>
          <w:i/>
          <w:color w:val="231F20"/>
          <w:spacing w:val="-17"/>
          <w:sz w:val="21"/>
        </w:rPr>
        <w:t> </w:t>
      </w:r>
      <w:r>
        <w:rPr>
          <w:rFonts w:ascii="Palatino Linotype" w:hAnsi="Palatino Linotype"/>
          <w:i/>
          <w:color w:val="231F20"/>
          <w:spacing w:val="-3"/>
          <w:sz w:val="21"/>
        </w:rPr>
        <w:t>directa</w:t>
      </w:r>
      <w:r>
        <w:rPr>
          <w:rFonts w:ascii="Palatino Linotype" w:hAnsi="Palatino Linotype"/>
          <w:i/>
          <w:color w:val="231F20"/>
          <w:spacing w:val="-17"/>
          <w:sz w:val="21"/>
        </w:rPr>
        <w:t> </w:t>
      </w:r>
      <w:r>
        <w:rPr>
          <w:rFonts w:ascii="Palatino Linotype" w:hAnsi="Palatino Linotype"/>
          <w:i/>
          <w:color w:val="231F20"/>
          <w:sz w:val="21"/>
        </w:rPr>
        <w:t>en</w:t>
      </w:r>
      <w:r>
        <w:rPr>
          <w:rFonts w:ascii="Palatino Linotype" w:hAnsi="Palatino Linotype"/>
          <w:i/>
          <w:color w:val="231F20"/>
          <w:spacing w:val="-17"/>
          <w:sz w:val="21"/>
        </w:rPr>
        <w:t> </w:t>
      </w:r>
      <w:r>
        <w:rPr>
          <w:rFonts w:ascii="Palatino Linotype" w:hAnsi="Palatino Linotype"/>
          <w:i/>
          <w:color w:val="231F20"/>
          <w:sz w:val="21"/>
        </w:rPr>
        <w:t>México:</w:t>
      </w:r>
      <w:r>
        <w:rPr>
          <w:rFonts w:ascii="Palatino Linotype" w:hAnsi="Palatino Linotype"/>
          <w:i/>
          <w:color w:val="231F20"/>
          <w:spacing w:val="-17"/>
          <w:sz w:val="21"/>
        </w:rPr>
        <w:t> </w:t>
      </w:r>
      <w:r>
        <w:rPr>
          <w:rFonts w:ascii="Palatino Linotype" w:hAnsi="Palatino Linotype"/>
          <w:i/>
          <w:color w:val="231F20"/>
          <w:sz w:val="21"/>
        </w:rPr>
        <w:t>desempeño</w:t>
      </w:r>
      <w:r>
        <w:rPr>
          <w:rFonts w:ascii="Palatino Linotype" w:hAnsi="Palatino Linotype"/>
          <w:i/>
          <w:color w:val="231F20"/>
          <w:spacing w:val="-17"/>
          <w:sz w:val="21"/>
        </w:rPr>
        <w:t> </w:t>
      </w:r>
      <w:r>
        <w:rPr>
          <w:rFonts w:ascii="Palatino Linotype" w:hAnsi="Palatino Linotype"/>
          <w:i/>
          <w:color w:val="231F20"/>
          <w:sz w:val="21"/>
        </w:rPr>
        <w:t>y</w:t>
      </w:r>
      <w:r>
        <w:rPr>
          <w:rFonts w:ascii="Palatino Linotype" w:hAnsi="Palatino Linotype"/>
          <w:i/>
          <w:color w:val="231F20"/>
          <w:spacing w:val="-17"/>
          <w:sz w:val="21"/>
        </w:rPr>
        <w:t> </w:t>
      </w:r>
      <w:r>
        <w:rPr>
          <w:rFonts w:ascii="Palatino Linotype" w:hAnsi="Palatino Linotype"/>
          <w:i/>
          <w:color w:val="231F20"/>
          <w:sz w:val="21"/>
        </w:rPr>
        <w:t>poten- </w:t>
      </w:r>
      <w:r>
        <w:rPr>
          <w:rFonts w:ascii="Palatino Linotype" w:hAnsi="Palatino Linotype"/>
          <w:i/>
          <w:color w:val="231F20"/>
          <w:sz w:val="21"/>
        </w:rPr>
        <w:t>cial.</w:t>
      </w:r>
      <w:r>
        <w:rPr>
          <w:rFonts w:ascii="Palatino Linotype" w:hAnsi="Palatino Linotype"/>
          <w:i/>
          <w:color w:val="231F20"/>
          <w:spacing w:val="-19"/>
          <w:sz w:val="21"/>
        </w:rPr>
        <w:t> </w:t>
      </w:r>
      <w:r>
        <w:rPr>
          <w:rFonts w:ascii="Palatino Linotype" w:hAnsi="Palatino Linotype"/>
          <w:i/>
          <w:color w:val="231F20"/>
          <w:spacing w:val="-4"/>
          <w:sz w:val="21"/>
        </w:rPr>
        <w:t>Una</w:t>
      </w:r>
      <w:r>
        <w:rPr>
          <w:rFonts w:ascii="Palatino Linotype" w:hAnsi="Palatino Linotype"/>
          <w:i/>
          <w:color w:val="231F20"/>
          <w:spacing w:val="-19"/>
          <w:sz w:val="21"/>
        </w:rPr>
        <w:t> </w:t>
      </w:r>
      <w:r>
        <w:rPr>
          <w:rFonts w:ascii="Palatino Linotype" w:hAnsi="Palatino Linotype"/>
          <w:i/>
          <w:color w:val="231F20"/>
          <w:sz w:val="21"/>
        </w:rPr>
        <w:t>perspectiva</w:t>
      </w:r>
      <w:r>
        <w:rPr>
          <w:rFonts w:ascii="Palatino Linotype" w:hAnsi="Palatino Linotype"/>
          <w:i/>
          <w:color w:val="231F20"/>
          <w:spacing w:val="-19"/>
          <w:sz w:val="21"/>
        </w:rPr>
        <w:t> </w:t>
      </w:r>
      <w:r>
        <w:rPr>
          <w:rFonts w:ascii="Palatino Linotype" w:hAnsi="Palatino Linotype"/>
          <w:i/>
          <w:color w:val="231F20"/>
          <w:spacing w:val="-3"/>
          <w:sz w:val="21"/>
        </w:rPr>
        <w:t>macro,</w:t>
      </w:r>
      <w:r>
        <w:rPr>
          <w:rFonts w:ascii="Palatino Linotype" w:hAnsi="Palatino Linotype"/>
          <w:i/>
          <w:color w:val="231F20"/>
          <w:spacing w:val="-19"/>
          <w:sz w:val="21"/>
        </w:rPr>
        <w:t> </w:t>
      </w:r>
      <w:r>
        <w:rPr>
          <w:rFonts w:ascii="Palatino Linotype" w:hAnsi="Palatino Linotype"/>
          <w:i/>
          <w:color w:val="231F20"/>
          <w:spacing w:val="-3"/>
          <w:sz w:val="21"/>
        </w:rPr>
        <w:t>meso,</w:t>
      </w:r>
      <w:r>
        <w:rPr>
          <w:rFonts w:ascii="Palatino Linotype" w:hAnsi="Palatino Linotype"/>
          <w:i/>
          <w:color w:val="231F20"/>
          <w:spacing w:val="-19"/>
          <w:sz w:val="21"/>
        </w:rPr>
        <w:t> </w:t>
      </w:r>
      <w:r>
        <w:rPr>
          <w:rFonts w:ascii="Palatino Linotype" w:hAnsi="Palatino Linotype"/>
          <w:i/>
          <w:color w:val="231F20"/>
          <w:sz w:val="21"/>
        </w:rPr>
        <w:t>micro</w:t>
      </w:r>
      <w:r>
        <w:rPr>
          <w:rFonts w:ascii="Palatino Linotype" w:hAnsi="Palatino Linotype"/>
          <w:i/>
          <w:color w:val="231F20"/>
          <w:spacing w:val="-19"/>
          <w:sz w:val="21"/>
        </w:rPr>
        <w:t> </w:t>
      </w:r>
      <w:r>
        <w:rPr>
          <w:rFonts w:ascii="Palatino Linotype" w:hAnsi="Palatino Linotype"/>
          <w:i/>
          <w:color w:val="231F20"/>
          <w:sz w:val="21"/>
        </w:rPr>
        <w:t>y</w:t>
      </w:r>
      <w:r>
        <w:rPr>
          <w:rFonts w:ascii="Palatino Linotype" w:hAnsi="Palatino Linotype"/>
          <w:i/>
          <w:color w:val="231F20"/>
          <w:spacing w:val="-19"/>
          <w:sz w:val="21"/>
        </w:rPr>
        <w:t> </w:t>
      </w:r>
      <w:r>
        <w:rPr>
          <w:rFonts w:ascii="Palatino Linotype" w:hAnsi="Palatino Linotype"/>
          <w:i/>
          <w:color w:val="231F20"/>
          <w:sz w:val="21"/>
        </w:rPr>
        <w:t>territorial</w:t>
      </w:r>
      <w:r>
        <w:rPr>
          <w:color w:val="231F20"/>
          <w:sz w:val="21"/>
        </w:rPr>
        <w:t>,</w:t>
      </w:r>
      <w:r>
        <w:rPr>
          <w:color w:val="231F20"/>
          <w:spacing w:val="-19"/>
          <w:sz w:val="21"/>
        </w:rPr>
        <w:t> </w:t>
      </w:r>
      <w:r>
        <w:rPr>
          <w:color w:val="231F20"/>
          <w:sz w:val="21"/>
        </w:rPr>
        <w:t>Siglo</w:t>
      </w:r>
      <w:r>
        <w:rPr>
          <w:color w:val="231F20"/>
          <w:spacing w:val="-19"/>
          <w:sz w:val="21"/>
        </w:rPr>
        <w:t> </w:t>
      </w:r>
      <w:r>
        <w:rPr>
          <w:color w:val="231F20"/>
          <w:sz w:val="21"/>
        </w:rPr>
        <w:t>XXI</w:t>
      </w:r>
      <w:r>
        <w:rPr>
          <w:color w:val="231F20"/>
          <w:spacing w:val="-19"/>
          <w:sz w:val="21"/>
        </w:rPr>
        <w:t> </w:t>
      </w:r>
      <w:r>
        <w:rPr>
          <w:color w:val="231F20"/>
          <w:sz w:val="21"/>
        </w:rPr>
        <w:t>Editores</w:t>
      </w:r>
      <w:r>
        <w:rPr>
          <w:color w:val="231F20"/>
          <w:spacing w:val="-19"/>
          <w:sz w:val="21"/>
        </w:rPr>
        <w:t> </w:t>
      </w:r>
      <w:r>
        <w:rPr>
          <w:color w:val="231F20"/>
          <w:sz w:val="21"/>
        </w:rPr>
        <w:t>/</w:t>
      </w:r>
      <w:r>
        <w:rPr>
          <w:color w:val="231F20"/>
          <w:spacing w:val="-19"/>
          <w:sz w:val="21"/>
        </w:rPr>
        <w:t> </w:t>
      </w:r>
      <w:r>
        <w:rPr>
          <w:color w:val="231F20"/>
          <w:sz w:val="21"/>
        </w:rPr>
        <w:t>Secretaría</w:t>
      </w:r>
      <w:r>
        <w:rPr>
          <w:color w:val="231F20"/>
          <w:spacing w:val="-19"/>
          <w:sz w:val="21"/>
        </w:rPr>
        <w:t> </w:t>
      </w:r>
      <w:r>
        <w:rPr>
          <w:color w:val="231F20"/>
          <w:sz w:val="21"/>
        </w:rPr>
        <w:t>de Economía / Facultad de Economía de la UNAM / Universidad Nacional </w:t>
      </w:r>
      <w:r>
        <w:rPr>
          <w:color w:val="231F20"/>
          <w:spacing w:val="-3"/>
          <w:sz w:val="21"/>
        </w:rPr>
        <w:t>Autónoma</w:t>
      </w:r>
      <w:r>
        <w:rPr>
          <w:color w:val="231F20"/>
          <w:spacing w:val="-33"/>
          <w:sz w:val="21"/>
        </w:rPr>
        <w:t> </w:t>
      </w:r>
      <w:r>
        <w:rPr>
          <w:color w:val="231F20"/>
          <w:sz w:val="21"/>
        </w:rPr>
        <w:t>de México,</w:t>
      </w:r>
      <w:r>
        <w:rPr>
          <w:color w:val="231F20"/>
          <w:spacing w:val="-18"/>
          <w:sz w:val="21"/>
        </w:rPr>
        <w:t> </w:t>
      </w:r>
      <w:r>
        <w:rPr>
          <w:color w:val="231F20"/>
          <w:sz w:val="21"/>
        </w:rPr>
        <w:t>Centro</w:t>
      </w:r>
      <w:r>
        <w:rPr>
          <w:color w:val="231F20"/>
          <w:spacing w:val="-18"/>
          <w:sz w:val="21"/>
        </w:rPr>
        <w:t> </w:t>
      </w:r>
      <w:r>
        <w:rPr>
          <w:color w:val="231F20"/>
          <w:sz w:val="21"/>
        </w:rPr>
        <w:t>de</w:t>
      </w:r>
      <w:r>
        <w:rPr>
          <w:color w:val="231F20"/>
          <w:spacing w:val="-18"/>
          <w:sz w:val="21"/>
        </w:rPr>
        <w:t> </w:t>
      </w:r>
      <w:r>
        <w:rPr>
          <w:color w:val="231F20"/>
          <w:sz w:val="21"/>
        </w:rPr>
        <w:t>Estudios</w:t>
      </w:r>
      <w:r>
        <w:rPr>
          <w:color w:val="231F20"/>
          <w:spacing w:val="-18"/>
          <w:sz w:val="21"/>
        </w:rPr>
        <w:t> </w:t>
      </w:r>
      <w:r>
        <w:rPr>
          <w:color w:val="231F20"/>
          <w:sz w:val="21"/>
        </w:rPr>
        <w:t>China-México,</w:t>
      </w:r>
      <w:r>
        <w:rPr>
          <w:color w:val="231F20"/>
          <w:spacing w:val="-18"/>
          <w:sz w:val="21"/>
        </w:rPr>
        <w:t> </w:t>
      </w:r>
      <w:r>
        <w:rPr>
          <w:color w:val="231F20"/>
          <w:sz w:val="21"/>
        </w:rPr>
        <w:t>México.</w:t>
      </w:r>
    </w:p>
    <w:p>
      <w:pPr>
        <w:pStyle w:val="BodyText"/>
        <w:rPr>
          <w:sz w:val="19"/>
        </w:rPr>
      </w:pPr>
    </w:p>
    <w:p>
      <w:pPr>
        <w:spacing w:line="247" w:lineRule="auto" w:before="34"/>
        <w:ind w:left="713" w:right="99" w:firstLine="396"/>
        <w:jc w:val="both"/>
        <w:rPr>
          <w:sz w:val="21"/>
        </w:rPr>
      </w:pPr>
      <w:r>
        <w:rPr>
          <w:color w:val="231F20"/>
          <w:w w:val="90"/>
          <w:sz w:val="21"/>
          <w:u w:val="single" w:color="231F20"/>
        </w:rPr>
        <w:t> </w:t>
      </w:r>
      <w:r>
        <w:rPr>
          <w:color w:val="231F20"/>
          <w:sz w:val="21"/>
          <w:u w:val="single" w:color="231F20"/>
        </w:rPr>
        <w:t>         </w:t>
      </w:r>
      <w:r>
        <w:rPr>
          <w:color w:val="231F20"/>
          <w:sz w:val="21"/>
        </w:rPr>
        <w:t> (2004), </w:t>
      </w:r>
      <w:r>
        <w:rPr>
          <w:rFonts w:ascii="Palatino Linotype" w:hAnsi="Palatino Linotype"/>
          <w:i/>
          <w:color w:val="231F20"/>
          <w:sz w:val="21"/>
        </w:rPr>
        <w:t>La competitividad de la industria maquiladora de exportación en </w:t>
      </w:r>
      <w:r>
        <w:rPr>
          <w:rFonts w:ascii="Palatino Linotype" w:hAnsi="Palatino Linotype"/>
          <w:i/>
          <w:color w:val="231F20"/>
          <w:sz w:val="21"/>
        </w:rPr>
        <w:t>Honduras. Condiciones y retos ante el CAFTA</w:t>
      </w:r>
      <w:r>
        <w:rPr>
          <w:color w:val="231F20"/>
          <w:sz w:val="21"/>
        </w:rPr>
        <w:t>, Comisión Económica para América Latina y El Caribe. Publicación de Naciones Unidas, México.</w:t>
      </w:r>
    </w:p>
    <w:p>
      <w:pPr>
        <w:pStyle w:val="BodyText"/>
        <w:spacing w:before="10"/>
        <w:rPr>
          <w:sz w:val="19"/>
        </w:rPr>
      </w:pPr>
    </w:p>
    <w:p>
      <w:pPr>
        <w:pStyle w:val="BodyText"/>
        <w:spacing w:line="256" w:lineRule="auto" w:before="58"/>
        <w:ind w:left="713" w:right="101"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8"/>
        </w:rPr>
        <w:t> </w:t>
      </w:r>
      <w:r>
        <w:rPr>
          <w:color w:val="231F20"/>
        </w:rPr>
        <w:t>(2003), “Endogeneidad territorial y </w:t>
      </w:r>
      <w:r>
        <w:rPr>
          <w:color w:val="231F20"/>
          <w:spacing w:val="-3"/>
        </w:rPr>
        <w:t>polarización”, </w:t>
      </w:r>
      <w:r>
        <w:rPr>
          <w:color w:val="231F20"/>
        </w:rPr>
        <w:t>en M. Negrete, S. </w:t>
      </w:r>
      <w:r>
        <w:rPr>
          <w:color w:val="231F20"/>
          <w:spacing w:val="2"/>
        </w:rPr>
        <w:t>Levi </w:t>
      </w:r>
      <w:r>
        <w:rPr>
          <w:color w:val="231F20"/>
        </w:rPr>
        <w:t>y</w:t>
      </w:r>
      <w:r>
        <w:rPr>
          <w:color w:val="231F20"/>
          <w:spacing w:val="-15"/>
        </w:rPr>
        <w:t> </w:t>
      </w:r>
      <w:r>
        <w:rPr>
          <w:color w:val="231F20"/>
          <w:spacing w:val="-4"/>
        </w:rPr>
        <w:t>J.</w:t>
      </w:r>
      <w:r>
        <w:rPr>
          <w:color w:val="231F20"/>
          <w:spacing w:val="-15"/>
        </w:rPr>
        <w:t> </w:t>
      </w:r>
      <w:r>
        <w:rPr>
          <w:color w:val="231F20"/>
        </w:rPr>
        <w:t>Page</w:t>
      </w:r>
      <w:r>
        <w:rPr>
          <w:color w:val="231F20"/>
          <w:spacing w:val="-15"/>
        </w:rPr>
        <w:t> </w:t>
      </w:r>
      <w:r>
        <w:rPr>
          <w:color w:val="231F20"/>
        </w:rPr>
        <w:t>(coords.),</w:t>
      </w:r>
      <w:r>
        <w:rPr>
          <w:color w:val="231F20"/>
          <w:spacing w:val="-15"/>
        </w:rPr>
        <w:t> </w:t>
      </w:r>
      <w:r>
        <w:rPr>
          <w:rFonts w:ascii="Palatino Linotype" w:hAnsi="Palatino Linotype"/>
          <w:i/>
          <w:color w:val="231F20"/>
        </w:rPr>
        <w:t>Entre</w:t>
      </w:r>
      <w:r>
        <w:rPr>
          <w:rFonts w:ascii="Palatino Linotype" w:hAnsi="Palatino Linotype"/>
          <w:i/>
          <w:color w:val="231F20"/>
          <w:spacing w:val="-15"/>
        </w:rPr>
        <w:t> </w:t>
      </w:r>
      <w:r>
        <w:rPr>
          <w:rFonts w:ascii="Palatino Linotype" w:hAnsi="Palatino Linotype"/>
          <w:i/>
          <w:color w:val="231F20"/>
        </w:rPr>
        <w:t>fenómenos</w:t>
      </w:r>
      <w:r>
        <w:rPr>
          <w:rFonts w:ascii="Palatino Linotype" w:hAnsi="Palatino Linotype"/>
          <w:i/>
          <w:color w:val="231F20"/>
          <w:spacing w:val="-15"/>
        </w:rPr>
        <w:t> </w:t>
      </w:r>
      <w:r>
        <w:rPr>
          <w:rFonts w:ascii="Palatino Linotype" w:hAnsi="Palatino Linotype"/>
          <w:i/>
          <w:color w:val="231F20"/>
        </w:rPr>
        <w:t>físicos</w:t>
      </w:r>
      <w:r>
        <w:rPr>
          <w:rFonts w:ascii="Palatino Linotype" w:hAnsi="Palatino Linotype"/>
          <w:i/>
          <w:color w:val="231F20"/>
          <w:spacing w:val="-15"/>
        </w:rPr>
        <w:t> </w:t>
      </w:r>
      <w:r>
        <w:rPr>
          <w:rFonts w:ascii="Palatino Linotype" w:hAnsi="Palatino Linotype"/>
          <w:i/>
          <w:color w:val="231F20"/>
        </w:rPr>
        <w:t>y</w:t>
      </w:r>
      <w:r>
        <w:rPr>
          <w:rFonts w:ascii="Palatino Linotype" w:hAnsi="Palatino Linotype"/>
          <w:i/>
          <w:color w:val="231F20"/>
          <w:spacing w:val="-15"/>
        </w:rPr>
        <w:t> </w:t>
      </w:r>
      <w:r>
        <w:rPr>
          <w:rFonts w:ascii="Palatino Linotype" w:hAnsi="Palatino Linotype"/>
          <w:i/>
          <w:color w:val="231F20"/>
        </w:rPr>
        <w:t>humanos</w:t>
      </w:r>
      <w:r>
        <w:rPr>
          <w:color w:val="231F20"/>
        </w:rPr>
        <w:t>,</w:t>
      </w:r>
      <w:r>
        <w:rPr>
          <w:color w:val="231F20"/>
          <w:spacing w:val="-15"/>
        </w:rPr>
        <w:t> </w:t>
      </w:r>
      <w:r>
        <w:rPr>
          <w:color w:val="231F20"/>
        </w:rPr>
        <w:t>El</w:t>
      </w:r>
      <w:r>
        <w:rPr>
          <w:color w:val="231F20"/>
          <w:spacing w:val="-15"/>
        </w:rPr>
        <w:t> </w:t>
      </w:r>
      <w:r>
        <w:rPr>
          <w:color w:val="231F20"/>
        </w:rPr>
        <w:t>Colegio</w:t>
      </w:r>
      <w:r>
        <w:rPr>
          <w:color w:val="231F20"/>
          <w:spacing w:val="-15"/>
        </w:rPr>
        <w:t> </w:t>
      </w:r>
      <w:r>
        <w:rPr>
          <w:color w:val="231F20"/>
        </w:rPr>
        <w:t>de</w:t>
      </w:r>
      <w:r>
        <w:rPr>
          <w:color w:val="231F20"/>
          <w:spacing w:val="-15"/>
        </w:rPr>
        <w:t> </w:t>
      </w:r>
      <w:r>
        <w:rPr>
          <w:color w:val="231F20"/>
        </w:rPr>
        <w:t>México,</w:t>
      </w:r>
      <w:r>
        <w:rPr>
          <w:color w:val="231F20"/>
          <w:spacing w:val="-15"/>
        </w:rPr>
        <w:t> </w:t>
      </w:r>
      <w:r>
        <w:rPr>
          <w:color w:val="231F20"/>
        </w:rPr>
        <w:t>México, pp.</w:t>
      </w:r>
      <w:r>
        <w:rPr>
          <w:color w:val="231F20"/>
          <w:spacing w:val="-10"/>
        </w:rPr>
        <w:t> </w:t>
      </w:r>
      <w:r>
        <w:rPr>
          <w:color w:val="231F20"/>
        </w:rPr>
        <w:t>159-164.</w:t>
      </w:r>
    </w:p>
    <w:p>
      <w:pPr>
        <w:pStyle w:val="BodyText"/>
        <w:spacing w:before="1"/>
        <w:rPr>
          <w:sz w:val="24"/>
        </w:rPr>
      </w:pPr>
    </w:p>
    <w:p>
      <w:pPr>
        <w:pStyle w:val="BodyText"/>
        <w:spacing w:line="278" w:lineRule="auto"/>
        <w:ind w:left="713" w:right="101" w:firstLine="396"/>
        <w:jc w:val="both"/>
      </w:pPr>
      <w:r>
        <w:rPr>
          <w:color w:val="231F20"/>
        </w:rPr>
        <w:t>EIU / McKinsey &amp; Co. (1999), “Succeeding in the Next </w:t>
      </w:r>
      <w:r>
        <w:rPr>
          <w:color w:val="231F20"/>
          <w:spacing w:val="-3"/>
        </w:rPr>
        <w:t>Automotive </w:t>
      </w:r>
      <w:r>
        <w:rPr>
          <w:color w:val="231F20"/>
        </w:rPr>
        <w:t>Century: a Reprint of Articles from the EIU </w:t>
      </w:r>
      <w:r>
        <w:rPr>
          <w:color w:val="231F20"/>
          <w:spacing w:val="-3"/>
        </w:rPr>
        <w:t>Motor </w:t>
      </w:r>
      <w:r>
        <w:rPr>
          <w:color w:val="231F20"/>
        </w:rPr>
        <w:t>Business </w:t>
      </w:r>
      <w:r>
        <w:rPr>
          <w:color w:val="231F20"/>
          <w:spacing w:val="-5"/>
        </w:rPr>
        <w:t>Series”, </w:t>
      </w:r>
      <w:r>
        <w:rPr>
          <w:color w:val="231F20"/>
        </w:rPr>
        <w:t>Economist Intelligence </w:t>
      </w:r>
      <w:r>
        <w:rPr>
          <w:color w:val="231F20"/>
          <w:spacing w:val="-4"/>
        </w:rPr>
        <w:t>Unit </w:t>
      </w:r>
      <w:r>
        <w:rPr>
          <w:color w:val="231F20"/>
        </w:rPr>
        <w:t>(EIU) / McKinsey &amp; Co., Londres.</w:t>
      </w:r>
    </w:p>
    <w:p>
      <w:pPr>
        <w:pStyle w:val="BodyText"/>
        <w:spacing w:before="9"/>
        <w:rPr>
          <w:sz w:val="19"/>
        </w:rPr>
      </w:pPr>
    </w:p>
    <w:p>
      <w:pPr>
        <w:pStyle w:val="BodyText"/>
        <w:spacing w:line="280" w:lineRule="exact" w:before="1"/>
        <w:ind w:left="713" w:right="101" w:firstLine="396"/>
        <w:jc w:val="both"/>
      </w:pPr>
      <w:r>
        <w:rPr>
          <w:color w:val="231F20"/>
        </w:rPr>
        <w:t>El Financiero (2008), “Inversión histórica en sector automotriz mexicano”, </w:t>
      </w:r>
      <w:r>
        <w:rPr>
          <w:rFonts w:ascii="Palatino Linotype" w:hAnsi="Palatino Linotype"/>
          <w:i/>
          <w:color w:val="231F20"/>
        </w:rPr>
        <w:t>El </w:t>
      </w:r>
      <w:r>
        <w:rPr>
          <w:rFonts w:ascii="Palatino Linotype" w:hAnsi="Palatino Linotype"/>
          <w:i/>
          <w:color w:val="231F20"/>
        </w:rPr>
        <w:t>Financiero</w:t>
      </w:r>
      <w:r>
        <w:rPr>
          <w:color w:val="231F20"/>
        </w:rPr>
        <w:t>, consultado en </w:t>
      </w:r>
      <w:hyperlink r:id="rId374">
        <w:r>
          <w:rPr>
            <w:color w:val="231F20"/>
          </w:rPr>
          <w:t>http://www.elfinanciero.com.mx</w:t>
        </w:r>
      </w:hyperlink>
      <w:r>
        <w:rPr>
          <w:color w:val="231F20"/>
        </w:rPr>
        <w:t> (4 de enero de   2009).</w:t>
      </w:r>
    </w:p>
    <w:p>
      <w:pPr>
        <w:pStyle w:val="BodyText"/>
        <w:spacing w:before="5"/>
        <w:rPr>
          <w:sz w:val="22"/>
        </w:rPr>
      </w:pPr>
    </w:p>
    <w:p>
      <w:pPr>
        <w:pStyle w:val="BodyText"/>
        <w:spacing w:line="256" w:lineRule="auto"/>
        <w:ind w:left="713" w:right="102" w:firstLine="396"/>
        <w:jc w:val="both"/>
      </w:pPr>
      <w:r>
        <w:rPr>
          <w:color w:val="231F20"/>
        </w:rPr>
        <w:t>FCA</w:t>
      </w:r>
      <w:r>
        <w:rPr>
          <w:color w:val="231F20"/>
          <w:spacing w:val="-8"/>
        </w:rPr>
        <w:t> </w:t>
      </w:r>
      <w:r>
        <w:rPr>
          <w:color w:val="231F20"/>
        </w:rPr>
        <w:t>(2014a),</w:t>
      </w:r>
      <w:r>
        <w:rPr>
          <w:color w:val="231F20"/>
          <w:spacing w:val="-8"/>
        </w:rPr>
        <w:t> </w:t>
      </w:r>
      <w:r>
        <w:rPr>
          <w:color w:val="231F20"/>
        </w:rPr>
        <w:t>“Nuestras</w:t>
      </w:r>
      <w:r>
        <w:rPr>
          <w:color w:val="231F20"/>
          <w:spacing w:val="-8"/>
        </w:rPr>
        <w:t> </w:t>
      </w:r>
      <w:r>
        <w:rPr>
          <w:color w:val="231F20"/>
          <w:spacing w:val="-6"/>
        </w:rPr>
        <w:t>plantas”,</w:t>
      </w:r>
      <w:r>
        <w:rPr>
          <w:color w:val="231F20"/>
          <w:spacing w:val="-8"/>
        </w:rPr>
        <w:t> </w:t>
      </w:r>
      <w:r>
        <w:rPr>
          <w:rFonts w:ascii="Palatino Linotype" w:hAnsi="Palatino Linotype"/>
          <w:i/>
          <w:color w:val="231F20"/>
          <w:spacing w:val="-3"/>
        </w:rPr>
        <w:t>Fiat</w:t>
      </w:r>
      <w:r>
        <w:rPr>
          <w:rFonts w:ascii="Palatino Linotype" w:hAnsi="Palatino Linotype"/>
          <w:i/>
          <w:color w:val="231F20"/>
          <w:spacing w:val="-8"/>
        </w:rPr>
        <w:t> </w:t>
      </w:r>
      <w:r>
        <w:rPr>
          <w:rFonts w:ascii="Palatino Linotype" w:hAnsi="Palatino Linotype"/>
          <w:i/>
          <w:color w:val="231F20"/>
        </w:rPr>
        <w:t>Chrysler</w:t>
      </w:r>
      <w:r>
        <w:rPr>
          <w:rFonts w:ascii="Palatino Linotype" w:hAnsi="Palatino Linotype"/>
          <w:i/>
          <w:color w:val="231F20"/>
          <w:spacing w:val="-8"/>
        </w:rPr>
        <w:t> </w:t>
      </w:r>
      <w:r>
        <w:rPr>
          <w:rFonts w:ascii="Palatino Linotype" w:hAnsi="Palatino Linotype"/>
          <w:i/>
          <w:color w:val="231F20"/>
          <w:spacing w:val="-3"/>
        </w:rPr>
        <w:t>Automobiles</w:t>
      </w:r>
      <w:r>
        <w:rPr>
          <w:color w:val="231F20"/>
          <w:spacing w:val="-3"/>
        </w:rPr>
        <w:t>,</w:t>
      </w:r>
      <w:r>
        <w:rPr>
          <w:color w:val="231F20"/>
          <w:spacing w:val="-8"/>
        </w:rPr>
        <w:t> </w:t>
      </w:r>
      <w:r>
        <w:rPr>
          <w:color w:val="231F20"/>
        </w:rPr>
        <w:t>consultado</w:t>
      </w:r>
      <w:r>
        <w:rPr>
          <w:color w:val="231F20"/>
          <w:spacing w:val="-8"/>
        </w:rPr>
        <w:t> </w:t>
      </w:r>
      <w:r>
        <w:rPr>
          <w:color w:val="231F20"/>
        </w:rPr>
        <w:t>en</w:t>
      </w:r>
      <w:r>
        <w:rPr>
          <w:color w:val="231F20"/>
          <w:spacing w:val="-8"/>
        </w:rPr>
        <w:t> </w:t>
      </w:r>
      <w:r>
        <w:rPr>
          <w:color w:val="231F20"/>
        </w:rPr>
        <w:t>http:// </w:t>
      </w:r>
      <w:hyperlink r:id="rId375">
        <w:r>
          <w:rPr>
            <w:color w:val="231F20"/>
          </w:rPr>
          <w:t>www.chryslerdemexico.com.mx/</w:t>
        </w:r>
      </w:hyperlink>
      <w:r>
        <w:rPr>
          <w:color w:val="231F20"/>
          <w:spacing w:val="-18"/>
        </w:rPr>
        <w:t> </w:t>
      </w:r>
      <w:r>
        <w:rPr>
          <w:color w:val="231F20"/>
        </w:rPr>
        <w:t>(5</w:t>
      </w:r>
      <w:r>
        <w:rPr>
          <w:color w:val="231F20"/>
          <w:spacing w:val="-18"/>
        </w:rPr>
        <w:t> </w:t>
      </w:r>
      <w:r>
        <w:rPr>
          <w:color w:val="231F20"/>
        </w:rPr>
        <w:t>de</w:t>
      </w:r>
      <w:r>
        <w:rPr>
          <w:color w:val="231F20"/>
          <w:spacing w:val="-18"/>
        </w:rPr>
        <w:t> </w:t>
      </w:r>
      <w:r>
        <w:rPr>
          <w:color w:val="231F20"/>
        </w:rPr>
        <w:t>diciembre</w:t>
      </w:r>
      <w:r>
        <w:rPr>
          <w:color w:val="231F20"/>
          <w:spacing w:val="-18"/>
        </w:rPr>
        <w:t> </w:t>
      </w:r>
      <w:r>
        <w:rPr>
          <w:color w:val="231F20"/>
        </w:rPr>
        <w:t>de</w:t>
      </w:r>
      <w:r>
        <w:rPr>
          <w:color w:val="231F20"/>
          <w:spacing w:val="-18"/>
        </w:rPr>
        <w:t> </w:t>
      </w:r>
      <w:r>
        <w:rPr>
          <w:color w:val="231F20"/>
        </w:rPr>
        <w:t>2014).</w:t>
      </w:r>
    </w:p>
    <w:p>
      <w:pPr>
        <w:pStyle w:val="BodyText"/>
        <w:spacing w:before="1"/>
        <w:rPr>
          <w:sz w:val="19"/>
        </w:rPr>
      </w:pPr>
    </w:p>
    <w:p>
      <w:pPr>
        <w:pStyle w:val="BodyText"/>
        <w:tabs>
          <w:tab w:pos="1620" w:val="left" w:leader="none"/>
        </w:tabs>
        <w:spacing w:line="256" w:lineRule="auto" w:before="58"/>
        <w:ind w:left="713" w:right="101" w:firstLine="396"/>
        <w:jc w:val="right"/>
      </w:pPr>
      <w:r>
        <w:rPr>
          <w:color w:val="231F20"/>
          <w:w w:val="90"/>
          <w:u w:val="single" w:color="231F20"/>
        </w:rPr>
        <w:t> </w:t>
      </w:r>
      <w:r>
        <w:rPr>
          <w:color w:val="231F20"/>
          <w:u w:val="single" w:color="231F20"/>
        </w:rPr>
        <w:tab/>
      </w:r>
      <w:r>
        <w:rPr>
          <w:color w:val="231F20"/>
          <w:spacing w:val="14"/>
        </w:rPr>
        <w:t> </w:t>
      </w:r>
      <w:r>
        <w:rPr>
          <w:color w:val="231F20"/>
        </w:rPr>
        <w:t>(2014b), “Nuestra Empresa Centro de Investigación, Desarrollo   </w:t>
      </w:r>
      <w:r>
        <w:rPr>
          <w:color w:val="231F20"/>
          <w:spacing w:val="12"/>
        </w:rPr>
        <w:t> </w:t>
      </w:r>
      <w:r>
        <w:rPr>
          <w:color w:val="231F20"/>
        </w:rPr>
        <w:t>y</w:t>
      </w:r>
      <w:r>
        <w:rPr>
          <w:color w:val="231F20"/>
          <w:spacing w:val="24"/>
        </w:rPr>
        <w:t> </w:t>
      </w:r>
      <w:r>
        <w:rPr>
          <w:color w:val="231F20"/>
        </w:rPr>
        <w:t>Prue-</w:t>
      </w:r>
      <w:r>
        <w:rPr>
          <w:color w:val="231F20"/>
          <w:w w:val="106"/>
        </w:rPr>
        <w:t> </w:t>
      </w:r>
      <w:r>
        <w:rPr>
          <w:color w:val="231F20"/>
        </w:rPr>
        <w:t>bas de Ingeniería </w:t>
      </w:r>
      <w:r>
        <w:rPr>
          <w:color w:val="231F20"/>
          <w:spacing w:val="-3"/>
        </w:rPr>
        <w:t>Automotriz”, </w:t>
      </w:r>
      <w:r>
        <w:rPr>
          <w:rFonts w:ascii="Palatino Linotype" w:hAnsi="Palatino Linotype"/>
          <w:i/>
          <w:color w:val="231F20"/>
        </w:rPr>
        <w:t>Fiat Chrysler Automobiles</w:t>
      </w:r>
      <w:r>
        <w:rPr>
          <w:color w:val="231F20"/>
        </w:rPr>
        <w:t>, consultado</w:t>
      </w:r>
      <w:r>
        <w:rPr>
          <w:color w:val="231F20"/>
          <w:spacing w:val="-9"/>
        </w:rPr>
        <w:t> </w:t>
      </w:r>
      <w:r>
        <w:rPr>
          <w:color w:val="231F20"/>
        </w:rPr>
        <w:t>en</w:t>
      </w:r>
      <w:r>
        <w:rPr>
          <w:color w:val="231F20"/>
          <w:spacing w:val="-2"/>
        </w:rPr>
        <w:t> </w:t>
      </w:r>
      <w:hyperlink r:id="rId373">
        <w:r>
          <w:rPr>
            <w:color w:val="231F20"/>
          </w:rPr>
          <w:t>http://www.</w:t>
        </w:r>
      </w:hyperlink>
      <w:r>
        <w:rPr>
          <w:color w:val="231F20"/>
          <w:w w:val="91"/>
        </w:rPr>
        <w:t> </w:t>
      </w:r>
      <w:r>
        <w:rPr>
          <w:color w:val="231F20"/>
        </w:rPr>
        <w:t>chryslerdemexico.com.mx/company/ingenieria/index.php (23 de diciembre de</w:t>
      </w:r>
      <w:r>
        <w:rPr>
          <w:color w:val="231F20"/>
          <w:spacing w:val="-21"/>
        </w:rPr>
        <w:t> </w:t>
      </w:r>
      <w:r>
        <w:rPr>
          <w:color w:val="231F20"/>
        </w:rPr>
        <w:t>2014).</w:t>
      </w:r>
    </w:p>
    <w:p>
      <w:pPr>
        <w:pStyle w:val="BodyText"/>
        <w:spacing w:before="11"/>
      </w:pPr>
    </w:p>
    <w:p>
      <w:pPr>
        <w:spacing w:line="247" w:lineRule="auto" w:before="0"/>
        <w:ind w:left="713" w:right="101" w:firstLine="396"/>
        <w:jc w:val="both"/>
        <w:rPr>
          <w:sz w:val="21"/>
        </w:rPr>
      </w:pPr>
      <w:r>
        <w:rPr>
          <w:color w:val="231F20"/>
          <w:sz w:val="21"/>
        </w:rPr>
        <w:t>Fernández,</w:t>
      </w:r>
      <w:r>
        <w:rPr>
          <w:color w:val="231F20"/>
          <w:spacing w:val="-27"/>
          <w:sz w:val="21"/>
        </w:rPr>
        <w:t> </w:t>
      </w:r>
      <w:r>
        <w:rPr>
          <w:color w:val="231F20"/>
          <w:sz w:val="21"/>
        </w:rPr>
        <w:t>Amilcar</w:t>
      </w:r>
      <w:r>
        <w:rPr>
          <w:color w:val="231F20"/>
          <w:spacing w:val="-27"/>
          <w:sz w:val="21"/>
        </w:rPr>
        <w:t> </w:t>
      </w:r>
      <w:r>
        <w:rPr>
          <w:color w:val="231F20"/>
          <w:sz w:val="21"/>
        </w:rPr>
        <w:t>(2005),</w:t>
      </w:r>
      <w:r>
        <w:rPr>
          <w:color w:val="231F20"/>
          <w:spacing w:val="-27"/>
          <w:sz w:val="21"/>
        </w:rPr>
        <w:t> </w:t>
      </w:r>
      <w:r>
        <w:rPr>
          <w:rFonts w:ascii="Palatino Linotype" w:hAnsi="Palatino Linotype"/>
          <w:i/>
          <w:color w:val="231F20"/>
          <w:sz w:val="21"/>
        </w:rPr>
        <w:t>Explicando</w:t>
      </w:r>
      <w:r>
        <w:rPr>
          <w:rFonts w:ascii="Palatino Linotype" w:hAnsi="Palatino Linotype"/>
          <w:i/>
          <w:color w:val="231F20"/>
          <w:spacing w:val="-26"/>
          <w:sz w:val="21"/>
        </w:rPr>
        <w:t> </w:t>
      </w:r>
      <w:r>
        <w:rPr>
          <w:rFonts w:ascii="Palatino Linotype" w:hAnsi="Palatino Linotype"/>
          <w:i/>
          <w:color w:val="231F20"/>
          <w:sz w:val="21"/>
        </w:rPr>
        <w:t>las</w:t>
      </w:r>
      <w:r>
        <w:rPr>
          <w:rFonts w:ascii="Palatino Linotype" w:hAnsi="Palatino Linotype"/>
          <w:i/>
          <w:color w:val="231F20"/>
          <w:spacing w:val="-26"/>
          <w:sz w:val="21"/>
        </w:rPr>
        <w:t> </w:t>
      </w:r>
      <w:r>
        <w:rPr>
          <w:rFonts w:ascii="Palatino Linotype" w:hAnsi="Palatino Linotype"/>
          <w:i/>
          <w:color w:val="231F20"/>
          <w:sz w:val="21"/>
        </w:rPr>
        <w:t>exportaciones</w:t>
      </w:r>
      <w:r>
        <w:rPr>
          <w:rFonts w:ascii="Palatino Linotype" w:hAnsi="Palatino Linotype"/>
          <w:i/>
          <w:color w:val="231F20"/>
          <w:spacing w:val="-26"/>
          <w:sz w:val="21"/>
        </w:rPr>
        <w:t> </w:t>
      </w:r>
      <w:r>
        <w:rPr>
          <w:rFonts w:ascii="Palatino Linotype" w:hAnsi="Palatino Linotype"/>
          <w:i/>
          <w:color w:val="231F20"/>
          <w:sz w:val="21"/>
        </w:rPr>
        <w:t>mexicanas</w:t>
      </w:r>
      <w:r>
        <w:rPr>
          <w:rFonts w:ascii="Palatino Linotype" w:hAnsi="Palatino Linotype"/>
          <w:i/>
          <w:color w:val="231F20"/>
          <w:spacing w:val="-26"/>
          <w:sz w:val="21"/>
        </w:rPr>
        <w:t> </w:t>
      </w:r>
      <w:r>
        <w:rPr>
          <w:rFonts w:ascii="Palatino Linotype" w:hAnsi="Palatino Linotype"/>
          <w:i/>
          <w:color w:val="231F20"/>
          <w:sz w:val="21"/>
        </w:rPr>
        <w:t>de</w:t>
      </w:r>
      <w:r>
        <w:rPr>
          <w:rFonts w:ascii="Palatino Linotype" w:hAnsi="Palatino Linotype"/>
          <w:i/>
          <w:color w:val="231F20"/>
          <w:spacing w:val="-26"/>
          <w:sz w:val="21"/>
        </w:rPr>
        <w:t> </w:t>
      </w:r>
      <w:r>
        <w:rPr>
          <w:rFonts w:ascii="Palatino Linotype" w:hAnsi="Palatino Linotype"/>
          <w:i/>
          <w:color w:val="231F20"/>
          <w:sz w:val="21"/>
        </w:rPr>
        <w:t>la</w:t>
      </w:r>
      <w:r>
        <w:rPr>
          <w:rFonts w:ascii="Palatino Linotype" w:hAnsi="Palatino Linotype"/>
          <w:i/>
          <w:color w:val="231F20"/>
          <w:spacing w:val="-26"/>
          <w:sz w:val="21"/>
        </w:rPr>
        <w:t> </w:t>
      </w:r>
      <w:r>
        <w:rPr>
          <w:rFonts w:ascii="Palatino Linotype" w:hAnsi="Palatino Linotype"/>
          <w:i/>
          <w:color w:val="231F20"/>
          <w:sz w:val="21"/>
        </w:rPr>
        <w:t>industria </w:t>
      </w:r>
      <w:r>
        <w:rPr>
          <w:rFonts w:ascii="Palatino Linotype" w:hAnsi="Palatino Linotype"/>
          <w:i/>
          <w:color w:val="231F20"/>
          <w:sz w:val="21"/>
        </w:rPr>
        <w:t>automotriz.</w:t>
      </w:r>
      <w:r>
        <w:rPr>
          <w:rFonts w:ascii="Palatino Linotype" w:hAnsi="Palatino Linotype"/>
          <w:i/>
          <w:color w:val="231F20"/>
          <w:spacing w:val="-8"/>
          <w:sz w:val="21"/>
        </w:rPr>
        <w:t> </w:t>
      </w:r>
      <w:r>
        <w:rPr>
          <w:rFonts w:ascii="Palatino Linotype" w:hAnsi="Palatino Linotype"/>
          <w:i/>
          <w:color w:val="231F20"/>
          <w:spacing w:val="-4"/>
          <w:sz w:val="21"/>
        </w:rPr>
        <w:t>Un</w:t>
      </w:r>
      <w:r>
        <w:rPr>
          <w:rFonts w:ascii="Palatino Linotype" w:hAnsi="Palatino Linotype"/>
          <w:i/>
          <w:color w:val="231F20"/>
          <w:spacing w:val="-8"/>
          <w:sz w:val="21"/>
        </w:rPr>
        <w:t> </w:t>
      </w:r>
      <w:r>
        <w:rPr>
          <w:rFonts w:ascii="Palatino Linotype" w:hAnsi="Palatino Linotype"/>
          <w:i/>
          <w:color w:val="231F20"/>
          <w:sz w:val="21"/>
        </w:rPr>
        <w:t>análisis</w:t>
      </w:r>
      <w:r>
        <w:rPr>
          <w:rFonts w:ascii="Palatino Linotype" w:hAnsi="Palatino Linotype"/>
          <w:i/>
          <w:color w:val="231F20"/>
          <w:spacing w:val="-8"/>
          <w:sz w:val="21"/>
        </w:rPr>
        <w:t> </w:t>
      </w:r>
      <w:r>
        <w:rPr>
          <w:rFonts w:ascii="Palatino Linotype" w:hAnsi="Palatino Linotype"/>
          <w:i/>
          <w:color w:val="231F20"/>
          <w:sz w:val="21"/>
        </w:rPr>
        <w:t>de</w:t>
      </w:r>
      <w:r>
        <w:rPr>
          <w:rFonts w:ascii="Palatino Linotype" w:hAnsi="Palatino Linotype"/>
          <w:i/>
          <w:color w:val="231F20"/>
          <w:spacing w:val="-8"/>
          <w:sz w:val="21"/>
        </w:rPr>
        <w:t> </w:t>
      </w:r>
      <w:r>
        <w:rPr>
          <w:rFonts w:ascii="Palatino Linotype" w:hAnsi="Palatino Linotype"/>
          <w:i/>
          <w:color w:val="231F20"/>
          <w:sz w:val="21"/>
        </w:rPr>
        <w:t>series</w:t>
      </w:r>
      <w:r>
        <w:rPr>
          <w:rFonts w:ascii="Palatino Linotype" w:hAnsi="Palatino Linotype"/>
          <w:i/>
          <w:color w:val="231F20"/>
          <w:spacing w:val="-8"/>
          <w:sz w:val="21"/>
        </w:rPr>
        <w:t> </w:t>
      </w:r>
      <w:r>
        <w:rPr>
          <w:rFonts w:ascii="Palatino Linotype" w:hAnsi="Palatino Linotype"/>
          <w:i/>
          <w:color w:val="231F20"/>
          <w:sz w:val="21"/>
        </w:rPr>
        <w:t>de</w:t>
      </w:r>
      <w:r>
        <w:rPr>
          <w:rFonts w:ascii="Palatino Linotype" w:hAnsi="Palatino Linotype"/>
          <w:i/>
          <w:color w:val="231F20"/>
          <w:spacing w:val="-8"/>
          <w:sz w:val="21"/>
        </w:rPr>
        <w:t> </w:t>
      </w:r>
      <w:r>
        <w:rPr>
          <w:rFonts w:ascii="Palatino Linotype" w:hAnsi="Palatino Linotype"/>
          <w:i/>
          <w:color w:val="231F20"/>
          <w:sz w:val="21"/>
        </w:rPr>
        <w:t>tiempo</w:t>
      </w:r>
      <w:r>
        <w:rPr>
          <w:color w:val="231F20"/>
          <w:sz w:val="21"/>
        </w:rPr>
        <w:t>,</w:t>
      </w:r>
      <w:r>
        <w:rPr>
          <w:color w:val="231F20"/>
          <w:spacing w:val="-9"/>
          <w:sz w:val="21"/>
        </w:rPr>
        <w:t> </w:t>
      </w:r>
      <w:r>
        <w:rPr>
          <w:color w:val="231F20"/>
          <w:sz w:val="21"/>
        </w:rPr>
        <w:t>tesis</w:t>
      </w:r>
      <w:r>
        <w:rPr>
          <w:color w:val="231F20"/>
          <w:spacing w:val="-9"/>
          <w:sz w:val="21"/>
        </w:rPr>
        <w:t> </w:t>
      </w:r>
      <w:r>
        <w:rPr>
          <w:color w:val="231F20"/>
          <w:sz w:val="21"/>
        </w:rPr>
        <w:t>de</w:t>
      </w:r>
      <w:r>
        <w:rPr>
          <w:color w:val="231F20"/>
          <w:spacing w:val="-9"/>
          <w:sz w:val="21"/>
        </w:rPr>
        <w:t> </w:t>
      </w:r>
      <w:r>
        <w:rPr>
          <w:color w:val="231F20"/>
          <w:sz w:val="21"/>
        </w:rPr>
        <w:t>maestría</w:t>
      </w:r>
      <w:r>
        <w:rPr>
          <w:color w:val="231F20"/>
          <w:spacing w:val="-9"/>
          <w:sz w:val="21"/>
        </w:rPr>
        <w:t> </w:t>
      </w:r>
      <w:r>
        <w:rPr>
          <w:color w:val="231F20"/>
          <w:sz w:val="21"/>
        </w:rPr>
        <w:t>en</w:t>
      </w:r>
      <w:r>
        <w:rPr>
          <w:color w:val="231F20"/>
          <w:spacing w:val="-9"/>
          <w:sz w:val="21"/>
        </w:rPr>
        <w:t> </w:t>
      </w:r>
      <w:r>
        <w:rPr>
          <w:color w:val="231F20"/>
          <w:sz w:val="21"/>
        </w:rPr>
        <w:t>Economía,</w:t>
      </w:r>
      <w:r>
        <w:rPr>
          <w:color w:val="231F20"/>
          <w:spacing w:val="-9"/>
          <w:sz w:val="21"/>
        </w:rPr>
        <w:t> </w:t>
      </w:r>
      <w:r>
        <w:rPr>
          <w:color w:val="231F20"/>
          <w:sz w:val="21"/>
        </w:rPr>
        <w:t>Escuela</w:t>
      </w:r>
      <w:r>
        <w:rPr>
          <w:color w:val="231F20"/>
          <w:spacing w:val="-9"/>
          <w:sz w:val="21"/>
        </w:rPr>
        <w:t> </w:t>
      </w:r>
      <w:r>
        <w:rPr>
          <w:color w:val="231F20"/>
          <w:sz w:val="21"/>
        </w:rPr>
        <w:t>de Ciencias</w:t>
      </w:r>
      <w:r>
        <w:rPr>
          <w:color w:val="231F20"/>
          <w:spacing w:val="-19"/>
          <w:sz w:val="21"/>
        </w:rPr>
        <w:t> </w:t>
      </w:r>
      <w:r>
        <w:rPr>
          <w:color w:val="231F20"/>
          <w:sz w:val="21"/>
        </w:rPr>
        <w:t>Sociales,</w:t>
      </w:r>
      <w:r>
        <w:rPr>
          <w:color w:val="231F20"/>
          <w:spacing w:val="-19"/>
          <w:sz w:val="21"/>
        </w:rPr>
        <w:t> </w:t>
      </w:r>
      <w:r>
        <w:rPr>
          <w:color w:val="231F20"/>
          <w:sz w:val="21"/>
        </w:rPr>
        <w:t>Universidad</w:t>
      </w:r>
      <w:r>
        <w:rPr>
          <w:color w:val="231F20"/>
          <w:spacing w:val="-19"/>
          <w:sz w:val="21"/>
        </w:rPr>
        <w:t> </w:t>
      </w:r>
      <w:r>
        <w:rPr>
          <w:color w:val="231F20"/>
          <w:sz w:val="21"/>
        </w:rPr>
        <w:t>de</w:t>
      </w:r>
      <w:r>
        <w:rPr>
          <w:color w:val="231F20"/>
          <w:spacing w:val="-19"/>
          <w:sz w:val="21"/>
        </w:rPr>
        <w:t> </w:t>
      </w:r>
      <w:r>
        <w:rPr>
          <w:color w:val="231F20"/>
          <w:sz w:val="21"/>
        </w:rPr>
        <w:t>las</w:t>
      </w:r>
      <w:r>
        <w:rPr>
          <w:color w:val="231F20"/>
          <w:spacing w:val="-19"/>
          <w:sz w:val="21"/>
        </w:rPr>
        <w:t> </w:t>
      </w:r>
      <w:r>
        <w:rPr>
          <w:color w:val="231F20"/>
          <w:sz w:val="21"/>
        </w:rPr>
        <w:t>Américas,</w:t>
      </w:r>
      <w:r>
        <w:rPr>
          <w:color w:val="231F20"/>
          <w:spacing w:val="-19"/>
          <w:sz w:val="21"/>
        </w:rPr>
        <w:t> </w:t>
      </w:r>
      <w:r>
        <w:rPr>
          <w:color w:val="231F20"/>
          <w:sz w:val="21"/>
        </w:rPr>
        <w:t>Puebla.</w:t>
      </w:r>
    </w:p>
    <w:p>
      <w:pPr>
        <w:spacing w:after="0" w:line="247" w:lineRule="auto"/>
        <w:jc w:val="both"/>
        <w:rPr>
          <w:sz w:val="21"/>
        </w:rPr>
        <w:sectPr>
          <w:pgSz w:w="9640" w:h="13040"/>
          <w:pgMar w:header="581" w:footer="654" w:top="780" w:bottom="840" w:left="420" w:right="1200"/>
        </w:sectPr>
      </w:pPr>
    </w:p>
    <w:p>
      <w:pPr>
        <w:pStyle w:val="BodyText"/>
        <w:rPr>
          <w:sz w:val="20"/>
        </w:rPr>
      </w:pPr>
    </w:p>
    <w:p>
      <w:pPr>
        <w:pStyle w:val="BodyText"/>
        <w:spacing w:before="7"/>
      </w:pPr>
    </w:p>
    <w:p>
      <w:pPr>
        <w:pStyle w:val="BodyText"/>
        <w:spacing w:line="278" w:lineRule="auto" w:before="58"/>
        <w:ind w:left="103" w:right="711" w:firstLine="396"/>
        <w:jc w:val="both"/>
      </w:pPr>
      <w:r>
        <w:rPr>
          <w:color w:val="231F20"/>
          <w:spacing w:val="-3"/>
        </w:rPr>
        <w:t>Ford </w:t>
      </w:r>
      <w:r>
        <w:rPr>
          <w:color w:val="231F20"/>
        </w:rPr>
        <w:t>(2014), “Información general de las plantas de </w:t>
      </w:r>
      <w:r>
        <w:rPr>
          <w:color w:val="231F20"/>
          <w:spacing w:val="-3"/>
        </w:rPr>
        <w:t>Ford </w:t>
      </w:r>
      <w:r>
        <w:rPr>
          <w:color w:val="231F20"/>
        </w:rPr>
        <w:t>en </w:t>
      </w:r>
      <w:r>
        <w:rPr>
          <w:color w:val="231F20"/>
          <w:spacing w:val="-7"/>
        </w:rPr>
        <w:t>México”, </w:t>
      </w:r>
      <w:r>
        <w:rPr>
          <w:color w:val="231F20"/>
        </w:rPr>
        <w:t>consultado en </w:t>
      </w:r>
      <w:hyperlink r:id="rId376">
        <w:r>
          <w:rPr>
            <w:color w:val="231F20"/>
          </w:rPr>
          <w:t>http://www.ford.mx/</w:t>
        </w:r>
      </w:hyperlink>
      <w:r>
        <w:rPr>
          <w:color w:val="231F20"/>
        </w:rPr>
        <w:t> (5 de diciembre de 2014).</w:t>
      </w:r>
    </w:p>
    <w:p>
      <w:pPr>
        <w:pStyle w:val="BodyText"/>
        <w:spacing w:before="3"/>
        <w:rPr>
          <w:sz w:val="22"/>
        </w:rPr>
      </w:pPr>
    </w:p>
    <w:p>
      <w:pPr>
        <w:pStyle w:val="BodyText"/>
        <w:spacing w:line="266" w:lineRule="auto"/>
        <w:ind w:left="103" w:right="711" w:firstLine="396"/>
        <w:jc w:val="both"/>
      </w:pPr>
      <w:r>
        <w:rPr>
          <w:color w:val="231F20"/>
        </w:rPr>
        <w:t>Fruin, Mark y Toshihiro Nishiguchi (1993), “Supplying the Toyota Production System: Intercorporate Organizational Evolution and Suppliers Subsystems”, en B. Kogut (ed.), </w:t>
      </w:r>
      <w:r>
        <w:rPr>
          <w:rFonts w:ascii="Palatino Linotype" w:hAnsi="Palatino Linotype"/>
          <w:i/>
          <w:color w:val="231F20"/>
        </w:rPr>
        <w:t>Country Competitiveness</w:t>
      </w:r>
      <w:r>
        <w:rPr>
          <w:color w:val="231F20"/>
        </w:rPr>
        <w:t>, Oxford University Press, Nueva York.</w:t>
      </w:r>
    </w:p>
    <w:p>
      <w:pPr>
        <w:pStyle w:val="BodyText"/>
        <w:spacing w:before="10"/>
        <w:rPr>
          <w:sz w:val="18"/>
        </w:rPr>
      </w:pPr>
    </w:p>
    <w:p>
      <w:pPr>
        <w:spacing w:line="280" w:lineRule="exact" w:before="0"/>
        <w:ind w:left="103" w:right="712" w:firstLine="396"/>
        <w:jc w:val="right"/>
        <w:rPr>
          <w:sz w:val="21"/>
        </w:rPr>
      </w:pPr>
      <w:r>
        <w:rPr>
          <w:color w:val="231F20"/>
          <w:sz w:val="21"/>
        </w:rPr>
        <w:t>Garza,</w:t>
      </w:r>
      <w:r>
        <w:rPr>
          <w:color w:val="231F20"/>
          <w:spacing w:val="-7"/>
          <w:sz w:val="21"/>
        </w:rPr>
        <w:t> </w:t>
      </w:r>
      <w:r>
        <w:rPr>
          <w:color w:val="231F20"/>
          <w:sz w:val="21"/>
        </w:rPr>
        <w:t>Gustavo</w:t>
      </w:r>
      <w:r>
        <w:rPr>
          <w:color w:val="231F20"/>
          <w:spacing w:val="-7"/>
          <w:sz w:val="21"/>
        </w:rPr>
        <w:t> </w:t>
      </w:r>
      <w:r>
        <w:rPr>
          <w:color w:val="231F20"/>
          <w:sz w:val="21"/>
        </w:rPr>
        <w:t>(1992),</w:t>
      </w:r>
      <w:r>
        <w:rPr>
          <w:color w:val="231F20"/>
          <w:spacing w:val="-7"/>
          <w:sz w:val="21"/>
        </w:rPr>
        <w:t> </w:t>
      </w:r>
      <w:r>
        <w:rPr>
          <w:rFonts w:ascii="Palatino Linotype" w:hAnsi="Palatino Linotype"/>
          <w:i/>
          <w:color w:val="231F20"/>
          <w:sz w:val="21"/>
        </w:rPr>
        <w:t>Desconcentración,</w:t>
      </w:r>
      <w:r>
        <w:rPr>
          <w:rFonts w:ascii="Palatino Linotype" w:hAnsi="Palatino Linotype"/>
          <w:i/>
          <w:color w:val="231F20"/>
          <w:spacing w:val="-7"/>
          <w:sz w:val="21"/>
        </w:rPr>
        <w:t> </w:t>
      </w:r>
      <w:r>
        <w:rPr>
          <w:rFonts w:ascii="Palatino Linotype" w:hAnsi="Palatino Linotype"/>
          <w:i/>
          <w:color w:val="231F20"/>
          <w:sz w:val="21"/>
        </w:rPr>
        <w:t>tecnología</w:t>
      </w:r>
      <w:r>
        <w:rPr>
          <w:rFonts w:ascii="Palatino Linotype" w:hAnsi="Palatino Linotype"/>
          <w:i/>
          <w:color w:val="231F20"/>
          <w:spacing w:val="-7"/>
          <w:sz w:val="21"/>
        </w:rPr>
        <w:t> </w:t>
      </w:r>
      <w:r>
        <w:rPr>
          <w:rFonts w:ascii="Palatino Linotype" w:hAnsi="Palatino Linotype"/>
          <w:i/>
          <w:color w:val="231F20"/>
          <w:sz w:val="21"/>
        </w:rPr>
        <w:t>y</w:t>
      </w:r>
      <w:r>
        <w:rPr>
          <w:rFonts w:ascii="Palatino Linotype" w:hAnsi="Palatino Linotype"/>
          <w:i/>
          <w:color w:val="231F20"/>
          <w:spacing w:val="-7"/>
          <w:sz w:val="21"/>
        </w:rPr>
        <w:t> </w:t>
      </w:r>
      <w:r>
        <w:rPr>
          <w:rFonts w:ascii="Palatino Linotype" w:hAnsi="Palatino Linotype"/>
          <w:i/>
          <w:color w:val="231F20"/>
          <w:sz w:val="21"/>
        </w:rPr>
        <w:t>localización</w:t>
      </w:r>
      <w:r>
        <w:rPr>
          <w:rFonts w:ascii="Palatino Linotype" w:hAnsi="Palatino Linotype"/>
          <w:i/>
          <w:color w:val="231F20"/>
          <w:spacing w:val="-7"/>
          <w:sz w:val="21"/>
        </w:rPr>
        <w:t> </w:t>
      </w:r>
      <w:r>
        <w:rPr>
          <w:rFonts w:ascii="Palatino Linotype" w:hAnsi="Palatino Linotype"/>
          <w:i/>
          <w:color w:val="231F20"/>
          <w:sz w:val="21"/>
        </w:rPr>
        <w:t>industrial</w:t>
      </w:r>
      <w:r>
        <w:rPr>
          <w:rFonts w:ascii="Palatino Linotype" w:hAnsi="Palatino Linotype"/>
          <w:i/>
          <w:color w:val="231F20"/>
          <w:spacing w:val="-7"/>
          <w:sz w:val="21"/>
        </w:rPr>
        <w:t> </w:t>
      </w:r>
      <w:r>
        <w:rPr>
          <w:rFonts w:ascii="Palatino Linotype" w:hAnsi="Palatino Linotype"/>
          <w:i/>
          <w:color w:val="231F20"/>
          <w:sz w:val="21"/>
        </w:rPr>
        <w:t>en</w:t>
      </w:r>
      <w:r>
        <w:rPr>
          <w:rFonts w:ascii="Palatino Linotype" w:hAnsi="Palatino Linotype"/>
          <w:i/>
          <w:color w:val="231F20"/>
          <w:w w:val="98"/>
          <w:sz w:val="21"/>
        </w:rPr>
        <w:t> </w:t>
      </w:r>
      <w:r>
        <w:rPr>
          <w:rFonts w:ascii="Palatino Linotype" w:hAnsi="Palatino Linotype"/>
          <w:i/>
          <w:color w:val="231F20"/>
          <w:spacing w:val="-3"/>
          <w:sz w:val="21"/>
        </w:rPr>
        <w:t>México.</w:t>
      </w:r>
      <w:r>
        <w:rPr>
          <w:rFonts w:ascii="Palatino Linotype" w:hAnsi="Palatino Linotype"/>
          <w:i/>
          <w:color w:val="231F20"/>
          <w:spacing w:val="-28"/>
          <w:sz w:val="21"/>
        </w:rPr>
        <w:t> </w:t>
      </w:r>
      <w:r>
        <w:rPr>
          <w:rFonts w:ascii="Palatino Linotype" w:hAnsi="Palatino Linotype"/>
          <w:i/>
          <w:color w:val="231F20"/>
          <w:sz w:val="21"/>
        </w:rPr>
        <w:t>Los</w:t>
      </w:r>
      <w:r>
        <w:rPr>
          <w:rFonts w:ascii="Palatino Linotype" w:hAnsi="Palatino Linotype"/>
          <w:i/>
          <w:color w:val="231F20"/>
          <w:spacing w:val="-28"/>
          <w:sz w:val="21"/>
        </w:rPr>
        <w:t> </w:t>
      </w:r>
      <w:r>
        <w:rPr>
          <w:rFonts w:ascii="Palatino Linotype" w:hAnsi="Palatino Linotype"/>
          <w:i/>
          <w:color w:val="231F20"/>
          <w:spacing w:val="-3"/>
          <w:sz w:val="21"/>
        </w:rPr>
        <w:t>parques</w:t>
      </w:r>
      <w:r>
        <w:rPr>
          <w:rFonts w:ascii="Palatino Linotype" w:hAnsi="Palatino Linotype"/>
          <w:i/>
          <w:color w:val="231F20"/>
          <w:spacing w:val="-28"/>
          <w:sz w:val="21"/>
        </w:rPr>
        <w:t> </w:t>
      </w:r>
      <w:r>
        <w:rPr>
          <w:rFonts w:ascii="Palatino Linotype" w:hAnsi="Palatino Linotype"/>
          <w:i/>
          <w:color w:val="231F20"/>
          <w:sz w:val="21"/>
        </w:rPr>
        <w:t>y</w:t>
      </w:r>
      <w:r>
        <w:rPr>
          <w:rFonts w:ascii="Palatino Linotype" w:hAnsi="Palatino Linotype"/>
          <w:i/>
          <w:color w:val="231F20"/>
          <w:spacing w:val="-28"/>
          <w:sz w:val="21"/>
        </w:rPr>
        <w:t> </w:t>
      </w:r>
      <w:r>
        <w:rPr>
          <w:rFonts w:ascii="Palatino Linotype" w:hAnsi="Palatino Linotype"/>
          <w:i/>
          <w:color w:val="231F20"/>
          <w:sz w:val="21"/>
        </w:rPr>
        <w:t>ciudades</w:t>
      </w:r>
      <w:r>
        <w:rPr>
          <w:rFonts w:ascii="Palatino Linotype" w:hAnsi="Palatino Linotype"/>
          <w:i/>
          <w:color w:val="231F20"/>
          <w:spacing w:val="-28"/>
          <w:sz w:val="21"/>
        </w:rPr>
        <w:t> </w:t>
      </w:r>
      <w:r>
        <w:rPr>
          <w:rFonts w:ascii="Palatino Linotype" w:hAnsi="Palatino Linotype"/>
          <w:i/>
          <w:color w:val="231F20"/>
          <w:sz w:val="21"/>
        </w:rPr>
        <w:t>industriales,</w:t>
      </w:r>
      <w:r>
        <w:rPr>
          <w:rFonts w:ascii="Palatino Linotype" w:hAnsi="Palatino Linotype"/>
          <w:i/>
          <w:color w:val="231F20"/>
          <w:spacing w:val="-28"/>
          <w:sz w:val="21"/>
        </w:rPr>
        <w:t> </w:t>
      </w:r>
      <w:r>
        <w:rPr>
          <w:rFonts w:ascii="Palatino Linotype" w:hAnsi="Palatino Linotype"/>
          <w:i/>
          <w:color w:val="231F20"/>
          <w:sz w:val="21"/>
        </w:rPr>
        <w:t>1953-1988</w:t>
      </w:r>
      <w:r>
        <w:rPr>
          <w:color w:val="231F20"/>
          <w:sz w:val="21"/>
        </w:rPr>
        <w:t>,</w:t>
      </w:r>
      <w:r>
        <w:rPr>
          <w:color w:val="231F20"/>
          <w:spacing w:val="-28"/>
          <w:sz w:val="21"/>
        </w:rPr>
        <w:t> </w:t>
      </w:r>
      <w:r>
        <w:rPr>
          <w:color w:val="231F20"/>
          <w:sz w:val="21"/>
        </w:rPr>
        <w:t>El</w:t>
      </w:r>
      <w:r>
        <w:rPr>
          <w:color w:val="231F20"/>
          <w:spacing w:val="-28"/>
          <w:sz w:val="21"/>
        </w:rPr>
        <w:t> </w:t>
      </w:r>
      <w:r>
        <w:rPr>
          <w:color w:val="231F20"/>
          <w:sz w:val="21"/>
        </w:rPr>
        <w:t>Colegio</w:t>
      </w:r>
      <w:r>
        <w:rPr>
          <w:color w:val="231F20"/>
          <w:spacing w:val="-28"/>
          <w:sz w:val="21"/>
        </w:rPr>
        <w:t> </w:t>
      </w:r>
      <w:r>
        <w:rPr>
          <w:color w:val="231F20"/>
          <w:sz w:val="21"/>
        </w:rPr>
        <w:t>de</w:t>
      </w:r>
      <w:r>
        <w:rPr>
          <w:color w:val="231F20"/>
          <w:spacing w:val="-28"/>
          <w:sz w:val="21"/>
        </w:rPr>
        <w:t> </w:t>
      </w:r>
      <w:r>
        <w:rPr>
          <w:color w:val="231F20"/>
          <w:sz w:val="21"/>
        </w:rPr>
        <w:t>México,</w:t>
      </w:r>
      <w:r>
        <w:rPr>
          <w:color w:val="231F20"/>
          <w:spacing w:val="-28"/>
          <w:sz w:val="21"/>
        </w:rPr>
        <w:t> </w:t>
      </w:r>
      <w:r>
        <w:rPr>
          <w:color w:val="231F20"/>
          <w:sz w:val="21"/>
        </w:rPr>
        <w:t>México.</w:t>
      </w:r>
    </w:p>
    <w:p>
      <w:pPr>
        <w:pStyle w:val="BodyText"/>
        <w:spacing w:before="7"/>
        <w:rPr>
          <w:sz w:val="24"/>
        </w:rPr>
      </w:pPr>
    </w:p>
    <w:p>
      <w:pPr>
        <w:pStyle w:val="BodyText"/>
        <w:spacing w:line="278" w:lineRule="auto"/>
        <w:ind w:left="103" w:right="712" w:firstLine="396"/>
        <w:jc w:val="both"/>
      </w:pPr>
      <w:r>
        <w:rPr>
          <w:color w:val="231F20"/>
        </w:rPr>
        <w:t>General </w:t>
      </w:r>
      <w:r>
        <w:rPr>
          <w:color w:val="231F20"/>
          <w:spacing w:val="-3"/>
        </w:rPr>
        <w:t>Motors </w:t>
      </w:r>
      <w:r>
        <w:rPr>
          <w:color w:val="231F20"/>
        </w:rPr>
        <w:t>(2014), “Presencia de General </w:t>
      </w:r>
      <w:r>
        <w:rPr>
          <w:color w:val="231F20"/>
          <w:spacing w:val="-3"/>
        </w:rPr>
        <w:t>Motors </w:t>
      </w:r>
      <w:r>
        <w:rPr>
          <w:color w:val="231F20"/>
        </w:rPr>
        <w:t>en </w:t>
      </w:r>
      <w:r>
        <w:rPr>
          <w:color w:val="231F20"/>
          <w:spacing w:val="-7"/>
        </w:rPr>
        <w:t>México”, </w:t>
      </w:r>
      <w:r>
        <w:rPr>
          <w:color w:val="231F20"/>
        </w:rPr>
        <w:t>consultado en </w:t>
      </w:r>
      <w:hyperlink r:id="rId377">
        <w:r>
          <w:rPr>
            <w:color w:val="231F20"/>
          </w:rPr>
          <w:t>http://www.gm.com.mx/</w:t>
        </w:r>
      </w:hyperlink>
      <w:r>
        <w:rPr>
          <w:color w:val="231F20"/>
        </w:rPr>
        <w:t> (5 de diciembre de 2014).</w:t>
      </w:r>
    </w:p>
    <w:p>
      <w:pPr>
        <w:pStyle w:val="BodyText"/>
        <w:spacing w:before="3"/>
        <w:rPr>
          <w:sz w:val="22"/>
        </w:rPr>
      </w:pPr>
    </w:p>
    <w:p>
      <w:pPr>
        <w:pStyle w:val="BodyText"/>
        <w:spacing w:line="254" w:lineRule="auto"/>
        <w:ind w:left="103" w:right="712" w:firstLine="396"/>
        <w:jc w:val="both"/>
      </w:pPr>
      <w:r>
        <w:rPr>
          <w:color w:val="231F20"/>
        </w:rPr>
        <w:t>Gereffi,</w:t>
      </w:r>
      <w:r>
        <w:rPr>
          <w:color w:val="231F20"/>
          <w:spacing w:val="-4"/>
        </w:rPr>
        <w:t> </w:t>
      </w:r>
      <w:r>
        <w:rPr>
          <w:color w:val="231F20"/>
        </w:rPr>
        <w:t>Gari</w:t>
      </w:r>
      <w:r>
        <w:rPr>
          <w:color w:val="231F20"/>
          <w:spacing w:val="-4"/>
        </w:rPr>
        <w:t> </w:t>
      </w:r>
      <w:r>
        <w:rPr>
          <w:color w:val="231F20"/>
        </w:rPr>
        <w:t>(2001),</w:t>
      </w:r>
      <w:r>
        <w:rPr>
          <w:color w:val="231F20"/>
          <w:spacing w:val="-4"/>
        </w:rPr>
        <w:t> </w:t>
      </w:r>
      <w:r>
        <w:rPr>
          <w:color w:val="231F20"/>
        </w:rPr>
        <w:t>“Las</w:t>
      </w:r>
      <w:r>
        <w:rPr>
          <w:color w:val="231F20"/>
          <w:spacing w:val="-4"/>
        </w:rPr>
        <w:t> </w:t>
      </w:r>
      <w:r>
        <w:rPr>
          <w:color w:val="231F20"/>
        </w:rPr>
        <w:t>cadenas</w:t>
      </w:r>
      <w:r>
        <w:rPr>
          <w:color w:val="231F20"/>
          <w:spacing w:val="-4"/>
        </w:rPr>
        <w:t> </w:t>
      </w:r>
      <w:r>
        <w:rPr>
          <w:color w:val="231F20"/>
        </w:rPr>
        <w:t>productivas</w:t>
      </w:r>
      <w:r>
        <w:rPr>
          <w:color w:val="231F20"/>
          <w:spacing w:val="-4"/>
        </w:rPr>
        <w:t> </w:t>
      </w:r>
      <w:r>
        <w:rPr>
          <w:color w:val="231F20"/>
        </w:rPr>
        <w:t>como</w:t>
      </w:r>
      <w:r>
        <w:rPr>
          <w:color w:val="231F20"/>
          <w:spacing w:val="-4"/>
        </w:rPr>
        <w:t> </w:t>
      </w:r>
      <w:r>
        <w:rPr>
          <w:color w:val="231F20"/>
        </w:rPr>
        <w:t>marco</w:t>
      </w:r>
      <w:r>
        <w:rPr>
          <w:color w:val="231F20"/>
          <w:spacing w:val="-4"/>
        </w:rPr>
        <w:t> </w:t>
      </w:r>
      <w:r>
        <w:rPr>
          <w:color w:val="231F20"/>
        </w:rPr>
        <w:t>analítico</w:t>
      </w:r>
      <w:r>
        <w:rPr>
          <w:color w:val="231F20"/>
          <w:spacing w:val="-4"/>
        </w:rPr>
        <w:t> </w:t>
      </w:r>
      <w:r>
        <w:rPr>
          <w:color w:val="231F20"/>
        </w:rPr>
        <w:t>para</w:t>
      </w:r>
      <w:r>
        <w:rPr>
          <w:color w:val="231F20"/>
          <w:spacing w:val="-4"/>
        </w:rPr>
        <w:t> </w:t>
      </w:r>
      <w:r>
        <w:rPr>
          <w:color w:val="231F20"/>
        </w:rPr>
        <w:t>la</w:t>
      </w:r>
      <w:r>
        <w:rPr>
          <w:color w:val="231F20"/>
          <w:spacing w:val="-4"/>
        </w:rPr>
        <w:t> </w:t>
      </w:r>
      <w:r>
        <w:rPr>
          <w:color w:val="231F20"/>
        </w:rPr>
        <w:t>glo- </w:t>
      </w:r>
      <w:r>
        <w:rPr>
          <w:color w:val="231F20"/>
          <w:spacing w:val="-5"/>
        </w:rPr>
        <w:t>balización”,</w:t>
      </w:r>
      <w:r>
        <w:rPr>
          <w:color w:val="231F20"/>
          <w:spacing w:val="-18"/>
        </w:rPr>
        <w:t> </w:t>
      </w:r>
      <w:r>
        <w:rPr>
          <w:rFonts w:ascii="Palatino Linotype" w:hAnsi="Palatino Linotype"/>
          <w:i/>
          <w:color w:val="231F20"/>
        </w:rPr>
        <w:t>Problemas</w:t>
      </w:r>
      <w:r>
        <w:rPr>
          <w:rFonts w:ascii="Palatino Linotype" w:hAnsi="Palatino Linotype"/>
          <w:i/>
          <w:color w:val="231F20"/>
          <w:spacing w:val="-18"/>
        </w:rPr>
        <w:t> </w:t>
      </w:r>
      <w:r>
        <w:rPr>
          <w:rFonts w:ascii="Palatino Linotype" w:hAnsi="Palatino Linotype"/>
          <w:i/>
          <w:color w:val="231F20"/>
        </w:rPr>
        <w:t>del</w:t>
      </w:r>
      <w:r>
        <w:rPr>
          <w:rFonts w:ascii="Palatino Linotype" w:hAnsi="Palatino Linotype"/>
          <w:i/>
          <w:color w:val="231F20"/>
          <w:spacing w:val="-18"/>
        </w:rPr>
        <w:t> </w:t>
      </w:r>
      <w:r>
        <w:rPr>
          <w:rFonts w:ascii="Palatino Linotype" w:hAnsi="Palatino Linotype"/>
          <w:i/>
          <w:color w:val="231F20"/>
        </w:rPr>
        <w:t>Desarrollo</w:t>
      </w:r>
      <w:r>
        <w:rPr>
          <w:color w:val="231F20"/>
        </w:rPr>
        <w:t>,</w:t>
      </w:r>
      <w:r>
        <w:rPr>
          <w:color w:val="231F20"/>
          <w:spacing w:val="-18"/>
        </w:rPr>
        <w:t> </w:t>
      </w:r>
      <w:r>
        <w:rPr>
          <w:color w:val="231F20"/>
        </w:rPr>
        <w:t>vol.</w:t>
      </w:r>
      <w:r>
        <w:rPr>
          <w:color w:val="231F20"/>
          <w:spacing w:val="-18"/>
        </w:rPr>
        <w:t> </w:t>
      </w:r>
      <w:r>
        <w:rPr>
          <w:color w:val="231F20"/>
        </w:rPr>
        <w:t>32,</w:t>
      </w:r>
      <w:r>
        <w:rPr>
          <w:color w:val="231F20"/>
          <w:spacing w:val="-18"/>
        </w:rPr>
        <w:t> </w:t>
      </w:r>
      <w:r>
        <w:rPr>
          <w:color w:val="231F20"/>
        </w:rPr>
        <w:t>núm.</w:t>
      </w:r>
      <w:r>
        <w:rPr>
          <w:color w:val="231F20"/>
          <w:spacing w:val="-18"/>
        </w:rPr>
        <w:t> </w:t>
      </w:r>
      <w:r>
        <w:rPr>
          <w:color w:val="231F20"/>
        </w:rPr>
        <w:t>125,</w:t>
      </w:r>
      <w:r>
        <w:rPr>
          <w:color w:val="231F20"/>
          <w:spacing w:val="-18"/>
        </w:rPr>
        <w:t> </w:t>
      </w:r>
      <w:r>
        <w:rPr>
          <w:color w:val="231F20"/>
        </w:rPr>
        <w:t>abril-junio,</w:t>
      </w:r>
      <w:r>
        <w:rPr>
          <w:color w:val="231F20"/>
          <w:spacing w:val="-18"/>
        </w:rPr>
        <w:t> </w:t>
      </w:r>
      <w:r>
        <w:rPr>
          <w:color w:val="231F20"/>
          <w:spacing w:val="-4"/>
        </w:rPr>
        <w:t>pp.</w:t>
      </w:r>
      <w:r>
        <w:rPr>
          <w:color w:val="231F20"/>
          <w:spacing w:val="-18"/>
        </w:rPr>
        <w:t> </w:t>
      </w:r>
      <w:r>
        <w:rPr>
          <w:color w:val="231F20"/>
        </w:rPr>
        <w:t>9-37.</w:t>
      </w:r>
    </w:p>
    <w:p>
      <w:pPr>
        <w:pStyle w:val="BodyText"/>
        <w:spacing w:before="6"/>
        <w:rPr>
          <w:sz w:val="17"/>
        </w:rPr>
      </w:pPr>
    </w:p>
    <w:p>
      <w:pPr>
        <w:spacing w:line="244" w:lineRule="auto" w:before="58"/>
        <w:ind w:left="104" w:right="711" w:firstLine="396"/>
        <w:jc w:val="both"/>
        <w:rPr>
          <w:sz w:val="21"/>
        </w:rPr>
      </w:pPr>
      <w:r>
        <w:rPr>
          <w:color w:val="231F20"/>
          <w:w w:val="90"/>
          <w:sz w:val="21"/>
          <w:u w:val="single" w:color="231F20"/>
        </w:rPr>
        <w:t> </w:t>
      </w:r>
      <w:r>
        <w:rPr>
          <w:color w:val="231F20"/>
          <w:sz w:val="21"/>
          <w:u w:val="single" w:color="231F20"/>
        </w:rPr>
        <w:t>         </w:t>
      </w:r>
      <w:r>
        <w:rPr>
          <w:color w:val="231F20"/>
          <w:spacing w:val="-10"/>
          <w:sz w:val="21"/>
        </w:rPr>
        <w:t> </w:t>
      </w:r>
      <w:r>
        <w:rPr>
          <w:color w:val="231F20"/>
          <w:sz w:val="21"/>
        </w:rPr>
        <w:t>(1999), “Global Production System and Third </w:t>
      </w:r>
      <w:r>
        <w:rPr>
          <w:color w:val="231F20"/>
          <w:spacing w:val="-5"/>
          <w:sz w:val="21"/>
        </w:rPr>
        <w:t>World </w:t>
      </w:r>
      <w:r>
        <w:rPr>
          <w:color w:val="231F20"/>
          <w:spacing w:val="-4"/>
          <w:sz w:val="21"/>
        </w:rPr>
        <w:t>Development”, </w:t>
      </w:r>
      <w:r>
        <w:rPr>
          <w:color w:val="231F20"/>
          <w:sz w:val="21"/>
        </w:rPr>
        <w:t>en B. Stallings (ed.), </w:t>
      </w:r>
      <w:r>
        <w:rPr>
          <w:rFonts w:ascii="Palatino Linotype" w:hAnsi="Palatino Linotype"/>
          <w:i/>
          <w:color w:val="231F20"/>
          <w:sz w:val="21"/>
        </w:rPr>
        <w:t>Global Change, Regional Response: The New International Context of </w:t>
      </w:r>
      <w:r>
        <w:rPr>
          <w:rFonts w:ascii="Palatino Linotype" w:hAnsi="Palatino Linotype"/>
          <w:i/>
          <w:color w:val="231F20"/>
          <w:sz w:val="21"/>
        </w:rPr>
        <w:t>Development</w:t>
      </w:r>
      <w:r>
        <w:rPr>
          <w:color w:val="231F20"/>
          <w:sz w:val="21"/>
        </w:rPr>
        <w:t>, Cambridge University Press, s/l.</w:t>
      </w:r>
    </w:p>
    <w:p>
      <w:pPr>
        <w:pStyle w:val="BodyText"/>
        <w:spacing w:before="5"/>
        <w:rPr>
          <w:sz w:val="18"/>
        </w:rPr>
      </w:pPr>
    </w:p>
    <w:p>
      <w:pPr>
        <w:pStyle w:val="BodyText"/>
        <w:spacing w:line="256" w:lineRule="auto" w:before="58"/>
        <w:ind w:left="104" w:right="711"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4"/>
        </w:rPr>
        <w:t> </w:t>
      </w:r>
      <w:r>
        <w:rPr>
          <w:color w:val="231F20"/>
        </w:rPr>
        <w:t>(1994),</w:t>
      </w:r>
      <w:r>
        <w:rPr>
          <w:color w:val="231F20"/>
          <w:spacing w:val="-11"/>
        </w:rPr>
        <w:t> </w:t>
      </w:r>
      <w:r>
        <w:rPr>
          <w:color w:val="231F20"/>
        </w:rPr>
        <w:t>“Rethinking</w:t>
      </w:r>
      <w:r>
        <w:rPr>
          <w:color w:val="231F20"/>
          <w:spacing w:val="-11"/>
        </w:rPr>
        <w:t> </w:t>
      </w:r>
      <w:r>
        <w:rPr>
          <w:color w:val="231F20"/>
        </w:rPr>
        <w:t>Development</w:t>
      </w:r>
      <w:r>
        <w:rPr>
          <w:color w:val="231F20"/>
          <w:spacing w:val="-11"/>
        </w:rPr>
        <w:t> </w:t>
      </w:r>
      <w:r>
        <w:rPr>
          <w:color w:val="231F20"/>
        </w:rPr>
        <w:t>Theory:</w:t>
      </w:r>
      <w:r>
        <w:rPr>
          <w:color w:val="231F20"/>
          <w:spacing w:val="-11"/>
        </w:rPr>
        <w:t> </w:t>
      </w:r>
      <w:r>
        <w:rPr>
          <w:color w:val="231F20"/>
        </w:rPr>
        <w:t>Insights</w:t>
      </w:r>
      <w:r>
        <w:rPr>
          <w:color w:val="231F20"/>
          <w:spacing w:val="-11"/>
        </w:rPr>
        <w:t> </w:t>
      </w:r>
      <w:r>
        <w:rPr>
          <w:color w:val="231F20"/>
        </w:rPr>
        <w:t>from</w:t>
      </w:r>
      <w:r>
        <w:rPr>
          <w:color w:val="231F20"/>
          <w:spacing w:val="-11"/>
        </w:rPr>
        <w:t> </w:t>
      </w:r>
      <w:r>
        <w:rPr>
          <w:color w:val="231F20"/>
        </w:rPr>
        <w:t>East</w:t>
      </w:r>
      <w:r>
        <w:rPr>
          <w:color w:val="231F20"/>
          <w:spacing w:val="-11"/>
        </w:rPr>
        <w:t> </w:t>
      </w:r>
      <w:r>
        <w:rPr>
          <w:color w:val="231F20"/>
        </w:rPr>
        <w:t>Asia</w:t>
      </w:r>
      <w:r>
        <w:rPr>
          <w:color w:val="231F20"/>
          <w:spacing w:val="-11"/>
        </w:rPr>
        <w:t> </w:t>
      </w:r>
      <w:r>
        <w:rPr>
          <w:color w:val="231F20"/>
        </w:rPr>
        <w:t>and</w:t>
      </w:r>
      <w:r>
        <w:rPr>
          <w:color w:val="231F20"/>
          <w:spacing w:val="-11"/>
        </w:rPr>
        <w:t> </w:t>
      </w:r>
      <w:r>
        <w:rPr>
          <w:color w:val="231F20"/>
        </w:rPr>
        <w:t>La- tin</w:t>
      </w:r>
      <w:r>
        <w:rPr>
          <w:color w:val="231F20"/>
          <w:spacing w:val="-15"/>
        </w:rPr>
        <w:t> </w:t>
      </w:r>
      <w:r>
        <w:rPr>
          <w:color w:val="231F20"/>
          <w:spacing w:val="-6"/>
        </w:rPr>
        <w:t>America”,</w:t>
      </w:r>
      <w:r>
        <w:rPr>
          <w:color w:val="231F20"/>
          <w:spacing w:val="-15"/>
        </w:rPr>
        <w:t> </w:t>
      </w:r>
      <w:r>
        <w:rPr>
          <w:color w:val="231F20"/>
        </w:rPr>
        <w:t>en</w:t>
      </w:r>
      <w:r>
        <w:rPr>
          <w:color w:val="231F20"/>
          <w:spacing w:val="-15"/>
        </w:rPr>
        <w:t> </w:t>
      </w:r>
      <w:r>
        <w:rPr>
          <w:color w:val="231F20"/>
        </w:rPr>
        <w:t>A.</w:t>
      </w:r>
      <w:r>
        <w:rPr>
          <w:color w:val="231F20"/>
          <w:spacing w:val="-15"/>
        </w:rPr>
        <w:t> </w:t>
      </w:r>
      <w:r>
        <w:rPr>
          <w:color w:val="231F20"/>
        </w:rPr>
        <w:t>Porter</w:t>
      </w:r>
      <w:r>
        <w:rPr>
          <w:color w:val="231F20"/>
          <w:spacing w:val="-15"/>
        </w:rPr>
        <w:t> </w:t>
      </w:r>
      <w:r>
        <w:rPr>
          <w:color w:val="231F20"/>
        </w:rPr>
        <w:t>y</w:t>
      </w:r>
      <w:r>
        <w:rPr>
          <w:color w:val="231F20"/>
          <w:spacing w:val="-15"/>
        </w:rPr>
        <w:t> </w:t>
      </w:r>
      <w:r>
        <w:rPr>
          <w:color w:val="231F20"/>
          <w:spacing w:val="-5"/>
        </w:rPr>
        <w:t>D.</w:t>
      </w:r>
      <w:r>
        <w:rPr>
          <w:color w:val="231F20"/>
          <w:spacing w:val="-15"/>
        </w:rPr>
        <w:t> </w:t>
      </w:r>
      <w:r>
        <w:rPr>
          <w:color w:val="231F20"/>
        </w:rPr>
        <w:t>Kincaid</w:t>
      </w:r>
      <w:r>
        <w:rPr>
          <w:color w:val="231F20"/>
          <w:spacing w:val="-15"/>
        </w:rPr>
        <w:t> </w:t>
      </w:r>
      <w:r>
        <w:rPr>
          <w:color w:val="231F20"/>
        </w:rPr>
        <w:t>(eds.),</w:t>
      </w:r>
      <w:r>
        <w:rPr>
          <w:color w:val="231F20"/>
          <w:spacing w:val="-15"/>
        </w:rPr>
        <w:t> </w:t>
      </w:r>
      <w:r>
        <w:rPr>
          <w:rFonts w:ascii="Palatino Linotype" w:hAnsi="Palatino Linotype"/>
          <w:i/>
          <w:color w:val="231F20"/>
          <w:spacing w:val="-3"/>
        </w:rPr>
        <w:t>Comparative</w:t>
      </w:r>
      <w:r>
        <w:rPr>
          <w:rFonts w:ascii="Palatino Linotype" w:hAnsi="Palatino Linotype"/>
          <w:i/>
          <w:color w:val="231F20"/>
          <w:spacing w:val="-14"/>
        </w:rPr>
        <w:t> </w:t>
      </w:r>
      <w:r>
        <w:rPr>
          <w:rFonts w:ascii="Palatino Linotype" w:hAnsi="Palatino Linotype"/>
          <w:i/>
          <w:color w:val="231F20"/>
          <w:spacing w:val="-3"/>
        </w:rPr>
        <w:t>National</w:t>
      </w:r>
      <w:r>
        <w:rPr>
          <w:rFonts w:ascii="Palatino Linotype" w:hAnsi="Palatino Linotype"/>
          <w:i/>
          <w:color w:val="231F20"/>
          <w:spacing w:val="-14"/>
        </w:rPr>
        <w:t> </w:t>
      </w:r>
      <w:r>
        <w:rPr>
          <w:rFonts w:ascii="Palatino Linotype" w:hAnsi="Palatino Linotype"/>
          <w:i/>
          <w:color w:val="231F20"/>
        </w:rPr>
        <w:t>Development,</w:t>
      </w:r>
      <w:r>
        <w:rPr>
          <w:rFonts w:ascii="Palatino Linotype" w:hAnsi="Palatino Linotype"/>
          <w:i/>
          <w:color w:val="231F20"/>
          <w:spacing w:val="-14"/>
        </w:rPr>
        <w:t> </w:t>
      </w:r>
      <w:r>
        <w:rPr>
          <w:color w:val="231F20"/>
        </w:rPr>
        <w:t>The University</w:t>
      </w:r>
      <w:r>
        <w:rPr>
          <w:color w:val="231F20"/>
          <w:spacing w:val="-13"/>
        </w:rPr>
        <w:t> </w:t>
      </w:r>
      <w:r>
        <w:rPr>
          <w:color w:val="231F20"/>
        </w:rPr>
        <w:t>of</w:t>
      </w:r>
      <w:r>
        <w:rPr>
          <w:color w:val="231F20"/>
          <w:spacing w:val="-13"/>
        </w:rPr>
        <w:t> </w:t>
      </w:r>
      <w:r>
        <w:rPr>
          <w:color w:val="231F20"/>
        </w:rPr>
        <w:t>North</w:t>
      </w:r>
      <w:r>
        <w:rPr>
          <w:color w:val="231F20"/>
          <w:spacing w:val="-13"/>
        </w:rPr>
        <w:t> </w:t>
      </w:r>
      <w:r>
        <w:rPr>
          <w:color w:val="231F20"/>
        </w:rPr>
        <w:t>Carolina</w:t>
      </w:r>
      <w:r>
        <w:rPr>
          <w:color w:val="231F20"/>
          <w:spacing w:val="-13"/>
        </w:rPr>
        <w:t> </w:t>
      </w:r>
      <w:r>
        <w:rPr>
          <w:color w:val="231F20"/>
        </w:rPr>
        <w:t>Press,</w:t>
      </w:r>
      <w:r>
        <w:rPr>
          <w:color w:val="231F20"/>
          <w:spacing w:val="-13"/>
        </w:rPr>
        <w:t> </w:t>
      </w:r>
      <w:r>
        <w:rPr>
          <w:color w:val="231F20"/>
        </w:rPr>
        <w:t>Nueva</w:t>
      </w:r>
      <w:r>
        <w:rPr>
          <w:color w:val="231F20"/>
          <w:spacing w:val="-13"/>
        </w:rPr>
        <w:t> </w:t>
      </w:r>
      <w:r>
        <w:rPr>
          <w:color w:val="231F20"/>
          <w:spacing w:val="-6"/>
        </w:rPr>
        <w:t>York.</w:t>
      </w:r>
    </w:p>
    <w:p>
      <w:pPr>
        <w:pStyle w:val="BodyText"/>
        <w:spacing w:before="1"/>
        <w:rPr>
          <w:sz w:val="24"/>
        </w:rPr>
      </w:pPr>
    </w:p>
    <w:p>
      <w:pPr>
        <w:spacing w:line="256" w:lineRule="auto" w:before="0"/>
        <w:ind w:left="104" w:right="711" w:firstLine="396"/>
        <w:jc w:val="both"/>
        <w:rPr>
          <w:sz w:val="21"/>
        </w:rPr>
      </w:pPr>
      <w:r>
        <w:rPr>
          <w:color w:val="231F20"/>
          <w:sz w:val="21"/>
        </w:rPr>
        <w:t>Gereffi, Gari, John </w:t>
      </w:r>
      <w:r>
        <w:rPr>
          <w:color w:val="231F20"/>
          <w:spacing w:val="-4"/>
          <w:sz w:val="21"/>
        </w:rPr>
        <w:t>Humphrey, </w:t>
      </w:r>
      <w:r>
        <w:rPr>
          <w:color w:val="231F20"/>
          <w:sz w:val="21"/>
        </w:rPr>
        <w:t>Raphael Kaplinsky y Timothy </w:t>
      </w:r>
      <w:r>
        <w:rPr>
          <w:color w:val="231F20"/>
          <w:spacing w:val="-5"/>
          <w:sz w:val="21"/>
        </w:rPr>
        <w:t>J. </w:t>
      </w:r>
      <w:r>
        <w:rPr>
          <w:color w:val="231F20"/>
          <w:sz w:val="21"/>
        </w:rPr>
        <w:t>Sturgeon (2001), </w:t>
      </w:r>
      <w:r>
        <w:rPr>
          <w:rFonts w:ascii="Palatino Linotype"/>
          <w:i/>
          <w:color w:val="231F20"/>
          <w:spacing w:val="-3"/>
          <w:sz w:val="21"/>
        </w:rPr>
        <w:t>Introduction: </w:t>
      </w:r>
      <w:r>
        <w:rPr>
          <w:rFonts w:ascii="Palatino Linotype"/>
          <w:i/>
          <w:color w:val="231F20"/>
          <w:sz w:val="21"/>
        </w:rPr>
        <w:t>Globalisation, </w:t>
      </w:r>
      <w:r>
        <w:rPr>
          <w:rFonts w:ascii="Palatino Linotype"/>
          <w:i/>
          <w:color w:val="231F20"/>
          <w:spacing w:val="-6"/>
          <w:sz w:val="21"/>
        </w:rPr>
        <w:t>Value </w:t>
      </w:r>
      <w:r>
        <w:rPr>
          <w:rFonts w:ascii="Palatino Linotype"/>
          <w:i/>
          <w:color w:val="231F20"/>
          <w:sz w:val="21"/>
        </w:rPr>
        <w:t>Chains </w:t>
      </w:r>
      <w:r>
        <w:rPr>
          <w:rFonts w:ascii="Palatino Linotype"/>
          <w:i/>
          <w:color w:val="231F20"/>
          <w:spacing w:val="-2"/>
          <w:sz w:val="21"/>
        </w:rPr>
        <w:t>and </w:t>
      </w:r>
      <w:r>
        <w:rPr>
          <w:rFonts w:ascii="Palatino Linotype"/>
          <w:i/>
          <w:color w:val="231F20"/>
          <w:sz w:val="21"/>
        </w:rPr>
        <w:t>Development</w:t>
      </w:r>
      <w:r>
        <w:rPr>
          <w:color w:val="231F20"/>
          <w:sz w:val="21"/>
        </w:rPr>
        <w:t>, Institute of</w:t>
      </w:r>
      <w:r>
        <w:rPr>
          <w:color w:val="231F20"/>
          <w:spacing w:val="-25"/>
          <w:sz w:val="21"/>
        </w:rPr>
        <w:t> </w:t>
      </w:r>
      <w:r>
        <w:rPr>
          <w:color w:val="231F20"/>
          <w:sz w:val="21"/>
        </w:rPr>
        <w:t>Development Studies,</w:t>
      </w:r>
      <w:r>
        <w:rPr>
          <w:color w:val="231F20"/>
          <w:spacing w:val="-31"/>
          <w:sz w:val="21"/>
        </w:rPr>
        <w:t> </w:t>
      </w:r>
      <w:r>
        <w:rPr>
          <w:color w:val="231F20"/>
          <w:sz w:val="21"/>
        </w:rPr>
        <w:t>s/l.</w:t>
      </w:r>
    </w:p>
    <w:p>
      <w:pPr>
        <w:pStyle w:val="BodyText"/>
        <w:spacing w:before="7"/>
      </w:pPr>
    </w:p>
    <w:p>
      <w:pPr>
        <w:spacing w:line="280" w:lineRule="exact" w:before="1"/>
        <w:ind w:left="104" w:right="711" w:firstLine="396"/>
        <w:jc w:val="both"/>
        <w:rPr>
          <w:sz w:val="21"/>
        </w:rPr>
      </w:pPr>
      <w:r>
        <w:rPr>
          <w:color w:val="231F20"/>
          <w:sz w:val="21"/>
        </w:rPr>
        <w:t>Gerreffi, Gari y Miguel Korzeniewicz (1994), </w:t>
      </w:r>
      <w:r>
        <w:rPr>
          <w:rFonts w:ascii="Palatino Linotype"/>
          <w:i/>
          <w:color w:val="231F20"/>
          <w:sz w:val="21"/>
        </w:rPr>
        <w:t>Commodity Chains and Global </w:t>
      </w:r>
      <w:r>
        <w:rPr>
          <w:rFonts w:ascii="Palatino Linotype"/>
          <w:i/>
          <w:color w:val="231F20"/>
          <w:sz w:val="21"/>
        </w:rPr>
        <w:t>Capitalism</w:t>
      </w:r>
      <w:r>
        <w:rPr>
          <w:color w:val="231F20"/>
          <w:sz w:val="21"/>
        </w:rPr>
        <w:t>, Praeger, Westport, Connecticut.</w:t>
      </w:r>
    </w:p>
    <w:p>
      <w:pPr>
        <w:pStyle w:val="BodyText"/>
        <w:spacing w:before="5"/>
        <w:rPr>
          <w:sz w:val="22"/>
        </w:rPr>
      </w:pPr>
    </w:p>
    <w:p>
      <w:pPr>
        <w:pStyle w:val="BodyText"/>
        <w:spacing w:line="247" w:lineRule="auto"/>
        <w:ind w:left="104" w:right="711" w:firstLine="396"/>
        <w:jc w:val="both"/>
      </w:pPr>
      <w:r>
        <w:rPr>
          <w:color w:val="231F20"/>
        </w:rPr>
        <w:t>González, Lilia (2013), “México, en el top cinco de ensamble de autopartes”, </w:t>
      </w:r>
      <w:r>
        <w:rPr>
          <w:rFonts w:ascii="Palatino Linotype" w:hAnsi="Palatino Linotype"/>
          <w:i/>
          <w:color w:val="231F20"/>
        </w:rPr>
        <w:t>El </w:t>
      </w:r>
      <w:r>
        <w:rPr>
          <w:rFonts w:ascii="Palatino Linotype" w:hAnsi="Palatino Linotype"/>
          <w:i/>
          <w:color w:val="231F20"/>
        </w:rPr>
        <w:t>Economista</w:t>
      </w:r>
      <w:r>
        <w:rPr>
          <w:color w:val="231F20"/>
        </w:rPr>
        <w:t>, consultado en </w:t>
      </w:r>
      <w:hyperlink r:id="rId378">
        <w:r>
          <w:rPr>
            <w:color w:val="231F20"/>
          </w:rPr>
          <w:t>http://eleconomista.com.mx/industrias/2013/12/03/indus-</w:t>
        </w:r>
      </w:hyperlink>
      <w:r>
        <w:rPr>
          <w:color w:val="231F20"/>
        </w:rPr>
        <w:t> tria-autopartera-mexicana-crecera-6-2014 (27 de diciembre de 2013).</w:t>
      </w:r>
    </w:p>
    <w:p>
      <w:pPr>
        <w:pStyle w:val="BodyText"/>
        <w:spacing w:before="10"/>
        <w:rPr>
          <w:sz w:val="19"/>
        </w:rPr>
      </w:pPr>
    </w:p>
    <w:p>
      <w:pPr>
        <w:pStyle w:val="BodyText"/>
        <w:spacing w:line="266" w:lineRule="auto" w:before="34"/>
        <w:ind w:left="103" w:right="709" w:firstLine="396"/>
        <w:jc w:val="both"/>
      </w:pPr>
      <w:r>
        <w:rPr>
          <w:color w:val="231F20"/>
          <w:w w:val="90"/>
          <w:u w:val="single" w:color="231F20"/>
        </w:rPr>
        <w:t> </w:t>
      </w:r>
      <w:r>
        <w:rPr>
          <w:color w:val="231F20"/>
          <w:u w:val="single" w:color="231F20"/>
        </w:rPr>
        <w:t>         </w:t>
      </w:r>
      <w:r>
        <w:rPr>
          <w:color w:val="231F20"/>
        </w:rPr>
        <w:t> (2012), “Industria de autopartes cierra con record 2012”, </w:t>
      </w:r>
      <w:r>
        <w:rPr>
          <w:rFonts w:ascii="Palatino Linotype" w:hAnsi="Palatino Linotype"/>
          <w:i/>
          <w:color w:val="231F20"/>
        </w:rPr>
        <w:t>El Economista</w:t>
      </w:r>
      <w:r>
        <w:rPr>
          <w:color w:val="231F20"/>
        </w:rPr>
        <w:t>, consultado en </w:t>
      </w:r>
      <w:hyperlink r:id="rId379">
        <w:r>
          <w:rPr>
            <w:color w:val="231F20"/>
          </w:rPr>
          <w:t>http://eleconomista.com.mx/industrias/2013/01/30/dragon-mart-</w:t>
        </w:r>
      </w:hyperlink>
      <w:r>
        <w:rPr>
          <w:color w:val="231F20"/>
        </w:rPr>
        <w:t> abre-mercado-autopartes-chinas-ina en (29 de diciembre de   2012).</w:t>
      </w:r>
    </w:p>
    <w:p>
      <w:pPr>
        <w:spacing w:after="0" w:line="266" w:lineRule="auto"/>
        <w:jc w:val="both"/>
        <w:sectPr>
          <w:pgSz w:w="9640" w:h="13040"/>
          <w:pgMar w:header="580" w:footer="654" w:top="780" w:bottom="840" w:left="1200" w:right="420"/>
        </w:sectPr>
      </w:pPr>
    </w:p>
    <w:p>
      <w:pPr>
        <w:pStyle w:val="BodyText"/>
        <w:rPr>
          <w:sz w:val="20"/>
        </w:rPr>
      </w:pPr>
    </w:p>
    <w:p>
      <w:pPr>
        <w:pStyle w:val="BodyText"/>
        <w:spacing w:before="6"/>
      </w:pPr>
    </w:p>
    <w:p>
      <w:pPr>
        <w:pStyle w:val="BodyText"/>
        <w:spacing w:line="278" w:lineRule="auto" w:before="58"/>
        <w:ind w:left="713" w:right="101" w:firstLine="396"/>
        <w:jc w:val="both"/>
      </w:pPr>
      <w:r>
        <w:rPr>
          <w:color w:val="231F20"/>
          <w:spacing w:val="-5"/>
        </w:rPr>
        <w:t>Gritton, </w:t>
      </w:r>
      <w:r>
        <w:rPr>
          <w:color w:val="231F20"/>
          <w:spacing w:val="-17"/>
        </w:rPr>
        <w:t>P. </w:t>
      </w:r>
      <w:r>
        <w:rPr>
          <w:color w:val="231F20"/>
          <w:spacing w:val="-4"/>
        </w:rPr>
        <w:t>(2003), </w:t>
      </w:r>
      <w:r>
        <w:rPr>
          <w:color w:val="231F20"/>
          <w:spacing w:val="-6"/>
        </w:rPr>
        <w:t>“Toyota: </w:t>
      </w:r>
      <w:r>
        <w:rPr>
          <w:color w:val="231F20"/>
          <w:spacing w:val="-4"/>
        </w:rPr>
        <w:t>Surviving and </w:t>
      </w:r>
      <w:r>
        <w:rPr>
          <w:color w:val="231F20"/>
          <w:spacing w:val="-3"/>
        </w:rPr>
        <w:t>Thriving </w:t>
      </w:r>
      <w:r>
        <w:rPr>
          <w:color w:val="231F20"/>
          <w:spacing w:val="-4"/>
        </w:rPr>
        <w:t>through </w:t>
      </w:r>
      <w:r>
        <w:rPr>
          <w:color w:val="231F20"/>
          <w:spacing w:val="-5"/>
        </w:rPr>
        <w:t>Supplier </w:t>
      </w:r>
      <w:r>
        <w:rPr>
          <w:color w:val="231F20"/>
          <w:spacing w:val="-8"/>
        </w:rPr>
        <w:t>Partnerships”, </w:t>
      </w:r>
      <w:r>
        <w:rPr>
          <w:color w:val="231F20"/>
        </w:rPr>
        <w:t>PPT presentado en la Conferencia Automotriz Global, Western Kentucky University, Estados Unidos.</w:t>
      </w:r>
    </w:p>
    <w:p>
      <w:pPr>
        <w:pStyle w:val="BodyText"/>
        <w:spacing w:before="9"/>
        <w:rPr>
          <w:sz w:val="19"/>
        </w:rPr>
      </w:pPr>
    </w:p>
    <w:p>
      <w:pPr>
        <w:spacing w:line="280" w:lineRule="exact" w:before="1"/>
        <w:ind w:left="713" w:right="101" w:firstLine="396"/>
        <w:jc w:val="both"/>
        <w:rPr>
          <w:sz w:val="21"/>
        </w:rPr>
      </w:pPr>
      <w:r>
        <w:rPr>
          <w:color w:val="231F20"/>
          <w:spacing w:val="-3"/>
          <w:sz w:val="21"/>
        </w:rPr>
        <w:t>Harvey,</w:t>
      </w:r>
      <w:r>
        <w:rPr>
          <w:color w:val="231F20"/>
          <w:spacing w:val="-18"/>
          <w:sz w:val="21"/>
        </w:rPr>
        <w:t> </w:t>
      </w:r>
      <w:r>
        <w:rPr>
          <w:color w:val="231F20"/>
          <w:sz w:val="21"/>
        </w:rPr>
        <w:t>David</w:t>
      </w:r>
      <w:r>
        <w:rPr>
          <w:color w:val="231F20"/>
          <w:spacing w:val="-18"/>
          <w:sz w:val="21"/>
        </w:rPr>
        <w:t> </w:t>
      </w:r>
      <w:r>
        <w:rPr>
          <w:color w:val="231F20"/>
          <w:sz w:val="21"/>
        </w:rPr>
        <w:t>(1988),</w:t>
      </w:r>
      <w:r>
        <w:rPr>
          <w:color w:val="231F20"/>
          <w:spacing w:val="-18"/>
          <w:sz w:val="21"/>
        </w:rPr>
        <w:t> </w:t>
      </w:r>
      <w:r>
        <w:rPr>
          <w:rFonts w:ascii="Palatino Linotype" w:hAnsi="Palatino Linotype"/>
          <w:i/>
          <w:color w:val="231F20"/>
          <w:sz w:val="21"/>
        </w:rPr>
        <w:t>Las</w:t>
      </w:r>
      <w:r>
        <w:rPr>
          <w:rFonts w:ascii="Palatino Linotype" w:hAnsi="Palatino Linotype"/>
          <w:i/>
          <w:color w:val="231F20"/>
          <w:spacing w:val="-18"/>
          <w:sz w:val="21"/>
        </w:rPr>
        <w:t> </w:t>
      </w:r>
      <w:r>
        <w:rPr>
          <w:rFonts w:ascii="Palatino Linotype" w:hAnsi="Palatino Linotype"/>
          <w:i/>
          <w:color w:val="231F20"/>
          <w:sz w:val="21"/>
        </w:rPr>
        <w:t>condiciones</w:t>
      </w:r>
      <w:r>
        <w:rPr>
          <w:rFonts w:ascii="Palatino Linotype" w:hAnsi="Palatino Linotype"/>
          <w:i/>
          <w:color w:val="231F20"/>
          <w:spacing w:val="-18"/>
          <w:sz w:val="21"/>
        </w:rPr>
        <w:t> </w:t>
      </w:r>
      <w:r>
        <w:rPr>
          <w:rFonts w:ascii="Palatino Linotype" w:hAnsi="Palatino Linotype"/>
          <w:i/>
          <w:color w:val="231F20"/>
          <w:sz w:val="21"/>
        </w:rPr>
        <w:t>de</w:t>
      </w:r>
      <w:r>
        <w:rPr>
          <w:rFonts w:ascii="Palatino Linotype" w:hAnsi="Palatino Linotype"/>
          <w:i/>
          <w:color w:val="231F20"/>
          <w:spacing w:val="-18"/>
          <w:sz w:val="21"/>
        </w:rPr>
        <w:t> </w:t>
      </w:r>
      <w:r>
        <w:rPr>
          <w:rFonts w:ascii="Palatino Linotype" w:hAnsi="Palatino Linotype"/>
          <w:i/>
          <w:color w:val="231F20"/>
          <w:sz w:val="21"/>
        </w:rPr>
        <w:t>la</w:t>
      </w:r>
      <w:r>
        <w:rPr>
          <w:rFonts w:ascii="Palatino Linotype" w:hAnsi="Palatino Linotype"/>
          <w:i/>
          <w:color w:val="231F20"/>
          <w:spacing w:val="-18"/>
          <w:sz w:val="21"/>
        </w:rPr>
        <w:t> </w:t>
      </w:r>
      <w:r>
        <w:rPr>
          <w:rFonts w:ascii="Palatino Linotype" w:hAnsi="Palatino Linotype"/>
          <w:i/>
          <w:color w:val="231F20"/>
          <w:sz w:val="21"/>
        </w:rPr>
        <w:t>postmodernidad.</w:t>
      </w:r>
      <w:r>
        <w:rPr>
          <w:rFonts w:ascii="Palatino Linotype" w:hAnsi="Palatino Linotype"/>
          <w:i/>
          <w:color w:val="231F20"/>
          <w:spacing w:val="-18"/>
          <w:sz w:val="21"/>
        </w:rPr>
        <w:t> </w:t>
      </w:r>
      <w:r>
        <w:rPr>
          <w:rFonts w:ascii="Palatino Linotype" w:hAnsi="Palatino Linotype"/>
          <w:i/>
          <w:color w:val="231F20"/>
          <w:spacing w:val="-3"/>
          <w:sz w:val="21"/>
        </w:rPr>
        <w:t>Investigaciones</w:t>
      </w:r>
      <w:r>
        <w:rPr>
          <w:rFonts w:ascii="Palatino Linotype" w:hAnsi="Palatino Linotype"/>
          <w:i/>
          <w:color w:val="231F20"/>
          <w:spacing w:val="-18"/>
          <w:sz w:val="21"/>
        </w:rPr>
        <w:t> </w:t>
      </w:r>
      <w:r>
        <w:rPr>
          <w:rFonts w:ascii="Palatino Linotype" w:hAnsi="Palatino Linotype"/>
          <w:i/>
          <w:color w:val="231F20"/>
          <w:sz w:val="21"/>
        </w:rPr>
        <w:t>sobre </w:t>
      </w:r>
      <w:r>
        <w:rPr>
          <w:rFonts w:ascii="Palatino Linotype" w:hAnsi="Palatino Linotype"/>
          <w:i/>
          <w:color w:val="231F20"/>
          <w:sz w:val="21"/>
        </w:rPr>
        <w:t>los</w:t>
      </w:r>
      <w:r>
        <w:rPr>
          <w:rFonts w:ascii="Palatino Linotype" w:hAnsi="Palatino Linotype"/>
          <w:i/>
          <w:color w:val="231F20"/>
          <w:spacing w:val="-18"/>
          <w:sz w:val="21"/>
        </w:rPr>
        <w:t> </w:t>
      </w:r>
      <w:r>
        <w:rPr>
          <w:rFonts w:ascii="Palatino Linotype" w:hAnsi="Palatino Linotype"/>
          <w:i/>
          <w:color w:val="231F20"/>
          <w:sz w:val="21"/>
        </w:rPr>
        <w:t>orígenes</w:t>
      </w:r>
      <w:r>
        <w:rPr>
          <w:rFonts w:ascii="Palatino Linotype" w:hAnsi="Palatino Linotype"/>
          <w:i/>
          <w:color w:val="231F20"/>
          <w:spacing w:val="-18"/>
          <w:sz w:val="21"/>
        </w:rPr>
        <w:t> </w:t>
      </w:r>
      <w:r>
        <w:rPr>
          <w:rFonts w:ascii="Palatino Linotype" w:hAnsi="Palatino Linotype"/>
          <w:i/>
          <w:color w:val="231F20"/>
          <w:sz w:val="21"/>
        </w:rPr>
        <w:t>del</w:t>
      </w:r>
      <w:r>
        <w:rPr>
          <w:rFonts w:ascii="Palatino Linotype" w:hAnsi="Palatino Linotype"/>
          <w:i/>
          <w:color w:val="231F20"/>
          <w:spacing w:val="-18"/>
          <w:sz w:val="21"/>
        </w:rPr>
        <w:t> </w:t>
      </w:r>
      <w:r>
        <w:rPr>
          <w:rFonts w:ascii="Palatino Linotype" w:hAnsi="Palatino Linotype"/>
          <w:i/>
          <w:color w:val="231F20"/>
          <w:spacing w:val="-3"/>
          <w:sz w:val="21"/>
        </w:rPr>
        <w:t>cambio</w:t>
      </w:r>
      <w:r>
        <w:rPr>
          <w:rFonts w:ascii="Palatino Linotype" w:hAnsi="Palatino Linotype"/>
          <w:i/>
          <w:color w:val="231F20"/>
          <w:spacing w:val="-18"/>
          <w:sz w:val="21"/>
        </w:rPr>
        <w:t> </w:t>
      </w:r>
      <w:r>
        <w:rPr>
          <w:rFonts w:ascii="Palatino Linotype" w:hAnsi="Palatino Linotype"/>
          <w:i/>
          <w:color w:val="231F20"/>
          <w:sz w:val="21"/>
        </w:rPr>
        <w:t>cultural</w:t>
      </w:r>
      <w:r>
        <w:rPr>
          <w:color w:val="231F20"/>
          <w:sz w:val="21"/>
        </w:rPr>
        <w:t>,</w:t>
      </w:r>
      <w:r>
        <w:rPr>
          <w:color w:val="231F20"/>
          <w:spacing w:val="-18"/>
          <w:sz w:val="21"/>
        </w:rPr>
        <w:t> </w:t>
      </w:r>
      <w:r>
        <w:rPr>
          <w:color w:val="231F20"/>
          <w:sz w:val="21"/>
        </w:rPr>
        <w:t>Amorrortu</w:t>
      </w:r>
      <w:r>
        <w:rPr>
          <w:color w:val="231F20"/>
          <w:spacing w:val="-18"/>
          <w:sz w:val="21"/>
        </w:rPr>
        <w:t> </w:t>
      </w:r>
      <w:r>
        <w:rPr>
          <w:color w:val="231F20"/>
          <w:sz w:val="21"/>
        </w:rPr>
        <w:t>Editores,</w:t>
      </w:r>
      <w:r>
        <w:rPr>
          <w:color w:val="231F20"/>
          <w:spacing w:val="-18"/>
          <w:sz w:val="21"/>
        </w:rPr>
        <w:t> </w:t>
      </w:r>
      <w:r>
        <w:rPr>
          <w:color w:val="231F20"/>
          <w:sz w:val="21"/>
        </w:rPr>
        <w:t>Buenos</w:t>
      </w:r>
      <w:r>
        <w:rPr>
          <w:color w:val="231F20"/>
          <w:spacing w:val="-18"/>
          <w:sz w:val="21"/>
        </w:rPr>
        <w:t> </w:t>
      </w:r>
      <w:r>
        <w:rPr>
          <w:color w:val="231F20"/>
          <w:sz w:val="21"/>
        </w:rPr>
        <w:t>Aires.</w:t>
      </w:r>
    </w:p>
    <w:p>
      <w:pPr>
        <w:pStyle w:val="BodyText"/>
        <w:spacing w:before="5"/>
        <w:rPr>
          <w:sz w:val="22"/>
        </w:rPr>
      </w:pPr>
    </w:p>
    <w:p>
      <w:pPr>
        <w:spacing w:line="247" w:lineRule="auto" w:before="0"/>
        <w:ind w:left="713" w:right="101" w:firstLine="396"/>
        <w:jc w:val="both"/>
        <w:rPr>
          <w:sz w:val="21"/>
        </w:rPr>
      </w:pPr>
      <w:r>
        <w:rPr>
          <w:color w:val="231F20"/>
          <w:spacing w:val="-4"/>
          <w:sz w:val="21"/>
        </w:rPr>
        <w:t>Humphrey, </w:t>
      </w:r>
      <w:r>
        <w:rPr>
          <w:color w:val="231F20"/>
          <w:sz w:val="21"/>
        </w:rPr>
        <w:t>John y Hubert Schmitz (2003), </w:t>
      </w:r>
      <w:r>
        <w:rPr>
          <w:rFonts w:ascii="Palatino Linotype" w:hAnsi="Palatino Linotype"/>
          <w:i/>
          <w:color w:val="231F20"/>
          <w:sz w:val="21"/>
        </w:rPr>
        <w:t>Las empresas en los países en vías de </w:t>
      </w:r>
      <w:r>
        <w:rPr>
          <w:rFonts w:ascii="Palatino Linotype" w:hAnsi="Palatino Linotype"/>
          <w:i/>
          <w:color w:val="231F20"/>
          <w:sz w:val="21"/>
        </w:rPr>
        <w:t>desarrollo</w:t>
      </w:r>
      <w:r>
        <w:rPr>
          <w:rFonts w:ascii="Palatino Linotype" w:hAnsi="Palatino Linotype"/>
          <w:i/>
          <w:color w:val="231F20"/>
          <w:spacing w:val="-11"/>
          <w:sz w:val="21"/>
        </w:rPr>
        <w:t> </w:t>
      </w:r>
      <w:r>
        <w:rPr>
          <w:rFonts w:ascii="Palatino Linotype" w:hAnsi="Palatino Linotype"/>
          <w:i/>
          <w:color w:val="231F20"/>
          <w:sz w:val="21"/>
        </w:rPr>
        <w:t>en</w:t>
      </w:r>
      <w:r>
        <w:rPr>
          <w:rFonts w:ascii="Palatino Linotype" w:hAnsi="Palatino Linotype"/>
          <w:i/>
          <w:color w:val="231F20"/>
          <w:spacing w:val="-11"/>
          <w:sz w:val="21"/>
        </w:rPr>
        <w:t> </w:t>
      </w:r>
      <w:r>
        <w:rPr>
          <w:rFonts w:ascii="Palatino Linotype" w:hAnsi="Palatino Linotype"/>
          <w:i/>
          <w:color w:val="231F20"/>
          <w:sz w:val="21"/>
        </w:rPr>
        <w:t>la</w:t>
      </w:r>
      <w:r>
        <w:rPr>
          <w:rFonts w:ascii="Palatino Linotype" w:hAnsi="Palatino Linotype"/>
          <w:i/>
          <w:color w:val="231F20"/>
          <w:spacing w:val="-11"/>
          <w:sz w:val="21"/>
        </w:rPr>
        <w:t> </w:t>
      </w:r>
      <w:r>
        <w:rPr>
          <w:rFonts w:ascii="Palatino Linotype" w:hAnsi="Palatino Linotype"/>
          <w:i/>
          <w:color w:val="231F20"/>
          <w:spacing w:val="-3"/>
          <w:sz w:val="21"/>
        </w:rPr>
        <w:t>economía</w:t>
      </w:r>
      <w:r>
        <w:rPr>
          <w:rFonts w:ascii="Palatino Linotype" w:hAnsi="Palatino Linotype"/>
          <w:i/>
          <w:color w:val="231F20"/>
          <w:spacing w:val="-11"/>
          <w:sz w:val="21"/>
        </w:rPr>
        <w:t> </w:t>
      </w:r>
      <w:r>
        <w:rPr>
          <w:rFonts w:ascii="Palatino Linotype" w:hAnsi="Palatino Linotype"/>
          <w:i/>
          <w:color w:val="231F20"/>
          <w:sz w:val="21"/>
        </w:rPr>
        <w:t>mundial:</w:t>
      </w:r>
      <w:r>
        <w:rPr>
          <w:rFonts w:ascii="Palatino Linotype" w:hAnsi="Palatino Linotype"/>
          <w:i/>
          <w:color w:val="231F20"/>
          <w:spacing w:val="-11"/>
          <w:sz w:val="21"/>
        </w:rPr>
        <w:t> </w:t>
      </w:r>
      <w:r>
        <w:rPr>
          <w:rFonts w:ascii="Palatino Linotype" w:hAnsi="Palatino Linotype"/>
          <w:i/>
          <w:color w:val="231F20"/>
          <w:sz w:val="21"/>
        </w:rPr>
        <w:t>poder</w:t>
      </w:r>
      <w:r>
        <w:rPr>
          <w:rFonts w:ascii="Palatino Linotype" w:hAnsi="Palatino Linotype"/>
          <w:i/>
          <w:color w:val="231F20"/>
          <w:spacing w:val="-11"/>
          <w:sz w:val="21"/>
        </w:rPr>
        <w:t> </w:t>
      </w:r>
      <w:r>
        <w:rPr>
          <w:rFonts w:ascii="Palatino Linotype" w:hAnsi="Palatino Linotype"/>
          <w:i/>
          <w:color w:val="231F20"/>
          <w:sz w:val="21"/>
        </w:rPr>
        <w:t>y</w:t>
      </w:r>
      <w:r>
        <w:rPr>
          <w:rFonts w:ascii="Palatino Linotype" w:hAnsi="Palatino Linotype"/>
          <w:i/>
          <w:color w:val="231F20"/>
          <w:spacing w:val="-11"/>
          <w:sz w:val="21"/>
        </w:rPr>
        <w:t> </w:t>
      </w:r>
      <w:r>
        <w:rPr>
          <w:rFonts w:ascii="Palatino Linotype" w:hAnsi="Palatino Linotype"/>
          <w:i/>
          <w:color w:val="231F20"/>
          <w:sz w:val="21"/>
        </w:rPr>
        <w:t>mejora</w:t>
      </w:r>
      <w:r>
        <w:rPr>
          <w:rFonts w:ascii="Palatino Linotype" w:hAnsi="Palatino Linotype"/>
          <w:i/>
          <w:color w:val="231F20"/>
          <w:spacing w:val="-11"/>
          <w:sz w:val="21"/>
        </w:rPr>
        <w:t> </w:t>
      </w:r>
      <w:r>
        <w:rPr>
          <w:rFonts w:ascii="Palatino Linotype" w:hAnsi="Palatino Linotype"/>
          <w:i/>
          <w:color w:val="231F20"/>
          <w:sz w:val="21"/>
        </w:rPr>
        <w:t>de</w:t>
      </w:r>
      <w:r>
        <w:rPr>
          <w:rFonts w:ascii="Palatino Linotype" w:hAnsi="Palatino Linotype"/>
          <w:i/>
          <w:color w:val="231F20"/>
          <w:spacing w:val="-11"/>
          <w:sz w:val="21"/>
        </w:rPr>
        <w:t> </w:t>
      </w:r>
      <w:r>
        <w:rPr>
          <w:rFonts w:ascii="Palatino Linotype" w:hAnsi="Palatino Linotype"/>
          <w:i/>
          <w:color w:val="231F20"/>
          <w:sz w:val="21"/>
        </w:rPr>
        <w:t>las</w:t>
      </w:r>
      <w:r>
        <w:rPr>
          <w:rFonts w:ascii="Palatino Linotype" w:hAnsi="Palatino Linotype"/>
          <w:i/>
          <w:color w:val="231F20"/>
          <w:spacing w:val="-11"/>
          <w:sz w:val="21"/>
        </w:rPr>
        <w:t> </w:t>
      </w:r>
      <w:r>
        <w:rPr>
          <w:rFonts w:ascii="Palatino Linotype" w:hAnsi="Palatino Linotype"/>
          <w:i/>
          <w:color w:val="231F20"/>
          <w:sz w:val="21"/>
        </w:rPr>
        <w:t>cadenas</w:t>
      </w:r>
      <w:r>
        <w:rPr>
          <w:rFonts w:ascii="Palatino Linotype" w:hAnsi="Palatino Linotype"/>
          <w:i/>
          <w:color w:val="231F20"/>
          <w:spacing w:val="-11"/>
          <w:sz w:val="21"/>
        </w:rPr>
        <w:t> </w:t>
      </w:r>
      <w:r>
        <w:rPr>
          <w:rFonts w:ascii="Palatino Linotype" w:hAnsi="Palatino Linotype"/>
          <w:i/>
          <w:color w:val="231F20"/>
          <w:sz w:val="21"/>
        </w:rPr>
        <w:t>globales</w:t>
      </w:r>
      <w:r>
        <w:rPr>
          <w:rFonts w:ascii="Palatino Linotype" w:hAnsi="Palatino Linotype"/>
          <w:i/>
          <w:color w:val="231F20"/>
          <w:spacing w:val="-11"/>
          <w:sz w:val="21"/>
        </w:rPr>
        <w:t> </w:t>
      </w:r>
      <w:r>
        <w:rPr>
          <w:rFonts w:ascii="Palatino Linotype" w:hAnsi="Palatino Linotype"/>
          <w:i/>
          <w:color w:val="231F20"/>
          <w:sz w:val="21"/>
        </w:rPr>
        <w:t>de</w:t>
      </w:r>
      <w:r>
        <w:rPr>
          <w:rFonts w:ascii="Palatino Linotype" w:hAnsi="Palatino Linotype"/>
          <w:i/>
          <w:color w:val="231F20"/>
          <w:spacing w:val="-11"/>
          <w:sz w:val="21"/>
        </w:rPr>
        <w:t> </w:t>
      </w:r>
      <w:r>
        <w:rPr>
          <w:rFonts w:ascii="Palatino Linotype" w:hAnsi="Palatino Linotype"/>
          <w:i/>
          <w:color w:val="231F20"/>
          <w:sz w:val="21"/>
        </w:rPr>
        <w:t>valor</w:t>
      </w:r>
      <w:r>
        <w:rPr>
          <w:color w:val="231F20"/>
          <w:sz w:val="21"/>
        </w:rPr>
        <w:t>,</w:t>
      </w:r>
      <w:r>
        <w:rPr>
          <w:color w:val="231F20"/>
          <w:spacing w:val="-11"/>
          <w:sz w:val="21"/>
        </w:rPr>
        <w:t> </w:t>
      </w:r>
      <w:r>
        <w:rPr>
          <w:color w:val="231F20"/>
          <w:sz w:val="21"/>
        </w:rPr>
        <w:t>Ins- tituto Nacional de </w:t>
      </w:r>
      <w:r>
        <w:rPr>
          <w:color w:val="231F20"/>
          <w:spacing w:val="-3"/>
          <w:sz w:val="21"/>
        </w:rPr>
        <w:t>Tecnología </w:t>
      </w:r>
      <w:r>
        <w:rPr>
          <w:color w:val="231F20"/>
          <w:sz w:val="21"/>
        </w:rPr>
        <w:t>Industrial,</w:t>
      </w:r>
      <w:r>
        <w:rPr>
          <w:color w:val="231F20"/>
          <w:spacing w:val="-4"/>
          <w:sz w:val="21"/>
        </w:rPr>
        <w:t> </w:t>
      </w:r>
      <w:r>
        <w:rPr>
          <w:color w:val="231F20"/>
          <w:sz w:val="21"/>
        </w:rPr>
        <w:t>Argentina.</w:t>
      </w:r>
    </w:p>
    <w:p>
      <w:pPr>
        <w:pStyle w:val="BodyText"/>
        <w:spacing w:before="9"/>
        <w:rPr>
          <w:sz w:val="22"/>
        </w:rPr>
      </w:pPr>
    </w:p>
    <w:p>
      <w:pPr>
        <w:spacing w:before="0"/>
        <w:ind w:left="674" w:right="101" w:firstLine="0"/>
        <w:jc w:val="right"/>
        <w:rPr>
          <w:sz w:val="21"/>
        </w:rPr>
      </w:pPr>
      <w:r>
        <w:rPr>
          <w:color w:val="231F20"/>
          <w:sz w:val="21"/>
        </w:rPr>
        <w:t>IMF (2007), </w:t>
      </w:r>
      <w:r>
        <w:rPr>
          <w:rFonts w:ascii="Palatino Linotype" w:hAnsi="Palatino Linotype"/>
          <w:i/>
          <w:color w:val="231F20"/>
          <w:sz w:val="21"/>
        </w:rPr>
        <w:t>Auto Report 2006/07</w:t>
      </w:r>
      <w:r>
        <w:rPr>
          <w:color w:val="231F20"/>
          <w:sz w:val="21"/>
        </w:rPr>
        <w:t>, International Metalworkers’ Federation, Suiza.</w:t>
      </w:r>
    </w:p>
    <w:p>
      <w:pPr>
        <w:pStyle w:val="BodyText"/>
        <w:spacing w:before="10"/>
      </w:pPr>
    </w:p>
    <w:p>
      <w:pPr>
        <w:spacing w:line="247" w:lineRule="auto" w:before="0"/>
        <w:ind w:left="713" w:right="101" w:firstLine="396"/>
        <w:jc w:val="both"/>
        <w:rPr>
          <w:sz w:val="21"/>
        </w:rPr>
      </w:pPr>
      <w:r>
        <w:rPr>
          <w:color w:val="231F20"/>
          <w:spacing w:val="-3"/>
          <w:sz w:val="21"/>
        </w:rPr>
        <w:t>INA</w:t>
      </w:r>
      <w:r>
        <w:rPr>
          <w:color w:val="231F20"/>
          <w:spacing w:val="-14"/>
          <w:sz w:val="21"/>
        </w:rPr>
        <w:t> </w:t>
      </w:r>
      <w:r>
        <w:rPr>
          <w:color w:val="231F20"/>
          <w:sz w:val="21"/>
        </w:rPr>
        <w:t>(2009),</w:t>
      </w:r>
      <w:r>
        <w:rPr>
          <w:color w:val="231F20"/>
          <w:spacing w:val="-14"/>
          <w:sz w:val="21"/>
        </w:rPr>
        <w:t> </w:t>
      </w:r>
      <w:r>
        <w:rPr>
          <w:color w:val="231F20"/>
          <w:sz w:val="21"/>
        </w:rPr>
        <w:t>“El</w:t>
      </w:r>
      <w:r>
        <w:rPr>
          <w:color w:val="231F20"/>
          <w:spacing w:val="-14"/>
          <w:sz w:val="21"/>
        </w:rPr>
        <w:t> </w:t>
      </w:r>
      <w:r>
        <w:rPr>
          <w:color w:val="231F20"/>
          <w:sz w:val="21"/>
        </w:rPr>
        <w:t>sector</w:t>
      </w:r>
      <w:r>
        <w:rPr>
          <w:color w:val="231F20"/>
          <w:spacing w:val="-14"/>
          <w:sz w:val="21"/>
        </w:rPr>
        <w:t> </w:t>
      </w:r>
      <w:r>
        <w:rPr>
          <w:color w:val="231F20"/>
          <w:sz w:val="21"/>
        </w:rPr>
        <w:t>de</w:t>
      </w:r>
      <w:r>
        <w:rPr>
          <w:color w:val="231F20"/>
          <w:spacing w:val="-14"/>
          <w:sz w:val="21"/>
        </w:rPr>
        <w:t> </w:t>
      </w:r>
      <w:r>
        <w:rPr>
          <w:color w:val="231F20"/>
          <w:sz w:val="21"/>
        </w:rPr>
        <w:t>autopartes</w:t>
      </w:r>
      <w:r>
        <w:rPr>
          <w:color w:val="231F20"/>
          <w:spacing w:val="-14"/>
          <w:sz w:val="21"/>
        </w:rPr>
        <w:t> </w:t>
      </w:r>
      <w:r>
        <w:rPr>
          <w:color w:val="231F20"/>
          <w:sz w:val="21"/>
        </w:rPr>
        <w:t>en</w:t>
      </w:r>
      <w:r>
        <w:rPr>
          <w:color w:val="231F20"/>
          <w:spacing w:val="-14"/>
          <w:sz w:val="21"/>
        </w:rPr>
        <w:t> </w:t>
      </w:r>
      <w:r>
        <w:rPr>
          <w:color w:val="231F20"/>
          <w:sz w:val="21"/>
        </w:rPr>
        <w:t>México:</w:t>
      </w:r>
      <w:r>
        <w:rPr>
          <w:color w:val="231F20"/>
          <w:spacing w:val="-14"/>
          <w:sz w:val="21"/>
        </w:rPr>
        <w:t> </w:t>
      </w:r>
      <w:r>
        <w:rPr>
          <w:color w:val="231F20"/>
          <w:sz w:val="21"/>
        </w:rPr>
        <w:t>Importancia</w:t>
      </w:r>
      <w:r>
        <w:rPr>
          <w:color w:val="231F20"/>
          <w:spacing w:val="-14"/>
          <w:sz w:val="21"/>
        </w:rPr>
        <w:t> </w:t>
      </w:r>
      <w:r>
        <w:rPr>
          <w:color w:val="231F20"/>
          <w:sz w:val="21"/>
        </w:rPr>
        <w:t>del</w:t>
      </w:r>
      <w:r>
        <w:rPr>
          <w:color w:val="231F20"/>
          <w:spacing w:val="-14"/>
          <w:sz w:val="21"/>
        </w:rPr>
        <w:t> </w:t>
      </w:r>
      <w:r>
        <w:rPr>
          <w:color w:val="231F20"/>
          <w:spacing w:val="-5"/>
          <w:sz w:val="21"/>
        </w:rPr>
        <w:t>sector”,</w:t>
      </w:r>
      <w:r>
        <w:rPr>
          <w:color w:val="231F20"/>
          <w:spacing w:val="-14"/>
          <w:sz w:val="21"/>
        </w:rPr>
        <w:t> </w:t>
      </w:r>
      <w:r>
        <w:rPr>
          <w:rFonts w:ascii="Palatino Linotype" w:hAnsi="Palatino Linotype"/>
          <w:i/>
          <w:color w:val="231F20"/>
          <w:spacing w:val="-3"/>
          <w:sz w:val="21"/>
        </w:rPr>
        <w:t>Industria </w:t>
      </w:r>
      <w:r>
        <w:rPr>
          <w:rFonts w:ascii="Palatino Linotype" w:hAnsi="Palatino Linotype"/>
          <w:i/>
          <w:color w:val="231F20"/>
          <w:spacing w:val="-3"/>
          <w:sz w:val="21"/>
        </w:rPr>
        <w:t>Nacional </w:t>
      </w:r>
      <w:r>
        <w:rPr>
          <w:rFonts w:ascii="Palatino Linotype" w:hAnsi="Palatino Linotype"/>
          <w:i/>
          <w:color w:val="231F20"/>
          <w:sz w:val="21"/>
        </w:rPr>
        <w:t>de Autopartes, A. C.</w:t>
      </w:r>
      <w:r>
        <w:rPr>
          <w:color w:val="231F20"/>
          <w:sz w:val="21"/>
        </w:rPr>
        <w:t>, consultado en </w:t>
      </w:r>
      <w:hyperlink r:id="rId380">
        <w:r>
          <w:rPr>
            <w:color w:val="231F20"/>
            <w:sz w:val="21"/>
          </w:rPr>
          <w:t>http://www.ina.org.mx/</w:t>
        </w:r>
      </w:hyperlink>
      <w:r>
        <w:rPr>
          <w:color w:val="231F20"/>
          <w:sz w:val="21"/>
        </w:rPr>
        <w:t> (20 de enero de 2010).</w:t>
      </w:r>
    </w:p>
    <w:p>
      <w:pPr>
        <w:pStyle w:val="BodyText"/>
        <w:spacing w:before="9"/>
        <w:rPr>
          <w:sz w:val="22"/>
        </w:rPr>
      </w:pPr>
    </w:p>
    <w:p>
      <w:pPr>
        <w:spacing w:line="256" w:lineRule="auto" w:before="0"/>
        <w:ind w:left="714" w:right="99" w:firstLine="396"/>
        <w:jc w:val="both"/>
        <w:rPr>
          <w:sz w:val="21"/>
        </w:rPr>
      </w:pPr>
      <w:r>
        <w:rPr>
          <w:color w:val="231F20"/>
          <w:sz w:val="21"/>
        </w:rPr>
        <w:t>INEGI (2010),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2010</w:t>
      </w:r>
      <w:r>
        <w:rPr>
          <w:color w:val="231F20"/>
          <w:sz w:val="21"/>
        </w:rPr>
        <w:t>, Instituto Nacional de Estadística y Geografía, México.</w:t>
      </w:r>
    </w:p>
    <w:p>
      <w:pPr>
        <w:pStyle w:val="BodyText"/>
        <w:spacing w:before="1"/>
        <w:rPr>
          <w:sz w:val="19"/>
        </w:rPr>
      </w:pPr>
    </w:p>
    <w:p>
      <w:pPr>
        <w:tabs>
          <w:tab w:pos="1620" w:val="left" w:leader="none"/>
        </w:tabs>
        <w:spacing w:line="256" w:lineRule="auto" w:before="34"/>
        <w:ind w:left="713" w:right="9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(2009),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2009</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tabs>
          <w:tab w:pos="1620" w:val="left" w:leader="none"/>
        </w:tabs>
        <w:spacing w:line="256" w:lineRule="auto" w:before="34"/>
        <w:ind w:left="713" w:right="9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(2008),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2008</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tabs>
          <w:tab w:pos="1620" w:val="left" w:leader="none"/>
        </w:tabs>
        <w:spacing w:line="256" w:lineRule="auto" w:before="34"/>
        <w:ind w:left="713" w:right="9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(2006),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2006</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tabs>
          <w:tab w:pos="1620" w:val="left" w:leader="none"/>
        </w:tabs>
        <w:spacing w:line="256" w:lineRule="auto" w:before="34"/>
        <w:ind w:left="713" w:right="102" w:firstLine="396"/>
        <w:jc w:val="left"/>
        <w:rPr>
          <w:sz w:val="21"/>
        </w:rPr>
      </w:pPr>
      <w:r>
        <w:rPr>
          <w:color w:val="231F20"/>
          <w:w w:val="90"/>
          <w:sz w:val="21"/>
          <w:u w:val="single" w:color="231F20"/>
        </w:rPr>
        <w:t> </w:t>
      </w:r>
      <w:r>
        <w:rPr>
          <w:color w:val="231F20"/>
          <w:sz w:val="21"/>
          <w:u w:val="single" w:color="231F20"/>
        </w:rPr>
        <w:tab/>
      </w:r>
      <w:r>
        <w:rPr>
          <w:color w:val="231F20"/>
          <w:spacing w:val="-7"/>
          <w:sz w:val="21"/>
        </w:rPr>
        <w:t> </w:t>
      </w:r>
      <w:r>
        <w:rPr>
          <w:color w:val="231F20"/>
          <w:sz w:val="21"/>
        </w:rPr>
        <w:t>(2003),</w:t>
      </w:r>
      <w:r>
        <w:rPr>
          <w:color w:val="231F20"/>
          <w:spacing w:val="-8"/>
          <w:sz w:val="21"/>
        </w:rPr>
        <w:t> </w:t>
      </w:r>
      <w:r>
        <w:rPr>
          <w:rFonts w:ascii="Palatino Linotype" w:hAnsi="Palatino Linotype"/>
          <w:i/>
          <w:color w:val="231F20"/>
          <w:sz w:val="21"/>
        </w:rPr>
        <w:t>Censos</w:t>
      </w:r>
      <w:r>
        <w:rPr>
          <w:rFonts w:ascii="Palatino Linotype" w:hAnsi="Palatino Linotype"/>
          <w:i/>
          <w:color w:val="231F20"/>
          <w:spacing w:val="-8"/>
          <w:sz w:val="21"/>
        </w:rPr>
        <w:t> </w:t>
      </w:r>
      <w:r>
        <w:rPr>
          <w:rFonts w:ascii="Palatino Linotype" w:hAnsi="Palatino Linotype"/>
          <w:i/>
          <w:color w:val="231F20"/>
          <w:sz w:val="21"/>
        </w:rPr>
        <w:t>Económicos</w:t>
      </w:r>
      <w:r>
        <w:rPr>
          <w:color w:val="231F20"/>
          <w:sz w:val="21"/>
        </w:rPr>
        <w:t>,</w:t>
      </w:r>
      <w:r>
        <w:rPr>
          <w:color w:val="231F20"/>
          <w:spacing w:val="-8"/>
          <w:sz w:val="21"/>
        </w:rPr>
        <w:t> </w:t>
      </w:r>
      <w:r>
        <w:rPr>
          <w:rFonts w:ascii="Palatino Linotype" w:hAnsi="Palatino Linotype"/>
          <w:i/>
          <w:color w:val="231F20"/>
          <w:sz w:val="21"/>
        </w:rPr>
        <w:t>2003</w:t>
      </w:r>
      <w:r>
        <w:rPr>
          <w:color w:val="231F20"/>
          <w:sz w:val="21"/>
        </w:rPr>
        <w:t>,</w:t>
      </w:r>
      <w:r>
        <w:rPr>
          <w:color w:val="231F20"/>
          <w:spacing w:val="-8"/>
          <w:sz w:val="21"/>
        </w:rPr>
        <w:t> </w:t>
      </w:r>
      <w:r>
        <w:rPr>
          <w:color w:val="231F20"/>
          <w:sz w:val="21"/>
        </w:rPr>
        <w:t>Instituto</w:t>
      </w:r>
      <w:r>
        <w:rPr>
          <w:color w:val="231F20"/>
          <w:spacing w:val="-8"/>
          <w:sz w:val="21"/>
        </w:rPr>
        <w:t> </w:t>
      </w:r>
      <w:r>
        <w:rPr>
          <w:color w:val="231F20"/>
          <w:sz w:val="21"/>
        </w:rPr>
        <w:t>Nacional</w:t>
      </w:r>
      <w:r>
        <w:rPr>
          <w:color w:val="231F20"/>
          <w:spacing w:val="-8"/>
          <w:sz w:val="21"/>
        </w:rPr>
        <w:t> </w:t>
      </w:r>
      <w:r>
        <w:rPr>
          <w:color w:val="231F20"/>
          <w:sz w:val="21"/>
        </w:rPr>
        <w:t>de</w:t>
      </w:r>
      <w:r>
        <w:rPr>
          <w:color w:val="231F20"/>
          <w:spacing w:val="-8"/>
          <w:sz w:val="21"/>
        </w:rPr>
        <w:t> </w:t>
      </w:r>
      <w:r>
        <w:rPr>
          <w:color w:val="231F20"/>
          <w:sz w:val="21"/>
        </w:rPr>
        <w:t>Estadística</w:t>
      </w:r>
      <w:r>
        <w:rPr>
          <w:color w:val="231F20"/>
          <w:spacing w:val="-8"/>
          <w:sz w:val="21"/>
        </w:rPr>
        <w:t> </w:t>
      </w:r>
      <w:r>
        <w:rPr>
          <w:color w:val="231F20"/>
          <w:sz w:val="21"/>
        </w:rPr>
        <w:t>y</w:t>
      </w:r>
      <w:r>
        <w:rPr>
          <w:color w:val="231F20"/>
          <w:spacing w:val="-8"/>
          <w:sz w:val="21"/>
        </w:rPr>
        <w:t> </w:t>
      </w:r>
      <w:r>
        <w:rPr>
          <w:color w:val="231F20"/>
          <w:sz w:val="21"/>
        </w:rPr>
        <w:t>Geo-</w:t>
      </w:r>
      <w:r>
        <w:rPr>
          <w:color w:val="231F20"/>
          <w:w w:val="106"/>
          <w:sz w:val="21"/>
        </w:rPr>
        <w:t> </w:t>
      </w:r>
      <w:r>
        <w:rPr>
          <w:color w:val="231F20"/>
          <w:sz w:val="21"/>
        </w:rPr>
        <w:t>grafía,</w:t>
      </w:r>
      <w:r>
        <w:rPr>
          <w:color w:val="231F20"/>
          <w:spacing w:val="-22"/>
          <w:sz w:val="21"/>
        </w:rPr>
        <w:t> </w:t>
      </w:r>
      <w:r>
        <w:rPr>
          <w:color w:val="231F20"/>
          <w:sz w:val="21"/>
        </w:rPr>
        <w:t>México.</w:t>
      </w:r>
    </w:p>
    <w:p>
      <w:pPr>
        <w:pStyle w:val="BodyText"/>
        <w:rPr>
          <w:sz w:val="19"/>
        </w:rPr>
      </w:pPr>
    </w:p>
    <w:p>
      <w:pPr>
        <w:tabs>
          <w:tab w:pos="1620" w:val="left" w:leader="none"/>
        </w:tabs>
        <w:spacing w:line="256" w:lineRule="auto" w:before="34"/>
        <w:ind w:left="713" w:right="9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(2002),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2002</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tabs>
          <w:tab w:pos="1620" w:val="left" w:leader="none"/>
        </w:tabs>
        <w:spacing w:line="256" w:lineRule="auto" w:before="34"/>
        <w:ind w:left="713" w:right="9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(1998),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1998</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spacing w:after="0" w:line="256" w:lineRule="auto"/>
        <w:jc w:val="left"/>
        <w:rPr>
          <w:sz w:val="21"/>
        </w:rPr>
        <w:sectPr>
          <w:pgSz w:w="9640" w:h="13040"/>
          <w:pgMar w:header="581" w:footer="654" w:top="780" w:bottom="840" w:left="420" w:right="1200"/>
        </w:sectPr>
      </w:pPr>
    </w:p>
    <w:p>
      <w:pPr>
        <w:pStyle w:val="BodyText"/>
        <w:rPr>
          <w:sz w:val="20"/>
        </w:rPr>
      </w:pPr>
    </w:p>
    <w:p>
      <w:pPr>
        <w:pStyle w:val="BodyText"/>
        <w:spacing w:before="7"/>
      </w:pPr>
    </w:p>
    <w:p>
      <w:pPr>
        <w:tabs>
          <w:tab w:pos="1010" w:val="left" w:leader="none"/>
        </w:tabs>
        <w:spacing w:line="256" w:lineRule="auto" w:before="34"/>
        <w:ind w:left="104" w:right="70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(1993),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1993</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tabs>
          <w:tab w:pos="1010" w:val="left" w:leader="none"/>
        </w:tabs>
        <w:spacing w:line="256" w:lineRule="auto" w:before="34"/>
        <w:ind w:left="104" w:right="709" w:firstLine="396"/>
        <w:jc w:val="left"/>
        <w:rPr>
          <w:sz w:val="21"/>
        </w:rPr>
      </w:pPr>
      <w:r>
        <w:rPr>
          <w:color w:val="231F20"/>
          <w:w w:val="90"/>
          <w:sz w:val="21"/>
          <w:u w:val="single" w:color="231F20"/>
        </w:rPr>
        <w:t> </w:t>
      </w:r>
      <w:r>
        <w:rPr>
          <w:color w:val="231F20"/>
          <w:sz w:val="21"/>
          <w:u w:val="single" w:color="231F20"/>
        </w:rPr>
        <w:tab/>
      </w:r>
      <w:r>
        <w:rPr>
          <w:color w:val="231F20"/>
          <w:spacing w:val="22"/>
          <w:sz w:val="21"/>
        </w:rPr>
        <w:t> </w:t>
      </w:r>
      <w:r>
        <w:rPr>
          <w:color w:val="231F20"/>
          <w:sz w:val="21"/>
        </w:rPr>
        <w:t>(1988),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1988</w:t>
      </w:r>
      <w:r>
        <w:rPr>
          <w:color w:val="231F20"/>
          <w:sz w:val="21"/>
        </w:rPr>
        <w:t>, Instituto   </w:t>
      </w:r>
      <w:r>
        <w:rPr>
          <w:color w:val="231F20"/>
          <w:spacing w:val="13"/>
          <w:sz w:val="21"/>
        </w:rPr>
        <w:t> </w:t>
      </w:r>
      <w:r>
        <w:rPr>
          <w:color w:val="231F20"/>
          <w:sz w:val="21"/>
        </w:rPr>
        <w:t>Nacional</w:t>
      </w:r>
      <w:r>
        <w:rPr>
          <w:color w:val="231F20"/>
          <w:spacing w:val="20"/>
          <w:sz w:val="21"/>
        </w:rPr>
        <w:t> </w:t>
      </w:r>
      <w:r>
        <w:rPr>
          <w:color w:val="231F20"/>
          <w:sz w:val="21"/>
        </w:rPr>
        <w:t>de</w:t>
      </w:r>
      <w:r>
        <w:rPr>
          <w:color w:val="231F20"/>
          <w:spacing w:val="2"/>
          <w:w w:val="100"/>
          <w:sz w:val="21"/>
        </w:rPr>
        <w:t> </w:t>
      </w:r>
      <w:r>
        <w:rPr>
          <w:color w:val="231F20"/>
          <w:sz w:val="21"/>
        </w:rPr>
        <w:t>Estadística</w:t>
      </w:r>
      <w:r>
        <w:rPr>
          <w:color w:val="231F20"/>
          <w:spacing w:val="-14"/>
          <w:sz w:val="21"/>
        </w:rPr>
        <w:t> </w:t>
      </w:r>
      <w:r>
        <w:rPr>
          <w:color w:val="231F20"/>
          <w:sz w:val="21"/>
        </w:rPr>
        <w:t>y</w:t>
      </w:r>
      <w:r>
        <w:rPr>
          <w:color w:val="231F20"/>
          <w:spacing w:val="-14"/>
          <w:sz w:val="21"/>
        </w:rPr>
        <w:t> </w:t>
      </w:r>
      <w:r>
        <w:rPr>
          <w:color w:val="231F20"/>
          <w:spacing w:val="2"/>
          <w:sz w:val="21"/>
        </w:rPr>
        <w:t>Geografía,</w:t>
      </w:r>
      <w:r>
        <w:rPr>
          <w:color w:val="231F20"/>
          <w:spacing w:val="-14"/>
          <w:sz w:val="21"/>
        </w:rPr>
        <w:t> </w:t>
      </w:r>
      <w:r>
        <w:rPr>
          <w:color w:val="231F20"/>
          <w:sz w:val="21"/>
        </w:rPr>
        <w:t>México.</w:t>
      </w:r>
    </w:p>
    <w:p>
      <w:pPr>
        <w:pStyle w:val="BodyText"/>
        <w:rPr>
          <w:sz w:val="19"/>
        </w:rPr>
      </w:pPr>
    </w:p>
    <w:p>
      <w:pPr>
        <w:spacing w:line="256" w:lineRule="auto" w:before="34"/>
        <w:ind w:left="104" w:right="709" w:firstLine="396"/>
        <w:jc w:val="both"/>
        <w:rPr>
          <w:sz w:val="21"/>
        </w:rPr>
      </w:pPr>
      <w:r>
        <w:rPr>
          <w:color w:val="231F20"/>
          <w:w w:val="90"/>
          <w:sz w:val="21"/>
          <w:u w:val="single" w:color="231F20"/>
        </w:rPr>
        <w:t> </w:t>
      </w:r>
      <w:r>
        <w:rPr>
          <w:color w:val="231F20"/>
          <w:sz w:val="21"/>
          <w:u w:val="single" w:color="231F20"/>
        </w:rPr>
        <w:t>         </w:t>
      </w:r>
      <w:r>
        <w:rPr>
          <w:color w:val="231F20"/>
          <w:sz w:val="21"/>
        </w:rPr>
        <w:t> (1985), </w:t>
      </w:r>
      <w:r>
        <w:rPr>
          <w:rFonts w:ascii="Palatino Linotype" w:hAnsi="Palatino Linotype"/>
          <w:i/>
          <w:color w:val="231F20"/>
          <w:sz w:val="21"/>
        </w:rPr>
        <w:t>La industria automotriz en México</w:t>
      </w:r>
      <w:r>
        <w:rPr>
          <w:color w:val="231F20"/>
          <w:sz w:val="21"/>
        </w:rPr>
        <w:t>, </w:t>
      </w:r>
      <w:r>
        <w:rPr>
          <w:rFonts w:ascii="Palatino Linotype" w:hAnsi="Palatino Linotype"/>
          <w:i/>
          <w:color w:val="231F20"/>
          <w:sz w:val="21"/>
        </w:rPr>
        <w:t>1985</w:t>
      </w:r>
      <w:r>
        <w:rPr>
          <w:color w:val="231F20"/>
          <w:sz w:val="21"/>
        </w:rPr>
        <w:t>, Instituto Nacional de Estadística y Geografía, México.</w:t>
      </w:r>
    </w:p>
    <w:p>
      <w:pPr>
        <w:pStyle w:val="BodyText"/>
        <w:spacing w:before="1"/>
        <w:rPr>
          <w:sz w:val="24"/>
        </w:rPr>
      </w:pPr>
    </w:p>
    <w:p>
      <w:pPr>
        <w:pStyle w:val="BodyText"/>
        <w:ind w:left="500" w:right="96"/>
      </w:pPr>
      <w:r>
        <w:rPr>
          <w:color w:val="231F20"/>
        </w:rPr>
        <w:t>Juárez, Huberto (2005), “La industria proveedora de autopartes”, en H. Juárez,</w:t>
      </w:r>
    </w:p>
    <w:p>
      <w:pPr>
        <w:spacing w:line="280" w:lineRule="exact" w:before="10"/>
        <w:ind w:left="104" w:right="635" w:firstLine="0"/>
        <w:jc w:val="left"/>
        <w:rPr>
          <w:sz w:val="21"/>
        </w:rPr>
      </w:pPr>
      <w:r>
        <w:rPr>
          <w:color w:val="231F20"/>
          <w:sz w:val="21"/>
        </w:rPr>
        <w:t>A. Lara y C. Bueno (coords.), </w:t>
      </w:r>
      <w:r>
        <w:rPr>
          <w:rFonts w:ascii="Palatino Linotype" w:hAnsi="Palatino Linotype"/>
          <w:i/>
          <w:color w:val="231F20"/>
          <w:sz w:val="21"/>
        </w:rPr>
        <w:t>El auto global, desarrollo, cooperación y competencia en </w:t>
      </w:r>
      <w:r>
        <w:rPr>
          <w:rFonts w:ascii="Palatino Linotype" w:hAnsi="Palatino Linotype"/>
          <w:i/>
          <w:color w:val="231F20"/>
          <w:sz w:val="21"/>
        </w:rPr>
        <w:t>la industria del automóvil</w:t>
      </w:r>
      <w:r>
        <w:rPr>
          <w:color w:val="231F20"/>
          <w:sz w:val="21"/>
        </w:rPr>
        <w:t>, Conacyt / Benemérita Universidad Autónoma de    Puebla</w:t>
      </w:r>
    </w:p>
    <w:p>
      <w:pPr>
        <w:pStyle w:val="BodyText"/>
        <w:spacing w:line="278" w:lineRule="auto" w:before="28"/>
        <w:ind w:left="104" w:right="635"/>
      </w:pPr>
      <w:r>
        <w:rPr>
          <w:color w:val="231F20"/>
        </w:rPr>
        <w:t>/ Universidad Autónoma Metropolitana-Xochimilco / Universidad Iberoamericana, México, pp. 71-116.</w:t>
      </w:r>
    </w:p>
    <w:p>
      <w:pPr>
        <w:pStyle w:val="BodyText"/>
        <w:spacing w:before="3"/>
        <w:rPr>
          <w:sz w:val="22"/>
        </w:rPr>
      </w:pPr>
    </w:p>
    <w:p>
      <w:pPr>
        <w:spacing w:line="244" w:lineRule="auto" w:before="0"/>
        <w:ind w:left="104" w:right="711" w:firstLine="396"/>
        <w:jc w:val="both"/>
        <w:rPr>
          <w:sz w:val="21"/>
        </w:rPr>
      </w:pPr>
      <w:r>
        <w:rPr>
          <w:color w:val="231F20"/>
          <w:sz w:val="21"/>
        </w:rPr>
        <w:t>Lambert,</w:t>
      </w:r>
      <w:r>
        <w:rPr>
          <w:color w:val="231F20"/>
          <w:spacing w:val="-15"/>
          <w:sz w:val="21"/>
        </w:rPr>
        <w:t> </w:t>
      </w:r>
      <w:r>
        <w:rPr>
          <w:color w:val="231F20"/>
          <w:sz w:val="21"/>
        </w:rPr>
        <w:t>Douglas</w:t>
      </w:r>
      <w:r>
        <w:rPr>
          <w:color w:val="231F20"/>
          <w:spacing w:val="-15"/>
          <w:sz w:val="21"/>
        </w:rPr>
        <w:t> </w:t>
      </w:r>
      <w:r>
        <w:rPr>
          <w:color w:val="231F20"/>
          <w:sz w:val="21"/>
        </w:rPr>
        <w:t>M.</w:t>
      </w:r>
      <w:r>
        <w:rPr>
          <w:color w:val="231F20"/>
          <w:spacing w:val="-15"/>
          <w:sz w:val="21"/>
        </w:rPr>
        <w:t> </w:t>
      </w:r>
      <w:r>
        <w:rPr>
          <w:color w:val="231F20"/>
          <w:sz w:val="21"/>
        </w:rPr>
        <w:t>(2001),</w:t>
      </w:r>
      <w:r>
        <w:rPr>
          <w:color w:val="231F20"/>
          <w:spacing w:val="-15"/>
          <w:sz w:val="21"/>
        </w:rPr>
        <w:t> </w:t>
      </w:r>
      <w:r>
        <w:rPr>
          <w:color w:val="231F20"/>
          <w:sz w:val="21"/>
        </w:rPr>
        <w:t>“The</w:t>
      </w:r>
      <w:r>
        <w:rPr>
          <w:color w:val="231F20"/>
          <w:spacing w:val="-15"/>
          <w:sz w:val="21"/>
        </w:rPr>
        <w:t> </w:t>
      </w:r>
      <w:r>
        <w:rPr>
          <w:color w:val="231F20"/>
          <w:spacing w:val="-3"/>
          <w:sz w:val="21"/>
        </w:rPr>
        <w:t>Supply</w:t>
      </w:r>
      <w:r>
        <w:rPr>
          <w:color w:val="231F20"/>
          <w:spacing w:val="-15"/>
          <w:sz w:val="21"/>
        </w:rPr>
        <w:t> </w:t>
      </w:r>
      <w:r>
        <w:rPr>
          <w:color w:val="231F20"/>
          <w:sz w:val="21"/>
        </w:rPr>
        <w:t>Chain</w:t>
      </w:r>
      <w:r>
        <w:rPr>
          <w:color w:val="231F20"/>
          <w:spacing w:val="-15"/>
          <w:sz w:val="21"/>
        </w:rPr>
        <w:t> </w:t>
      </w:r>
      <w:r>
        <w:rPr>
          <w:color w:val="231F20"/>
          <w:sz w:val="21"/>
        </w:rPr>
        <w:t>Management</w:t>
      </w:r>
      <w:r>
        <w:rPr>
          <w:color w:val="231F20"/>
          <w:spacing w:val="-15"/>
          <w:sz w:val="21"/>
        </w:rPr>
        <w:t> </w:t>
      </w:r>
      <w:r>
        <w:rPr>
          <w:color w:val="231F20"/>
          <w:sz w:val="21"/>
        </w:rPr>
        <w:t>and</w:t>
      </w:r>
      <w:r>
        <w:rPr>
          <w:color w:val="231F20"/>
          <w:spacing w:val="-15"/>
          <w:sz w:val="21"/>
        </w:rPr>
        <w:t> </w:t>
      </w:r>
      <w:r>
        <w:rPr>
          <w:color w:val="231F20"/>
          <w:sz w:val="21"/>
        </w:rPr>
        <w:t>Logistics</w:t>
      </w:r>
      <w:r>
        <w:rPr>
          <w:color w:val="231F20"/>
          <w:spacing w:val="-15"/>
          <w:sz w:val="21"/>
        </w:rPr>
        <w:t> </w:t>
      </w:r>
      <w:r>
        <w:rPr>
          <w:color w:val="231F20"/>
          <w:sz w:val="21"/>
        </w:rPr>
        <w:t>Con- </w:t>
      </w:r>
      <w:r>
        <w:rPr>
          <w:color w:val="231F20"/>
          <w:spacing w:val="-5"/>
          <w:sz w:val="21"/>
        </w:rPr>
        <w:t>troversy”, </w:t>
      </w:r>
      <w:r>
        <w:rPr>
          <w:color w:val="231F20"/>
          <w:sz w:val="21"/>
        </w:rPr>
        <w:t>en A. M. </w:t>
      </w:r>
      <w:r>
        <w:rPr>
          <w:color w:val="231F20"/>
          <w:spacing w:val="-3"/>
          <w:sz w:val="21"/>
        </w:rPr>
        <w:t>Brewer, </w:t>
      </w:r>
      <w:r>
        <w:rPr>
          <w:color w:val="231F20"/>
          <w:sz w:val="21"/>
        </w:rPr>
        <w:t>K. </w:t>
      </w:r>
      <w:r>
        <w:rPr>
          <w:color w:val="231F20"/>
          <w:spacing w:val="-5"/>
          <w:sz w:val="21"/>
        </w:rPr>
        <w:t>J. </w:t>
      </w:r>
      <w:r>
        <w:rPr>
          <w:color w:val="231F20"/>
          <w:spacing w:val="-3"/>
          <w:sz w:val="21"/>
        </w:rPr>
        <w:t>Button </w:t>
      </w:r>
      <w:r>
        <w:rPr>
          <w:color w:val="231F20"/>
          <w:sz w:val="21"/>
        </w:rPr>
        <w:t>y </w:t>
      </w:r>
      <w:r>
        <w:rPr>
          <w:color w:val="231F20"/>
          <w:spacing w:val="-5"/>
          <w:sz w:val="21"/>
        </w:rPr>
        <w:t>D. </w:t>
      </w:r>
      <w:r>
        <w:rPr>
          <w:color w:val="231F20"/>
          <w:sz w:val="21"/>
        </w:rPr>
        <w:t>A. Hensher (eds.), </w:t>
      </w:r>
      <w:r>
        <w:rPr>
          <w:rFonts w:ascii="Palatino Linotype" w:hAnsi="Palatino Linotype"/>
          <w:i/>
          <w:color w:val="231F20"/>
          <w:spacing w:val="-3"/>
          <w:sz w:val="21"/>
        </w:rPr>
        <w:t>Handbook </w:t>
      </w:r>
      <w:r>
        <w:rPr>
          <w:rFonts w:ascii="Palatino Linotype" w:hAnsi="Palatino Linotype"/>
          <w:i/>
          <w:color w:val="231F20"/>
          <w:sz w:val="21"/>
        </w:rPr>
        <w:t>of Logistics </w:t>
      </w:r>
      <w:r>
        <w:rPr>
          <w:rFonts w:ascii="Palatino Linotype" w:hAnsi="Palatino Linotype"/>
          <w:i/>
          <w:color w:val="231F20"/>
          <w:spacing w:val="-2"/>
          <w:sz w:val="21"/>
        </w:rPr>
        <w:t>and</w:t>
      </w:r>
      <w:r>
        <w:rPr>
          <w:rFonts w:ascii="Palatino Linotype" w:hAnsi="Palatino Linotype"/>
          <w:i/>
          <w:color w:val="231F20"/>
          <w:spacing w:val="-26"/>
          <w:sz w:val="21"/>
        </w:rPr>
        <w:t> </w:t>
      </w:r>
      <w:r>
        <w:rPr>
          <w:rFonts w:ascii="Palatino Linotype" w:hAnsi="Palatino Linotype"/>
          <w:i/>
          <w:color w:val="231F20"/>
          <w:spacing w:val="-3"/>
          <w:sz w:val="21"/>
        </w:rPr>
        <w:t>Supply</w:t>
      </w:r>
      <w:r>
        <w:rPr>
          <w:rFonts w:ascii="Palatino Linotype" w:hAnsi="Palatino Linotype"/>
          <w:i/>
          <w:color w:val="231F20"/>
          <w:spacing w:val="-26"/>
          <w:sz w:val="21"/>
        </w:rPr>
        <w:t> </w:t>
      </w:r>
      <w:r>
        <w:rPr>
          <w:rFonts w:ascii="Palatino Linotype" w:hAnsi="Palatino Linotype"/>
          <w:i/>
          <w:color w:val="231F20"/>
          <w:sz w:val="21"/>
        </w:rPr>
        <w:t>Chain</w:t>
      </w:r>
      <w:r>
        <w:rPr>
          <w:rFonts w:ascii="Palatino Linotype" w:hAnsi="Palatino Linotype"/>
          <w:i/>
          <w:color w:val="231F20"/>
          <w:spacing w:val="-26"/>
          <w:sz w:val="21"/>
        </w:rPr>
        <w:t> </w:t>
      </w:r>
      <w:r>
        <w:rPr>
          <w:rFonts w:ascii="Palatino Linotype" w:hAnsi="Palatino Linotype"/>
          <w:i/>
          <w:color w:val="231F20"/>
          <w:spacing w:val="-3"/>
          <w:sz w:val="21"/>
        </w:rPr>
        <w:t>Management</w:t>
      </w:r>
      <w:r>
        <w:rPr>
          <w:color w:val="231F20"/>
          <w:spacing w:val="-3"/>
          <w:sz w:val="21"/>
        </w:rPr>
        <w:t>,</w:t>
      </w:r>
      <w:r>
        <w:rPr>
          <w:color w:val="231F20"/>
          <w:spacing w:val="-26"/>
          <w:sz w:val="21"/>
        </w:rPr>
        <w:t> </w:t>
      </w:r>
      <w:r>
        <w:rPr>
          <w:color w:val="231F20"/>
          <w:sz w:val="21"/>
        </w:rPr>
        <w:t>Elsevier</w:t>
      </w:r>
      <w:r>
        <w:rPr>
          <w:color w:val="231F20"/>
          <w:spacing w:val="-26"/>
          <w:sz w:val="21"/>
        </w:rPr>
        <w:t> </w:t>
      </w:r>
      <w:r>
        <w:rPr>
          <w:color w:val="231F20"/>
          <w:sz w:val="21"/>
        </w:rPr>
        <w:t>Science</w:t>
      </w:r>
      <w:r>
        <w:rPr>
          <w:color w:val="231F20"/>
          <w:spacing w:val="-26"/>
          <w:sz w:val="21"/>
        </w:rPr>
        <w:t> </w:t>
      </w:r>
      <w:r>
        <w:rPr>
          <w:color w:val="231F20"/>
          <w:sz w:val="21"/>
        </w:rPr>
        <w:t>Ltd.,</w:t>
      </w:r>
      <w:r>
        <w:rPr>
          <w:color w:val="231F20"/>
          <w:spacing w:val="-26"/>
          <w:sz w:val="21"/>
        </w:rPr>
        <w:t> </w:t>
      </w:r>
      <w:r>
        <w:rPr>
          <w:color w:val="231F20"/>
          <w:sz w:val="21"/>
        </w:rPr>
        <w:t>s/l.</w:t>
      </w:r>
    </w:p>
    <w:p>
      <w:pPr>
        <w:pStyle w:val="BodyText"/>
        <w:spacing w:before="1"/>
      </w:pPr>
    </w:p>
    <w:p>
      <w:pPr>
        <w:spacing w:line="280" w:lineRule="exact" w:before="0"/>
        <w:ind w:left="104" w:right="711" w:firstLine="396"/>
        <w:jc w:val="both"/>
        <w:rPr>
          <w:sz w:val="21"/>
        </w:rPr>
      </w:pPr>
      <w:r>
        <w:rPr>
          <w:color w:val="231F20"/>
          <w:sz w:val="21"/>
        </w:rPr>
        <w:t>Lamming,</w:t>
      </w:r>
      <w:r>
        <w:rPr>
          <w:color w:val="231F20"/>
          <w:spacing w:val="-15"/>
          <w:sz w:val="21"/>
        </w:rPr>
        <w:t> </w:t>
      </w:r>
      <w:r>
        <w:rPr>
          <w:color w:val="231F20"/>
          <w:sz w:val="21"/>
        </w:rPr>
        <w:t>Richard</w:t>
      </w:r>
      <w:r>
        <w:rPr>
          <w:color w:val="231F20"/>
          <w:spacing w:val="-15"/>
          <w:sz w:val="21"/>
        </w:rPr>
        <w:t> </w:t>
      </w:r>
      <w:r>
        <w:rPr>
          <w:color w:val="231F20"/>
          <w:sz w:val="21"/>
        </w:rPr>
        <w:t>(1993),</w:t>
      </w:r>
      <w:r>
        <w:rPr>
          <w:color w:val="231F20"/>
          <w:spacing w:val="-15"/>
          <w:sz w:val="21"/>
        </w:rPr>
        <w:t> </w:t>
      </w:r>
      <w:r>
        <w:rPr>
          <w:rFonts w:ascii="Palatino Linotype"/>
          <w:i/>
          <w:color w:val="231F20"/>
          <w:sz w:val="21"/>
        </w:rPr>
        <w:t>Beyond</w:t>
      </w:r>
      <w:r>
        <w:rPr>
          <w:rFonts w:ascii="Palatino Linotype"/>
          <w:i/>
          <w:color w:val="231F20"/>
          <w:spacing w:val="-15"/>
          <w:sz w:val="21"/>
        </w:rPr>
        <w:t> </w:t>
      </w:r>
      <w:r>
        <w:rPr>
          <w:rFonts w:ascii="Palatino Linotype"/>
          <w:i/>
          <w:color w:val="231F20"/>
          <w:sz w:val="21"/>
        </w:rPr>
        <w:t>Partnership</w:t>
      </w:r>
      <w:r>
        <w:rPr>
          <w:rFonts w:ascii="Palatino Linotype"/>
          <w:i/>
          <w:color w:val="231F20"/>
          <w:spacing w:val="-15"/>
          <w:sz w:val="21"/>
        </w:rPr>
        <w:t> </w:t>
      </w:r>
      <w:r>
        <w:rPr>
          <w:rFonts w:ascii="Palatino Linotype"/>
          <w:i/>
          <w:color w:val="231F20"/>
          <w:spacing w:val="-3"/>
          <w:sz w:val="21"/>
        </w:rPr>
        <w:t>Strategies</w:t>
      </w:r>
      <w:r>
        <w:rPr>
          <w:rFonts w:ascii="Palatino Linotype"/>
          <w:i/>
          <w:color w:val="231F20"/>
          <w:spacing w:val="-15"/>
          <w:sz w:val="21"/>
        </w:rPr>
        <w:t> </w:t>
      </w:r>
      <w:r>
        <w:rPr>
          <w:rFonts w:ascii="Palatino Linotype"/>
          <w:i/>
          <w:color w:val="231F20"/>
          <w:sz w:val="21"/>
        </w:rPr>
        <w:t>for</w:t>
      </w:r>
      <w:r>
        <w:rPr>
          <w:rFonts w:ascii="Palatino Linotype"/>
          <w:i/>
          <w:color w:val="231F20"/>
          <w:spacing w:val="-15"/>
          <w:sz w:val="21"/>
        </w:rPr>
        <w:t> </w:t>
      </w:r>
      <w:r>
        <w:rPr>
          <w:rFonts w:ascii="Palatino Linotype"/>
          <w:i/>
          <w:color w:val="231F20"/>
          <w:spacing w:val="-3"/>
          <w:sz w:val="21"/>
        </w:rPr>
        <w:t>Innovation</w:t>
      </w:r>
      <w:r>
        <w:rPr>
          <w:rFonts w:ascii="Palatino Linotype"/>
          <w:i/>
          <w:color w:val="231F20"/>
          <w:spacing w:val="-15"/>
          <w:sz w:val="21"/>
        </w:rPr>
        <w:t> </w:t>
      </w:r>
      <w:r>
        <w:rPr>
          <w:rFonts w:ascii="Palatino Linotype"/>
          <w:i/>
          <w:color w:val="231F20"/>
          <w:spacing w:val="-2"/>
          <w:sz w:val="21"/>
        </w:rPr>
        <w:t>and</w:t>
      </w:r>
      <w:r>
        <w:rPr>
          <w:rFonts w:ascii="Palatino Linotype"/>
          <w:i/>
          <w:color w:val="231F20"/>
          <w:spacing w:val="-15"/>
          <w:sz w:val="21"/>
        </w:rPr>
        <w:t> </w:t>
      </w:r>
      <w:r>
        <w:rPr>
          <w:rFonts w:ascii="Palatino Linotype"/>
          <w:i/>
          <w:color w:val="231F20"/>
          <w:sz w:val="21"/>
        </w:rPr>
        <w:t>Lean </w:t>
      </w:r>
      <w:r>
        <w:rPr>
          <w:rFonts w:ascii="Palatino Linotype"/>
          <w:i/>
          <w:color w:val="231F20"/>
          <w:spacing w:val="-3"/>
          <w:sz w:val="21"/>
        </w:rPr>
        <w:t>Supply</w:t>
      </w:r>
      <w:r>
        <w:rPr>
          <w:color w:val="231F20"/>
          <w:spacing w:val="-3"/>
          <w:sz w:val="21"/>
        </w:rPr>
        <w:t>,</w:t>
      </w:r>
      <w:r>
        <w:rPr>
          <w:color w:val="231F20"/>
          <w:spacing w:val="-10"/>
          <w:sz w:val="21"/>
        </w:rPr>
        <w:t> </w:t>
      </w:r>
      <w:r>
        <w:rPr>
          <w:color w:val="231F20"/>
          <w:sz w:val="21"/>
        </w:rPr>
        <w:t>Prentice</w:t>
      </w:r>
      <w:r>
        <w:rPr>
          <w:color w:val="231F20"/>
          <w:spacing w:val="-10"/>
          <w:sz w:val="21"/>
        </w:rPr>
        <w:t> </w:t>
      </w:r>
      <w:r>
        <w:rPr>
          <w:color w:val="231F20"/>
          <w:sz w:val="21"/>
        </w:rPr>
        <w:t>Hall</w:t>
      </w:r>
      <w:r>
        <w:rPr>
          <w:color w:val="231F20"/>
          <w:spacing w:val="-10"/>
          <w:sz w:val="21"/>
        </w:rPr>
        <w:t> </w:t>
      </w:r>
      <w:r>
        <w:rPr>
          <w:color w:val="231F20"/>
          <w:sz w:val="21"/>
        </w:rPr>
        <w:t>International,</w:t>
      </w:r>
      <w:r>
        <w:rPr>
          <w:color w:val="231F20"/>
          <w:spacing w:val="-10"/>
          <w:sz w:val="21"/>
        </w:rPr>
        <w:t> </w:t>
      </w:r>
      <w:r>
        <w:rPr>
          <w:color w:val="231F20"/>
          <w:sz w:val="21"/>
        </w:rPr>
        <w:t>Reino</w:t>
      </w:r>
      <w:r>
        <w:rPr>
          <w:color w:val="231F20"/>
          <w:spacing w:val="-10"/>
          <w:sz w:val="21"/>
        </w:rPr>
        <w:t> </w:t>
      </w:r>
      <w:r>
        <w:rPr>
          <w:color w:val="231F20"/>
          <w:spacing w:val="-3"/>
          <w:sz w:val="21"/>
        </w:rPr>
        <w:t>Unido.</w:t>
      </w:r>
    </w:p>
    <w:p>
      <w:pPr>
        <w:pStyle w:val="BodyText"/>
        <w:spacing w:before="7"/>
        <w:rPr>
          <w:sz w:val="24"/>
        </w:rPr>
      </w:pPr>
    </w:p>
    <w:p>
      <w:pPr>
        <w:pStyle w:val="BodyText"/>
        <w:spacing w:line="266" w:lineRule="auto"/>
        <w:ind w:left="104" w:right="711" w:firstLine="396"/>
        <w:jc w:val="both"/>
      </w:pPr>
      <w:r>
        <w:rPr>
          <w:color w:val="231F20"/>
        </w:rPr>
        <w:t>Lara, Arturo, Gerardo </w:t>
      </w:r>
      <w:r>
        <w:rPr>
          <w:color w:val="231F20"/>
          <w:spacing w:val="-4"/>
        </w:rPr>
        <w:t>Trujano </w:t>
      </w:r>
      <w:r>
        <w:rPr>
          <w:color w:val="231F20"/>
        </w:rPr>
        <w:t>y Alejandro García (2005a), “Producción modular y</w:t>
      </w:r>
      <w:r>
        <w:rPr>
          <w:color w:val="231F20"/>
          <w:spacing w:val="-16"/>
        </w:rPr>
        <w:t> </w:t>
      </w:r>
      <w:r>
        <w:rPr>
          <w:color w:val="231F20"/>
        </w:rPr>
        <w:t>coordinación</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rPr>
        <w:t>sector</w:t>
      </w:r>
      <w:r>
        <w:rPr>
          <w:color w:val="231F20"/>
          <w:spacing w:val="-16"/>
        </w:rPr>
        <w:t> </w:t>
      </w:r>
      <w:r>
        <w:rPr>
          <w:color w:val="231F20"/>
        </w:rPr>
        <w:t>de</w:t>
      </w:r>
      <w:r>
        <w:rPr>
          <w:color w:val="231F20"/>
          <w:spacing w:val="-16"/>
        </w:rPr>
        <w:t> </w:t>
      </w:r>
      <w:r>
        <w:rPr>
          <w:color w:val="231F20"/>
        </w:rPr>
        <w:t>autopartes</w:t>
      </w:r>
      <w:r>
        <w:rPr>
          <w:color w:val="231F20"/>
          <w:spacing w:val="-16"/>
        </w:rPr>
        <w:t> </w:t>
      </w:r>
      <w:r>
        <w:rPr>
          <w:color w:val="231F20"/>
        </w:rPr>
        <w:t>en</w:t>
      </w:r>
      <w:r>
        <w:rPr>
          <w:color w:val="231F20"/>
          <w:spacing w:val="-16"/>
        </w:rPr>
        <w:t> </w:t>
      </w:r>
      <w:r>
        <w:rPr>
          <w:color w:val="231F20"/>
        </w:rPr>
        <w:t>México.</w:t>
      </w:r>
      <w:r>
        <w:rPr>
          <w:color w:val="231F20"/>
          <w:spacing w:val="-16"/>
        </w:rPr>
        <w:t> </w:t>
      </w:r>
      <w:r>
        <w:rPr>
          <w:color w:val="231F20"/>
        </w:rPr>
        <w:t>El</w:t>
      </w:r>
      <w:r>
        <w:rPr>
          <w:color w:val="231F20"/>
          <w:spacing w:val="-16"/>
        </w:rPr>
        <w:t> </w:t>
      </w:r>
      <w:r>
        <w:rPr>
          <w:color w:val="231F20"/>
        </w:rPr>
        <w:t>caso</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red</w:t>
      </w:r>
      <w:r>
        <w:rPr>
          <w:color w:val="231F20"/>
          <w:spacing w:val="-16"/>
        </w:rPr>
        <w:t> </w:t>
      </w:r>
      <w:r>
        <w:rPr>
          <w:color w:val="231F20"/>
        </w:rPr>
        <w:t>de</w:t>
      </w:r>
      <w:r>
        <w:rPr>
          <w:color w:val="231F20"/>
          <w:spacing w:val="-16"/>
        </w:rPr>
        <w:t> </w:t>
      </w:r>
      <w:r>
        <w:rPr>
          <w:color w:val="231F20"/>
        </w:rPr>
        <w:t>plantas</w:t>
      </w:r>
      <w:r>
        <w:rPr>
          <w:color w:val="231F20"/>
          <w:spacing w:val="-16"/>
        </w:rPr>
        <w:t> </w:t>
      </w:r>
      <w:r>
        <w:rPr>
          <w:color w:val="231F20"/>
        </w:rPr>
        <w:t>de</w:t>
      </w:r>
      <w:r>
        <w:rPr>
          <w:color w:val="231F20"/>
          <w:spacing w:val="-16"/>
        </w:rPr>
        <w:t> </w:t>
      </w:r>
      <w:r>
        <w:rPr>
          <w:color w:val="231F20"/>
        </w:rPr>
        <w:t>Lear </w:t>
      </w:r>
      <w:r>
        <w:rPr>
          <w:color w:val="231F20"/>
          <w:spacing w:val="-5"/>
        </w:rPr>
        <w:t>Corporation”,</w:t>
      </w:r>
      <w:r>
        <w:rPr>
          <w:color w:val="231F20"/>
          <w:spacing w:val="-14"/>
        </w:rPr>
        <w:t> </w:t>
      </w:r>
      <w:r>
        <w:rPr>
          <w:rFonts w:ascii="Palatino Linotype" w:hAnsi="Palatino Linotype"/>
          <w:i/>
          <w:color w:val="231F20"/>
        </w:rPr>
        <w:t>Región</w:t>
      </w:r>
      <w:r>
        <w:rPr>
          <w:rFonts w:ascii="Palatino Linotype" w:hAnsi="Palatino Linotype"/>
          <w:i/>
          <w:color w:val="231F20"/>
          <w:spacing w:val="-14"/>
        </w:rPr>
        <w:t> </w:t>
      </w:r>
      <w:r>
        <w:rPr>
          <w:rFonts w:ascii="Palatino Linotype" w:hAnsi="Palatino Linotype"/>
          <w:i/>
          <w:color w:val="231F20"/>
        </w:rPr>
        <w:t>y</w:t>
      </w:r>
      <w:r>
        <w:rPr>
          <w:rFonts w:ascii="Palatino Linotype" w:hAnsi="Palatino Linotype"/>
          <w:i/>
          <w:color w:val="231F20"/>
          <w:spacing w:val="-14"/>
        </w:rPr>
        <w:t> </w:t>
      </w:r>
      <w:r>
        <w:rPr>
          <w:rFonts w:ascii="Palatino Linotype" w:hAnsi="Palatino Linotype"/>
          <w:i/>
          <w:color w:val="231F20"/>
        </w:rPr>
        <w:t>Sociedad</w:t>
      </w:r>
      <w:r>
        <w:rPr>
          <w:color w:val="231F20"/>
        </w:rPr>
        <w:t>,</w:t>
      </w:r>
      <w:r>
        <w:rPr>
          <w:color w:val="231F20"/>
          <w:spacing w:val="-14"/>
        </w:rPr>
        <w:t> </w:t>
      </w:r>
      <w:r>
        <w:rPr>
          <w:color w:val="231F20"/>
        </w:rPr>
        <w:t>vol.</w:t>
      </w:r>
      <w:r>
        <w:rPr>
          <w:color w:val="231F20"/>
          <w:spacing w:val="-14"/>
        </w:rPr>
        <w:t> </w:t>
      </w:r>
      <w:r>
        <w:rPr>
          <w:color w:val="231F20"/>
        </w:rPr>
        <w:t>XVII,</w:t>
      </w:r>
      <w:r>
        <w:rPr>
          <w:color w:val="231F20"/>
          <w:spacing w:val="-14"/>
        </w:rPr>
        <w:t> </w:t>
      </w:r>
      <w:r>
        <w:rPr>
          <w:color w:val="231F20"/>
        </w:rPr>
        <w:t>núm.</w:t>
      </w:r>
      <w:r>
        <w:rPr>
          <w:color w:val="231F20"/>
          <w:spacing w:val="-14"/>
        </w:rPr>
        <w:t> </w:t>
      </w:r>
      <w:r>
        <w:rPr>
          <w:color w:val="231F20"/>
        </w:rPr>
        <w:t>32,</w:t>
      </w:r>
      <w:r>
        <w:rPr>
          <w:color w:val="231F20"/>
          <w:spacing w:val="-14"/>
        </w:rPr>
        <w:t> </w:t>
      </w:r>
      <w:r>
        <w:rPr>
          <w:color w:val="231F20"/>
          <w:spacing w:val="-4"/>
        </w:rPr>
        <w:t>pp.</w:t>
      </w:r>
      <w:r>
        <w:rPr>
          <w:color w:val="231F20"/>
          <w:spacing w:val="-14"/>
        </w:rPr>
        <w:t> </w:t>
      </w:r>
      <w:r>
        <w:rPr>
          <w:color w:val="231F20"/>
        </w:rPr>
        <w:t>33-71.</w:t>
      </w:r>
    </w:p>
    <w:p>
      <w:pPr>
        <w:pStyle w:val="BodyText"/>
        <w:spacing w:before="4"/>
        <w:rPr>
          <w:sz w:val="16"/>
        </w:rPr>
      </w:pPr>
    </w:p>
    <w:p>
      <w:pPr>
        <w:pStyle w:val="BodyText"/>
        <w:spacing w:line="254" w:lineRule="auto" w:before="58"/>
        <w:ind w:left="104" w:right="711"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8"/>
        </w:rPr>
        <w:t> </w:t>
      </w:r>
      <w:r>
        <w:rPr>
          <w:color w:val="231F20"/>
        </w:rPr>
        <w:t>(2005b),</w:t>
      </w:r>
      <w:r>
        <w:rPr>
          <w:color w:val="231F20"/>
          <w:spacing w:val="-11"/>
        </w:rPr>
        <w:t> </w:t>
      </w:r>
      <w:r>
        <w:rPr>
          <w:color w:val="231F20"/>
        </w:rPr>
        <w:t>“El</w:t>
      </w:r>
      <w:r>
        <w:rPr>
          <w:color w:val="231F20"/>
          <w:spacing w:val="-11"/>
        </w:rPr>
        <w:t> </w:t>
      </w:r>
      <w:r>
        <w:rPr>
          <w:color w:val="231F20"/>
        </w:rPr>
        <w:t>clúster</w:t>
      </w:r>
      <w:r>
        <w:rPr>
          <w:color w:val="231F20"/>
          <w:spacing w:val="-11"/>
        </w:rPr>
        <w:t> </w:t>
      </w:r>
      <w:r>
        <w:rPr>
          <w:color w:val="231F20"/>
        </w:rPr>
        <w:t>automotriz</w:t>
      </w:r>
      <w:r>
        <w:rPr>
          <w:color w:val="231F20"/>
          <w:spacing w:val="-11"/>
        </w:rPr>
        <w:t> </w:t>
      </w:r>
      <w:r>
        <w:rPr>
          <w:color w:val="231F20"/>
        </w:rPr>
        <w:t>en</w:t>
      </w:r>
      <w:r>
        <w:rPr>
          <w:color w:val="231F20"/>
          <w:spacing w:val="-11"/>
        </w:rPr>
        <w:t> </w:t>
      </w:r>
      <w:r>
        <w:rPr>
          <w:color w:val="231F20"/>
        </w:rPr>
        <w:t>el</w:t>
      </w:r>
      <w:r>
        <w:rPr>
          <w:color w:val="231F20"/>
          <w:spacing w:val="-11"/>
        </w:rPr>
        <w:t> </w:t>
      </w:r>
      <w:r>
        <w:rPr>
          <w:color w:val="231F20"/>
        </w:rPr>
        <w:t>Estado</w:t>
      </w:r>
      <w:r>
        <w:rPr>
          <w:color w:val="231F20"/>
          <w:spacing w:val="-11"/>
        </w:rPr>
        <w:t> </w:t>
      </w:r>
      <w:r>
        <w:rPr>
          <w:color w:val="231F20"/>
        </w:rPr>
        <w:t>de</w:t>
      </w:r>
      <w:r>
        <w:rPr>
          <w:color w:val="231F20"/>
          <w:spacing w:val="-11"/>
        </w:rPr>
        <w:t> </w:t>
      </w:r>
      <w:r>
        <w:rPr>
          <w:color w:val="231F20"/>
        </w:rPr>
        <w:t>México,</w:t>
      </w:r>
      <w:r>
        <w:rPr>
          <w:color w:val="231F20"/>
          <w:spacing w:val="-11"/>
        </w:rPr>
        <w:t> </w:t>
      </w:r>
      <w:r>
        <w:rPr>
          <w:color w:val="231F20"/>
        </w:rPr>
        <w:t>retos</w:t>
      </w:r>
      <w:r>
        <w:rPr>
          <w:color w:val="231F20"/>
          <w:spacing w:val="-11"/>
        </w:rPr>
        <w:t> </w:t>
      </w:r>
      <w:r>
        <w:rPr>
          <w:color w:val="231F20"/>
        </w:rPr>
        <w:t>y</w:t>
      </w:r>
      <w:r>
        <w:rPr>
          <w:color w:val="231F20"/>
          <w:spacing w:val="-11"/>
        </w:rPr>
        <w:t> </w:t>
      </w:r>
      <w:r>
        <w:rPr>
          <w:color w:val="231F20"/>
        </w:rPr>
        <w:t>oportunida- </w:t>
      </w:r>
      <w:r>
        <w:rPr>
          <w:color w:val="231F20"/>
          <w:spacing w:val="-9"/>
        </w:rPr>
        <w:t>des”,</w:t>
      </w:r>
      <w:r>
        <w:rPr>
          <w:color w:val="231F20"/>
          <w:spacing w:val="-20"/>
        </w:rPr>
        <w:t> </w:t>
      </w:r>
      <w:r>
        <w:rPr>
          <w:rFonts w:ascii="Palatino Linotype" w:hAnsi="Palatino Linotype"/>
          <w:i/>
          <w:color w:val="231F20"/>
        </w:rPr>
        <w:t>Región</w:t>
      </w:r>
      <w:r>
        <w:rPr>
          <w:rFonts w:ascii="Palatino Linotype" w:hAnsi="Palatino Linotype"/>
          <w:i/>
          <w:color w:val="231F20"/>
          <w:spacing w:val="-20"/>
        </w:rPr>
        <w:t> </w:t>
      </w:r>
      <w:r>
        <w:rPr>
          <w:rFonts w:ascii="Palatino Linotype" w:hAnsi="Palatino Linotype"/>
          <w:i/>
          <w:color w:val="231F20"/>
        </w:rPr>
        <w:t>y</w:t>
      </w:r>
      <w:r>
        <w:rPr>
          <w:rFonts w:ascii="Palatino Linotype" w:hAnsi="Palatino Linotype"/>
          <w:i/>
          <w:color w:val="231F20"/>
          <w:spacing w:val="-20"/>
        </w:rPr>
        <w:t> </w:t>
      </w:r>
      <w:r>
        <w:rPr>
          <w:rFonts w:ascii="Palatino Linotype" w:hAnsi="Palatino Linotype"/>
          <w:i/>
          <w:color w:val="231F20"/>
        </w:rPr>
        <w:t>Sociedad</w:t>
      </w:r>
      <w:r>
        <w:rPr>
          <w:color w:val="231F20"/>
        </w:rPr>
        <w:t>,</w:t>
      </w:r>
      <w:r>
        <w:rPr>
          <w:color w:val="231F20"/>
          <w:spacing w:val="-20"/>
        </w:rPr>
        <w:t> </w:t>
      </w:r>
      <w:r>
        <w:rPr>
          <w:color w:val="231F20"/>
        </w:rPr>
        <w:t>vol.</w:t>
      </w:r>
      <w:r>
        <w:rPr>
          <w:color w:val="231F20"/>
          <w:spacing w:val="-20"/>
        </w:rPr>
        <w:t> </w:t>
      </w:r>
      <w:r>
        <w:rPr>
          <w:color w:val="231F20"/>
        </w:rPr>
        <w:t>XVI,</w:t>
      </w:r>
      <w:r>
        <w:rPr>
          <w:color w:val="231F20"/>
          <w:spacing w:val="-20"/>
        </w:rPr>
        <w:t> </w:t>
      </w:r>
      <w:r>
        <w:rPr>
          <w:color w:val="231F20"/>
        </w:rPr>
        <w:t>núm.</w:t>
      </w:r>
      <w:r>
        <w:rPr>
          <w:color w:val="231F20"/>
          <w:spacing w:val="-20"/>
        </w:rPr>
        <w:t> </w:t>
      </w:r>
      <w:r>
        <w:rPr>
          <w:color w:val="231F20"/>
        </w:rPr>
        <w:t>31,</w:t>
      </w:r>
      <w:r>
        <w:rPr>
          <w:color w:val="231F20"/>
          <w:spacing w:val="-20"/>
        </w:rPr>
        <w:t> </w:t>
      </w:r>
      <w:r>
        <w:rPr>
          <w:color w:val="231F20"/>
          <w:spacing w:val="-4"/>
        </w:rPr>
        <w:t>pp.</w:t>
      </w:r>
      <w:r>
        <w:rPr>
          <w:color w:val="231F20"/>
          <w:spacing w:val="-20"/>
        </w:rPr>
        <w:t> </w:t>
      </w:r>
      <w:r>
        <w:rPr>
          <w:color w:val="231F20"/>
        </w:rPr>
        <w:t>83-117.</w:t>
      </w:r>
    </w:p>
    <w:p>
      <w:pPr>
        <w:pStyle w:val="BodyText"/>
        <w:spacing w:before="4"/>
        <w:rPr>
          <w:sz w:val="20"/>
        </w:rPr>
      </w:pPr>
    </w:p>
    <w:p>
      <w:pPr>
        <w:pStyle w:val="BodyText"/>
        <w:spacing w:line="256" w:lineRule="auto"/>
        <w:ind w:left="104" w:right="711" w:firstLine="396"/>
        <w:jc w:val="both"/>
      </w:pPr>
      <w:r>
        <w:rPr>
          <w:color w:val="231F20"/>
        </w:rPr>
        <w:t>Leoni, Javier (2015), </w:t>
      </w:r>
      <w:r>
        <w:rPr>
          <w:rFonts w:ascii="Palatino Linotype"/>
          <w:i/>
          <w:color w:val="231F20"/>
        </w:rPr>
        <w:t>Portal Top Speed</w:t>
      </w:r>
      <w:r>
        <w:rPr>
          <w:color w:val="231F20"/>
        </w:rPr>
        <w:t>, consultado en </w:t>
      </w:r>
      <w:hyperlink r:id="rId381">
        <w:r>
          <w:rPr>
            <w:color w:val="231F20"/>
          </w:rPr>
          <w:t>http://www.topspeed.com/</w:t>
        </w:r>
      </w:hyperlink>
      <w:r>
        <w:rPr>
          <w:color w:val="231F20"/>
        </w:rPr>
        <w:t> (3 de enero de 2015).</w:t>
      </w:r>
    </w:p>
    <w:p>
      <w:pPr>
        <w:pStyle w:val="BodyText"/>
        <w:spacing w:before="11"/>
      </w:pPr>
    </w:p>
    <w:p>
      <w:pPr>
        <w:pStyle w:val="BodyText"/>
        <w:spacing w:line="266" w:lineRule="auto"/>
        <w:ind w:left="104" w:right="710" w:firstLine="396"/>
        <w:jc w:val="both"/>
      </w:pPr>
      <w:r>
        <w:rPr>
          <w:color w:val="231F20"/>
        </w:rPr>
        <w:t>Medina,</w:t>
      </w:r>
      <w:r>
        <w:rPr>
          <w:color w:val="231F20"/>
          <w:spacing w:val="-13"/>
        </w:rPr>
        <w:t> </w:t>
      </w:r>
      <w:r>
        <w:rPr>
          <w:color w:val="231F20"/>
        </w:rPr>
        <w:t>Salvador</w:t>
      </w:r>
      <w:r>
        <w:rPr>
          <w:color w:val="231F20"/>
          <w:spacing w:val="-13"/>
        </w:rPr>
        <w:t> </w:t>
      </w:r>
      <w:r>
        <w:rPr>
          <w:color w:val="231F20"/>
        </w:rPr>
        <w:t>(2013),</w:t>
      </w:r>
      <w:r>
        <w:rPr>
          <w:color w:val="231F20"/>
          <w:spacing w:val="-13"/>
        </w:rPr>
        <w:t> </w:t>
      </w:r>
      <w:r>
        <w:rPr>
          <w:color w:val="231F20"/>
        </w:rPr>
        <w:t>“La</w:t>
      </w:r>
      <w:r>
        <w:rPr>
          <w:color w:val="231F20"/>
          <w:spacing w:val="-13"/>
        </w:rPr>
        <w:t> </w:t>
      </w:r>
      <w:r>
        <w:rPr>
          <w:color w:val="231F20"/>
        </w:rPr>
        <w:t>industria</w:t>
      </w:r>
      <w:r>
        <w:rPr>
          <w:color w:val="231F20"/>
          <w:spacing w:val="-13"/>
        </w:rPr>
        <w:t> </w:t>
      </w:r>
      <w:r>
        <w:rPr>
          <w:color w:val="231F20"/>
        </w:rPr>
        <w:t>de</w:t>
      </w:r>
      <w:r>
        <w:rPr>
          <w:color w:val="231F20"/>
          <w:spacing w:val="-13"/>
        </w:rPr>
        <w:t> </w:t>
      </w:r>
      <w:r>
        <w:rPr>
          <w:color w:val="231F20"/>
          <w:spacing w:val="-5"/>
        </w:rPr>
        <w:t>autopartes”,</w:t>
      </w:r>
      <w:r>
        <w:rPr>
          <w:color w:val="231F20"/>
          <w:spacing w:val="-13"/>
        </w:rPr>
        <w:t> </w:t>
      </w:r>
      <w:r>
        <w:rPr>
          <w:rFonts w:ascii="Palatino Linotype" w:hAnsi="Palatino Linotype"/>
          <w:i/>
          <w:color w:val="231F20"/>
        </w:rPr>
        <w:t>Comercio</w:t>
      </w:r>
      <w:r>
        <w:rPr>
          <w:rFonts w:ascii="Palatino Linotype" w:hAnsi="Palatino Linotype"/>
          <w:i/>
          <w:color w:val="231F20"/>
          <w:spacing w:val="-12"/>
        </w:rPr>
        <w:t> </w:t>
      </w:r>
      <w:r>
        <w:rPr>
          <w:rFonts w:ascii="Palatino Linotype" w:hAnsi="Palatino Linotype"/>
          <w:i/>
          <w:color w:val="231F20"/>
        </w:rPr>
        <w:t>Exterior</w:t>
      </w:r>
      <w:r>
        <w:rPr>
          <w:color w:val="231F20"/>
        </w:rPr>
        <w:t>,</w:t>
      </w:r>
      <w:r>
        <w:rPr>
          <w:color w:val="231F20"/>
          <w:spacing w:val="-13"/>
        </w:rPr>
        <w:t> </w:t>
      </w:r>
      <w:r>
        <w:rPr>
          <w:color w:val="231F20"/>
        </w:rPr>
        <w:t>vol.</w:t>
      </w:r>
      <w:r>
        <w:rPr>
          <w:color w:val="231F20"/>
          <w:spacing w:val="-13"/>
        </w:rPr>
        <w:t> </w:t>
      </w:r>
      <w:r>
        <w:rPr>
          <w:color w:val="231F20"/>
        </w:rPr>
        <w:t>63, núm. 3, mayo y junio, </w:t>
      </w:r>
      <w:r>
        <w:rPr>
          <w:color w:val="231F20"/>
          <w:spacing w:val="-4"/>
        </w:rPr>
        <w:t>pp. </w:t>
      </w:r>
      <w:r>
        <w:rPr>
          <w:color w:val="231F20"/>
        </w:rPr>
        <w:t>2-5, consultado en </w:t>
      </w:r>
      <w:hyperlink r:id="rId382">
        <w:r>
          <w:rPr>
            <w:color w:val="231F20"/>
          </w:rPr>
          <w:t>http://revistas.bancomext.gob.mx/rce/</w:t>
        </w:r>
      </w:hyperlink>
      <w:r>
        <w:rPr>
          <w:color w:val="231F20"/>
        </w:rPr>
        <w:t> magazines/154/2/autopartes.pdf (24 de julio de</w:t>
      </w:r>
      <w:r>
        <w:rPr>
          <w:color w:val="231F20"/>
          <w:spacing w:val="-36"/>
        </w:rPr>
        <w:t> </w:t>
      </w:r>
      <w:r>
        <w:rPr>
          <w:color w:val="231F20"/>
        </w:rPr>
        <w:t>2014).</w:t>
      </w:r>
    </w:p>
    <w:p>
      <w:pPr>
        <w:spacing w:after="0" w:line="266" w:lineRule="auto"/>
        <w:jc w:val="both"/>
        <w:sectPr>
          <w:pgSz w:w="9640" w:h="13040"/>
          <w:pgMar w:header="580" w:footer="654" w:top="780" w:bottom="840" w:left="1200" w:right="420"/>
        </w:sectPr>
      </w:pPr>
    </w:p>
    <w:p>
      <w:pPr>
        <w:pStyle w:val="BodyText"/>
        <w:rPr>
          <w:sz w:val="20"/>
        </w:rPr>
      </w:pPr>
    </w:p>
    <w:p>
      <w:pPr>
        <w:pStyle w:val="BodyText"/>
        <w:spacing w:before="6"/>
      </w:pPr>
    </w:p>
    <w:p>
      <w:pPr>
        <w:pStyle w:val="BodyText"/>
        <w:spacing w:line="256" w:lineRule="auto" w:before="58"/>
        <w:ind w:left="713" w:right="101" w:firstLine="396"/>
        <w:jc w:val="both"/>
      </w:pPr>
      <w:r>
        <w:rPr>
          <w:color w:val="231F20"/>
          <w:spacing w:val="-3"/>
        </w:rPr>
        <w:t>Moreno </w:t>
      </w:r>
      <w:r>
        <w:rPr>
          <w:color w:val="231F20"/>
        </w:rPr>
        <w:t>Brid, </w:t>
      </w:r>
      <w:r>
        <w:rPr>
          <w:color w:val="231F20"/>
          <w:spacing w:val="-3"/>
        </w:rPr>
        <w:t>Juan </w:t>
      </w:r>
      <w:r>
        <w:rPr>
          <w:color w:val="231F20"/>
        </w:rPr>
        <w:t>Carlos (1996), </w:t>
      </w:r>
      <w:r>
        <w:rPr>
          <w:color w:val="231F20"/>
          <w:spacing w:val="-6"/>
        </w:rPr>
        <w:t>“México’s </w:t>
      </w:r>
      <w:r>
        <w:rPr>
          <w:color w:val="231F20"/>
          <w:spacing w:val="-4"/>
        </w:rPr>
        <w:t>Auto </w:t>
      </w:r>
      <w:r>
        <w:rPr>
          <w:color w:val="231F20"/>
        </w:rPr>
        <w:t>Industry after </w:t>
      </w:r>
      <w:r>
        <w:rPr>
          <w:color w:val="231F20"/>
          <w:spacing w:val="-4"/>
        </w:rPr>
        <w:t>NAFTA: </w:t>
      </w:r>
      <w:r>
        <w:rPr>
          <w:color w:val="231F20"/>
        </w:rPr>
        <w:t>A Suc- cessful Experience in </w:t>
      </w:r>
      <w:r>
        <w:rPr>
          <w:color w:val="231F20"/>
          <w:spacing w:val="-3"/>
        </w:rPr>
        <w:t>Restructuring?”, </w:t>
      </w:r>
      <w:r>
        <w:rPr>
          <w:rFonts w:ascii="Palatino Linotype" w:hAnsi="Palatino Linotype"/>
          <w:i/>
          <w:color w:val="231F20"/>
          <w:spacing w:val="-5"/>
        </w:rPr>
        <w:t>Working </w:t>
      </w:r>
      <w:r>
        <w:rPr>
          <w:rFonts w:ascii="Palatino Linotype" w:hAnsi="Palatino Linotype"/>
          <w:i/>
          <w:color w:val="231F20"/>
        </w:rPr>
        <w:t>Paper</w:t>
      </w:r>
      <w:r>
        <w:rPr>
          <w:color w:val="231F20"/>
        </w:rPr>
        <w:t>, núm. 232, The Helen Kellogg Institute International Studies, University of </w:t>
      </w:r>
      <w:r>
        <w:rPr>
          <w:color w:val="231F20"/>
          <w:spacing w:val="-3"/>
        </w:rPr>
        <w:t>Notre </w:t>
      </w:r>
      <w:r>
        <w:rPr>
          <w:color w:val="231F20"/>
        </w:rPr>
        <w:t>Dame, </w:t>
      </w:r>
      <w:r>
        <w:rPr>
          <w:color w:val="231F20"/>
          <w:spacing w:val="-3"/>
        </w:rPr>
        <w:t>Notre </w:t>
      </w:r>
      <w:r>
        <w:rPr>
          <w:color w:val="231F20"/>
        </w:rPr>
        <w:t>Dame, Indiana.</w:t>
      </w:r>
    </w:p>
    <w:p>
      <w:pPr>
        <w:pStyle w:val="BodyText"/>
        <w:spacing w:before="1"/>
        <w:rPr>
          <w:sz w:val="24"/>
        </w:rPr>
      </w:pPr>
    </w:p>
    <w:p>
      <w:pPr>
        <w:pStyle w:val="BodyText"/>
        <w:spacing w:line="256" w:lineRule="auto"/>
        <w:ind w:left="713" w:right="101" w:firstLine="396"/>
        <w:jc w:val="both"/>
      </w:pPr>
      <w:r>
        <w:rPr>
          <w:color w:val="231F20"/>
        </w:rPr>
        <w:t>Mortimore, Michael y Faustino Barron (2005), “Informe sobre la industria auto- motriz mexicana”, </w:t>
      </w:r>
      <w:r>
        <w:rPr>
          <w:rFonts w:ascii="Palatino Linotype" w:hAnsi="Palatino Linotype"/>
          <w:i/>
          <w:color w:val="231F20"/>
        </w:rPr>
        <w:t>Serie Desarrollo Productivo</w:t>
      </w:r>
      <w:r>
        <w:rPr>
          <w:color w:val="231F20"/>
        </w:rPr>
        <w:t>, núm. 162, Comisión Económica para América Latina y el Caribe, Naciones Unidas, Santiago de Chile.</w:t>
      </w:r>
    </w:p>
    <w:p>
      <w:pPr>
        <w:pStyle w:val="BodyText"/>
        <w:spacing w:before="11"/>
      </w:pPr>
    </w:p>
    <w:p>
      <w:pPr>
        <w:spacing w:line="256" w:lineRule="auto" w:before="0"/>
        <w:ind w:left="713" w:right="104" w:firstLine="396"/>
        <w:jc w:val="both"/>
        <w:rPr>
          <w:sz w:val="21"/>
        </w:rPr>
      </w:pPr>
      <w:r>
        <w:rPr>
          <w:color w:val="231F20"/>
          <w:spacing w:val="-4"/>
          <w:sz w:val="21"/>
        </w:rPr>
        <w:t>Nissan</w:t>
      </w:r>
      <w:r>
        <w:rPr>
          <w:color w:val="231F20"/>
          <w:spacing w:val="-9"/>
          <w:sz w:val="21"/>
        </w:rPr>
        <w:t> </w:t>
      </w:r>
      <w:r>
        <w:rPr>
          <w:color w:val="231F20"/>
          <w:spacing w:val="-3"/>
          <w:sz w:val="21"/>
        </w:rPr>
        <w:t>(2014),</w:t>
      </w:r>
      <w:r>
        <w:rPr>
          <w:color w:val="231F20"/>
          <w:spacing w:val="-9"/>
          <w:sz w:val="21"/>
        </w:rPr>
        <w:t> </w:t>
      </w:r>
      <w:r>
        <w:rPr>
          <w:rFonts w:ascii="Palatino Linotype" w:hAnsi="Palatino Linotype"/>
          <w:i/>
          <w:color w:val="231F20"/>
          <w:spacing w:val="-5"/>
          <w:sz w:val="21"/>
        </w:rPr>
        <w:t>Instalaciones</w:t>
      </w:r>
      <w:r>
        <w:rPr>
          <w:rFonts w:ascii="Palatino Linotype" w:hAnsi="Palatino Linotype"/>
          <w:i/>
          <w:color w:val="231F20"/>
          <w:spacing w:val="-9"/>
          <w:sz w:val="21"/>
        </w:rPr>
        <w:t> </w:t>
      </w:r>
      <w:r>
        <w:rPr>
          <w:rFonts w:ascii="Palatino Linotype" w:hAnsi="Palatino Linotype"/>
          <w:i/>
          <w:color w:val="231F20"/>
          <w:sz w:val="21"/>
        </w:rPr>
        <w:t>de</w:t>
      </w:r>
      <w:r>
        <w:rPr>
          <w:rFonts w:ascii="Palatino Linotype" w:hAnsi="Palatino Linotype"/>
          <w:i/>
          <w:color w:val="231F20"/>
          <w:spacing w:val="-9"/>
          <w:sz w:val="21"/>
        </w:rPr>
        <w:t> </w:t>
      </w:r>
      <w:r>
        <w:rPr>
          <w:rFonts w:ascii="Palatino Linotype" w:hAnsi="Palatino Linotype"/>
          <w:i/>
          <w:color w:val="231F20"/>
          <w:spacing w:val="-5"/>
          <w:sz w:val="21"/>
        </w:rPr>
        <w:t>Nissan</w:t>
      </w:r>
      <w:r>
        <w:rPr>
          <w:rFonts w:ascii="Palatino Linotype" w:hAnsi="Palatino Linotype"/>
          <w:i/>
          <w:color w:val="231F20"/>
          <w:spacing w:val="-9"/>
          <w:sz w:val="21"/>
        </w:rPr>
        <w:t> </w:t>
      </w:r>
      <w:r>
        <w:rPr>
          <w:rFonts w:ascii="Palatino Linotype" w:hAnsi="Palatino Linotype"/>
          <w:i/>
          <w:color w:val="231F20"/>
          <w:sz w:val="21"/>
        </w:rPr>
        <w:t>en</w:t>
      </w:r>
      <w:r>
        <w:rPr>
          <w:rFonts w:ascii="Palatino Linotype" w:hAnsi="Palatino Linotype"/>
          <w:i/>
          <w:color w:val="231F20"/>
          <w:spacing w:val="-9"/>
          <w:sz w:val="21"/>
        </w:rPr>
        <w:t> </w:t>
      </w:r>
      <w:r>
        <w:rPr>
          <w:rFonts w:ascii="Palatino Linotype" w:hAnsi="Palatino Linotype"/>
          <w:i/>
          <w:color w:val="231F20"/>
          <w:spacing w:val="-4"/>
          <w:sz w:val="21"/>
        </w:rPr>
        <w:t>México</w:t>
      </w:r>
      <w:r>
        <w:rPr>
          <w:color w:val="231F20"/>
          <w:spacing w:val="-4"/>
          <w:sz w:val="21"/>
        </w:rPr>
        <w:t>,</w:t>
      </w:r>
      <w:r>
        <w:rPr>
          <w:color w:val="231F20"/>
          <w:spacing w:val="-9"/>
          <w:sz w:val="21"/>
        </w:rPr>
        <w:t> </w:t>
      </w:r>
      <w:r>
        <w:rPr>
          <w:color w:val="231F20"/>
          <w:spacing w:val="-3"/>
          <w:sz w:val="21"/>
        </w:rPr>
        <w:t>consultado</w:t>
      </w:r>
      <w:r>
        <w:rPr>
          <w:color w:val="231F20"/>
          <w:spacing w:val="-9"/>
          <w:sz w:val="21"/>
        </w:rPr>
        <w:t> </w:t>
      </w:r>
      <w:r>
        <w:rPr>
          <w:color w:val="231F20"/>
          <w:sz w:val="21"/>
        </w:rPr>
        <w:t>en</w:t>
      </w:r>
      <w:r>
        <w:rPr>
          <w:color w:val="231F20"/>
          <w:spacing w:val="-9"/>
          <w:sz w:val="21"/>
        </w:rPr>
        <w:t> </w:t>
      </w:r>
      <w:r>
        <w:rPr>
          <w:color w:val="231F20"/>
          <w:spacing w:val="-4"/>
          <w:sz w:val="21"/>
        </w:rPr>
        <w:t>http://www.nissan. </w:t>
      </w:r>
      <w:r>
        <w:rPr>
          <w:color w:val="231F20"/>
          <w:spacing w:val="-3"/>
          <w:sz w:val="21"/>
        </w:rPr>
        <w:t>com.mx</w:t>
      </w:r>
      <w:r>
        <w:rPr>
          <w:color w:val="231F20"/>
          <w:spacing w:val="-12"/>
          <w:sz w:val="21"/>
        </w:rPr>
        <w:t> </w:t>
      </w:r>
      <w:r>
        <w:rPr>
          <w:color w:val="231F20"/>
          <w:sz w:val="21"/>
        </w:rPr>
        <w:t>(5</w:t>
      </w:r>
      <w:r>
        <w:rPr>
          <w:color w:val="231F20"/>
          <w:spacing w:val="-12"/>
          <w:sz w:val="21"/>
        </w:rPr>
        <w:t> </w:t>
      </w:r>
      <w:r>
        <w:rPr>
          <w:color w:val="231F20"/>
          <w:sz w:val="21"/>
        </w:rPr>
        <w:t>de</w:t>
      </w:r>
      <w:r>
        <w:rPr>
          <w:color w:val="231F20"/>
          <w:spacing w:val="-12"/>
          <w:sz w:val="21"/>
        </w:rPr>
        <w:t> </w:t>
      </w:r>
      <w:r>
        <w:rPr>
          <w:color w:val="231F20"/>
          <w:spacing w:val="-4"/>
          <w:sz w:val="21"/>
        </w:rPr>
        <w:t>diciembre</w:t>
      </w:r>
      <w:r>
        <w:rPr>
          <w:color w:val="231F20"/>
          <w:spacing w:val="-12"/>
          <w:sz w:val="21"/>
        </w:rPr>
        <w:t> </w:t>
      </w:r>
      <w:r>
        <w:rPr>
          <w:color w:val="231F20"/>
          <w:sz w:val="21"/>
        </w:rPr>
        <w:t>de</w:t>
      </w:r>
      <w:r>
        <w:rPr>
          <w:color w:val="231F20"/>
          <w:spacing w:val="-12"/>
          <w:sz w:val="21"/>
        </w:rPr>
        <w:t> </w:t>
      </w:r>
      <w:r>
        <w:rPr>
          <w:color w:val="231F20"/>
          <w:spacing w:val="-3"/>
          <w:sz w:val="21"/>
        </w:rPr>
        <w:t>2014).</w:t>
      </w:r>
    </w:p>
    <w:p>
      <w:pPr>
        <w:pStyle w:val="BodyText"/>
        <w:spacing w:before="7"/>
      </w:pPr>
    </w:p>
    <w:p>
      <w:pPr>
        <w:spacing w:line="280" w:lineRule="exact" w:before="1"/>
        <w:ind w:left="713" w:right="101" w:firstLine="396"/>
        <w:jc w:val="both"/>
        <w:rPr>
          <w:sz w:val="21"/>
        </w:rPr>
      </w:pPr>
      <w:r>
        <w:rPr>
          <w:color w:val="231F20"/>
          <w:sz w:val="21"/>
        </w:rPr>
        <w:t>OICA (2014), “Estadísticas”, </w:t>
      </w:r>
      <w:r>
        <w:rPr>
          <w:rFonts w:ascii="Palatino Linotype" w:hAnsi="Palatino Linotype"/>
          <w:i/>
          <w:color w:val="231F20"/>
          <w:sz w:val="21"/>
        </w:rPr>
        <w:t>The International Organization of Motor Vehicle </w:t>
      </w:r>
      <w:r>
        <w:rPr>
          <w:rFonts w:ascii="Palatino Linotype" w:hAnsi="Palatino Linotype"/>
          <w:i/>
          <w:color w:val="231F20"/>
          <w:sz w:val="21"/>
        </w:rPr>
        <w:t>Manufacturers</w:t>
      </w:r>
      <w:r>
        <w:rPr>
          <w:color w:val="231F20"/>
          <w:sz w:val="21"/>
        </w:rPr>
        <w:t>, consultado en </w:t>
      </w:r>
      <w:hyperlink r:id="rId385">
        <w:r>
          <w:rPr>
            <w:color w:val="231F20"/>
            <w:sz w:val="21"/>
          </w:rPr>
          <w:t>http://www.oica.net/</w:t>
        </w:r>
      </w:hyperlink>
      <w:r>
        <w:rPr>
          <w:color w:val="231F20"/>
          <w:sz w:val="21"/>
        </w:rPr>
        <w:t> (26 de julio de 2014).</w:t>
      </w:r>
    </w:p>
    <w:p>
      <w:pPr>
        <w:pStyle w:val="BodyText"/>
        <w:spacing w:before="6"/>
        <w:rPr>
          <w:sz w:val="19"/>
        </w:rPr>
      </w:pPr>
    </w:p>
    <w:p>
      <w:pPr>
        <w:tabs>
          <w:tab w:pos="1620" w:val="left" w:leader="none"/>
        </w:tabs>
        <w:spacing w:line="280" w:lineRule="exact" w:before="31"/>
        <w:ind w:left="713" w:right="102" w:firstLine="396"/>
        <w:jc w:val="left"/>
        <w:rPr>
          <w:sz w:val="21"/>
        </w:rPr>
      </w:pPr>
      <w:r>
        <w:rPr>
          <w:color w:val="231F20"/>
          <w:w w:val="90"/>
          <w:sz w:val="21"/>
          <w:u w:val="single" w:color="231F20"/>
        </w:rPr>
        <w:t> </w:t>
      </w:r>
      <w:r>
        <w:rPr>
          <w:color w:val="231F20"/>
          <w:sz w:val="21"/>
          <w:u w:val="single" w:color="231F20"/>
        </w:rPr>
        <w:tab/>
      </w:r>
      <w:r>
        <w:rPr>
          <w:color w:val="231F20"/>
          <w:sz w:val="21"/>
        </w:rPr>
        <w:t> </w:t>
      </w:r>
      <w:r>
        <w:rPr>
          <w:color w:val="231F20"/>
          <w:spacing w:val="-16"/>
          <w:sz w:val="21"/>
        </w:rPr>
        <w:t> </w:t>
      </w:r>
      <w:r>
        <w:rPr>
          <w:color w:val="231F20"/>
          <w:sz w:val="21"/>
        </w:rPr>
        <w:t>(2012), “Estadísticas”, </w:t>
      </w:r>
      <w:r>
        <w:rPr>
          <w:rFonts w:ascii="Palatino Linotype" w:hAnsi="Palatino Linotype"/>
          <w:i/>
          <w:color w:val="231F20"/>
          <w:sz w:val="21"/>
        </w:rPr>
        <w:t>The International Organization of </w:t>
      </w:r>
      <w:r>
        <w:rPr>
          <w:rFonts w:ascii="Palatino Linotype" w:hAnsi="Palatino Linotype"/>
          <w:i/>
          <w:color w:val="231F20"/>
          <w:spacing w:val="44"/>
          <w:sz w:val="21"/>
        </w:rPr>
        <w:t> </w:t>
      </w:r>
      <w:r>
        <w:rPr>
          <w:rFonts w:ascii="Palatino Linotype" w:hAnsi="Palatino Linotype"/>
          <w:i/>
          <w:color w:val="231F20"/>
          <w:sz w:val="21"/>
        </w:rPr>
        <w:t>Motor</w:t>
      </w:r>
      <w:r>
        <w:rPr>
          <w:rFonts w:ascii="Palatino Linotype" w:hAnsi="Palatino Linotype"/>
          <w:i/>
          <w:color w:val="231F20"/>
          <w:spacing w:val="16"/>
          <w:sz w:val="21"/>
        </w:rPr>
        <w:t> </w:t>
      </w:r>
      <w:r>
        <w:rPr>
          <w:rFonts w:ascii="Palatino Linotype" w:hAnsi="Palatino Linotype"/>
          <w:i/>
          <w:color w:val="231F20"/>
          <w:spacing w:val="-3"/>
          <w:sz w:val="21"/>
        </w:rPr>
        <w:t>Vehicle</w:t>
      </w:r>
      <w:r>
        <w:rPr>
          <w:rFonts w:ascii="Palatino Linotype" w:hAnsi="Palatino Linotype"/>
          <w:i/>
          <w:color w:val="231F20"/>
          <w:w w:val="102"/>
          <w:sz w:val="21"/>
        </w:rPr>
        <w:t> </w:t>
      </w:r>
      <w:r>
        <w:rPr>
          <w:rFonts w:ascii="Palatino Linotype" w:hAnsi="Palatino Linotype"/>
          <w:i/>
          <w:color w:val="231F20"/>
          <w:sz w:val="21"/>
        </w:rPr>
        <w:t>Manufacturers</w:t>
      </w:r>
      <w:r>
        <w:rPr>
          <w:color w:val="231F20"/>
          <w:sz w:val="21"/>
        </w:rPr>
        <w:t>, consultado en </w:t>
      </w:r>
      <w:hyperlink r:id="rId385">
        <w:r>
          <w:rPr>
            <w:color w:val="231F20"/>
            <w:sz w:val="21"/>
          </w:rPr>
          <w:t>http://www.oica.net/</w:t>
        </w:r>
      </w:hyperlink>
      <w:r>
        <w:rPr>
          <w:color w:val="231F20"/>
          <w:sz w:val="21"/>
        </w:rPr>
        <w:t> (28 de marzo de</w:t>
      </w:r>
      <w:r>
        <w:rPr>
          <w:color w:val="231F20"/>
          <w:spacing w:val="16"/>
          <w:sz w:val="21"/>
        </w:rPr>
        <w:t> </w:t>
      </w:r>
      <w:r>
        <w:rPr>
          <w:color w:val="231F20"/>
          <w:spacing w:val="2"/>
          <w:sz w:val="21"/>
        </w:rPr>
        <w:t>2012).</w:t>
      </w:r>
    </w:p>
    <w:p>
      <w:pPr>
        <w:pStyle w:val="BodyText"/>
        <w:spacing w:before="6"/>
        <w:rPr>
          <w:sz w:val="19"/>
        </w:rPr>
      </w:pPr>
    </w:p>
    <w:p>
      <w:pPr>
        <w:tabs>
          <w:tab w:pos="1620" w:val="left" w:leader="none"/>
        </w:tabs>
        <w:spacing w:line="280" w:lineRule="exact" w:before="30"/>
        <w:ind w:left="713" w:right="102" w:firstLine="396"/>
        <w:jc w:val="left"/>
        <w:rPr>
          <w:sz w:val="21"/>
        </w:rPr>
      </w:pPr>
      <w:r>
        <w:rPr>
          <w:color w:val="231F20"/>
          <w:w w:val="90"/>
          <w:sz w:val="21"/>
          <w:u w:val="single" w:color="231F20"/>
        </w:rPr>
        <w:t> </w:t>
      </w:r>
      <w:r>
        <w:rPr>
          <w:color w:val="231F20"/>
          <w:sz w:val="21"/>
          <w:u w:val="single" w:color="231F20"/>
        </w:rPr>
        <w:tab/>
      </w:r>
      <w:r>
        <w:rPr>
          <w:color w:val="231F20"/>
          <w:sz w:val="21"/>
        </w:rPr>
        <w:t> </w:t>
      </w:r>
      <w:r>
        <w:rPr>
          <w:color w:val="231F20"/>
          <w:spacing w:val="-16"/>
          <w:sz w:val="21"/>
        </w:rPr>
        <w:t> </w:t>
      </w:r>
      <w:r>
        <w:rPr>
          <w:color w:val="231F20"/>
          <w:sz w:val="21"/>
        </w:rPr>
        <w:t>(2010), “Estadísticas”, </w:t>
      </w:r>
      <w:r>
        <w:rPr>
          <w:rFonts w:ascii="Palatino Linotype" w:hAnsi="Palatino Linotype"/>
          <w:i/>
          <w:color w:val="231F20"/>
          <w:sz w:val="21"/>
        </w:rPr>
        <w:t>The International Organization of </w:t>
      </w:r>
      <w:r>
        <w:rPr>
          <w:rFonts w:ascii="Palatino Linotype" w:hAnsi="Palatino Linotype"/>
          <w:i/>
          <w:color w:val="231F20"/>
          <w:spacing w:val="44"/>
          <w:sz w:val="21"/>
        </w:rPr>
        <w:t> </w:t>
      </w:r>
      <w:r>
        <w:rPr>
          <w:rFonts w:ascii="Palatino Linotype" w:hAnsi="Palatino Linotype"/>
          <w:i/>
          <w:color w:val="231F20"/>
          <w:sz w:val="21"/>
        </w:rPr>
        <w:t>Motor</w:t>
      </w:r>
      <w:r>
        <w:rPr>
          <w:rFonts w:ascii="Palatino Linotype" w:hAnsi="Palatino Linotype"/>
          <w:i/>
          <w:color w:val="231F20"/>
          <w:spacing w:val="16"/>
          <w:sz w:val="21"/>
        </w:rPr>
        <w:t> </w:t>
      </w:r>
      <w:r>
        <w:rPr>
          <w:rFonts w:ascii="Palatino Linotype" w:hAnsi="Palatino Linotype"/>
          <w:i/>
          <w:color w:val="231F20"/>
          <w:spacing w:val="-3"/>
          <w:sz w:val="21"/>
        </w:rPr>
        <w:t>Vehicle</w:t>
      </w:r>
      <w:r>
        <w:rPr>
          <w:rFonts w:ascii="Palatino Linotype" w:hAnsi="Palatino Linotype"/>
          <w:i/>
          <w:color w:val="231F20"/>
          <w:w w:val="102"/>
          <w:sz w:val="21"/>
        </w:rPr>
        <w:t> </w:t>
      </w:r>
      <w:r>
        <w:rPr>
          <w:rFonts w:ascii="Palatino Linotype" w:hAnsi="Palatino Linotype"/>
          <w:i/>
          <w:color w:val="231F20"/>
          <w:sz w:val="21"/>
        </w:rPr>
        <w:t>Manufacturers</w:t>
      </w:r>
      <w:r>
        <w:rPr>
          <w:color w:val="231F20"/>
          <w:sz w:val="21"/>
        </w:rPr>
        <w:t>, consultado en </w:t>
      </w:r>
      <w:hyperlink r:id="rId385">
        <w:r>
          <w:rPr>
            <w:color w:val="231F20"/>
            <w:sz w:val="21"/>
          </w:rPr>
          <w:t>http://www.oica.net/</w:t>
        </w:r>
      </w:hyperlink>
      <w:r>
        <w:rPr>
          <w:color w:val="231F20"/>
          <w:sz w:val="21"/>
        </w:rPr>
        <w:t> (30 de julio de</w:t>
      </w:r>
      <w:r>
        <w:rPr>
          <w:color w:val="231F20"/>
          <w:spacing w:val="2"/>
          <w:sz w:val="21"/>
        </w:rPr>
        <w:t> 2011).</w:t>
      </w:r>
    </w:p>
    <w:p>
      <w:pPr>
        <w:pStyle w:val="BodyText"/>
        <w:spacing w:before="6"/>
        <w:rPr>
          <w:sz w:val="19"/>
        </w:rPr>
      </w:pPr>
    </w:p>
    <w:p>
      <w:pPr>
        <w:spacing w:line="280" w:lineRule="exact" w:before="30"/>
        <w:ind w:left="713" w:right="102" w:firstLine="396"/>
        <w:jc w:val="both"/>
        <w:rPr>
          <w:sz w:val="21"/>
        </w:rPr>
      </w:pPr>
      <w:r>
        <w:rPr>
          <w:color w:val="231F20"/>
          <w:w w:val="90"/>
          <w:sz w:val="21"/>
          <w:u w:val="single" w:color="231F20"/>
        </w:rPr>
        <w:t> </w:t>
      </w:r>
      <w:r>
        <w:rPr>
          <w:color w:val="231F20"/>
          <w:sz w:val="21"/>
          <w:u w:val="single" w:color="231F20"/>
        </w:rPr>
        <w:t>         </w:t>
      </w:r>
      <w:r>
        <w:rPr>
          <w:color w:val="231F20"/>
          <w:sz w:val="21"/>
        </w:rPr>
        <w:t>  (2009), “Estadísticas”, </w:t>
      </w:r>
      <w:r>
        <w:rPr>
          <w:rFonts w:ascii="Palatino Linotype" w:hAnsi="Palatino Linotype"/>
          <w:i/>
          <w:color w:val="231F20"/>
          <w:sz w:val="21"/>
        </w:rPr>
        <w:t>The International Organization of Motor Vehicle </w:t>
      </w:r>
      <w:r>
        <w:rPr>
          <w:rFonts w:ascii="Palatino Linotype" w:hAnsi="Palatino Linotype"/>
          <w:i/>
          <w:color w:val="231F20"/>
          <w:sz w:val="21"/>
        </w:rPr>
        <w:t>Manufacturers</w:t>
      </w:r>
      <w:r>
        <w:rPr>
          <w:color w:val="231F20"/>
          <w:sz w:val="21"/>
        </w:rPr>
        <w:t>, consultado en </w:t>
      </w:r>
      <w:hyperlink r:id="rId385">
        <w:r>
          <w:rPr>
            <w:color w:val="231F20"/>
            <w:sz w:val="21"/>
          </w:rPr>
          <w:t>http://www.oica.net/</w:t>
        </w:r>
      </w:hyperlink>
      <w:r>
        <w:rPr>
          <w:color w:val="231F20"/>
          <w:sz w:val="21"/>
        </w:rPr>
        <w:t> (24 de agosto de 2010).</w:t>
      </w:r>
    </w:p>
    <w:p>
      <w:pPr>
        <w:pStyle w:val="BodyText"/>
        <w:spacing w:before="7"/>
        <w:rPr>
          <w:sz w:val="24"/>
        </w:rPr>
      </w:pPr>
    </w:p>
    <w:p>
      <w:pPr>
        <w:pStyle w:val="BodyText"/>
        <w:spacing w:line="278" w:lineRule="auto"/>
        <w:ind w:left="713" w:right="101" w:firstLine="396"/>
        <w:jc w:val="both"/>
      </w:pPr>
      <w:r>
        <w:rPr>
          <w:color w:val="231F20"/>
        </w:rPr>
        <w:t>Palafox, C. (2006), “Modelos de producción en la industria automotriz del for- dismo al modularismo. El caso Ford Hermosillo”, Universidad de Sonora, México.</w:t>
      </w:r>
    </w:p>
    <w:p>
      <w:pPr>
        <w:pStyle w:val="BodyText"/>
        <w:spacing w:before="9"/>
        <w:rPr>
          <w:sz w:val="19"/>
        </w:rPr>
      </w:pPr>
    </w:p>
    <w:p>
      <w:pPr>
        <w:spacing w:line="280" w:lineRule="exact" w:before="1"/>
        <w:ind w:left="713" w:right="103" w:firstLine="396"/>
        <w:jc w:val="both"/>
        <w:rPr>
          <w:sz w:val="21"/>
        </w:rPr>
      </w:pPr>
      <w:r>
        <w:rPr>
          <w:color w:val="231F20"/>
          <w:sz w:val="21"/>
        </w:rPr>
        <w:t>Pine,</w:t>
      </w:r>
      <w:r>
        <w:rPr>
          <w:color w:val="231F20"/>
          <w:spacing w:val="-24"/>
          <w:sz w:val="21"/>
        </w:rPr>
        <w:t> </w:t>
      </w:r>
      <w:r>
        <w:rPr>
          <w:color w:val="231F20"/>
          <w:sz w:val="21"/>
        </w:rPr>
        <w:t>B.</w:t>
      </w:r>
      <w:r>
        <w:rPr>
          <w:color w:val="231F20"/>
          <w:spacing w:val="-24"/>
          <w:sz w:val="21"/>
        </w:rPr>
        <w:t> </w:t>
      </w:r>
      <w:r>
        <w:rPr>
          <w:color w:val="231F20"/>
          <w:sz w:val="21"/>
        </w:rPr>
        <w:t>Joseph</w:t>
      </w:r>
      <w:r>
        <w:rPr>
          <w:color w:val="231F20"/>
          <w:spacing w:val="-24"/>
          <w:sz w:val="21"/>
        </w:rPr>
        <w:t> </w:t>
      </w:r>
      <w:r>
        <w:rPr>
          <w:color w:val="231F20"/>
          <w:sz w:val="21"/>
        </w:rPr>
        <w:t>II</w:t>
      </w:r>
      <w:r>
        <w:rPr>
          <w:color w:val="231F20"/>
          <w:spacing w:val="-24"/>
          <w:sz w:val="21"/>
        </w:rPr>
        <w:t> </w:t>
      </w:r>
      <w:r>
        <w:rPr>
          <w:color w:val="231F20"/>
          <w:sz w:val="21"/>
        </w:rPr>
        <w:t>(2006),</w:t>
      </w:r>
      <w:r>
        <w:rPr>
          <w:color w:val="231F20"/>
          <w:spacing w:val="-24"/>
          <w:sz w:val="21"/>
        </w:rPr>
        <w:t> </w:t>
      </w:r>
      <w:r>
        <w:rPr>
          <w:rFonts w:ascii="Palatino Linotype"/>
          <w:i/>
          <w:color w:val="231F20"/>
          <w:sz w:val="21"/>
        </w:rPr>
        <w:t>Mass</w:t>
      </w:r>
      <w:r>
        <w:rPr>
          <w:rFonts w:ascii="Palatino Linotype"/>
          <w:i/>
          <w:color w:val="231F20"/>
          <w:spacing w:val="-24"/>
          <w:sz w:val="21"/>
        </w:rPr>
        <w:t> </w:t>
      </w:r>
      <w:r>
        <w:rPr>
          <w:rFonts w:ascii="Palatino Linotype"/>
          <w:i/>
          <w:color w:val="231F20"/>
          <w:sz w:val="21"/>
        </w:rPr>
        <w:t>Customization,</w:t>
      </w:r>
      <w:r>
        <w:rPr>
          <w:rFonts w:ascii="Palatino Linotype"/>
          <w:i/>
          <w:color w:val="231F20"/>
          <w:spacing w:val="-24"/>
          <w:sz w:val="21"/>
        </w:rPr>
        <w:t> </w:t>
      </w:r>
      <w:r>
        <w:rPr>
          <w:rFonts w:ascii="Palatino Linotype"/>
          <w:i/>
          <w:color w:val="231F20"/>
          <w:sz w:val="21"/>
        </w:rPr>
        <w:t>the</w:t>
      </w:r>
      <w:r>
        <w:rPr>
          <w:rFonts w:ascii="Palatino Linotype"/>
          <w:i/>
          <w:color w:val="231F20"/>
          <w:spacing w:val="-24"/>
          <w:sz w:val="21"/>
        </w:rPr>
        <w:t> </w:t>
      </w:r>
      <w:r>
        <w:rPr>
          <w:rFonts w:ascii="Palatino Linotype"/>
          <w:i/>
          <w:color w:val="231F20"/>
          <w:sz w:val="21"/>
        </w:rPr>
        <w:t>New</w:t>
      </w:r>
      <w:r>
        <w:rPr>
          <w:rFonts w:ascii="Palatino Linotype"/>
          <w:i/>
          <w:color w:val="231F20"/>
          <w:spacing w:val="-24"/>
          <w:sz w:val="21"/>
        </w:rPr>
        <w:t> </w:t>
      </w:r>
      <w:r>
        <w:rPr>
          <w:rFonts w:ascii="Palatino Linotype"/>
          <w:i/>
          <w:color w:val="231F20"/>
          <w:sz w:val="21"/>
        </w:rPr>
        <w:t>Frontier</w:t>
      </w:r>
      <w:r>
        <w:rPr>
          <w:rFonts w:ascii="Palatino Linotype"/>
          <w:i/>
          <w:color w:val="231F20"/>
          <w:spacing w:val="-24"/>
          <w:sz w:val="21"/>
        </w:rPr>
        <w:t> </w:t>
      </w:r>
      <w:r>
        <w:rPr>
          <w:rFonts w:ascii="Palatino Linotype"/>
          <w:i/>
          <w:color w:val="231F20"/>
          <w:sz w:val="21"/>
        </w:rPr>
        <w:t>in</w:t>
      </w:r>
      <w:r>
        <w:rPr>
          <w:rFonts w:ascii="Palatino Linotype"/>
          <w:i/>
          <w:color w:val="231F20"/>
          <w:spacing w:val="-24"/>
          <w:sz w:val="21"/>
        </w:rPr>
        <w:t> </w:t>
      </w:r>
      <w:r>
        <w:rPr>
          <w:rFonts w:ascii="Palatino Linotype"/>
          <w:i/>
          <w:color w:val="231F20"/>
          <w:sz w:val="21"/>
        </w:rPr>
        <w:t>Business</w:t>
      </w:r>
      <w:r>
        <w:rPr>
          <w:rFonts w:ascii="Palatino Linotype"/>
          <w:i/>
          <w:color w:val="231F20"/>
          <w:spacing w:val="-24"/>
          <w:sz w:val="21"/>
        </w:rPr>
        <w:t> </w:t>
      </w:r>
      <w:r>
        <w:rPr>
          <w:rFonts w:ascii="Palatino Linotype"/>
          <w:i/>
          <w:color w:val="231F20"/>
          <w:sz w:val="21"/>
        </w:rPr>
        <w:t>Com- </w:t>
      </w:r>
      <w:r>
        <w:rPr>
          <w:rFonts w:ascii="Palatino Linotype"/>
          <w:i/>
          <w:color w:val="231F20"/>
          <w:sz w:val="21"/>
        </w:rPr>
        <w:t>petition</w:t>
      </w:r>
      <w:r>
        <w:rPr>
          <w:color w:val="231F20"/>
          <w:sz w:val="21"/>
        </w:rPr>
        <w:t>, Harvard Business School Press, Cambridge,</w:t>
      </w:r>
      <w:r>
        <w:rPr>
          <w:color w:val="231F20"/>
          <w:spacing w:val="6"/>
          <w:sz w:val="21"/>
        </w:rPr>
        <w:t> </w:t>
      </w:r>
      <w:r>
        <w:rPr>
          <w:color w:val="231F20"/>
          <w:sz w:val="21"/>
        </w:rPr>
        <w:t>Massachusetts.</w:t>
      </w:r>
    </w:p>
    <w:p>
      <w:pPr>
        <w:pStyle w:val="BodyText"/>
        <w:spacing w:before="5"/>
        <w:rPr>
          <w:sz w:val="22"/>
        </w:rPr>
      </w:pPr>
    </w:p>
    <w:p>
      <w:pPr>
        <w:spacing w:before="0"/>
        <w:ind w:left="0" w:right="100" w:firstLine="0"/>
        <w:jc w:val="right"/>
        <w:rPr>
          <w:sz w:val="21"/>
        </w:rPr>
      </w:pPr>
      <w:r>
        <w:rPr>
          <w:color w:val="231F20"/>
          <w:sz w:val="21"/>
        </w:rPr>
        <w:t>Porter, Michel (1990), </w:t>
      </w:r>
      <w:r>
        <w:rPr>
          <w:rFonts w:ascii="Palatino Linotype"/>
          <w:i/>
          <w:color w:val="231F20"/>
          <w:sz w:val="21"/>
        </w:rPr>
        <w:t>The Comparative Advantage of Nations</w:t>
      </w:r>
      <w:r>
        <w:rPr>
          <w:color w:val="231F20"/>
          <w:sz w:val="21"/>
        </w:rPr>
        <w:t>, Free Press, Nueva York.</w:t>
      </w:r>
    </w:p>
    <w:p>
      <w:pPr>
        <w:pStyle w:val="BodyText"/>
        <w:rPr>
          <w:sz w:val="24"/>
        </w:rPr>
      </w:pPr>
    </w:p>
    <w:p>
      <w:pPr>
        <w:pStyle w:val="BodyText"/>
        <w:spacing w:line="256" w:lineRule="auto"/>
        <w:ind w:left="714" w:right="100" w:firstLine="396"/>
        <w:jc w:val="both"/>
      </w:pPr>
      <w:r>
        <w:rPr>
          <w:color w:val="231F20"/>
        </w:rPr>
        <w:t>Pozas, María de los Ángeles (2001), “Globalización, industria y organización</w:t>
      </w:r>
      <w:r>
        <w:rPr>
          <w:color w:val="231F20"/>
          <w:spacing w:val="-28"/>
        </w:rPr>
        <w:t> </w:t>
      </w:r>
      <w:r>
        <w:rPr>
          <w:color w:val="231F20"/>
        </w:rPr>
        <w:t>del trabajo. Reflexiones para la construcción de un marco </w:t>
      </w:r>
      <w:r>
        <w:rPr>
          <w:color w:val="231F20"/>
          <w:spacing w:val="-6"/>
        </w:rPr>
        <w:t>teórico”, </w:t>
      </w:r>
      <w:r>
        <w:rPr>
          <w:rFonts w:ascii="Palatino Linotype" w:hAnsi="Palatino Linotype"/>
          <w:i/>
          <w:color w:val="231F20"/>
        </w:rPr>
        <w:t>Estudios Sociológicos, </w:t>
      </w:r>
      <w:r>
        <w:rPr>
          <w:color w:val="231F20"/>
        </w:rPr>
        <w:t>año/vol.</w:t>
      </w:r>
      <w:r>
        <w:rPr>
          <w:color w:val="231F20"/>
          <w:spacing w:val="-11"/>
        </w:rPr>
        <w:t> </w:t>
      </w:r>
      <w:r>
        <w:rPr>
          <w:color w:val="231F20"/>
        </w:rPr>
        <w:t>XIX,</w:t>
      </w:r>
      <w:r>
        <w:rPr>
          <w:color w:val="231F20"/>
          <w:spacing w:val="-11"/>
        </w:rPr>
        <w:t> </w:t>
      </w:r>
      <w:r>
        <w:rPr>
          <w:color w:val="231F20"/>
        </w:rPr>
        <w:t>número</w:t>
      </w:r>
      <w:r>
        <w:rPr>
          <w:color w:val="231F20"/>
          <w:spacing w:val="-11"/>
        </w:rPr>
        <w:t> </w:t>
      </w:r>
      <w:r>
        <w:rPr>
          <w:color w:val="231F20"/>
        </w:rPr>
        <w:t>1,</w:t>
      </w:r>
      <w:r>
        <w:rPr>
          <w:color w:val="231F20"/>
          <w:spacing w:val="-11"/>
        </w:rPr>
        <w:t> </w:t>
      </w:r>
      <w:r>
        <w:rPr>
          <w:color w:val="231F20"/>
        </w:rPr>
        <w:t>enero-abril,</w:t>
      </w:r>
      <w:r>
        <w:rPr>
          <w:color w:val="231F20"/>
          <w:spacing w:val="-11"/>
        </w:rPr>
        <w:t> </w:t>
      </w:r>
      <w:r>
        <w:rPr>
          <w:color w:val="231F20"/>
          <w:spacing w:val="-4"/>
        </w:rPr>
        <w:t>pp.</w:t>
      </w:r>
      <w:r>
        <w:rPr>
          <w:color w:val="231F20"/>
          <w:spacing w:val="-11"/>
        </w:rPr>
        <w:t> </w:t>
      </w:r>
      <w:r>
        <w:rPr>
          <w:color w:val="231F20"/>
        </w:rPr>
        <w:t>185-207.</w:t>
      </w:r>
    </w:p>
    <w:p>
      <w:pPr>
        <w:pStyle w:val="BodyText"/>
        <w:spacing w:before="11"/>
      </w:pPr>
    </w:p>
    <w:p>
      <w:pPr>
        <w:pStyle w:val="BodyText"/>
        <w:spacing w:line="256" w:lineRule="auto"/>
        <w:ind w:left="714" w:right="103" w:firstLine="396"/>
        <w:jc w:val="both"/>
      </w:pPr>
      <w:r>
        <w:rPr>
          <w:color w:val="231F20"/>
          <w:spacing w:val="-3"/>
        </w:rPr>
        <w:t>Praet,</w:t>
      </w:r>
      <w:r>
        <w:rPr>
          <w:color w:val="231F20"/>
          <w:spacing w:val="-11"/>
        </w:rPr>
        <w:t> </w:t>
      </w:r>
      <w:r>
        <w:rPr>
          <w:color w:val="231F20"/>
          <w:spacing w:val="-4"/>
        </w:rPr>
        <w:t>Nicolas</w:t>
      </w:r>
      <w:r>
        <w:rPr>
          <w:color w:val="231F20"/>
          <w:spacing w:val="-11"/>
        </w:rPr>
        <w:t> </w:t>
      </w:r>
      <w:r>
        <w:rPr>
          <w:color w:val="231F20"/>
          <w:spacing w:val="-9"/>
        </w:rPr>
        <w:t>Van</w:t>
      </w:r>
      <w:r>
        <w:rPr>
          <w:color w:val="231F20"/>
          <w:spacing w:val="-11"/>
        </w:rPr>
        <w:t> </w:t>
      </w:r>
      <w:r>
        <w:rPr>
          <w:color w:val="231F20"/>
          <w:spacing w:val="-3"/>
        </w:rPr>
        <w:t>(2008),</w:t>
      </w:r>
      <w:r>
        <w:rPr>
          <w:color w:val="231F20"/>
          <w:spacing w:val="-11"/>
        </w:rPr>
        <w:t> </w:t>
      </w:r>
      <w:r>
        <w:rPr>
          <w:color w:val="231F20"/>
          <w:spacing w:val="-4"/>
        </w:rPr>
        <w:t>“Car</w:t>
      </w:r>
      <w:r>
        <w:rPr>
          <w:color w:val="231F20"/>
          <w:spacing w:val="-11"/>
        </w:rPr>
        <w:t> </w:t>
      </w:r>
      <w:r>
        <w:rPr>
          <w:color w:val="231F20"/>
          <w:spacing w:val="-3"/>
        </w:rPr>
        <w:t>Girds</w:t>
      </w:r>
      <w:r>
        <w:rPr>
          <w:color w:val="231F20"/>
          <w:spacing w:val="-11"/>
        </w:rPr>
        <w:t> </w:t>
      </w:r>
      <w:r>
        <w:rPr>
          <w:color w:val="231F20"/>
          <w:spacing w:val="-4"/>
        </w:rPr>
        <w:t>For</w:t>
      </w:r>
      <w:r>
        <w:rPr>
          <w:color w:val="231F20"/>
          <w:spacing w:val="-11"/>
        </w:rPr>
        <w:t> </w:t>
      </w:r>
      <w:r>
        <w:rPr>
          <w:color w:val="231F20"/>
          <w:spacing w:val="-14"/>
        </w:rPr>
        <w:t>War”,</w:t>
      </w:r>
      <w:r>
        <w:rPr>
          <w:color w:val="231F20"/>
          <w:spacing w:val="-11"/>
        </w:rPr>
        <w:t> </w:t>
      </w:r>
      <w:r>
        <w:rPr>
          <w:rFonts w:ascii="Palatino Linotype" w:hAnsi="Palatino Linotype"/>
          <w:i/>
          <w:color w:val="231F20"/>
          <w:spacing w:val="-4"/>
        </w:rPr>
        <w:t>Financial</w:t>
      </w:r>
      <w:r>
        <w:rPr>
          <w:rFonts w:ascii="Palatino Linotype" w:hAnsi="Palatino Linotype"/>
          <w:i/>
          <w:color w:val="231F20"/>
          <w:spacing w:val="-10"/>
        </w:rPr>
        <w:t> </w:t>
      </w:r>
      <w:r>
        <w:rPr>
          <w:rFonts w:ascii="Palatino Linotype" w:hAnsi="Palatino Linotype"/>
          <w:i/>
          <w:color w:val="231F20"/>
          <w:spacing w:val="-4"/>
        </w:rPr>
        <w:t>Post</w:t>
      </w:r>
      <w:r>
        <w:rPr>
          <w:color w:val="231F20"/>
          <w:spacing w:val="-4"/>
        </w:rPr>
        <w:t>,</w:t>
      </w:r>
      <w:r>
        <w:rPr>
          <w:color w:val="231F20"/>
          <w:spacing w:val="-11"/>
        </w:rPr>
        <w:t> </w:t>
      </w:r>
      <w:r>
        <w:rPr>
          <w:color w:val="231F20"/>
          <w:spacing w:val="-3"/>
        </w:rPr>
        <w:t>consultado</w:t>
      </w:r>
      <w:r>
        <w:rPr>
          <w:color w:val="231F20"/>
          <w:spacing w:val="-11"/>
        </w:rPr>
        <w:t> </w:t>
      </w:r>
      <w:r>
        <w:rPr>
          <w:color w:val="231F20"/>
        </w:rPr>
        <w:t>en</w:t>
      </w:r>
      <w:r>
        <w:rPr>
          <w:color w:val="231F20"/>
          <w:spacing w:val="-11"/>
        </w:rPr>
        <w:t> </w:t>
      </w:r>
      <w:r>
        <w:rPr>
          <w:color w:val="231F20"/>
          <w:spacing w:val="-5"/>
        </w:rPr>
        <w:t>http:// </w:t>
      </w:r>
      <w:hyperlink r:id="rId386">
        <w:r>
          <w:rPr>
            <w:color w:val="231F20"/>
            <w:spacing w:val="-4"/>
          </w:rPr>
          <w:t>www.financialpost.com/related/links/story.html?id=562830</w:t>
        </w:r>
      </w:hyperlink>
      <w:r>
        <w:rPr>
          <w:color w:val="231F20"/>
          <w:spacing w:val="-10"/>
        </w:rPr>
        <w:t> </w:t>
      </w:r>
      <w:r>
        <w:rPr>
          <w:color w:val="231F20"/>
        </w:rPr>
        <w:t>(29</w:t>
      </w:r>
      <w:r>
        <w:rPr>
          <w:color w:val="231F20"/>
          <w:spacing w:val="-10"/>
        </w:rPr>
        <w:t> </w:t>
      </w:r>
      <w:r>
        <w:rPr>
          <w:color w:val="231F20"/>
        </w:rPr>
        <w:t>de</w:t>
      </w:r>
      <w:r>
        <w:rPr>
          <w:color w:val="231F20"/>
          <w:spacing w:val="-10"/>
        </w:rPr>
        <w:t> </w:t>
      </w:r>
      <w:r>
        <w:rPr>
          <w:color w:val="231F20"/>
          <w:spacing w:val="-3"/>
        </w:rPr>
        <w:t>enero</w:t>
      </w:r>
      <w:r>
        <w:rPr>
          <w:color w:val="231F20"/>
          <w:spacing w:val="-10"/>
        </w:rPr>
        <w:t> </w:t>
      </w:r>
      <w:r>
        <w:rPr>
          <w:color w:val="231F20"/>
        </w:rPr>
        <w:t>de</w:t>
      </w:r>
      <w:r>
        <w:rPr>
          <w:color w:val="231F20"/>
          <w:spacing w:val="-10"/>
        </w:rPr>
        <w:t> </w:t>
      </w:r>
      <w:r>
        <w:rPr>
          <w:color w:val="231F20"/>
          <w:spacing w:val="-3"/>
        </w:rPr>
        <w:t>2009).</w:t>
      </w:r>
    </w:p>
    <w:p>
      <w:pPr>
        <w:spacing w:after="0" w:line="256" w:lineRule="auto"/>
        <w:jc w:val="both"/>
        <w:sectPr>
          <w:footerReference w:type="even" r:id="rId383"/>
          <w:footerReference w:type="default" r:id="rId384"/>
          <w:pgSz w:w="9640" w:h="13040"/>
          <w:pgMar w:footer="654" w:header="581" w:top="780" w:bottom="840" w:left="420" w:right="1200"/>
        </w:sectPr>
      </w:pPr>
    </w:p>
    <w:p>
      <w:pPr>
        <w:pStyle w:val="BodyText"/>
        <w:rPr>
          <w:sz w:val="20"/>
        </w:rPr>
      </w:pPr>
    </w:p>
    <w:p>
      <w:pPr>
        <w:pStyle w:val="BodyText"/>
        <w:spacing w:before="7"/>
      </w:pPr>
    </w:p>
    <w:p>
      <w:pPr>
        <w:pStyle w:val="BodyText"/>
        <w:spacing w:line="256" w:lineRule="auto" w:before="34"/>
        <w:ind w:left="103" w:right="711" w:firstLine="396"/>
        <w:jc w:val="both"/>
      </w:pPr>
      <w:r>
        <w:rPr>
          <w:color w:val="231F20"/>
        </w:rPr>
        <w:t>ProMéxico (2014), </w:t>
      </w:r>
      <w:r>
        <w:rPr>
          <w:rFonts w:ascii="Palatino Linotype" w:hAnsi="Palatino Linotype"/>
          <w:i/>
          <w:color w:val="231F20"/>
        </w:rPr>
        <w:t>Sector Autopartes en México</w:t>
      </w:r>
      <w:r>
        <w:rPr>
          <w:color w:val="231F20"/>
        </w:rPr>
        <w:t>, consultado en </w:t>
      </w:r>
      <w:hyperlink r:id="rId387">
        <w:r>
          <w:rPr>
            <w:color w:val="231F20"/>
          </w:rPr>
          <w:t>http://mim.</w:t>
        </w:r>
      </w:hyperlink>
      <w:r>
        <w:rPr>
          <w:color w:val="231F20"/>
        </w:rPr>
        <w:t> promexico.gob.mx/wb/mim/perfil_del_sector_autopartes (17 de mayo de 2014).</w:t>
      </w:r>
    </w:p>
    <w:p>
      <w:pPr>
        <w:pStyle w:val="BodyText"/>
        <w:spacing w:before="11"/>
      </w:pPr>
    </w:p>
    <w:p>
      <w:pPr>
        <w:spacing w:line="247" w:lineRule="auto" w:before="0"/>
        <w:ind w:left="103" w:right="711" w:firstLine="396"/>
        <w:jc w:val="both"/>
        <w:rPr>
          <w:sz w:val="21"/>
        </w:rPr>
      </w:pPr>
      <w:r>
        <w:rPr>
          <w:color w:val="231F20"/>
          <w:sz w:val="21"/>
        </w:rPr>
        <w:t>Romero,</w:t>
      </w:r>
      <w:r>
        <w:rPr>
          <w:color w:val="231F20"/>
          <w:spacing w:val="-14"/>
          <w:sz w:val="21"/>
        </w:rPr>
        <w:t> </w:t>
      </w:r>
      <w:r>
        <w:rPr>
          <w:color w:val="231F20"/>
          <w:sz w:val="21"/>
        </w:rPr>
        <w:t>Indira</w:t>
      </w:r>
      <w:r>
        <w:rPr>
          <w:color w:val="231F20"/>
          <w:spacing w:val="-14"/>
          <w:sz w:val="21"/>
        </w:rPr>
        <w:t> </w:t>
      </w:r>
      <w:r>
        <w:rPr>
          <w:color w:val="231F20"/>
          <w:sz w:val="21"/>
        </w:rPr>
        <w:t>(2011),</w:t>
      </w:r>
      <w:r>
        <w:rPr>
          <w:color w:val="231F20"/>
          <w:spacing w:val="-14"/>
          <w:sz w:val="21"/>
        </w:rPr>
        <w:t> </w:t>
      </w:r>
      <w:r>
        <w:rPr>
          <w:rFonts w:ascii="Palatino Linotype" w:hAnsi="Palatino Linotype"/>
          <w:i/>
          <w:color w:val="231F20"/>
          <w:spacing w:val="-3"/>
          <w:sz w:val="21"/>
        </w:rPr>
        <w:t>Impacto</w:t>
      </w:r>
      <w:r>
        <w:rPr>
          <w:rFonts w:ascii="Palatino Linotype" w:hAnsi="Palatino Linotype"/>
          <w:i/>
          <w:color w:val="231F20"/>
          <w:spacing w:val="-14"/>
          <w:sz w:val="21"/>
        </w:rPr>
        <w:t> </w:t>
      </w:r>
      <w:r>
        <w:rPr>
          <w:rFonts w:ascii="Palatino Linotype" w:hAnsi="Palatino Linotype"/>
          <w:i/>
          <w:color w:val="231F20"/>
          <w:sz w:val="21"/>
        </w:rPr>
        <w:t>asimétrico</w:t>
      </w:r>
      <w:r>
        <w:rPr>
          <w:rFonts w:ascii="Palatino Linotype" w:hAnsi="Palatino Linotype"/>
          <w:i/>
          <w:color w:val="231F20"/>
          <w:spacing w:val="-14"/>
          <w:sz w:val="21"/>
        </w:rPr>
        <w:t> </w:t>
      </w:r>
      <w:r>
        <w:rPr>
          <w:rFonts w:ascii="Palatino Linotype" w:hAnsi="Palatino Linotype"/>
          <w:i/>
          <w:color w:val="231F20"/>
          <w:sz w:val="21"/>
        </w:rPr>
        <w:t>de</w:t>
      </w:r>
      <w:r>
        <w:rPr>
          <w:rFonts w:ascii="Palatino Linotype" w:hAnsi="Palatino Linotype"/>
          <w:i/>
          <w:color w:val="231F20"/>
          <w:spacing w:val="-14"/>
          <w:sz w:val="21"/>
        </w:rPr>
        <w:t> </w:t>
      </w:r>
      <w:r>
        <w:rPr>
          <w:rFonts w:ascii="Palatino Linotype" w:hAnsi="Palatino Linotype"/>
          <w:i/>
          <w:color w:val="231F20"/>
          <w:sz w:val="21"/>
        </w:rPr>
        <w:t>la</w:t>
      </w:r>
      <w:r>
        <w:rPr>
          <w:rFonts w:ascii="Palatino Linotype" w:hAnsi="Palatino Linotype"/>
          <w:i/>
          <w:color w:val="231F20"/>
          <w:spacing w:val="-14"/>
          <w:sz w:val="21"/>
        </w:rPr>
        <w:t> </w:t>
      </w:r>
      <w:r>
        <w:rPr>
          <w:rFonts w:ascii="Palatino Linotype" w:hAnsi="Palatino Linotype"/>
          <w:i/>
          <w:color w:val="231F20"/>
          <w:sz w:val="21"/>
        </w:rPr>
        <w:t>crisis</w:t>
      </w:r>
      <w:r>
        <w:rPr>
          <w:rFonts w:ascii="Palatino Linotype" w:hAnsi="Palatino Linotype"/>
          <w:i/>
          <w:color w:val="231F20"/>
          <w:spacing w:val="-14"/>
          <w:sz w:val="21"/>
        </w:rPr>
        <w:t> </w:t>
      </w:r>
      <w:r>
        <w:rPr>
          <w:rFonts w:ascii="Palatino Linotype" w:hAnsi="Palatino Linotype"/>
          <w:i/>
          <w:color w:val="231F20"/>
          <w:sz w:val="21"/>
        </w:rPr>
        <w:t>global</w:t>
      </w:r>
      <w:r>
        <w:rPr>
          <w:rFonts w:ascii="Palatino Linotype" w:hAnsi="Palatino Linotype"/>
          <w:i/>
          <w:color w:val="231F20"/>
          <w:spacing w:val="-14"/>
          <w:sz w:val="21"/>
        </w:rPr>
        <w:t> </w:t>
      </w:r>
      <w:r>
        <w:rPr>
          <w:rFonts w:ascii="Palatino Linotype" w:hAnsi="Palatino Linotype"/>
          <w:i/>
          <w:color w:val="231F20"/>
          <w:sz w:val="21"/>
        </w:rPr>
        <w:t>sobre</w:t>
      </w:r>
      <w:r>
        <w:rPr>
          <w:rFonts w:ascii="Palatino Linotype" w:hAnsi="Palatino Linotype"/>
          <w:i/>
          <w:color w:val="231F20"/>
          <w:spacing w:val="-14"/>
          <w:sz w:val="21"/>
        </w:rPr>
        <w:t> </w:t>
      </w:r>
      <w:r>
        <w:rPr>
          <w:rFonts w:ascii="Palatino Linotype" w:hAnsi="Palatino Linotype"/>
          <w:i/>
          <w:color w:val="231F20"/>
          <w:sz w:val="21"/>
        </w:rPr>
        <w:t>la</w:t>
      </w:r>
      <w:r>
        <w:rPr>
          <w:rFonts w:ascii="Palatino Linotype" w:hAnsi="Palatino Linotype"/>
          <w:i/>
          <w:color w:val="231F20"/>
          <w:spacing w:val="-14"/>
          <w:sz w:val="21"/>
        </w:rPr>
        <w:t> </w:t>
      </w:r>
      <w:r>
        <w:rPr>
          <w:rFonts w:ascii="Palatino Linotype" w:hAnsi="Palatino Linotype"/>
          <w:i/>
          <w:color w:val="231F20"/>
          <w:sz w:val="21"/>
        </w:rPr>
        <w:t>industria</w:t>
      </w:r>
      <w:r>
        <w:rPr>
          <w:rFonts w:ascii="Palatino Linotype" w:hAnsi="Palatino Linotype"/>
          <w:i/>
          <w:color w:val="231F20"/>
          <w:spacing w:val="-14"/>
          <w:sz w:val="21"/>
        </w:rPr>
        <w:t> </w:t>
      </w:r>
      <w:r>
        <w:rPr>
          <w:rFonts w:ascii="Palatino Linotype" w:hAnsi="Palatino Linotype"/>
          <w:i/>
          <w:color w:val="231F20"/>
          <w:sz w:val="21"/>
        </w:rPr>
        <w:t>au- </w:t>
      </w:r>
      <w:r>
        <w:rPr>
          <w:rFonts w:ascii="Palatino Linotype" w:hAnsi="Palatino Linotype"/>
          <w:i/>
          <w:color w:val="231F20"/>
          <w:sz w:val="21"/>
        </w:rPr>
        <w:t>tomotriz:</w:t>
      </w:r>
      <w:r>
        <w:rPr>
          <w:rFonts w:ascii="Palatino Linotype" w:hAnsi="Palatino Linotype"/>
          <w:i/>
          <w:color w:val="231F20"/>
          <w:spacing w:val="-8"/>
          <w:sz w:val="21"/>
        </w:rPr>
        <w:t> </w:t>
      </w:r>
      <w:r>
        <w:rPr>
          <w:rFonts w:ascii="Palatino Linotype" w:hAnsi="Palatino Linotype"/>
          <w:i/>
          <w:color w:val="231F20"/>
          <w:sz w:val="21"/>
        </w:rPr>
        <w:t>Canadá</w:t>
      </w:r>
      <w:r>
        <w:rPr>
          <w:rFonts w:ascii="Palatino Linotype" w:hAnsi="Palatino Linotype"/>
          <w:i/>
          <w:color w:val="231F20"/>
          <w:spacing w:val="-8"/>
          <w:sz w:val="21"/>
        </w:rPr>
        <w:t> </w:t>
      </w:r>
      <w:r>
        <w:rPr>
          <w:rFonts w:ascii="Palatino Linotype" w:hAnsi="Palatino Linotype"/>
          <w:i/>
          <w:color w:val="231F20"/>
          <w:sz w:val="21"/>
        </w:rPr>
        <w:t>y</w:t>
      </w:r>
      <w:r>
        <w:rPr>
          <w:rFonts w:ascii="Palatino Linotype" w:hAnsi="Palatino Linotype"/>
          <w:i/>
          <w:color w:val="231F20"/>
          <w:spacing w:val="-8"/>
          <w:sz w:val="21"/>
        </w:rPr>
        <w:t> </w:t>
      </w:r>
      <w:r>
        <w:rPr>
          <w:rFonts w:ascii="Palatino Linotype" w:hAnsi="Palatino Linotype"/>
          <w:i/>
          <w:color w:val="231F20"/>
          <w:sz w:val="21"/>
        </w:rPr>
        <w:t>México</w:t>
      </w:r>
      <w:r>
        <w:rPr>
          <w:rFonts w:ascii="Palatino Linotype" w:hAnsi="Palatino Linotype"/>
          <w:i/>
          <w:color w:val="231F20"/>
          <w:spacing w:val="-8"/>
          <w:sz w:val="21"/>
        </w:rPr>
        <w:t> </w:t>
      </w:r>
      <w:r>
        <w:rPr>
          <w:rFonts w:ascii="Palatino Linotype" w:hAnsi="Palatino Linotype"/>
          <w:i/>
          <w:color w:val="231F20"/>
          <w:spacing w:val="-3"/>
          <w:sz w:val="21"/>
        </w:rPr>
        <w:t>comparados.</w:t>
      </w:r>
      <w:r>
        <w:rPr>
          <w:rFonts w:ascii="Palatino Linotype" w:hAnsi="Palatino Linotype"/>
          <w:i/>
          <w:color w:val="231F20"/>
          <w:spacing w:val="-8"/>
          <w:sz w:val="21"/>
        </w:rPr>
        <w:t> </w:t>
      </w:r>
      <w:r>
        <w:rPr>
          <w:rFonts w:ascii="Palatino Linotype" w:hAnsi="Palatino Linotype"/>
          <w:i/>
          <w:color w:val="231F20"/>
          <w:sz w:val="21"/>
        </w:rPr>
        <w:t>Perspectivas</w:t>
      </w:r>
      <w:r>
        <w:rPr>
          <w:rFonts w:ascii="Palatino Linotype" w:hAnsi="Palatino Linotype"/>
          <w:i/>
          <w:color w:val="231F20"/>
          <w:spacing w:val="-8"/>
          <w:sz w:val="21"/>
        </w:rPr>
        <w:t> </w:t>
      </w:r>
      <w:r>
        <w:rPr>
          <w:rFonts w:ascii="Palatino Linotype" w:hAnsi="Palatino Linotype"/>
          <w:i/>
          <w:color w:val="231F20"/>
          <w:spacing w:val="-3"/>
          <w:sz w:val="21"/>
        </w:rPr>
        <w:t>para</w:t>
      </w:r>
      <w:r>
        <w:rPr>
          <w:rFonts w:ascii="Palatino Linotype" w:hAnsi="Palatino Linotype"/>
          <w:i/>
          <w:color w:val="231F20"/>
          <w:spacing w:val="-8"/>
          <w:sz w:val="21"/>
        </w:rPr>
        <w:t> </w:t>
      </w:r>
      <w:r>
        <w:rPr>
          <w:rFonts w:ascii="Palatino Linotype" w:hAnsi="Palatino Linotype"/>
          <w:i/>
          <w:color w:val="231F20"/>
          <w:sz w:val="21"/>
        </w:rPr>
        <w:t>el</w:t>
      </w:r>
      <w:r>
        <w:rPr>
          <w:rFonts w:ascii="Palatino Linotype" w:hAnsi="Palatino Linotype"/>
          <w:i/>
          <w:color w:val="231F20"/>
          <w:spacing w:val="-8"/>
          <w:sz w:val="21"/>
        </w:rPr>
        <w:t> </w:t>
      </w:r>
      <w:r>
        <w:rPr>
          <w:rFonts w:ascii="Palatino Linotype" w:hAnsi="Palatino Linotype"/>
          <w:i/>
          <w:color w:val="231F20"/>
          <w:sz w:val="21"/>
        </w:rPr>
        <w:t>futuro</w:t>
      </w:r>
      <w:r>
        <w:rPr>
          <w:color w:val="231F20"/>
          <w:sz w:val="21"/>
        </w:rPr>
        <w:t>,</w:t>
      </w:r>
      <w:r>
        <w:rPr>
          <w:color w:val="231F20"/>
          <w:spacing w:val="-8"/>
          <w:sz w:val="21"/>
        </w:rPr>
        <w:t> </w:t>
      </w:r>
      <w:r>
        <w:rPr>
          <w:color w:val="231F20"/>
          <w:sz w:val="21"/>
        </w:rPr>
        <w:t>Comisión</w:t>
      </w:r>
      <w:r>
        <w:rPr>
          <w:color w:val="231F20"/>
          <w:spacing w:val="-8"/>
          <w:sz w:val="21"/>
        </w:rPr>
        <w:t> </w:t>
      </w:r>
      <w:r>
        <w:rPr>
          <w:color w:val="231F20"/>
          <w:sz w:val="21"/>
        </w:rPr>
        <w:t>Econó- mica</w:t>
      </w:r>
      <w:r>
        <w:rPr>
          <w:color w:val="231F20"/>
          <w:spacing w:val="-12"/>
          <w:sz w:val="21"/>
        </w:rPr>
        <w:t> </w:t>
      </w:r>
      <w:r>
        <w:rPr>
          <w:color w:val="231F20"/>
          <w:sz w:val="21"/>
        </w:rPr>
        <w:t>para</w:t>
      </w:r>
      <w:r>
        <w:rPr>
          <w:color w:val="231F20"/>
          <w:spacing w:val="-12"/>
          <w:sz w:val="21"/>
        </w:rPr>
        <w:t> </w:t>
      </w:r>
      <w:r>
        <w:rPr>
          <w:color w:val="231F20"/>
          <w:sz w:val="21"/>
        </w:rPr>
        <w:t>América</w:t>
      </w:r>
      <w:r>
        <w:rPr>
          <w:color w:val="231F20"/>
          <w:spacing w:val="-12"/>
          <w:sz w:val="21"/>
        </w:rPr>
        <w:t> </w:t>
      </w:r>
      <w:r>
        <w:rPr>
          <w:color w:val="231F20"/>
          <w:sz w:val="21"/>
        </w:rPr>
        <w:t>Latina</w:t>
      </w:r>
      <w:r>
        <w:rPr>
          <w:color w:val="231F20"/>
          <w:spacing w:val="-12"/>
          <w:sz w:val="21"/>
        </w:rPr>
        <w:t> </w:t>
      </w:r>
      <w:r>
        <w:rPr>
          <w:color w:val="231F20"/>
          <w:sz w:val="21"/>
        </w:rPr>
        <w:t>y</w:t>
      </w:r>
      <w:r>
        <w:rPr>
          <w:color w:val="231F20"/>
          <w:spacing w:val="-12"/>
          <w:sz w:val="21"/>
        </w:rPr>
        <w:t> </w:t>
      </w:r>
      <w:r>
        <w:rPr>
          <w:color w:val="231F20"/>
          <w:sz w:val="21"/>
        </w:rPr>
        <w:t>el</w:t>
      </w:r>
      <w:r>
        <w:rPr>
          <w:color w:val="231F20"/>
          <w:spacing w:val="-12"/>
          <w:sz w:val="21"/>
        </w:rPr>
        <w:t> </w:t>
      </w:r>
      <w:r>
        <w:rPr>
          <w:color w:val="231F20"/>
          <w:sz w:val="21"/>
        </w:rPr>
        <w:t>Caribe.</w:t>
      </w:r>
      <w:r>
        <w:rPr>
          <w:color w:val="231F20"/>
          <w:spacing w:val="-12"/>
          <w:sz w:val="21"/>
        </w:rPr>
        <w:t> </w:t>
      </w:r>
      <w:r>
        <w:rPr>
          <w:color w:val="231F20"/>
          <w:sz w:val="21"/>
        </w:rPr>
        <w:t>Publicación</w:t>
      </w:r>
      <w:r>
        <w:rPr>
          <w:color w:val="231F20"/>
          <w:spacing w:val="-12"/>
          <w:sz w:val="21"/>
        </w:rPr>
        <w:t> </w:t>
      </w:r>
      <w:r>
        <w:rPr>
          <w:color w:val="231F20"/>
          <w:sz w:val="21"/>
        </w:rPr>
        <w:t>de</w:t>
      </w:r>
      <w:r>
        <w:rPr>
          <w:color w:val="231F20"/>
          <w:spacing w:val="-12"/>
          <w:sz w:val="21"/>
        </w:rPr>
        <w:t> </w:t>
      </w:r>
      <w:r>
        <w:rPr>
          <w:color w:val="231F20"/>
          <w:sz w:val="21"/>
        </w:rPr>
        <w:t>Naciones</w:t>
      </w:r>
      <w:r>
        <w:rPr>
          <w:color w:val="231F20"/>
          <w:spacing w:val="-12"/>
          <w:sz w:val="21"/>
        </w:rPr>
        <w:t> </w:t>
      </w:r>
      <w:r>
        <w:rPr>
          <w:color w:val="231F20"/>
          <w:sz w:val="21"/>
        </w:rPr>
        <w:t>Unidas,</w:t>
      </w:r>
      <w:r>
        <w:rPr>
          <w:color w:val="231F20"/>
          <w:spacing w:val="-12"/>
          <w:sz w:val="21"/>
        </w:rPr>
        <w:t> </w:t>
      </w:r>
      <w:r>
        <w:rPr>
          <w:color w:val="231F20"/>
          <w:sz w:val="21"/>
        </w:rPr>
        <w:t>México.</w:t>
      </w:r>
    </w:p>
    <w:p>
      <w:pPr>
        <w:pStyle w:val="BodyText"/>
        <w:spacing w:before="10"/>
        <w:rPr>
          <w:sz w:val="24"/>
        </w:rPr>
      </w:pPr>
    </w:p>
    <w:p>
      <w:pPr>
        <w:spacing w:line="244" w:lineRule="auto" w:before="0"/>
        <w:ind w:left="103" w:right="711" w:firstLine="396"/>
        <w:jc w:val="both"/>
        <w:rPr>
          <w:sz w:val="21"/>
        </w:rPr>
      </w:pPr>
      <w:r>
        <w:rPr>
          <w:color w:val="231F20"/>
          <w:sz w:val="21"/>
        </w:rPr>
        <w:t>Sabel,</w:t>
      </w:r>
      <w:r>
        <w:rPr>
          <w:color w:val="231F20"/>
          <w:spacing w:val="-19"/>
          <w:sz w:val="21"/>
        </w:rPr>
        <w:t> </w:t>
      </w:r>
      <w:r>
        <w:rPr>
          <w:color w:val="231F20"/>
          <w:sz w:val="21"/>
        </w:rPr>
        <w:t>Charles</w:t>
      </w:r>
      <w:r>
        <w:rPr>
          <w:color w:val="231F20"/>
          <w:spacing w:val="-19"/>
          <w:sz w:val="21"/>
        </w:rPr>
        <w:t> </w:t>
      </w:r>
      <w:r>
        <w:rPr>
          <w:color w:val="231F20"/>
          <w:sz w:val="21"/>
        </w:rPr>
        <w:t>(1999),</w:t>
      </w:r>
      <w:r>
        <w:rPr>
          <w:color w:val="231F20"/>
          <w:spacing w:val="-19"/>
          <w:sz w:val="21"/>
        </w:rPr>
        <w:t> </w:t>
      </w:r>
      <w:r>
        <w:rPr>
          <w:color w:val="231F20"/>
          <w:sz w:val="21"/>
        </w:rPr>
        <w:t>“Flexible</w:t>
      </w:r>
      <w:r>
        <w:rPr>
          <w:color w:val="231F20"/>
          <w:spacing w:val="-19"/>
          <w:sz w:val="21"/>
        </w:rPr>
        <w:t> </w:t>
      </w:r>
      <w:r>
        <w:rPr>
          <w:color w:val="231F20"/>
          <w:sz w:val="21"/>
        </w:rPr>
        <w:t>Specialization</w:t>
      </w:r>
      <w:r>
        <w:rPr>
          <w:color w:val="231F20"/>
          <w:spacing w:val="-19"/>
          <w:sz w:val="21"/>
        </w:rPr>
        <w:t> </w:t>
      </w:r>
      <w:r>
        <w:rPr>
          <w:color w:val="231F20"/>
          <w:sz w:val="21"/>
        </w:rPr>
        <w:t>and</w:t>
      </w:r>
      <w:r>
        <w:rPr>
          <w:color w:val="231F20"/>
          <w:spacing w:val="-19"/>
          <w:sz w:val="21"/>
        </w:rPr>
        <w:t> </w:t>
      </w:r>
      <w:r>
        <w:rPr>
          <w:color w:val="231F20"/>
          <w:sz w:val="21"/>
        </w:rPr>
        <w:t>the</w:t>
      </w:r>
      <w:r>
        <w:rPr>
          <w:color w:val="231F20"/>
          <w:spacing w:val="-19"/>
          <w:sz w:val="21"/>
        </w:rPr>
        <w:t> </w:t>
      </w:r>
      <w:r>
        <w:rPr>
          <w:color w:val="231F20"/>
          <w:sz w:val="21"/>
        </w:rPr>
        <w:t>Re-Emergence</w:t>
      </w:r>
      <w:r>
        <w:rPr>
          <w:color w:val="231F20"/>
          <w:spacing w:val="-19"/>
          <w:sz w:val="21"/>
        </w:rPr>
        <w:t> </w:t>
      </w:r>
      <w:r>
        <w:rPr>
          <w:color w:val="231F20"/>
          <w:sz w:val="21"/>
        </w:rPr>
        <w:t>of</w:t>
      </w:r>
      <w:r>
        <w:rPr>
          <w:color w:val="231F20"/>
          <w:spacing w:val="-19"/>
          <w:sz w:val="21"/>
        </w:rPr>
        <w:t> </w:t>
      </w:r>
      <w:r>
        <w:rPr>
          <w:color w:val="231F20"/>
          <w:sz w:val="21"/>
        </w:rPr>
        <w:t>Regional </w:t>
      </w:r>
      <w:r>
        <w:rPr>
          <w:color w:val="231F20"/>
          <w:spacing w:val="-5"/>
          <w:sz w:val="21"/>
        </w:rPr>
        <w:t>Economies”,</w:t>
      </w:r>
      <w:r>
        <w:rPr>
          <w:color w:val="231F20"/>
          <w:spacing w:val="-11"/>
          <w:sz w:val="21"/>
        </w:rPr>
        <w:t> </w:t>
      </w:r>
      <w:r>
        <w:rPr>
          <w:color w:val="231F20"/>
          <w:sz w:val="21"/>
        </w:rPr>
        <w:t>en</w:t>
      </w:r>
      <w:r>
        <w:rPr>
          <w:color w:val="231F20"/>
          <w:spacing w:val="-11"/>
          <w:sz w:val="21"/>
        </w:rPr>
        <w:t> </w:t>
      </w:r>
      <w:r>
        <w:rPr>
          <w:color w:val="231F20"/>
          <w:sz w:val="21"/>
        </w:rPr>
        <w:t>M.</w:t>
      </w:r>
      <w:r>
        <w:rPr>
          <w:color w:val="231F20"/>
          <w:spacing w:val="-11"/>
          <w:sz w:val="21"/>
        </w:rPr>
        <w:t> </w:t>
      </w:r>
      <w:r>
        <w:rPr>
          <w:color w:val="231F20"/>
          <w:spacing w:val="-5"/>
          <w:sz w:val="21"/>
        </w:rPr>
        <w:t>Waters</w:t>
      </w:r>
      <w:r>
        <w:rPr>
          <w:color w:val="231F20"/>
          <w:spacing w:val="-11"/>
          <w:sz w:val="21"/>
        </w:rPr>
        <w:t> </w:t>
      </w:r>
      <w:r>
        <w:rPr>
          <w:color w:val="231F20"/>
          <w:sz w:val="21"/>
        </w:rPr>
        <w:t>(ed.),</w:t>
      </w:r>
      <w:r>
        <w:rPr>
          <w:color w:val="231F20"/>
          <w:spacing w:val="-11"/>
          <w:sz w:val="21"/>
        </w:rPr>
        <w:t> </w:t>
      </w:r>
      <w:r>
        <w:rPr>
          <w:rFonts w:ascii="Palatino Linotype" w:hAnsi="Palatino Linotype"/>
          <w:i/>
          <w:color w:val="231F20"/>
          <w:spacing w:val="-3"/>
          <w:sz w:val="21"/>
        </w:rPr>
        <w:t>Modernity.</w:t>
      </w:r>
      <w:r>
        <w:rPr>
          <w:rFonts w:ascii="Palatino Linotype" w:hAnsi="Palatino Linotype"/>
          <w:i/>
          <w:color w:val="231F20"/>
          <w:spacing w:val="-11"/>
          <w:sz w:val="21"/>
        </w:rPr>
        <w:t> </w:t>
      </w:r>
      <w:r>
        <w:rPr>
          <w:rFonts w:ascii="Palatino Linotype" w:hAnsi="Palatino Linotype"/>
          <w:i/>
          <w:color w:val="231F20"/>
          <w:sz w:val="21"/>
        </w:rPr>
        <w:t>Critical</w:t>
      </w:r>
      <w:r>
        <w:rPr>
          <w:rFonts w:ascii="Palatino Linotype" w:hAnsi="Palatino Linotype"/>
          <w:i/>
          <w:color w:val="231F20"/>
          <w:spacing w:val="-11"/>
          <w:sz w:val="21"/>
        </w:rPr>
        <w:t> </w:t>
      </w:r>
      <w:r>
        <w:rPr>
          <w:rFonts w:ascii="Palatino Linotype" w:hAnsi="Palatino Linotype"/>
          <w:i/>
          <w:color w:val="231F20"/>
          <w:sz w:val="21"/>
        </w:rPr>
        <w:t>concepts.</w:t>
      </w:r>
      <w:r>
        <w:rPr>
          <w:rFonts w:ascii="Palatino Linotype" w:hAnsi="Palatino Linotype"/>
          <w:i/>
          <w:color w:val="231F20"/>
          <w:spacing w:val="-11"/>
          <w:sz w:val="21"/>
        </w:rPr>
        <w:t> </w:t>
      </w:r>
      <w:r>
        <w:rPr>
          <w:rFonts w:ascii="Palatino Linotype" w:hAnsi="Palatino Linotype"/>
          <w:i/>
          <w:color w:val="231F20"/>
          <w:spacing w:val="-6"/>
          <w:sz w:val="21"/>
        </w:rPr>
        <w:t>Volume</w:t>
      </w:r>
      <w:r>
        <w:rPr>
          <w:rFonts w:ascii="Palatino Linotype" w:hAnsi="Palatino Linotype"/>
          <w:i/>
          <w:color w:val="231F20"/>
          <w:spacing w:val="-11"/>
          <w:sz w:val="21"/>
        </w:rPr>
        <w:t> </w:t>
      </w:r>
      <w:r>
        <w:rPr>
          <w:rFonts w:ascii="Palatino Linotype" w:hAnsi="Palatino Linotype"/>
          <w:i/>
          <w:color w:val="231F20"/>
          <w:spacing w:val="-4"/>
          <w:sz w:val="21"/>
        </w:rPr>
        <w:t>IV:</w:t>
      </w:r>
      <w:r>
        <w:rPr>
          <w:rFonts w:ascii="Palatino Linotype" w:hAnsi="Palatino Linotype"/>
          <w:i/>
          <w:color w:val="231F20"/>
          <w:spacing w:val="-11"/>
          <w:sz w:val="21"/>
        </w:rPr>
        <w:t> </w:t>
      </w:r>
      <w:r>
        <w:rPr>
          <w:rFonts w:ascii="Palatino Linotype" w:hAnsi="Palatino Linotype"/>
          <w:i/>
          <w:color w:val="231F20"/>
          <w:sz w:val="21"/>
        </w:rPr>
        <w:t>After</w:t>
      </w:r>
      <w:r>
        <w:rPr>
          <w:rFonts w:ascii="Palatino Linotype" w:hAnsi="Palatino Linotype"/>
          <w:i/>
          <w:color w:val="231F20"/>
          <w:spacing w:val="-11"/>
          <w:sz w:val="21"/>
        </w:rPr>
        <w:t> </w:t>
      </w:r>
      <w:r>
        <w:rPr>
          <w:rFonts w:ascii="Palatino Linotype" w:hAnsi="Palatino Linotype"/>
          <w:i/>
          <w:color w:val="231F20"/>
          <w:sz w:val="21"/>
        </w:rPr>
        <w:t>moder- </w:t>
      </w:r>
      <w:r>
        <w:rPr>
          <w:rFonts w:ascii="Palatino Linotype" w:hAnsi="Palatino Linotype"/>
          <w:i/>
          <w:color w:val="231F20"/>
          <w:w w:val="95"/>
          <w:sz w:val="21"/>
        </w:rPr>
        <w:t>nity</w:t>
      </w:r>
      <w:r>
        <w:rPr>
          <w:color w:val="231F20"/>
          <w:w w:val="95"/>
          <w:sz w:val="21"/>
        </w:rPr>
        <w:t>, Routledge,</w:t>
      </w:r>
      <w:r>
        <w:rPr>
          <w:color w:val="231F20"/>
          <w:spacing w:val="32"/>
          <w:w w:val="95"/>
          <w:sz w:val="21"/>
        </w:rPr>
        <w:t> </w:t>
      </w:r>
      <w:r>
        <w:rPr>
          <w:color w:val="231F20"/>
          <w:w w:val="95"/>
          <w:sz w:val="21"/>
        </w:rPr>
        <w:t>Londres.</w:t>
      </w:r>
    </w:p>
    <w:p>
      <w:pPr>
        <w:pStyle w:val="BodyText"/>
        <w:spacing w:before="6"/>
        <w:rPr>
          <w:sz w:val="18"/>
        </w:rPr>
      </w:pPr>
    </w:p>
    <w:p>
      <w:pPr>
        <w:pStyle w:val="BodyText"/>
        <w:spacing w:line="254" w:lineRule="auto" w:before="58"/>
        <w:ind w:left="104" w:right="711"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1"/>
        </w:rPr>
        <w:t> </w:t>
      </w:r>
      <w:r>
        <w:rPr>
          <w:color w:val="231F20"/>
        </w:rPr>
        <w:t>(1988),</w:t>
      </w:r>
      <w:r>
        <w:rPr>
          <w:color w:val="231F20"/>
          <w:spacing w:val="-15"/>
        </w:rPr>
        <w:t> </w:t>
      </w:r>
      <w:r>
        <w:rPr>
          <w:color w:val="231F20"/>
        </w:rPr>
        <w:t>“Flexible</w:t>
      </w:r>
      <w:r>
        <w:rPr>
          <w:color w:val="231F20"/>
          <w:spacing w:val="-15"/>
        </w:rPr>
        <w:t> </w:t>
      </w:r>
      <w:r>
        <w:rPr>
          <w:color w:val="231F20"/>
        </w:rPr>
        <w:t>Specialization</w:t>
      </w:r>
      <w:r>
        <w:rPr>
          <w:color w:val="231F20"/>
          <w:spacing w:val="-15"/>
        </w:rPr>
        <w:t> </w:t>
      </w:r>
      <w:r>
        <w:rPr>
          <w:color w:val="231F20"/>
        </w:rPr>
        <w:t>and</w:t>
      </w:r>
      <w:r>
        <w:rPr>
          <w:color w:val="231F20"/>
          <w:spacing w:val="-15"/>
        </w:rPr>
        <w:t> </w:t>
      </w:r>
      <w:r>
        <w:rPr>
          <w:color w:val="231F20"/>
        </w:rPr>
        <w:t>the</w:t>
      </w:r>
      <w:r>
        <w:rPr>
          <w:color w:val="231F20"/>
          <w:spacing w:val="-15"/>
        </w:rPr>
        <w:t> </w:t>
      </w:r>
      <w:r>
        <w:rPr>
          <w:color w:val="231F20"/>
        </w:rPr>
        <w:t>Re-Emergence</w:t>
      </w:r>
      <w:r>
        <w:rPr>
          <w:color w:val="231F20"/>
          <w:spacing w:val="-15"/>
        </w:rPr>
        <w:t> </w:t>
      </w:r>
      <w:r>
        <w:rPr>
          <w:color w:val="231F20"/>
        </w:rPr>
        <w:t>of</w:t>
      </w:r>
      <w:r>
        <w:rPr>
          <w:color w:val="231F20"/>
          <w:spacing w:val="-15"/>
        </w:rPr>
        <w:t> </w:t>
      </w:r>
      <w:r>
        <w:rPr>
          <w:color w:val="231F20"/>
        </w:rPr>
        <w:t>Regional</w:t>
      </w:r>
      <w:r>
        <w:rPr>
          <w:color w:val="231F20"/>
          <w:spacing w:val="-15"/>
        </w:rPr>
        <w:t> </w:t>
      </w:r>
      <w:r>
        <w:rPr>
          <w:color w:val="231F20"/>
        </w:rPr>
        <w:t>Econo- </w:t>
      </w:r>
      <w:r>
        <w:rPr>
          <w:color w:val="231F20"/>
          <w:spacing w:val="-8"/>
        </w:rPr>
        <w:t>mies”,</w:t>
      </w:r>
      <w:r>
        <w:rPr>
          <w:color w:val="231F20"/>
          <w:spacing w:val="-22"/>
        </w:rPr>
        <w:t> </w:t>
      </w:r>
      <w:r>
        <w:rPr>
          <w:color w:val="231F20"/>
        </w:rPr>
        <w:t>en</w:t>
      </w:r>
      <w:r>
        <w:rPr>
          <w:color w:val="231F20"/>
          <w:spacing w:val="-22"/>
        </w:rPr>
        <w:t> </w:t>
      </w:r>
      <w:r>
        <w:rPr>
          <w:color w:val="231F20"/>
          <w:spacing w:val="-15"/>
        </w:rPr>
        <w:t>P.</w:t>
      </w:r>
      <w:r>
        <w:rPr>
          <w:color w:val="231F20"/>
          <w:spacing w:val="-22"/>
        </w:rPr>
        <w:t> </w:t>
      </w:r>
      <w:r>
        <w:rPr>
          <w:color w:val="231F20"/>
        </w:rPr>
        <w:t>Hirst</w:t>
      </w:r>
      <w:r>
        <w:rPr>
          <w:color w:val="231F20"/>
          <w:spacing w:val="-22"/>
        </w:rPr>
        <w:t> </w:t>
      </w:r>
      <w:r>
        <w:rPr>
          <w:color w:val="231F20"/>
        </w:rPr>
        <w:t>y</w:t>
      </w:r>
      <w:r>
        <w:rPr>
          <w:color w:val="231F20"/>
          <w:spacing w:val="-22"/>
        </w:rPr>
        <w:t> </w:t>
      </w:r>
      <w:r>
        <w:rPr>
          <w:color w:val="231F20"/>
          <w:spacing w:val="-5"/>
        </w:rPr>
        <w:t>J.</w:t>
      </w:r>
      <w:r>
        <w:rPr>
          <w:color w:val="231F20"/>
          <w:spacing w:val="-22"/>
        </w:rPr>
        <w:t> </w:t>
      </w:r>
      <w:r>
        <w:rPr>
          <w:color w:val="231F20"/>
        </w:rPr>
        <w:t>Zeitlin</w:t>
      </w:r>
      <w:r>
        <w:rPr>
          <w:color w:val="231F20"/>
          <w:spacing w:val="-22"/>
        </w:rPr>
        <w:t> </w:t>
      </w:r>
      <w:r>
        <w:rPr>
          <w:color w:val="231F20"/>
        </w:rPr>
        <w:t>(eds.),</w:t>
      </w:r>
      <w:r>
        <w:rPr>
          <w:color w:val="231F20"/>
          <w:spacing w:val="-22"/>
        </w:rPr>
        <w:t> </w:t>
      </w:r>
      <w:r>
        <w:rPr>
          <w:rFonts w:ascii="Palatino Linotype" w:hAnsi="Palatino Linotype"/>
          <w:i/>
          <w:color w:val="231F20"/>
        </w:rPr>
        <w:t>Reversing</w:t>
      </w:r>
      <w:r>
        <w:rPr>
          <w:rFonts w:ascii="Palatino Linotype" w:hAnsi="Palatino Linotype"/>
          <w:i/>
          <w:color w:val="231F20"/>
          <w:spacing w:val="-22"/>
        </w:rPr>
        <w:t> </w:t>
      </w:r>
      <w:r>
        <w:rPr>
          <w:rFonts w:ascii="Palatino Linotype" w:hAnsi="Palatino Linotype"/>
          <w:i/>
          <w:color w:val="231F20"/>
          <w:spacing w:val="-3"/>
        </w:rPr>
        <w:t>Industrial</w:t>
      </w:r>
      <w:r>
        <w:rPr>
          <w:rFonts w:ascii="Palatino Linotype" w:hAnsi="Palatino Linotype"/>
          <w:i/>
          <w:color w:val="231F20"/>
          <w:spacing w:val="-22"/>
        </w:rPr>
        <w:t> </w:t>
      </w:r>
      <w:r>
        <w:rPr>
          <w:rFonts w:ascii="Palatino Linotype" w:hAnsi="Palatino Linotype"/>
          <w:i/>
          <w:color w:val="231F20"/>
        </w:rPr>
        <w:t>Decline</w:t>
      </w:r>
      <w:r>
        <w:rPr>
          <w:color w:val="231F20"/>
        </w:rPr>
        <w:t>,</w:t>
      </w:r>
      <w:r>
        <w:rPr>
          <w:color w:val="231F20"/>
          <w:spacing w:val="-22"/>
        </w:rPr>
        <w:t> </w:t>
      </w:r>
      <w:r>
        <w:rPr>
          <w:color w:val="231F20"/>
        </w:rPr>
        <w:t>Berg,</w:t>
      </w:r>
      <w:r>
        <w:rPr>
          <w:color w:val="231F20"/>
          <w:spacing w:val="-22"/>
        </w:rPr>
        <w:t> </w:t>
      </w:r>
      <w:r>
        <w:rPr>
          <w:color w:val="231F20"/>
        </w:rPr>
        <w:t>Oxford.</w:t>
      </w:r>
    </w:p>
    <w:p>
      <w:pPr>
        <w:pStyle w:val="BodyText"/>
        <w:spacing w:before="6"/>
        <w:rPr>
          <w:sz w:val="22"/>
        </w:rPr>
      </w:pPr>
    </w:p>
    <w:p>
      <w:pPr>
        <w:spacing w:line="256" w:lineRule="auto" w:before="0"/>
        <w:ind w:left="104" w:right="711" w:firstLine="396"/>
        <w:jc w:val="both"/>
        <w:rPr>
          <w:sz w:val="21"/>
        </w:rPr>
      </w:pPr>
      <w:r>
        <w:rPr>
          <w:color w:val="231F20"/>
          <w:sz w:val="21"/>
        </w:rPr>
        <w:t>Sachon,</w:t>
      </w:r>
      <w:r>
        <w:rPr>
          <w:color w:val="231F20"/>
          <w:spacing w:val="-12"/>
          <w:sz w:val="21"/>
        </w:rPr>
        <w:t> </w:t>
      </w:r>
      <w:r>
        <w:rPr>
          <w:color w:val="231F20"/>
          <w:spacing w:val="-3"/>
          <w:sz w:val="21"/>
        </w:rPr>
        <w:t>Marc</w:t>
      </w:r>
      <w:r>
        <w:rPr>
          <w:color w:val="231F20"/>
          <w:spacing w:val="-12"/>
          <w:sz w:val="21"/>
        </w:rPr>
        <w:t> </w:t>
      </w:r>
      <w:r>
        <w:rPr>
          <w:color w:val="231F20"/>
          <w:sz w:val="21"/>
        </w:rPr>
        <w:t>y</w:t>
      </w:r>
      <w:r>
        <w:rPr>
          <w:color w:val="231F20"/>
          <w:spacing w:val="-12"/>
          <w:sz w:val="21"/>
        </w:rPr>
        <w:t> </w:t>
      </w:r>
      <w:r>
        <w:rPr>
          <w:color w:val="231F20"/>
          <w:sz w:val="21"/>
        </w:rPr>
        <w:t>Daniel</w:t>
      </w:r>
      <w:r>
        <w:rPr>
          <w:color w:val="231F20"/>
          <w:spacing w:val="-12"/>
          <w:sz w:val="21"/>
        </w:rPr>
        <w:t> </w:t>
      </w:r>
      <w:r>
        <w:rPr>
          <w:color w:val="231F20"/>
          <w:sz w:val="21"/>
        </w:rPr>
        <w:t>Albiñana</w:t>
      </w:r>
      <w:r>
        <w:rPr>
          <w:color w:val="231F20"/>
          <w:spacing w:val="-12"/>
          <w:sz w:val="21"/>
        </w:rPr>
        <w:t> </w:t>
      </w:r>
      <w:r>
        <w:rPr>
          <w:color w:val="231F20"/>
          <w:sz w:val="21"/>
        </w:rPr>
        <w:t>(2004),</w:t>
      </w:r>
      <w:r>
        <w:rPr>
          <w:color w:val="231F20"/>
          <w:spacing w:val="-12"/>
          <w:sz w:val="21"/>
        </w:rPr>
        <w:t> </w:t>
      </w:r>
      <w:r>
        <w:rPr>
          <w:color w:val="231F20"/>
          <w:sz w:val="21"/>
        </w:rPr>
        <w:t>“Sector</w:t>
      </w:r>
      <w:r>
        <w:rPr>
          <w:color w:val="231F20"/>
          <w:spacing w:val="-12"/>
          <w:sz w:val="21"/>
        </w:rPr>
        <w:t> </w:t>
      </w:r>
      <w:r>
        <w:rPr>
          <w:color w:val="231F20"/>
          <w:sz w:val="21"/>
        </w:rPr>
        <w:t>español</w:t>
      </w:r>
      <w:r>
        <w:rPr>
          <w:color w:val="231F20"/>
          <w:spacing w:val="-12"/>
          <w:sz w:val="21"/>
        </w:rPr>
        <w:t> </w:t>
      </w:r>
      <w:r>
        <w:rPr>
          <w:color w:val="231F20"/>
          <w:sz w:val="21"/>
        </w:rPr>
        <w:t>del</w:t>
      </w:r>
      <w:r>
        <w:rPr>
          <w:color w:val="231F20"/>
          <w:spacing w:val="-12"/>
          <w:sz w:val="21"/>
        </w:rPr>
        <w:t> </w:t>
      </w:r>
      <w:r>
        <w:rPr>
          <w:color w:val="231F20"/>
          <w:sz w:val="21"/>
        </w:rPr>
        <w:t>automóvil:</w:t>
      </w:r>
      <w:r>
        <w:rPr>
          <w:color w:val="231F20"/>
          <w:spacing w:val="-12"/>
          <w:sz w:val="21"/>
        </w:rPr>
        <w:t> </w:t>
      </w:r>
      <w:r>
        <w:rPr>
          <w:color w:val="231F20"/>
          <w:sz w:val="21"/>
        </w:rPr>
        <w:t>¿prepara- do</w:t>
      </w:r>
      <w:r>
        <w:rPr>
          <w:color w:val="231F20"/>
          <w:spacing w:val="-20"/>
          <w:sz w:val="21"/>
        </w:rPr>
        <w:t> </w:t>
      </w:r>
      <w:r>
        <w:rPr>
          <w:color w:val="231F20"/>
          <w:sz w:val="21"/>
        </w:rPr>
        <w:t>para</w:t>
      </w:r>
      <w:r>
        <w:rPr>
          <w:color w:val="231F20"/>
          <w:spacing w:val="-20"/>
          <w:sz w:val="21"/>
        </w:rPr>
        <w:t> </w:t>
      </w:r>
      <w:r>
        <w:rPr>
          <w:color w:val="231F20"/>
          <w:sz w:val="21"/>
        </w:rPr>
        <w:t>el</w:t>
      </w:r>
      <w:r>
        <w:rPr>
          <w:color w:val="231F20"/>
          <w:spacing w:val="-20"/>
          <w:sz w:val="21"/>
        </w:rPr>
        <w:t> </w:t>
      </w:r>
      <w:r>
        <w:rPr>
          <w:color w:val="231F20"/>
          <w:spacing w:val="-4"/>
          <w:sz w:val="21"/>
        </w:rPr>
        <w:t>e-SCM?”,</w:t>
      </w:r>
      <w:r>
        <w:rPr>
          <w:color w:val="231F20"/>
          <w:spacing w:val="-20"/>
          <w:sz w:val="21"/>
        </w:rPr>
        <w:t> </w:t>
      </w:r>
      <w:r>
        <w:rPr>
          <w:rFonts w:ascii="Palatino Linotype" w:hAnsi="Palatino Linotype"/>
          <w:i/>
          <w:color w:val="231F20"/>
          <w:sz w:val="21"/>
        </w:rPr>
        <w:t>E-business</w:t>
      </w:r>
      <w:r>
        <w:rPr>
          <w:rFonts w:ascii="Palatino Linotype" w:hAnsi="Palatino Linotype"/>
          <w:i/>
          <w:color w:val="231F20"/>
          <w:spacing w:val="-20"/>
          <w:sz w:val="21"/>
        </w:rPr>
        <w:t> </w:t>
      </w:r>
      <w:r>
        <w:rPr>
          <w:rFonts w:ascii="Palatino Linotype" w:hAnsi="Palatino Linotype"/>
          <w:i/>
          <w:color w:val="231F20"/>
          <w:sz w:val="21"/>
        </w:rPr>
        <w:t>Center</w:t>
      </w:r>
      <w:r>
        <w:rPr>
          <w:rFonts w:ascii="Palatino Linotype" w:hAnsi="Palatino Linotype"/>
          <w:i/>
          <w:color w:val="231F20"/>
          <w:spacing w:val="-20"/>
          <w:sz w:val="21"/>
        </w:rPr>
        <w:t> </w:t>
      </w:r>
      <w:r>
        <w:rPr>
          <w:rFonts w:ascii="Palatino Linotype" w:hAnsi="Palatino Linotype"/>
          <w:i/>
          <w:color w:val="231F20"/>
          <w:sz w:val="21"/>
        </w:rPr>
        <w:t>PricewaterhouseCoopers</w:t>
      </w:r>
      <w:r>
        <w:rPr>
          <w:rFonts w:ascii="Palatino Linotype" w:hAnsi="Palatino Linotype"/>
          <w:i/>
          <w:color w:val="231F20"/>
          <w:spacing w:val="-20"/>
          <w:sz w:val="21"/>
        </w:rPr>
        <w:t> </w:t>
      </w:r>
      <w:r>
        <w:rPr>
          <w:rFonts w:ascii="Palatino Linotype" w:hAnsi="Palatino Linotype"/>
          <w:i/>
          <w:color w:val="231F20"/>
          <w:sz w:val="21"/>
        </w:rPr>
        <w:t>&amp;</w:t>
      </w:r>
      <w:r>
        <w:rPr>
          <w:rFonts w:ascii="Palatino Linotype" w:hAnsi="Palatino Linotype"/>
          <w:i/>
          <w:color w:val="231F20"/>
          <w:spacing w:val="-20"/>
          <w:sz w:val="21"/>
        </w:rPr>
        <w:t> </w:t>
      </w:r>
      <w:r>
        <w:rPr>
          <w:rFonts w:ascii="Palatino Linotype" w:hAnsi="Palatino Linotype"/>
          <w:i/>
          <w:color w:val="231F20"/>
          <w:sz w:val="21"/>
        </w:rPr>
        <w:t>IESE</w:t>
      </w:r>
      <w:r>
        <w:rPr>
          <w:color w:val="231F20"/>
          <w:sz w:val="21"/>
        </w:rPr>
        <w:t>,</w:t>
      </w:r>
      <w:r>
        <w:rPr>
          <w:color w:val="231F20"/>
          <w:spacing w:val="-20"/>
          <w:sz w:val="21"/>
        </w:rPr>
        <w:t> </w:t>
      </w:r>
      <w:r>
        <w:rPr>
          <w:color w:val="231F20"/>
          <w:sz w:val="21"/>
        </w:rPr>
        <w:t>consultado</w:t>
      </w:r>
      <w:r>
        <w:rPr>
          <w:color w:val="231F20"/>
          <w:spacing w:val="-20"/>
          <w:sz w:val="21"/>
        </w:rPr>
        <w:t> </w:t>
      </w:r>
      <w:r>
        <w:rPr>
          <w:color w:val="231F20"/>
          <w:sz w:val="21"/>
        </w:rPr>
        <w:t>en </w:t>
      </w:r>
      <w:hyperlink r:id="rId388">
        <w:r>
          <w:rPr>
            <w:color w:val="231F20"/>
            <w:sz w:val="21"/>
          </w:rPr>
          <w:t>http://www.iese.edu/en/files/6_12898.pdf</w:t>
        </w:r>
      </w:hyperlink>
      <w:r>
        <w:rPr>
          <w:color w:val="231F20"/>
          <w:spacing w:val="-20"/>
          <w:sz w:val="21"/>
        </w:rPr>
        <w:t> </w:t>
      </w:r>
      <w:r>
        <w:rPr>
          <w:color w:val="231F20"/>
          <w:sz w:val="21"/>
        </w:rPr>
        <w:t>(10</w:t>
      </w:r>
      <w:r>
        <w:rPr>
          <w:color w:val="231F20"/>
          <w:spacing w:val="-20"/>
          <w:sz w:val="21"/>
        </w:rPr>
        <w:t> </w:t>
      </w:r>
      <w:r>
        <w:rPr>
          <w:color w:val="231F20"/>
          <w:sz w:val="21"/>
        </w:rPr>
        <w:t>de</w:t>
      </w:r>
      <w:r>
        <w:rPr>
          <w:color w:val="231F20"/>
          <w:spacing w:val="-20"/>
          <w:sz w:val="21"/>
        </w:rPr>
        <w:t> </w:t>
      </w:r>
      <w:r>
        <w:rPr>
          <w:color w:val="231F20"/>
          <w:sz w:val="21"/>
        </w:rPr>
        <w:t>agosto</w:t>
      </w:r>
      <w:r>
        <w:rPr>
          <w:color w:val="231F20"/>
          <w:spacing w:val="-20"/>
          <w:sz w:val="21"/>
        </w:rPr>
        <w:t> </w:t>
      </w:r>
      <w:r>
        <w:rPr>
          <w:color w:val="231F20"/>
          <w:sz w:val="21"/>
        </w:rPr>
        <w:t>de</w:t>
      </w:r>
      <w:r>
        <w:rPr>
          <w:color w:val="231F20"/>
          <w:spacing w:val="-20"/>
          <w:sz w:val="21"/>
        </w:rPr>
        <w:t> </w:t>
      </w:r>
      <w:r>
        <w:rPr>
          <w:color w:val="231F20"/>
          <w:sz w:val="21"/>
        </w:rPr>
        <w:t>2009).</w:t>
      </w:r>
    </w:p>
    <w:p>
      <w:pPr>
        <w:pStyle w:val="BodyText"/>
        <w:spacing w:before="1"/>
        <w:rPr>
          <w:sz w:val="24"/>
        </w:rPr>
      </w:pPr>
    </w:p>
    <w:p>
      <w:pPr>
        <w:pStyle w:val="BodyText"/>
        <w:spacing w:line="256" w:lineRule="auto"/>
        <w:ind w:left="104" w:right="711" w:firstLine="396"/>
        <w:jc w:val="both"/>
      </w:pPr>
      <w:r>
        <w:rPr>
          <w:color w:val="231F20"/>
        </w:rPr>
        <w:t>Santarini, Michel (2006), “Design Challenges Steer Automotive Electronics”, </w:t>
      </w:r>
      <w:r>
        <w:rPr>
          <w:rFonts w:ascii="Palatino Linotype" w:hAnsi="Palatino Linotype"/>
          <w:i/>
          <w:color w:val="231F20"/>
        </w:rPr>
        <w:t>Revista electrónica EDN</w:t>
      </w:r>
      <w:r>
        <w:rPr>
          <w:color w:val="231F20"/>
        </w:rPr>
        <w:t>, consultado en </w:t>
      </w:r>
      <w:hyperlink r:id="rId389">
        <w:r>
          <w:rPr>
            <w:color w:val="231F20"/>
          </w:rPr>
          <w:t>http://www.mathworks.com/company/pres-</w:t>
        </w:r>
      </w:hyperlink>
      <w:r>
        <w:rPr>
          <w:color w:val="231F20"/>
        </w:rPr>
        <w:t> sroom/press_covrg_pdfs/1.5.06_edn.pdf (15 de marzo de 2009).</w:t>
      </w:r>
    </w:p>
    <w:p>
      <w:pPr>
        <w:pStyle w:val="BodyText"/>
        <w:spacing w:before="11"/>
      </w:pPr>
    </w:p>
    <w:p>
      <w:pPr>
        <w:spacing w:line="256" w:lineRule="auto" w:before="0"/>
        <w:ind w:left="104" w:right="707" w:firstLine="396"/>
        <w:jc w:val="both"/>
        <w:rPr>
          <w:sz w:val="21"/>
        </w:rPr>
      </w:pPr>
      <w:r>
        <w:rPr>
          <w:color w:val="231F20"/>
          <w:sz w:val="21"/>
        </w:rPr>
        <w:t>Secretaría de Economía (2013), “Inversión Extranjera </w:t>
      </w:r>
      <w:r>
        <w:rPr>
          <w:color w:val="231F20"/>
          <w:spacing w:val="-6"/>
          <w:sz w:val="21"/>
        </w:rPr>
        <w:t>Directa”, </w:t>
      </w:r>
      <w:r>
        <w:rPr>
          <w:rFonts w:ascii="Palatino Linotype" w:hAnsi="Palatino Linotype"/>
          <w:i/>
          <w:color w:val="231F20"/>
          <w:sz w:val="21"/>
        </w:rPr>
        <w:t>Estadística</w:t>
      </w:r>
      <w:r>
        <w:rPr>
          <w:rFonts w:ascii="Palatino Linotype" w:hAnsi="Palatino Linotype"/>
          <w:i/>
          <w:color w:val="231F20"/>
          <w:spacing w:val="-28"/>
          <w:sz w:val="21"/>
        </w:rPr>
        <w:t> </w:t>
      </w:r>
      <w:r>
        <w:rPr>
          <w:rFonts w:ascii="Palatino Linotype" w:hAnsi="Palatino Linotype"/>
          <w:i/>
          <w:color w:val="231F20"/>
          <w:sz w:val="21"/>
        </w:rPr>
        <w:t>oficial </w:t>
      </w:r>
      <w:r>
        <w:rPr>
          <w:rFonts w:ascii="Palatino Linotype" w:hAnsi="Palatino Linotype"/>
          <w:i/>
          <w:color w:val="231F20"/>
          <w:sz w:val="21"/>
        </w:rPr>
        <w:t>de los </w:t>
      </w:r>
      <w:r>
        <w:rPr>
          <w:rFonts w:ascii="Palatino Linotype" w:hAnsi="Palatino Linotype"/>
          <w:i/>
          <w:color w:val="231F20"/>
          <w:spacing w:val="3"/>
          <w:sz w:val="21"/>
        </w:rPr>
        <w:t>flujos </w:t>
      </w:r>
      <w:r>
        <w:rPr>
          <w:rFonts w:ascii="Palatino Linotype" w:hAnsi="Palatino Linotype"/>
          <w:i/>
          <w:color w:val="231F20"/>
          <w:sz w:val="21"/>
        </w:rPr>
        <w:t>de </w:t>
      </w:r>
      <w:r>
        <w:rPr>
          <w:rFonts w:ascii="Palatino Linotype" w:hAnsi="Palatino Linotype"/>
          <w:i/>
          <w:color w:val="231F20"/>
          <w:spacing w:val="2"/>
          <w:sz w:val="21"/>
        </w:rPr>
        <w:t>IED hacia </w:t>
      </w:r>
      <w:r>
        <w:rPr>
          <w:rFonts w:ascii="Palatino Linotype" w:hAnsi="Palatino Linotype"/>
          <w:i/>
          <w:color w:val="231F20"/>
          <w:sz w:val="21"/>
        </w:rPr>
        <w:t>México</w:t>
      </w:r>
      <w:r>
        <w:rPr>
          <w:color w:val="231F20"/>
          <w:sz w:val="21"/>
        </w:rPr>
        <w:t>, </w:t>
      </w:r>
      <w:r>
        <w:rPr>
          <w:color w:val="231F20"/>
          <w:spacing w:val="2"/>
          <w:sz w:val="21"/>
        </w:rPr>
        <w:t>consultado </w:t>
      </w:r>
      <w:r>
        <w:rPr>
          <w:color w:val="231F20"/>
          <w:sz w:val="21"/>
        </w:rPr>
        <w:t>en </w:t>
      </w:r>
      <w:hyperlink r:id="rId390">
        <w:r>
          <w:rPr>
            <w:color w:val="231F20"/>
            <w:spacing w:val="2"/>
            <w:sz w:val="21"/>
          </w:rPr>
          <w:t>http://www.economia.gob.mx/</w:t>
        </w:r>
      </w:hyperlink>
      <w:r>
        <w:rPr>
          <w:color w:val="231F20"/>
          <w:spacing w:val="56"/>
          <w:sz w:val="21"/>
        </w:rPr>
        <w:t> </w:t>
      </w:r>
      <w:r>
        <w:rPr>
          <w:color w:val="231F20"/>
          <w:spacing w:val="4"/>
          <w:sz w:val="21"/>
        </w:rPr>
        <w:t>comunidad-negocios/competitividad-normatividad/inversion-extranjera-directa </w:t>
      </w:r>
      <w:r>
        <w:rPr>
          <w:color w:val="231F20"/>
          <w:spacing w:val="2"/>
          <w:sz w:val="21"/>
        </w:rPr>
        <w:t>(12 </w:t>
      </w:r>
      <w:r>
        <w:rPr>
          <w:color w:val="231F20"/>
          <w:sz w:val="21"/>
        </w:rPr>
        <w:t>de febrero de</w:t>
      </w:r>
      <w:r>
        <w:rPr>
          <w:color w:val="231F20"/>
          <w:spacing w:val="15"/>
          <w:sz w:val="21"/>
        </w:rPr>
        <w:t> </w:t>
      </w:r>
      <w:r>
        <w:rPr>
          <w:color w:val="231F20"/>
          <w:spacing w:val="4"/>
          <w:sz w:val="21"/>
        </w:rPr>
        <w:t>2014).</w:t>
      </w:r>
    </w:p>
    <w:p>
      <w:pPr>
        <w:pStyle w:val="BodyText"/>
        <w:spacing w:before="1"/>
        <w:rPr>
          <w:sz w:val="19"/>
        </w:rPr>
      </w:pPr>
    </w:p>
    <w:p>
      <w:pPr>
        <w:pStyle w:val="BodyText"/>
        <w:spacing w:line="271" w:lineRule="auto" w:before="34"/>
        <w:ind w:left="103" w:right="711" w:firstLine="396"/>
        <w:jc w:val="both"/>
      </w:pPr>
      <w:r>
        <w:rPr>
          <w:color w:val="231F20"/>
          <w:w w:val="90"/>
          <w:u w:val="single" w:color="231F20"/>
        </w:rPr>
        <w:t> </w:t>
      </w:r>
      <w:r>
        <w:rPr>
          <w:color w:val="231F20"/>
          <w:u w:val="single" w:color="231F20"/>
        </w:rPr>
        <w:t>         </w:t>
      </w:r>
      <w:r>
        <w:rPr>
          <w:color w:val="231F20"/>
          <w:spacing w:val="-10"/>
        </w:rPr>
        <w:t> </w:t>
      </w:r>
      <w:r>
        <w:rPr>
          <w:color w:val="231F20"/>
        </w:rPr>
        <w:t>(2012), “Industria </w:t>
      </w:r>
      <w:r>
        <w:rPr>
          <w:color w:val="231F20"/>
          <w:spacing w:val="-5"/>
        </w:rPr>
        <w:t>automotriz”, </w:t>
      </w:r>
      <w:r>
        <w:rPr>
          <w:rFonts w:ascii="Palatino Linotype" w:hAnsi="Palatino Linotype"/>
          <w:i/>
          <w:color w:val="231F20"/>
        </w:rPr>
        <w:t>Monografía</w:t>
      </w:r>
      <w:r>
        <w:rPr>
          <w:color w:val="231F20"/>
        </w:rPr>
        <w:t>, Dirección General de Indus- trias Pesadas y de Alta Tecnología, México, consultado en </w:t>
      </w:r>
      <w:hyperlink r:id="rId391">
        <w:r>
          <w:rPr>
            <w:color w:val="231F20"/>
            <w:spacing w:val="-5"/>
          </w:rPr>
          <w:t>http://www.economia.gob.</w:t>
        </w:r>
      </w:hyperlink>
      <w:r>
        <w:rPr>
          <w:color w:val="231F20"/>
          <w:spacing w:val="-5"/>
        </w:rPr>
        <w:t> </w:t>
      </w:r>
      <w:r>
        <w:rPr>
          <w:color w:val="231F20"/>
          <w:spacing w:val="-4"/>
        </w:rPr>
        <w:t>mx/files/comunidad_negocios/industria_comercio/Monografia_Industria_Automotriz_ MARZO_2012.pdf </w:t>
      </w:r>
      <w:r>
        <w:rPr>
          <w:color w:val="231F20"/>
          <w:spacing w:val="-3"/>
        </w:rPr>
        <w:t>(17 </w:t>
      </w:r>
      <w:r>
        <w:rPr>
          <w:color w:val="231F20"/>
        </w:rPr>
        <w:t>de </w:t>
      </w:r>
      <w:r>
        <w:rPr>
          <w:color w:val="231F20"/>
          <w:spacing w:val="-4"/>
        </w:rPr>
        <w:t>mayo </w:t>
      </w:r>
      <w:r>
        <w:rPr>
          <w:color w:val="231F20"/>
        </w:rPr>
        <w:t>de </w:t>
      </w:r>
      <w:r>
        <w:rPr>
          <w:color w:val="231F20"/>
          <w:spacing w:val="-4"/>
        </w:rPr>
        <w:t>2014).</w:t>
      </w:r>
    </w:p>
    <w:p>
      <w:pPr>
        <w:pStyle w:val="BodyText"/>
        <w:spacing w:before="9"/>
        <w:rPr>
          <w:sz w:val="17"/>
        </w:rPr>
      </w:pPr>
    </w:p>
    <w:p>
      <w:pPr>
        <w:spacing w:line="247" w:lineRule="auto" w:before="34"/>
        <w:ind w:left="103" w:right="711" w:firstLine="396"/>
        <w:jc w:val="both"/>
        <w:rPr>
          <w:sz w:val="21"/>
        </w:rPr>
      </w:pPr>
      <w:r>
        <w:rPr>
          <w:color w:val="231F20"/>
          <w:w w:val="90"/>
          <w:sz w:val="21"/>
          <w:u w:val="single" w:color="231F20"/>
        </w:rPr>
        <w:t> </w:t>
      </w:r>
      <w:r>
        <w:rPr>
          <w:color w:val="231F20"/>
          <w:sz w:val="21"/>
          <w:u w:val="single" w:color="231F20"/>
        </w:rPr>
        <w:t>         </w:t>
      </w:r>
      <w:r>
        <w:rPr>
          <w:color w:val="231F20"/>
          <w:sz w:val="21"/>
        </w:rPr>
        <w:t> (2009), “Industria Automotriz”, </w:t>
      </w:r>
      <w:r>
        <w:rPr>
          <w:rFonts w:ascii="Palatino Linotype" w:hAnsi="Palatino Linotype"/>
          <w:i/>
          <w:color w:val="231F20"/>
          <w:sz w:val="21"/>
        </w:rPr>
        <w:t>Industria y Comercio. Información Secto- </w:t>
      </w:r>
      <w:r>
        <w:rPr>
          <w:rFonts w:ascii="Palatino Linotype" w:hAnsi="Palatino Linotype"/>
          <w:i/>
          <w:color w:val="231F20"/>
          <w:sz w:val="21"/>
        </w:rPr>
        <w:t>rial</w:t>
      </w:r>
      <w:r>
        <w:rPr>
          <w:color w:val="231F20"/>
          <w:sz w:val="21"/>
        </w:rPr>
        <w:t>, consultado en </w:t>
      </w:r>
      <w:hyperlink r:id="rId392">
        <w:r>
          <w:rPr>
            <w:color w:val="231F20"/>
            <w:sz w:val="21"/>
          </w:rPr>
          <w:t>http://www.economia.gob.mx/comunidad-negocios/industria-y-</w:t>
        </w:r>
      </w:hyperlink>
      <w:r>
        <w:rPr>
          <w:color w:val="231F20"/>
          <w:sz w:val="21"/>
        </w:rPr>
        <w:t> comercio/informacion-sectorial (14 de abril de 2014).</w:t>
      </w:r>
    </w:p>
    <w:p>
      <w:pPr>
        <w:spacing w:after="0" w:line="247" w:lineRule="auto"/>
        <w:jc w:val="both"/>
        <w:rPr>
          <w:sz w:val="21"/>
        </w:rPr>
        <w:sectPr>
          <w:pgSz w:w="9640" w:h="13040"/>
          <w:pgMar w:header="580" w:footer="654" w:top="780" w:bottom="840" w:left="1200" w:right="420"/>
        </w:sectPr>
      </w:pPr>
    </w:p>
    <w:p>
      <w:pPr>
        <w:pStyle w:val="BodyText"/>
        <w:rPr>
          <w:sz w:val="20"/>
        </w:rPr>
      </w:pPr>
    </w:p>
    <w:p>
      <w:pPr>
        <w:pStyle w:val="BodyText"/>
        <w:spacing w:before="6"/>
      </w:pPr>
    </w:p>
    <w:p>
      <w:pPr>
        <w:pStyle w:val="BodyText"/>
        <w:spacing w:line="256" w:lineRule="auto" w:before="58"/>
        <w:ind w:left="713" w:right="121" w:firstLine="396"/>
        <w:jc w:val="both"/>
      </w:pPr>
      <w:r>
        <w:rPr>
          <w:color w:val="231F20"/>
        </w:rPr>
        <w:t>Solís Peña, Margarita (2006), “México recibe nuevas inversiones de Chrysler, </w:t>
      </w:r>
      <w:r>
        <w:rPr>
          <w:color w:val="231F20"/>
          <w:spacing w:val="-5"/>
        </w:rPr>
        <w:t>Ford </w:t>
      </w:r>
      <w:r>
        <w:rPr>
          <w:color w:val="231F20"/>
        </w:rPr>
        <w:t>y </w:t>
      </w:r>
      <w:r>
        <w:rPr>
          <w:color w:val="231F20"/>
          <w:spacing w:val="-4"/>
        </w:rPr>
        <w:t>Honda </w:t>
      </w:r>
      <w:r>
        <w:rPr>
          <w:color w:val="231F20"/>
          <w:spacing w:val="-3"/>
        </w:rPr>
        <w:t>este </w:t>
      </w:r>
      <w:r>
        <w:rPr>
          <w:color w:val="231F20"/>
          <w:spacing w:val="-13"/>
        </w:rPr>
        <w:t>año”, </w:t>
      </w:r>
      <w:r>
        <w:rPr>
          <w:rFonts w:ascii="Palatino Linotype" w:hAnsi="Palatino Linotype"/>
          <w:i/>
          <w:color w:val="231F20"/>
        </w:rPr>
        <w:t>La </w:t>
      </w:r>
      <w:r>
        <w:rPr>
          <w:rFonts w:ascii="Palatino Linotype" w:hAnsi="Palatino Linotype"/>
          <w:i/>
          <w:color w:val="231F20"/>
          <w:spacing w:val="-5"/>
        </w:rPr>
        <w:t>Crónica</w:t>
      </w:r>
      <w:r>
        <w:rPr>
          <w:color w:val="231F20"/>
          <w:spacing w:val="-5"/>
        </w:rPr>
        <w:t>, </w:t>
      </w:r>
      <w:r>
        <w:rPr>
          <w:color w:val="231F20"/>
          <w:spacing w:val="-3"/>
        </w:rPr>
        <w:t>consultado </w:t>
      </w:r>
      <w:r>
        <w:rPr>
          <w:color w:val="231F20"/>
        </w:rPr>
        <w:t>en </w:t>
      </w:r>
      <w:hyperlink r:id="rId395">
        <w:r>
          <w:rPr>
            <w:color w:val="231F20"/>
            <w:spacing w:val="-4"/>
          </w:rPr>
          <w:t>http://www.cronica.com.mx/notas/</w:t>
        </w:r>
      </w:hyperlink>
      <w:r>
        <w:rPr>
          <w:color w:val="231F20"/>
          <w:spacing w:val="-4"/>
        </w:rPr>
        <w:t> </w:t>
      </w:r>
      <w:r>
        <w:rPr>
          <w:color w:val="231F20"/>
          <w:spacing w:val="-3"/>
        </w:rPr>
        <w:t>2006/230778.html </w:t>
      </w:r>
      <w:r>
        <w:rPr>
          <w:color w:val="231F20"/>
        </w:rPr>
        <w:t>(15 de </w:t>
      </w:r>
      <w:r>
        <w:rPr>
          <w:color w:val="231F20"/>
          <w:spacing w:val="-3"/>
        </w:rPr>
        <w:t>julio </w:t>
      </w:r>
      <w:r>
        <w:rPr>
          <w:color w:val="231F20"/>
        </w:rPr>
        <w:t>de </w:t>
      </w:r>
      <w:r>
        <w:rPr>
          <w:color w:val="231F20"/>
          <w:spacing w:val="-3"/>
        </w:rPr>
        <w:t>2009).</w:t>
      </w:r>
    </w:p>
    <w:p>
      <w:pPr>
        <w:pStyle w:val="BodyText"/>
        <w:spacing w:before="7"/>
      </w:pPr>
    </w:p>
    <w:p>
      <w:pPr>
        <w:pStyle w:val="BodyText"/>
        <w:spacing w:line="280" w:lineRule="exact" w:before="1"/>
        <w:ind w:left="713" w:right="121" w:firstLine="396"/>
        <w:jc w:val="both"/>
      </w:pPr>
      <w:r>
        <w:rPr>
          <w:color w:val="231F20"/>
        </w:rPr>
        <w:t>Stewart,</w:t>
      </w:r>
      <w:r>
        <w:rPr>
          <w:color w:val="231F20"/>
          <w:spacing w:val="-18"/>
        </w:rPr>
        <w:t> </w:t>
      </w:r>
      <w:r>
        <w:rPr>
          <w:color w:val="231F20"/>
          <w:spacing w:val="-11"/>
        </w:rPr>
        <w:t>T.</w:t>
      </w:r>
      <w:r>
        <w:rPr>
          <w:color w:val="231F20"/>
          <w:spacing w:val="-18"/>
        </w:rPr>
        <w:t> </w:t>
      </w:r>
      <w:r>
        <w:rPr>
          <w:color w:val="231F20"/>
        </w:rPr>
        <w:t>A.</w:t>
      </w:r>
      <w:r>
        <w:rPr>
          <w:color w:val="231F20"/>
          <w:spacing w:val="-18"/>
        </w:rPr>
        <w:t> </w:t>
      </w:r>
      <w:r>
        <w:rPr>
          <w:color w:val="231F20"/>
        </w:rPr>
        <w:t>y</w:t>
      </w:r>
      <w:r>
        <w:rPr>
          <w:color w:val="231F20"/>
          <w:spacing w:val="-18"/>
        </w:rPr>
        <w:t> </w:t>
      </w:r>
      <w:r>
        <w:rPr>
          <w:color w:val="231F20"/>
        </w:rPr>
        <w:t>Raman,</w:t>
      </w:r>
      <w:r>
        <w:rPr>
          <w:color w:val="231F20"/>
          <w:spacing w:val="-18"/>
        </w:rPr>
        <w:t> </w:t>
      </w:r>
      <w:r>
        <w:rPr>
          <w:color w:val="231F20"/>
        </w:rPr>
        <w:t>A.</w:t>
      </w:r>
      <w:r>
        <w:rPr>
          <w:color w:val="231F20"/>
          <w:spacing w:val="-18"/>
        </w:rPr>
        <w:t> </w:t>
      </w:r>
      <w:r>
        <w:rPr>
          <w:color w:val="231F20"/>
          <w:spacing w:val="-15"/>
        </w:rPr>
        <w:t>P.</w:t>
      </w:r>
      <w:r>
        <w:rPr>
          <w:color w:val="231F20"/>
          <w:spacing w:val="-18"/>
        </w:rPr>
        <w:t> </w:t>
      </w:r>
      <w:r>
        <w:rPr>
          <w:color w:val="231F20"/>
        </w:rPr>
        <w:t>(2007),</w:t>
      </w:r>
      <w:r>
        <w:rPr>
          <w:color w:val="231F20"/>
          <w:spacing w:val="-18"/>
        </w:rPr>
        <w:t> </w:t>
      </w:r>
      <w:r>
        <w:rPr>
          <w:color w:val="231F20"/>
        </w:rPr>
        <w:t>“Lessons</w:t>
      </w:r>
      <w:r>
        <w:rPr>
          <w:color w:val="231F20"/>
          <w:spacing w:val="-18"/>
        </w:rPr>
        <w:t> </w:t>
      </w:r>
      <w:r>
        <w:rPr>
          <w:color w:val="231F20"/>
        </w:rPr>
        <w:t>from</w:t>
      </w:r>
      <w:r>
        <w:rPr>
          <w:color w:val="231F20"/>
          <w:spacing w:val="-18"/>
        </w:rPr>
        <w:t> </w:t>
      </w:r>
      <w:r>
        <w:rPr>
          <w:color w:val="231F20"/>
          <w:spacing w:val="-9"/>
        </w:rPr>
        <w:t>Toyota’s</w:t>
      </w:r>
      <w:r>
        <w:rPr>
          <w:color w:val="231F20"/>
          <w:spacing w:val="-18"/>
        </w:rPr>
        <w:t> </w:t>
      </w:r>
      <w:r>
        <w:rPr>
          <w:color w:val="231F20"/>
        </w:rPr>
        <w:t>Long</w:t>
      </w:r>
      <w:r>
        <w:rPr>
          <w:color w:val="231F20"/>
          <w:spacing w:val="-18"/>
        </w:rPr>
        <w:t> </w:t>
      </w:r>
      <w:r>
        <w:rPr>
          <w:color w:val="231F20"/>
          <w:spacing w:val="-8"/>
        </w:rPr>
        <w:t>Drive”,</w:t>
      </w:r>
      <w:r>
        <w:rPr>
          <w:color w:val="231F20"/>
          <w:spacing w:val="-18"/>
        </w:rPr>
        <w:t> </w:t>
      </w:r>
      <w:r>
        <w:rPr>
          <w:rFonts w:ascii="Palatino Linotype" w:hAnsi="Palatino Linotype"/>
          <w:i/>
          <w:color w:val="231F20"/>
          <w:spacing w:val="-3"/>
        </w:rPr>
        <w:t>Harvard </w:t>
      </w:r>
      <w:r>
        <w:rPr>
          <w:rFonts w:ascii="Palatino Linotype" w:hAnsi="Palatino Linotype"/>
          <w:i/>
          <w:color w:val="231F20"/>
          <w:spacing w:val="-3"/>
        </w:rPr>
        <w:t>Business</w:t>
      </w:r>
      <w:r>
        <w:rPr>
          <w:rFonts w:ascii="Palatino Linotype" w:hAnsi="Palatino Linotype"/>
          <w:i/>
          <w:color w:val="231F20"/>
          <w:spacing w:val="-29"/>
        </w:rPr>
        <w:t> </w:t>
      </w:r>
      <w:r>
        <w:rPr>
          <w:rFonts w:ascii="Palatino Linotype" w:hAnsi="Palatino Linotype"/>
          <w:i/>
          <w:color w:val="231F20"/>
        </w:rPr>
        <w:t>Review</w:t>
      </w:r>
      <w:r>
        <w:rPr>
          <w:color w:val="231F20"/>
        </w:rPr>
        <w:t>,</w:t>
      </w:r>
      <w:r>
        <w:rPr>
          <w:color w:val="231F20"/>
          <w:spacing w:val="-29"/>
        </w:rPr>
        <w:t> </w:t>
      </w:r>
      <w:r>
        <w:rPr>
          <w:color w:val="231F20"/>
        </w:rPr>
        <w:t>vol.</w:t>
      </w:r>
      <w:r>
        <w:rPr>
          <w:color w:val="231F20"/>
          <w:spacing w:val="-29"/>
        </w:rPr>
        <w:t> </w:t>
      </w:r>
      <w:r>
        <w:rPr>
          <w:color w:val="231F20"/>
        </w:rPr>
        <w:t>85,</w:t>
      </w:r>
      <w:r>
        <w:rPr>
          <w:color w:val="231F20"/>
          <w:spacing w:val="-29"/>
        </w:rPr>
        <w:t> </w:t>
      </w:r>
      <w:r>
        <w:rPr>
          <w:color w:val="231F20"/>
        </w:rPr>
        <w:t>núm.7/8,</w:t>
      </w:r>
      <w:r>
        <w:rPr>
          <w:color w:val="231F20"/>
          <w:spacing w:val="-29"/>
        </w:rPr>
        <w:t> </w:t>
      </w:r>
      <w:r>
        <w:rPr>
          <w:color w:val="231F20"/>
        </w:rPr>
        <w:t>pp.74-83.</w:t>
      </w:r>
    </w:p>
    <w:p>
      <w:pPr>
        <w:pStyle w:val="BodyText"/>
        <w:spacing w:before="5"/>
        <w:rPr>
          <w:sz w:val="22"/>
        </w:rPr>
      </w:pPr>
    </w:p>
    <w:p>
      <w:pPr>
        <w:spacing w:line="256" w:lineRule="auto" w:before="0"/>
        <w:ind w:left="713" w:right="122" w:firstLine="396"/>
        <w:jc w:val="both"/>
        <w:rPr>
          <w:sz w:val="21"/>
        </w:rPr>
      </w:pPr>
      <w:r>
        <w:rPr>
          <w:color w:val="231F20"/>
          <w:spacing w:val="-4"/>
          <w:sz w:val="21"/>
        </w:rPr>
        <w:t>STyPS</w:t>
      </w:r>
      <w:r>
        <w:rPr>
          <w:color w:val="231F20"/>
          <w:spacing w:val="-29"/>
          <w:sz w:val="21"/>
        </w:rPr>
        <w:t> </w:t>
      </w:r>
      <w:r>
        <w:rPr>
          <w:color w:val="231F20"/>
          <w:sz w:val="21"/>
        </w:rPr>
        <w:t>(2013),</w:t>
      </w:r>
      <w:r>
        <w:rPr>
          <w:color w:val="231F20"/>
          <w:spacing w:val="-29"/>
          <w:sz w:val="21"/>
        </w:rPr>
        <w:t> </w:t>
      </w:r>
      <w:r>
        <w:rPr>
          <w:rFonts w:ascii="Palatino Linotype" w:hAnsi="Palatino Linotype"/>
          <w:i/>
          <w:color w:val="231F20"/>
          <w:sz w:val="21"/>
        </w:rPr>
        <w:t>Directorio</w:t>
      </w:r>
      <w:r>
        <w:rPr>
          <w:rFonts w:ascii="Palatino Linotype" w:hAnsi="Palatino Linotype"/>
          <w:i/>
          <w:color w:val="231F20"/>
          <w:spacing w:val="-29"/>
          <w:sz w:val="21"/>
        </w:rPr>
        <w:t> </w:t>
      </w:r>
      <w:r>
        <w:rPr>
          <w:rFonts w:ascii="Palatino Linotype" w:hAnsi="Palatino Linotype"/>
          <w:i/>
          <w:color w:val="231F20"/>
          <w:sz w:val="21"/>
        </w:rPr>
        <w:t>de</w:t>
      </w:r>
      <w:r>
        <w:rPr>
          <w:rFonts w:ascii="Palatino Linotype" w:hAnsi="Palatino Linotype"/>
          <w:i/>
          <w:color w:val="231F20"/>
          <w:spacing w:val="-29"/>
          <w:sz w:val="21"/>
        </w:rPr>
        <w:t> </w:t>
      </w:r>
      <w:r>
        <w:rPr>
          <w:rFonts w:ascii="Palatino Linotype" w:hAnsi="Palatino Linotype"/>
          <w:i/>
          <w:color w:val="231F20"/>
          <w:sz w:val="21"/>
        </w:rPr>
        <w:t>empresas</w:t>
      </w:r>
      <w:r>
        <w:rPr>
          <w:rFonts w:ascii="Palatino Linotype" w:hAnsi="Palatino Linotype"/>
          <w:i/>
          <w:color w:val="231F20"/>
          <w:spacing w:val="-29"/>
          <w:sz w:val="21"/>
        </w:rPr>
        <w:t> </w:t>
      </w:r>
      <w:r>
        <w:rPr>
          <w:rFonts w:ascii="Palatino Linotype" w:hAnsi="Palatino Linotype"/>
          <w:i/>
          <w:color w:val="231F20"/>
          <w:spacing w:val="-2"/>
          <w:sz w:val="21"/>
        </w:rPr>
        <w:t>automotrices</w:t>
      </w:r>
      <w:r>
        <w:rPr>
          <w:rFonts w:ascii="Palatino Linotype" w:hAnsi="Palatino Linotype"/>
          <w:i/>
          <w:color w:val="231F20"/>
          <w:spacing w:val="-29"/>
          <w:sz w:val="21"/>
        </w:rPr>
        <w:t> </w:t>
      </w:r>
      <w:r>
        <w:rPr>
          <w:rFonts w:ascii="Palatino Linotype" w:hAnsi="Palatino Linotype"/>
          <w:i/>
          <w:color w:val="231F20"/>
          <w:sz w:val="21"/>
        </w:rPr>
        <w:t>en</w:t>
      </w:r>
      <w:r>
        <w:rPr>
          <w:rFonts w:ascii="Palatino Linotype" w:hAnsi="Palatino Linotype"/>
          <w:i/>
          <w:color w:val="231F20"/>
          <w:spacing w:val="-29"/>
          <w:sz w:val="21"/>
        </w:rPr>
        <w:t> </w:t>
      </w:r>
      <w:r>
        <w:rPr>
          <w:rFonts w:ascii="Palatino Linotype" w:hAnsi="Palatino Linotype"/>
          <w:i/>
          <w:color w:val="231F20"/>
          <w:sz w:val="21"/>
        </w:rPr>
        <w:t>el</w:t>
      </w:r>
      <w:r>
        <w:rPr>
          <w:rFonts w:ascii="Palatino Linotype" w:hAnsi="Palatino Linotype"/>
          <w:i/>
          <w:color w:val="231F20"/>
          <w:spacing w:val="-29"/>
          <w:sz w:val="21"/>
        </w:rPr>
        <w:t> </w:t>
      </w:r>
      <w:r>
        <w:rPr>
          <w:rFonts w:ascii="Palatino Linotype" w:hAnsi="Palatino Linotype"/>
          <w:i/>
          <w:color w:val="231F20"/>
          <w:sz w:val="21"/>
        </w:rPr>
        <w:t>Estado</w:t>
      </w:r>
      <w:r>
        <w:rPr>
          <w:rFonts w:ascii="Palatino Linotype" w:hAnsi="Palatino Linotype"/>
          <w:i/>
          <w:color w:val="231F20"/>
          <w:spacing w:val="-29"/>
          <w:sz w:val="21"/>
        </w:rPr>
        <w:t> </w:t>
      </w:r>
      <w:r>
        <w:rPr>
          <w:rFonts w:ascii="Palatino Linotype" w:hAnsi="Palatino Linotype"/>
          <w:i/>
          <w:color w:val="231F20"/>
          <w:sz w:val="21"/>
        </w:rPr>
        <w:t>de</w:t>
      </w:r>
      <w:r>
        <w:rPr>
          <w:rFonts w:ascii="Palatino Linotype" w:hAnsi="Palatino Linotype"/>
          <w:i/>
          <w:color w:val="231F20"/>
          <w:spacing w:val="-29"/>
          <w:sz w:val="21"/>
        </w:rPr>
        <w:t> </w:t>
      </w:r>
      <w:r>
        <w:rPr>
          <w:rFonts w:ascii="Palatino Linotype" w:hAnsi="Palatino Linotype"/>
          <w:i/>
          <w:color w:val="231F20"/>
          <w:sz w:val="21"/>
        </w:rPr>
        <w:t>México</w:t>
      </w:r>
      <w:r>
        <w:rPr>
          <w:color w:val="231F20"/>
          <w:sz w:val="21"/>
        </w:rPr>
        <w:t>,</w:t>
      </w:r>
      <w:r>
        <w:rPr>
          <w:color w:val="231F20"/>
          <w:spacing w:val="-29"/>
          <w:sz w:val="21"/>
        </w:rPr>
        <w:t> </w:t>
      </w:r>
      <w:r>
        <w:rPr>
          <w:color w:val="231F20"/>
          <w:sz w:val="21"/>
        </w:rPr>
        <w:t>Secreta- ría</w:t>
      </w:r>
      <w:r>
        <w:rPr>
          <w:color w:val="231F20"/>
          <w:spacing w:val="-11"/>
          <w:sz w:val="21"/>
        </w:rPr>
        <w:t> </w:t>
      </w:r>
      <w:r>
        <w:rPr>
          <w:color w:val="231F20"/>
          <w:sz w:val="21"/>
        </w:rPr>
        <w:t>del</w:t>
      </w:r>
      <w:r>
        <w:rPr>
          <w:color w:val="231F20"/>
          <w:spacing w:val="-11"/>
          <w:sz w:val="21"/>
        </w:rPr>
        <w:t> </w:t>
      </w:r>
      <w:r>
        <w:rPr>
          <w:color w:val="231F20"/>
          <w:spacing w:val="-4"/>
          <w:sz w:val="21"/>
        </w:rPr>
        <w:t>Trabajo</w:t>
      </w:r>
      <w:r>
        <w:rPr>
          <w:color w:val="231F20"/>
          <w:spacing w:val="-11"/>
          <w:sz w:val="21"/>
        </w:rPr>
        <w:t> </w:t>
      </w:r>
      <w:r>
        <w:rPr>
          <w:color w:val="231F20"/>
          <w:sz w:val="21"/>
        </w:rPr>
        <w:t>y</w:t>
      </w:r>
      <w:r>
        <w:rPr>
          <w:color w:val="231F20"/>
          <w:spacing w:val="-11"/>
          <w:sz w:val="21"/>
        </w:rPr>
        <w:t> </w:t>
      </w:r>
      <w:r>
        <w:rPr>
          <w:color w:val="231F20"/>
          <w:sz w:val="21"/>
        </w:rPr>
        <w:t>Previsión</w:t>
      </w:r>
      <w:r>
        <w:rPr>
          <w:color w:val="231F20"/>
          <w:spacing w:val="-11"/>
          <w:sz w:val="21"/>
        </w:rPr>
        <w:t> </w:t>
      </w:r>
      <w:r>
        <w:rPr>
          <w:color w:val="231F20"/>
          <w:sz w:val="21"/>
        </w:rPr>
        <w:t>Social,</w:t>
      </w:r>
      <w:r>
        <w:rPr>
          <w:color w:val="231F20"/>
          <w:spacing w:val="-11"/>
          <w:sz w:val="21"/>
        </w:rPr>
        <w:t> </w:t>
      </w:r>
      <w:r>
        <w:rPr>
          <w:color w:val="231F20"/>
          <w:sz w:val="21"/>
        </w:rPr>
        <w:t>Gobierno</w:t>
      </w:r>
      <w:r>
        <w:rPr>
          <w:color w:val="231F20"/>
          <w:spacing w:val="-11"/>
          <w:sz w:val="21"/>
        </w:rPr>
        <w:t> </w:t>
      </w:r>
      <w:r>
        <w:rPr>
          <w:color w:val="231F20"/>
          <w:sz w:val="21"/>
        </w:rPr>
        <w:t>del</w:t>
      </w:r>
      <w:r>
        <w:rPr>
          <w:color w:val="231F20"/>
          <w:spacing w:val="-11"/>
          <w:sz w:val="21"/>
        </w:rPr>
        <w:t> </w:t>
      </w:r>
      <w:r>
        <w:rPr>
          <w:color w:val="231F20"/>
          <w:sz w:val="21"/>
        </w:rPr>
        <w:t>Estado</w:t>
      </w:r>
      <w:r>
        <w:rPr>
          <w:color w:val="231F20"/>
          <w:spacing w:val="-11"/>
          <w:sz w:val="21"/>
        </w:rPr>
        <w:t> </w:t>
      </w:r>
      <w:r>
        <w:rPr>
          <w:color w:val="231F20"/>
          <w:sz w:val="21"/>
        </w:rPr>
        <w:t>de</w:t>
      </w:r>
      <w:r>
        <w:rPr>
          <w:color w:val="231F20"/>
          <w:spacing w:val="-11"/>
          <w:sz w:val="21"/>
        </w:rPr>
        <w:t> </w:t>
      </w:r>
      <w:r>
        <w:rPr>
          <w:color w:val="231F20"/>
          <w:sz w:val="21"/>
        </w:rPr>
        <w:t>México.</w:t>
      </w:r>
    </w:p>
    <w:p>
      <w:pPr>
        <w:pStyle w:val="BodyText"/>
        <w:rPr>
          <w:sz w:val="19"/>
        </w:rPr>
      </w:pPr>
    </w:p>
    <w:p>
      <w:pPr>
        <w:spacing w:line="256" w:lineRule="auto" w:before="35"/>
        <w:ind w:left="713" w:right="122"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10"/>
          <w:sz w:val="21"/>
        </w:rPr>
        <w:t> </w:t>
      </w:r>
      <w:r>
        <w:rPr>
          <w:color w:val="231F20"/>
          <w:sz w:val="21"/>
        </w:rPr>
        <w:t>(2010),</w:t>
      </w:r>
      <w:r>
        <w:rPr>
          <w:color w:val="231F20"/>
          <w:spacing w:val="-25"/>
          <w:sz w:val="21"/>
        </w:rPr>
        <w:t> </w:t>
      </w:r>
      <w:r>
        <w:rPr>
          <w:rFonts w:ascii="Palatino Linotype" w:hAnsi="Palatino Linotype"/>
          <w:i/>
          <w:color w:val="231F20"/>
          <w:sz w:val="21"/>
        </w:rPr>
        <w:t>Directorio</w:t>
      </w:r>
      <w:r>
        <w:rPr>
          <w:rFonts w:ascii="Palatino Linotype" w:hAnsi="Palatino Linotype"/>
          <w:i/>
          <w:color w:val="231F20"/>
          <w:spacing w:val="-25"/>
          <w:sz w:val="21"/>
        </w:rPr>
        <w:t> </w:t>
      </w:r>
      <w:r>
        <w:rPr>
          <w:rFonts w:ascii="Palatino Linotype" w:hAnsi="Palatino Linotype"/>
          <w:i/>
          <w:color w:val="231F20"/>
          <w:sz w:val="21"/>
        </w:rPr>
        <w:t>de</w:t>
      </w:r>
      <w:r>
        <w:rPr>
          <w:rFonts w:ascii="Palatino Linotype" w:hAnsi="Palatino Linotype"/>
          <w:i/>
          <w:color w:val="231F20"/>
          <w:spacing w:val="-25"/>
          <w:sz w:val="21"/>
        </w:rPr>
        <w:t> </w:t>
      </w:r>
      <w:r>
        <w:rPr>
          <w:rFonts w:ascii="Palatino Linotype" w:hAnsi="Palatino Linotype"/>
          <w:i/>
          <w:color w:val="231F20"/>
          <w:sz w:val="21"/>
        </w:rPr>
        <w:t>empresas</w:t>
      </w:r>
      <w:r>
        <w:rPr>
          <w:rFonts w:ascii="Palatino Linotype" w:hAnsi="Palatino Linotype"/>
          <w:i/>
          <w:color w:val="231F20"/>
          <w:spacing w:val="-25"/>
          <w:sz w:val="21"/>
        </w:rPr>
        <w:t> </w:t>
      </w:r>
      <w:r>
        <w:rPr>
          <w:rFonts w:ascii="Palatino Linotype" w:hAnsi="Palatino Linotype"/>
          <w:i/>
          <w:color w:val="231F20"/>
          <w:spacing w:val="-2"/>
          <w:sz w:val="21"/>
        </w:rPr>
        <w:t>automotrices</w:t>
      </w:r>
      <w:r>
        <w:rPr>
          <w:rFonts w:ascii="Palatino Linotype" w:hAnsi="Palatino Linotype"/>
          <w:i/>
          <w:color w:val="231F20"/>
          <w:spacing w:val="-25"/>
          <w:sz w:val="21"/>
        </w:rPr>
        <w:t> </w:t>
      </w:r>
      <w:r>
        <w:rPr>
          <w:rFonts w:ascii="Palatino Linotype" w:hAnsi="Palatino Linotype"/>
          <w:i/>
          <w:color w:val="231F20"/>
          <w:sz w:val="21"/>
        </w:rPr>
        <w:t>en</w:t>
      </w:r>
      <w:r>
        <w:rPr>
          <w:rFonts w:ascii="Palatino Linotype" w:hAnsi="Palatino Linotype"/>
          <w:i/>
          <w:color w:val="231F20"/>
          <w:spacing w:val="-25"/>
          <w:sz w:val="21"/>
        </w:rPr>
        <w:t> </w:t>
      </w:r>
      <w:r>
        <w:rPr>
          <w:rFonts w:ascii="Palatino Linotype" w:hAnsi="Palatino Linotype"/>
          <w:i/>
          <w:color w:val="231F20"/>
          <w:sz w:val="21"/>
        </w:rPr>
        <w:t>el</w:t>
      </w:r>
      <w:r>
        <w:rPr>
          <w:rFonts w:ascii="Palatino Linotype" w:hAnsi="Palatino Linotype"/>
          <w:i/>
          <w:color w:val="231F20"/>
          <w:spacing w:val="-25"/>
          <w:sz w:val="21"/>
        </w:rPr>
        <w:t> </w:t>
      </w:r>
      <w:r>
        <w:rPr>
          <w:rFonts w:ascii="Palatino Linotype" w:hAnsi="Palatino Linotype"/>
          <w:i/>
          <w:color w:val="231F20"/>
          <w:sz w:val="21"/>
        </w:rPr>
        <w:t>Estado</w:t>
      </w:r>
      <w:r>
        <w:rPr>
          <w:rFonts w:ascii="Palatino Linotype" w:hAnsi="Palatino Linotype"/>
          <w:i/>
          <w:color w:val="231F20"/>
          <w:spacing w:val="-25"/>
          <w:sz w:val="21"/>
        </w:rPr>
        <w:t> </w:t>
      </w:r>
      <w:r>
        <w:rPr>
          <w:rFonts w:ascii="Palatino Linotype" w:hAnsi="Palatino Linotype"/>
          <w:i/>
          <w:color w:val="231F20"/>
          <w:sz w:val="21"/>
        </w:rPr>
        <w:t>de</w:t>
      </w:r>
      <w:r>
        <w:rPr>
          <w:rFonts w:ascii="Palatino Linotype" w:hAnsi="Palatino Linotype"/>
          <w:i/>
          <w:color w:val="231F20"/>
          <w:spacing w:val="-25"/>
          <w:sz w:val="21"/>
        </w:rPr>
        <w:t> </w:t>
      </w:r>
      <w:r>
        <w:rPr>
          <w:rFonts w:ascii="Palatino Linotype" w:hAnsi="Palatino Linotype"/>
          <w:i/>
          <w:color w:val="231F20"/>
          <w:sz w:val="21"/>
        </w:rPr>
        <w:t>México</w:t>
      </w:r>
      <w:r>
        <w:rPr>
          <w:color w:val="231F20"/>
          <w:sz w:val="21"/>
        </w:rPr>
        <w:t>,</w:t>
      </w:r>
      <w:r>
        <w:rPr>
          <w:color w:val="231F20"/>
          <w:spacing w:val="-25"/>
          <w:sz w:val="21"/>
        </w:rPr>
        <w:t> </w:t>
      </w:r>
      <w:r>
        <w:rPr>
          <w:color w:val="231F20"/>
          <w:sz w:val="21"/>
        </w:rPr>
        <w:t>Secreta- ría</w:t>
      </w:r>
      <w:r>
        <w:rPr>
          <w:color w:val="231F20"/>
          <w:spacing w:val="-11"/>
          <w:sz w:val="21"/>
        </w:rPr>
        <w:t> </w:t>
      </w:r>
      <w:r>
        <w:rPr>
          <w:color w:val="231F20"/>
          <w:sz w:val="21"/>
        </w:rPr>
        <w:t>del</w:t>
      </w:r>
      <w:r>
        <w:rPr>
          <w:color w:val="231F20"/>
          <w:spacing w:val="-11"/>
          <w:sz w:val="21"/>
        </w:rPr>
        <w:t> </w:t>
      </w:r>
      <w:r>
        <w:rPr>
          <w:color w:val="231F20"/>
          <w:spacing w:val="-4"/>
          <w:sz w:val="21"/>
        </w:rPr>
        <w:t>Trabajo</w:t>
      </w:r>
      <w:r>
        <w:rPr>
          <w:color w:val="231F20"/>
          <w:spacing w:val="-11"/>
          <w:sz w:val="21"/>
        </w:rPr>
        <w:t> </w:t>
      </w:r>
      <w:r>
        <w:rPr>
          <w:color w:val="231F20"/>
          <w:sz w:val="21"/>
        </w:rPr>
        <w:t>y</w:t>
      </w:r>
      <w:r>
        <w:rPr>
          <w:color w:val="231F20"/>
          <w:spacing w:val="-11"/>
          <w:sz w:val="21"/>
        </w:rPr>
        <w:t> </w:t>
      </w:r>
      <w:r>
        <w:rPr>
          <w:color w:val="231F20"/>
          <w:sz w:val="21"/>
        </w:rPr>
        <w:t>Previsión</w:t>
      </w:r>
      <w:r>
        <w:rPr>
          <w:color w:val="231F20"/>
          <w:spacing w:val="-11"/>
          <w:sz w:val="21"/>
        </w:rPr>
        <w:t> </w:t>
      </w:r>
      <w:r>
        <w:rPr>
          <w:color w:val="231F20"/>
          <w:sz w:val="21"/>
        </w:rPr>
        <w:t>Social,</w:t>
      </w:r>
      <w:r>
        <w:rPr>
          <w:color w:val="231F20"/>
          <w:spacing w:val="-11"/>
          <w:sz w:val="21"/>
        </w:rPr>
        <w:t> </w:t>
      </w:r>
      <w:r>
        <w:rPr>
          <w:color w:val="231F20"/>
          <w:sz w:val="21"/>
        </w:rPr>
        <w:t>Gobierno</w:t>
      </w:r>
      <w:r>
        <w:rPr>
          <w:color w:val="231F20"/>
          <w:spacing w:val="-11"/>
          <w:sz w:val="21"/>
        </w:rPr>
        <w:t> </w:t>
      </w:r>
      <w:r>
        <w:rPr>
          <w:color w:val="231F20"/>
          <w:sz w:val="21"/>
        </w:rPr>
        <w:t>del</w:t>
      </w:r>
      <w:r>
        <w:rPr>
          <w:color w:val="231F20"/>
          <w:spacing w:val="-11"/>
          <w:sz w:val="21"/>
        </w:rPr>
        <w:t> </w:t>
      </w:r>
      <w:r>
        <w:rPr>
          <w:color w:val="231F20"/>
          <w:sz w:val="21"/>
        </w:rPr>
        <w:t>Estado</w:t>
      </w:r>
      <w:r>
        <w:rPr>
          <w:color w:val="231F20"/>
          <w:spacing w:val="-11"/>
          <w:sz w:val="21"/>
        </w:rPr>
        <w:t> </w:t>
      </w:r>
      <w:r>
        <w:rPr>
          <w:color w:val="231F20"/>
          <w:sz w:val="21"/>
        </w:rPr>
        <w:t>de</w:t>
      </w:r>
      <w:r>
        <w:rPr>
          <w:color w:val="231F20"/>
          <w:spacing w:val="-11"/>
          <w:sz w:val="21"/>
        </w:rPr>
        <w:t> </w:t>
      </w:r>
      <w:r>
        <w:rPr>
          <w:color w:val="231F20"/>
          <w:sz w:val="21"/>
        </w:rPr>
        <w:t>México.</w:t>
      </w:r>
    </w:p>
    <w:p>
      <w:pPr>
        <w:pStyle w:val="BodyText"/>
        <w:spacing w:before="11"/>
      </w:pPr>
    </w:p>
    <w:p>
      <w:pPr>
        <w:pStyle w:val="BodyText"/>
        <w:spacing w:line="266" w:lineRule="auto"/>
        <w:ind w:left="713" w:right="112" w:firstLine="396"/>
        <w:jc w:val="both"/>
      </w:pPr>
      <w:r>
        <w:rPr>
          <w:color w:val="231F20"/>
        </w:rPr>
        <w:t>Taylor, Alex (2008), “What’s ahead for GM?”, </w:t>
      </w:r>
      <w:r>
        <w:rPr>
          <w:rFonts w:ascii="Palatino Linotype" w:hAnsi="Palatino Linotype"/>
          <w:i/>
          <w:color w:val="231F20"/>
        </w:rPr>
        <w:t>CNN</w:t>
      </w:r>
      <w:r>
        <w:rPr>
          <w:color w:val="231F20"/>
        </w:rPr>
        <w:t>, consultado en http:// archive.fortune.com/2008/11/24/news/companies/taylor_gm.fortune/index. htm?postversion=2008112410 (28 de junio de 2009).</w:t>
      </w:r>
    </w:p>
    <w:p>
      <w:pPr>
        <w:pStyle w:val="BodyText"/>
        <w:spacing w:before="2"/>
      </w:pPr>
    </w:p>
    <w:p>
      <w:pPr>
        <w:spacing w:before="0"/>
        <w:ind w:left="0" w:right="121" w:firstLine="0"/>
        <w:jc w:val="right"/>
        <w:rPr>
          <w:sz w:val="21"/>
        </w:rPr>
      </w:pPr>
      <w:r>
        <w:rPr>
          <w:color w:val="231F20"/>
          <w:sz w:val="21"/>
        </w:rPr>
        <w:t>Tello, Carlos (1979), </w:t>
      </w:r>
      <w:r>
        <w:rPr>
          <w:rFonts w:ascii="Palatino Linotype" w:hAnsi="Palatino Linotype"/>
          <w:i/>
          <w:color w:val="231F20"/>
          <w:sz w:val="21"/>
        </w:rPr>
        <w:t>La política económica de México. 1970-1976</w:t>
      </w:r>
      <w:r>
        <w:rPr>
          <w:color w:val="231F20"/>
          <w:sz w:val="21"/>
        </w:rPr>
        <w:t>, Siglo XXI, México.</w:t>
      </w:r>
    </w:p>
    <w:p>
      <w:pPr>
        <w:pStyle w:val="BodyText"/>
        <w:rPr>
          <w:sz w:val="24"/>
        </w:rPr>
      </w:pPr>
    </w:p>
    <w:p>
      <w:pPr>
        <w:spacing w:line="244" w:lineRule="auto" w:before="0"/>
        <w:ind w:left="713" w:right="121" w:firstLine="396"/>
        <w:jc w:val="both"/>
        <w:rPr>
          <w:sz w:val="21"/>
        </w:rPr>
      </w:pPr>
      <w:r>
        <w:rPr>
          <w:color w:val="231F20"/>
          <w:spacing w:val="-5"/>
          <w:sz w:val="21"/>
        </w:rPr>
        <w:t>Unger, </w:t>
      </w:r>
      <w:r>
        <w:rPr>
          <w:color w:val="231F20"/>
          <w:sz w:val="21"/>
        </w:rPr>
        <w:t>Kurt (2004), “La industria automotriz en el Estado de México: una pers- pectiva de </w:t>
      </w:r>
      <w:r>
        <w:rPr>
          <w:rFonts w:ascii="Palatino Linotype" w:hAnsi="Palatino Linotype"/>
          <w:i/>
          <w:color w:val="231F20"/>
          <w:sz w:val="21"/>
        </w:rPr>
        <w:t>clusters </w:t>
      </w:r>
      <w:r>
        <w:rPr>
          <w:color w:val="231F20"/>
          <w:spacing w:val="-4"/>
          <w:sz w:val="21"/>
        </w:rPr>
        <w:t>regionales”, </w:t>
      </w:r>
      <w:r>
        <w:rPr>
          <w:color w:val="231F20"/>
          <w:sz w:val="21"/>
        </w:rPr>
        <w:t>en </w:t>
      </w:r>
      <w:r>
        <w:rPr>
          <w:color w:val="231F20"/>
          <w:spacing w:val="-15"/>
          <w:sz w:val="21"/>
        </w:rPr>
        <w:t>P. </w:t>
      </w:r>
      <w:r>
        <w:rPr>
          <w:color w:val="231F20"/>
          <w:sz w:val="21"/>
        </w:rPr>
        <w:t>Mejía Reyes (coord.), </w:t>
      </w:r>
      <w:r>
        <w:rPr>
          <w:rFonts w:ascii="Palatino Linotype" w:hAnsi="Palatino Linotype"/>
          <w:i/>
          <w:color w:val="231F20"/>
          <w:sz w:val="21"/>
        </w:rPr>
        <w:t>La </w:t>
      </w:r>
      <w:r>
        <w:rPr>
          <w:rFonts w:ascii="Palatino Linotype" w:hAnsi="Palatino Linotype"/>
          <w:i/>
          <w:color w:val="231F20"/>
          <w:spacing w:val="-3"/>
          <w:sz w:val="21"/>
        </w:rPr>
        <w:t>economía </w:t>
      </w:r>
      <w:r>
        <w:rPr>
          <w:rFonts w:ascii="Palatino Linotype" w:hAnsi="Palatino Linotype"/>
          <w:i/>
          <w:color w:val="231F20"/>
          <w:sz w:val="21"/>
        </w:rPr>
        <w:t>del Estado de </w:t>
      </w:r>
      <w:r>
        <w:rPr>
          <w:rFonts w:ascii="Palatino Linotype" w:hAnsi="Palatino Linotype"/>
          <w:i/>
          <w:color w:val="231F20"/>
          <w:sz w:val="21"/>
        </w:rPr>
        <w:t>México: hacia una agenda de investigación</w:t>
      </w:r>
      <w:r>
        <w:rPr>
          <w:color w:val="231F20"/>
          <w:sz w:val="21"/>
        </w:rPr>
        <w:t>, El Colegio Mexiquense, Zinacantepec.</w:t>
      </w:r>
    </w:p>
    <w:p>
      <w:pPr>
        <w:pStyle w:val="BodyText"/>
        <w:spacing w:before="6"/>
        <w:rPr>
          <w:sz w:val="23"/>
        </w:rPr>
      </w:pPr>
    </w:p>
    <w:p>
      <w:pPr>
        <w:pStyle w:val="BodyText"/>
        <w:spacing w:line="254" w:lineRule="auto"/>
        <w:ind w:left="713" w:right="121" w:firstLine="396"/>
        <w:jc w:val="both"/>
      </w:pPr>
      <w:r>
        <w:rPr>
          <w:color w:val="231F20"/>
          <w:spacing w:val="-5"/>
        </w:rPr>
        <w:t>Unger, </w:t>
      </w:r>
      <w:r>
        <w:rPr>
          <w:color w:val="231F20"/>
        </w:rPr>
        <w:t>Kurt y Roberto Chico (2004), “La industria automotriz en tres regiones</w:t>
      </w:r>
      <w:r>
        <w:rPr>
          <w:color w:val="231F20"/>
          <w:spacing w:val="-36"/>
        </w:rPr>
        <w:t> </w:t>
      </w:r>
      <w:r>
        <w:rPr>
          <w:color w:val="231F20"/>
        </w:rPr>
        <w:t>de México.</w:t>
      </w:r>
      <w:r>
        <w:rPr>
          <w:color w:val="231F20"/>
          <w:spacing w:val="-23"/>
        </w:rPr>
        <w:t> </w:t>
      </w:r>
      <w:r>
        <w:rPr>
          <w:color w:val="231F20"/>
          <w:spacing w:val="-5"/>
        </w:rPr>
        <w:t>Un</w:t>
      </w:r>
      <w:r>
        <w:rPr>
          <w:color w:val="231F20"/>
          <w:spacing w:val="-23"/>
        </w:rPr>
        <w:t> </w:t>
      </w:r>
      <w:r>
        <w:rPr>
          <w:color w:val="231F20"/>
        </w:rPr>
        <w:t>análisis</w:t>
      </w:r>
      <w:r>
        <w:rPr>
          <w:color w:val="231F20"/>
          <w:spacing w:val="-23"/>
        </w:rPr>
        <w:t> </w:t>
      </w:r>
      <w:r>
        <w:rPr>
          <w:color w:val="231F20"/>
        </w:rPr>
        <w:t>de</w:t>
      </w:r>
      <w:r>
        <w:rPr>
          <w:color w:val="231F20"/>
          <w:spacing w:val="-23"/>
        </w:rPr>
        <w:t> </w:t>
      </w:r>
      <w:r>
        <w:rPr>
          <w:color w:val="231F20"/>
          <w:spacing w:val="-6"/>
        </w:rPr>
        <w:t>clústers”,</w:t>
      </w:r>
      <w:r>
        <w:rPr>
          <w:color w:val="231F20"/>
          <w:spacing w:val="-23"/>
        </w:rPr>
        <w:t> </w:t>
      </w:r>
      <w:r>
        <w:rPr>
          <w:rFonts w:ascii="Palatino Linotype" w:hAnsi="Palatino Linotype"/>
          <w:i/>
          <w:color w:val="231F20"/>
          <w:spacing w:val="-3"/>
        </w:rPr>
        <w:t>Análisis</w:t>
      </w:r>
      <w:r>
        <w:rPr>
          <w:rFonts w:ascii="Palatino Linotype" w:hAnsi="Palatino Linotype"/>
          <w:i/>
          <w:color w:val="231F20"/>
          <w:spacing w:val="-22"/>
        </w:rPr>
        <w:t> </w:t>
      </w:r>
      <w:r>
        <w:rPr>
          <w:rFonts w:ascii="Palatino Linotype" w:hAnsi="Palatino Linotype"/>
          <w:i/>
          <w:color w:val="231F20"/>
        </w:rPr>
        <w:t>Económico</w:t>
      </w:r>
      <w:r>
        <w:rPr>
          <w:color w:val="231F20"/>
        </w:rPr>
        <w:t>,</w:t>
      </w:r>
      <w:r>
        <w:rPr>
          <w:color w:val="231F20"/>
          <w:spacing w:val="-23"/>
        </w:rPr>
        <w:t> </w:t>
      </w:r>
      <w:r>
        <w:rPr>
          <w:color w:val="231F20"/>
        </w:rPr>
        <w:t>vol.</w:t>
      </w:r>
      <w:r>
        <w:rPr>
          <w:color w:val="231F20"/>
          <w:spacing w:val="-23"/>
        </w:rPr>
        <w:t> </w:t>
      </w:r>
      <w:r>
        <w:rPr>
          <w:color w:val="231F20"/>
        </w:rPr>
        <w:t>LXXI,</w:t>
      </w:r>
      <w:r>
        <w:rPr>
          <w:color w:val="231F20"/>
          <w:spacing w:val="-23"/>
        </w:rPr>
        <w:t> </w:t>
      </w:r>
      <w:r>
        <w:rPr>
          <w:color w:val="231F20"/>
        </w:rPr>
        <w:t>núm.</w:t>
      </w:r>
      <w:r>
        <w:rPr>
          <w:color w:val="231F20"/>
          <w:spacing w:val="-23"/>
        </w:rPr>
        <w:t> </w:t>
      </w:r>
      <w:r>
        <w:rPr>
          <w:color w:val="231F20"/>
        </w:rPr>
        <w:t>284,</w:t>
      </w:r>
      <w:r>
        <w:rPr>
          <w:color w:val="231F20"/>
          <w:spacing w:val="-23"/>
        </w:rPr>
        <w:t> </w:t>
      </w:r>
      <w:r>
        <w:rPr>
          <w:color w:val="231F20"/>
          <w:spacing w:val="-4"/>
        </w:rPr>
        <w:t>pp.</w:t>
      </w:r>
      <w:r>
        <w:rPr>
          <w:color w:val="231F20"/>
          <w:spacing w:val="-23"/>
        </w:rPr>
        <w:t> </w:t>
      </w:r>
      <w:r>
        <w:rPr>
          <w:color w:val="231F20"/>
        </w:rPr>
        <w:t>909-941.</w:t>
      </w:r>
    </w:p>
    <w:p>
      <w:pPr>
        <w:pStyle w:val="BodyText"/>
        <w:spacing w:before="6"/>
        <w:rPr>
          <w:sz w:val="17"/>
        </w:rPr>
      </w:pPr>
    </w:p>
    <w:p>
      <w:pPr>
        <w:pStyle w:val="BodyText"/>
        <w:spacing w:line="278" w:lineRule="auto" w:before="58"/>
        <w:ind w:left="713" w:right="122" w:firstLine="396"/>
        <w:jc w:val="both"/>
      </w:pPr>
      <w:r>
        <w:rPr>
          <w:color w:val="231F20"/>
          <w:w w:val="90"/>
          <w:u w:val="single" w:color="231F20"/>
        </w:rPr>
        <w:t> </w:t>
      </w:r>
      <w:r>
        <w:rPr>
          <w:color w:val="231F20"/>
          <w:u w:val="single" w:color="231F20"/>
        </w:rPr>
        <w:t>        </w:t>
      </w:r>
      <w:r>
        <w:rPr>
          <w:color w:val="231F20"/>
          <w:spacing w:val="-10"/>
          <w:u w:val="single" w:color="231F20"/>
        </w:rPr>
        <w:t> </w:t>
      </w:r>
      <w:r>
        <w:rPr>
          <w:color w:val="231F20"/>
          <w:spacing w:val="17"/>
        </w:rPr>
        <w:t> </w:t>
      </w:r>
      <w:r>
        <w:rPr>
          <w:color w:val="231F20"/>
        </w:rPr>
        <w:t>(2002), “La industria automotriz mexicana en un perspectiva de clústers </w:t>
      </w:r>
      <w:r>
        <w:rPr>
          <w:color w:val="231F20"/>
          <w:spacing w:val="-4"/>
        </w:rPr>
        <w:t>regionales”,</w:t>
      </w:r>
      <w:r>
        <w:rPr>
          <w:color w:val="231F20"/>
          <w:spacing w:val="-10"/>
        </w:rPr>
        <w:t> </w:t>
      </w:r>
      <w:r>
        <w:rPr>
          <w:color w:val="231F20"/>
        </w:rPr>
        <w:t>documento</w:t>
      </w:r>
      <w:r>
        <w:rPr>
          <w:color w:val="231F20"/>
          <w:spacing w:val="-10"/>
        </w:rPr>
        <w:t> </w:t>
      </w:r>
      <w:r>
        <w:rPr>
          <w:color w:val="231F20"/>
        </w:rPr>
        <w:t>de</w:t>
      </w:r>
      <w:r>
        <w:rPr>
          <w:color w:val="231F20"/>
          <w:spacing w:val="-10"/>
        </w:rPr>
        <w:t> </w:t>
      </w:r>
      <w:r>
        <w:rPr>
          <w:color w:val="231F20"/>
        </w:rPr>
        <w:t>trabajo,</w:t>
      </w:r>
      <w:r>
        <w:rPr>
          <w:color w:val="231F20"/>
          <w:spacing w:val="-10"/>
        </w:rPr>
        <w:t> </w:t>
      </w:r>
      <w:r>
        <w:rPr>
          <w:color w:val="231F20"/>
        </w:rPr>
        <w:t>núm.</w:t>
      </w:r>
      <w:r>
        <w:rPr>
          <w:color w:val="231F20"/>
          <w:spacing w:val="-10"/>
        </w:rPr>
        <w:t> </w:t>
      </w:r>
      <w:r>
        <w:rPr>
          <w:color w:val="231F20"/>
        </w:rPr>
        <w:t>248,</w:t>
      </w:r>
      <w:r>
        <w:rPr>
          <w:color w:val="231F20"/>
          <w:spacing w:val="-10"/>
        </w:rPr>
        <w:t> </w:t>
      </w:r>
      <w:r>
        <w:rPr>
          <w:color w:val="231F20"/>
        </w:rPr>
        <w:t>Centro</w:t>
      </w:r>
      <w:r>
        <w:rPr>
          <w:color w:val="231F20"/>
          <w:spacing w:val="-10"/>
        </w:rPr>
        <w:t> </w:t>
      </w:r>
      <w:r>
        <w:rPr>
          <w:color w:val="231F20"/>
        </w:rPr>
        <w:t>de</w:t>
      </w:r>
      <w:r>
        <w:rPr>
          <w:color w:val="231F20"/>
          <w:spacing w:val="-10"/>
        </w:rPr>
        <w:t> </w:t>
      </w:r>
      <w:r>
        <w:rPr>
          <w:color w:val="231F20"/>
        </w:rPr>
        <w:t>Investigación</w:t>
      </w:r>
      <w:r>
        <w:rPr>
          <w:color w:val="231F20"/>
          <w:spacing w:val="-10"/>
        </w:rPr>
        <w:t> </w:t>
      </w:r>
      <w:r>
        <w:rPr>
          <w:color w:val="231F20"/>
        </w:rPr>
        <w:t>y</w:t>
      </w:r>
      <w:r>
        <w:rPr>
          <w:color w:val="231F20"/>
          <w:spacing w:val="-10"/>
        </w:rPr>
        <w:t> </w:t>
      </w:r>
      <w:r>
        <w:rPr>
          <w:color w:val="231F20"/>
        </w:rPr>
        <w:t>Docencia</w:t>
      </w:r>
      <w:r>
        <w:rPr>
          <w:color w:val="231F20"/>
          <w:spacing w:val="-10"/>
        </w:rPr>
        <w:t> </w:t>
      </w:r>
      <w:r>
        <w:rPr>
          <w:color w:val="231F20"/>
        </w:rPr>
        <w:t>Eco- </w:t>
      </w:r>
      <w:r>
        <w:rPr>
          <w:color w:val="231F20"/>
          <w:w w:val="95"/>
        </w:rPr>
        <w:t>nómicas,</w:t>
      </w:r>
      <w:r>
        <w:rPr>
          <w:color w:val="231F20"/>
          <w:spacing w:val="37"/>
          <w:w w:val="95"/>
        </w:rPr>
        <w:t> </w:t>
      </w:r>
      <w:r>
        <w:rPr>
          <w:color w:val="231F20"/>
          <w:w w:val="95"/>
        </w:rPr>
        <w:t>México.</w:t>
      </w:r>
    </w:p>
    <w:p>
      <w:pPr>
        <w:pStyle w:val="BodyText"/>
        <w:spacing w:before="3"/>
        <w:rPr>
          <w:sz w:val="22"/>
        </w:rPr>
      </w:pPr>
    </w:p>
    <w:p>
      <w:pPr>
        <w:pStyle w:val="BodyText"/>
        <w:spacing w:line="256" w:lineRule="auto"/>
        <w:ind w:left="713" w:right="121" w:firstLine="396"/>
        <w:jc w:val="both"/>
      </w:pPr>
      <w:r>
        <w:rPr>
          <w:color w:val="231F20"/>
          <w:spacing w:val="-4"/>
        </w:rPr>
        <w:t>Veloso, </w:t>
      </w:r>
      <w:r>
        <w:rPr>
          <w:color w:val="231F20"/>
        </w:rPr>
        <w:t>Francisco y </w:t>
      </w:r>
      <w:r>
        <w:rPr>
          <w:color w:val="231F20"/>
          <w:spacing w:val="-3"/>
        </w:rPr>
        <w:t>Kumar </w:t>
      </w:r>
      <w:r>
        <w:rPr>
          <w:color w:val="231F20"/>
        </w:rPr>
        <w:t>Rajiv (2002), “The </w:t>
      </w:r>
      <w:r>
        <w:rPr>
          <w:color w:val="231F20"/>
          <w:spacing w:val="-3"/>
        </w:rPr>
        <w:t>Automotive Supply </w:t>
      </w:r>
      <w:r>
        <w:rPr>
          <w:color w:val="231F20"/>
        </w:rPr>
        <w:t>Chain: Global </w:t>
      </w:r>
      <w:r>
        <w:rPr>
          <w:color w:val="231F20"/>
          <w:spacing w:val="-4"/>
        </w:rPr>
        <w:t>Trends </w:t>
      </w:r>
      <w:r>
        <w:rPr>
          <w:color w:val="231F20"/>
        </w:rPr>
        <w:t>and Asian </w:t>
      </w:r>
      <w:r>
        <w:rPr>
          <w:color w:val="231F20"/>
          <w:spacing w:val="-4"/>
        </w:rPr>
        <w:t>Perspectives”, </w:t>
      </w:r>
      <w:r>
        <w:rPr>
          <w:rFonts w:ascii="Palatino Linotype" w:hAnsi="Palatino Linotype"/>
          <w:i/>
          <w:color w:val="231F20"/>
        </w:rPr>
        <w:t>ERD </w:t>
      </w:r>
      <w:r>
        <w:rPr>
          <w:rFonts w:ascii="Palatino Linotype" w:hAnsi="Palatino Linotype"/>
          <w:i/>
          <w:color w:val="231F20"/>
          <w:spacing w:val="-5"/>
        </w:rPr>
        <w:t>Working </w:t>
      </w:r>
      <w:r>
        <w:rPr>
          <w:rFonts w:ascii="Palatino Linotype" w:hAnsi="Palatino Linotype"/>
          <w:i/>
          <w:color w:val="231F20"/>
        </w:rPr>
        <w:t>Paper Series</w:t>
      </w:r>
      <w:r>
        <w:rPr>
          <w:color w:val="231F20"/>
        </w:rPr>
        <w:t>, núm. 3, Economics and Research Department, Asian Development Bank, Filipinas.</w:t>
      </w:r>
    </w:p>
    <w:p>
      <w:pPr>
        <w:pStyle w:val="BodyText"/>
        <w:spacing w:before="1"/>
        <w:rPr>
          <w:sz w:val="24"/>
        </w:rPr>
      </w:pPr>
    </w:p>
    <w:p>
      <w:pPr>
        <w:pStyle w:val="BodyText"/>
        <w:spacing w:line="256" w:lineRule="auto"/>
        <w:ind w:left="713" w:right="121" w:firstLine="396"/>
        <w:jc w:val="both"/>
      </w:pPr>
      <w:r>
        <w:rPr>
          <w:color w:val="231F20"/>
        </w:rPr>
        <w:t>Vicencio, Arturo (2007), “La industria automotriz en México, antecedentes, si- tuación actual y perspectivas”, </w:t>
      </w:r>
      <w:r>
        <w:rPr>
          <w:rFonts w:ascii="Palatino Linotype" w:hAnsi="Palatino Linotype"/>
          <w:i/>
          <w:color w:val="231F20"/>
        </w:rPr>
        <w:t>Contaduría y Administración</w:t>
      </w:r>
      <w:r>
        <w:rPr>
          <w:color w:val="231F20"/>
        </w:rPr>
        <w:t>, núm. 221, enero-abril, pp. 211-248.</w:t>
      </w:r>
    </w:p>
    <w:p>
      <w:pPr>
        <w:spacing w:after="0" w:line="256" w:lineRule="auto"/>
        <w:jc w:val="both"/>
        <w:sectPr>
          <w:footerReference w:type="even" r:id="rId393"/>
          <w:footerReference w:type="default" r:id="rId394"/>
          <w:pgSz w:w="9640" w:h="13040"/>
          <w:pgMar w:footer="654" w:header="581" w:top="780" w:bottom="840" w:left="420" w:right="1180"/>
        </w:sectPr>
      </w:pPr>
    </w:p>
    <w:p>
      <w:pPr>
        <w:pStyle w:val="BodyText"/>
        <w:rPr>
          <w:sz w:val="20"/>
        </w:rPr>
      </w:pPr>
    </w:p>
    <w:p>
      <w:pPr>
        <w:pStyle w:val="BodyText"/>
        <w:spacing w:before="7"/>
      </w:pPr>
    </w:p>
    <w:p>
      <w:pPr>
        <w:pStyle w:val="BodyText"/>
        <w:spacing w:line="254" w:lineRule="auto" w:before="58"/>
        <w:ind w:left="103" w:right="96" w:firstLine="396"/>
      </w:pPr>
      <w:r>
        <w:rPr>
          <w:color w:val="231F20"/>
        </w:rPr>
        <w:t>Vieyra,</w:t>
      </w:r>
      <w:r>
        <w:rPr>
          <w:color w:val="231F20"/>
          <w:spacing w:val="-12"/>
        </w:rPr>
        <w:t> </w:t>
      </w:r>
      <w:r>
        <w:rPr>
          <w:color w:val="231F20"/>
        </w:rPr>
        <w:t>José</w:t>
      </w:r>
      <w:r>
        <w:rPr>
          <w:color w:val="231F20"/>
          <w:spacing w:val="-12"/>
        </w:rPr>
        <w:t> </w:t>
      </w:r>
      <w:r>
        <w:rPr>
          <w:color w:val="231F20"/>
        </w:rPr>
        <w:t>Antonio</w:t>
      </w:r>
      <w:r>
        <w:rPr>
          <w:color w:val="231F20"/>
          <w:spacing w:val="-12"/>
        </w:rPr>
        <w:t> </w:t>
      </w:r>
      <w:r>
        <w:rPr>
          <w:color w:val="231F20"/>
        </w:rPr>
        <w:t>(2000),</w:t>
      </w:r>
      <w:r>
        <w:rPr>
          <w:color w:val="231F20"/>
          <w:spacing w:val="-12"/>
        </w:rPr>
        <w:t> </w:t>
      </w:r>
      <w:r>
        <w:rPr>
          <w:color w:val="231F20"/>
        </w:rPr>
        <w:t>“Reconversión</w:t>
      </w:r>
      <w:r>
        <w:rPr>
          <w:color w:val="231F20"/>
          <w:spacing w:val="-12"/>
        </w:rPr>
        <w:t> </w:t>
      </w:r>
      <w:r>
        <w:rPr>
          <w:color w:val="231F20"/>
        </w:rPr>
        <w:t>industrial,</w:t>
      </w:r>
      <w:r>
        <w:rPr>
          <w:color w:val="231F20"/>
          <w:spacing w:val="-12"/>
        </w:rPr>
        <w:t> </w:t>
      </w:r>
      <w:r>
        <w:rPr>
          <w:color w:val="231F20"/>
        </w:rPr>
        <w:t>gran</w:t>
      </w:r>
      <w:r>
        <w:rPr>
          <w:color w:val="231F20"/>
          <w:spacing w:val="-12"/>
        </w:rPr>
        <w:t> </w:t>
      </w:r>
      <w:r>
        <w:rPr>
          <w:color w:val="231F20"/>
        </w:rPr>
        <w:t>empresa</w:t>
      </w:r>
      <w:r>
        <w:rPr>
          <w:color w:val="231F20"/>
          <w:spacing w:val="-12"/>
        </w:rPr>
        <w:t> </w:t>
      </w:r>
      <w:r>
        <w:rPr>
          <w:color w:val="231F20"/>
        </w:rPr>
        <w:t>y</w:t>
      </w:r>
      <w:r>
        <w:rPr>
          <w:color w:val="231F20"/>
          <w:spacing w:val="-12"/>
        </w:rPr>
        <w:t> </w:t>
      </w:r>
      <w:r>
        <w:rPr>
          <w:color w:val="231F20"/>
        </w:rPr>
        <w:t>efectos</w:t>
      </w:r>
      <w:r>
        <w:rPr>
          <w:color w:val="231F20"/>
          <w:spacing w:val="-12"/>
        </w:rPr>
        <w:t> </w:t>
      </w:r>
      <w:r>
        <w:rPr>
          <w:color w:val="231F20"/>
        </w:rPr>
        <w:t>te- rritoriales:</w:t>
      </w:r>
      <w:r>
        <w:rPr>
          <w:color w:val="231F20"/>
          <w:spacing w:val="-17"/>
        </w:rPr>
        <w:t> </w:t>
      </w:r>
      <w:r>
        <w:rPr>
          <w:color w:val="231F20"/>
        </w:rPr>
        <w:t>el</w:t>
      </w:r>
      <w:r>
        <w:rPr>
          <w:color w:val="231F20"/>
          <w:spacing w:val="-17"/>
        </w:rPr>
        <w:t> </w:t>
      </w:r>
      <w:r>
        <w:rPr>
          <w:color w:val="231F20"/>
        </w:rPr>
        <w:t>caso</w:t>
      </w:r>
      <w:r>
        <w:rPr>
          <w:color w:val="231F20"/>
          <w:spacing w:val="-17"/>
        </w:rPr>
        <w:t> </w:t>
      </w:r>
      <w:r>
        <w:rPr>
          <w:color w:val="231F20"/>
        </w:rPr>
        <w:t>del</w:t>
      </w:r>
      <w:r>
        <w:rPr>
          <w:color w:val="231F20"/>
          <w:spacing w:val="-17"/>
        </w:rPr>
        <w:t> </w:t>
      </w:r>
      <w:r>
        <w:rPr>
          <w:color w:val="231F20"/>
        </w:rPr>
        <w:t>sector</w:t>
      </w:r>
      <w:r>
        <w:rPr>
          <w:color w:val="231F20"/>
          <w:spacing w:val="-17"/>
        </w:rPr>
        <w:t> </w:t>
      </w:r>
      <w:r>
        <w:rPr>
          <w:color w:val="231F20"/>
        </w:rPr>
        <w:t>automotriz</w:t>
      </w:r>
      <w:r>
        <w:rPr>
          <w:color w:val="231F20"/>
          <w:spacing w:val="-17"/>
        </w:rPr>
        <w:t> </w:t>
      </w:r>
      <w:r>
        <w:rPr>
          <w:color w:val="231F20"/>
        </w:rPr>
        <w:t>en</w:t>
      </w:r>
      <w:r>
        <w:rPr>
          <w:color w:val="231F20"/>
          <w:spacing w:val="-17"/>
        </w:rPr>
        <w:t> </w:t>
      </w:r>
      <w:r>
        <w:rPr>
          <w:color w:val="231F20"/>
          <w:spacing w:val="-7"/>
        </w:rPr>
        <w:t>México”,</w:t>
      </w:r>
      <w:r>
        <w:rPr>
          <w:color w:val="231F20"/>
          <w:spacing w:val="-17"/>
        </w:rPr>
        <w:t> </w:t>
      </w:r>
      <w:r>
        <w:rPr>
          <w:rFonts w:ascii="Palatino Linotype" w:hAnsi="Palatino Linotype"/>
          <w:i/>
          <w:color w:val="231F20"/>
        </w:rPr>
        <w:t>EURE</w:t>
      </w:r>
      <w:r>
        <w:rPr>
          <w:color w:val="231F20"/>
        </w:rPr>
        <w:t>,</w:t>
      </w:r>
      <w:r>
        <w:rPr>
          <w:color w:val="231F20"/>
          <w:spacing w:val="-17"/>
        </w:rPr>
        <w:t> </w:t>
      </w:r>
      <w:r>
        <w:rPr>
          <w:color w:val="231F20"/>
        </w:rPr>
        <w:t>vol.</w:t>
      </w:r>
      <w:r>
        <w:rPr>
          <w:color w:val="231F20"/>
          <w:spacing w:val="-17"/>
        </w:rPr>
        <w:t> </w:t>
      </w:r>
      <w:r>
        <w:rPr>
          <w:color w:val="231F20"/>
        </w:rPr>
        <w:t>XXVI,</w:t>
      </w:r>
      <w:r>
        <w:rPr>
          <w:color w:val="231F20"/>
          <w:spacing w:val="-17"/>
        </w:rPr>
        <w:t> </w:t>
      </w:r>
      <w:r>
        <w:rPr>
          <w:color w:val="231F20"/>
        </w:rPr>
        <w:t>núm.</w:t>
      </w:r>
      <w:r>
        <w:rPr>
          <w:color w:val="231F20"/>
          <w:spacing w:val="-17"/>
        </w:rPr>
        <w:t> </w:t>
      </w:r>
      <w:r>
        <w:rPr>
          <w:color w:val="231F20"/>
        </w:rPr>
        <w:t>77.</w:t>
      </w:r>
    </w:p>
    <w:p>
      <w:pPr>
        <w:pStyle w:val="BodyText"/>
        <w:spacing w:before="5"/>
        <w:rPr>
          <w:sz w:val="17"/>
        </w:rPr>
      </w:pPr>
    </w:p>
    <w:p>
      <w:pPr>
        <w:spacing w:line="247" w:lineRule="auto" w:before="34"/>
        <w:ind w:left="104" w:right="711" w:firstLine="396"/>
        <w:jc w:val="both"/>
        <w:rPr>
          <w:sz w:val="21"/>
        </w:rPr>
      </w:pPr>
      <w:r>
        <w:rPr>
          <w:color w:val="231F20"/>
          <w:w w:val="90"/>
          <w:sz w:val="21"/>
          <w:u w:val="single" w:color="231F20"/>
        </w:rPr>
        <w:t> </w:t>
      </w:r>
      <w:r>
        <w:rPr>
          <w:color w:val="231F20"/>
          <w:sz w:val="21"/>
          <w:u w:val="single" w:color="231F20"/>
        </w:rPr>
        <w:t>        </w:t>
      </w:r>
      <w:r>
        <w:rPr>
          <w:color w:val="231F20"/>
          <w:spacing w:val="-10"/>
          <w:sz w:val="21"/>
          <w:u w:val="single" w:color="231F20"/>
        </w:rPr>
        <w:t> </w:t>
      </w:r>
      <w:r>
        <w:rPr>
          <w:color w:val="231F20"/>
          <w:spacing w:val="18"/>
          <w:sz w:val="21"/>
        </w:rPr>
        <w:t> </w:t>
      </w:r>
      <w:r>
        <w:rPr>
          <w:color w:val="231F20"/>
          <w:sz w:val="21"/>
        </w:rPr>
        <w:t>(1999), </w:t>
      </w:r>
      <w:r>
        <w:rPr>
          <w:rFonts w:ascii="Palatino Linotype" w:hAnsi="Palatino Linotype"/>
          <w:i/>
          <w:color w:val="231F20"/>
          <w:sz w:val="21"/>
        </w:rPr>
        <w:t>El sector automotriz en el proceso de industrialización en México: </w:t>
      </w:r>
      <w:r>
        <w:rPr>
          <w:rFonts w:ascii="Palatino Linotype" w:hAnsi="Palatino Linotype"/>
          <w:i/>
          <w:color w:val="231F20"/>
          <w:sz w:val="21"/>
        </w:rPr>
        <w:t>aspectos</w:t>
      </w:r>
      <w:r>
        <w:rPr>
          <w:rFonts w:ascii="Palatino Linotype" w:hAnsi="Palatino Linotype"/>
          <w:i/>
          <w:color w:val="231F20"/>
          <w:spacing w:val="-24"/>
          <w:sz w:val="21"/>
        </w:rPr>
        <w:t> </w:t>
      </w:r>
      <w:r>
        <w:rPr>
          <w:rFonts w:ascii="Palatino Linotype" w:hAnsi="Palatino Linotype"/>
          <w:i/>
          <w:color w:val="231F20"/>
          <w:sz w:val="21"/>
        </w:rPr>
        <w:t>histórico-económicos</w:t>
      </w:r>
      <w:r>
        <w:rPr>
          <w:rFonts w:ascii="Palatino Linotype" w:hAnsi="Palatino Linotype"/>
          <w:i/>
          <w:color w:val="231F20"/>
          <w:spacing w:val="-24"/>
          <w:sz w:val="21"/>
        </w:rPr>
        <w:t> </w:t>
      </w:r>
      <w:r>
        <w:rPr>
          <w:rFonts w:ascii="Palatino Linotype" w:hAnsi="Palatino Linotype"/>
          <w:i/>
          <w:color w:val="231F20"/>
          <w:sz w:val="21"/>
        </w:rPr>
        <w:t>de</w:t>
      </w:r>
      <w:r>
        <w:rPr>
          <w:rFonts w:ascii="Palatino Linotype" w:hAnsi="Palatino Linotype"/>
          <w:i/>
          <w:color w:val="231F20"/>
          <w:spacing w:val="-24"/>
          <w:sz w:val="21"/>
        </w:rPr>
        <w:t> </w:t>
      </w:r>
      <w:r>
        <w:rPr>
          <w:rFonts w:ascii="Palatino Linotype" w:hAnsi="Palatino Linotype"/>
          <w:i/>
          <w:color w:val="231F20"/>
          <w:sz w:val="21"/>
        </w:rPr>
        <w:t>su</w:t>
      </w:r>
      <w:r>
        <w:rPr>
          <w:rFonts w:ascii="Palatino Linotype" w:hAnsi="Palatino Linotype"/>
          <w:i/>
          <w:color w:val="231F20"/>
          <w:spacing w:val="-24"/>
          <w:sz w:val="21"/>
        </w:rPr>
        <w:t> </w:t>
      </w:r>
      <w:r>
        <w:rPr>
          <w:rFonts w:ascii="Palatino Linotype" w:hAnsi="Palatino Linotype"/>
          <w:i/>
          <w:color w:val="231F20"/>
          <w:sz w:val="21"/>
        </w:rPr>
        <w:t>conformación</w:t>
      </w:r>
      <w:r>
        <w:rPr>
          <w:rFonts w:ascii="Palatino Linotype" w:hAnsi="Palatino Linotype"/>
          <w:i/>
          <w:color w:val="231F20"/>
          <w:spacing w:val="-24"/>
          <w:sz w:val="21"/>
        </w:rPr>
        <w:t> </w:t>
      </w:r>
      <w:r>
        <w:rPr>
          <w:rFonts w:ascii="Palatino Linotype" w:hAnsi="Palatino Linotype"/>
          <w:i/>
          <w:color w:val="231F20"/>
          <w:sz w:val="21"/>
        </w:rPr>
        <w:t>territorial</w:t>
      </w:r>
      <w:r>
        <w:rPr>
          <w:color w:val="231F20"/>
          <w:sz w:val="21"/>
        </w:rPr>
        <w:t>,</w:t>
      </w:r>
      <w:r>
        <w:rPr>
          <w:color w:val="231F20"/>
          <w:spacing w:val="-24"/>
          <w:sz w:val="21"/>
        </w:rPr>
        <w:t> </w:t>
      </w:r>
      <w:r>
        <w:rPr>
          <w:color w:val="231F20"/>
          <w:sz w:val="21"/>
        </w:rPr>
        <w:t>Universidad</w:t>
      </w:r>
      <w:r>
        <w:rPr>
          <w:color w:val="231F20"/>
          <w:spacing w:val="-24"/>
          <w:sz w:val="21"/>
        </w:rPr>
        <w:t> </w:t>
      </w:r>
      <w:r>
        <w:rPr>
          <w:color w:val="231F20"/>
          <w:sz w:val="21"/>
        </w:rPr>
        <w:t>Nacional</w:t>
      </w:r>
      <w:r>
        <w:rPr>
          <w:color w:val="231F20"/>
          <w:spacing w:val="-24"/>
          <w:sz w:val="21"/>
        </w:rPr>
        <w:t> </w:t>
      </w:r>
      <w:r>
        <w:rPr>
          <w:color w:val="231F20"/>
          <w:spacing w:val="-3"/>
          <w:sz w:val="21"/>
        </w:rPr>
        <w:t>Au- </w:t>
      </w:r>
      <w:r>
        <w:rPr>
          <w:color w:val="231F20"/>
          <w:sz w:val="21"/>
        </w:rPr>
        <w:t>tónoma</w:t>
      </w:r>
      <w:r>
        <w:rPr>
          <w:color w:val="231F20"/>
          <w:spacing w:val="-20"/>
          <w:sz w:val="21"/>
        </w:rPr>
        <w:t> </w:t>
      </w:r>
      <w:r>
        <w:rPr>
          <w:color w:val="231F20"/>
          <w:sz w:val="21"/>
        </w:rPr>
        <w:t>de</w:t>
      </w:r>
      <w:r>
        <w:rPr>
          <w:color w:val="231F20"/>
          <w:spacing w:val="-20"/>
          <w:sz w:val="21"/>
        </w:rPr>
        <w:t> </w:t>
      </w:r>
      <w:r>
        <w:rPr>
          <w:color w:val="231F20"/>
          <w:sz w:val="21"/>
        </w:rPr>
        <w:t>México,</w:t>
      </w:r>
      <w:r>
        <w:rPr>
          <w:color w:val="231F20"/>
          <w:spacing w:val="-20"/>
          <w:sz w:val="21"/>
        </w:rPr>
        <w:t> </w:t>
      </w:r>
      <w:r>
        <w:rPr>
          <w:color w:val="231F20"/>
          <w:sz w:val="21"/>
        </w:rPr>
        <w:t>México.</w:t>
      </w:r>
    </w:p>
    <w:p>
      <w:pPr>
        <w:pStyle w:val="BodyText"/>
        <w:spacing w:before="9"/>
        <w:rPr>
          <w:sz w:val="22"/>
        </w:rPr>
      </w:pPr>
    </w:p>
    <w:p>
      <w:pPr>
        <w:spacing w:line="247" w:lineRule="auto" w:before="0"/>
        <w:ind w:left="104" w:right="711" w:firstLine="396"/>
        <w:jc w:val="both"/>
        <w:rPr>
          <w:sz w:val="21"/>
        </w:rPr>
      </w:pPr>
      <w:r>
        <w:rPr>
          <w:color w:val="231F20"/>
          <w:sz w:val="21"/>
        </w:rPr>
        <w:t>Villarreal,</w:t>
      </w:r>
      <w:r>
        <w:rPr>
          <w:color w:val="231F20"/>
          <w:spacing w:val="-28"/>
          <w:sz w:val="21"/>
        </w:rPr>
        <w:t> </w:t>
      </w:r>
      <w:r>
        <w:rPr>
          <w:color w:val="231F20"/>
          <w:sz w:val="21"/>
        </w:rPr>
        <w:t>René</w:t>
      </w:r>
      <w:r>
        <w:rPr>
          <w:color w:val="231F20"/>
          <w:spacing w:val="-28"/>
          <w:sz w:val="21"/>
        </w:rPr>
        <w:t> </w:t>
      </w:r>
      <w:r>
        <w:rPr>
          <w:color w:val="231F20"/>
          <w:sz w:val="21"/>
        </w:rPr>
        <w:t>(2000),</w:t>
      </w:r>
      <w:r>
        <w:rPr>
          <w:color w:val="231F20"/>
          <w:spacing w:val="-28"/>
          <w:sz w:val="21"/>
        </w:rPr>
        <w:t> </w:t>
      </w:r>
      <w:r>
        <w:rPr>
          <w:rFonts w:ascii="Palatino Linotype" w:hAnsi="Palatino Linotype"/>
          <w:i/>
          <w:color w:val="231F20"/>
          <w:sz w:val="21"/>
        </w:rPr>
        <w:t>Industrialización,</w:t>
      </w:r>
      <w:r>
        <w:rPr>
          <w:rFonts w:ascii="Palatino Linotype" w:hAnsi="Palatino Linotype"/>
          <w:i/>
          <w:color w:val="231F20"/>
          <w:spacing w:val="-27"/>
          <w:sz w:val="21"/>
        </w:rPr>
        <w:t> </w:t>
      </w:r>
      <w:r>
        <w:rPr>
          <w:rFonts w:ascii="Palatino Linotype" w:hAnsi="Palatino Linotype"/>
          <w:i/>
          <w:color w:val="231F20"/>
          <w:sz w:val="21"/>
        </w:rPr>
        <w:t>deuda</w:t>
      </w:r>
      <w:r>
        <w:rPr>
          <w:rFonts w:ascii="Palatino Linotype" w:hAnsi="Palatino Linotype"/>
          <w:i/>
          <w:color w:val="231F20"/>
          <w:spacing w:val="-27"/>
          <w:sz w:val="21"/>
        </w:rPr>
        <w:t> </w:t>
      </w:r>
      <w:r>
        <w:rPr>
          <w:rFonts w:ascii="Palatino Linotype" w:hAnsi="Palatino Linotype"/>
          <w:i/>
          <w:color w:val="231F20"/>
          <w:sz w:val="21"/>
        </w:rPr>
        <w:t>y</w:t>
      </w:r>
      <w:r>
        <w:rPr>
          <w:rFonts w:ascii="Palatino Linotype" w:hAnsi="Palatino Linotype"/>
          <w:i/>
          <w:color w:val="231F20"/>
          <w:spacing w:val="-27"/>
          <w:sz w:val="21"/>
        </w:rPr>
        <w:t> </w:t>
      </w:r>
      <w:r>
        <w:rPr>
          <w:rFonts w:ascii="Palatino Linotype" w:hAnsi="Palatino Linotype"/>
          <w:i/>
          <w:color w:val="231F20"/>
          <w:sz w:val="21"/>
        </w:rPr>
        <w:t>desequilibrio</w:t>
      </w:r>
      <w:r>
        <w:rPr>
          <w:rFonts w:ascii="Palatino Linotype" w:hAnsi="Palatino Linotype"/>
          <w:i/>
          <w:color w:val="231F20"/>
          <w:spacing w:val="-27"/>
          <w:sz w:val="21"/>
        </w:rPr>
        <w:t> </w:t>
      </w:r>
      <w:r>
        <w:rPr>
          <w:rFonts w:ascii="Palatino Linotype" w:hAnsi="Palatino Linotype"/>
          <w:i/>
          <w:color w:val="231F20"/>
          <w:sz w:val="21"/>
        </w:rPr>
        <w:t>externo</w:t>
      </w:r>
      <w:r>
        <w:rPr>
          <w:rFonts w:ascii="Palatino Linotype" w:hAnsi="Palatino Linotype"/>
          <w:i/>
          <w:color w:val="231F20"/>
          <w:spacing w:val="-27"/>
          <w:sz w:val="21"/>
        </w:rPr>
        <w:t> </w:t>
      </w:r>
      <w:r>
        <w:rPr>
          <w:rFonts w:ascii="Palatino Linotype" w:hAnsi="Palatino Linotype"/>
          <w:i/>
          <w:color w:val="231F20"/>
          <w:sz w:val="21"/>
        </w:rPr>
        <w:t>en</w:t>
      </w:r>
      <w:r>
        <w:rPr>
          <w:rFonts w:ascii="Palatino Linotype" w:hAnsi="Palatino Linotype"/>
          <w:i/>
          <w:color w:val="231F20"/>
          <w:spacing w:val="-27"/>
          <w:sz w:val="21"/>
        </w:rPr>
        <w:t> </w:t>
      </w:r>
      <w:r>
        <w:rPr>
          <w:rFonts w:ascii="Palatino Linotype" w:hAnsi="Palatino Linotype"/>
          <w:i/>
          <w:color w:val="231F20"/>
          <w:spacing w:val="-3"/>
          <w:sz w:val="21"/>
        </w:rPr>
        <w:t>México. </w:t>
      </w:r>
      <w:r>
        <w:rPr>
          <w:rFonts w:ascii="Palatino Linotype" w:hAnsi="Palatino Linotype"/>
          <w:i/>
          <w:color w:val="231F20"/>
          <w:spacing w:val="-4"/>
          <w:sz w:val="21"/>
        </w:rPr>
        <w:t>Un </w:t>
      </w:r>
      <w:r>
        <w:rPr>
          <w:rFonts w:ascii="Palatino Linotype" w:hAnsi="Palatino Linotype"/>
          <w:i/>
          <w:color w:val="231F20"/>
          <w:sz w:val="21"/>
        </w:rPr>
        <w:t>enfoque macroindustrial y financiero (1929-2000)</w:t>
      </w:r>
      <w:r>
        <w:rPr>
          <w:color w:val="231F20"/>
          <w:sz w:val="21"/>
        </w:rPr>
        <w:t>, Fondo de Cultura Económica, México.</w:t>
      </w:r>
    </w:p>
    <w:p>
      <w:pPr>
        <w:pStyle w:val="BodyText"/>
        <w:spacing w:before="10"/>
        <w:rPr>
          <w:sz w:val="24"/>
        </w:rPr>
      </w:pPr>
    </w:p>
    <w:p>
      <w:pPr>
        <w:pStyle w:val="BodyText"/>
        <w:spacing w:line="264" w:lineRule="auto"/>
        <w:ind w:left="104" w:right="710" w:firstLine="396"/>
        <w:jc w:val="both"/>
      </w:pPr>
      <w:r>
        <w:rPr>
          <w:color w:val="231F20"/>
        </w:rPr>
        <w:t>Villarreal,</w:t>
      </w:r>
      <w:r>
        <w:rPr>
          <w:color w:val="231F20"/>
          <w:spacing w:val="-8"/>
        </w:rPr>
        <w:t> </w:t>
      </w:r>
      <w:r>
        <w:rPr>
          <w:color w:val="231F20"/>
        </w:rPr>
        <w:t>Diana</w:t>
      </w:r>
      <w:r>
        <w:rPr>
          <w:color w:val="231F20"/>
          <w:spacing w:val="-8"/>
        </w:rPr>
        <w:t> </w:t>
      </w:r>
      <w:r>
        <w:rPr>
          <w:color w:val="231F20"/>
        </w:rPr>
        <w:t>y</w:t>
      </w:r>
      <w:r>
        <w:rPr>
          <w:color w:val="231F20"/>
          <w:spacing w:val="-8"/>
        </w:rPr>
        <w:t> </w:t>
      </w:r>
      <w:r>
        <w:rPr>
          <w:color w:val="231F20"/>
        </w:rPr>
        <w:t>Marcela</w:t>
      </w:r>
      <w:r>
        <w:rPr>
          <w:color w:val="231F20"/>
          <w:spacing w:val="-8"/>
        </w:rPr>
        <w:t> </w:t>
      </w:r>
      <w:r>
        <w:rPr>
          <w:color w:val="231F20"/>
        </w:rPr>
        <w:t>Villegas</w:t>
      </w:r>
      <w:r>
        <w:rPr>
          <w:color w:val="231F20"/>
          <w:spacing w:val="-8"/>
        </w:rPr>
        <w:t> </w:t>
      </w:r>
      <w:r>
        <w:rPr>
          <w:color w:val="231F20"/>
        </w:rPr>
        <w:t>(2007),</w:t>
      </w:r>
      <w:r>
        <w:rPr>
          <w:color w:val="231F20"/>
          <w:spacing w:val="-8"/>
        </w:rPr>
        <w:t> </w:t>
      </w:r>
      <w:r>
        <w:rPr>
          <w:color w:val="231F20"/>
        </w:rPr>
        <w:t>“Cambios</w:t>
      </w:r>
      <w:r>
        <w:rPr>
          <w:color w:val="231F20"/>
          <w:spacing w:val="-8"/>
        </w:rPr>
        <w:t> </w:t>
      </w:r>
      <w:r>
        <w:rPr>
          <w:color w:val="231F20"/>
        </w:rPr>
        <w:t>en</w:t>
      </w:r>
      <w:r>
        <w:rPr>
          <w:color w:val="231F20"/>
          <w:spacing w:val="-8"/>
        </w:rPr>
        <w:t> </w:t>
      </w:r>
      <w:r>
        <w:rPr>
          <w:color w:val="231F20"/>
        </w:rPr>
        <w:t>la</w:t>
      </w:r>
      <w:r>
        <w:rPr>
          <w:color w:val="231F20"/>
          <w:spacing w:val="-8"/>
        </w:rPr>
        <w:t> </w:t>
      </w:r>
      <w:r>
        <w:rPr>
          <w:color w:val="231F20"/>
        </w:rPr>
        <w:t>localización</w:t>
      </w:r>
      <w:r>
        <w:rPr>
          <w:color w:val="231F20"/>
          <w:spacing w:val="-8"/>
        </w:rPr>
        <w:t> </w:t>
      </w:r>
      <w:r>
        <w:rPr>
          <w:color w:val="231F20"/>
        </w:rPr>
        <w:t>de</w:t>
      </w:r>
      <w:r>
        <w:rPr>
          <w:color w:val="231F20"/>
          <w:spacing w:val="-8"/>
        </w:rPr>
        <w:t> </w:t>
      </w:r>
      <w:r>
        <w:rPr>
          <w:color w:val="231F20"/>
        </w:rPr>
        <w:t>la</w:t>
      </w:r>
      <w:r>
        <w:rPr>
          <w:color w:val="231F20"/>
          <w:spacing w:val="-8"/>
        </w:rPr>
        <w:t> </w:t>
      </w:r>
      <w:r>
        <w:rPr>
          <w:color w:val="231F20"/>
        </w:rPr>
        <w:t>in- dustria</w:t>
      </w:r>
      <w:r>
        <w:rPr>
          <w:color w:val="231F20"/>
          <w:spacing w:val="-9"/>
        </w:rPr>
        <w:t> </w:t>
      </w:r>
      <w:r>
        <w:rPr>
          <w:color w:val="231F20"/>
        </w:rPr>
        <w:t>automotriz</w:t>
      </w:r>
      <w:r>
        <w:rPr>
          <w:color w:val="231F20"/>
          <w:spacing w:val="-9"/>
        </w:rPr>
        <w:t> </w:t>
      </w:r>
      <w:r>
        <w:rPr>
          <w:color w:val="231F20"/>
        </w:rPr>
        <w:t>en</w:t>
      </w:r>
      <w:r>
        <w:rPr>
          <w:color w:val="231F20"/>
          <w:spacing w:val="-9"/>
        </w:rPr>
        <w:t> </w:t>
      </w:r>
      <w:r>
        <w:rPr>
          <w:color w:val="231F20"/>
        </w:rPr>
        <w:t>México</w:t>
      </w:r>
      <w:r>
        <w:rPr>
          <w:color w:val="231F20"/>
          <w:spacing w:val="-9"/>
        </w:rPr>
        <w:t> </w:t>
      </w:r>
      <w:r>
        <w:rPr>
          <w:color w:val="231F20"/>
          <w:spacing w:val="-4"/>
        </w:rPr>
        <w:t>1994-2004”,</w:t>
      </w:r>
      <w:r>
        <w:rPr>
          <w:color w:val="231F20"/>
          <w:spacing w:val="-9"/>
        </w:rPr>
        <w:t> </w:t>
      </w:r>
      <w:r>
        <w:rPr>
          <w:color w:val="231F20"/>
        </w:rPr>
        <w:t>en</w:t>
      </w:r>
      <w:r>
        <w:rPr>
          <w:color w:val="231F20"/>
          <w:spacing w:val="-9"/>
        </w:rPr>
        <w:t> </w:t>
      </w:r>
      <w:r>
        <w:rPr>
          <w:color w:val="231F20"/>
        </w:rPr>
        <w:t>documentos</w:t>
      </w:r>
      <w:r>
        <w:rPr>
          <w:color w:val="231F20"/>
          <w:spacing w:val="-9"/>
        </w:rPr>
        <w:t> </w:t>
      </w:r>
      <w:r>
        <w:rPr>
          <w:color w:val="231F20"/>
        </w:rPr>
        <w:t>de</w:t>
      </w:r>
      <w:r>
        <w:rPr>
          <w:color w:val="231F20"/>
          <w:spacing w:val="-9"/>
        </w:rPr>
        <w:t> </w:t>
      </w:r>
      <w:r>
        <w:rPr>
          <w:color w:val="231F20"/>
        </w:rPr>
        <w:t>trabajo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Universidad </w:t>
      </w:r>
      <w:r>
        <w:rPr>
          <w:color w:val="231F20"/>
          <w:spacing w:val="-3"/>
        </w:rPr>
        <w:t>Autónoma </w:t>
      </w:r>
      <w:r>
        <w:rPr>
          <w:color w:val="231F20"/>
        </w:rPr>
        <w:t>Metropolitana</w:t>
      </w:r>
      <w:r>
        <w:rPr>
          <w:rFonts w:ascii="Palatino Linotype" w:hAnsi="Palatino Linotype"/>
          <w:i/>
          <w:color w:val="231F20"/>
        </w:rPr>
        <w:t>, </w:t>
      </w:r>
      <w:r>
        <w:rPr>
          <w:color w:val="231F20"/>
        </w:rPr>
        <w:t>México, consultado en </w:t>
      </w:r>
      <w:hyperlink r:id="rId396">
        <w:r>
          <w:rPr>
            <w:color w:val="231F20"/>
          </w:rPr>
          <w:t>http://csh.xoc.uam.mx/produccio-</w:t>
        </w:r>
      </w:hyperlink>
      <w:r>
        <w:rPr>
          <w:color w:val="231F20"/>
        </w:rPr>
        <w:t> neconomica/eventos/pdf/articulos/cambiosenlalocalizaciondelaindustria.pdf   (13  </w:t>
      </w:r>
      <w:r>
        <w:rPr>
          <w:color w:val="231F20"/>
          <w:spacing w:val="11"/>
        </w:rPr>
        <w:t> </w:t>
      </w:r>
      <w:r>
        <w:rPr>
          <w:color w:val="231F20"/>
        </w:rPr>
        <w:t>de</w:t>
      </w:r>
    </w:p>
    <w:p>
      <w:pPr>
        <w:pStyle w:val="BodyText"/>
        <w:spacing w:before="15"/>
        <w:ind w:left="104" w:right="1617"/>
      </w:pPr>
      <w:r>
        <w:rPr>
          <w:color w:val="231F20"/>
        </w:rPr>
        <w:t>noviembre de 2008).</w:t>
      </w:r>
    </w:p>
    <w:p>
      <w:pPr>
        <w:pStyle w:val="BodyText"/>
        <w:spacing w:before="4"/>
        <w:rPr>
          <w:sz w:val="23"/>
        </w:rPr>
      </w:pPr>
    </w:p>
    <w:p>
      <w:pPr>
        <w:spacing w:line="256" w:lineRule="auto" w:before="0"/>
        <w:ind w:left="104" w:right="711" w:firstLine="396"/>
        <w:jc w:val="both"/>
        <w:rPr>
          <w:sz w:val="21"/>
        </w:rPr>
      </w:pPr>
      <w:r>
        <w:rPr>
          <w:color w:val="231F20"/>
          <w:sz w:val="21"/>
        </w:rPr>
        <w:t>Williamson, Oliver (1985), </w:t>
      </w:r>
      <w:r>
        <w:rPr>
          <w:rFonts w:ascii="Palatino Linotype"/>
          <w:i/>
          <w:color w:val="231F20"/>
          <w:sz w:val="21"/>
        </w:rPr>
        <w:t>The Economic Institutions of Capitalism</w:t>
      </w:r>
      <w:r>
        <w:rPr>
          <w:color w:val="231F20"/>
          <w:sz w:val="21"/>
        </w:rPr>
        <w:t>, Free Press, Nueva York.</w:t>
      </w:r>
    </w:p>
    <w:p>
      <w:pPr>
        <w:pStyle w:val="BodyText"/>
        <w:spacing w:before="1"/>
        <w:rPr>
          <w:sz w:val="19"/>
        </w:rPr>
      </w:pPr>
    </w:p>
    <w:p>
      <w:pPr>
        <w:pStyle w:val="BodyText"/>
        <w:tabs>
          <w:tab w:pos="1010" w:val="left" w:leader="none"/>
        </w:tabs>
        <w:spacing w:line="254" w:lineRule="auto" w:before="58"/>
        <w:ind w:left="104" w:right="712" w:firstLine="396"/>
      </w:pPr>
      <w:r>
        <w:rPr>
          <w:color w:val="231F20"/>
          <w:w w:val="90"/>
          <w:u w:val="single" w:color="231F20"/>
        </w:rPr>
        <w:t> </w:t>
      </w:r>
      <w:r>
        <w:rPr>
          <w:color w:val="231F20"/>
          <w:u w:val="single" w:color="231F20"/>
        </w:rPr>
        <w:tab/>
      </w:r>
      <w:r>
        <w:rPr>
          <w:color w:val="231F20"/>
          <w:spacing w:val="-7"/>
        </w:rPr>
        <w:t> </w:t>
      </w:r>
      <w:r>
        <w:rPr>
          <w:color w:val="231F20"/>
        </w:rPr>
        <w:t>(1971),</w:t>
      </w:r>
      <w:r>
        <w:rPr>
          <w:color w:val="231F20"/>
          <w:spacing w:val="-9"/>
        </w:rPr>
        <w:t> </w:t>
      </w:r>
      <w:r>
        <w:rPr>
          <w:color w:val="231F20"/>
        </w:rPr>
        <w:t>“The</w:t>
      </w:r>
      <w:r>
        <w:rPr>
          <w:color w:val="231F20"/>
          <w:spacing w:val="-9"/>
        </w:rPr>
        <w:t> </w:t>
      </w:r>
      <w:r>
        <w:rPr>
          <w:color w:val="231F20"/>
          <w:spacing w:val="-3"/>
        </w:rPr>
        <w:t>Vertical</w:t>
      </w:r>
      <w:r>
        <w:rPr>
          <w:color w:val="231F20"/>
          <w:spacing w:val="-9"/>
        </w:rPr>
        <w:t> </w:t>
      </w:r>
      <w:r>
        <w:rPr>
          <w:color w:val="231F20"/>
        </w:rPr>
        <w:t>Integration</w:t>
      </w:r>
      <w:r>
        <w:rPr>
          <w:color w:val="231F20"/>
          <w:spacing w:val="-9"/>
        </w:rPr>
        <w:t> </w:t>
      </w:r>
      <w:r>
        <w:rPr>
          <w:color w:val="231F20"/>
        </w:rPr>
        <w:t>of</w:t>
      </w:r>
      <w:r>
        <w:rPr>
          <w:color w:val="231F20"/>
          <w:spacing w:val="-9"/>
        </w:rPr>
        <w:t> </w:t>
      </w:r>
      <w:r>
        <w:rPr>
          <w:color w:val="231F20"/>
        </w:rPr>
        <w:t>Production:</w:t>
      </w:r>
      <w:r>
        <w:rPr>
          <w:color w:val="231F20"/>
          <w:spacing w:val="-9"/>
        </w:rPr>
        <w:t> </w:t>
      </w:r>
      <w:r>
        <w:rPr>
          <w:color w:val="231F20"/>
        </w:rPr>
        <w:t>Market</w:t>
      </w:r>
      <w:r>
        <w:rPr>
          <w:color w:val="231F20"/>
          <w:spacing w:val="-9"/>
        </w:rPr>
        <w:t> </w:t>
      </w:r>
      <w:r>
        <w:rPr>
          <w:color w:val="231F20"/>
        </w:rPr>
        <w:t>Failure</w:t>
      </w:r>
      <w:r>
        <w:rPr>
          <w:color w:val="231F20"/>
          <w:spacing w:val="-9"/>
        </w:rPr>
        <w:t> </w:t>
      </w:r>
      <w:r>
        <w:rPr>
          <w:color w:val="231F20"/>
        </w:rPr>
        <w:t>Considera-</w:t>
      </w:r>
      <w:r>
        <w:rPr>
          <w:color w:val="231F20"/>
          <w:w w:val="106"/>
        </w:rPr>
        <w:t> </w:t>
      </w:r>
      <w:r>
        <w:rPr>
          <w:color w:val="231F20"/>
          <w:spacing w:val="-7"/>
        </w:rPr>
        <w:t>tions”,</w:t>
      </w:r>
      <w:r>
        <w:rPr>
          <w:color w:val="231F20"/>
          <w:spacing w:val="-20"/>
        </w:rPr>
        <w:t> </w:t>
      </w:r>
      <w:r>
        <w:rPr>
          <w:rFonts w:ascii="Palatino Linotype" w:hAnsi="Palatino Linotype"/>
          <w:i/>
          <w:color w:val="231F20"/>
        </w:rPr>
        <w:t>American</w:t>
      </w:r>
      <w:r>
        <w:rPr>
          <w:rFonts w:ascii="Palatino Linotype" w:hAnsi="Palatino Linotype"/>
          <w:i/>
          <w:color w:val="231F20"/>
          <w:spacing w:val="-20"/>
        </w:rPr>
        <w:t> </w:t>
      </w:r>
      <w:r>
        <w:rPr>
          <w:rFonts w:ascii="Palatino Linotype" w:hAnsi="Palatino Linotype"/>
          <w:i/>
          <w:color w:val="231F20"/>
        </w:rPr>
        <w:t>Economic</w:t>
      </w:r>
      <w:r>
        <w:rPr>
          <w:rFonts w:ascii="Palatino Linotype" w:hAnsi="Palatino Linotype"/>
          <w:i/>
          <w:color w:val="231F20"/>
          <w:spacing w:val="-20"/>
        </w:rPr>
        <w:t> </w:t>
      </w:r>
      <w:r>
        <w:rPr>
          <w:rFonts w:ascii="Palatino Linotype" w:hAnsi="Palatino Linotype"/>
          <w:i/>
          <w:color w:val="231F20"/>
        </w:rPr>
        <w:t>Review</w:t>
      </w:r>
      <w:r>
        <w:rPr>
          <w:color w:val="231F20"/>
        </w:rPr>
        <w:t>,</w:t>
      </w:r>
      <w:r>
        <w:rPr>
          <w:color w:val="231F20"/>
          <w:spacing w:val="-20"/>
        </w:rPr>
        <w:t> </w:t>
      </w:r>
      <w:r>
        <w:rPr>
          <w:color w:val="231F20"/>
        </w:rPr>
        <w:t>núm.</w:t>
      </w:r>
      <w:r>
        <w:rPr>
          <w:color w:val="231F20"/>
          <w:spacing w:val="-20"/>
        </w:rPr>
        <w:t> </w:t>
      </w:r>
      <w:r>
        <w:rPr>
          <w:color w:val="231F20"/>
        </w:rPr>
        <w:t>61,</w:t>
      </w:r>
      <w:r>
        <w:rPr>
          <w:color w:val="231F20"/>
          <w:spacing w:val="-20"/>
        </w:rPr>
        <w:t> </w:t>
      </w:r>
      <w:r>
        <w:rPr>
          <w:color w:val="231F20"/>
          <w:spacing w:val="-3"/>
        </w:rPr>
        <w:t>mayo,</w:t>
      </w:r>
      <w:r>
        <w:rPr>
          <w:color w:val="231F20"/>
          <w:spacing w:val="-20"/>
        </w:rPr>
        <w:t> </w:t>
      </w:r>
      <w:r>
        <w:rPr>
          <w:color w:val="231F20"/>
          <w:spacing w:val="-4"/>
        </w:rPr>
        <w:t>pp.</w:t>
      </w:r>
      <w:r>
        <w:rPr>
          <w:color w:val="231F20"/>
          <w:spacing w:val="-20"/>
        </w:rPr>
        <w:t> </w:t>
      </w:r>
      <w:r>
        <w:rPr>
          <w:color w:val="231F20"/>
        </w:rPr>
        <w:t>112-123.</w:t>
      </w:r>
    </w:p>
    <w:p>
      <w:pPr>
        <w:pStyle w:val="BodyText"/>
        <w:spacing w:before="1"/>
        <w:rPr>
          <w:sz w:val="20"/>
        </w:rPr>
      </w:pPr>
    </w:p>
    <w:p>
      <w:pPr>
        <w:spacing w:line="280" w:lineRule="exact" w:before="0"/>
        <w:ind w:left="104" w:right="635" w:firstLine="396"/>
        <w:jc w:val="left"/>
        <w:rPr>
          <w:sz w:val="21"/>
        </w:rPr>
      </w:pPr>
      <w:r>
        <w:rPr>
          <w:color w:val="231F20"/>
          <w:sz w:val="21"/>
        </w:rPr>
        <w:t>Womack, James P., Daniel T. Jones y Daniel Roos (1990), </w:t>
      </w:r>
      <w:r>
        <w:rPr>
          <w:rFonts w:ascii="Palatino Linotype"/>
          <w:i/>
          <w:color w:val="231F20"/>
          <w:sz w:val="21"/>
        </w:rPr>
        <w:t>The Machine that </w:t>
      </w:r>
      <w:r>
        <w:rPr>
          <w:rFonts w:ascii="Palatino Linotype"/>
          <w:i/>
          <w:color w:val="231F20"/>
          <w:sz w:val="21"/>
        </w:rPr>
        <w:t>Changed the World</w:t>
      </w:r>
      <w:r>
        <w:rPr>
          <w:color w:val="231F20"/>
          <w:sz w:val="21"/>
        </w:rPr>
        <w:t>, Rawson Associates, Nueva York.</w:t>
      </w:r>
    </w:p>
    <w:p>
      <w:pPr>
        <w:spacing w:after="0" w:line="280" w:lineRule="exact"/>
        <w:jc w:val="left"/>
        <w:rPr>
          <w:sz w:val="21"/>
        </w:rPr>
        <w:sectPr>
          <w:pgSz w:w="9640" w:h="13040"/>
          <w:pgMar w:header="580" w:footer="654" w:top="780" w:bottom="840" w:left="1200" w:right="420"/>
        </w:sectPr>
      </w:pPr>
    </w:p>
    <w:p>
      <w:pPr>
        <w:pStyle w:val="BodyText"/>
        <w:rPr>
          <w:sz w:val="20"/>
        </w:rPr>
      </w:pPr>
    </w:p>
    <w:p>
      <w:pPr>
        <w:pStyle w:val="BodyText"/>
        <w:rPr>
          <w:sz w:val="20"/>
        </w:rPr>
      </w:pPr>
    </w:p>
    <w:p>
      <w:pPr>
        <w:pStyle w:val="BodyText"/>
        <w:rPr>
          <w:sz w:val="20"/>
        </w:rPr>
      </w:pPr>
    </w:p>
    <w:p>
      <w:pPr>
        <w:pStyle w:val="BodyText"/>
        <w:rPr>
          <w:sz w:val="20"/>
        </w:rPr>
      </w:pPr>
    </w:p>
    <w:p>
      <w:pPr>
        <w:spacing w:after="0"/>
        <w:rPr>
          <w:sz w:val="20"/>
        </w:rPr>
        <w:sectPr>
          <w:headerReference w:type="even" r:id="rId397"/>
          <w:footerReference w:type="even" r:id="rId398"/>
          <w:pgSz w:w="13040" w:h="9640" w:orient="landscape"/>
          <w:pgMar w:header="0" w:footer="0" w:top="0" w:bottom="0" w:left="400" w:right="1260"/>
        </w:sectPr>
      </w:pPr>
    </w:p>
    <w:p>
      <w:pPr>
        <w:pStyle w:val="BodyText"/>
        <w:rPr>
          <w:sz w:val="20"/>
        </w:rPr>
      </w:pPr>
    </w:p>
    <w:p>
      <w:pPr>
        <w:pStyle w:val="BodyText"/>
        <w:rPr>
          <w:sz w:val="20"/>
        </w:rPr>
      </w:pPr>
    </w:p>
    <w:p>
      <w:pPr>
        <w:pStyle w:val="BodyText"/>
        <w:rPr>
          <w:sz w:val="22"/>
        </w:rPr>
      </w:pPr>
    </w:p>
    <w:p>
      <w:pPr>
        <w:pStyle w:val="Heading4"/>
        <w:ind w:left="0" w:right="1871"/>
        <w:jc w:val="right"/>
      </w:pPr>
      <w:r>
        <w:rPr/>
        <w:pict>
          <v:shape style="position:absolute;margin-left:29.703428pt;margin-top:-57.217442pt;width:14pt;height:19.5pt;mso-position-horizontal-relative:page;mso-position-vertical-relative:paragraph;z-index:11584" type="#_x0000_t202" filled="false" stroked="false">
            <v:textbox inset="0,0,0,0" style="layout-flow:vertical">
              <w:txbxContent>
                <w:p>
                  <w:pPr>
                    <w:spacing w:line="248" w:lineRule="exact" w:before="0"/>
                    <w:ind w:left="20" w:right="-110" w:firstLine="0"/>
                    <w:jc w:val="left"/>
                    <w:rPr>
                      <w:sz w:val="24"/>
                    </w:rPr>
                  </w:pPr>
                  <w:r>
                    <w:rPr>
                      <w:color w:val="231F20"/>
                      <w:w w:val="97"/>
                      <w:sz w:val="24"/>
                    </w:rPr>
                    <w:t>154</w:t>
                  </w:r>
                </w:p>
              </w:txbxContent>
            </v:textbox>
            <w10:wrap type="none"/>
          </v:shape>
        </w:pict>
      </w:r>
      <w:r>
        <w:rPr>
          <w:color w:val="231F20"/>
          <w:w w:val="95"/>
        </w:rPr>
        <w:t>Anexo 1</w:t>
      </w:r>
    </w:p>
    <w:p>
      <w:pPr>
        <w:spacing w:line="282" w:lineRule="exact" w:before="0"/>
        <w:ind w:left="3861" w:right="0" w:firstLine="0"/>
        <w:jc w:val="center"/>
        <w:rPr>
          <w:rFonts w:ascii="Palatino Linotype" w:hAnsi="Palatino Linotype"/>
          <w:b/>
          <w:sz w:val="21"/>
        </w:rPr>
      </w:pPr>
      <w:r>
        <w:rPr/>
        <w:pict>
          <v:group style="position:absolute;margin-left:76.933479pt;margin-top:27.206762pt;width:495.4pt;height:341.15pt;mso-position-horizontal-relative:page;mso-position-vertical-relative:paragraph;z-index:-608056" coordorigin="1539,544" coordsize="9908,6823">
            <v:shape style="position:absolute;left:-216;top:871;width:427;height:6835" coordorigin="-216,871" coordsize="427,6835" path="m3075,1650l3075,7360m3075,1868l3265,1868m3075,2799l3296,2799m3075,3775l3289,3775m3075,4562l3296,4562m3083,6932l3282,6932m3083,5290l3282,5290m2856,1658l3075,1658m2856,2679l3075,2679m2848,3602l3075,3602m2848,4450l3075,4450m3083,5962l3282,5962e" filled="false" stroked="true" strokeweight=".577396pt" strokecolor="#939598">
              <v:path arrowok="t"/>
            </v:shape>
            <v:rect style="position:absolute;left:1569;top:1413;width:1287;height:176" filled="true" fillcolor="#f1f2f2" stroked="false">
              <v:fill type="solid"/>
            </v:rect>
            <v:rect style="position:absolute;left:1569;top:1413;width:1287;height:176" filled="false" stroked="true" strokeweight=".419647pt" strokecolor="#231f20"/>
            <v:shape style="position:absolute;left:1315;top:871;width:5334;height:7716" coordorigin="1315,871" coordsize="5334,7716" path="m4681,933l4686,7360m4454,1857l4682,1857m4454,2808l4682,2808m4454,3784l4682,3784m4454,4553l4682,4553m4461,5290l4681,5290m4461,5962l4681,5962m4461,6940l4681,6940m4688,5220l4888,5220m4688,4450l4888,4450m4688,3619l4888,3619m4688,2687l4888,2687m4681,1650l4853,1650m4681,942l4853,942m6508,914l6508,5228m6274,1054l8214,1054m6281,1658l6515,1658m6274,2704l6508,2704m6281,3619l6515,3619m6281,4442l6515,4442m6281,5220l6515,5220m8207,1054l8207,7360m7987,1675l8207,1675m7980,2713l8207,2713m7980,3647l8207,3647m7987,4467l8207,4467m6274,925l10046,925m7980,5306l8207,5306m7980,5990l8207,5990m7980,6913l8207,6913m7275,2367l7275,2217m8996,2359l8996,2208m9839,2730l10039,2730m9839,1831l10039,1831m8214,1840l8414,1840e" filled="false" stroked="true" strokeweight=".577396pt" strokecolor="#939598">
              <v:path arrowok="t"/>
            </v:shape>
            <v:rect style="position:absolute;left:4912;top:549;width:1369;height:176" filled="true" fillcolor="#bcbec0" stroked="false">
              <v:fill type="solid"/>
            </v:rect>
            <v:rect style="position:absolute;left:4912;top:549;width:1369;height:176" filled="false" stroked="true" strokeweight=".419426pt" strokecolor="#231f20"/>
            <v:rect style="position:absolute;left:4912;top:722;width:1369;height:522" filled="true" fillcolor="#6d6e71" stroked="false">
              <v:fill type="solid"/>
            </v:rect>
            <v:rect style="position:absolute;left:4912;top:722;width:1369;height:522" filled="false" stroked="true" strokeweight=".431205pt" strokecolor="#231f20"/>
            <v:rect style="position:absolute;left:10064;top:549;width:1378;height:176" filled="true" fillcolor="#bcbec0" stroked="false">
              <v:fill type="solid"/>
            </v:rect>
            <v:rect style="position:absolute;left:10064;top:549;width:1378;height:176" filled="false" stroked="true" strokeweight=".419402pt" strokecolor="#231f20"/>
            <v:rect style="position:absolute;left:10064;top:722;width:1378;height:522" filled="true" fillcolor="#6d6e71" stroked="false">
              <v:fill type="solid"/>
            </v:rect>
            <v:rect style="position:absolute;left:10064;top:722;width:1378;height:522" filled="false" stroked="true" strokeweight=".431037pt" strokecolor="#231f20"/>
            <v:rect style="position:absolute;left:3307;top:1413;width:1154;height:176" filled="true" fillcolor="#f1f2f2" stroked="false">
              <v:fill type="solid"/>
            </v:rect>
            <v:rect style="position:absolute;left:3307;top:1413;width:1154;height:176" filled="false" stroked="true" strokeweight=".420112pt" strokecolor="#231f20"/>
            <v:rect style="position:absolute;left:4912;top:1413;width:1369;height:176" filled="true" fillcolor="#bcbec0" stroked="false">
              <v:fill type="solid"/>
            </v:rect>
            <v:rect style="position:absolute;left:4912;top:1413;width:1369;height:176" filled="false" stroked="true" strokeweight=".419426pt" strokecolor="#231f20"/>
            <v:rect style="position:absolute;left:6732;top:1413;width:1255;height:176" filled="true" fillcolor="#f1f2f2" stroked="false">
              <v:fill type="solid"/>
            </v:rect>
            <v:rect style="position:absolute;left:6732;top:1413;width:1255;height:176" filled="false" stroked="true" strokeweight=".419746pt" strokecolor="#231f20"/>
            <v:rect style="position:absolute;left:8439;top:1413;width:1401;height:176" filled="true" fillcolor="#bcbec0" stroked="false">
              <v:fill type="solid"/>
            </v:rect>
            <v:rect style="position:absolute;left:8439;top:1413;width:1401;height:176" filled="false" stroked="true" strokeweight=".419349pt" strokecolor="#231f20"/>
            <v:rect style="position:absolute;left:10064;top:1413;width:1378;height:176" filled="true" fillcolor="#bcbec0" stroked="false">
              <v:fill type="solid"/>
            </v:rect>
            <v:rect style="position:absolute;left:10064;top:1413;width:1378;height:176" filled="false" stroked="true" strokeweight=".419402pt" strokecolor="#231f20"/>
            <v:rect style="position:absolute;left:1569;top:1586;width:1287;height:608" filled="true" fillcolor="#dcddde" stroked="false">
              <v:fill type="solid"/>
            </v:rect>
            <v:rect style="position:absolute;left:1569;top:1586;width:1287;height:608" filled="false" stroked="true" strokeweight=".437127pt" strokecolor="#231f20"/>
            <v:rect style="position:absolute;left:3307;top:1586;width:1154;height:608" filled="true" fillcolor="#dcddde" stroked="false">
              <v:fill type="solid"/>
            </v:rect>
            <v:rect style="position:absolute;left:3307;top:1586;width:1154;height:608" filled="false" stroked="true" strokeweight=".440838pt" strokecolor="#231f20"/>
            <v:rect style="position:absolute;left:4912;top:1586;width:1369;height:608" filled="true" fillcolor="#6d6e71" stroked="false">
              <v:fill type="solid"/>
            </v:rect>
            <v:rect style="position:absolute;left:4912;top:1586;width:1369;height:608" filled="false" stroked="true" strokeweight=".435254pt" strokecolor="#231f20"/>
            <v:rect style="position:absolute;left:6732;top:1586;width:1255;height:608" filled="true" fillcolor="#dcddde" stroked="false">
              <v:fill type="solid"/>
            </v:rect>
            <v:rect style="position:absolute;left:6732;top:1586;width:1255;height:608" filled="false" stroked="true" strokeweight=".43794pt" strokecolor="#231f20"/>
            <v:rect style="position:absolute;left:8439;top:1586;width:1401;height:608" filled="true" fillcolor="#6d6e71" stroked="false">
              <v:fill type="solid"/>
            </v:rect>
            <v:rect style="position:absolute;left:8439;top:1586;width:1401;height:608" filled="false" stroked="true" strokeweight=".434586pt" strokecolor="#231f20"/>
            <v:rect style="position:absolute;left:10064;top:1586;width:1378;height:608" filled="true" fillcolor="#6d6e71" stroked="false">
              <v:fill type="solid"/>
            </v:rect>
            <v:rect style="position:absolute;left:10064;top:1586;width:1378;height:608" filled="false" stroked="true" strokeweight=".435045pt" strokecolor="#231f20"/>
            <v:rect style="position:absolute;left:1569;top:2364;width:1287;height:176" filled="true" fillcolor="#f1f2f2" stroked="false">
              <v:fill type="solid"/>
            </v:rect>
            <v:rect style="position:absolute;left:1569;top:2364;width:1287;height:176" filled="false" stroked="true" strokeweight=".419648pt" strokecolor="#231f20"/>
            <v:rect style="position:absolute;left:3307;top:2364;width:1154;height:176" filled="true" fillcolor="#f1f2f2" stroked="false">
              <v:fill type="solid"/>
            </v:rect>
            <v:rect style="position:absolute;left:3307;top:2364;width:1154;height:176" filled="false" stroked="true" strokeweight=".420113pt" strokecolor="#231f20"/>
            <v:rect style="position:absolute;left:4912;top:2364;width:1369;height:176" filled="true" fillcolor="#bcbec0" stroked="false">
              <v:fill type="solid"/>
            </v:rect>
            <v:rect style="position:absolute;left:4912;top:2364;width:1369;height:176" filled="false" stroked="true" strokeweight=".419427pt" strokecolor="#231f20"/>
            <v:rect style="position:absolute;left:6732;top:2364;width:1255;height:176" filled="true" fillcolor="#f1f2f2" stroked="false">
              <v:fill type="solid"/>
            </v:rect>
            <v:rect style="position:absolute;left:6732;top:2364;width:1255;height:176" filled="false" stroked="true" strokeweight=".419747pt" strokecolor="#231f20"/>
            <v:rect style="position:absolute;left:8439;top:2364;width:1401;height:176" filled="true" fillcolor="#f1f2f2" stroked="false">
              <v:fill type="solid"/>
            </v:rect>
            <v:rect style="position:absolute;left:8439;top:2364;width:1401;height:176" filled="false" stroked="true" strokeweight=".41935pt" strokecolor="#231f20"/>
            <v:rect style="position:absolute;left:10064;top:2364;width:1378;height:176" filled="true" fillcolor="#bcbec0" stroked="false">
              <v:fill type="solid"/>
            </v:rect>
            <v:rect style="position:absolute;left:10064;top:2364;width:1378;height:176" filled="false" stroked="true" strokeweight=".419402pt" strokecolor="#231f20"/>
            <v:rect style="position:absolute;left:1569;top:2537;width:1287;height:555" filled="true" fillcolor="#dcddde" stroked="false">
              <v:fill type="solid"/>
            </v:rect>
            <v:rect style="position:absolute;left:1569;top:2537;width:1287;height:555" filled="false" stroked="true" strokeweight=".434396pt" strokecolor="#231f20"/>
            <v:rect style="position:absolute;left:3307;top:2537;width:1154;height:555" filled="true" fillcolor="#dcddde" stroked="false">
              <v:fill type="solid"/>
            </v:rect>
            <v:rect style="position:absolute;left:3307;top:2537;width:1154;height:555" filled="false" stroked="true" strokeweight=".437706pt" strokecolor="#231f20"/>
            <v:rect style="position:absolute;left:4912;top:2537;width:1369;height:555" filled="true" fillcolor="#6d6e71" stroked="false">
              <v:fill type="solid"/>
            </v:rect>
            <v:rect style="position:absolute;left:4912;top:2537;width:1369;height:555" filled="false" stroked="true" strokeweight=".432741pt" strokecolor="#231f20"/>
            <v:rect style="position:absolute;left:6732;top:2537;width:1255;height:555" filled="true" fillcolor="#dcddde" stroked="false">
              <v:fill type="solid"/>
            </v:rect>
            <v:rect style="position:absolute;left:6732;top:2537;width:1255;height:555" filled="false" stroked="true" strokeweight=".435118pt" strokecolor="#231f20"/>
            <v:rect style="position:absolute;left:8439;top:2537;width:1401;height:555" filled="true" fillcolor="#dcddde" stroked="false">
              <v:fill type="solid"/>
            </v:rect>
            <v:rect style="position:absolute;left:8439;top:2537;width:1401;height:555" filled="false" stroked="true" strokeweight=".432153pt" strokecolor="#231f20"/>
            <v:rect style="position:absolute;left:10064;top:2537;width:1378;height:555" filled="true" fillcolor="#6d6e71" stroked="false">
              <v:fill type="solid"/>
            </v:rect>
            <v:rect style="position:absolute;left:10064;top:2537;width:1378;height:555" filled="false" stroked="true" strokeweight=".432557pt" strokecolor="#231f20"/>
            <v:rect style="position:absolute;left:1569;top:3262;width:1287;height:176" filled="true" fillcolor="#f1f2f2" stroked="false">
              <v:fill type="solid"/>
            </v:rect>
            <v:rect style="position:absolute;left:1569;top:3262;width:1287;height:176" filled="false" stroked="true" strokeweight=".419647pt" strokecolor="#231f20"/>
            <v:rect style="position:absolute;left:3307;top:3262;width:1154;height:176" filled="true" fillcolor="#f1f2f2" stroked="false">
              <v:fill type="solid"/>
            </v:rect>
            <v:rect style="position:absolute;left:3307;top:3262;width:1154;height:176" filled="false" stroked="true" strokeweight=".420112pt" strokecolor="#231f20"/>
            <v:rect style="position:absolute;left:4912;top:3262;width:1369;height:176" filled="true" fillcolor="#bcbec0" stroked="false">
              <v:fill type="solid"/>
            </v:rect>
            <v:rect style="position:absolute;left:4912;top:3262;width:1369;height:176" filled="false" stroked="true" strokeweight=".419426pt" strokecolor="#231f20"/>
            <v:rect style="position:absolute;left:6732;top:3262;width:1255;height:176" filled="true" fillcolor="#f1f2f2" stroked="false">
              <v:fill type="solid"/>
            </v:rect>
            <v:rect style="position:absolute;left:6732;top:3262;width:1255;height:176" filled="false" stroked="true" strokeweight=".419746pt" strokecolor="#231f20"/>
            <v:rect style="position:absolute;left:1569;top:3435;width:1287;height:522" filled="true" fillcolor="#dcddde" stroked="false">
              <v:fill type="solid"/>
            </v:rect>
            <v:rect style="position:absolute;left:1569;top:3435;width:1287;height:522" filled="false" stroked="true" strokeweight=".432718pt" strokecolor="#231f20"/>
            <v:rect style="position:absolute;left:3307;top:3435;width:1154;height:522" filled="true" fillcolor="#dcddde" stroked="false">
              <v:fill type="solid"/>
            </v:rect>
            <v:rect style="position:absolute;left:3307;top:3435;width:1154;height:522" filled="false" stroked="true" strokeweight=".435762pt" strokecolor="#231f20"/>
            <v:rect style="position:absolute;left:4912;top:3435;width:1369;height:522" filled="true" fillcolor="#6d6e71" stroked="false">
              <v:fill type="solid"/>
            </v:rect>
            <v:rect style="position:absolute;left:4912;top:3435;width:1369;height:522" filled="false" stroked="true" strokeweight=".431205pt" strokecolor="#231f20"/>
            <v:rect style="position:absolute;left:6732;top:3435;width:1255;height:522" filled="true" fillcolor="#dcddde" stroked="false">
              <v:fill type="solid"/>
            </v:rect>
            <v:rect style="position:absolute;left:6732;top:3435;width:1255;height:522" filled="false" stroked="true" strokeweight=".43338pt" strokecolor="#231f20"/>
            <v:rect style="position:absolute;left:1569;top:4127;width:1287;height:176" filled="true" fillcolor="#f1f2f2" stroked="false">
              <v:fill type="solid"/>
            </v:rect>
            <v:rect style="position:absolute;left:1569;top:4127;width:1287;height:176" filled="false" stroked="true" strokeweight=".419647pt" strokecolor="#231f20"/>
            <v:rect style="position:absolute;left:3307;top:4127;width:1154;height:176" filled="true" fillcolor="#f1f2f2" stroked="false">
              <v:fill type="solid"/>
            </v:rect>
            <v:rect style="position:absolute;left:3307;top:4127;width:1154;height:176" filled="false" stroked="true" strokeweight=".420112pt" strokecolor="#231f20"/>
            <v:rect style="position:absolute;left:4912;top:4127;width:1369;height:176" filled="true" fillcolor="#bcbec0" stroked="false">
              <v:fill type="solid"/>
            </v:rect>
            <v:rect style="position:absolute;left:4912;top:4127;width:1369;height:176" filled="false" stroked="true" strokeweight=".419426pt" strokecolor="#231f20"/>
            <v:rect style="position:absolute;left:6732;top:4127;width:1255;height:176" filled="true" fillcolor="#f1f2f2" stroked="false">
              <v:fill type="solid"/>
            </v:rect>
            <v:rect style="position:absolute;left:6732;top:4127;width:1255;height:176" filled="false" stroked="true" strokeweight=".419746pt" strokecolor="#231f20"/>
            <v:rect style="position:absolute;left:1569;top:4300;width:1287;height:522" filled="true" fillcolor="#dcddde" stroked="false">
              <v:fill type="solid"/>
            </v:rect>
            <v:rect style="position:absolute;left:1569;top:4300;width:1287;height:522" filled="false" stroked="true" strokeweight=".432718pt" strokecolor="#231f20"/>
            <v:rect style="position:absolute;left:3307;top:4300;width:1154;height:522" filled="true" fillcolor="#dcddde" stroked="false">
              <v:fill type="solid"/>
            </v:rect>
            <v:rect style="position:absolute;left:3307;top:4300;width:1154;height:522" filled="false" stroked="true" strokeweight=".435762pt" strokecolor="#231f20"/>
            <v:rect style="position:absolute;left:4912;top:4300;width:1369;height:522" filled="true" fillcolor="#6d6e71" stroked="false">
              <v:fill type="solid"/>
            </v:rect>
            <v:rect style="position:absolute;left:4912;top:4300;width:1369;height:522" filled="false" stroked="true" strokeweight=".431205pt" strokecolor="#231f20"/>
            <v:rect style="position:absolute;left:6732;top:4300;width:1255;height:522" filled="true" fillcolor="#dcddde" stroked="false">
              <v:fill type="solid"/>
            </v:rect>
            <v:rect style="position:absolute;left:6732;top:4300;width:1255;height:522" filled="false" stroked="true" strokeweight=".43338pt" strokecolor="#231f20"/>
            <v:rect style="position:absolute;left:3307;top:4991;width:1154;height:176" filled="true" fillcolor="#f1f2f2" stroked="false">
              <v:fill type="solid"/>
            </v:rect>
            <v:rect style="position:absolute;left:3307;top:4991;width:1154;height:176" filled="false" stroked="true" strokeweight=".420112pt" strokecolor="#231f20"/>
            <v:rect style="position:absolute;left:4912;top:4991;width:1369;height:176" filled="true" fillcolor="#bcbec0" stroked="false">
              <v:fill type="solid"/>
            </v:rect>
            <v:rect style="position:absolute;left:4912;top:4991;width:1369;height:176" filled="false" stroked="true" strokeweight=".419426pt" strokecolor="#231f20"/>
            <v:rect style="position:absolute;left:6732;top:4991;width:1255;height:176" filled="true" fillcolor="#f1f2f2" stroked="false">
              <v:fill type="solid"/>
            </v:rect>
            <v:rect style="position:absolute;left:6732;top:4991;width:1255;height:176" filled="false" stroked="true" strokeweight=".419746pt" strokecolor="#231f20"/>
            <v:rect style="position:absolute;left:3307;top:5164;width:1154;height:349" filled="true" fillcolor="#dcddde" stroked="false">
              <v:fill type="solid"/>
            </v:rect>
            <v:rect style="position:absolute;left:3307;top:5164;width:1154;height:349" filled="false" stroked="true" strokeweight=".426605pt" strokecolor="#231f20"/>
            <v:rect style="position:absolute;left:4912;top:5164;width:1369;height:349" filled="true" fillcolor="#6d6e71" stroked="false">
              <v:fill type="solid"/>
            </v:rect>
            <v:rect style="position:absolute;left:4912;top:5164;width:1369;height:349" filled="false" stroked="true" strokeweight=".424189pt" strokecolor="#231f20"/>
            <v:rect style="position:absolute;left:6732;top:5164;width:1255;height:349" filled="true" fillcolor="#dcddde" stroked="false">
              <v:fill type="solid"/>
            </v:rect>
            <v:rect style="position:absolute;left:6732;top:5164;width:1255;height:349" filled="false" stroked="true" strokeweight=".425327pt" strokecolor="#231f20"/>
            <v:rect style="position:absolute;left:3307;top:5683;width:1154;height:176" filled="true" fillcolor="#f1f2f2" stroked="false">
              <v:fill type="solid"/>
            </v:rect>
            <v:rect style="position:absolute;left:3307;top:5683;width:1154;height:176" filled="false" stroked="true" strokeweight=".420112pt" strokecolor="#231f20"/>
            <v:rect style="position:absolute;left:6732;top:5683;width:1255;height:176" filled="true" fillcolor="#f1f2f2" stroked="false">
              <v:fill type="solid"/>
            </v:rect>
            <v:rect style="position:absolute;left:6732;top:5683;width:1255;height:176" filled="false" stroked="true" strokeweight=".419746pt" strokecolor="#231f20"/>
            <v:rect style="position:absolute;left:3307;top:5856;width:1154;height:522" filled="true" fillcolor="#dcddde" stroked="false">
              <v:fill type="solid"/>
            </v:rect>
            <v:rect style="position:absolute;left:3307;top:5856;width:1154;height:522" filled="false" stroked="true" strokeweight=".435762pt" strokecolor="#231f20"/>
            <v:rect style="position:absolute;left:6732;top:5856;width:1255;height:522" filled="true" fillcolor="#dcddde" stroked="false">
              <v:fill type="solid"/>
            </v:rect>
            <v:rect style="position:absolute;left:6732;top:5856;width:1255;height:522" filled="false" stroked="true" strokeweight=".43338pt" strokecolor="#231f20"/>
            <v:rect style="position:absolute;left:3307;top:6547;width:1154;height:176" filled="true" fillcolor="#f1f2f2" stroked="false">
              <v:fill type="solid"/>
            </v:rect>
            <v:rect style="position:absolute;left:3307;top:6547;width:1154;height:176" filled="false" stroked="true" strokeweight=".420112pt" strokecolor="#231f20"/>
            <v:rect style="position:absolute;left:6732;top:6547;width:1255;height:176" filled="true" fillcolor="#f1f2f2" stroked="false">
              <v:fill type="solid"/>
            </v:rect>
            <v:rect style="position:absolute;left:6732;top:6547;width:1255;height:176" filled="false" stroked="true" strokeweight=".419746pt" strokecolor="#231f20"/>
            <v:rect style="position:absolute;left:3307;top:6720;width:1154;height:522" filled="true" fillcolor="#dcddde" stroked="false">
              <v:fill type="solid"/>
            </v:rect>
            <v:rect style="position:absolute;left:3307;top:6720;width:1154;height:522" filled="false" stroked="true" strokeweight=".435762pt" strokecolor="#231f20"/>
            <v:rect style="position:absolute;left:6732;top:6720;width:1255;height:522" filled="true" fillcolor="#dcddde" stroked="false">
              <v:fill type="solid"/>
            </v:rect>
            <v:rect style="position:absolute;left:6732;top:6720;width:1255;height:522" filled="false" stroked="true" strokeweight=".43338pt" strokecolor="#231f20"/>
            <v:shape style="position:absolute;left:3241;top:890;width:6826;height:6077" coordorigin="3241,890" coordsize="6826,6077" path="m3303,6932l3241,6897,3241,6967,3303,6932m3303,5962l3241,5927,3241,5996,3303,5962m3303,5290l3241,5255,3241,5325,3303,5290m3309,3775l3248,3740,3248,3810,3309,3775m3309,1868l3248,1833,3248,1903,3309,1868m3316,4562l3255,4527,3255,4597,3316,4562m3316,2799l3255,2764,3255,2834,3316,2799m4873,1650l4812,1615,4812,1685,4873,1650m4873,942l4812,907,4812,977,4873,942m4908,5220l4846,5185,4846,5255,4908,5220m4908,4450l4846,4415,4846,4485,4908,4450m4908,3619l4846,3584,4846,3654,4908,3619m4908,2687l4846,2653,4846,2722,4908,2687m7306,2263l7275,2193,7244,2263,7306,2263m8434,1840l8373,1805,8373,1874,8434,1840m9027,2255l8996,2185,8965,2255,9027,2255m10059,2730l9998,2695,9998,2764,10059,2730m10059,1831l9998,1797,9998,1866,10059,1831m10066,925l10005,890,10005,960,10066,925e" filled="true" fillcolor="#939598" stroked="false">
              <v:path arrowok="t"/>
              <v:fill type="solid"/>
            </v:shape>
            <v:line style="position:absolute" from="1564,587" to="1919,587" stroked="true" strokeweight="2.45607pt" strokecolor="#bcbec0"/>
            <v:rect style="position:absolute;left:1564;top:562;width:355;height:49" filled="false" stroked="true" strokeweight=".419701pt" strokecolor="#231f20"/>
            <v:line style="position:absolute" from="1564,837" to="1919,837" stroked="true" strokeweight="2.357493pt" strokecolor="#f1f2f2"/>
            <v:rect style="position:absolute;left:1564;top:814;width:355;height:47" filled="false" stroked="true" strokeweight=".419547pt" strokecolor="#231f20"/>
            <v:rect style="position:absolute;left:1564;top:623;width:355;height:110" filled="true" fillcolor="#6d6e71" stroked="false">
              <v:fill type="solid"/>
            </v:rect>
            <v:rect style="position:absolute;left:1564;top:623;width:355;height:110" filled="false" stroked="true" strokeweight=".427067pt" strokecolor="#231f20"/>
            <v:rect style="position:absolute;left:1564;top:881;width:355;height:116" filled="true" fillcolor="#dcddde" stroked="false">
              <v:fill type="solid"/>
            </v:rect>
            <v:rect style="position:absolute;left:1564;top:881;width:355;height:116" filled="false" stroked="true" strokeweight=".42793pt" strokecolor="#231f20"/>
            <w10:wrap type="none"/>
          </v:group>
        </w:pict>
      </w:r>
      <w:r>
        <w:rPr>
          <w:rFonts w:ascii="Palatino Linotype" w:hAnsi="Palatino Linotype"/>
          <w:b/>
          <w:color w:val="231F20"/>
          <w:w w:val="90"/>
          <w:sz w:val="21"/>
        </w:rPr>
        <w:t>Cadena productiva del sector automotriz en México</w:t>
      </w:r>
    </w:p>
    <w:p>
      <w:pPr>
        <w:spacing w:before="105"/>
        <w:ind w:left="1672" w:right="0" w:firstLine="0"/>
        <w:jc w:val="left"/>
        <w:rPr>
          <w:rFonts w:ascii="Palatino Linotype"/>
          <w:b/>
          <w:sz w:val="36"/>
        </w:rPr>
      </w:pPr>
      <w:r>
        <w:rPr/>
        <w:br w:type="column"/>
      </w:r>
      <w:r>
        <w:rPr>
          <w:rFonts w:ascii="Palatino Linotype"/>
          <w:b/>
          <w:color w:val="231F20"/>
          <w:w w:val="105"/>
          <w:sz w:val="36"/>
        </w:rPr>
        <w:t>Anexos</w:t>
      </w:r>
    </w:p>
    <w:p>
      <w:pPr>
        <w:spacing w:after="0"/>
        <w:jc w:val="left"/>
        <w:rPr>
          <w:rFonts w:ascii="Palatino Linotype"/>
          <w:sz w:val="36"/>
        </w:rPr>
        <w:sectPr>
          <w:type w:val="continuous"/>
          <w:pgSz w:w="13040" w:h="9640" w:orient="landscape"/>
          <w:pgMar w:top="1200" w:bottom="280" w:left="400" w:right="1260"/>
          <w:cols w:num="2" w:equalWidth="0">
            <w:col w:w="8321" w:space="40"/>
            <w:col w:w="3019"/>
          </w:cols>
        </w:sectPr>
      </w:pPr>
    </w:p>
    <w:p>
      <w:pPr>
        <w:pStyle w:val="BodyText"/>
        <w:spacing w:before="6"/>
        <w:rPr>
          <w:rFonts w:ascii="Palatino Linotype"/>
          <w:b/>
          <w:sz w:val="16"/>
        </w:rPr>
      </w:pPr>
    </w:p>
    <w:p>
      <w:pPr>
        <w:spacing w:after="0"/>
        <w:rPr>
          <w:rFonts w:ascii="Palatino Linotype"/>
          <w:sz w:val="16"/>
        </w:rPr>
        <w:sectPr>
          <w:type w:val="continuous"/>
          <w:pgSz w:w="13040" w:h="9640" w:orient="landscape"/>
          <w:pgMar w:top="1200" w:bottom="280" w:left="400" w:right="1260"/>
        </w:sectPr>
      </w:pPr>
    </w:p>
    <w:p>
      <w:pPr>
        <w:pStyle w:val="BodyText"/>
        <w:spacing w:before="3"/>
        <w:rPr>
          <w:rFonts w:ascii="Palatino Linotype"/>
          <w:b/>
          <w:sz w:val="9"/>
        </w:rPr>
      </w:pPr>
    </w:p>
    <w:p>
      <w:pPr>
        <w:spacing w:before="1"/>
        <w:ind w:left="1661" w:right="-4" w:firstLine="0"/>
        <w:jc w:val="left"/>
        <w:rPr>
          <w:rFonts w:ascii="Palatino Linotype"/>
          <w:sz w:val="9"/>
        </w:rPr>
      </w:pPr>
      <w:r>
        <w:rPr>
          <w:rFonts w:ascii="Palatino Linotype"/>
          <w:color w:val="231F20"/>
          <w:w w:val="115"/>
          <w:sz w:val="9"/>
        </w:rPr>
        <w:t>Eslabones principales de la  cadena</w:t>
      </w:r>
    </w:p>
    <w:p>
      <w:pPr>
        <w:tabs>
          <w:tab w:pos="6818" w:val="left" w:leader="none"/>
        </w:tabs>
        <w:spacing w:before="70"/>
        <w:ind w:left="1661" w:right="0" w:firstLine="0"/>
        <w:jc w:val="left"/>
        <w:rPr>
          <w:rFonts w:ascii="Palatino Linotype"/>
          <w:sz w:val="10"/>
        </w:rPr>
      </w:pPr>
      <w:r>
        <w:rPr/>
        <w:br w:type="column"/>
      </w:r>
      <w:r>
        <w:rPr>
          <w:rFonts w:ascii="Palatino Linotype"/>
          <w:color w:val="231F20"/>
          <w:w w:val="120"/>
          <w:sz w:val="10"/>
        </w:rPr>
        <w:t>384121</w:t>
        <w:tab/>
        <w:t>625004</w:t>
      </w:r>
    </w:p>
    <w:p>
      <w:pPr>
        <w:spacing w:after="0"/>
        <w:jc w:val="left"/>
        <w:rPr>
          <w:rFonts w:ascii="Palatino Linotype"/>
          <w:sz w:val="10"/>
        </w:rPr>
        <w:sectPr>
          <w:type w:val="continuous"/>
          <w:pgSz w:w="13040" w:h="9640" w:orient="landscape"/>
          <w:pgMar w:top="1200" w:bottom="280" w:left="400" w:right="1260"/>
          <w:cols w:num="2" w:equalWidth="0">
            <w:col w:w="3287" w:space="64"/>
            <w:col w:w="8029"/>
          </w:cols>
        </w:sectPr>
      </w:pPr>
    </w:p>
    <w:p>
      <w:pPr>
        <w:pStyle w:val="BodyText"/>
        <w:rPr>
          <w:rFonts w:ascii="Palatino Linotype"/>
          <w:sz w:val="9"/>
        </w:rPr>
      </w:pPr>
    </w:p>
    <w:p>
      <w:pPr>
        <w:spacing w:before="1"/>
        <w:ind w:left="1661" w:right="-16" w:firstLine="0"/>
        <w:jc w:val="left"/>
        <w:rPr>
          <w:rFonts w:ascii="Palatino Linotype"/>
          <w:sz w:val="9"/>
        </w:rPr>
      </w:pPr>
      <w:r>
        <w:rPr>
          <w:rFonts w:ascii="Palatino Linotype"/>
          <w:color w:val="231F20"/>
          <w:w w:val="120"/>
          <w:sz w:val="9"/>
        </w:rPr>
        <w:t>Actividades</w:t>
      </w:r>
      <w:r>
        <w:rPr>
          <w:rFonts w:ascii="Palatino Linotype"/>
          <w:color w:val="231F20"/>
          <w:spacing w:val="-9"/>
          <w:w w:val="120"/>
          <w:sz w:val="9"/>
        </w:rPr>
        <w:t> </w:t>
      </w:r>
      <w:r>
        <w:rPr>
          <w:rFonts w:ascii="Palatino Linotype"/>
          <w:color w:val="231F20"/>
          <w:w w:val="120"/>
          <w:sz w:val="9"/>
        </w:rPr>
        <w:t>/</w:t>
      </w:r>
      <w:r>
        <w:rPr>
          <w:rFonts w:ascii="Palatino Linotype"/>
          <w:color w:val="231F20"/>
          <w:spacing w:val="-9"/>
          <w:w w:val="120"/>
          <w:sz w:val="9"/>
        </w:rPr>
        <w:t> </w:t>
      </w:r>
      <w:r>
        <w:rPr>
          <w:rFonts w:ascii="Palatino Linotype"/>
          <w:color w:val="231F20"/>
          <w:w w:val="120"/>
          <w:sz w:val="9"/>
        </w:rPr>
        <w:t>productos</w:t>
      </w:r>
      <w:r>
        <w:rPr>
          <w:rFonts w:ascii="Palatino Linotype"/>
          <w:color w:val="231F20"/>
          <w:spacing w:val="-9"/>
          <w:w w:val="120"/>
          <w:sz w:val="9"/>
        </w:rPr>
        <w:t> </w:t>
      </w:r>
      <w:r>
        <w:rPr>
          <w:rFonts w:ascii="Palatino Linotype"/>
          <w:color w:val="231F20"/>
          <w:w w:val="120"/>
          <w:sz w:val="9"/>
        </w:rPr>
        <w:t>de</w:t>
      </w:r>
      <w:r>
        <w:rPr>
          <w:rFonts w:ascii="Palatino Linotype"/>
          <w:color w:val="231F20"/>
          <w:spacing w:val="-9"/>
          <w:w w:val="120"/>
          <w:sz w:val="9"/>
        </w:rPr>
        <w:t> </w:t>
      </w:r>
      <w:r>
        <w:rPr>
          <w:rFonts w:ascii="Palatino Linotype"/>
          <w:color w:val="231F20"/>
          <w:w w:val="120"/>
          <w:sz w:val="9"/>
        </w:rPr>
        <w:t>apoyo</w:t>
      </w:r>
    </w:p>
    <w:p>
      <w:pPr>
        <w:spacing w:line="132" w:lineRule="exact" w:before="61"/>
        <w:ind w:left="1324" w:right="0" w:hanging="72"/>
        <w:jc w:val="left"/>
        <w:rPr>
          <w:rFonts w:ascii="Palatino Linotype" w:hAnsi="Palatino Linotype"/>
          <w:sz w:val="10"/>
        </w:rPr>
      </w:pPr>
      <w:r>
        <w:rPr/>
        <w:br w:type="column"/>
      </w:r>
      <w:r>
        <w:rPr>
          <w:rFonts w:ascii="Palatino Linotype" w:hAnsi="Palatino Linotype"/>
          <w:color w:val="FFFFFF"/>
          <w:w w:val="110"/>
          <w:sz w:val="10"/>
        </w:rPr>
        <w:t>Fabricación y ensamble de carrocerías y remolques</w:t>
      </w:r>
    </w:p>
    <w:p>
      <w:pPr>
        <w:spacing w:line="132" w:lineRule="exact" w:before="30"/>
        <w:ind w:left="1922" w:right="433" w:hanging="261"/>
        <w:jc w:val="left"/>
        <w:rPr>
          <w:rFonts w:ascii="Palatino Linotype"/>
          <w:sz w:val="10"/>
        </w:rPr>
      </w:pPr>
      <w:r>
        <w:rPr/>
        <w:br w:type="column"/>
      </w:r>
      <w:r>
        <w:rPr>
          <w:rFonts w:ascii="Palatino Linotype"/>
          <w:color w:val="FFFFFF"/>
          <w:w w:val="110"/>
          <w:sz w:val="10"/>
        </w:rPr>
        <w:t>Comercio de refacciones y accesorios para</w:t>
      </w:r>
    </w:p>
    <w:p>
      <w:pPr>
        <w:spacing w:before="0"/>
        <w:ind w:left="1999" w:right="433" w:firstLine="0"/>
        <w:jc w:val="left"/>
        <w:rPr>
          <w:rFonts w:ascii="Palatino Linotype" w:hAnsi="Palatino Linotype"/>
          <w:sz w:val="10"/>
        </w:rPr>
      </w:pPr>
      <w:r>
        <w:rPr>
          <w:rFonts w:ascii="Palatino Linotype" w:hAnsi="Palatino Linotype"/>
          <w:color w:val="FFFFFF"/>
          <w:w w:val="110"/>
          <w:sz w:val="10"/>
        </w:rPr>
        <w:t>automóviles</w:t>
      </w:r>
    </w:p>
    <w:p>
      <w:pPr>
        <w:spacing w:after="0"/>
        <w:jc w:val="left"/>
        <w:rPr>
          <w:rFonts w:ascii="Palatino Linotype" w:hAnsi="Palatino Linotype"/>
          <w:sz w:val="10"/>
        </w:rPr>
        <w:sectPr>
          <w:type w:val="continuous"/>
          <w:pgSz w:w="13040" w:h="9640" w:orient="landscape"/>
          <w:pgMar w:top="1200" w:bottom="280" w:left="400" w:right="1260"/>
          <w:cols w:num="3" w:equalWidth="0">
            <w:col w:w="3247" w:space="40"/>
            <w:col w:w="2561" w:space="2208"/>
            <w:col w:w="3324"/>
          </w:cols>
        </w:sectPr>
      </w:pPr>
    </w:p>
    <w:p>
      <w:pPr>
        <w:pStyle w:val="BodyText"/>
        <w:spacing w:before="4"/>
        <w:rPr>
          <w:rFonts w:ascii="Palatino Linotype"/>
          <w:sz w:val="13"/>
        </w:rPr>
      </w:pPr>
    </w:p>
    <w:p>
      <w:pPr>
        <w:tabs>
          <w:tab w:pos="3301" w:val="left" w:leader="none"/>
          <w:tab w:pos="5012" w:val="left" w:leader="none"/>
          <w:tab w:pos="6776" w:val="left" w:leader="none"/>
          <w:tab w:pos="8558" w:val="left" w:leader="none"/>
          <w:tab w:pos="10169" w:val="left" w:leader="none"/>
        </w:tabs>
        <w:spacing w:before="64"/>
        <w:ind w:left="1629" w:right="0" w:firstLine="0"/>
        <w:jc w:val="left"/>
        <w:rPr>
          <w:rFonts w:ascii="Palatino Linotype"/>
          <w:sz w:val="10"/>
        </w:rPr>
      </w:pPr>
      <w:r>
        <w:rPr>
          <w:rFonts w:ascii="Palatino Linotype"/>
          <w:color w:val="231F20"/>
          <w:w w:val="120"/>
          <w:sz w:val="10"/>
        </w:rPr>
        <w:t>371003</w:t>
        <w:tab/>
        <w:t>371007</w:t>
        <w:tab/>
      </w:r>
      <w:r>
        <w:rPr>
          <w:rFonts w:ascii="Palatino Linotype"/>
          <w:color w:val="231F20"/>
          <w:w w:val="120"/>
          <w:position w:val="2"/>
          <w:sz w:val="10"/>
        </w:rPr>
        <w:t>384122</w:t>
        <w:tab/>
        <w:t>383101</w:t>
        <w:tab/>
        <w:t>384110</w:t>
        <w:tab/>
        <w:t>625001</w:t>
      </w:r>
    </w:p>
    <w:p>
      <w:pPr>
        <w:spacing w:after="0"/>
        <w:jc w:val="left"/>
        <w:rPr>
          <w:rFonts w:ascii="Palatino Linotype"/>
          <w:sz w:val="10"/>
        </w:rPr>
        <w:sectPr>
          <w:type w:val="continuous"/>
          <w:pgSz w:w="13040" w:h="9640" w:orient="landscape"/>
          <w:pgMar w:top="1200" w:bottom="280" w:left="400" w:right="1260"/>
        </w:sectPr>
      </w:pPr>
    </w:p>
    <w:p>
      <w:pPr>
        <w:pStyle w:val="BodyText"/>
        <w:rPr>
          <w:rFonts w:ascii="Palatino Linotype"/>
          <w:sz w:val="10"/>
        </w:rPr>
      </w:pPr>
    </w:p>
    <w:p>
      <w:pPr>
        <w:pStyle w:val="BodyText"/>
        <w:spacing w:before="9"/>
        <w:rPr>
          <w:rFonts w:ascii="Palatino Linotype"/>
          <w:sz w:val="7"/>
        </w:rPr>
      </w:pPr>
    </w:p>
    <w:p>
      <w:pPr>
        <w:spacing w:before="0"/>
        <w:ind w:left="1301" w:right="0" w:firstLine="0"/>
        <w:jc w:val="left"/>
        <w:rPr>
          <w:rFonts w:ascii="Palatino Linotype" w:hAnsi="Palatino Linotype"/>
          <w:sz w:val="10"/>
        </w:rPr>
      </w:pPr>
      <w:r>
        <w:rPr>
          <w:rFonts w:ascii="Palatino Linotype" w:hAnsi="Palatino Linotype"/>
          <w:color w:val="231F20"/>
          <w:w w:val="110"/>
          <w:sz w:val="10"/>
        </w:rPr>
        <w:t>Fabricación de acero</w:t>
      </w:r>
    </w:p>
    <w:p>
      <w:pPr>
        <w:pStyle w:val="BodyText"/>
        <w:spacing w:before="10"/>
        <w:rPr>
          <w:rFonts w:ascii="Palatino Linotype"/>
          <w:sz w:val="12"/>
        </w:rPr>
      </w:pPr>
      <w:r>
        <w:rPr/>
        <w:br w:type="column"/>
      </w:r>
      <w:r>
        <w:rPr>
          <w:rFonts w:ascii="Palatino Linotype"/>
          <w:sz w:val="12"/>
        </w:rPr>
      </w:r>
    </w:p>
    <w:p>
      <w:pPr>
        <w:spacing w:line="132" w:lineRule="exact" w:before="0"/>
        <w:ind w:left="697" w:right="0" w:hanging="92"/>
        <w:jc w:val="left"/>
        <w:rPr>
          <w:rFonts w:ascii="Palatino Linotype" w:hAnsi="Palatino Linotype"/>
          <w:sz w:val="10"/>
        </w:rPr>
      </w:pPr>
      <w:r>
        <w:rPr>
          <w:rFonts w:ascii="Palatino Linotype" w:hAnsi="Palatino Linotype"/>
          <w:color w:val="231F20"/>
          <w:w w:val="110"/>
          <w:sz w:val="10"/>
        </w:rPr>
        <w:t>Fabricación de tubos</w:t>
      </w:r>
      <w:r>
        <w:rPr>
          <w:rFonts w:ascii="Palatino Linotype" w:hAnsi="Palatino Linotype"/>
          <w:color w:val="231F20"/>
          <w:w w:val="111"/>
          <w:sz w:val="10"/>
        </w:rPr>
        <w:t> </w:t>
      </w:r>
      <w:r>
        <w:rPr>
          <w:rFonts w:ascii="Palatino Linotype" w:hAnsi="Palatino Linotype"/>
          <w:color w:val="231F20"/>
          <w:w w:val="110"/>
          <w:sz w:val="10"/>
        </w:rPr>
        <w:t>y postes de acero</w:t>
      </w:r>
    </w:p>
    <w:p>
      <w:pPr>
        <w:pStyle w:val="BodyText"/>
        <w:spacing w:before="10"/>
        <w:rPr>
          <w:rFonts w:ascii="Palatino Linotype"/>
          <w:sz w:val="13"/>
        </w:rPr>
      </w:pPr>
      <w:r>
        <w:rPr/>
        <w:br w:type="column"/>
      </w:r>
      <w:r>
        <w:rPr>
          <w:rFonts w:ascii="Palatino Linotype"/>
          <w:sz w:val="13"/>
        </w:rPr>
      </w:r>
    </w:p>
    <w:p>
      <w:pPr>
        <w:spacing w:line="132" w:lineRule="exact" w:before="0"/>
        <w:ind w:left="918" w:right="0" w:hanging="386"/>
        <w:jc w:val="left"/>
        <w:rPr>
          <w:rFonts w:ascii="Palatino Linotype" w:hAnsi="Palatino Linotype"/>
          <w:sz w:val="10"/>
        </w:rPr>
      </w:pPr>
      <w:r>
        <w:rPr>
          <w:rFonts w:ascii="Palatino Linotype" w:hAnsi="Palatino Linotype"/>
          <w:color w:val="FFFFFF"/>
          <w:w w:val="110"/>
          <w:sz w:val="10"/>
        </w:rPr>
        <w:t>Fabricación de motores</w:t>
      </w:r>
      <w:r>
        <w:rPr>
          <w:rFonts w:ascii="Palatino Linotype" w:hAnsi="Palatino Linotype"/>
          <w:color w:val="FFFFFF"/>
          <w:w w:val="113"/>
          <w:sz w:val="10"/>
        </w:rPr>
        <w:t> </w:t>
      </w:r>
      <w:r>
        <w:rPr>
          <w:rFonts w:ascii="Palatino Linotype" w:hAnsi="Palatino Linotype"/>
          <w:color w:val="FFFFFF"/>
          <w:w w:val="110"/>
          <w:sz w:val="10"/>
        </w:rPr>
        <w:t>y sus partes</w:t>
      </w:r>
    </w:p>
    <w:p>
      <w:pPr>
        <w:pStyle w:val="BodyText"/>
        <w:spacing w:before="11"/>
        <w:rPr>
          <w:rFonts w:ascii="Palatino Linotype"/>
          <w:sz w:val="7"/>
        </w:rPr>
      </w:pPr>
      <w:r>
        <w:rPr/>
        <w:br w:type="column"/>
      </w:r>
      <w:r>
        <w:rPr>
          <w:rFonts w:ascii="Palatino Linotype"/>
          <w:sz w:val="7"/>
        </w:rPr>
      </w:r>
    </w:p>
    <w:p>
      <w:pPr>
        <w:spacing w:line="132" w:lineRule="exact" w:before="1"/>
        <w:ind w:left="584" w:right="0" w:firstLine="0"/>
        <w:jc w:val="center"/>
        <w:rPr>
          <w:rFonts w:ascii="Palatino Linotype" w:hAnsi="Palatino Linotype"/>
          <w:sz w:val="10"/>
        </w:rPr>
      </w:pPr>
      <w:r>
        <w:rPr>
          <w:rFonts w:ascii="Palatino Linotype" w:hAnsi="Palatino Linotype"/>
          <w:color w:val="231F20"/>
          <w:w w:val="115"/>
          <w:sz w:val="10"/>
        </w:rPr>
        <w:t>Fabricación,</w:t>
      </w:r>
      <w:r>
        <w:rPr>
          <w:rFonts w:ascii="Palatino Linotype" w:hAnsi="Palatino Linotype"/>
          <w:color w:val="231F20"/>
          <w:spacing w:val="-15"/>
          <w:w w:val="115"/>
          <w:sz w:val="10"/>
        </w:rPr>
        <w:t> </w:t>
      </w:r>
      <w:r>
        <w:rPr>
          <w:rFonts w:ascii="Palatino Linotype" w:hAnsi="Palatino Linotype"/>
          <w:color w:val="231F20"/>
          <w:w w:val="115"/>
          <w:sz w:val="10"/>
        </w:rPr>
        <w:t>ensamble</w:t>
      </w:r>
      <w:r>
        <w:rPr>
          <w:rFonts w:ascii="Palatino Linotype" w:hAnsi="Palatino Linotype"/>
          <w:color w:val="231F20"/>
          <w:spacing w:val="-15"/>
          <w:w w:val="115"/>
          <w:sz w:val="10"/>
        </w:rPr>
        <w:t> </w:t>
      </w:r>
      <w:r>
        <w:rPr>
          <w:rFonts w:ascii="Palatino Linotype" w:hAnsi="Palatino Linotype"/>
          <w:color w:val="231F20"/>
          <w:w w:val="115"/>
          <w:sz w:val="10"/>
        </w:rPr>
        <w:t>y</w:t>
      </w:r>
      <w:r>
        <w:rPr>
          <w:rFonts w:ascii="Palatino Linotype" w:hAnsi="Palatino Linotype"/>
          <w:color w:val="231F20"/>
          <w:w w:val="101"/>
          <w:sz w:val="10"/>
        </w:rPr>
        <w:t> </w:t>
      </w:r>
      <w:r>
        <w:rPr>
          <w:rFonts w:ascii="Palatino Linotype" w:hAnsi="Palatino Linotype"/>
          <w:color w:val="231F20"/>
          <w:w w:val="115"/>
          <w:sz w:val="10"/>
        </w:rPr>
        <w:t>reparación de motores eléctricos</w:t>
      </w:r>
    </w:p>
    <w:p>
      <w:pPr>
        <w:pStyle w:val="BodyText"/>
        <w:spacing w:before="5"/>
        <w:rPr>
          <w:rFonts w:ascii="Palatino Linotype"/>
          <w:sz w:val="10"/>
        </w:rPr>
      </w:pPr>
      <w:r>
        <w:rPr/>
        <w:br w:type="column"/>
      </w:r>
      <w:r>
        <w:rPr>
          <w:rFonts w:ascii="Palatino Linotype"/>
          <w:sz w:val="10"/>
        </w:rPr>
      </w:r>
    </w:p>
    <w:p>
      <w:pPr>
        <w:spacing w:line="249" w:lineRule="auto" w:before="0"/>
        <w:ind w:left="555" w:right="0" w:hanging="37"/>
        <w:jc w:val="left"/>
        <w:rPr>
          <w:rFonts w:ascii="Palatino Linotype" w:hAnsi="Palatino Linotype"/>
          <w:sz w:val="10"/>
        </w:rPr>
      </w:pPr>
      <w:r>
        <w:rPr>
          <w:rFonts w:ascii="Palatino Linotype" w:hAnsi="Palatino Linotype"/>
          <w:color w:val="FFFFFF"/>
          <w:w w:val="110"/>
          <w:sz w:val="10"/>
        </w:rPr>
        <w:t>Fabricación y ensmble de</w:t>
      </w:r>
      <w:r>
        <w:rPr>
          <w:rFonts w:ascii="Palatino Linotype" w:hAnsi="Palatino Linotype"/>
          <w:color w:val="FFFFFF"/>
          <w:w w:val="107"/>
          <w:sz w:val="10"/>
        </w:rPr>
        <w:t> </w:t>
      </w:r>
      <w:r>
        <w:rPr>
          <w:rFonts w:ascii="Palatino Linotype" w:hAnsi="Palatino Linotype"/>
          <w:color w:val="FFFFFF"/>
          <w:w w:val="110"/>
          <w:sz w:val="10"/>
        </w:rPr>
        <w:t>automóviles y camiones</w:t>
      </w:r>
    </w:p>
    <w:p>
      <w:pPr>
        <w:pStyle w:val="BodyText"/>
        <w:spacing w:before="9"/>
        <w:rPr>
          <w:rFonts w:ascii="Palatino Linotype"/>
          <w:sz w:val="11"/>
        </w:rPr>
      </w:pPr>
      <w:r>
        <w:rPr/>
        <w:br w:type="column"/>
      </w:r>
      <w:r>
        <w:rPr>
          <w:rFonts w:ascii="Palatino Linotype"/>
          <w:sz w:val="11"/>
        </w:rPr>
      </w:r>
    </w:p>
    <w:p>
      <w:pPr>
        <w:spacing w:line="132" w:lineRule="exact" w:before="0"/>
        <w:ind w:left="779" w:right="79" w:hanging="462"/>
        <w:jc w:val="left"/>
        <w:rPr>
          <w:rFonts w:ascii="Palatino Linotype" w:hAnsi="Palatino Linotype"/>
          <w:sz w:val="10"/>
        </w:rPr>
      </w:pPr>
      <w:r>
        <w:rPr>
          <w:rFonts w:ascii="Palatino Linotype" w:hAnsi="Palatino Linotype"/>
          <w:color w:val="FFFFFF"/>
          <w:w w:val="110"/>
          <w:sz w:val="10"/>
        </w:rPr>
        <w:t>Comercio de automóviles nuevos</w:t>
      </w:r>
    </w:p>
    <w:p>
      <w:pPr>
        <w:spacing w:after="0" w:line="132" w:lineRule="exact"/>
        <w:jc w:val="left"/>
        <w:rPr>
          <w:rFonts w:ascii="Palatino Linotype" w:hAnsi="Palatino Linotype"/>
          <w:sz w:val="10"/>
        </w:rPr>
        <w:sectPr>
          <w:type w:val="continuous"/>
          <w:pgSz w:w="13040" w:h="9640" w:orient="landscape"/>
          <w:pgMar w:top="1200" w:bottom="280" w:left="400" w:right="1260"/>
          <w:cols w:num="6" w:equalWidth="0">
            <w:col w:w="2326" w:space="40"/>
            <w:col w:w="1636" w:space="40"/>
            <w:col w:w="1697" w:space="40"/>
            <w:col w:w="1774" w:space="40"/>
            <w:col w:w="1772" w:space="40"/>
            <w:col w:w="1975"/>
          </w:cols>
        </w:sectPr>
      </w:pPr>
    </w:p>
    <w:p>
      <w:pPr>
        <w:pStyle w:val="BodyText"/>
        <w:spacing w:before="5"/>
        <w:rPr>
          <w:rFonts w:ascii="Palatino Linotype"/>
          <w:sz w:val="17"/>
        </w:rPr>
      </w:pPr>
    </w:p>
    <w:p>
      <w:pPr>
        <w:tabs>
          <w:tab w:pos="3301" w:val="left" w:leader="none"/>
          <w:tab w:pos="5013" w:val="left" w:leader="none"/>
          <w:tab w:pos="6769" w:val="left" w:leader="none"/>
          <w:tab w:pos="8556" w:val="left" w:leader="none"/>
          <w:tab w:pos="10169" w:val="left" w:leader="none"/>
        </w:tabs>
        <w:spacing w:before="69"/>
        <w:ind w:left="1629" w:right="0" w:firstLine="0"/>
        <w:jc w:val="left"/>
        <w:rPr>
          <w:rFonts w:ascii="Palatino Linotype"/>
          <w:sz w:val="10"/>
        </w:rPr>
      </w:pPr>
      <w:r>
        <w:rPr>
          <w:rFonts w:ascii="Palatino Linotype"/>
          <w:color w:val="231F20"/>
          <w:w w:val="120"/>
          <w:sz w:val="10"/>
        </w:rPr>
        <w:t>372004</w:t>
        <w:tab/>
        <w:t>371006</w:t>
        <w:tab/>
        <w:t>384123</w:t>
        <w:tab/>
        <w:t>383109</w:t>
        <w:tab/>
        <w:t>355001</w:t>
        <w:tab/>
        <w:t>625003</w:t>
      </w:r>
    </w:p>
    <w:p>
      <w:pPr>
        <w:spacing w:after="0"/>
        <w:jc w:val="left"/>
        <w:rPr>
          <w:rFonts w:ascii="Palatino Linotype"/>
          <w:sz w:val="10"/>
        </w:rPr>
        <w:sectPr>
          <w:type w:val="continuous"/>
          <w:pgSz w:w="13040" w:h="9640" w:orient="landscape"/>
          <w:pgMar w:top="1200" w:bottom="280" w:left="400" w:right="1260"/>
        </w:sectPr>
      </w:pPr>
    </w:p>
    <w:p>
      <w:pPr>
        <w:pStyle w:val="BodyText"/>
        <w:spacing w:before="6"/>
        <w:rPr>
          <w:rFonts w:ascii="Palatino Linotype"/>
          <w:sz w:val="12"/>
        </w:rPr>
      </w:pPr>
    </w:p>
    <w:p>
      <w:pPr>
        <w:spacing w:line="132" w:lineRule="exact" w:before="0"/>
        <w:ind w:left="1317" w:right="0" w:hanging="58"/>
        <w:jc w:val="left"/>
        <w:rPr>
          <w:rFonts w:ascii="Palatino Linotype" w:hAnsi="Palatino Linotype"/>
          <w:sz w:val="10"/>
        </w:rPr>
      </w:pPr>
      <w:r>
        <w:rPr>
          <w:rFonts w:ascii="Palatino Linotype" w:hAnsi="Palatino Linotype"/>
          <w:color w:val="231F20"/>
          <w:w w:val="110"/>
          <w:sz w:val="10"/>
        </w:rPr>
        <w:t>Laminación, extrusión y/o estiraje de cobre</w:t>
      </w:r>
    </w:p>
    <w:p>
      <w:pPr>
        <w:pStyle w:val="BodyText"/>
        <w:rPr>
          <w:rFonts w:ascii="Palatino Linotype"/>
          <w:sz w:val="10"/>
        </w:rPr>
      </w:pPr>
      <w:r>
        <w:rPr/>
        <w:br w:type="column"/>
      </w:r>
      <w:r>
        <w:rPr>
          <w:rFonts w:ascii="Palatino Linotype"/>
          <w:sz w:val="10"/>
        </w:rPr>
      </w:r>
    </w:p>
    <w:p>
      <w:pPr>
        <w:spacing w:line="132" w:lineRule="exact" w:before="0"/>
        <w:ind w:left="593" w:right="-8" w:firstLine="112"/>
        <w:jc w:val="left"/>
        <w:rPr>
          <w:rFonts w:ascii="Palatino Linotype" w:hAnsi="Palatino Linotype"/>
          <w:sz w:val="10"/>
        </w:rPr>
      </w:pPr>
      <w:r>
        <w:rPr>
          <w:rFonts w:ascii="Palatino Linotype" w:hAnsi="Palatino Linotype"/>
          <w:color w:val="231F20"/>
          <w:w w:val="110"/>
          <w:sz w:val="10"/>
        </w:rPr>
        <w:t>Fabricación de laminados de acero</w:t>
      </w:r>
    </w:p>
    <w:p>
      <w:pPr>
        <w:pStyle w:val="BodyText"/>
        <w:rPr>
          <w:rFonts w:ascii="Palatino Linotype"/>
          <w:sz w:val="10"/>
        </w:rPr>
      </w:pPr>
      <w:r>
        <w:rPr/>
        <w:br w:type="column"/>
      </w:r>
      <w:r>
        <w:rPr>
          <w:rFonts w:ascii="Palatino Linotype"/>
          <w:sz w:val="10"/>
        </w:rPr>
      </w:r>
    </w:p>
    <w:p>
      <w:pPr>
        <w:spacing w:line="132" w:lineRule="exact" w:before="0"/>
        <w:ind w:left="574" w:right="0" w:hanging="29"/>
        <w:jc w:val="left"/>
        <w:rPr>
          <w:rFonts w:ascii="Palatino Linotype" w:hAnsi="Palatino Linotype"/>
          <w:sz w:val="10"/>
        </w:rPr>
      </w:pPr>
      <w:r>
        <w:rPr>
          <w:rFonts w:ascii="Palatino Linotype" w:hAnsi="Palatino Linotype"/>
          <w:color w:val="FFFFFF"/>
          <w:w w:val="110"/>
          <w:sz w:val="10"/>
        </w:rPr>
        <w:t>Fabricación de partes para</w:t>
      </w:r>
      <w:r>
        <w:rPr>
          <w:rFonts w:ascii="Palatino Linotype" w:hAnsi="Palatino Linotype"/>
          <w:color w:val="FFFFFF"/>
          <w:w w:val="109"/>
          <w:sz w:val="10"/>
        </w:rPr>
        <w:t> </w:t>
      </w:r>
      <w:r>
        <w:rPr>
          <w:rFonts w:ascii="Palatino Linotype" w:hAnsi="Palatino Linotype"/>
          <w:color w:val="FFFFFF"/>
          <w:w w:val="110"/>
          <w:sz w:val="10"/>
        </w:rPr>
        <w:t>el sistema de transmisión</w:t>
      </w:r>
    </w:p>
    <w:p>
      <w:pPr>
        <w:spacing w:line="132" w:lineRule="exact" w:before="87"/>
        <w:ind w:left="490" w:right="0" w:firstLine="16"/>
        <w:jc w:val="center"/>
        <w:rPr>
          <w:rFonts w:ascii="Palatino Linotype" w:hAnsi="Palatino Linotype"/>
          <w:sz w:val="10"/>
        </w:rPr>
      </w:pPr>
      <w:r>
        <w:rPr/>
        <w:br w:type="column"/>
      </w:r>
      <w:r>
        <w:rPr>
          <w:rFonts w:ascii="Palatino Linotype" w:hAnsi="Palatino Linotype"/>
          <w:color w:val="231F20"/>
          <w:w w:val="110"/>
          <w:sz w:val="10"/>
        </w:rPr>
        <w:t>Fabricación de materiales y accesorios</w:t>
      </w:r>
      <w:r>
        <w:rPr>
          <w:rFonts w:ascii="Palatino Linotype" w:hAnsi="Palatino Linotype"/>
          <w:color w:val="231F20"/>
          <w:w w:val="112"/>
          <w:sz w:val="10"/>
        </w:rPr>
        <w:t> </w:t>
      </w:r>
      <w:r>
        <w:rPr>
          <w:rFonts w:ascii="Palatino Linotype" w:hAnsi="Palatino Linotype"/>
          <w:color w:val="231F20"/>
          <w:w w:val="110"/>
          <w:sz w:val="10"/>
        </w:rPr>
        <w:t>eléctricos</w:t>
      </w:r>
    </w:p>
    <w:p>
      <w:pPr>
        <w:pStyle w:val="BodyText"/>
        <w:spacing w:before="8"/>
        <w:rPr>
          <w:rFonts w:ascii="Palatino Linotype"/>
          <w:sz w:val="8"/>
        </w:rPr>
      </w:pPr>
      <w:r>
        <w:rPr/>
        <w:br w:type="column"/>
      </w:r>
      <w:r>
        <w:rPr>
          <w:rFonts w:ascii="Palatino Linotype"/>
          <w:sz w:val="8"/>
        </w:rPr>
      </w:r>
    </w:p>
    <w:p>
      <w:pPr>
        <w:spacing w:line="132" w:lineRule="exact" w:before="0"/>
        <w:ind w:left="993" w:right="-3" w:hanging="387"/>
        <w:jc w:val="left"/>
        <w:rPr>
          <w:rFonts w:ascii="Palatino Linotype" w:hAnsi="Palatino Linotype"/>
          <w:sz w:val="10"/>
        </w:rPr>
      </w:pPr>
      <w:r>
        <w:rPr>
          <w:rFonts w:ascii="Palatino Linotype" w:hAnsi="Palatino Linotype"/>
          <w:color w:val="231F20"/>
          <w:w w:val="110"/>
          <w:sz w:val="10"/>
        </w:rPr>
        <w:t>Fabricación de llantas y</w:t>
      </w:r>
      <w:r>
        <w:rPr>
          <w:rFonts w:ascii="Palatino Linotype" w:hAnsi="Palatino Linotype"/>
          <w:color w:val="231F20"/>
          <w:w w:val="101"/>
          <w:sz w:val="10"/>
        </w:rPr>
        <w:t> </w:t>
      </w:r>
      <w:r>
        <w:rPr>
          <w:rFonts w:ascii="Palatino Linotype" w:hAnsi="Palatino Linotype"/>
          <w:color w:val="231F20"/>
          <w:w w:val="110"/>
          <w:sz w:val="10"/>
        </w:rPr>
        <w:t>cámaras</w:t>
      </w:r>
    </w:p>
    <w:p>
      <w:pPr>
        <w:pStyle w:val="BodyText"/>
        <w:spacing w:before="6"/>
        <w:rPr>
          <w:rFonts w:ascii="Palatino Linotype"/>
          <w:sz w:val="12"/>
        </w:rPr>
      </w:pPr>
      <w:r>
        <w:rPr/>
        <w:br w:type="column"/>
      </w:r>
      <w:r>
        <w:rPr>
          <w:rFonts w:ascii="Palatino Linotype"/>
          <w:sz w:val="12"/>
        </w:rPr>
      </w:r>
    </w:p>
    <w:p>
      <w:pPr>
        <w:spacing w:line="132" w:lineRule="exact" w:before="0"/>
        <w:ind w:left="798" w:right="483" w:hanging="338"/>
        <w:jc w:val="left"/>
        <w:rPr>
          <w:rFonts w:ascii="Palatino Linotype" w:hAnsi="Palatino Linotype"/>
          <w:sz w:val="10"/>
        </w:rPr>
      </w:pPr>
      <w:r>
        <w:rPr>
          <w:rFonts w:ascii="Palatino Linotype" w:hAnsi="Palatino Linotype"/>
          <w:color w:val="FFFFFF"/>
          <w:w w:val="110"/>
          <w:sz w:val="10"/>
        </w:rPr>
        <w:t>Comercio de llantas y</w:t>
      </w:r>
      <w:r>
        <w:rPr>
          <w:rFonts w:ascii="Palatino Linotype" w:hAnsi="Palatino Linotype"/>
          <w:color w:val="FFFFFF"/>
          <w:w w:val="101"/>
          <w:sz w:val="10"/>
        </w:rPr>
        <w:t> </w:t>
      </w:r>
      <w:r>
        <w:rPr>
          <w:rFonts w:ascii="Palatino Linotype" w:hAnsi="Palatino Linotype"/>
          <w:color w:val="FFFFFF"/>
          <w:w w:val="110"/>
          <w:sz w:val="10"/>
        </w:rPr>
        <w:t>cámaras</w:t>
      </w:r>
    </w:p>
    <w:p>
      <w:pPr>
        <w:spacing w:after="0" w:line="132" w:lineRule="exact"/>
        <w:jc w:val="left"/>
        <w:rPr>
          <w:rFonts w:ascii="Palatino Linotype" w:hAnsi="Palatino Linotype"/>
          <w:sz w:val="10"/>
        </w:rPr>
        <w:sectPr>
          <w:type w:val="continuous"/>
          <w:pgSz w:w="13040" w:h="9640" w:orient="landscape"/>
          <w:pgMar w:top="1200" w:bottom="280" w:left="400" w:right="1260"/>
          <w:cols w:num="6" w:equalWidth="0">
            <w:col w:w="2376" w:space="40"/>
            <w:col w:w="1549" w:space="40"/>
            <w:col w:w="1849" w:space="40"/>
            <w:col w:w="1617" w:space="40"/>
            <w:col w:w="1769" w:space="40"/>
            <w:col w:w="2020"/>
          </w:cols>
        </w:sectPr>
      </w:pPr>
    </w:p>
    <w:p>
      <w:pPr>
        <w:pStyle w:val="BodyText"/>
        <w:rPr>
          <w:rFonts w:ascii="Palatino Linotype"/>
          <w:sz w:val="16"/>
        </w:rPr>
      </w:pPr>
    </w:p>
    <w:p>
      <w:pPr>
        <w:tabs>
          <w:tab w:pos="3301" w:val="left" w:leader="none"/>
          <w:tab w:pos="5013" w:val="left" w:leader="none"/>
          <w:tab w:pos="6778" w:val="left" w:leader="none"/>
        </w:tabs>
        <w:spacing w:before="67"/>
        <w:ind w:left="1629" w:right="0" w:firstLine="0"/>
        <w:jc w:val="left"/>
        <w:rPr>
          <w:rFonts w:ascii="Palatino Linotype"/>
          <w:sz w:val="10"/>
        </w:rPr>
      </w:pPr>
      <w:r>
        <w:rPr>
          <w:rFonts w:ascii="Palatino Linotype"/>
          <w:color w:val="231F20"/>
          <w:w w:val="120"/>
          <w:sz w:val="10"/>
        </w:rPr>
        <w:t>372006</w:t>
        <w:tab/>
        <w:t>371008</w:t>
        <w:tab/>
        <w:t>384124</w:t>
        <w:tab/>
        <w:t>383110</w:t>
      </w:r>
    </w:p>
    <w:p>
      <w:pPr>
        <w:spacing w:after="0"/>
        <w:jc w:val="left"/>
        <w:rPr>
          <w:rFonts w:ascii="Palatino Linotype"/>
          <w:sz w:val="10"/>
        </w:rPr>
        <w:sectPr>
          <w:type w:val="continuous"/>
          <w:pgSz w:w="13040" w:h="9640" w:orient="landscape"/>
          <w:pgMar w:top="1200" w:bottom="280" w:left="400" w:right="1260"/>
        </w:sectPr>
      </w:pPr>
    </w:p>
    <w:p>
      <w:pPr>
        <w:spacing w:line="132" w:lineRule="exact" w:before="68"/>
        <w:ind w:left="1210" w:right="0" w:firstLine="8"/>
        <w:jc w:val="center"/>
        <w:rPr>
          <w:rFonts w:ascii="Palatino Linotype" w:hAnsi="Palatino Linotype"/>
          <w:sz w:val="10"/>
        </w:rPr>
      </w:pPr>
      <w:r>
        <w:rPr>
          <w:rFonts w:ascii="Palatino Linotype" w:hAnsi="Palatino Linotype"/>
          <w:color w:val="231F20"/>
          <w:w w:val="110"/>
          <w:sz w:val="10"/>
        </w:rPr>
        <w:t>Fundición, laminación, extrusión, refinación y/o</w:t>
      </w:r>
      <w:r>
        <w:rPr>
          <w:rFonts w:ascii="Palatino Linotype" w:hAnsi="Palatino Linotype"/>
          <w:color w:val="231F20"/>
          <w:w w:val="112"/>
          <w:sz w:val="10"/>
        </w:rPr>
        <w:t> </w:t>
      </w:r>
      <w:r>
        <w:rPr>
          <w:rFonts w:ascii="Palatino Linotype" w:hAnsi="Palatino Linotype"/>
          <w:color w:val="231F20"/>
          <w:w w:val="110"/>
          <w:sz w:val="10"/>
        </w:rPr>
        <w:t>estiraje de aluminio</w:t>
      </w:r>
    </w:p>
    <w:p>
      <w:pPr>
        <w:pStyle w:val="BodyText"/>
        <w:spacing w:before="1"/>
        <w:rPr>
          <w:rFonts w:ascii="Palatino Linotype"/>
          <w:sz w:val="11"/>
        </w:rPr>
      </w:pPr>
      <w:r>
        <w:rPr/>
        <w:br w:type="column"/>
      </w:r>
      <w:r>
        <w:rPr>
          <w:rFonts w:ascii="Palatino Linotype"/>
          <w:sz w:val="11"/>
        </w:rPr>
      </w:r>
    </w:p>
    <w:p>
      <w:pPr>
        <w:spacing w:line="132" w:lineRule="exact" w:before="0"/>
        <w:ind w:left="555" w:right="0" w:hanging="37"/>
        <w:jc w:val="left"/>
        <w:rPr>
          <w:rFonts w:ascii="Palatino Linotype" w:hAnsi="Palatino Linotype"/>
          <w:sz w:val="10"/>
        </w:rPr>
      </w:pPr>
      <w:r>
        <w:rPr>
          <w:rFonts w:ascii="Palatino Linotype" w:hAnsi="Palatino Linotype"/>
          <w:color w:val="231F20"/>
          <w:w w:val="110"/>
          <w:sz w:val="10"/>
        </w:rPr>
        <w:t>Fabricación de otros productos de acero</w:t>
      </w:r>
    </w:p>
    <w:p>
      <w:pPr>
        <w:pStyle w:val="BodyText"/>
        <w:spacing w:before="7"/>
        <w:rPr>
          <w:rFonts w:ascii="Palatino Linotype"/>
          <w:sz w:val="8"/>
        </w:rPr>
      </w:pPr>
      <w:r>
        <w:rPr/>
        <w:br w:type="column"/>
      </w:r>
      <w:r>
        <w:rPr>
          <w:rFonts w:ascii="Palatino Linotype"/>
          <w:sz w:val="8"/>
        </w:rPr>
      </w:r>
    </w:p>
    <w:p>
      <w:pPr>
        <w:spacing w:line="132" w:lineRule="exact" w:before="0"/>
        <w:ind w:left="561" w:right="0" w:hanging="46"/>
        <w:jc w:val="left"/>
        <w:rPr>
          <w:rFonts w:ascii="Palatino Linotype" w:hAnsi="Palatino Linotype"/>
          <w:sz w:val="10"/>
        </w:rPr>
      </w:pPr>
      <w:r>
        <w:rPr>
          <w:rFonts w:ascii="Palatino Linotype" w:hAnsi="Palatino Linotype"/>
          <w:color w:val="FFFFFF"/>
          <w:w w:val="110"/>
          <w:sz w:val="10"/>
        </w:rPr>
        <w:t>Fabricación de partes para</w:t>
      </w:r>
      <w:r>
        <w:rPr>
          <w:rFonts w:ascii="Palatino Linotype" w:hAnsi="Palatino Linotype"/>
          <w:color w:val="FFFFFF"/>
          <w:w w:val="109"/>
          <w:sz w:val="10"/>
        </w:rPr>
        <w:t> </w:t>
      </w:r>
      <w:r>
        <w:rPr>
          <w:rFonts w:ascii="Palatino Linotype" w:hAnsi="Palatino Linotype"/>
          <w:color w:val="FFFFFF"/>
          <w:w w:val="110"/>
          <w:sz w:val="10"/>
        </w:rPr>
        <w:t>el sistema de suspensión</w:t>
      </w:r>
    </w:p>
    <w:p>
      <w:pPr>
        <w:pStyle w:val="BodyText"/>
        <w:spacing w:before="1"/>
        <w:rPr>
          <w:rFonts w:ascii="Palatino Linotype"/>
          <w:sz w:val="14"/>
        </w:rPr>
      </w:pPr>
      <w:r>
        <w:rPr/>
        <w:br w:type="column"/>
      </w:r>
      <w:r>
        <w:rPr>
          <w:rFonts w:ascii="Palatino Linotype"/>
          <w:sz w:val="14"/>
        </w:rPr>
      </w:r>
    </w:p>
    <w:p>
      <w:pPr>
        <w:spacing w:before="0"/>
        <w:ind w:left="556" w:right="0" w:firstLine="0"/>
        <w:jc w:val="left"/>
        <w:rPr>
          <w:rFonts w:ascii="Palatino Linotype" w:hAnsi="Palatino Linotype"/>
          <w:sz w:val="10"/>
        </w:rPr>
      </w:pPr>
      <w:r>
        <w:rPr>
          <w:rFonts w:ascii="Palatino Linotype" w:hAnsi="Palatino Linotype"/>
          <w:color w:val="231F20"/>
          <w:w w:val="110"/>
          <w:sz w:val="10"/>
        </w:rPr>
        <w:t>Fabricación de focos</w:t>
      </w:r>
    </w:p>
    <w:p>
      <w:pPr>
        <w:spacing w:after="0"/>
        <w:jc w:val="left"/>
        <w:rPr>
          <w:rFonts w:ascii="Palatino Linotype" w:hAnsi="Palatino Linotype"/>
          <w:sz w:val="10"/>
        </w:rPr>
        <w:sectPr>
          <w:type w:val="continuous"/>
          <w:pgSz w:w="13040" w:h="9640" w:orient="landscape"/>
          <w:pgMar w:top="1200" w:bottom="280" w:left="400" w:right="1260"/>
          <w:cols w:num="4" w:equalWidth="0">
            <w:col w:w="2425" w:space="40"/>
            <w:col w:w="1531" w:space="40"/>
            <w:col w:w="1818" w:space="40"/>
            <w:col w:w="5486"/>
          </w:cols>
        </w:sectPr>
      </w:pPr>
    </w:p>
    <w:p>
      <w:pPr>
        <w:pStyle w:val="BodyText"/>
        <w:spacing w:before="1"/>
        <w:rPr>
          <w:rFonts w:ascii="Palatino Linotype"/>
          <w:sz w:val="15"/>
        </w:rPr>
      </w:pPr>
    </w:p>
    <w:p>
      <w:pPr>
        <w:tabs>
          <w:tab w:pos="3301" w:val="left" w:leader="none"/>
          <w:tab w:pos="5013" w:val="left" w:leader="none"/>
          <w:tab w:pos="6776" w:val="left" w:leader="none"/>
        </w:tabs>
        <w:spacing w:before="69"/>
        <w:ind w:left="1629" w:right="0" w:firstLine="0"/>
        <w:jc w:val="left"/>
        <w:rPr>
          <w:rFonts w:ascii="Palatino Linotype"/>
          <w:sz w:val="10"/>
        </w:rPr>
      </w:pPr>
      <w:r>
        <w:rPr>
          <w:rFonts w:ascii="Palatino Linotype"/>
          <w:color w:val="231F20"/>
          <w:w w:val="120"/>
          <w:sz w:val="10"/>
        </w:rPr>
        <w:t>372002</w:t>
        <w:tab/>
        <w:t>371002</w:t>
        <w:tab/>
        <w:t>384125</w:t>
        <w:tab/>
        <w:t>356003</w:t>
      </w:r>
    </w:p>
    <w:p>
      <w:pPr>
        <w:spacing w:after="0"/>
        <w:jc w:val="left"/>
        <w:rPr>
          <w:rFonts w:ascii="Palatino Linotype"/>
          <w:sz w:val="10"/>
        </w:rPr>
        <w:sectPr>
          <w:type w:val="continuous"/>
          <w:pgSz w:w="13040" w:h="9640" w:orient="landscape"/>
          <w:pgMar w:top="1200" w:bottom="280" w:left="400" w:right="1260"/>
        </w:sectPr>
      </w:pPr>
    </w:p>
    <w:p>
      <w:pPr>
        <w:spacing w:line="132" w:lineRule="exact" w:before="53"/>
        <w:ind w:left="1260" w:right="0" w:firstLine="0"/>
        <w:jc w:val="center"/>
        <w:rPr>
          <w:rFonts w:ascii="Palatino Linotype" w:hAnsi="Palatino Linotype"/>
          <w:sz w:val="10"/>
        </w:rPr>
      </w:pPr>
      <w:r>
        <w:rPr>
          <w:rFonts w:ascii="Palatino Linotype" w:hAnsi="Palatino Linotype"/>
          <w:color w:val="231F20"/>
          <w:w w:val="110"/>
          <w:sz w:val="10"/>
        </w:rPr>
        <w:t>Laminación, extrusión</w:t>
      </w:r>
      <w:r>
        <w:rPr>
          <w:rFonts w:ascii="Palatino Linotype" w:hAnsi="Palatino Linotype"/>
          <w:color w:val="231F20"/>
          <w:w w:val="112"/>
          <w:sz w:val="10"/>
        </w:rPr>
        <w:t> </w:t>
      </w:r>
      <w:r>
        <w:rPr>
          <w:rFonts w:ascii="Palatino Linotype" w:hAnsi="Palatino Linotype"/>
          <w:color w:val="231F20"/>
          <w:w w:val="110"/>
          <w:sz w:val="10"/>
        </w:rPr>
        <w:t>y/o estiraje de metales no ferrosos</w:t>
      </w:r>
    </w:p>
    <w:p>
      <w:pPr>
        <w:pStyle w:val="BodyText"/>
        <w:spacing w:before="5"/>
        <w:rPr>
          <w:rFonts w:ascii="Palatino Linotype"/>
          <w:sz w:val="9"/>
        </w:rPr>
      </w:pPr>
      <w:r>
        <w:rPr/>
        <w:br w:type="column"/>
      </w:r>
      <w:r>
        <w:rPr>
          <w:rFonts w:ascii="Palatino Linotype"/>
          <w:sz w:val="9"/>
        </w:rPr>
      </w:r>
    </w:p>
    <w:p>
      <w:pPr>
        <w:spacing w:line="132" w:lineRule="exact" w:before="0"/>
        <w:ind w:left="694" w:right="-7" w:firstLine="11"/>
        <w:jc w:val="left"/>
        <w:rPr>
          <w:rFonts w:ascii="Palatino Linotype" w:hAnsi="Palatino Linotype"/>
          <w:sz w:val="10"/>
        </w:rPr>
      </w:pPr>
      <w:r>
        <w:rPr>
          <w:rFonts w:ascii="Palatino Linotype" w:hAnsi="Palatino Linotype"/>
          <w:color w:val="231F20"/>
          <w:w w:val="110"/>
          <w:sz w:val="10"/>
        </w:rPr>
        <w:t>Fabricación de ferroaleaciones</w:t>
      </w:r>
    </w:p>
    <w:p>
      <w:pPr>
        <w:spacing w:line="132" w:lineRule="exact" w:before="79"/>
        <w:ind w:left="662" w:right="0" w:firstLine="9"/>
        <w:jc w:val="center"/>
        <w:rPr>
          <w:rFonts w:ascii="Palatino Linotype" w:hAnsi="Palatino Linotype"/>
          <w:sz w:val="10"/>
        </w:rPr>
      </w:pPr>
      <w:r>
        <w:rPr/>
        <w:br w:type="column"/>
      </w:r>
      <w:r>
        <w:rPr>
          <w:rFonts w:ascii="Palatino Linotype" w:hAnsi="Palatino Linotype"/>
          <w:color w:val="FFFFFF"/>
          <w:w w:val="110"/>
          <w:sz w:val="10"/>
        </w:rPr>
        <w:t>Fabricación de partes y accesorios para el sistema</w:t>
      </w:r>
      <w:r>
        <w:rPr>
          <w:rFonts w:ascii="Palatino Linotype" w:hAnsi="Palatino Linotype"/>
          <w:color w:val="FFFFFF"/>
          <w:w w:val="110"/>
          <w:sz w:val="10"/>
        </w:rPr>
        <w:t> </w:t>
      </w:r>
      <w:r>
        <w:rPr>
          <w:rFonts w:ascii="Palatino Linotype" w:hAnsi="Palatino Linotype"/>
          <w:color w:val="FFFFFF"/>
          <w:w w:val="110"/>
          <w:sz w:val="10"/>
        </w:rPr>
        <w:t>de frenos</w:t>
      </w:r>
    </w:p>
    <w:p>
      <w:pPr>
        <w:spacing w:line="132" w:lineRule="exact" w:before="32"/>
        <w:ind w:left="597" w:right="3981" w:firstLine="10"/>
        <w:jc w:val="center"/>
        <w:rPr>
          <w:rFonts w:ascii="Palatino Linotype" w:hAnsi="Palatino Linotype"/>
          <w:sz w:val="10"/>
        </w:rPr>
      </w:pPr>
      <w:r>
        <w:rPr/>
        <w:br w:type="column"/>
      </w:r>
      <w:r>
        <w:rPr>
          <w:rFonts w:ascii="Palatino Linotype" w:hAnsi="Palatino Linotype"/>
          <w:color w:val="231F20"/>
          <w:w w:val="115"/>
          <w:sz w:val="10"/>
        </w:rPr>
        <w:t>Fabricación de </w:t>
      </w:r>
      <w:r>
        <w:rPr>
          <w:rFonts w:ascii="Palatino Linotype" w:hAnsi="Palatino Linotype"/>
          <w:color w:val="231F20"/>
          <w:w w:val="110"/>
          <w:sz w:val="10"/>
        </w:rPr>
        <w:t>productos diversos</w:t>
      </w:r>
      <w:r>
        <w:rPr>
          <w:rFonts w:ascii="Palatino Linotype" w:hAnsi="Palatino Linotype"/>
          <w:color w:val="231F20"/>
          <w:w w:val="108"/>
          <w:sz w:val="10"/>
        </w:rPr>
        <w:t> </w:t>
      </w:r>
      <w:r>
        <w:rPr>
          <w:rFonts w:ascii="Palatino Linotype" w:hAnsi="Palatino Linotype"/>
          <w:color w:val="231F20"/>
          <w:w w:val="115"/>
          <w:sz w:val="10"/>
        </w:rPr>
        <w:t>de PVC (vinilo)</w:t>
      </w:r>
    </w:p>
    <w:p>
      <w:pPr>
        <w:spacing w:after="0" w:line="132" w:lineRule="exact"/>
        <w:jc w:val="center"/>
        <w:rPr>
          <w:rFonts w:ascii="Palatino Linotype" w:hAnsi="Palatino Linotype"/>
          <w:sz w:val="10"/>
        </w:rPr>
        <w:sectPr>
          <w:type w:val="continuous"/>
          <w:pgSz w:w="13040" w:h="9640" w:orient="landscape"/>
          <w:pgMar w:top="1200" w:bottom="280" w:left="400" w:right="1260"/>
          <w:cols w:num="4" w:equalWidth="0">
            <w:col w:w="2376" w:space="40"/>
            <w:col w:w="1443" w:space="40"/>
            <w:col w:w="1924" w:space="40"/>
            <w:col w:w="5517"/>
          </w:cols>
        </w:sectPr>
      </w:pPr>
    </w:p>
    <w:p>
      <w:pPr>
        <w:pStyle w:val="BodyText"/>
        <w:spacing w:before="11"/>
        <w:rPr>
          <w:rFonts w:ascii="Palatino Linotype"/>
          <w:sz w:val="12"/>
        </w:rPr>
      </w:pPr>
    </w:p>
    <w:p>
      <w:pPr>
        <w:tabs>
          <w:tab w:pos="5013" w:val="left" w:leader="none"/>
          <w:tab w:pos="6776" w:val="left" w:leader="none"/>
        </w:tabs>
        <w:spacing w:before="67"/>
        <w:ind w:left="3304" w:right="0" w:firstLine="0"/>
        <w:jc w:val="left"/>
        <w:rPr>
          <w:rFonts w:ascii="Palatino Linotype"/>
          <w:sz w:val="10"/>
        </w:rPr>
      </w:pPr>
      <w:r>
        <w:rPr>
          <w:rFonts w:ascii="Palatino Linotype"/>
          <w:color w:val="231F20"/>
          <w:w w:val="120"/>
          <w:sz w:val="10"/>
        </w:rPr>
        <w:t>381100</w:t>
        <w:tab/>
        <w:t>384126</w:t>
        <w:tab/>
        <w:t>351215</w:t>
      </w:r>
    </w:p>
    <w:p>
      <w:pPr>
        <w:spacing w:after="0"/>
        <w:jc w:val="left"/>
        <w:rPr>
          <w:rFonts w:ascii="Palatino Linotype"/>
          <w:sz w:val="10"/>
        </w:rPr>
        <w:sectPr>
          <w:type w:val="continuous"/>
          <w:pgSz w:w="13040" w:h="9640" w:orient="landscape"/>
          <w:pgMar w:top="1200" w:bottom="280" w:left="400" w:right="1260"/>
        </w:sectPr>
      </w:pPr>
    </w:p>
    <w:p>
      <w:pPr>
        <w:spacing w:line="132" w:lineRule="exact" w:before="33"/>
        <w:ind w:left="3011" w:right="0" w:hanging="23"/>
        <w:jc w:val="left"/>
        <w:rPr>
          <w:rFonts w:ascii="Palatino Linotype" w:hAnsi="Palatino Linotype"/>
          <w:sz w:val="10"/>
        </w:rPr>
      </w:pPr>
      <w:r>
        <w:rPr>
          <w:rFonts w:ascii="Palatino Linotype" w:hAnsi="Palatino Linotype"/>
          <w:color w:val="231F20"/>
          <w:w w:val="110"/>
          <w:sz w:val="10"/>
        </w:rPr>
        <w:t>Fundición y moldeo</w:t>
      </w:r>
      <w:r>
        <w:rPr>
          <w:rFonts w:ascii="Palatino Linotype" w:hAnsi="Palatino Linotype"/>
          <w:color w:val="231F20"/>
          <w:w w:val="111"/>
          <w:sz w:val="10"/>
        </w:rPr>
        <w:t> </w:t>
      </w:r>
      <w:r>
        <w:rPr>
          <w:rFonts w:ascii="Palatino Linotype" w:hAnsi="Palatino Linotype"/>
          <w:color w:val="231F20"/>
          <w:w w:val="110"/>
          <w:sz w:val="10"/>
        </w:rPr>
        <w:t>de piezas metálicas</w:t>
      </w:r>
    </w:p>
    <w:p>
      <w:pPr>
        <w:spacing w:line="172" w:lineRule="auto" w:before="85"/>
        <w:ind w:left="722" w:right="0" w:hanging="55"/>
        <w:jc w:val="left"/>
        <w:rPr>
          <w:rFonts w:ascii="Palatino Linotype" w:hAnsi="Palatino Linotype"/>
          <w:sz w:val="10"/>
        </w:rPr>
      </w:pPr>
      <w:r>
        <w:rPr/>
        <w:br w:type="column"/>
      </w:r>
      <w:r>
        <w:rPr>
          <w:rFonts w:ascii="Palatino Linotype" w:hAnsi="Palatino Linotype"/>
          <w:color w:val="FFFFFF"/>
          <w:w w:val="110"/>
          <w:sz w:val="10"/>
        </w:rPr>
        <w:t>Fabricación de otras</w:t>
      </w:r>
      <w:r>
        <w:rPr>
          <w:rFonts w:ascii="Palatino Linotype" w:hAnsi="Palatino Linotype"/>
          <w:color w:val="FFFFFF"/>
          <w:w w:val="112"/>
          <w:sz w:val="10"/>
        </w:rPr>
        <w:t> </w:t>
      </w:r>
      <w:r>
        <w:rPr>
          <w:rFonts w:ascii="Palatino Linotype" w:hAnsi="Palatino Linotype"/>
          <w:color w:val="FFFFFF"/>
          <w:w w:val="110"/>
          <w:sz w:val="10"/>
        </w:rPr>
        <w:t>partes y accesorios</w:t>
      </w:r>
    </w:p>
    <w:p>
      <w:pPr>
        <w:spacing w:line="244" w:lineRule="auto" w:before="40"/>
        <w:ind w:left="997" w:right="3641" w:hanging="139"/>
        <w:jc w:val="left"/>
        <w:rPr>
          <w:rFonts w:ascii="Palatino Linotype" w:hAnsi="Palatino Linotype"/>
          <w:sz w:val="10"/>
        </w:rPr>
      </w:pPr>
      <w:r>
        <w:rPr/>
        <w:br w:type="column"/>
      </w:r>
      <w:r>
        <w:rPr>
          <w:rFonts w:ascii="Palatino Linotype" w:hAnsi="Palatino Linotype"/>
          <w:color w:val="231F20"/>
          <w:w w:val="110"/>
          <w:sz w:val="10"/>
        </w:rPr>
        <w:t>Fabricación de solventes</w:t>
      </w:r>
    </w:p>
    <w:p>
      <w:pPr>
        <w:spacing w:after="0" w:line="244" w:lineRule="auto"/>
        <w:jc w:val="left"/>
        <w:rPr>
          <w:rFonts w:ascii="Palatino Linotype" w:hAnsi="Palatino Linotype"/>
          <w:sz w:val="10"/>
        </w:rPr>
        <w:sectPr>
          <w:type w:val="continuous"/>
          <w:pgSz w:w="13040" w:h="9640" w:orient="landscape"/>
          <w:pgMar w:top="1200" w:bottom="280" w:left="400" w:right="1260"/>
          <w:cols w:num="3" w:equalWidth="0">
            <w:col w:w="3989" w:space="40"/>
            <w:col w:w="1670" w:space="40"/>
            <w:col w:w="5641"/>
          </w:cols>
        </w:sectPr>
      </w:pPr>
    </w:p>
    <w:p>
      <w:pPr>
        <w:pStyle w:val="BodyText"/>
        <w:spacing w:before="12"/>
        <w:rPr>
          <w:rFonts w:ascii="Palatino Linotype"/>
          <w:sz w:val="12"/>
        </w:rPr>
      </w:pPr>
    </w:p>
    <w:p>
      <w:pPr>
        <w:tabs>
          <w:tab w:pos="6776" w:val="left" w:leader="none"/>
        </w:tabs>
        <w:spacing w:before="67"/>
        <w:ind w:left="3301" w:right="0" w:firstLine="0"/>
        <w:jc w:val="left"/>
        <w:rPr>
          <w:rFonts w:ascii="Palatino Linotype"/>
          <w:sz w:val="10"/>
        </w:rPr>
      </w:pPr>
      <w:r>
        <w:rPr>
          <w:rFonts w:ascii="Palatino Linotype"/>
          <w:color w:val="231F20"/>
          <w:w w:val="120"/>
          <w:sz w:val="10"/>
        </w:rPr>
        <w:t>382205</w:t>
        <w:tab/>
        <w:t>352210</w:t>
      </w:r>
    </w:p>
    <w:p>
      <w:pPr>
        <w:spacing w:after="0"/>
        <w:jc w:val="left"/>
        <w:rPr>
          <w:rFonts w:ascii="Palatino Linotype"/>
          <w:sz w:val="10"/>
        </w:rPr>
        <w:sectPr>
          <w:type w:val="continuous"/>
          <w:pgSz w:w="13040" w:h="9640" w:orient="landscape"/>
          <w:pgMar w:top="1200" w:bottom="280" w:left="400" w:right="1260"/>
        </w:sectPr>
      </w:pPr>
    </w:p>
    <w:p>
      <w:pPr>
        <w:spacing w:line="132" w:lineRule="exact" w:before="71"/>
        <w:ind w:left="2971" w:right="0" w:firstLine="0"/>
        <w:jc w:val="center"/>
        <w:rPr>
          <w:rFonts w:ascii="Palatino Linotype" w:hAnsi="Palatino Linotype"/>
          <w:sz w:val="10"/>
        </w:rPr>
      </w:pPr>
      <w:r>
        <w:rPr>
          <w:rFonts w:ascii="Palatino Linotype" w:hAnsi="Palatino Linotype"/>
          <w:color w:val="231F20"/>
          <w:w w:val="110"/>
          <w:sz w:val="10"/>
        </w:rPr>
        <w:t>Fundición, ensamble</w:t>
      </w:r>
      <w:r>
        <w:rPr>
          <w:rFonts w:ascii="Palatino Linotype" w:hAnsi="Palatino Linotype"/>
          <w:color w:val="231F20"/>
          <w:w w:val="111"/>
          <w:sz w:val="10"/>
        </w:rPr>
        <w:t> </w:t>
      </w:r>
      <w:r>
        <w:rPr>
          <w:rFonts w:ascii="Palatino Linotype" w:hAnsi="Palatino Linotype"/>
          <w:color w:val="231F20"/>
          <w:w w:val="110"/>
          <w:sz w:val="10"/>
        </w:rPr>
        <w:t>y reparación de bombas</w:t>
      </w:r>
    </w:p>
    <w:p>
      <w:pPr>
        <w:pStyle w:val="BodyText"/>
        <w:rPr>
          <w:rFonts w:ascii="Palatino Linotype"/>
          <w:sz w:val="10"/>
        </w:rPr>
      </w:pPr>
      <w:r>
        <w:rPr/>
        <w:br w:type="column"/>
      </w:r>
      <w:r>
        <w:rPr>
          <w:rFonts w:ascii="Palatino Linotype"/>
          <w:sz w:val="10"/>
        </w:rPr>
      </w:r>
    </w:p>
    <w:p>
      <w:pPr>
        <w:pStyle w:val="BodyText"/>
        <w:spacing w:before="13"/>
        <w:rPr>
          <w:rFonts w:ascii="Palatino Linotype"/>
          <w:sz w:val="6"/>
        </w:rPr>
      </w:pPr>
    </w:p>
    <w:p>
      <w:pPr>
        <w:spacing w:before="0"/>
        <w:ind w:left="2338" w:right="0" w:firstLine="0"/>
        <w:jc w:val="left"/>
        <w:rPr>
          <w:rFonts w:ascii="Palatino Linotype" w:hAnsi="Palatino Linotype"/>
          <w:sz w:val="10"/>
        </w:rPr>
      </w:pPr>
      <w:r>
        <w:rPr>
          <w:rFonts w:ascii="Palatino Linotype" w:hAnsi="Palatino Linotype"/>
          <w:color w:val="231F20"/>
          <w:w w:val="110"/>
          <w:sz w:val="10"/>
        </w:rPr>
        <w:t>Fabricación de pinturas</w:t>
      </w:r>
    </w:p>
    <w:p>
      <w:pPr>
        <w:spacing w:after="0"/>
        <w:jc w:val="left"/>
        <w:rPr>
          <w:rFonts w:ascii="Palatino Linotype" w:hAnsi="Palatino Linotype"/>
          <w:sz w:val="10"/>
        </w:rPr>
        <w:sectPr>
          <w:type w:val="continuous"/>
          <w:pgSz w:w="13040" w:h="9640" w:orient="landscape"/>
          <w:pgMar w:top="1200" w:bottom="280" w:left="400" w:right="1260"/>
          <w:cols w:num="2" w:equalWidth="0">
            <w:col w:w="4006" w:space="40"/>
            <w:col w:w="7334"/>
          </w:cols>
        </w:sectPr>
      </w:pPr>
    </w:p>
    <w:p>
      <w:pPr>
        <w:pStyle w:val="BodyText"/>
        <w:spacing w:before="9"/>
        <w:rPr>
          <w:rFonts w:ascii="Palatino Linotype"/>
          <w:sz w:val="13"/>
        </w:rPr>
      </w:pPr>
    </w:p>
    <w:p>
      <w:pPr>
        <w:tabs>
          <w:tab w:pos="6776" w:val="left" w:leader="none"/>
        </w:tabs>
        <w:spacing w:before="64"/>
        <w:ind w:left="3301" w:right="0" w:firstLine="0"/>
        <w:jc w:val="left"/>
        <w:rPr>
          <w:rFonts w:ascii="Palatino Linotype"/>
          <w:sz w:val="10"/>
        </w:rPr>
      </w:pPr>
      <w:r>
        <w:rPr>
          <w:rFonts w:ascii="Palatino Linotype"/>
          <w:color w:val="231F20"/>
          <w:w w:val="120"/>
          <w:position w:val="2"/>
          <w:sz w:val="10"/>
        </w:rPr>
        <w:t>381409</w:t>
        <w:tab/>
      </w:r>
      <w:r>
        <w:rPr>
          <w:rFonts w:ascii="Palatino Linotype"/>
          <w:color w:val="231F20"/>
          <w:w w:val="120"/>
          <w:sz w:val="10"/>
        </w:rPr>
        <w:t>352231</w:t>
      </w:r>
    </w:p>
    <w:p>
      <w:pPr>
        <w:spacing w:after="0"/>
        <w:jc w:val="left"/>
        <w:rPr>
          <w:rFonts w:ascii="Palatino Linotype"/>
          <w:sz w:val="10"/>
        </w:rPr>
        <w:sectPr>
          <w:type w:val="continuous"/>
          <w:pgSz w:w="13040" w:h="9640" w:orient="landscape"/>
          <w:pgMar w:top="1200" w:bottom="280" w:left="400" w:right="1260"/>
        </w:sectPr>
      </w:pPr>
    </w:p>
    <w:p>
      <w:pPr>
        <w:spacing w:line="132" w:lineRule="exact" w:before="79"/>
        <w:ind w:left="2931" w:right="0" w:hanging="1"/>
        <w:jc w:val="center"/>
        <w:rPr>
          <w:rFonts w:ascii="Palatino Linotype" w:hAnsi="Palatino Linotype"/>
          <w:sz w:val="10"/>
        </w:rPr>
      </w:pPr>
      <w:r>
        <w:rPr/>
        <w:pict>
          <v:shape style="position:absolute;margin-left:611.909912pt;margin-top:56.247398pt;width:10pt;height:360.9pt;mso-position-horizontal-relative:page;mso-position-vertical-relative:page;z-index:11560" type="#_x0000_t202" filled="false" stroked="false">
            <v:textbox inset="0,0,0,0" style="layout-flow:vertical">
              <w:txbxContent>
                <w:p>
                  <w:pPr>
                    <w:spacing w:line="185" w:lineRule="exact" w:before="0"/>
                    <w:ind w:left="20" w:right="-685" w:firstLine="0"/>
                    <w:jc w:val="left"/>
                    <w:rPr>
                      <w:rFonts w:ascii="Palatino Linotype" w:hAnsi="Palatino Linotype"/>
                      <w:sz w:val="16"/>
                    </w:rPr>
                  </w:pPr>
                  <w:r>
                    <w:rPr>
                      <w:rFonts w:ascii="Palatino Linotype" w:hAnsi="Palatino Linotype"/>
                      <w:color w:val="231F20"/>
                      <w:spacing w:val="-6"/>
                      <w:w w:val="92"/>
                      <w:sz w:val="16"/>
                    </w:rPr>
                    <w:t>E</w:t>
                  </w:r>
                  <w:r>
                    <w:rPr>
                      <w:rFonts w:ascii="Palatino Linotype" w:hAnsi="Palatino Linotype"/>
                      <w:color w:val="231F20"/>
                      <w:spacing w:val="-6"/>
                      <w:w w:val="100"/>
                      <w:sz w:val="16"/>
                    </w:rPr>
                    <w:t>v</w:t>
                  </w:r>
                  <w:r>
                    <w:rPr>
                      <w:rFonts w:ascii="Palatino Linotype" w:hAnsi="Palatino Linotype"/>
                      <w:color w:val="231F20"/>
                      <w:spacing w:val="-2"/>
                      <w:w w:val="106"/>
                      <w:sz w:val="16"/>
                    </w:rPr>
                    <w:t>o</w:t>
                  </w:r>
                  <w:r>
                    <w:rPr>
                      <w:rFonts w:ascii="Palatino Linotype" w:hAnsi="Palatino Linotype"/>
                      <w:color w:val="231F20"/>
                      <w:spacing w:val="-5"/>
                      <w:w w:val="158"/>
                      <w:sz w:val="16"/>
                    </w:rPr>
                    <w:t>l</w:t>
                  </w:r>
                  <w:r>
                    <w:rPr>
                      <w:rFonts w:ascii="Palatino Linotype" w:hAnsi="Palatino Linotype"/>
                      <w:color w:val="231F20"/>
                      <w:spacing w:val="-1"/>
                      <w:w w:val="106"/>
                      <w:sz w:val="16"/>
                    </w:rPr>
                    <w:t>uci</w:t>
                  </w:r>
                  <w:r>
                    <w:rPr>
                      <w:rFonts w:ascii="Palatino Linotype" w:hAnsi="Palatino Linotype"/>
                      <w:color w:val="231F20"/>
                      <w:spacing w:val="-2"/>
                      <w:w w:val="106"/>
                      <w:sz w:val="16"/>
                    </w:rPr>
                    <w:t>ó</w:t>
                  </w:r>
                  <w:r>
                    <w:rPr>
                      <w:rFonts w:ascii="Palatino Linotype" w:hAnsi="Palatino Linotype"/>
                      <w:color w:val="231F20"/>
                      <w:spacing w:val="-1"/>
                      <w:w w:val="97"/>
                      <w:sz w:val="16"/>
                    </w:rPr>
                    <w:t>n</w:t>
                  </w:r>
                  <w:r>
                    <w:rPr>
                      <w:rFonts w:ascii="Palatino Linotype" w:hAnsi="Palatino Linotype"/>
                      <w:color w:val="231F20"/>
                      <w:w w:val="97"/>
                      <w:sz w:val="16"/>
                    </w:rPr>
                    <w:t>,</w:t>
                  </w:r>
                  <w:r>
                    <w:rPr>
                      <w:rFonts w:ascii="Palatino Linotype" w:hAnsi="Palatino Linotype"/>
                      <w:color w:val="231F20"/>
                      <w:spacing w:val="-5"/>
                      <w:sz w:val="16"/>
                    </w:rPr>
                    <w:t> </w:t>
                  </w:r>
                  <w:r>
                    <w:rPr>
                      <w:rFonts w:ascii="Palatino Linotype" w:hAnsi="Palatino Linotype"/>
                      <w:color w:val="231F20"/>
                      <w:w w:val="119"/>
                      <w:sz w:val="16"/>
                    </w:rPr>
                    <w:t>c</w:t>
                  </w:r>
                  <w:r>
                    <w:rPr>
                      <w:rFonts w:ascii="Palatino Linotype" w:hAnsi="Palatino Linotype"/>
                      <w:color w:val="231F20"/>
                      <w:spacing w:val="-2"/>
                      <w:w w:val="106"/>
                      <w:sz w:val="16"/>
                    </w:rPr>
                    <w:t>o</w:t>
                  </w:r>
                  <w:r>
                    <w:rPr>
                      <w:rFonts w:ascii="Palatino Linotype" w:hAnsi="Palatino Linotype"/>
                      <w:color w:val="231F20"/>
                      <w:spacing w:val="-1"/>
                      <w:w w:val="97"/>
                      <w:sz w:val="16"/>
                    </w:rPr>
                    <w:t>n</w:t>
                  </w:r>
                  <w:r>
                    <w:rPr>
                      <w:rFonts w:ascii="Palatino Linotype" w:hAnsi="Palatino Linotype"/>
                      <w:color w:val="231F20"/>
                      <w:spacing w:val="-2"/>
                      <w:w w:val="97"/>
                      <w:sz w:val="16"/>
                    </w:rPr>
                    <w:t>d</w:t>
                  </w:r>
                  <w:r>
                    <w:rPr>
                      <w:rFonts w:ascii="Palatino Linotype" w:hAnsi="Palatino Linotype"/>
                      <w:color w:val="231F20"/>
                      <w:spacing w:val="-1"/>
                      <w:w w:val="109"/>
                      <w:sz w:val="16"/>
                    </w:rPr>
                    <w:t>ici</w:t>
                  </w:r>
                  <w:r>
                    <w:rPr>
                      <w:rFonts w:ascii="Palatino Linotype" w:hAnsi="Palatino Linotype"/>
                      <w:color w:val="231F20"/>
                      <w:spacing w:val="-2"/>
                      <w:w w:val="109"/>
                      <w:sz w:val="16"/>
                    </w:rPr>
                    <w:t>o</w:t>
                  </w:r>
                  <w:r>
                    <w:rPr>
                      <w:rFonts w:ascii="Palatino Linotype" w:hAnsi="Palatino Linotype"/>
                      <w:color w:val="231F20"/>
                      <w:spacing w:val="-1"/>
                      <w:w w:val="98"/>
                      <w:sz w:val="16"/>
                    </w:rPr>
                    <w:t>ne</w:t>
                  </w:r>
                  <w:r>
                    <w:rPr>
                      <w:rFonts w:ascii="Palatino Linotype" w:hAnsi="Palatino Linotype"/>
                      <w:color w:val="231F20"/>
                      <w:w w:val="98"/>
                      <w:sz w:val="16"/>
                    </w:rPr>
                    <w:t>s</w:t>
                  </w:r>
                  <w:r>
                    <w:rPr>
                      <w:rFonts w:ascii="Palatino Linotype" w:hAnsi="Palatino Linotype"/>
                      <w:color w:val="231F20"/>
                      <w:spacing w:val="-5"/>
                      <w:sz w:val="16"/>
                    </w:rPr>
                    <w:t> </w:t>
                  </w:r>
                  <w:r>
                    <w:rPr>
                      <w:rFonts w:ascii="Palatino Linotype" w:hAnsi="Palatino Linotype"/>
                      <w:color w:val="231F20"/>
                      <w:spacing w:val="-4"/>
                      <w:w w:val="113"/>
                      <w:sz w:val="16"/>
                    </w:rPr>
                    <w:t>a</w:t>
                  </w:r>
                  <w:r>
                    <w:rPr>
                      <w:rFonts w:ascii="Palatino Linotype" w:hAnsi="Palatino Linotype"/>
                      <w:color w:val="231F20"/>
                      <w:spacing w:val="-1"/>
                      <w:w w:val="118"/>
                      <w:sz w:val="16"/>
                    </w:rPr>
                    <w:t>ct</w:t>
                  </w:r>
                  <w:r>
                    <w:rPr>
                      <w:rFonts w:ascii="Palatino Linotype" w:hAnsi="Palatino Linotype"/>
                      <w:color w:val="231F20"/>
                      <w:spacing w:val="-10"/>
                      <w:w w:val="118"/>
                      <w:sz w:val="16"/>
                    </w:rPr>
                    <w:t>u</w:t>
                  </w:r>
                  <w:r>
                    <w:rPr>
                      <w:rFonts w:ascii="Palatino Linotype" w:hAnsi="Palatino Linotype"/>
                      <w:color w:val="231F20"/>
                      <w:spacing w:val="-1"/>
                      <w:w w:val="113"/>
                      <w:sz w:val="16"/>
                    </w:rPr>
                    <w:t>ale</w:t>
                  </w:r>
                  <w:r>
                    <w:rPr>
                      <w:rFonts w:ascii="Palatino Linotype" w:hAnsi="Palatino Linotype"/>
                      <w:color w:val="231F20"/>
                      <w:w w:val="113"/>
                      <w:sz w:val="16"/>
                    </w:rPr>
                    <w:t>s</w:t>
                  </w:r>
                  <w:r>
                    <w:rPr>
                      <w:rFonts w:ascii="Palatino Linotype" w:hAnsi="Palatino Linotype"/>
                      <w:color w:val="231F20"/>
                      <w:spacing w:val="-5"/>
                      <w:sz w:val="16"/>
                    </w:rPr>
                    <w:t> </w:t>
                  </w:r>
                  <w:r>
                    <w:rPr>
                      <w:rFonts w:ascii="Palatino Linotype" w:hAnsi="Palatino Linotype"/>
                      <w:color w:val="231F20"/>
                      <w:w w:val="91"/>
                      <w:sz w:val="16"/>
                    </w:rPr>
                    <w:t>y</w:t>
                  </w:r>
                  <w:r>
                    <w:rPr>
                      <w:rFonts w:ascii="Palatino Linotype" w:hAnsi="Palatino Linotype"/>
                      <w:color w:val="231F20"/>
                      <w:spacing w:val="-5"/>
                      <w:sz w:val="16"/>
                    </w:rPr>
                    <w:t> </w:t>
                  </w:r>
                  <w:r>
                    <w:rPr>
                      <w:rFonts w:ascii="Palatino Linotype" w:hAnsi="Palatino Linotype"/>
                      <w:color w:val="231F20"/>
                      <w:spacing w:val="-3"/>
                      <w:w w:val="133"/>
                      <w:sz w:val="16"/>
                    </w:rPr>
                    <w:t>r</w:t>
                  </w:r>
                  <w:r>
                    <w:rPr>
                      <w:rFonts w:ascii="Palatino Linotype" w:hAnsi="Palatino Linotype"/>
                      <w:color w:val="231F20"/>
                      <w:spacing w:val="-3"/>
                      <w:w w:val="100"/>
                      <w:sz w:val="16"/>
                    </w:rPr>
                    <w:t>e</w:t>
                  </w:r>
                  <w:r>
                    <w:rPr>
                      <w:rFonts w:ascii="Palatino Linotype" w:hAnsi="Palatino Linotype"/>
                      <w:color w:val="231F20"/>
                      <w:spacing w:val="-2"/>
                      <w:w w:val="156"/>
                      <w:sz w:val="16"/>
                    </w:rPr>
                    <w:t>t</w:t>
                  </w:r>
                  <w:r>
                    <w:rPr>
                      <w:rFonts w:ascii="Palatino Linotype" w:hAnsi="Palatino Linotype"/>
                      <w:color w:val="231F20"/>
                      <w:spacing w:val="-1"/>
                      <w:w w:val="102"/>
                      <w:sz w:val="16"/>
                    </w:rPr>
                    <w:t>o</w:t>
                  </w:r>
                  <w:r>
                    <w:rPr>
                      <w:rFonts w:ascii="Palatino Linotype" w:hAnsi="Palatino Linotype"/>
                      <w:color w:val="231F20"/>
                      <w:w w:val="102"/>
                      <w:sz w:val="16"/>
                    </w:rPr>
                    <w:t>s</w:t>
                  </w:r>
                  <w:r>
                    <w:rPr>
                      <w:rFonts w:ascii="Palatino Linotype" w:hAnsi="Palatino Linotype"/>
                      <w:color w:val="231F20"/>
                      <w:spacing w:val="-5"/>
                      <w:sz w:val="16"/>
                    </w:rPr>
                    <w:t> </w:t>
                  </w:r>
                  <w:r>
                    <w:rPr>
                      <w:rFonts w:ascii="Palatino Linotype" w:hAnsi="Palatino Linotype"/>
                      <w:color w:val="231F20"/>
                      <w:spacing w:val="-2"/>
                      <w:w w:val="95"/>
                      <w:sz w:val="16"/>
                    </w:rPr>
                    <w:t>d</w:t>
                  </w:r>
                  <w:r>
                    <w:rPr>
                      <w:rFonts w:ascii="Palatino Linotype" w:hAnsi="Palatino Linotype"/>
                      <w:color w:val="231F20"/>
                      <w:spacing w:val="-1"/>
                      <w:w w:val="122"/>
                      <w:sz w:val="16"/>
                    </w:rPr>
                    <w:t>e</w:t>
                  </w:r>
                  <w:r>
                    <w:rPr>
                      <w:rFonts w:ascii="Palatino Linotype" w:hAnsi="Palatino Linotype"/>
                      <w:color w:val="231F20"/>
                      <w:w w:val="122"/>
                      <w:sz w:val="16"/>
                    </w:rPr>
                    <w:t>l</w:t>
                  </w:r>
                  <w:r>
                    <w:rPr>
                      <w:rFonts w:ascii="Palatino Linotype" w:hAnsi="Palatino Linotype"/>
                      <w:color w:val="231F20"/>
                      <w:spacing w:val="-5"/>
                      <w:sz w:val="16"/>
                    </w:rPr>
                    <w:t> </w:t>
                  </w:r>
                  <w:r>
                    <w:rPr>
                      <w:rFonts w:ascii="Palatino Linotype" w:hAnsi="Palatino Linotype"/>
                      <w:color w:val="231F20"/>
                      <w:spacing w:val="-2"/>
                      <w:w w:val="96"/>
                      <w:sz w:val="16"/>
                    </w:rPr>
                    <w:t>s</w:t>
                  </w:r>
                  <w:r>
                    <w:rPr>
                      <w:rFonts w:ascii="Palatino Linotype" w:hAnsi="Palatino Linotype"/>
                      <w:color w:val="231F20"/>
                      <w:spacing w:val="-1"/>
                      <w:w w:val="121"/>
                      <w:sz w:val="16"/>
                    </w:rPr>
                    <w:t>ec</w:t>
                  </w:r>
                  <w:r>
                    <w:rPr>
                      <w:rFonts w:ascii="Palatino Linotype" w:hAnsi="Palatino Linotype"/>
                      <w:color w:val="231F20"/>
                      <w:spacing w:val="-2"/>
                      <w:w w:val="121"/>
                      <w:sz w:val="16"/>
                    </w:rPr>
                    <w:t>t</w:t>
                  </w:r>
                  <w:r>
                    <w:rPr>
                      <w:rFonts w:ascii="Palatino Linotype" w:hAnsi="Palatino Linotype"/>
                      <w:color w:val="231F20"/>
                      <w:spacing w:val="-2"/>
                      <w:w w:val="106"/>
                      <w:sz w:val="16"/>
                    </w:rPr>
                    <w:t>o</w:t>
                  </w:r>
                  <w:r>
                    <w:rPr>
                      <w:rFonts w:ascii="Palatino Linotype" w:hAnsi="Palatino Linotype"/>
                      <w:color w:val="231F20"/>
                      <w:w w:val="133"/>
                      <w:sz w:val="16"/>
                    </w:rPr>
                    <w:t>r</w:t>
                  </w:r>
                  <w:r>
                    <w:rPr>
                      <w:rFonts w:ascii="Palatino Linotype" w:hAnsi="Palatino Linotype"/>
                      <w:color w:val="231F20"/>
                      <w:spacing w:val="-5"/>
                      <w:sz w:val="16"/>
                    </w:rPr>
                    <w:t> </w:t>
                  </w:r>
                  <w:r>
                    <w:rPr>
                      <w:rFonts w:ascii="Palatino Linotype" w:hAnsi="Palatino Linotype"/>
                      <w:color w:val="231F20"/>
                      <w:spacing w:val="-10"/>
                      <w:w w:val="113"/>
                      <w:sz w:val="16"/>
                    </w:rPr>
                    <w:t>a</w:t>
                  </w:r>
                  <w:r>
                    <w:rPr>
                      <w:rFonts w:ascii="Palatino Linotype" w:hAnsi="Palatino Linotype"/>
                      <w:color w:val="231F20"/>
                      <w:spacing w:val="2"/>
                      <w:w w:val="96"/>
                      <w:sz w:val="16"/>
                    </w:rPr>
                    <w:t>u</w:t>
                  </w:r>
                  <w:r>
                    <w:rPr>
                      <w:rFonts w:ascii="Palatino Linotype" w:hAnsi="Palatino Linotype"/>
                      <w:color w:val="231F20"/>
                      <w:spacing w:val="-2"/>
                      <w:w w:val="156"/>
                      <w:sz w:val="16"/>
                    </w:rPr>
                    <w:t>t</w:t>
                  </w:r>
                  <w:r>
                    <w:rPr>
                      <w:rFonts w:ascii="Palatino Linotype" w:hAnsi="Palatino Linotype"/>
                      <w:color w:val="231F20"/>
                      <w:spacing w:val="-1"/>
                      <w:w w:val="90"/>
                      <w:sz w:val="16"/>
                    </w:rPr>
                    <w:t>o</w:t>
                  </w:r>
                  <w:r>
                    <w:rPr>
                      <w:rFonts w:ascii="Palatino Linotype" w:hAnsi="Palatino Linotype"/>
                      <w:color w:val="231F20"/>
                      <w:spacing w:val="-2"/>
                      <w:w w:val="90"/>
                      <w:sz w:val="16"/>
                    </w:rPr>
                    <w:t>m</w:t>
                  </w:r>
                  <w:r>
                    <w:rPr>
                      <w:rFonts w:ascii="Palatino Linotype" w:hAnsi="Palatino Linotype"/>
                      <w:color w:val="231F20"/>
                      <w:spacing w:val="-2"/>
                      <w:w w:val="106"/>
                      <w:sz w:val="16"/>
                    </w:rPr>
                    <w:t>o</w:t>
                  </w:r>
                  <w:r>
                    <w:rPr>
                      <w:rFonts w:ascii="Palatino Linotype" w:hAnsi="Palatino Linotype"/>
                      <w:color w:val="231F20"/>
                      <w:spacing w:val="-1"/>
                      <w:w w:val="143"/>
                      <w:sz w:val="16"/>
                    </w:rPr>
                    <w:t>t</w:t>
                  </w:r>
                  <w:r>
                    <w:rPr>
                      <w:rFonts w:ascii="Palatino Linotype" w:hAnsi="Palatino Linotype"/>
                      <w:color w:val="231F20"/>
                      <w:spacing w:val="-3"/>
                      <w:w w:val="143"/>
                      <w:sz w:val="16"/>
                    </w:rPr>
                    <w:t>r</w:t>
                  </w:r>
                  <w:r>
                    <w:rPr>
                      <w:rFonts w:ascii="Palatino Linotype" w:hAnsi="Palatino Linotype"/>
                      <w:color w:val="231F20"/>
                      <w:spacing w:val="-1"/>
                      <w:w w:val="101"/>
                      <w:sz w:val="16"/>
                    </w:rPr>
                    <w:t>i</w:t>
                  </w:r>
                  <w:r>
                    <w:rPr>
                      <w:rFonts w:ascii="Palatino Linotype" w:hAnsi="Palatino Linotype"/>
                      <w:color w:val="231F20"/>
                      <w:w w:val="101"/>
                      <w:sz w:val="16"/>
                    </w:rPr>
                    <w:t>z</w:t>
                  </w:r>
                  <w:r>
                    <w:rPr>
                      <w:rFonts w:ascii="Palatino Linotype" w:hAnsi="Palatino Linotype"/>
                      <w:color w:val="231F20"/>
                      <w:spacing w:val="-5"/>
                      <w:sz w:val="16"/>
                    </w:rPr>
                    <w:t> </w:t>
                  </w:r>
                  <w:r>
                    <w:rPr>
                      <w:rFonts w:ascii="Palatino Linotype" w:hAnsi="Palatino Linotype"/>
                      <w:color w:val="231F20"/>
                      <w:spacing w:val="-1"/>
                      <w:w w:val="100"/>
                      <w:sz w:val="16"/>
                    </w:rPr>
                    <w:t>e</w:t>
                  </w:r>
                  <w:r>
                    <w:rPr>
                      <w:rFonts w:ascii="Palatino Linotype" w:hAnsi="Palatino Linotype"/>
                      <w:color w:val="231F20"/>
                      <w:w w:val="100"/>
                      <w:sz w:val="16"/>
                    </w:rPr>
                    <w:t>n</w:t>
                  </w:r>
                  <w:r>
                    <w:rPr>
                      <w:rFonts w:ascii="Palatino Linotype" w:hAnsi="Palatino Linotype"/>
                      <w:color w:val="231F20"/>
                      <w:spacing w:val="-5"/>
                      <w:sz w:val="16"/>
                    </w:rPr>
                    <w:t> </w:t>
                  </w:r>
                  <w:r>
                    <w:rPr>
                      <w:rFonts w:ascii="Palatino Linotype" w:hAnsi="Palatino Linotype"/>
                      <w:color w:val="231F20"/>
                      <w:spacing w:val="-2"/>
                      <w:w w:val="94"/>
                      <w:sz w:val="16"/>
                    </w:rPr>
                    <w:t>M</w:t>
                  </w:r>
                  <w:r>
                    <w:rPr>
                      <w:rFonts w:ascii="Palatino Linotype" w:hAnsi="Palatino Linotype"/>
                      <w:color w:val="231F20"/>
                      <w:spacing w:val="-1"/>
                      <w:w w:val="108"/>
                      <w:sz w:val="16"/>
                    </w:rPr>
                    <w:t>éxi</w:t>
                  </w:r>
                  <w:r>
                    <w:rPr>
                      <w:rFonts w:ascii="Palatino Linotype" w:hAnsi="Palatino Linotype"/>
                      <w:color w:val="231F20"/>
                      <w:w w:val="108"/>
                      <w:sz w:val="16"/>
                    </w:rPr>
                    <w:t>c</w:t>
                  </w:r>
                  <w:r>
                    <w:rPr>
                      <w:rFonts w:ascii="Palatino Linotype" w:hAnsi="Palatino Linotype"/>
                      <w:color w:val="231F20"/>
                      <w:w w:val="106"/>
                      <w:sz w:val="16"/>
                    </w:rPr>
                    <w:t>o</w:t>
                  </w:r>
                  <w:r>
                    <w:rPr>
                      <w:rFonts w:ascii="Palatino Linotype" w:hAnsi="Palatino Linotype"/>
                      <w:color w:val="231F20"/>
                      <w:spacing w:val="-5"/>
                      <w:sz w:val="16"/>
                    </w:rPr>
                    <w:t> </w:t>
                  </w:r>
                  <w:r>
                    <w:rPr>
                      <w:rFonts w:ascii="Palatino Linotype" w:hAnsi="Palatino Linotype"/>
                      <w:color w:val="231F20"/>
                      <w:w w:val="91"/>
                      <w:sz w:val="16"/>
                    </w:rPr>
                    <w:t>y</w:t>
                  </w:r>
                  <w:r>
                    <w:rPr>
                      <w:rFonts w:ascii="Palatino Linotype" w:hAnsi="Palatino Linotype"/>
                      <w:color w:val="231F20"/>
                      <w:spacing w:val="-5"/>
                      <w:sz w:val="16"/>
                    </w:rPr>
                    <w:t> </w:t>
                  </w:r>
                  <w:r>
                    <w:rPr>
                      <w:rFonts w:ascii="Palatino Linotype" w:hAnsi="Palatino Linotype"/>
                      <w:color w:val="231F20"/>
                      <w:spacing w:val="-1"/>
                      <w:w w:val="100"/>
                      <w:sz w:val="16"/>
                    </w:rPr>
                    <w:t>e</w:t>
                  </w:r>
                  <w:r>
                    <w:rPr>
                      <w:rFonts w:ascii="Palatino Linotype" w:hAnsi="Palatino Linotype"/>
                      <w:color w:val="231F20"/>
                      <w:w w:val="100"/>
                      <w:sz w:val="16"/>
                    </w:rPr>
                    <w:t>n</w:t>
                  </w:r>
                  <w:r>
                    <w:rPr>
                      <w:rFonts w:ascii="Palatino Linotype" w:hAnsi="Palatino Linotype"/>
                      <w:color w:val="231F20"/>
                      <w:spacing w:val="-5"/>
                      <w:sz w:val="16"/>
                    </w:rPr>
                    <w:t> </w:t>
                  </w:r>
                  <w:r>
                    <w:rPr>
                      <w:rFonts w:ascii="Palatino Linotype" w:hAnsi="Palatino Linotype"/>
                      <w:color w:val="231F20"/>
                      <w:spacing w:val="-1"/>
                      <w:w w:val="122"/>
                      <w:sz w:val="16"/>
                    </w:rPr>
                    <w:t>e</w:t>
                  </w:r>
                  <w:r>
                    <w:rPr>
                      <w:rFonts w:ascii="Palatino Linotype" w:hAnsi="Palatino Linotype"/>
                      <w:color w:val="231F20"/>
                      <w:w w:val="122"/>
                      <w:sz w:val="16"/>
                    </w:rPr>
                    <w:t>l</w:t>
                  </w:r>
                  <w:r>
                    <w:rPr>
                      <w:rFonts w:ascii="Palatino Linotype" w:hAnsi="Palatino Linotype"/>
                      <w:color w:val="231F20"/>
                      <w:spacing w:val="-5"/>
                      <w:sz w:val="16"/>
                    </w:rPr>
                    <w:t> </w:t>
                  </w:r>
                  <w:r>
                    <w:rPr>
                      <w:rFonts w:ascii="Palatino Linotype" w:hAnsi="Palatino Linotype"/>
                      <w:color w:val="231F20"/>
                      <w:spacing w:val="1"/>
                      <w:w w:val="92"/>
                      <w:sz w:val="16"/>
                    </w:rPr>
                    <w:t>E</w:t>
                  </w:r>
                  <w:r>
                    <w:rPr>
                      <w:rFonts w:ascii="Palatino Linotype" w:hAnsi="Palatino Linotype"/>
                      <w:color w:val="231F20"/>
                      <w:spacing w:val="-2"/>
                      <w:w w:val="96"/>
                      <w:sz w:val="16"/>
                    </w:rPr>
                    <w:t>s</w:t>
                  </w:r>
                  <w:r>
                    <w:rPr>
                      <w:rFonts w:ascii="Palatino Linotype" w:hAnsi="Palatino Linotype"/>
                      <w:color w:val="231F20"/>
                      <w:spacing w:val="-10"/>
                      <w:w w:val="156"/>
                      <w:sz w:val="16"/>
                    </w:rPr>
                    <w:t>t</w:t>
                  </w:r>
                  <w:r>
                    <w:rPr>
                      <w:rFonts w:ascii="Palatino Linotype" w:hAnsi="Palatino Linotype"/>
                      <w:color w:val="231F20"/>
                      <w:spacing w:val="-1"/>
                      <w:w w:val="103"/>
                      <w:sz w:val="16"/>
                    </w:rPr>
                    <w:t>a</w:t>
                  </w:r>
                  <w:r>
                    <w:rPr>
                      <w:rFonts w:ascii="Palatino Linotype" w:hAnsi="Palatino Linotype"/>
                      <w:color w:val="231F20"/>
                      <w:spacing w:val="2"/>
                      <w:w w:val="103"/>
                      <w:sz w:val="16"/>
                    </w:rPr>
                    <w:t>d</w:t>
                  </w:r>
                  <w:r>
                    <w:rPr>
                      <w:rFonts w:ascii="Palatino Linotype" w:hAnsi="Palatino Linotype"/>
                      <w:color w:val="231F20"/>
                      <w:w w:val="106"/>
                      <w:sz w:val="16"/>
                    </w:rPr>
                    <w:t>o</w:t>
                  </w:r>
                  <w:r>
                    <w:rPr>
                      <w:rFonts w:ascii="Palatino Linotype" w:hAnsi="Palatino Linotype"/>
                      <w:color w:val="231F20"/>
                      <w:spacing w:val="-5"/>
                      <w:sz w:val="16"/>
                    </w:rPr>
                    <w:t> </w:t>
                  </w:r>
                  <w:r>
                    <w:rPr>
                      <w:rFonts w:ascii="Palatino Linotype" w:hAnsi="Palatino Linotype"/>
                      <w:color w:val="231F20"/>
                      <w:spacing w:val="-2"/>
                      <w:w w:val="95"/>
                      <w:sz w:val="16"/>
                    </w:rPr>
                    <w:t>d</w:t>
                  </w:r>
                  <w:r>
                    <w:rPr>
                      <w:rFonts w:ascii="Palatino Linotype" w:hAnsi="Palatino Linotype"/>
                      <w:color w:val="231F20"/>
                      <w:w w:val="100"/>
                      <w:sz w:val="16"/>
                    </w:rPr>
                    <w:t>e</w:t>
                  </w:r>
                  <w:r>
                    <w:rPr>
                      <w:rFonts w:ascii="Palatino Linotype" w:hAnsi="Palatino Linotype"/>
                      <w:color w:val="231F20"/>
                      <w:spacing w:val="-5"/>
                      <w:sz w:val="16"/>
                    </w:rPr>
                    <w:t> </w:t>
                  </w:r>
                  <w:r>
                    <w:rPr>
                      <w:rFonts w:ascii="Palatino Linotype" w:hAnsi="Palatino Linotype"/>
                      <w:color w:val="231F20"/>
                      <w:spacing w:val="-2"/>
                      <w:w w:val="94"/>
                      <w:sz w:val="16"/>
                    </w:rPr>
                    <w:t>M</w:t>
                  </w:r>
                  <w:r>
                    <w:rPr>
                      <w:rFonts w:ascii="Palatino Linotype" w:hAnsi="Palatino Linotype"/>
                      <w:color w:val="231F20"/>
                      <w:spacing w:val="-1"/>
                      <w:w w:val="108"/>
                      <w:sz w:val="16"/>
                    </w:rPr>
                    <w:t>éxi</w:t>
                  </w:r>
                  <w:r>
                    <w:rPr>
                      <w:rFonts w:ascii="Palatino Linotype" w:hAnsi="Palatino Linotype"/>
                      <w:color w:val="231F20"/>
                      <w:w w:val="108"/>
                      <w:sz w:val="16"/>
                    </w:rPr>
                    <w:t>c</w:t>
                  </w:r>
                  <w:r>
                    <w:rPr>
                      <w:rFonts w:ascii="Palatino Linotype" w:hAnsi="Palatino Linotype"/>
                      <w:color w:val="231F20"/>
                      <w:w w:val="106"/>
                      <w:sz w:val="16"/>
                    </w:rPr>
                    <w:t>o</w:t>
                  </w:r>
                </w:p>
              </w:txbxContent>
            </v:textbox>
            <w10:wrap type="none"/>
          </v:shape>
        </w:pict>
      </w:r>
      <w:r>
        <w:rPr>
          <w:rFonts w:ascii="Palatino Linotype" w:hAnsi="Palatino Linotype"/>
          <w:color w:val="231F20"/>
          <w:w w:val="110"/>
          <w:sz w:val="10"/>
        </w:rPr>
        <w:t>Fabricación y reparación</w:t>
      </w:r>
      <w:r>
        <w:rPr>
          <w:rFonts w:ascii="Palatino Linotype" w:hAnsi="Palatino Linotype"/>
          <w:color w:val="231F20"/>
          <w:spacing w:val="-3"/>
          <w:w w:val="110"/>
          <w:sz w:val="10"/>
        </w:rPr>
        <w:t> </w:t>
      </w:r>
      <w:r>
        <w:rPr>
          <w:rFonts w:ascii="Palatino Linotype" w:hAnsi="Palatino Linotype"/>
          <w:color w:val="231F20"/>
          <w:w w:val="110"/>
          <w:sz w:val="10"/>
        </w:rPr>
        <w:t>de</w:t>
      </w:r>
      <w:r>
        <w:rPr>
          <w:rFonts w:ascii="Palatino Linotype" w:hAnsi="Palatino Linotype"/>
          <w:color w:val="231F20"/>
          <w:spacing w:val="-3"/>
          <w:w w:val="110"/>
          <w:sz w:val="10"/>
        </w:rPr>
        <w:t> </w:t>
      </w:r>
      <w:r>
        <w:rPr>
          <w:rFonts w:ascii="Palatino Linotype" w:hAnsi="Palatino Linotype"/>
          <w:color w:val="231F20"/>
          <w:w w:val="110"/>
          <w:sz w:val="10"/>
        </w:rPr>
        <w:t>válvulas</w:t>
      </w:r>
      <w:r>
        <w:rPr>
          <w:rFonts w:ascii="Palatino Linotype" w:hAnsi="Palatino Linotype"/>
          <w:color w:val="231F20"/>
          <w:w w:val="105"/>
          <w:sz w:val="10"/>
        </w:rPr>
        <w:t> </w:t>
      </w:r>
      <w:r>
        <w:rPr>
          <w:rFonts w:ascii="Palatino Linotype" w:hAnsi="Palatino Linotype"/>
          <w:color w:val="231F20"/>
          <w:w w:val="110"/>
          <w:sz w:val="10"/>
        </w:rPr>
        <w:t>metálicas</w:t>
      </w:r>
    </w:p>
    <w:p>
      <w:pPr>
        <w:pStyle w:val="BodyText"/>
        <w:spacing w:before="9"/>
        <w:rPr>
          <w:rFonts w:ascii="Palatino Linotype"/>
          <w:sz w:val="10"/>
        </w:rPr>
      </w:pPr>
      <w:r>
        <w:rPr/>
        <w:br w:type="column"/>
      </w:r>
      <w:r>
        <w:rPr>
          <w:rFonts w:ascii="Palatino Linotype"/>
          <w:sz w:val="10"/>
        </w:rPr>
      </w:r>
    </w:p>
    <w:p>
      <w:pPr>
        <w:spacing w:line="132" w:lineRule="exact" w:before="1"/>
        <w:ind w:left="2523" w:right="4053" w:firstLine="0"/>
        <w:jc w:val="center"/>
        <w:rPr>
          <w:rFonts w:ascii="Palatino Linotype" w:hAnsi="Palatino Linotype"/>
          <w:sz w:val="10"/>
        </w:rPr>
      </w:pPr>
      <w:r>
        <w:rPr>
          <w:rFonts w:ascii="Palatino Linotype" w:hAnsi="Palatino Linotype"/>
          <w:color w:val="231F20"/>
          <w:w w:val="110"/>
          <w:sz w:val="10"/>
        </w:rPr>
        <w:t>Fabricación de</w:t>
      </w:r>
      <w:r>
        <w:rPr>
          <w:rFonts w:ascii="Palatino Linotype" w:hAnsi="Palatino Linotype"/>
          <w:color w:val="231F20"/>
          <w:w w:val="107"/>
          <w:sz w:val="10"/>
        </w:rPr>
        <w:t> </w:t>
      </w:r>
      <w:r>
        <w:rPr>
          <w:rFonts w:ascii="Palatino Linotype" w:hAnsi="Palatino Linotype"/>
          <w:color w:val="231F20"/>
          <w:w w:val="110"/>
          <w:sz w:val="10"/>
        </w:rPr>
        <w:t>adhesivos</w:t>
      </w:r>
    </w:p>
    <w:p>
      <w:pPr>
        <w:spacing w:after="0" w:line="132" w:lineRule="exact"/>
        <w:jc w:val="center"/>
        <w:rPr>
          <w:rFonts w:ascii="Palatino Linotype" w:hAnsi="Palatino Linotype"/>
          <w:sz w:val="10"/>
        </w:rPr>
        <w:sectPr>
          <w:type w:val="continuous"/>
          <w:pgSz w:w="13040" w:h="9640" w:orient="landscape"/>
          <w:pgMar w:top="1200" w:bottom="280" w:left="400" w:right="1260"/>
          <w:cols w:num="2" w:equalWidth="0">
            <w:col w:w="4034" w:space="40"/>
            <w:col w:w="7306"/>
          </w:cols>
        </w:sectPr>
      </w:pPr>
    </w:p>
    <w:p>
      <w:pPr>
        <w:pStyle w:val="BodyText"/>
        <w:rPr>
          <w:rFonts w:ascii="Palatino Linotype"/>
          <w:sz w:val="20"/>
        </w:rPr>
      </w:pPr>
      <w:r>
        <w:rPr/>
        <w:pict>
          <v:group style="position:absolute;margin-left:151.758316pt;margin-top:21.408958pt;width:13.75pt;height:101.7pt;mso-position-horizontal-relative:page;mso-position-vertical-relative:page;z-index:-607984" coordorigin="3035,428" coordsize="275,2034">
            <v:shape style="position:absolute;left:-33;top:461;width:237;height:2395" coordorigin="-33,461" coordsize="237,2395" path="m3075,435l3075,2435m3075,863l3247,863m3083,1579l3282,1579m3041,2427l3289,2427e" filled="false" stroked="true" strokeweight=".577396pt" strokecolor="#939598">
              <v:path arrowok="t"/>
            </v:shape>
            <v:shape style="position:absolute;left:3206;top:828;width:104;height:1635" coordorigin="3206,828" coordsize="104,1635" path="m3268,863l3206,828,3206,898,3268,863m3303,1579l3241,1544,3241,1614,3303,1579m3309,2427l3248,2392,3248,2462,3309,2427e" filled="true" fillcolor="#939598" stroked="false">
              <v:path arrowok="t"/>
              <v:fill type="solid"/>
            </v:shape>
            <w10:wrap type="none"/>
          </v:group>
        </w:pict>
      </w:r>
      <w:r>
        <w:rPr/>
        <w:pict>
          <v:shape style="position:absolute;margin-left:611.963867pt;margin-top:230.356995pt;width:10pt;height:29.7pt;mso-position-horizontal-relative:page;mso-position-vertical-relative:page;z-index:11632" type="#_x0000_t202" filled="false" stroked="false">
            <v:textbox inset="0,0,0,0" style="layout-flow:vertical">
              <w:txbxContent>
                <w:p>
                  <w:pPr>
                    <w:spacing w:line="186" w:lineRule="exact" w:before="0"/>
                    <w:ind w:left="20" w:right="-393" w:firstLine="0"/>
                    <w:jc w:val="left"/>
                    <w:rPr>
                      <w:rFonts w:ascii="Palatino Linotype"/>
                      <w:b/>
                      <w:sz w:val="16"/>
                    </w:rPr>
                  </w:pPr>
                  <w:r>
                    <w:rPr>
                      <w:rFonts w:ascii="Palatino Linotype"/>
                      <w:b/>
                      <w:color w:val="231F20"/>
                      <w:w w:val="90"/>
                      <w:sz w:val="16"/>
                    </w:rPr>
                    <w:t>A</w:t>
                  </w:r>
                  <w:r>
                    <w:rPr>
                      <w:rFonts w:ascii="Palatino Linotype"/>
                      <w:b/>
                      <w:color w:val="231F20"/>
                      <w:w w:val="106"/>
                      <w:sz w:val="16"/>
                    </w:rPr>
                    <w:t>ne</w:t>
                  </w:r>
                  <w:r>
                    <w:rPr>
                      <w:rFonts w:ascii="Palatino Linotype"/>
                      <w:b/>
                      <w:color w:val="231F20"/>
                      <w:spacing w:val="-5"/>
                      <w:w w:val="106"/>
                      <w:sz w:val="16"/>
                    </w:rPr>
                    <w:t>x</w:t>
                  </w:r>
                  <w:r>
                    <w:rPr>
                      <w:rFonts w:ascii="Palatino Linotype"/>
                      <w:b/>
                      <w:color w:val="231F20"/>
                      <w:w w:val="107"/>
                      <w:sz w:val="16"/>
                    </w:rPr>
                    <w:t>os</w:t>
                  </w:r>
                </w:p>
              </w:txbxContent>
            </v:textbox>
            <w10:wrap type="none"/>
          </v:shape>
        </w:pict>
      </w:r>
      <w:r>
        <w:rPr/>
        <w:pict>
          <v:shape style="position:absolute;margin-left:29.703428pt;margin-top:437.063202pt;width:14pt;height:19.5pt;mso-position-horizontal-relative:page;mso-position-vertical-relative:page;z-index:11656" type="#_x0000_t202" filled="false" stroked="false">
            <v:textbox inset="0,0,0,0" style="layout-flow:vertical">
              <w:txbxContent>
                <w:p>
                  <w:pPr>
                    <w:spacing w:line="248" w:lineRule="exact" w:before="0"/>
                    <w:ind w:left="20" w:right="-110" w:firstLine="0"/>
                    <w:jc w:val="left"/>
                    <w:rPr>
                      <w:sz w:val="24"/>
                    </w:rPr>
                  </w:pPr>
                  <w:r>
                    <w:rPr>
                      <w:color w:val="231F20"/>
                      <w:w w:val="97"/>
                      <w:sz w:val="24"/>
                    </w:rPr>
                    <w:t>155</w:t>
                  </w:r>
                </w:p>
              </w:txbxContent>
            </v:textbox>
            <w10:wrap type="none"/>
          </v:shape>
        </w:pict>
      </w:r>
    </w:p>
    <w:p>
      <w:pPr>
        <w:pStyle w:val="BodyText"/>
        <w:spacing w:before="5"/>
        <w:rPr>
          <w:rFonts w:ascii="Palatino Linotype"/>
          <w:sz w:val="10"/>
        </w:rPr>
      </w:pPr>
    </w:p>
    <w:p>
      <w:pPr>
        <w:tabs>
          <w:tab w:pos="5525" w:val="left" w:leader="none"/>
        </w:tabs>
        <w:spacing w:line="240" w:lineRule="auto"/>
        <w:ind w:left="2099" w:right="0" w:firstLine="0"/>
        <w:rPr>
          <w:rFonts w:ascii="Palatino Linotype"/>
          <w:sz w:val="20"/>
        </w:rPr>
      </w:pPr>
      <w:r>
        <w:rPr>
          <w:rFonts w:ascii="Palatino Linotype"/>
          <w:position w:val="571"/>
          <w:sz w:val="20"/>
        </w:rPr>
        <w:pict>
          <v:shape style="width:70.1pt;height:109.2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54"/>
                    <w:gridCol w:w="226"/>
                  </w:tblGrid>
                  <w:tr>
                    <w:trPr>
                      <w:trHeight w:val="102" w:hRule="exact"/>
                    </w:trPr>
                    <w:tc>
                      <w:tcPr>
                        <w:tcW w:w="1380" w:type="dxa"/>
                        <w:gridSpan w:val="2"/>
                        <w:tcBorders>
                          <w:right w:val="single" w:sz="6" w:space="0" w:color="939598"/>
                        </w:tcBorders>
                      </w:tcPr>
                      <w:p>
                        <w:pPr/>
                      </w:p>
                    </w:tc>
                  </w:tr>
                  <w:tr>
                    <w:trPr>
                      <w:trHeight w:val="174" w:hRule="exact"/>
                    </w:trPr>
                    <w:tc>
                      <w:tcPr>
                        <w:tcW w:w="1154"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3"/>
                          <w:ind w:left="368" w:right="375"/>
                          <w:rPr>
                            <w:rFonts w:ascii="Palatino Linotype"/>
                            <w:sz w:val="10"/>
                          </w:rPr>
                        </w:pPr>
                        <w:r>
                          <w:rPr>
                            <w:rFonts w:ascii="Palatino Linotype"/>
                            <w:color w:val="231F20"/>
                            <w:w w:val="120"/>
                            <w:sz w:val="10"/>
                          </w:rPr>
                          <w:t>381413</w:t>
                        </w:r>
                      </w:p>
                    </w:tc>
                    <w:tc>
                      <w:tcPr>
                        <w:tcW w:w="226" w:type="dxa"/>
                        <w:vMerge w:val="restart"/>
                        <w:tcBorders>
                          <w:left w:val="single" w:sz="3" w:space="0" w:color="231F20"/>
                          <w:right w:val="single" w:sz="6" w:space="0" w:color="939598"/>
                        </w:tcBorders>
                      </w:tcPr>
                      <w:p>
                        <w:pPr/>
                      </w:p>
                    </w:tc>
                  </w:tr>
                  <w:tr>
                    <w:trPr>
                      <w:trHeight w:val="149" w:hRule="exact"/>
                    </w:trPr>
                    <w:tc>
                      <w:tcPr>
                        <w:tcW w:w="1154"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4"/>
                          <w:ind w:left="81" w:hanging="10"/>
                          <w:jc w:val="left"/>
                          <w:rPr>
                            <w:rFonts w:ascii="Palatino Linotype" w:hAnsi="Palatino Linotype"/>
                            <w:sz w:val="10"/>
                          </w:rPr>
                        </w:pPr>
                        <w:r>
                          <w:rPr>
                            <w:rFonts w:ascii="Palatino Linotype" w:hAnsi="Palatino Linotype"/>
                            <w:color w:val="231F20"/>
                            <w:w w:val="110"/>
                            <w:sz w:val="10"/>
                          </w:rPr>
                          <w:t>Fabricación de otros productos metálicos</w:t>
                        </w:r>
                      </w:p>
                    </w:tc>
                    <w:tc>
                      <w:tcPr>
                        <w:tcW w:w="226" w:type="dxa"/>
                        <w:vMerge/>
                        <w:tcBorders>
                          <w:left w:val="single" w:sz="3" w:space="0" w:color="231F20"/>
                          <w:bottom w:val="single" w:sz="4" w:space="0" w:color="939598"/>
                          <w:right w:val="single" w:sz="6" w:space="0" w:color="939598"/>
                        </w:tcBorders>
                      </w:tcPr>
                      <w:p>
                        <w:pPr/>
                      </w:p>
                    </w:tc>
                  </w:tr>
                  <w:tr>
                    <w:trPr>
                      <w:trHeight w:val="198" w:hRule="exact"/>
                    </w:trPr>
                    <w:tc>
                      <w:tcPr>
                        <w:tcW w:w="1154" w:type="dxa"/>
                        <w:vMerge/>
                        <w:tcBorders>
                          <w:left w:val="single" w:sz="3" w:space="0" w:color="231F20"/>
                          <w:bottom w:val="single" w:sz="3" w:space="0" w:color="231F20"/>
                          <w:right w:val="single" w:sz="3" w:space="0" w:color="231F20"/>
                        </w:tcBorders>
                        <w:shd w:val="clear" w:color="auto" w:fill="DCDDDE"/>
                      </w:tcPr>
                      <w:p>
                        <w:pPr/>
                      </w:p>
                    </w:tc>
                    <w:tc>
                      <w:tcPr>
                        <w:tcW w:w="226" w:type="dxa"/>
                        <w:tcBorders>
                          <w:top w:val="single" w:sz="4" w:space="0" w:color="939598"/>
                          <w:left w:val="single" w:sz="3" w:space="0" w:color="231F20"/>
                          <w:right w:val="single" w:sz="6" w:space="0" w:color="939598"/>
                        </w:tcBorders>
                      </w:tcPr>
                      <w:p>
                        <w:pPr/>
                      </w:p>
                    </w:tc>
                  </w:tr>
                  <w:tr>
                    <w:trPr>
                      <w:trHeight w:val="170" w:hRule="exact"/>
                    </w:trPr>
                    <w:tc>
                      <w:tcPr>
                        <w:tcW w:w="1380" w:type="dxa"/>
                        <w:gridSpan w:val="2"/>
                        <w:tcBorders>
                          <w:right w:val="single" w:sz="6" w:space="0" w:color="939598"/>
                        </w:tcBorders>
                      </w:tcPr>
                      <w:p>
                        <w:pPr/>
                      </w:p>
                    </w:tc>
                  </w:tr>
                  <w:tr>
                    <w:trPr>
                      <w:trHeight w:val="174" w:hRule="exact"/>
                    </w:trPr>
                    <w:tc>
                      <w:tcPr>
                        <w:tcW w:w="1154" w:type="dxa"/>
                        <w:tcBorders>
                          <w:top w:val="single" w:sz="3" w:space="0" w:color="231F20"/>
                          <w:left w:val="single" w:sz="3" w:space="0" w:color="231F20"/>
                          <w:bottom w:val="single" w:sz="4" w:space="0" w:color="231F20"/>
                          <w:right w:val="single" w:sz="3" w:space="0" w:color="231F20"/>
                        </w:tcBorders>
                        <w:shd w:val="clear" w:color="auto" w:fill="F1F2F2"/>
                      </w:tcPr>
                      <w:p>
                        <w:pPr>
                          <w:pStyle w:val="TableParagraph"/>
                          <w:spacing w:before="5"/>
                          <w:ind w:left="368" w:right="375"/>
                          <w:rPr>
                            <w:rFonts w:ascii="Palatino Linotype"/>
                            <w:sz w:val="10"/>
                          </w:rPr>
                        </w:pPr>
                        <w:r>
                          <w:rPr>
                            <w:rFonts w:ascii="Palatino Linotype"/>
                            <w:color w:val="231F20"/>
                            <w:w w:val="120"/>
                            <w:sz w:val="10"/>
                          </w:rPr>
                          <w:t>372007</w:t>
                        </w:r>
                      </w:p>
                    </w:tc>
                    <w:tc>
                      <w:tcPr>
                        <w:tcW w:w="226" w:type="dxa"/>
                        <w:vMerge w:val="restart"/>
                        <w:tcBorders>
                          <w:left w:val="single" w:sz="4" w:space="0" w:color="231F20"/>
                          <w:right w:val="single" w:sz="6" w:space="0" w:color="939598"/>
                        </w:tcBorders>
                      </w:tcPr>
                      <w:p>
                        <w:pPr/>
                      </w:p>
                    </w:tc>
                  </w:tr>
                  <w:tr>
                    <w:trPr>
                      <w:trHeight w:val="191" w:hRule="exact"/>
                    </w:trPr>
                    <w:tc>
                      <w:tcPr>
                        <w:tcW w:w="1154" w:type="dxa"/>
                        <w:vMerge w:val="restart"/>
                        <w:tcBorders>
                          <w:top w:val="single" w:sz="4" w:space="0" w:color="231F20"/>
                          <w:left w:val="single" w:sz="4" w:space="0" w:color="231F20"/>
                          <w:right w:val="single" w:sz="4" w:space="0" w:color="231F20"/>
                        </w:tcBorders>
                        <w:shd w:val="clear" w:color="auto" w:fill="DCDDDE"/>
                      </w:tcPr>
                      <w:p>
                        <w:pPr>
                          <w:pStyle w:val="TableParagraph"/>
                          <w:spacing w:line="132" w:lineRule="exact" w:before="31"/>
                          <w:ind w:left="94" w:right="86" w:firstLine="115"/>
                          <w:jc w:val="left"/>
                          <w:rPr>
                            <w:rFonts w:ascii="Palatino Linotype" w:hAnsi="Palatino Linotype"/>
                            <w:sz w:val="10"/>
                          </w:rPr>
                        </w:pPr>
                        <w:r>
                          <w:rPr>
                            <w:rFonts w:ascii="Palatino Linotype" w:hAnsi="Palatino Linotype"/>
                            <w:color w:val="231F20"/>
                            <w:w w:val="110"/>
                            <w:sz w:val="10"/>
                          </w:rPr>
                          <w:t>Fabricación de soldaduras a base e metales no ferrosos</w:t>
                        </w:r>
                      </w:p>
                    </w:tc>
                    <w:tc>
                      <w:tcPr>
                        <w:tcW w:w="226" w:type="dxa"/>
                        <w:vMerge/>
                        <w:tcBorders>
                          <w:left w:val="single" w:sz="4" w:space="0" w:color="231F20"/>
                          <w:bottom w:val="single" w:sz="4" w:space="0" w:color="939598"/>
                          <w:right w:val="single" w:sz="6" w:space="0" w:color="939598"/>
                        </w:tcBorders>
                      </w:tcPr>
                      <w:p>
                        <w:pPr/>
                      </w:p>
                    </w:tc>
                  </w:tr>
                  <w:tr>
                    <w:trPr>
                      <w:trHeight w:val="329" w:hRule="exact"/>
                    </w:trPr>
                    <w:tc>
                      <w:tcPr>
                        <w:tcW w:w="1154" w:type="dxa"/>
                        <w:vMerge/>
                        <w:tcBorders>
                          <w:left w:val="single" w:sz="4" w:space="0" w:color="231F20"/>
                          <w:bottom w:val="single" w:sz="4" w:space="0" w:color="231F20"/>
                          <w:right w:val="single" w:sz="4" w:space="0" w:color="231F20"/>
                        </w:tcBorders>
                        <w:shd w:val="clear" w:color="auto" w:fill="DCDDDE"/>
                      </w:tcPr>
                      <w:p>
                        <w:pPr/>
                      </w:p>
                    </w:tc>
                    <w:tc>
                      <w:tcPr>
                        <w:tcW w:w="226" w:type="dxa"/>
                        <w:tcBorders>
                          <w:top w:val="single" w:sz="4" w:space="0" w:color="939598"/>
                          <w:left w:val="single" w:sz="4" w:space="0" w:color="231F20"/>
                          <w:right w:val="single" w:sz="6" w:space="0" w:color="939598"/>
                        </w:tcBorders>
                      </w:tcPr>
                      <w:p>
                        <w:pPr/>
                      </w:p>
                    </w:tc>
                  </w:tr>
                  <w:tr>
                    <w:trPr>
                      <w:trHeight w:val="170" w:hRule="exact"/>
                    </w:trPr>
                    <w:tc>
                      <w:tcPr>
                        <w:tcW w:w="1380" w:type="dxa"/>
                        <w:gridSpan w:val="2"/>
                        <w:tcBorders>
                          <w:right w:val="single" w:sz="6" w:space="0" w:color="939598"/>
                        </w:tcBorders>
                      </w:tcPr>
                      <w:p>
                        <w:pPr/>
                      </w:p>
                    </w:tc>
                  </w:tr>
                  <w:tr>
                    <w:trPr>
                      <w:trHeight w:val="174" w:hRule="exact"/>
                    </w:trPr>
                    <w:tc>
                      <w:tcPr>
                        <w:tcW w:w="1154"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6"/>
                          <w:ind w:left="368" w:right="376"/>
                          <w:rPr>
                            <w:rFonts w:ascii="Palatino Linotype"/>
                            <w:sz w:val="10"/>
                          </w:rPr>
                        </w:pPr>
                        <w:r>
                          <w:rPr>
                            <w:rFonts w:ascii="Palatino Linotype"/>
                            <w:color w:val="231F20"/>
                            <w:w w:val="120"/>
                            <w:sz w:val="10"/>
                          </w:rPr>
                          <w:t>381405</w:t>
                        </w:r>
                      </w:p>
                    </w:tc>
                    <w:tc>
                      <w:tcPr>
                        <w:tcW w:w="226" w:type="dxa"/>
                        <w:vMerge w:val="restart"/>
                        <w:tcBorders>
                          <w:left w:val="single" w:sz="3" w:space="0" w:color="231F20"/>
                          <w:right w:val="single" w:sz="6" w:space="0" w:color="939598"/>
                        </w:tcBorders>
                      </w:tcPr>
                      <w:p>
                        <w:pPr/>
                      </w:p>
                    </w:tc>
                  </w:tr>
                  <w:tr>
                    <w:trPr>
                      <w:trHeight w:val="202" w:hRule="exact"/>
                    </w:trPr>
                    <w:tc>
                      <w:tcPr>
                        <w:tcW w:w="1154"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13"/>
                          <w:ind w:left="370" w:hanging="161"/>
                          <w:jc w:val="left"/>
                          <w:rPr>
                            <w:rFonts w:ascii="Palatino Linotype" w:hAnsi="Palatino Linotype"/>
                            <w:sz w:val="10"/>
                          </w:rPr>
                        </w:pPr>
                        <w:r>
                          <w:rPr>
                            <w:rFonts w:ascii="Palatino Linotype" w:hAnsi="Palatino Linotype"/>
                            <w:color w:val="231F20"/>
                            <w:w w:val="110"/>
                            <w:sz w:val="10"/>
                          </w:rPr>
                          <w:t>Fabricación de tornillos</w:t>
                        </w:r>
                      </w:p>
                    </w:tc>
                    <w:tc>
                      <w:tcPr>
                        <w:tcW w:w="226" w:type="dxa"/>
                        <w:vMerge/>
                        <w:tcBorders>
                          <w:left w:val="single" w:sz="3" w:space="0" w:color="231F20"/>
                          <w:bottom w:val="single" w:sz="4" w:space="0" w:color="939598"/>
                          <w:right w:val="single" w:sz="6" w:space="0" w:color="939598"/>
                        </w:tcBorders>
                      </w:tcPr>
                      <w:p>
                        <w:pPr/>
                      </w:p>
                    </w:tc>
                  </w:tr>
                  <w:tr>
                    <w:trPr>
                      <w:trHeight w:val="145" w:hRule="exact"/>
                    </w:trPr>
                    <w:tc>
                      <w:tcPr>
                        <w:tcW w:w="1154" w:type="dxa"/>
                        <w:vMerge/>
                        <w:tcBorders>
                          <w:left w:val="single" w:sz="3" w:space="0" w:color="231F20"/>
                          <w:bottom w:val="single" w:sz="3" w:space="0" w:color="231F20"/>
                          <w:right w:val="single" w:sz="3" w:space="0" w:color="231F20"/>
                        </w:tcBorders>
                        <w:shd w:val="clear" w:color="auto" w:fill="DCDDDE"/>
                      </w:tcPr>
                      <w:p>
                        <w:pPr/>
                      </w:p>
                    </w:tc>
                    <w:tc>
                      <w:tcPr>
                        <w:tcW w:w="226" w:type="dxa"/>
                        <w:tcBorders>
                          <w:top w:val="single" w:sz="4" w:space="0" w:color="939598"/>
                          <w:left w:val="single" w:sz="3" w:space="0" w:color="231F20"/>
                        </w:tcBorders>
                      </w:tcPr>
                      <w:p>
                        <w:pPr/>
                      </w:p>
                    </w:tc>
                  </w:tr>
                </w:tbl>
                <w:p>
                  <w:pPr>
                    <w:pStyle w:val="BodyText"/>
                  </w:pPr>
                </w:p>
              </w:txbxContent>
            </v:textbox>
          </v:shape>
        </w:pict>
      </w:r>
      <w:r>
        <w:rPr>
          <w:rFonts w:ascii="Palatino Linotype"/>
          <w:position w:val="571"/>
          <w:sz w:val="20"/>
        </w:rPr>
      </w:r>
      <w:r>
        <w:rPr>
          <w:rFonts w:ascii="Palatino Linotype"/>
          <w:position w:val="571"/>
          <w:sz w:val="20"/>
        </w:rPr>
        <w:tab/>
      </w:r>
      <w:r>
        <w:rPr>
          <w:rFonts w:ascii="Palatino Linotype"/>
          <w:sz w:val="20"/>
        </w:rPr>
        <w:pict>
          <v:shape style="width:74.7pt;height:389.65pt;mso-position-horizontal-relative:char;mso-position-vertical-relative:line" type="#_x0000_t202" filled="false" stroked="false">
            <w10:anchorlock/>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5"/>
                    <w:gridCol w:w="220"/>
                  </w:tblGrid>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3"/>
                          <w:ind w:left="418" w:right="427"/>
                          <w:rPr>
                            <w:rFonts w:ascii="Palatino Linotype"/>
                            <w:sz w:val="10"/>
                          </w:rPr>
                        </w:pPr>
                        <w:r>
                          <w:rPr>
                            <w:rFonts w:ascii="Palatino Linotype"/>
                            <w:color w:val="231F20"/>
                            <w:w w:val="120"/>
                            <w:sz w:val="10"/>
                          </w:rPr>
                          <w:t>355003</w:t>
                        </w:r>
                      </w:p>
                    </w:tc>
                    <w:tc>
                      <w:tcPr>
                        <w:tcW w:w="220" w:type="dxa"/>
                        <w:vMerge w:val="restart"/>
                        <w:tcBorders>
                          <w:left w:val="single" w:sz="3" w:space="0" w:color="231F20"/>
                          <w:right w:val="single" w:sz="5" w:space="0" w:color="939598"/>
                        </w:tcBorders>
                      </w:tcPr>
                      <w:p>
                        <w:pPr/>
                      </w:p>
                    </w:tc>
                  </w:tr>
                  <w:tr>
                    <w:trPr>
                      <w:trHeight w:val="124"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21"/>
                          <w:ind w:left="220" w:right="50" w:hanging="176"/>
                          <w:jc w:val="left"/>
                          <w:rPr>
                            <w:rFonts w:ascii="Palatino Linotype" w:hAnsi="Palatino Linotype"/>
                            <w:sz w:val="10"/>
                          </w:rPr>
                        </w:pPr>
                        <w:r>
                          <w:rPr>
                            <w:rFonts w:ascii="Palatino Linotype" w:hAnsi="Palatino Linotype"/>
                            <w:color w:val="231F20"/>
                            <w:w w:val="110"/>
                            <w:sz w:val="10"/>
                          </w:rPr>
                          <w:t>Fabricación de piezas y artículos de hule</w:t>
                        </w:r>
                      </w:p>
                    </w:tc>
                    <w:tc>
                      <w:tcPr>
                        <w:tcW w:w="220" w:type="dxa"/>
                        <w:vMerge/>
                        <w:tcBorders>
                          <w:left w:val="single" w:sz="3" w:space="0" w:color="231F20"/>
                          <w:bottom w:val="single" w:sz="4" w:space="0" w:color="939598"/>
                          <w:right w:val="single" w:sz="5" w:space="0" w:color="939598"/>
                        </w:tcBorders>
                      </w:tcPr>
                      <w:p>
                        <w:pPr/>
                      </w:p>
                    </w:tc>
                  </w:tr>
                  <w:tr>
                    <w:trPr>
                      <w:trHeight w:val="223"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4" w:space="0" w:color="231F20"/>
                          <w:right w:val="single" w:sz="3" w:space="0" w:color="231F20"/>
                        </w:tcBorders>
                        <w:shd w:val="clear" w:color="auto" w:fill="F1F2F2"/>
                      </w:tcPr>
                      <w:p>
                        <w:pPr>
                          <w:pStyle w:val="TableParagraph"/>
                          <w:spacing w:before="24"/>
                          <w:ind w:left="417" w:right="427"/>
                          <w:rPr>
                            <w:rFonts w:ascii="Palatino Linotype"/>
                            <w:sz w:val="10"/>
                          </w:rPr>
                        </w:pPr>
                        <w:r>
                          <w:rPr>
                            <w:rFonts w:ascii="Palatino Linotype"/>
                            <w:color w:val="231F20"/>
                            <w:w w:val="120"/>
                            <w:sz w:val="10"/>
                          </w:rPr>
                          <w:t>356009</w:t>
                        </w:r>
                      </w:p>
                    </w:tc>
                    <w:tc>
                      <w:tcPr>
                        <w:tcW w:w="220" w:type="dxa"/>
                        <w:vMerge w:val="restart"/>
                        <w:tcBorders>
                          <w:left w:val="single" w:sz="4" w:space="0" w:color="231F20"/>
                          <w:right w:val="single" w:sz="5" w:space="0" w:color="939598"/>
                        </w:tcBorders>
                      </w:tcPr>
                      <w:p>
                        <w:pPr/>
                      </w:p>
                    </w:tc>
                  </w:tr>
                  <w:tr>
                    <w:trPr>
                      <w:trHeight w:val="191" w:hRule="exact"/>
                    </w:trPr>
                    <w:tc>
                      <w:tcPr>
                        <w:tcW w:w="1255" w:type="dxa"/>
                        <w:vMerge w:val="restart"/>
                        <w:tcBorders>
                          <w:top w:val="single" w:sz="4" w:space="0" w:color="231F20"/>
                          <w:left w:val="single" w:sz="4" w:space="0" w:color="231F20"/>
                          <w:right w:val="single" w:sz="4" w:space="0" w:color="231F20"/>
                        </w:tcBorders>
                        <w:shd w:val="clear" w:color="auto" w:fill="DCDDDE"/>
                      </w:tcPr>
                      <w:p>
                        <w:pPr>
                          <w:pStyle w:val="TableParagraph"/>
                          <w:spacing w:before="4"/>
                          <w:jc w:val="left"/>
                          <w:rPr>
                            <w:rFonts w:ascii="Palatino Linotype"/>
                            <w:sz w:val="8"/>
                          </w:rPr>
                        </w:pPr>
                      </w:p>
                      <w:p>
                        <w:pPr>
                          <w:pStyle w:val="TableParagraph"/>
                          <w:spacing w:line="132" w:lineRule="exact"/>
                          <w:ind w:left="375" w:hanging="343"/>
                          <w:jc w:val="left"/>
                          <w:rPr>
                            <w:rFonts w:ascii="Palatino Linotype" w:hAnsi="Palatino Linotype"/>
                            <w:sz w:val="10"/>
                          </w:rPr>
                        </w:pPr>
                        <w:r>
                          <w:rPr>
                            <w:rFonts w:ascii="Palatino Linotype" w:hAnsi="Palatino Linotype"/>
                            <w:color w:val="231F20"/>
                            <w:w w:val="110"/>
                            <w:sz w:val="10"/>
                          </w:rPr>
                          <w:t>Fabricación de espumas uretánicas</w:t>
                        </w:r>
                      </w:p>
                    </w:tc>
                    <w:tc>
                      <w:tcPr>
                        <w:tcW w:w="220" w:type="dxa"/>
                        <w:vMerge/>
                        <w:tcBorders>
                          <w:left w:val="single" w:sz="4" w:space="0" w:color="231F20"/>
                          <w:bottom w:val="single" w:sz="4" w:space="0" w:color="939598"/>
                          <w:right w:val="single" w:sz="5" w:space="0" w:color="939598"/>
                        </w:tcBorders>
                      </w:tcPr>
                      <w:p>
                        <w:pPr/>
                      </w:p>
                    </w:tc>
                  </w:tr>
                  <w:tr>
                    <w:trPr>
                      <w:trHeight w:val="329" w:hRule="exact"/>
                    </w:trPr>
                    <w:tc>
                      <w:tcPr>
                        <w:tcW w:w="1255" w:type="dxa"/>
                        <w:vMerge/>
                        <w:tcBorders>
                          <w:left w:val="single" w:sz="4" w:space="0" w:color="231F20"/>
                          <w:bottom w:val="single" w:sz="4" w:space="0" w:color="231F20"/>
                          <w:right w:val="single" w:sz="4" w:space="0" w:color="231F20"/>
                        </w:tcBorders>
                        <w:shd w:val="clear" w:color="auto" w:fill="DCDDDE"/>
                      </w:tcPr>
                      <w:p>
                        <w:pPr/>
                      </w:p>
                    </w:tc>
                    <w:tc>
                      <w:tcPr>
                        <w:tcW w:w="220" w:type="dxa"/>
                        <w:tcBorders>
                          <w:top w:val="single" w:sz="4" w:space="0" w:color="939598"/>
                          <w:left w:val="single" w:sz="4"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6"/>
                          <w:ind w:left="417" w:right="427"/>
                          <w:rPr>
                            <w:rFonts w:ascii="Palatino Linotype"/>
                            <w:sz w:val="10"/>
                          </w:rPr>
                        </w:pPr>
                        <w:r>
                          <w:rPr>
                            <w:rFonts w:ascii="Palatino Linotype"/>
                            <w:color w:val="231F20"/>
                            <w:w w:val="120"/>
                            <w:sz w:val="10"/>
                          </w:rPr>
                          <w:t>354002</w:t>
                        </w:r>
                      </w:p>
                    </w:tc>
                    <w:tc>
                      <w:tcPr>
                        <w:tcW w:w="220" w:type="dxa"/>
                        <w:vMerge w:val="restart"/>
                        <w:tcBorders>
                          <w:left w:val="single" w:sz="3" w:space="0" w:color="231F20"/>
                          <w:right w:val="single" w:sz="5" w:space="0" w:color="939598"/>
                        </w:tcBorders>
                      </w:tcPr>
                      <w:p>
                        <w:pPr/>
                      </w:p>
                    </w:tc>
                  </w:tr>
                  <w:tr>
                    <w:trPr>
                      <w:trHeight w:val="141"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21"/>
                          <w:ind w:left="356" w:right="50" w:hanging="287"/>
                          <w:jc w:val="left"/>
                          <w:rPr>
                            <w:rFonts w:ascii="Palatino Linotype" w:hAnsi="Palatino Linotype"/>
                            <w:sz w:val="10"/>
                          </w:rPr>
                        </w:pPr>
                        <w:r>
                          <w:rPr>
                            <w:rFonts w:ascii="Palatino Linotype" w:hAnsi="Palatino Linotype"/>
                            <w:color w:val="231F20"/>
                            <w:w w:val="110"/>
                            <w:sz w:val="10"/>
                          </w:rPr>
                          <w:t>Elaboración de aceites lubricantes</w:t>
                        </w:r>
                      </w:p>
                    </w:tc>
                    <w:tc>
                      <w:tcPr>
                        <w:tcW w:w="220" w:type="dxa"/>
                        <w:vMerge/>
                        <w:tcBorders>
                          <w:left w:val="single" w:sz="3" w:space="0" w:color="231F20"/>
                          <w:bottom w:val="single" w:sz="4" w:space="0" w:color="939598"/>
                          <w:right w:val="single" w:sz="5" w:space="0" w:color="939598"/>
                        </w:tcBorders>
                      </w:tcPr>
                      <w:p>
                        <w:pPr/>
                      </w:p>
                    </w:tc>
                  </w:tr>
                  <w:tr>
                    <w:trPr>
                      <w:trHeight w:val="206"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4" w:space="0" w:color="231F20"/>
                          <w:right w:val="single" w:sz="3" w:space="0" w:color="231F20"/>
                        </w:tcBorders>
                        <w:shd w:val="clear" w:color="auto" w:fill="F1F2F2"/>
                      </w:tcPr>
                      <w:p>
                        <w:pPr>
                          <w:pStyle w:val="TableParagraph"/>
                          <w:spacing w:before="15"/>
                          <w:ind w:left="417" w:right="427"/>
                          <w:rPr>
                            <w:rFonts w:ascii="Palatino Linotype"/>
                            <w:sz w:val="10"/>
                          </w:rPr>
                        </w:pPr>
                        <w:r>
                          <w:rPr>
                            <w:rFonts w:ascii="Palatino Linotype"/>
                            <w:color w:val="231F20"/>
                            <w:w w:val="120"/>
                            <w:sz w:val="10"/>
                          </w:rPr>
                          <w:t>355003</w:t>
                        </w:r>
                      </w:p>
                    </w:tc>
                    <w:tc>
                      <w:tcPr>
                        <w:tcW w:w="220" w:type="dxa"/>
                        <w:vMerge w:val="restart"/>
                        <w:tcBorders>
                          <w:left w:val="single" w:sz="4" w:space="0" w:color="231F20"/>
                          <w:right w:val="single" w:sz="5" w:space="0" w:color="939598"/>
                        </w:tcBorders>
                      </w:tcPr>
                      <w:p>
                        <w:pPr/>
                      </w:p>
                    </w:tc>
                  </w:tr>
                  <w:tr>
                    <w:trPr>
                      <w:trHeight w:val="191" w:hRule="exact"/>
                    </w:trPr>
                    <w:tc>
                      <w:tcPr>
                        <w:tcW w:w="1255" w:type="dxa"/>
                        <w:vMerge w:val="restart"/>
                        <w:tcBorders>
                          <w:top w:val="single" w:sz="4" w:space="0" w:color="231F20"/>
                          <w:left w:val="single" w:sz="4" w:space="0" w:color="231F20"/>
                          <w:right w:val="single" w:sz="4" w:space="0" w:color="231F20"/>
                        </w:tcBorders>
                        <w:shd w:val="clear" w:color="auto" w:fill="DCDDDE"/>
                      </w:tcPr>
                      <w:p>
                        <w:pPr>
                          <w:pStyle w:val="TableParagraph"/>
                          <w:spacing w:line="132" w:lineRule="exact" w:before="48"/>
                          <w:ind w:left="30" w:right="14" w:hanging="29"/>
                          <w:rPr>
                            <w:rFonts w:ascii="Palatino Linotype" w:hAnsi="Palatino Linotype"/>
                            <w:sz w:val="10"/>
                          </w:rPr>
                        </w:pPr>
                        <w:r>
                          <w:rPr>
                            <w:rFonts w:ascii="Palatino Linotype" w:hAnsi="Palatino Linotype"/>
                            <w:color w:val="231F20"/>
                            <w:w w:val="115"/>
                            <w:sz w:val="10"/>
                          </w:rPr>
                          <w:t>Fabricación de piezas y artículos</w:t>
                        </w:r>
                        <w:r>
                          <w:rPr>
                            <w:rFonts w:ascii="Palatino Linotype" w:hAnsi="Palatino Linotype"/>
                            <w:color w:val="231F20"/>
                            <w:spacing w:val="-15"/>
                            <w:w w:val="115"/>
                            <w:sz w:val="10"/>
                          </w:rPr>
                          <w:t> </w:t>
                        </w:r>
                        <w:r>
                          <w:rPr>
                            <w:rFonts w:ascii="Palatino Linotype" w:hAnsi="Palatino Linotype"/>
                            <w:color w:val="231F20"/>
                            <w:w w:val="115"/>
                            <w:sz w:val="10"/>
                          </w:rPr>
                          <w:t>de</w:t>
                        </w:r>
                        <w:r>
                          <w:rPr>
                            <w:rFonts w:ascii="Palatino Linotype" w:hAnsi="Palatino Linotype"/>
                            <w:color w:val="231F20"/>
                            <w:spacing w:val="-15"/>
                            <w:w w:val="115"/>
                            <w:sz w:val="10"/>
                          </w:rPr>
                          <w:t> </w:t>
                        </w:r>
                        <w:r>
                          <w:rPr>
                            <w:rFonts w:ascii="Palatino Linotype" w:hAnsi="Palatino Linotype"/>
                            <w:color w:val="231F20"/>
                            <w:w w:val="115"/>
                            <w:sz w:val="10"/>
                          </w:rPr>
                          <w:t>hule</w:t>
                        </w:r>
                        <w:r>
                          <w:rPr>
                            <w:rFonts w:ascii="Palatino Linotype" w:hAnsi="Palatino Linotype"/>
                            <w:color w:val="231F20"/>
                            <w:spacing w:val="-15"/>
                            <w:w w:val="115"/>
                            <w:sz w:val="10"/>
                          </w:rPr>
                          <w:t> </w:t>
                        </w:r>
                        <w:r>
                          <w:rPr>
                            <w:rFonts w:ascii="Palatino Linotype" w:hAnsi="Palatino Linotype"/>
                            <w:color w:val="231F20"/>
                            <w:w w:val="115"/>
                            <w:sz w:val="10"/>
                          </w:rPr>
                          <w:t>natural</w:t>
                        </w:r>
                        <w:r>
                          <w:rPr>
                            <w:rFonts w:ascii="Palatino Linotype" w:hAnsi="Palatino Linotype"/>
                            <w:color w:val="231F20"/>
                            <w:w w:val="111"/>
                            <w:sz w:val="10"/>
                          </w:rPr>
                          <w:t> </w:t>
                        </w:r>
                        <w:r>
                          <w:rPr>
                            <w:rFonts w:ascii="Palatino Linotype" w:hAnsi="Palatino Linotype"/>
                            <w:color w:val="231F20"/>
                            <w:w w:val="115"/>
                            <w:sz w:val="10"/>
                          </w:rPr>
                          <w:t>o</w:t>
                        </w:r>
                        <w:r>
                          <w:rPr>
                            <w:rFonts w:ascii="Palatino Linotype" w:hAnsi="Palatino Linotype"/>
                            <w:color w:val="231F20"/>
                            <w:spacing w:val="-6"/>
                            <w:w w:val="115"/>
                            <w:sz w:val="10"/>
                          </w:rPr>
                          <w:t> </w:t>
                        </w:r>
                        <w:r>
                          <w:rPr>
                            <w:rFonts w:ascii="Palatino Linotype" w:hAnsi="Palatino Linotype"/>
                            <w:color w:val="231F20"/>
                            <w:w w:val="115"/>
                            <w:sz w:val="10"/>
                          </w:rPr>
                          <w:t>sintético</w:t>
                        </w:r>
                      </w:p>
                    </w:tc>
                    <w:tc>
                      <w:tcPr>
                        <w:tcW w:w="220" w:type="dxa"/>
                        <w:vMerge/>
                        <w:tcBorders>
                          <w:left w:val="single" w:sz="4" w:space="0" w:color="231F20"/>
                          <w:bottom w:val="single" w:sz="4" w:space="0" w:color="939598"/>
                          <w:right w:val="single" w:sz="5" w:space="0" w:color="939598"/>
                        </w:tcBorders>
                      </w:tcPr>
                      <w:p>
                        <w:pPr/>
                      </w:p>
                    </w:tc>
                  </w:tr>
                  <w:tr>
                    <w:trPr>
                      <w:trHeight w:val="329" w:hRule="exact"/>
                    </w:trPr>
                    <w:tc>
                      <w:tcPr>
                        <w:tcW w:w="1255" w:type="dxa"/>
                        <w:vMerge/>
                        <w:tcBorders>
                          <w:left w:val="single" w:sz="4" w:space="0" w:color="231F20"/>
                          <w:bottom w:val="single" w:sz="4" w:space="0" w:color="231F20"/>
                          <w:right w:val="single" w:sz="4" w:space="0" w:color="231F20"/>
                        </w:tcBorders>
                        <w:shd w:val="clear" w:color="auto" w:fill="DCDDDE"/>
                      </w:tcPr>
                      <w:p>
                        <w:pPr/>
                      </w:p>
                    </w:tc>
                    <w:tc>
                      <w:tcPr>
                        <w:tcW w:w="220" w:type="dxa"/>
                        <w:tcBorders>
                          <w:top w:val="single" w:sz="4" w:space="0" w:color="939598"/>
                          <w:left w:val="single" w:sz="4"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26"/>
                          <w:ind w:left="417" w:right="427"/>
                          <w:rPr>
                            <w:rFonts w:ascii="Palatino Linotype"/>
                            <w:sz w:val="10"/>
                          </w:rPr>
                        </w:pPr>
                        <w:r>
                          <w:rPr>
                            <w:rFonts w:ascii="Palatino Linotype"/>
                            <w:color w:val="231F20"/>
                            <w:w w:val="120"/>
                            <w:sz w:val="10"/>
                          </w:rPr>
                          <w:t>351231</w:t>
                        </w:r>
                      </w:p>
                    </w:tc>
                    <w:tc>
                      <w:tcPr>
                        <w:tcW w:w="220" w:type="dxa"/>
                        <w:vMerge w:val="restart"/>
                        <w:tcBorders>
                          <w:left w:val="single" w:sz="3" w:space="0" w:color="231F20"/>
                          <w:right w:val="single" w:sz="5" w:space="0" w:color="939598"/>
                        </w:tcBorders>
                      </w:tcPr>
                      <w:p>
                        <w:pPr/>
                      </w:p>
                    </w:tc>
                  </w:tr>
                  <w:tr>
                    <w:trPr>
                      <w:trHeight w:val="63"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before="14"/>
                          <w:ind w:left="74"/>
                          <w:jc w:val="left"/>
                          <w:rPr>
                            <w:rFonts w:ascii="Palatino Linotype" w:hAnsi="Palatino Linotype"/>
                            <w:sz w:val="10"/>
                          </w:rPr>
                        </w:pPr>
                        <w:r>
                          <w:rPr>
                            <w:rFonts w:ascii="Palatino Linotype" w:hAnsi="Palatino Linotype"/>
                            <w:color w:val="231F20"/>
                            <w:w w:val="110"/>
                            <w:sz w:val="10"/>
                          </w:rPr>
                          <w:t>Fabricación de resinas</w:t>
                        </w:r>
                      </w:p>
                    </w:tc>
                    <w:tc>
                      <w:tcPr>
                        <w:tcW w:w="220" w:type="dxa"/>
                        <w:vMerge/>
                        <w:tcBorders>
                          <w:left w:val="single" w:sz="3" w:space="0" w:color="231F20"/>
                          <w:bottom w:val="single" w:sz="4" w:space="0" w:color="939598"/>
                          <w:right w:val="single" w:sz="5" w:space="0" w:color="939598"/>
                        </w:tcBorders>
                      </w:tcPr>
                      <w:p>
                        <w:pPr/>
                      </w:p>
                    </w:tc>
                  </w:tr>
                  <w:tr>
                    <w:trPr>
                      <w:trHeight w:val="112"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4" w:space="0" w:color="231F20"/>
                          <w:right w:val="single" w:sz="3" w:space="0" w:color="231F20"/>
                        </w:tcBorders>
                        <w:shd w:val="clear" w:color="auto" w:fill="F1F2F2"/>
                      </w:tcPr>
                      <w:p>
                        <w:pPr>
                          <w:pStyle w:val="TableParagraph"/>
                          <w:spacing w:before="24"/>
                          <w:ind w:left="417" w:right="427"/>
                          <w:rPr>
                            <w:rFonts w:ascii="Palatino Linotype"/>
                            <w:sz w:val="10"/>
                          </w:rPr>
                        </w:pPr>
                        <w:r>
                          <w:rPr>
                            <w:rFonts w:ascii="Palatino Linotype"/>
                            <w:color w:val="231F20"/>
                            <w:w w:val="120"/>
                            <w:sz w:val="10"/>
                          </w:rPr>
                          <w:t>331102</w:t>
                        </w:r>
                      </w:p>
                    </w:tc>
                    <w:tc>
                      <w:tcPr>
                        <w:tcW w:w="220" w:type="dxa"/>
                        <w:vMerge w:val="restart"/>
                        <w:tcBorders>
                          <w:left w:val="single" w:sz="4" w:space="0" w:color="231F20"/>
                          <w:right w:val="single" w:sz="5" w:space="0" w:color="939598"/>
                        </w:tcBorders>
                      </w:tcPr>
                      <w:p>
                        <w:pPr/>
                      </w:p>
                    </w:tc>
                  </w:tr>
                  <w:tr>
                    <w:trPr>
                      <w:trHeight w:val="191" w:hRule="exact"/>
                    </w:trPr>
                    <w:tc>
                      <w:tcPr>
                        <w:tcW w:w="1255" w:type="dxa"/>
                        <w:vMerge w:val="restart"/>
                        <w:tcBorders>
                          <w:top w:val="single" w:sz="4" w:space="0" w:color="231F20"/>
                          <w:left w:val="single" w:sz="4" w:space="0" w:color="231F20"/>
                          <w:right w:val="single" w:sz="4" w:space="0" w:color="231F20"/>
                        </w:tcBorders>
                        <w:shd w:val="clear" w:color="auto" w:fill="DCDDDE"/>
                      </w:tcPr>
                      <w:p>
                        <w:pPr>
                          <w:pStyle w:val="TableParagraph"/>
                          <w:spacing w:line="132" w:lineRule="exact" w:before="42"/>
                          <w:ind w:left="71" w:right="81"/>
                          <w:rPr>
                            <w:rFonts w:ascii="Palatino Linotype" w:hAnsi="Palatino Linotype"/>
                            <w:sz w:val="10"/>
                          </w:rPr>
                        </w:pPr>
                        <w:r>
                          <w:rPr>
                            <w:rFonts w:ascii="Palatino Linotype" w:hAnsi="Palatino Linotype"/>
                            <w:color w:val="231F20"/>
                            <w:w w:val="110"/>
                            <w:sz w:val="10"/>
                          </w:rPr>
                          <w:t>Fabricación de triplay, fibracel y tableros aglutinados</w:t>
                        </w:r>
                      </w:p>
                    </w:tc>
                    <w:tc>
                      <w:tcPr>
                        <w:tcW w:w="220" w:type="dxa"/>
                        <w:vMerge/>
                        <w:tcBorders>
                          <w:left w:val="single" w:sz="4" w:space="0" w:color="231F20"/>
                          <w:bottom w:val="single" w:sz="4" w:space="0" w:color="939598"/>
                          <w:right w:val="single" w:sz="5" w:space="0" w:color="939598"/>
                        </w:tcBorders>
                      </w:tcPr>
                      <w:p>
                        <w:pPr/>
                      </w:p>
                    </w:tc>
                  </w:tr>
                  <w:tr>
                    <w:trPr>
                      <w:trHeight w:val="329" w:hRule="exact"/>
                    </w:trPr>
                    <w:tc>
                      <w:tcPr>
                        <w:tcW w:w="1255" w:type="dxa"/>
                        <w:vMerge/>
                        <w:tcBorders>
                          <w:left w:val="single" w:sz="4" w:space="0" w:color="231F20"/>
                          <w:bottom w:val="single" w:sz="4" w:space="0" w:color="231F20"/>
                          <w:right w:val="single" w:sz="4" w:space="0" w:color="231F20"/>
                        </w:tcBorders>
                        <w:shd w:val="clear" w:color="auto" w:fill="DCDDDE"/>
                      </w:tcPr>
                      <w:p>
                        <w:pPr/>
                      </w:p>
                    </w:tc>
                    <w:tc>
                      <w:tcPr>
                        <w:tcW w:w="220" w:type="dxa"/>
                        <w:tcBorders>
                          <w:top w:val="single" w:sz="4" w:space="0" w:color="939598"/>
                          <w:left w:val="single" w:sz="4"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9"/>
                          <w:ind w:left="417" w:right="427"/>
                          <w:rPr>
                            <w:rFonts w:ascii="Palatino Linotype"/>
                            <w:sz w:val="10"/>
                          </w:rPr>
                        </w:pPr>
                        <w:r>
                          <w:rPr>
                            <w:rFonts w:ascii="Palatino Linotype"/>
                            <w:color w:val="231F20"/>
                            <w:w w:val="120"/>
                            <w:sz w:val="10"/>
                          </w:rPr>
                          <w:t>331206</w:t>
                        </w:r>
                      </w:p>
                    </w:tc>
                    <w:tc>
                      <w:tcPr>
                        <w:tcW w:w="220" w:type="dxa"/>
                        <w:vMerge w:val="restart"/>
                        <w:tcBorders>
                          <w:left w:val="single" w:sz="3" w:space="0" w:color="231F20"/>
                          <w:right w:val="single" w:sz="5" w:space="0" w:color="939598"/>
                        </w:tcBorders>
                      </w:tcPr>
                      <w:p>
                        <w:pPr/>
                      </w:p>
                    </w:tc>
                  </w:tr>
                  <w:tr>
                    <w:trPr>
                      <w:trHeight w:val="132"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21"/>
                          <w:ind w:left="110" w:right="76" w:firstLine="10"/>
                          <w:jc w:val="left"/>
                          <w:rPr>
                            <w:rFonts w:ascii="Palatino Linotype" w:hAnsi="Palatino Linotype"/>
                            <w:sz w:val="10"/>
                          </w:rPr>
                        </w:pPr>
                        <w:r>
                          <w:rPr>
                            <w:rFonts w:ascii="Palatino Linotype" w:hAnsi="Palatino Linotype"/>
                            <w:color w:val="231F20"/>
                            <w:w w:val="110"/>
                            <w:sz w:val="10"/>
                          </w:rPr>
                          <w:t>Fabricación de otros productos de madera</w:t>
                        </w:r>
                      </w:p>
                    </w:tc>
                    <w:tc>
                      <w:tcPr>
                        <w:tcW w:w="220" w:type="dxa"/>
                        <w:vMerge/>
                        <w:tcBorders>
                          <w:left w:val="single" w:sz="3" w:space="0" w:color="231F20"/>
                          <w:bottom w:val="single" w:sz="4" w:space="0" w:color="939598"/>
                          <w:right w:val="single" w:sz="5" w:space="0" w:color="939598"/>
                        </w:tcBorders>
                      </w:tcPr>
                      <w:p>
                        <w:pPr/>
                      </w:p>
                    </w:tc>
                  </w:tr>
                  <w:tr>
                    <w:trPr>
                      <w:trHeight w:val="215"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8"/>
                          <w:ind w:left="417" w:right="427"/>
                          <w:rPr>
                            <w:rFonts w:ascii="Palatino Linotype"/>
                            <w:sz w:val="10"/>
                          </w:rPr>
                        </w:pPr>
                        <w:r>
                          <w:rPr>
                            <w:rFonts w:ascii="Palatino Linotype"/>
                            <w:color w:val="231F20"/>
                            <w:w w:val="120"/>
                            <w:sz w:val="10"/>
                          </w:rPr>
                          <w:t>356002</w:t>
                        </w:r>
                      </w:p>
                    </w:tc>
                    <w:tc>
                      <w:tcPr>
                        <w:tcW w:w="220" w:type="dxa"/>
                        <w:vMerge w:val="restart"/>
                        <w:tcBorders>
                          <w:left w:val="single" w:sz="3" w:space="0" w:color="231F20"/>
                          <w:right w:val="single" w:sz="5" w:space="0" w:color="939598"/>
                        </w:tcBorders>
                      </w:tcPr>
                      <w:p>
                        <w:pPr/>
                      </w:p>
                    </w:tc>
                  </w:tr>
                  <w:tr>
                    <w:trPr>
                      <w:trHeight w:val="132"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31"/>
                          <w:ind w:left="92" w:right="56" w:hanging="48"/>
                          <w:jc w:val="left"/>
                          <w:rPr>
                            <w:rFonts w:ascii="Palatino Linotype" w:hAnsi="Palatino Linotype"/>
                            <w:sz w:val="10"/>
                          </w:rPr>
                        </w:pPr>
                        <w:r>
                          <w:rPr>
                            <w:rFonts w:ascii="Palatino Linotype" w:hAnsi="Palatino Linotype"/>
                            <w:color w:val="231F20"/>
                            <w:w w:val="110"/>
                            <w:sz w:val="10"/>
                          </w:rPr>
                          <w:t>Fabricación de perfiles, tuberías y conexiones</w:t>
                        </w:r>
                      </w:p>
                    </w:tc>
                    <w:tc>
                      <w:tcPr>
                        <w:tcW w:w="220" w:type="dxa"/>
                        <w:vMerge/>
                        <w:tcBorders>
                          <w:left w:val="single" w:sz="3" w:space="0" w:color="231F20"/>
                          <w:bottom w:val="single" w:sz="4" w:space="0" w:color="939598"/>
                          <w:right w:val="single" w:sz="5" w:space="0" w:color="939598"/>
                        </w:tcBorders>
                      </w:tcPr>
                      <w:p>
                        <w:pPr/>
                      </w:p>
                    </w:tc>
                  </w:tr>
                  <w:tr>
                    <w:trPr>
                      <w:trHeight w:val="215"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9"/>
                          <w:ind w:left="417" w:right="427"/>
                          <w:rPr>
                            <w:rFonts w:ascii="Palatino Linotype"/>
                            <w:sz w:val="10"/>
                          </w:rPr>
                        </w:pPr>
                        <w:r>
                          <w:rPr>
                            <w:rFonts w:ascii="Palatino Linotype"/>
                            <w:color w:val="231F20"/>
                            <w:w w:val="120"/>
                            <w:sz w:val="10"/>
                          </w:rPr>
                          <w:t>321216</w:t>
                        </w:r>
                      </w:p>
                    </w:tc>
                    <w:tc>
                      <w:tcPr>
                        <w:tcW w:w="220" w:type="dxa"/>
                        <w:vMerge w:val="restart"/>
                        <w:tcBorders>
                          <w:left w:val="single" w:sz="3" w:space="0" w:color="231F20"/>
                          <w:right w:val="single" w:sz="5" w:space="0" w:color="939598"/>
                        </w:tcBorders>
                      </w:tcPr>
                      <w:p>
                        <w:pPr/>
                      </w:p>
                    </w:tc>
                  </w:tr>
                  <w:tr>
                    <w:trPr>
                      <w:trHeight w:val="125"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26"/>
                          <w:ind w:left="353" w:right="50" w:hanging="287"/>
                          <w:jc w:val="left"/>
                          <w:rPr>
                            <w:rFonts w:ascii="Palatino Linotype" w:hAnsi="Palatino Linotype"/>
                            <w:sz w:val="10"/>
                          </w:rPr>
                        </w:pPr>
                        <w:r>
                          <w:rPr>
                            <w:rFonts w:ascii="Palatino Linotype" w:hAnsi="Palatino Linotype"/>
                            <w:color w:val="231F20"/>
                            <w:w w:val="110"/>
                            <w:sz w:val="10"/>
                          </w:rPr>
                          <w:t>Fabricación de textiles recubiertos</w:t>
                        </w:r>
                      </w:p>
                    </w:tc>
                    <w:tc>
                      <w:tcPr>
                        <w:tcW w:w="220" w:type="dxa"/>
                        <w:vMerge/>
                        <w:tcBorders>
                          <w:left w:val="single" w:sz="3" w:space="0" w:color="231F20"/>
                          <w:bottom w:val="single" w:sz="4" w:space="0" w:color="939598"/>
                          <w:right w:val="single" w:sz="5" w:space="0" w:color="939598"/>
                        </w:tcBorders>
                      </w:tcPr>
                      <w:p>
                        <w:pPr/>
                      </w:p>
                    </w:tc>
                  </w:tr>
                  <w:tr>
                    <w:trPr>
                      <w:trHeight w:val="222"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1"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2"/>
                          <w:ind w:left="417" w:right="427"/>
                          <w:rPr>
                            <w:rFonts w:ascii="Palatino Linotype"/>
                            <w:sz w:val="10"/>
                          </w:rPr>
                        </w:pPr>
                        <w:r>
                          <w:rPr>
                            <w:rFonts w:ascii="Palatino Linotype"/>
                            <w:color w:val="231F20"/>
                            <w:w w:val="120"/>
                            <w:sz w:val="10"/>
                          </w:rPr>
                          <w:t>321321</w:t>
                        </w:r>
                      </w:p>
                    </w:tc>
                    <w:tc>
                      <w:tcPr>
                        <w:tcW w:w="220" w:type="dxa"/>
                        <w:vMerge w:val="restart"/>
                        <w:tcBorders>
                          <w:left w:val="single" w:sz="3" w:space="0" w:color="231F20"/>
                          <w:right w:val="single" w:sz="5" w:space="0" w:color="939598"/>
                        </w:tcBorders>
                      </w:tcPr>
                      <w:p>
                        <w:pPr/>
                      </w:p>
                    </w:tc>
                  </w:tr>
                  <w:tr>
                    <w:trPr>
                      <w:trHeight w:val="124"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21"/>
                          <w:ind w:left="404" w:right="50" w:hanging="318"/>
                          <w:jc w:val="left"/>
                          <w:rPr>
                            <w:rFonts w:ascii="Palatino Linotype" w:hAnsi="Palatino Linotype"/>
                            <w:sz w:val="10"/>
                          </w:rPr>
                        </w:pPr>
                        <w:r>
                          <w:rPr>
                            <w:rFonts w:ascii="Palatino Linotype" w:hAnsi="Palatino Linotype"/>
                            <w:color w:val="231F20"/>
                            <w:w w:val="110"/>
                            <w:sz w:val="10"/>
                          </w:rPr>
                          <w:t>Confección de toldos, cubiertas</w:t>
                        </w:r>
                      </w:p>
                    </w:tc>
                    <w:tc>
                      <w:tcPr>
                        <w:tcW w:w="220" w:type="dxa"/>
                        <w:vMerge/>
                        <w:tcBorders>
                          <w:left w:val="single" w:sz="3" w:space="0" w:color="231F20"/>
                          <w:bottom w:val="single" w:sz="4" w:space="0" w:color="939598"/>
                          <w:right w:val="single" w:sz="5" w:space="0" w:color="939598"/>
                        </w:tcBorders>
                      </w:tcPr>
                      <w:p>
                        <w:pPr/>
                      </w:p>
                    </w:tc>
                  </w:tr>
                  <w:tr>
                    <w:trPr>
                      <w:trHeight w:val="223"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right w:val="single" w:sz="5" w:space="0" w:color="939598"/>
                        </w:tcBorders>
                      </w:tcPr>
                      <w:p>
                        <w:pPr/>
                      </w:p>
                    </w:tc>
                  </w:tr>
                  <w:tr>
                    <w:trPr>
                      <w:trHeight w:val="170" w:hRule="exact"/>
                    </w:trPr>
                    <w:tc>
                      <w:tcPr>
                        <w:tcW w:w="1475" w:type="dxa"/>
                        <w:gridSpan w:val="2"/>
                        <w:tcBorders>
                          <w:right w:val="single" w:sz="5" w:space="0" w:color="939598"/>
                        </w:tcBorders>
                      </w:tcPr>
                      <w:p>
                        <w:pPr/>
                      </w:p>
                    </w:tc>
                  </w:tr>
                  <w:tr>
                    <w:trPr>
                      <w:trHeight w:val="174" w:hRule="exact"/>
                    </w:trPr>
                    <w:tc>
                      <w:tcPr>
                        <w:tcW w:w="1255" w:type="dxa"/>
                        <w:tcBorders>
                          <w:top w:val="single" w:sz="3" w:space="0" w:color="231F20"/>
                          <w:left w:val="single" w:sz="3" w:space="0" w:color="231F20"/>
                          <w:bottom w:val="single" w:sz="3" w:space="0" w:color="231F20"/>
                          <w:right w:val="single" w:sz="3" w:space="0" w:color="231F20"/>
                        </w:tcBorders>
                        <w:shd w:val="clear" w:color="auto" w:fill="F1F2F2"/>
                      </w:tcPr>
                      <w:p>
                        <w:pPr>
                          <w:pStyle w:val="TableParagraph"/>
                          <w:spacing w:before="12"/>
                          <w:ind w:left="417" w:right="427"/>
                          <w:rPr>
                            <w:rFonts w:ascii="Palatino Linotype"/>
                            <w:sz w:val="10"/>
                          </w:rPr>
                        </w:pPr>
                        <w:r>
                          <w:rPr>
                            <w:rFonts w:ascii="Palatino Linotype"/>
                            <w:color w:val="231F20"/>
                            <w:w w:val="120"/>
                            <w:sz w:val="10"/>
                          </w:rPr>
                          <w:t>321332</w:t>
                        </w:r>
                      </w:p>
                    </w:tc>
                    <w:tc>
                      <w:tcPr>
                        <w:tcW w:w="220" w:type="dxa"/>
                        <w:vMerge w:val="restart"/>
                        <w:tcBorders>
                          <w:left w:val="single" w:sz="3" w:space="0" w:color="231F20"/>
                          <w:right w:val="single" w:sz="5" w:space="0" w:color="939598"/>
                        </w:tcBorders>
                      </w:tcPr>
                      <w:p>
                        <w:pPr/>
                      </w:p>
                    </w:tc>
                  </w:tr>
                  <w:tr>
                    <w:trPr>
                      <w:trHeight w:val="88" w:hRule="exact"/>
                    </w:trPr>
                    <w:tc>
                      <w:tcPr>
                        <w:tcW w:w="1255" w:type="dxa"/>
                        <w:vMerge w:val="restart"/>
                        <w:tcBorders>
                          <w:top w:val="single" w:sz="3" w:space="0" w:color="231F20"/>
                          <w:left w:val="single" w:sz="3" w:space="0" w:color="231F20"/>
                          <w:right w:val="single" w:sz="3" w:space="0" w:color="231F20"/>
                        </w:tcBorders>
                        <w:shd w:val="clear" w:color="auto" w:fill="DCDDDE"/>
                      </w:tcPr>
                      <w:p>
                        <w:pPr>
                          <w:pStyle w:val="TableParagraph"/>
                          <w:spacing w:line="132" w:lineRule="exact" w:before="3"/>
                          <w:ind w:left="74" w:hanging="10"/>
                          <w:jc w:val="left"/>
                          <w:rPr>
                            <w:rFonts w:ascii="Palatino Linotype" w:hAnsi="Palatino Linotype"/>
                            <w:sz w:val="10"/>
                          </w:rPr>
                        </w:pPr>
                        <w:r>
                          <w:rPr>
                            <w:rFonts w:ascii="Palatino Linotype" w:hAnsi="Palatino Linotype"/>
                            <w:color w:val="231F20"/>
                            <w:w w:val="110"/>
                            <w:sz w:val="10"/>
                          </w:rPr>
                          <w:t>Fabricación a máquina de alfombras y tapices</w:t>
                        </w:r>
                      </w:p>
                    </w:tc>
                    <w:tc>
                      <w:tcPr>
                        <w:tcW w:w="220" w:type="dxa"/>
                        <w:vMerge/>
                        <w:tcBorders>
                          <w:left w:val="single" w:sz="3" w:space="0" w:color="231F20"/>
                          <w:bottom w:val="single" w:sz="4" w:space="0" w:color="939598"/>
                          <w:right w:val="single" w:sz="5" w:space="0" w:color="939598"/>
                        </w:tcBorders>
                      </w:tcPr>
                      <w:p>
                        <w:pPr/>
                      </w:p>
                    </w:tc>
                  </w:tr>
                  <w:tr>
                    <w:trPr>
                      <w:trHeight w:val="259" w:hRule="exact"/>
                    </w:trPr>
                    <w:tc>
                      <w:tcPr>
                        <w:tcW w:w="1255" w:type="dxa"/>
                        <w:vMerge/>
                        <w:tcBorders>
                          <w:left w:val="single" w:sz="3" w:space="0" w:color="231F20"/>
                          <w:bottom w:val="single" w:sz="3" w:space="0" w:color="231F20"/>
                          <w:right w:val="single" w:sz="3" w:space="0" w:color="231F20"/>
                        </w:tcBorders>
                        <w:shd w:val="clear" w:color="auto" w:fill="DCDDDE"/>
                      </w:tcPr>
                      <w:p>
                        <w:pPr/>
                      </w:p>
                    </w:tc>
                    <w:tc>
                      <w:tcPr>
                        <w:tcW w:w="220" w:type="dxa"/>
                        <w:tcBorders>
                          <w:top w:val="single" w:sz="4" w:space="0" w:color="939598"/>
                          <w:left w:val="single" w:sz="3" w:space="0" w:color="231F20"/>
                        </w:tcBorders>
                      </w:tcPr>
                      <w:p>
                        <w:pPr/>
                      </w:p>
                    </w:tc>
                  </w:tr>
                </w:tbl>
                <w:p>
                  <w:pPr>
                    <w:pStyle w:val="BodyText"/>
                  </w:pPr>
                </w:p>
              </w:txbxContent>
            </v:textbox>
          </v:shape>
        </w:pict>
      </w:r>
      <w:r>
        <w:rPr>
          <w:rFonts w:ascii="Palatino Linotype"/>
          <w:sz w:val="20"/>
        </w:rPr>
      </w:r>
    </w:p>
    <w:p>
      <w:pPr>
        <w:pStyle w:val="BodyText"/>
        <w:spacing w:before="3"/>
        <w:rPr>
          <w:rFonts w:ascii="Palatino Linotype"/>
          <w:sz w:val="6"/>
        </w:rPr>
      </w:pPr>
    </w:p>
    <w:p>
      <w:pPr>
        <w:spacing w:before="41"/>
        <w:ind w:left="103" w:right="0" w:firstLine="0"/>
        <w:jc w:val="left"/>
        <w:rPr>
          <w:sz w:val="19"/>
        </w:rPr>
      </w:pPr>
      <w:r>
        <w:rPr>
          <w:rFonts w:ascii="Palatino Linotype" w:hAnsi="Palatino Linotype"/>
          <w:i/>
          <w:color w:val="231F20"/>
          <w:sz w:val="19"/>
        </w:rPr>
        <w:t>Fuente: </w:t>
      </w:r>
      <w:r>
        <w:rPr>
          <w:color w:val="231F20"/>
          <w:sz w:val="19"/>
        </w:rPr>
        <w:t>Secretaría de Economía (2009).</w:t>
      </w:r>
    </w:p>
    <w:p>
      <w:pPr>
        <w:spacing w:after="0"/>
        <w:jc w:val="left"/>
        <w:rPr>
          <w:sz w:val="19"/>
        </w:rPr>
        <w:sectPr>
          <w:headerReference w:type="default" r:id="rId399"/>
          <w:footerReference w:type="default" r:id="rId400"/>
          <w:pgSz w:w="13040" w:h="9640" w:orient="landscape"/>
          <w:pgMar w:header="0" w:footer="0" w:top="0" w:bottom="280" w:left="1200" w:right="1840"/>
        </w:sectPr>
      </w:pPr>
    </w:p>
    <w:p>
      <w:pPr>
        <w:pStyle w:val="BodyText"/>
        <w:rPr>
          <w:sz w:val="20"/>
        </w:rPr>
      </w:pPr>
    </w:p>
    <w:p>
      <w:pPr>
        <w:pStyle w:val="BodyText"/>
        <w:spacing w:before="5"/>
      </w:pPr>
    </w:p>
    <w:p>
      <w:pPr>
        <w:pStyle w:val="Heading4"/>
        <w:spacing w:before="35"/>
        <w:ind w:left="1522" w:right="933"/>
      </w:pPr>
      <w:r>
        <w:rPr>
          <w:color w:val="231F20"/>
          <w:w w:val="95"/>
        </w:rPr>
        <w:t>Anexo 2</w:t>
      </w:r>
    </w:p>
    <w:p>
      <w:pPr>
        <w:spacing w:line="282" w:lineRule="exact" w:before="0"/>
        <w:ind w:left="1522" w:right="933" w:firstLine="0"/>
        <w:jc w:val="center"/>
        <w:rPr>
          <w:rFonts w:ascii="Palatino Linotype" w:hAnsi="Palatino Linotype"/>
          <w:b/>
          <w:sz w:val="21"/>
        </w:rPr>
      </w:pPr>
      <w:r>
        <w:rPr>
          <w:rFonts w:ascii="Palatino Linotype" w:hAnsi="Palatino Linotype"/>
          <w:b/>
          <w:color w:val="231F20"/>
          <w:w w:val="90"/>
          <w:sz w:val="21"/>
        </w:rPr>
        <w:t>Empresas productoras de autopartes en el Estado de México</w:t>
      </w:r>
    </w:p>
    <w:p>
      <w:pPr>
        <w:pStyle w:val="BodyText"/>
        <w:spacing w:before="11" w:after="1"/>
        <w:rPr>
          <w:rFonts w:ascii="Palatino Linotype"/>
          <w:b/>
          <w:sz w:val="13"/>
        </w:rPr>
      </w:pPr>
    </w:p>
    <w:tbl>
      <w:tblPr>
        <w:tblW w:w="0" w:type="auto"/>
        <w:jc w:val="left"/>
        <w:tblInd w:w="7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623" w:hRule="exact"/>
        </w:trPr>
        <w:tc>
          <w:tcPr>
            <w:tcW w:w="340" w:type="dxa"/>
          </w:tcPr>
          <w:p>
            <w:pPr>
              <w:pStyle w:val="TableParagraph"/>
              <w:spacing w:before="8"/>
              <w:jc w:val="left"/>
              <w:rPr>
                <w:rFonts w:ascii="Palatino Linotype"/>
                <w:b/>
                <w:sz w:val="16"/>
              </w:rPr>
            </w:pPr>
          </w:p>
          <w:p>
            <w:pPr>
              <w:pStyle w:val="TableParagraph"/>
              <w:ind w:left="46" w:right="46"/>
              <w:rPr>
                <w:rFonts w:ascii="Palatino Linotype"/>
                <w:b/>
                <w:sz w:val="12"/>
              </w:rPr>
            </w:pPr>
            <w:r>
              <w:rPr>
                <w:rFonts w:ascii="Palatino Linotype"/>
                <w:b/>
                <w:color w:val="010202"/>
                <w:sz w:val="12"/>
              </w:rPr>
              <w:t>No.</w:t>
            </w:r>
          </w:p>
        </w:tc>
        <w:tc>
          <w:tcPr>
            <w:tcW w:w="794" w:type="dxa"/>
          </w:tcPr>
          <w:p>
            <w:pPr>
              <w:pStyle w:val="TableParagraph"/>
              <w:spacing w:before="8"/>
              <w:jc w:val="left"/>
              <w:rPr>
                <w:rFonts w:ascii="Palatino Linotype"/>
                <w:b/>
                <w:sz w:val="16"/>
              </w:rPr>
            </w:pPr>
          </w:p>
          <w:p>
            <w:pPr>
              <w:pStyle w:val="TableParagraph"/>
              <w:ind w:left="18" w:right="18"/>
              <w:rPr>
                <w:rFonts w:ascii="Palatino Linotype"/>
                <w:b/>
                <w:sz w:val="12"/>
              </w:rPr>
            </w:pPr>
            <w:r>
              <w:rPr>
                <w:rFonts w:ascii="Palatino Linotype"/>
                <w:b/>
                <w:color w:val="010202"/>
                <w:sz w:val="12"/>
              </w:rPr>
              <w:t>Municipio</w:t>
            </w:r>
          </w:p>
        </w:tc>
        <w:tc>
          <w:tcPr>
            <w:tcW w:w="2551" w:type="dxa"/>
          </w:tcPr>
          <w:p>
            <w:pPr>
              <w:pStyle w:val="TableParagraph"/>
              <w:spacing w:before="8"/>
              <w:jc w:val="left"/>
              <w:rPr>
                <w:rFonts w:ascii="Palatino Linotype"/>
                <w:b/>
                <w:sz w:val="16"/>
              </w:rPr>
            </w:pPr>
          </w:p>
          <w:p>
            <w:pPr>
              <w:pStyle w:val="TableParagraph"/>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8"/>
              <w:jc w:val="left"/>
              <w:rPr>
                <w:rFonts w:ascii="Palatino Linotype"/>
                <w:b/>
                <w:sz w:val="16"/>
              </w:rPr>
            </w:pPr>
          </w:p>
          <w:p>
            <w:pPr>
              <w:pStyle w:val="TableParagraph"/>
              <w:ind w:left="46" w:right="46"/>
              <w:rPr>
                <w:rFonts w:ascii="Palatino Linotype"/>
                <w:b/>
                <w:sz w:val="12"/>
              </w:rPr>
            </w:pPr>
            <w:r>
              <w:rPr>
                <w:rFonts w:ascii="Palatino Linotype"/>
                <w:b/>
                <w:color w:val="010202"/>
                <w:sz w:val="12"/>
              </w:rPr>
              <w:t>Tier</w:t>
            </w:r>
          </w:p>
        </w:tc>
        <w:tc>
          <w:tcPr>
            <w:tcW w:w="567" w:type="dxa"/>
          </w:tcPr>
          <w:p>
            <w:pPr>
              <w:pStyle w:val="TableParagraph"/>
              <w:spacing w:before="4"/>
              <w:jc w:val="left"/>
              <w:rPr>
                <w:rFonts w:ascii="Palatino Linotype"/>
                <w:b/>
                <w:sz w:val="8"/>
              </w:rPr>
            </w:pPr>
          </w:p>
          <w:p>
            <w:pPr>
              <w:pStyle w:val="TableParagraph"/>
              <w:spacing w:line="132" w:lineRule="exact"/>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8"/>
              <w:jc w:val="left"/>
              <w:rPr>
                <w:rFonts w:ascii="Palatino Linotype"/>
                <w:b/>
                <w:sz w:val="16"/>
              </w:rPr>
            </w:pPr>
          </w:p>
          <w:p>
            <w:pPr>
              <w:pStyle w:val="TableParagraph"/>
              <w:ind w:left="106" w:right="106"/>
              <w:rPr>
                <w:rFonts w:ascii="Palatino Linotype"/>
                <w:b/>
                <w:sz w:val="12"/>
              </w:rPr>
            </w:pPr>
            <w:r>
              <w:rPr>
                <w:rFonts w:ascii="Palatino Linotype"/>
                <w:b/>
                <w:color w:val="010202"/>
                <w:w w:val="90"/>
                <w:sz w:val="12"/>
              </w:rPr>
              <w:t>Principales productos</w:t>
            </w:r>
          </w:p>
        </w:tc>
      </w:tr>
      <w:tr>
        <w:trPr>
          <w:trHeight w:val="400" w:hRule="exact"/>
        </w:trPr>
        <w:tc>
          <w:tcPr>
            <w:tcW w:w="340" w:type="dxa"/>
          </w:tcPr>
          <w:p>
            <w:pPr>
              <w:pStyle w:val="TableParagraph"/>
              <w:spacing w:before="5"/>
              <w:jc w:val="left"/>
              <w:rPr>
                <w:rFonts w:ascii="Palatino Linotype"/>
                <w:b/>
                <w:sz w:val="9"/>
              </w:rPr>
            </w:pPr>
          </w:p>
          <w:p>
            <w:pPr>
              <w:pStyle w:val="TableParagraph"/>
              <w:rPr>
                <w:sz w:val="12"/>
              </w:rPr>
            </w:pPr>
            <w:r>
              <w:rPr>
                <w:color w:val="010202"/>
                <w:w w:val="96"/>
                <w:sz w:val="12"/>
              </w:rPr>
              <w:t>1</w:t>
            </w:r>
          </w:p>
        </w:tc>
        <w:tc>
          <w:tcPr>
            <w:tcW w:w="794" w:type="dxa"/>
          </w:tcPr>
          <w:p>
            <w:pPr>
              <w:pStyle w:val="TableParagraph"/>
              <w:spacing w:line="132" w:lineRule="exact" w:before="67"/>
              <w:ind w:left="170" w:hanging="65"/>
              <w:jc w:val="left"/>
              <w:rPr>
                <w:sz w:val="12"/>
              </w:rPr>
            </w:pPr>
            <w:r>
              <w:rPr>
                <w:color w:val="010202"/>
                <w:sz w:val="12"/>
              </w:rPr>
              <w:t>Atizapán de Zaragoza</w:t>
            </w:r>
          </w:p>
        </w:tc>
        <w:tc>
          <w:tcPr>
            <w:tcW w:w="2551" w:type="dxa"/>
          </w:tcPr>
          <w:p>
            <w:pPr>
              <w:pStyle w:val="TableParagraph"/>
              <w:spacing w:before="4"/>
              <w:jc w:val="left"/>
              <w:rPr>
                <w:rFonts w:ascii="Palatino Linotype"/>
                <w:b/>
                <w:sz w:val="8"/>
              </w:rPr>
            </w:pPr>
          </w:p>
          <w:p>
            <w:pPr>
              <w:pStyle w:val="TableParagraph"/>
              <w:rPr>
                <w:rFonts w:ascii="Palatino Linotype"/>
                <w:b/>
                <w:sz w:val="12"/>
              </w:rPr>
            </w:pPr>
            <w:r>
              <w:rPr>
                <w:rFonts w:ascii="Palatino Linotype"/>
                <w:b/>
                <w:color w:val="010202"/>
                <w:w w:val="95"/>
                <w:sz w:val="12"/>
              </w:rPr>
              <w:t>Comercializadora Cobralum, S.A. de C.V.</w:t>
            </w:r>
          </w:p>
        </w:tc>
        <w:tc>
          <w:tcPr>
            <w:tcW w:w="567" w:type="dxa"/>
          </w:tcPr>
          <w:p>
            <w:pPr>
              <w:pStyle w:val="TableParagraph"/>
              <w:spacing w:before="5"/>
              <w:jc w:val="left"/>
              <w:rPr>
                <w:rFonts w:ascii="Palatino Linotype"/>
                <w:b/>
                <w:sz w:val="9"/>
              </w:rPr>
            </w:pPr>
          </w:p>
          <w:p>
            <w:pPr>
              <w:pStyle w:val="TableParagraph"/>
              <w:ind w:left="46" w:right="46"/>
              <w:rPr>
                <w:sz w:val="12"/>
              </w:rPr>
            </w:pPr>
            <w:r>
              <w:rPr>
                <w:color w:val="010202"/>
                <w:sz w:val="12"/>
              </w:rPr>
              <w:t>1 y 2</w:t>
            </w:r>
          </w:p>
        </w:tc>
        <w:tc>
          <w:tcPr>
            <w:tcW w:w="567" w:type="dxa"/>
          </w:tcPr>
          <w:p>
            <w:pPr>
              <w:pStyle w:val="TableParagraph"/>
              <w:spacing w:before="5"/>
              <w:jc w:val="left"/>
              <w:rPr>
                <w:rFonts w:ascii="Palatino Linotype"/>
                <w:b/>
                <w:sz w:val="9"/>
              </w:rPr>
            </w:pPr>
          </w:p>
          <w:p>
            <w:pPr>
              <w:pStyle w:val="TableParagraph"/>
              <w:rPr>
                <w:sz w:val="12"/>
              </w:rPr>
            </w:pPr>
            <w:r>
              <w:rPr>
                <w:color w:val="010202"/>
                <w:w w:val="101"/>
                <w:sz w:val="12"/>
              </w:rPr>
              <w:t>P</w:t>
            </w:r>
          </w:p>
        </w:tc>
        <w:tc>
          <w:tcPr>
            <w:tcW w:w="2381" w:type="dxa"/>
          </w:tcPr>
          <w:p>
            <w:pPr>
              <w:pStyle w:val="TableParagraph"/>
              <w:spacing w:before="5"/>
              <w:jc w:val="left"/>
              <w:rPr>
                <w:rFonts w:ascii="Palatino Linotype"/>
                <w:b/>
                <w:sz w:val="9"/>
              </w:rPr>
            </w:pPr>
          </w:p>
          <w:p>
            <w:pPr>
              <w:pStyle w:val="TableParagraph"/>
              <w:ind w:left="106" w:right="106"/>
              <w:rPr>
                <w:sz w:val="12"/>
              </w:rPr>
            </w:pPr>
            <w:r>
              <w:rPr>
                <w:color w:val="010202"/>
                <w:sz w:val="12"/>
              </w:rPr>
              <w:t>Maquilador</w:t>
            </w:r>
          </w:p>
        </w:tc>
      </w:tr>
      <w:tr>
        <w:trPr>
          <w:trHeight w:val="620" w:hRule="exact"/>
        </w:trPr>
        <w:tc>
          <w:tcPr>
            <w:tcW w:w="340" w:type="dxa"/>
          </w:tcPr>
          <w:p>
            <w:pPr>
              <w:pStyle w:val="TableParagraph"/>
              <w:spacing w:before="7"/>
              <w:jc w:val="left"/>
              <w:rPr>
                <w:rFonts w:ascii="Palatino Linotype"/>
                <w:b/>
                <w:sz w:val="17"/>
              </w:rPr>
            </w:pPr>
          </w:p>
          <w:p>
            <w:pPr>
              <w:pStyle w:val="TableParagraph"/>
              <w:rPr>
                <w:sz w:val="12"/>
              </w:rPr>
            </w:pPr>
            <w:r>
              <w:rPr>
                <w:color w:val="010202"/>
                <w:w w:val="96"/>
                <w:sz w:val="12"/>
              </w:rPr>
              <w:t>2</w:t>
            </w:r>
          </w:p>
        </w:tc>
        <w:tc>
          <w:tcPr>
            <w:tcW w:w="794" w:type="dxa"/>
          </w:tcPr>
          <w:p>
            <w:pPr/>
          </w:p>
        </w:tc>
        <w:tc>
          <w:tcPr>
            <w:tcW w:w="2551" w:type="dxa"/>
          </w:tcPr>
          <w:p>
            <w:pPr>
              <w:pStyle w:val="TableParagraph"/>
              <w:spacing w:before="7"/>
              <w:jc w:val="left"/>
              <w:rPr>
                <w:rFonts w:ascii="Palatino Linotype"/>
                <w:b/>
                <w:sz w:val="16"/>
              </w:rPr>
            </w:pPr>
          </w:p>
          <w:p>
            <w:pPr>
              <w:pStyle w:val="TableParagraph"/>
              <w:rPr>
                <w:rFonts w:ascii="Palatino Linotype" w:hAnsi="Palatino Linotype"/>
                <w:b/>
                <w:sz w:val="12"/>
              </w:rPr>
            </w:pPr>
            <w:r>
              <w:rPr>
                <w:rFonts w:ascii="Palatino Linotype" w:hAnsi="Palatino Linotype"/>
                <w:b/>
                <w:color w:val="010202"/>
                <w:w w:val="95"/>
                <w:sz w:val="12"/>
              </w:rPr>
              <w:t>Corporación Cerrajera Alba, S.A. de C.V.</w:t>
            </w:r>
          </w:p>
        </w:tc>
        <w:tc>
          <w:tcPr>
            <w:tcW w:w="567" w:type="dxa"/>
          </w:tcPr>
          <w:p>
            <w:pPr>
              <w:pStyle w:val="TableParagraph"/>
              <w:spacing w:before="7"/>
              <w:jc w:val="left"/>
              <w:rPr>
                <w:rFonts w:ascii="Palatino Linotype"/>
                <w:b/>
                <w:sz w:val="17"/>
              </w:rPr>
            </w:pPr>
          </w:p>
          <w:p>
            <w:pPr>
              <w:pStyle w:val="TableParagraph"/>
              <w:rPr>
                <w:sz w:val="12"/>
              </w:rPr>
            </w:pPr>
            <w:r>
              <w:rPr>
                <w:color w:val="010202"/>
                <w:w w:val="96"/>
                <w:sz w:val="12"/>
              </w:rPr>
              <w:t>2</w:t>
            </w:r>
          </w:p>
        </w:tc>
        <w:tc>
          <w:tcPr>
            <w:tcW w:w="567" w:type="dxa"/>
          </w:tcPr>
          <w:p>
            <w:pPr>
              <w:pStyle w:val="TableParagraph"/>
              <w:spacing w:before="7"/>
              <w:jc w:val="left"/>
              <w:rPr>
                <w:rFonts w:ascii="Palatino Linotype"/>
                <w:b/>
                <w:sz w:val="17"/>
              </w:rPr>
            </w:pPr>
          </w:p>
          <w:p>
            <w:pPr>
              <w:pStyle w:val="TableParagraph"/>
              <w:rPr>
                <w:sz w:val="12"/>
              </w:rPr>
            </w:pPr>
            <w:r>
              <w:rPr>
                <w:color w:val="010202"/>
                <w:w w:val="100"/>
                <w:sz w:val="12"/>
              </w:rPr>
              <w:t>M</w:t>
            </w:r>
          </w:p>
        </w:tc>
        <w:tc>
          <w:tcPr>
            <w:tcW w:w="2381" w:type="dxa"/>
          </w:tcPr>
          <w:p>
            <w:pPr>
              <w:pStyle w:val="TableParagraph"/>
              <w:spacing w:before="3"/>
              <w:jc w:val="left"/>
              <w:rPr>
                <w:rFonts w:ascii="Palatino Linotype"/>
                <w:b/>
                <w:sz w:val="8"/>
              </w:rPr>
            </w:pPr>
          </w:p>
          <w:p>
            <w:pPr>
              <w:pStyle w:val="TableParagraph"/>
              <w:spacing w:line="132" w:lineRule="exact"/>
              <w:ind w:left="106" w:right="104"/>
              <w:rPr>
                <w:sz w:val="12"/>
              </w:rPr>
            </w:pPr>
            <w:r>
              <w:rPr>
                <w:color w:val="010202"/>
                <w:sz w:val="12"/>
              </w:rPr>
              <w:t>Producción y comercialización de todo tipo de cerraduras mecánicas, mecatrónicas y electrónicas, así como controles de acceso</w:t>
            </w:r>
          </w:p>
        </w:tc>
      </w:tr>
      <w:tr>
        <w:trPr>
          <w:trHeight w:val="340" w:hRule="exact"/>
        </w:trPr>
        <w:tc>
          <w:tcPr>
            <w:tcW w:w="340" w:type="dxa"/>
          </w:tcPr>
          <w:p>
            <w:pPr>
              <w:pStyle w:val="TableParagraph"/>
              <w:spacing w:before="96"/>
              <w:rPr>
                <w:sz w:val="12"/>
              </w:rPr>
            </w:pPr>
            <w:r>
              <w:rPr>
                <w:color w:val="010202"/>
                <w:w w:val="96"/>
                <w:sz w:val="12"/>
              </w:rPr>
              <w:t>3</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Dinámica Automotriz de México,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Sistema de frenos de módulos y sensores</w:t>
            </w:r>
          </w:p>
        </w:tc>
      </w:tr>
      <w:tr>
        <w:trPr>
          <w:trHeight w:val="340" w:hRule="exact"/>
        </w:trPr>
        <w:tc>
          <w:tcPr>
            <w:tcW w:w="340" w:type="dxa"/>
          </w:tcPr>
          <w:p>
            <w:pPr>
              <w:pStyle w:val="TableParagraph"/>
              <w:spacing w:before="96"/>
              <w:rPr>
                <w:sz w:val="12"/>
              </w:rPr>
            </w:pPr>
            <w:r>
              <w:rPr>
                <w:color w:val="010202"/>
                <w:w w:val="96"/>
                <w:sz w:val="12"/>
              </w:rPr>
              <w:t>4</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Fundidora Alfa, S.A.</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Bombas mecánicas</w:t>
            </w:r>
          </w:p>
        </w:tc>
      </w:tr>
      <w:tr>
        <w:trPr>
          <w:trHeight w:val="340" w:hRule="exact"/>
        </w:trPr>
        <w:tc>
          <w:tcPr>
            <w:tcW w:w="340" w:type="dxa"/>
          </w:tcPr>
          <w:p>
            <w:pPr>
              <w:pStyle w:val="TableParagraph"/>
              <w:spacing w:before="97"/>
              <w:rPr>
                <w:sz w:val="12"/>
              </w:rPr>
            </w:pPr>
            <w:r>
              <w:rPr>
                <w:color w:val="010202"/>
                <w:w w:val="96"/>
                <w:sz w:val="12"/>
              </w:rPr>
              <w:t>5</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231F20"/>
                <w:w w:val="95"/>
                <w:sz w:val="12"/>
              </w:rPr>
              <w:t>Motores Mc Millán,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Motores eléctricos</w:t>
            </w:r>
          </w:p>
        </w:tc>
      </w:tr>
      <w:tr>
        <w:trPr>
          <w:trHeight w:val="340" w:hRule="exact"/>
        </w:trPr>
        <w:tc>
          <w:tcPr>
            <w:tcW w:w="340" w:type="dxa"/>
          </w:tcPr>
          <w:p>
            <w:pPr>
              <w:pStyle w:val="TableParagraph"/>
              <w:spacing w:before="97"/>
              <w:rPr>
                <w:sz w:val="12"/>
              </w:rPr>
            </w:pPr>
            <w:r>
              <w:rPr>
                <w:color w:val="010202"/>
                <w:w w:val="96"/>
                <w:sz w:val="12"/>
              </w:rPr>
              <w:t>6</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Polímeros del Uretano,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Sellos de poliuretano</w:t>
            </w:r>
          </w:p>
        </w:tc>
      </w:tr>
      <w:tr>
        <w:trPr>
          <w:trHeight w:val="340" w:hRule="exact"/>
        </w:trPr>
        <w:tc>
          <w:tcPr>
            <w:tcW w:w="340" w:type="dxa"/>
          </w:tcPr>
          <w:p>
            <w:pPr>
              <w:pStyle w:val="TableParagraph"/>
              <w:spacing w:before="97"/>
              <w:rPr>
                <w:sz w:val="12"/>
              </w:rPr>
            </w:pPr>
            <w:r>
              <w:rPr>
                <w:color w:val="010202"/>
                <w:w w:val="96"/>
                <w:sz w:val="12"/>
              </w:rPr>
              <w:t>7</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Rodamientos Samper S.A. de C.V.</w:t>
            </w:r>
          </w:p>
        </w:tc>
        <w:tc>
          <w:tcPr>
            <w:tcW w:w="567" w:type="dxa"/>
          </w:tcPr>
          <w:p>
            <w:pPr>
              <w:pStyle w:val="TableParagraph"/>
              <w:spacing w:before="97"/>
              <w:ind w:left="46" w:right="46"/>
              <w:rPr>
                <w:sz w:val="12"/>
              </w:rPr>
            </w:pPr>
            <w:r>
              <w:rPr>
                <w:color w:val="010202"/>
                <w:sz w:val="12"/>
              </w:rPr>
              <w:t>1, 2 y 3</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Rodamientos</w:t>
            </w:r>
          </w:p>
        </w:tc>
      </w:tr>
      <w:tr>
        <w:trPr>
          <w:trHeight w:val="340" w:hRule="exact"/>
        </w:trPr>
        <w:tc>
          <w:tcPr>
            <w:tcW w:w="340" w:type="dxa"/>
          </w:tcPr>
          <w:p>
            <w:pPr>
              <w:pStyle w:val="TableParagraph"/>
              <w:spacing w:before="97"/>
              <w:rPr>
                <w:sz w:val="12"/>
              </w:rPr>
            </w:pPr>
            <w:r>
              <w:rPr>
                <w:color w:val="010202"/>
                <w:w w:val="96"/>
                <w:sz w:val="12"/>
              </w:rPr>
              <w:t>8</w:t>
            </w:r>
          </w:p>
        </w:tc>
        <w:tc>
          <w:tcPr>
            <w:tcW w:w="794" w:type="dxa"/>
          </w:tcPr>
          <w:p>
            <w:pPr>
              <w:pStyle w:val="TableParagraph"/>
              <w:spacing w:before="97"/>
              <w:ind w:left="18" w:right="18"/>
              <w:rPr>
                <w:sz w:val="12"/>
              </w:rPr>
            </w:pPr>
            <w:r>
              <w:rPr>
                <w:color w:val="010202"/>
                <w:sz w:val="12"/>
              </w:rPr>
              <w:t>Capulhuac</w:t>
            </w:r>
          </w:p>
        </w:tc>
        <w:tc>
          <w:tcPr>
            <w:tcW w:w="2551" w:type="dxa"/>
          </w:tcPr>
          <w:p>
            <w:pPr>
              <w:pStyle w:val="TableParagraph"/>
              <w:spacing w:before="83"/>
              <w:rPr>
                <w:rFonts w:ascii="Palatino Linotype"/>
                <w:b/>
                <w:sz w:val="12"/>
              </w:rPr>
            </w:pPr>
            <w:r>
              <w:rPr>
                <w:rFonts w:ascii="Palatino Linotype"/>
                <w:b/>
                <w:color w:val="010202"/>
                <w:w w:val="95"/>
                <w:sz w:val="12"/>
              </w:rPr>
              <w:t>Autoasientos,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Asientos para vehículo-automóvil</w:t>
            </w:r>
          </w:p>
        </w:tc>
      </w:tr>
      <w:tr>
        <w:trPr>
          <w:trHeight w:val="340" w:hRule="exact"/>
        </w:trPr>
        <w:tc>
          <w:tcPr>
            <w:tcW w:w="340" w:type="dxa"/>
          </w:tcPr>
          <w:p>
            <w:pPr>
              <w:pStyle w:val="TableParagraph"/>
              <w:spacing w:before="97"/>
              <w:rPr>
                <w:sz w:val="12"/>
              </w:rPr>
            </w:pPr>
            <w:r>
              <w:rPr>
                <w:color w:val="010202"/>
                <w:w w:val="96"/>
                <w:sz w:val="12"/>
              </w:rPr>
              <w:t>9</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Confortseat,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99"/>
                <w:sz w:val="12"/>
              </w:rPr>
              <w:t>G</w:t>
            </w:r>
          </w:p>
        </w:tc>
        <w:tc>
          <w:tcPr>
            <w:tcW w:w="2381" w:type="dxa"/>
          </w:tcPr>
          <w:p>
            <w:pPr>
              <w:pStyle w:val="TableParagraph"/>
              <w:spacing w:before="97"/>
              <w:ind w:left="106" w:right="106"/>
              <w:rPr>
                <w:sz w:val="12"/>
              </w:rPr>
            </w:pPr>
            <w:r>
              <w:rPr>
                <w:color w:val="010202"/>
                <w:sz w:val="12"/>
              </w:rPr>
              <w:t>Asientos para vehículo-automóvil</w:t>
            </w:r>
          </w:p>
        </w:tc>
      </w:tr>
      <w:tr>
        <w:trPr>
          <w:trHeight w:val="340" w:hRule="exact"/>
        </w:trPr>
        <w:tc>
          <w:tcPr>
            <w:tcW w:w="340" w:type="dxa"/>
          </w:tcPr>
          <w:p>
            <w:pPr>
              <w:pStyle w:val="TableParagraph"/>
              <w:spacing w:before="97"/>
              <w:ind w:left="46" w:right="46"/>
              <w:rPr>
                <w:sz w:val="12"/>
              </w:rPr>
            </w:pPr>
            <w:r>
              <w:rPr>
                <w:color w:val="010202"/>
                <w:sz w:val="12"/>
              </w:rPr>
              <w:t>10</w:t>
            </w:r>
          </w:p>
        </w:tc>
        <w:tc>
          <w:tcPr>
            <w:tcW w:w="794" w:type="dxa"/>
          </w:tcPr>
          <w:p>
            <w:pPr>
              <w:pStyle w:val="TableParagraph"/>
              <w:spacing w:before="97"/>
              <w:ind w:left="18" w:right="18"/>
              <w:rPr>
                <w:sz w:val="12"/>
              </w:rPr>
            </w:pPr>
            <w:r>
              <w:rPr>
                <w:color w:val="010202"/>
                <w:sz w:val="12"/>
              </w:rPr>
              <w:t>Coacalco</w:t>
            </w: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FRUEHAUF de México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99"/>
                <w:sz w:val="12"/>
              </w:rPr>
              <w:t>G</w:t>
            </w:r>
          </w:p>
        </w:tc>
        <w:tc>
          <w:tcPr>
            <w:tcW w:w="2381" w:type="dxa"/>
          </w:tcPr>
          <w:p>
            <w:pPr>
              <w:pStyle w:val="TableParagraph"/>
              <w:spacing w:before="97"/>
              <w:ind w:left="106" w:right="106"/>
              <w:rPr>
                <w:sz w:val="12"/>
              </w:rPr>
            </w:pPr>
            <w:r>
              <w:rPr>
                <w:color w:val="010202"/>
                <w:sz w:val="12"/>
              </w:rPr>
              <w:t>Remolques</w:t>
            </w:r>
          </w:p>
        </w:tc>
      </w:tr>
      <w:tr>
        <w:trPr>
          <w:trHeight w:val="340" w:hRule="exact"/>
        </w:trPr>
        <w:tc>
          <w:tcPr>
            <w:tcW w:w="340" w:type="dxa"/>
          </w:tcPr>
          <w:p>
            <w:pPr>
              <w:pStyle w:val="TableParagraph"/>
              <w:spacing w:before="97"/>
              <w:ind w:left="46" w:right="46"/>
              <w:rPr>
                <w:sz w:val="12"/>
              </w:rPr>
            </w:pPr>
            <w:r>
              <w:rPr>
                <w:color w:val="010202"/>
                <w:sz w:val="12"/>
              </w:rPr>
              <w:t>11</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Central de Servicios HUNTER, S.A. DE C.V.</w:t>
            </w:r>
          </w:p>
        </w:tc>
        <w:tc>
          <w:tcPr>
            <w:tcW w:w="567" w:type="dxa"/>
          </w:tcPr>
          <w:p>
            <w:pPr>
              <w:pStyle w:val="TableParagraph"/>
              <w:spacing w:before="97"/>
              <w:rPr>
                <w:sz w:val="12"/>
              </w:rPr>
            </w:pPr>
            <w:r>
              <w:rPr>
                <w:color w:val="010202"/>
                <w:w w:val="96"/>
                <w:sz w:val="12"/>
              </w:rPr>
              <w:t>3</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Analizador de vibraciones de ruedas</w:t>
            </w:r>
          </w:p>
        </w:tc>
      </w:tr>
      <w:tr>
        <w:trPr>
          <w:trHeight w:val="340" w:hRule="exact"/>
        </w:trPr>
        <w:tc>
          <w:tcPr>
            <w:tcW w:w="340" w:type="dxa"/>
          </w:tcPr>
          <w:p>
            <w:pPr>
              <w:pStyle w:val="TableParagraph"/>
              <w:spacing w:before="97"/>
              <w:ind w:left="46" w:right="46"/>
              <w:rPr>
                <w:sz w:val="12"/>
              </w:rPr>
            </w:pPr>
            <w:r>
              <w:rPr>
                <w:color w:val="010202"/>
                <w:sz w:val="12"/>
              </w:rPr>
              <w:t>12</w:t>
            </w:r>
          </w:p>
        </w:tc>
        <w:tc>
          <w:tcPr>
            <w:tcW w:w="794" w:type="dxa"/>
          </w:tcPr>
          <w:p>
            <w:pPr>
              <w:pStyle w:val="TableParagraph"/>
              <w:spacing w:before="97"/>
              <w:ind w:left="18" w:right="18"/>
              <w:rPr>
                <w:sz w:val="12"/>
              </w:rPr>
            </w:pPr>
            <w:r>
              <w:rPr>
                <w:color w:val="010202"/>
                <w:w w:val="105"/>
                <w:sz w:val="12"/>
              </w:rPr>
              <w:t>Cuautitlán</w:t>
            </w:r>
          </w:p>
        </w:tc>
        <w:tc>
          <w:tcPr>
            <w:tcW w:w="2551" w:type="dxa"/>
          </w:tcPr>
          <w:p>
            <w:pPr>
              <w:pStyle w:val="TableParagraph"/>
              <w:spacing w:before="83"/>
              <w:rPr>
                <w:rFonts w:ascii="Palatino Linotype"/>
                <w:b/>
                <w:sz w:val="12"/>
              </w:rPr>
            </w:pPr>
            <w:r>
              <w:rPr>
                <w:rFonts w:ascii="Palatino Linotype"/>
                <w:b/>
                <w:color w:val="010202"/>
                <w:w w:val="90"/>
                <w:sz w:val="12"/>
              </w:rPr>
              <w:t>Aranvehe EMPI</w:t>
            </w:r>
          </w:p>
        </w:tc>
        <w:tc>
          <w:tcPr>
            <w:tcW w:w="567" w:type="dxa"/>
          </w:tcPr>
          <w:p>
            <w:pPr>
              <w:pStyle w:val="TableParagraph"/>
              <w:spacing w:before="97"/>
              <w:rPr>
                <w:sz w:val="12"/>
              </w:rPr>
            </w:pPr>
            <w:r>
              <w:rPr>
                <w:color w:val="010202"/>
                <w:w w:val="96"/>
                <w:sz w:val="12"/>
              </w:rPr>
              <w:t>3</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Accesorios automotrices</w:t>
            </w:r>
          </w:p>
        </w:tc>
      </w:tr>
      <w:tr>
        <w:trPr>
          <w:trHeight w:val="340" w:hRule="exact"/>
        </w:trPr>
        <w:tc>
          <w:tcPr>
            <w:tcW w:w="340" w:type="dxa"/>
          </w:tcPr>
          <w:p>
            <w:pPr>
              <w:pStyle w:val="TableParagraph"/>
              <w:spacing w:before="97"/>
              <w:ind w:left="46" w:right="46"/>
              <w:rPr>
                <w:sz w:val="12"/>
              </w:rPr>
            </w:pPr>
            <w:r>
              <w:rPr>
                <w:color w:val="010202"/>
                <w:sz w:val="12"/>
              </w:rPr>
              <w:t>13</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Dinámica Termoplástica, S.A. de C.V.</w:t>
            </w:r>
          </w:p>
        </w:tc>
        <w:tc>
          <w:tcPr>
            <w:tcW w:w="567" w:type="dxa"/>
          </w:tcPr>
          <w:p>
            <w:pPr>
              <w:pStyle w:val="TableParagraph"/>
              <w:spacing w:before="97"/>
              <w:ind w:left="46" w:right="46"/>
              <w:rPr>
                <w:sz w:val="12"/>
              </w:rPr>
            </w:pPr>
            <w:r>
              <w:rPr>
                <w:color w:val="010202"/>
                <w:sz w:val="12"/>
              </w:rPr>
              <w:t>1 y 2</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Cubrepolvos</w:t>
            </w:r>
          </w:p>
        </w:tc>
      </w:tr>
      <w:tr>
        <w:trPr>
          <w:trHeight w:val="340" w:hRule="exact"/>
        </w:trPr>
        <w:tc>
          <w:tcPr>
            <w:tcW w:w="340" w:type="dxa"/>
          </w:tcPr>
          <w:p>
            <w:pPr>
              <w:pStyle w:val="TableParagraph"/>
              <w:spacing w:before="97"/>
              <w:ind w:left="46" w:right="46"/>
              <w:rPr>
                <w:sz w:val="12"/>
              </w:rPr>
            </w:pPr>
            <w:r>
              <w:rPr>
                <w:color w:val="010202"/>
                <w:sz w:val="12"/>
              </w:rPr>
              <w:t>14</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Empi-Aranvehe,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Flechas de tracción delanteras</w:t>
            </w:r>
          </w:p>
        </w:tc>
      </w:tr>
      <w:tr>
        <w:trPr>
          <w:trHeight w:val="400" w:hRule="exact"/>
        </w:trPr>
        <w:tc>
          <w:tcPr>
            <w:tcW w:w="340" w:type="dxa"/>
          </w:tcPr>
          <w:p>
            <w:pPr>
              <w:pStyle w:val="TableParagraph"/>
              <w:spacing w:before="5"/>
              <w:jc w:val="left"/>
              <w:rPr>
                <w:rFonts w:ascii="Palatino Linotype"/>
                <w:b/>
                <w:sz w:val="9"/>
              </w:rPr>
            </w:pPr>
          </w:p>
          <w:p>
            <w:pPr>
              <w:pStyle w:val="TableParagraph"/>
              <w:ind w:left="46" w:right="46"/>
              <w:rPr>
                <w:sz w:val="12"/>
              </w:rPr>
            </w:pPr>
            <w:r>
              <w:rPr>
                <w:color w:val="010202"/>
                <w:sz w:val="12"/>
              </w:rPr>
              <w:t>15</w:t>
            </w:r>
          </w:p>
        </w:tc>
        <w:tc>
          <w:tcPr>
            <w:tcW w:w="794" w:type="dxa"/>
          </w:tcPr>
          <w:p>
            <w:pPr>
              <w:pStyle w:val="TableParagraph"/>
              <w:spacing w:line="132" w:lineRule="exact" w:before="67"/>
              <w:ind w:left="247" w:right="126" w:hanging="110"/>
              <w:jc w:val="left"/>
              <w:rPr>
                <w:sz w:val="12"/>
              </w:rPr>
            </w:pPr>
            <w:r>
              <w:rPr>
                <w:color w:val="010202"/>
                <w:sz w:val="12"/>
              </w:rPr>
              <w:t>Cuautitlán Izcalli</w:t>
            </w:r>
          </w:p>
        </w:tc>
        <w:tc>
          <w:tcPr>
            <w:tcW w:w="2551" w:type="dxa"/>
          </w:tcPr>
          <w:p>
            <w:pPr>
              <w:pStyle w:val="TableParagraph"/>
              <w:spacing w:before="5"/>
              <w:jc w:val="left"/>
              <w:rPr>
                <w:rFonts w:ascii="Palatino Linotype"/>
                <w:b/>
                <w:sz w:val="8"/>
              </w:rPr>
            </w:pPr>
          </w:p>
          <w:p>
            <w:pPr>
              <w:pStyle w:val="TableParagraph"/>
              <w:rPr>
                <w:rFonts w:ascii="Palatino Linotype"/>
                <w:b/>
                <w:sz w:val="12"/>
              </w:rPr>
            </w:pPr>
            <w:r>
              <w:rPr>
                <w:rFonts w:ascii="Palatino Linotype"/>
                <w:b/>
                <w:color w:val="010202"/>
                <w:w w:val="95"/>
                <w:sz w:val="12"/>
              </w:rPr>
              <w:t>Autoprecisa, S.A. de C.V. (Gpo. Spicer)</w:t>
            </w:r>
          </w:p>
        </w:tc>
        <w:tc>
          <w:tcPr>
            <w:tcW w:w="567" w:type="dxa"/>
          </w:tcPr>
          <w:p>
            <w:pPr/>
          </w:p>
        </w:tc>
        <w:tc>
          <w:tcPr>
            <w:tcW w:w="567" w:type="dxa"/>
          </w:tcPr>
          <w:p>
            <w:pPr/>
          </w:p>
        </w:tc>
        <w:tc>
          <w:tcPr>
            <w:tcW w:w="2381" w:type="dxa"/>
          </w:tcPr>
          <w:p>
            <w:pPr>
              <w:pStyle w:val="TableParagraph"/>
              <w:spacing w:before="5"/>
              <w:jc w:val="left"/>
              <w:rPr>
                <w:rFonts w:ascii="Palatino Linotype"/>
                <w:b/>
                <w:sz w:val="9"/>
              </w:rPr>
            </w:pPr>
          </w:p>
          <w:p>
            <w:pPr>
              <w:pStyle w:val="TableParagraph"/>
              <w:ind w:left="106" w:right="106"/>
              <w:rPr>
                <w:sz w:val="12"/>
              </w:rPr>
            </w:pPr>
            <w:r>
              <w:rPr>
                <w:color w:val="010202"/>
                <w:sz w:val="12"/>
              </w:rPr>
              <w:t>Anillos-gasolina, anillos-pistón a diésel.</w:t>
            </w:r>
          </w:p>
        </w:tc>
      </w:tr>
      <w:tr>
        <w:trPr>
          <w:trHeight w:val="280" w:hRule="exact"/>
        </w:trPr>
        <w:tc>
          <w:tcPr>
            <w:tcW w:w="340" w:type="dxa"/>
          </w:tcPr>
          <w:p>
            <w:pPr>
              <w:pStyle w:val="TableParagraph"/>
              <w:spacing w:before="67"/>
              <w:ind w:left="46" w:right="46"/>
              <w:rPr>
                <w:sz w:val="12"/>
              </w:rPr>
            </w:pPr>
            <w:r>
              <w:rPr>
                <w:color w:val="010202"/>
                <w:sz w:val="12"/>
              </w:rPr>
              <w:t>16</w:t>
            </w:r>
          </w:p>
        </w:tc>
        <w:tc>
          <w:tcPr>
            <w:tcW w:w="794" w:type="dxa"/>
          </w:tcPr>
          <w:p>
            <w:pPr/>
          </w:p>
        </w:tc>
        <w:tc>
          <w:tcPr>
            <w:tcW w:w="2551" w:type="dxa"/>
          </w:tcPr>
          <w:p>
            <w:pPr>
              <w:pStyle w:val="TableParagraph"/>
              <w:spacing w:before="53"/>
              <w:rPr>
                <w:rFonts w:ascii="Palatino Linotype" w:hAnsi="Palatino Linotype"/>
                <w:b/>
                <w:sz w:val="12"/>
              </w:rPr>
            </w:pPr>
            <w:r>
              <w:rPr>
                <w:rFonts w:ascii="Palatino Linotype" w:hAnsi="Palatino Linotype"/>
                <w:b/>
                <w:color w:val="010202"/>
                <w:w w:val="95"/>
                <w:sz w:val="12"/>
              </w:rPr>
              <w:t>Argos Eléctrica S.A. de C.V.</w:t>
            </w:r>
          </w:p>
        </w:tc>
        <w:tc>
          <w:tcPr>
            <w:tcW w:w="567" w:type="dxa"/>
          </w:tcPr>
          <w:p>
            <w:pPr>
              <w:pStyle w:val="TableParagraph"/>
              <w:spacing w:before="67"/>
              <w:ind w:left="46" w:right="46"/>
              <w:rPr>
                <w:sz w:val="12"/>
              </w:rPr>
            </w:pPr>
            <w:r>
              <w:rPr>
                <w:color w:val="010202"/>
                <w:sz w:val="12"/>
              </w:rPr>
              <w:t>1 y 2</w:t>
            </w:r>
          </w:p>
        </w:tc>
        <w:tc>
          <w:tcPr>
            <w:tcW w:w="567" w:type="dxa"/>
          </w:tcPr>
          <w:p>
            <w:pPr>
              <w:pStyle w:val="TableParagraph"/>
              <w:spacing w:before="67"/>
              <w:rPr>
                <w:sz w:val="12"/>
              </w:rPr>
            </w:pPr>
            <w:r>
              <w:rPr>
                <w:color w:val="010202"/>
                <w:w w:val="100"/>
                <w:sz w:val="12"/>
              </w:rPr>
              <w:t>M</w:t>
            </w:r>
          </w:p>
        </w:tc>
        <w:tc>
          <w:tcPr>
            <w:tcW w:w="2381" w:type="dxa"/>
          </w:tcPr>
          <w:p>
            <w:pPr>
              <w:pStyle w:val="TableParagraph"/>
              <w:spacing w:before="67"/>
              <w:ind w:left="106" w:right="106"/>
              <w:rPr>
                <w:sz w:val="12"/>
              </w:rPr>
            </w:pPr>
            <w:r>
              <w:rPr>
                <w:color w:val="010202"/>
                <w:sz w:val="12"/>
              </w:rPr>
              <w:t>Conducto automotriz</w:t>
            </w:r>
          </w:p>
        </w:tc>
      </w:tr>
      <w:tr>
        <w:trPr>
          <w:trHeight w:val="709" w:hRule="exact"/>
        </w:trPr>
        <w:tc>
          <w:tcPr>
            <w:tcW w:w="340" w:type="dxa"/>
          </w:tcPr>
          <w:p>
            <w:pPr>
              <w:pStyle w:val="TableParagraph"/>
              <w:jc w:val="left"/>
              <w:rPr>
                <w:rFonts w:ascii="Palatino Linotype"/>
                <w:b/>
                <w:sz w:val="12"/>
              </w:rPr>
            </w:pPr>
          </w:p>
          <w:p>
            <w:pPr>
              <w:pStyle w:val="TableParagraph"/>
              <w:spacing w:before="11"/>
              <w:jc w:val="left"/>
              <w:rPr>
                <w:rFonts w:ascii="Palatino Linotype"/>
                <w:b/>
                <w:sz w:val="8"/>
              </w:rPr>
            </w:pPr>
          </w:p>
          <w:p>
            <w:pPr>
              <w:pStyle w:val="TableParagraph"/>
              <w:ind w:left="46" w:right="46"/>
              <w:rPr>
                <w:sz w:val="12"/>
              </w:rPr>
            </w:pPr>
            <w:r>
              <w:rPr>
                <w:color w:val="010202"/>
                <w:sz w:val="12"/>
              </w:rPr>
              <w:t>17</w:t>
            </w:r>
          </w:p>
        </w:tc>
        <w:tc>
          <w:tcPr>
            <w:tcW w:w="794" w:type="dxa"/>
          </w:tcPr>
          <w:p>
            <w:pPr/>
          </w:p>
        </w:tc>
        <w:tc>
          <w:tcPr>
            <w:tcW w:w="2551" w:type="dxa"/>
          </w:tcPr>
          <w:p>
            <w:pPr>
              <w:pStyle w:val="TableParagraph"/>
              <w:jc w:val="left"/>
              <w:rPr>
                <w:rFonts w:ascii="Palatino Linotype"/>
                <w:b/>
                <w:sz w:val="12"/>
              </w:rPr>
            </w:pPr>
          </w:p>
          <w:p>
            <w:pPr>
              <w:pStyle w:val="TableParagraph"/>
              <w:spacing w:before="105"/>
              <w:rPr>
                <w:rFonts w:ascii="Palatino Linotype"/>
                <w:b/>
                <w:sz w:val="12"/>
              </w:rPr>
            </w:pPr>
            <w:r>
              <w:rPr>
                <w:rFonts w:ascii="Palatino Linotype"/>
                <w:b/>
                <w:color w:val="010202"/>
                <w:w w:val="95"/>
                <w:sz w:val="12"/>
              </w:rPr>
              <w:t>Ayareb, S.A. de C.V.</w:t>
            </w:r>
          </w:p>
        </w:tc>
        <w:tc>
          <w:tcPr>
            <w:tcW w:w="567" w:type="dxa"/>
          </w:tcPr>
          <w:p>
            <w:pPr/>
          </w:p>
        </w:tc>
        <w:tc>
          <w:tcPr>
            <w:tcW w:w="567" w:type="dxa"/>
          </w:tcPr>
          <w:p>
            <w:pPr/>
          </w:p>
        </w:tc>
        <w:tc>
          <w:tcPr>
            <w:tcW w:w="2381" w:type="dxa"/>
          </w:tcPr>
          <w:p>
            <w:pPr>
              <w:pStyle w:val="TableParagraph"/>
              <w:spacing w:before="7"/>
              <w:jc w:val="left"/>
              <w:rPr>
                <w:rFonts w:ascii="Palatino Linotype"/>
                <w:b/>
                <w:sz w:val="11"/>
              </w:rPr>
            </w:pPr>
          </w:p>
          <w:p>
            <w:pPr>
              <w:pStyle w:val="TableParagraph"/>
              <w:spacing w:line="132" w:lineRule="exact"/>
              <w:ind w:left="144" w:right="142" w:hanging="1"/>
              <w:rPr>
                <w:sz w:val="12"/>
              </w:rPr>
            </w:pPr>
            <w:r>
              <w:rPr>
                <w:color w:val="010202"/>
                <w:sz w:val="12"/>
              </w:rPr>
              <w:t>Partes de plástico con recubrimiento de pintura</w:t>
            </w:r>
            <w:r>
              <w:rPr>
                <w:color w:val="010202"/>
                <w:spacing w:val="-7"/>
                <w:sz w:val="12"/>
              </w:rPr>
              <w:t> </w:t>
            </w:r>
            <w:r>
              <w:rPr>
                <w:color w:val="010202"/>
                <w:sz w:val="12"/>
              </w:rPr>
              <w:t>o</w:t>
            </w:r>
            <w:r>
              <w:rPr>
                <w:color w:val="010202"/>
                <w:spacing w:val="-7"/>
                <w:sz w:val="12"/>
              </w:rPr>
              <w:t> </w:t>
            </w:r>
            <w:r>
              <w:rPr>
                <w:color w:val="010202"/>
                <w:sz w:val="12"/>
              </w:rPr>
              <w:t>valores</w:t>
            </w:r>
            <w:r>
              <w:rPr>
                <w:color w:val="010202"/>
                <w:spacing w:val="-7"/>
                <w:sz w:val="12"/>
              </w:rPr>
              <w:t> </w:t>
            </w:r>
            <w:r>
              <w:rPr>
                <w:color w:val="010202"/>
                <w:sz w:val="12"/>
              </w:rPr>
              <w:t>agregados,</w:t>
            </w:r>
            <w:r>
              <w:rPr>
                <w:color w:val="010202"/>
                <w:spacing w:val="-7"/>
                <w:sz w:val="12"/>
              </w:rPr>
              <w:t> </w:t>
            </w:r>
            <w:r>
              <w:rPr>
                <w:color w:val="010202"/>
                <w:sz w:val="12"/>
              </w:rPr>
              <w:t>como</w:t>
            </w:r>
            <w:r>
              <w:rPr>
                <w:color w:val="010202"/>
                <w:spacing w:val="-7"/>
                <w:sz w:val="12"/>
              </w:rPr>
              <w:t> </w:t>
            </w:r>
            <w:r>
              <w:rPr>
                <w:color w:val="010202"/>
                <w:sz w:val="12"/>
              </w:rPr>
              <w:t>tela,</w:t>
            </w:r>
            <w:r>
              <w:rPr>
                <w:color w:val="010202"/>
                <w:spacing w:val="-7"/>
                <w:sz w:val="12"/>
              </w:rPr>
              <w:t> </w:t>
            </w:r>
            <w:r>
              <w:rPr>
                <w:color w:val="010202"/>
                <w:sz w:val="12"/>
              </w:rPr>
              <w:t>etc., para la industria automotriz</w:t>
            </w:r>
            <w:r>
              <w:rPr>
                <w:color w:val="010202"/>
                <w:spacing w:val="14"/>
                <w:sz w:val="12"/>
              </w:rPr>
              <w:t> </w:t>
            </w:r>
            <w:r>
              <w:rPr>
                <w:color w:val="010202"/>
                <w:sz w:val="12"/>
              </w:rPr>
              <w:t>terminal</w:t>
            </w:r>
          </w:p>
        </w:tc>
      </w:tr>
      <w:tr>
        <w:trPr>
          <w:trHeight w:val="340" w:hRule="exact"/>
        </w:trPr>
        <w:tc>
          <w:tcPr>
            <w:tcW w:w="340" w:type="dxa"/>
          </w:tcPr>
          <w:p>
            <w:pPr>
              <w:pStyle w:val="TableParagraph"/>
              <w:spacing w:before="97"/>
              <w:ind w:left="46" w:right="46"/>
              <w:rPr>
                <w:sz w:val="12"/>
              </w:rPr>
            </w:pPr>
            <w:r>
              <w:rPr>
                <w:color w:val="010202"/>
                <w:sz w:val="12"/>
              </w:rPr>
              <w:t>18</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Birlos Automotrices Hércules S.A. de C.V. (D.F.)</w:t>
            </w:r>
          </w:p>
        </w:tc>
        <w:tc>
          <w:tcPr>
            <w:tcW w:w="567" w:type="dxa"/>
          </w:tcPr>
          <w:p>
            <w:pPr>
              <w:pStyle w:val="TableParagraph"/>
              <w:spacing w:before="97"/>
              <w:rPr>
                <w:sz w:val="12"/>
              </w:rPr>
            </w:pPr>
            <w:r>
              <w:rPr>
                <w:color w:val="010202"/>
                <w:w w:val="96"/>
                <w:sz w:val="12"/>
              </w:rPr>
              <w:t>2</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Tornillos de rueda</w:t>
            </w:r>
          </w:p>
        </w:tc>
      </w:tr>
      <w:tr>
        <w:trPr>
          <w:trHeight w:val="510" w:hRule="exact"/>
        </w:trPr>
        <w:tc>
          <w:tcPr>
            <w:tcW w:w="340" w:type="dxa"/>
          </w:tcPr>
          <w:p>
            <w:pPr>
              <w:pStyle w:val="TableParagraph"/>
              <w:spacing w:before="6"/>
              <w:jc w:val="left"/>
              <w:rPr>
                <w:rFonts w:ascii="Palatino Linotype"/>
                <w:b/>
                <w:sz w:val="13"/>
              </w:rPr>
            </w:pPr>
          </w:p>
          <w:p>
            <w:pPr>
              <w:pStyle w:val="TableParagraph"/>
              <w:ind w:left="46" w:right="46"/>
              <w:rPr>
                <w:sz w:val="12"/>
              </w:rPr>
            </w:pPr>
            <w:r>
              <w:rPr>
                <w:color w:val="010202"/>
                <w:sz w:val="12"/>
              </w:rPr>
              <w:t>19</w:t>
            </w:r>
          </w:p>
        </w:tc>
        <w:tc>
          <w:tcPr>
            <w:tcW w:w="794" w:type="dxa"/>
          </w:tcPr>
          <w:p>
            <w:pPr/>
          </w:p>
        </w:tc>
        <w:tc>
          <w:tcPr>
            <w:tcW w:w="2551" w:type="dxa"/>
          </w:tcPr>
          <w:p>
            <w:pPr>
              <w:pStyle w:val="TableParagraph"/>
              <w:spacing w:before="6"/>
              <w:jc w:val="left"/>
              <w:rPr>
                <w:rFonts w:ascii="Palatino Linotype"/>
                <w:b/>
                <w:sz w:val="12"/>
              </w:rPr>
            </w:pPr>
          </w:p>
          <w:p>
            <w:pPr>
              <w:pStyle w:val="TableParagraph"/>
              <w:rPr>
                <w:rFonts w:ascii="Palatino Linotype"/>
                <w:b/>
                <w:sz w:val="12"/>
              </w:rPr>
            </w:pPr>
            <w:r>
              <w:rPr>
                <w:rFonts w:ascii="Palatino Linotype"/>
                <w:b/>
                <w:color w:val="010202"/>
                <w:w w:val="95"/>
                <w:sz w:val="12"/>
              </w:rPr>
              <w:t>Comercializadora Moresa, S.A. de C.V.</w:t>
            </w:r>
          </w:p>
        </w:tc>
        <w:tc>
          <w:tcPr>
            <w:tcW w:w="567" w:type="dxa"/>
          </w:tcPr>
          <w:p>
            <w:pPr/>
          </w:p>
        </w:tc>
        <w:tc>
          <w:tcPr>
            <w:tcW w:w="567" w:type="dxa"/>
          </w:tcPr>
          <w:p>
            <w:pPr/>
          </w:p>
        </w:tc>
        <w:tc>
          <w:tcPr>
            <w:tcW w:w="2381" w:type="dxa"/>
          </w:tcPr>
          <w:p>
            <w:pPr>
              <w:pStyle w:val="TableParagraph"/>
              <w:spacing w:before="1"/>
              <w:jc w:val="left"/>
              <w:rPr>
                <w:rFonts w:ascii="Palatino Linotype"/>
                <w:b/>
                <w:sz w:val="9"/>
              </w:rPr>
            </w:pPr>
          </w:p>
          <w:p>
            <w:pPr>
              <w:pStyle w:val="TableParagraph"/>
              <w:spacing w:line="132" w:lineRule="exact"/>
              <w:ind w:left="487" w:right="-17" w:hanging="348"/>
              <w:jc w:val="left"/>
              <w:rPr>
                <w:sz w:val="12"/>
              </w:rPr>
            </w:pPr>
            <w:r>
              <w:rPr>
                <w:color w:val="010202"/>
                <w:sz w:val="12"/>
              </w:rPr>
              <w:t>Pistones, pernos, válvulas, punterías, bujías, flecha de velocidad constante</w:t>
            </w:r>
          </w:p>
        </w:tc>
      </w:tr>
      <w:tr>
        <w:trPr>
          <w:trHeight w:val="397" w:hRule="exact"/>
        </w:trPr>
        <w:tc>
          <w:tcPr>
            <w:tcW w:w="340" w:type="dxa"/>
          </w:tcPr>
          <w:p>
            <w:pPr>
              <w:pStyle w:val="TableParagraph"/>
              <w:spacing w:before="4"/>
              <w:jc w:val="left"/>
              <w:rPr>
                <w:rFonts w:ascii="Palatino Linotype"/>
                <w:b/>
                <w:sz w:val="9"/>
              </w:rPr>
            </w:pPr>
          </w:p>
          <w:p>
            <w:pPr>
              <w:pStyle w:val="TableParagraph"/>
              <w:ind w:left="46" w:right="46"/>
              <w:rPr>
                <w:sz w:val="12"/>
              </w:rPr>
            </w:pPr>
            <w:r>
              <w:rPr>
                <w:color w:val="010202"/>
                <w:sz w:val="12"/>
              </w:rPr>
              <w:t>20</w:t>
            </w:r>
          </w:p>
        </w:tc>
        <w:tc>
          <w:tcPr>
            <w:tcW w:w="794" w:type="dxa"/>
          </w:tcPr>
          <w:p>
            <w:pPr/>
          </w:p>
        </w:tc>
        <w:tc>
          <w:tcPr>
            <w:tcW w:w="2551" w:type="dxa"/>
          </w:tcPr>
          <w:p>
            <w:pPr>
              <w:pStyle w:val="TableParagraph"/>
              <w:spacing w:line="147" w:lineRule="exact" w:before="45"/>
              <w:rPr>
                <w:rFonts w:ascii="Palatino Linotype" w:hAnsi="Palatino Linotype"/>
                <w:b/>
                <w:sz w:val="12"/>
              </w:rPr>
            </w:pPr>
            <w:r>
              <w:rPr>
                <w:rFonts w:ascii="Palatino Linotype" w:hAnsi="Palatino Linotype"/>
                <w:b/>
                <w:color w:val="010202"/>
                <w:w w:val="95"/>
                <w:sz w:val="12"/>
              </w:rPr>
              <w:t>Componentes de precisión, S.A. de C.V. (Gpo.</w:t>
            </w:r>
          </w:p>
          <w:p>
            <w:pPr>
              <w:pStyle w:val="TableParagraph"/>
              <w:spacing w:line="147" w:lineRule="exact"/>
              <w:ind w:left="1"/>
              <w:rPr>
                <w:rFonts w:ascii="Palatino Linotype"/>
                <w:b/>
                <w:sz w:val="12"/>
              </w:rPr>
            </w:pPr>
            <w:r>
              <w:rPr>
                <w:rFonts w:ascii="Palatino Linotype"/>
                <w:b/>
                <w:color w:val="010202"/>
                <w:sz w:val="12"/>
              </w:rPr>
              <w:t>Unik)</w:t>
            </w:r>
          </w:p>
        </w:tc>
        <w:tc>
          <w:tcPr>
            <w:tcW w:w="567" w:type="dxa"/>
          </w:tcPr>
          <w:p>
            <w:pPr/>
          </w:p>
        </w:tc>
        <w:tc>
          <w:tcPr>
            <w:tcW w:w="567" w:type="dxa"/>
          </w:tcPr>
          <w:p>
            <w:pPr/>
          </w:p>
        </w:tc>
        <w:tc>
          <w:tcPr>
            <w:tcW w:w="2381" w:type="dxa"/>
          </w:tcPr>
          <w:p>
            <w:pPr>
              <w:pStyle w:val="TableParagraph"/>
              <w:spacing w:before="4"/>
              <w:jc w:val="left"/>
              <w:rPr>
                <w:rFonts w:ascii="Palatino Linotype"/>
                <w:b/>
                <w:sz w:val="9"/>
              </w:rPr>
            </w:pPr>
          </w:p>
          <w:p>
            <w:pPr>
              <w:pStyle w:val="TableParagraph"/>
              <w:ind w:left="106" w:right="106"/>
              <w:rPr>
                <w:sz w:val="12"/>
              </w:rPr>
            </w:pPr>
            <w:r>
              <w:rPr>
                <w:color w:val="010202"/>
                <w:sz w:val="12"/>
              </w:rPr>
              <w:t>Pernos para pistón diésel y gasolina</w:t>
            </w:r>
          </w:p>
        </w:tc>
      </w:tr>
      <w:tr>
        <w:trPr>
          <w:trHeight w:val="468" w:hRule="exact"/>
        </w:trPr>
        <w:tc>
          <w:tcPr>
            <w:tcW w:w="340" w:type="dxa"/>
          </w:tcPr>
          <w:p>
            <w:pPr>
              <w:pStyle w:val="TableParagraph"/>
              <w:spacing w:before="12"/>
              <w:jc w:val="left"/>
              <w:rPr>
                <w:rFonts w:ascii="Palatino Linotype"/>
                <w:b/>
                <w:sz w:val="11"/>
              </w:rPr>
            </w:pPr>
          </w:p>
          <w:p>
            <w:pPr>
              <w:pStyle w:val="TableParagraph"/>
              <w:ind w:left="46" w:right="46"/>
              <w:rPr>
                <w:sz w:val="12"/>
              </w:rPr>
            </w:pPr>
            <w:r>
              <w:rPr>
                <w:color w:val="010202"/>
                <w:sz w:val="12"/>
              </w:rPr>
              <w:t>21</w:t>
            </w:r>
          </w:p>
        </w:tc>
        <w:tc>
          <w:tcPr>
            <w:tcW w:w="794" w:type="dxa"/>
          </w:tcPr>
          <w:p>
            <w:pPr/>
          </w:p>
        </w:tc>
        <w:tc>
          <w:tcPr>
            <w:tcW w:w="2551" w:type="dxa"/>
          </w:tcPr>
          <w:p>
            <w:pPr>
              <w:pStyle w:val="TableParagraph"/>
              <w:spacing w:line="132" w:lineRule="exact" w:before="101"/>
              <w:ind w:left="1000" w:right="69" w:hanging="833"/>
              <w:jc w:val="left"/>
              <w:rPr>
                <w:rFonts w:ascii="Palatino Linotype" w:hAnsi="Palatino Linotype"/>
                <w:b/>
                <w:sz w:val="12"/>
              </w:rPr>
            </w:pPr>
            <w:r>
              <w:rPr>
                <w:rFonts w:ascii="Palatino Linotype" w:hAnsi="Palatino Linotype"/>
                <w:b/>
                <w:color w:val="010202"/>
                <w:w w:val="95"/>
                <w:sz w:val="12"/>
              </w:rPr>
              <w:t>Corte y estampación de México, S.A. de </w:t>
            </w:r>
            <w:r>
              <w:rPr>
                <w:rFonts w:ascii="Palatino Linotype" w:hAnsi="Palatino Linotype"/>
                <w:b/>
                <w:color w:val="010202"/>
                <w:spacing w:val="-5"/>
                <w:w w:val="95"/>
                <w:sz w:val="12"/>
              </w:rPr>
              <w:t>C.V. </w:t>
            </w:r>
            <w:r>
              <w:rPr>
                <w:rFonts w:ascii="Palatino Linotype" w:hAnsi="Palatino Linotype"/>
                <w:b/>
                <w:color w:val="010202"/>
                <w:sz w:val="12"/>
              </w:rPr>
              <w:t>(Coremex)</w:t>
            </w:r>
          </w:p>
        </w:tc>
        <w:tc>
          <w:tcPr>
            <w:tcW w:w="567" w:type="dxa"/>
          </w:tcPr>
          <w:p>
            <w:pPr/>
          </w:p>
        </w:tc>
        <w:tc>
          <w:tcPr>
            <w:tcW w:w="567" w:type="dxa"/>
          </w:tcPr>
          <w:p>
            <w:pPr/>
          </w:p>
        </w:tc>
        <w:tc>
          <w:tcPr>
            <w:tcW w:w="2381" w:type="dxa"/>
          </w:tcPr>
          <w:p>
            <w:pPr>
              <w:pStyle w:val="TableParagraph"/>
              <w:spacing w:line="132" w:lineRule="exact" w:before="101"/>
              <w:ind w:left="777" w:right="-17" w:hanging="687"/>
              <w:jc w:val="left"/>
              <w:rPr>
                <w:sz w:val="12"/>
              </w:rPr>
            </w:pPr>
            <w:r>
              <w:rPr>
                <w:color w:val="010202"/>
                <w:sz w:val="12"/>
              </w:rPr>
              <w:t>Fabricación de otras partes de accesorios para autos y camiones</w:t>
            </w:r>
          </w:p>
        </w:tc>
      </w:tr>
      <w:tr>
        <w:trPr>
          <w:trHeight w:val="803" w:hRule="exact"/>
        </w:trPr>
        <w:tc>
          <w:tcPr>
            <w:tcW w:w="340" w:type="dxa"/>
          </w:tcPr>
          <w:p>
            <w:pPr>
              <w:pStyle w:val="TableParagraph"/>
              <w:jc w:val="left"/>
              <w:rPr>
                <w:rFonts w:ascii="Palatino Linotype"/>
                <w:b/>
                <w:sz w:val="12"/>
              </w:rPr>
            </w:pPr>
          </w:p>
          <w:p>
            <w:pPr>
              <w:pStyle w:val="TableParagraph"/>
              <w:spacing w:before="4"/>
              <w:jc w:val="left"/>
              <w:rPr>
                <w:rFonts w:ascii="Palatino Linotype"/>
                <w:b/>
                <w:sz w:val="12"/>
              </w:rPr>
            </w:pPr>
          </w:p>
          <w:p>
            <w:pPr>
              <w:pStyle w:val="TableParagraph"/>
              <w:ind w:left="46" w:right="46"/>
              <w:rPr>
                <w:sz w:val="12"/>
              </w:rPr>
            </w:pPr>
            <w:r>
              <w:rPr>
                <w:color w:val="010202"/>
                <w:sz w:val="12"/>
              </w:rPr>
              <w:t>22</w:t>
            </w:r>
          </w:p>
        </w:tc>
        <w:tc>
          <w:tcPr>
            <w:tcW w:w="794" w:type="dxa"/>
          </w:tcPr>
          <w:p>
            <w:pPr/>
          </w:p>
        </w:tc>
        <w:tc>
          <w:tcPr>
            <w:tcW w:w="2551" w:type="dxa"/>
          </w:tcPr>
          <w:p>
            <w:pPr>
              <w:pStyle w:val="TableParagraph"/>
              <w:jc w:val="left"/>
              <w:rPr>
                <w:rFonts w:ascii="Palatino Linotype"/>
                <w:b/>
                <w:sz w:val="12"/>
              </w:rPr>
            </w:pPr>
          </w:p>
          <w:p>
            <w:pPr>
              <w:pStyle w:val="TableParagraph"/>
              <w:spacing w:line="132" w:lineRule="exact" w:before="107"/>
              <w:ind w:left="959" w:right="137" w:hanging="812"/>
              <w:jc w:val="left"/>
              <w:rPr>
                <w:rFonts w:ascii="Palatino Linotype" w:hAnsi="Palatino Linotype"/>
                <w:b/>
                <w:sz w:val="12"/>
              </w:rPr>
            </w:pPr>
            <w:r>
              <w:rPr>
                <w:rFonts w:ascii="Palatino Linotype" w:hAnsi="Palatino Linotype"/>
                <w:b/>
                <w:color w:val="010202"/>
                <w:w w:val="95"/>
                <w:sz w:val="12"/>
              </w:rPr>
              <w:t>Cristales</w:t>
            </w:r>
            <w:r>
              <w:rPr>
                <w:rFonts w:ascii="Palatino Linotype" w:hAnsi="Palatino Linotype"/>
                <w:b/>
                <w:color w:val="010202"/>
                <w:spacing w:val="-19"/>
                <w:w w:val="95"/>
                <w:sz w:val="12"/>
              </w:rPr>
              <w:t> </w:t>
            </w:r>
            <w:r>
              <w:rPr>
                <w:rFonts w:ascii="Palatino Linotype" w:hAnsi="Palatino Linotype"/>
                <w:b/>
                <w:color w:val="010202"/>
                <w:w w:val="95"/>
                <w:sz w:val="12"/>
              </w:rPr>
              <w:t>inastillables</w:t>
            </w:r>
            <w:r>
              <w:rPr>
                <w:rFonts w:ascii="Palatino Linotype" w:hAnsi="Palatino Linotype"/>
                <w:b/>
                <w:color w:val="010202"/>
                <w:spacing w:val="-19"/>
                <w:w w:val="95"/>
                <w:sz w:val="12"/>
              </w:rPr>
              <w:t> </w:t>
            </w:r>
            <w:r>
              <w:rPr>
                <w:rFonts w:ascii="Palatino Linotype" w:hAnsi="Palatino Linotype"/>
                <w:b/>
                <w:color w:val="010202"/>
                <w:w w:val="95"/>
                <w:sz w:val="12"/>
              </w:rPr>
              <w:t>de</w:t>
            </w:r>
            <w:r>
              <w:rPr>
                <w:rFonts w:ascii="Palatino Linotype" w:hAnsi="Palatino Linotype"/>
                <w:b/>
                <w:color w:val="010202"/>
                <w:spacing w:val="-19"/>
                <w:w w:val="95"/>
                <w:sz w:val="12"/>
              </w:rPr>
              <w:t> </w:t>
            </w:r>
            <w:r>
              <w:rPr>
                <w:rFonts w:ascii="Palatino Linotype" w:hAnsi="Palatino Linotype"/>
                <w:b/>
                <w:color w:val="010202"/>
                <w:w w:val="95"/>
                <w:sz w:val="12"/>
              </w:rPr>
              <w:t>México,</w:t>
            </w:r>
            <w:r>
              <w:rPr>
                <w:rFonts w:ascii="Palatino Linotype" w:hAnsi="Palatino Linotype"/>
                <w:b/>
                <w:color w:val="010202"/>
                <w:spacing w:val="-19"/>
                <w:w w:val="95"/>
                <w:sz w:val="12"/>
              </w:rPr>
              <w:t> </w:t>
            </w:r>
            <w:r>
              <w:rPr>
                <w:rFonts w:ascii="Palatino Linotype" w:hAnsi="Palatino Linotype"/>
                <w:b/>
                <w:color w:val="010202"/>
                <w:w w:val="95"/>
                <w:sz w:val="12"/>
              </w:rPr>
              <w:t>S.A.</w:t>
            </w:r>
            <w:r>
              <w:rPr>
                <w:rFonts w:ascii="Palatino Linotype" w:hAnsi="Palatino Linotype"/>
                <w:b/>
                <w:color w:val="010202"/>
                <w:spacing w:val="-19"/>
                <w:w w:val="95"/>
                <w:sz w:val="12"/>
              </w:rPr>
              <w:t> </w:t>
            </w:r>
            <w:r>
              <w:rPr>
                <w:rFonts w:ascii="Palatino Linotype" w:hAnsi="Palatino Linotype"/>
                <w:b/>
                <w:color w:val="010202"/>
                <w:w w:val="95"/>
                <w:sz w:val="12"/>
              </w:rPr>
              <w:t>de</w:t>
            </w:r>
            <w:r>
              <w:rPr>
                <w:rFonts w:ascii="Palatino Linotype" w:hAnsi="Palatino Linotype"/>
                <w:b/>
                <w:color w:val="010202"/>
                <w:spacing w:val="-19"/>
                <w:w w:val="95"/>
                <w:sz w:val="12"/>
              </w:rPr>
              <w:t> </w:t>
            </w:r>
            <w:r>
              <w:rPr>
                <w:rFonts w:ascii="Palatino Linotype" w:hAnsi="Palatino Linotype"/>
                <w:b/>
                <w:color w:val="010202"/>
                <w:spacing w:val="-5"/>
                <w:w w:val="95"/>
                <w:sz w:val="12"/>
              </w:rPr>
              <w:t>C.V. </w:t>
            </w:r>
            <w:r>
              <w:rPr>
                <w:rFonts w:ascii="Palatino Linotype" w:hAnsi="Palatino Linotype"/>
                <w:b/>
                <w:color w:val="010202"/>
                <w:w w:val="95"/>
                <w:sz w:val="12"/>
              </w:rPr>
              <w:t>(Gpo.</w:t>
            </w:r>
            <w:r>
              <w:rPr>
                <w:rFonts w:ascii="Palatino Linotype" w:hAnsi="Palatino Linotype"/>
                <w:b/>
                <w:color w:val="010202"/>
                <w:spacing w:val="-15"/>
                <w:w w:val="95"/>
                <w:sz w:val="12"/>
              </w:rPr>
              <w:t> </w:t>
            </w:r>
            <w:r>
              <w:rPr>
                <w:rFonts w:ascii="Palatino Linotype" w:hAnsi="Palatino Linotype"/>
                <w:b/>
                <w:color w:val="010202"/>
                <w:w w:val="95"/>
                <w:sz w:val="12"/>
              </w:rPr>
              <w:t>Vitro)</w:t>
            </w:r>
          </w:p>
        </w:tc>
        <w:tc>
          <w:tcPr>
            <w:tcW w:w="567" w:type="dxa"/>
          </w:tcPr>
          <w:p>
            <w:pPr/>
          </w:p>
        </w:tc>
        <w:tc>
          <w:tcPr>
            <w:tcW w:w="567" w:type="dxa"/>
          </w:tcPr>
          <w:p>
            <w:pPr/>
          </w:p>
        </w:tc>
        <w:tc>
          <w:tcPr>
            <w:tcW w:w="2381" w:type="dxa"/>
          </w:tcPr>
          <w:p>
            <w:pPr>
              <w:pStyle w:val="TableParagraph"/>
              <w:jc w:val="left"/>
              <w:rPr>
                <w:rFonts w:ascii="Palatino Linotype"/>
                <w:b/>
                <w:sz w:val="15"/>
              </w:rPr>
            </w:pPr>
          </w:p>
          <w:p>
            <w:pPr>
              <w:pStyle w:val="TableParagraph"/>
              <w:spacing w:line="132" w:lineRule="exact"/>
              <w:ind w:left="62" w:right="60"/>
              <w:rPr>
                <w:sz w:val="12"/>
              </w:rPr>
            </w:pPr>
            <w:r>
              <w:rPr>
                <w:color w:val="010202"/>
                <w:sz w:val="12"/>
              </w:rPr>
              <w:t>Cristal inastillable plano, parabrisas, cristales planos, cristal templado de seguridad para ind. aut., laterales, cristales puertas</w:t>
            </w:r>
          </w:p>
        </w:tc>
      </w:tr>
    </w:tbl>
    <w:p>
      <w:pPr>
        <w:spacing w:after="0" w:line="132" w:lineRule="exact"/>
        <w:rPr>
          <w:sz w:val="12"/>
        </w:rPr>
        <w:sectPr>
          <w:headerReference w:type="even" r:id="rId401"/>
          <w:headerReference w:type="default" r:id="rId402"/>
          <w:footerReference w:type="even" r:id="rId403"/>
          <w:footerReference w:type="default" r:id="rId404"/>
          <w:pgSz w:w="9640" w:h="13040"/>
          <w:pgMar w:header="581" w:footer="654" w:top="780" w:bottom="840" w:left="420" w:right="1180"/>
          <w:pgNumType w:start="156"/>
        </w:sectPr>
      </w:pPr>
    </w:p>
    <w:p>
      <w:pPr>
        <w:pStyle w:val="BodyText"/>
        <w:rPr>
          <w:sz w:val="20"/>
        </w:rPr>
      </w:pPr>
    </w:p>
    <w:p>
      <w:pPr>
        <w:pStyle w:val="BodyText"/>
        <w:rPr>
          <w:sz w:val="20"/>
        </w:rPr>
      </w:pPr>
    </w:p>
    <w:p>
      <w:pPr>
        <w:pStyle w:val="BodyText"/>
        <w:spacing w:before="5"/>
        <w:rPr>
          <w:sz w:val="10"/>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62" w:hRule="exact"/>
        </w:trPr>
        <w:tc>
          <w:tcPr>
            <w:tcW w:w="340" w:type="dxa"/>
          </w:tcPr>
          <w:p>
            <w:pPr>
              <w:pStyle w:val="TableParagraph"/>
              <w:spacing w:before="9"/>
              <w:jc w:val="left"/>
              <w:rPr>
                <w:sz w:val="16"/>
              </w:rPr>
            </w:pPr>
          </w:p>
          <w:p>
            <w:pPr>
              <w:pStyle w:val="TableParagraph"/>
              <w:ind w:left="76"/>
              <w:jc w:val="left"/>
              <w:rPr>
                <w:rFonts w:ascii="Palatino Linotype"/>
                <w:b/>
                <w:sz w:val="12"/>
              </w:rPr>
            </w:pPr>
            <w:r>
              <w:rPr>
                <w:rFonts w:ascii="Palatino Linotype"/>
                <w:b/>
                <w:color w:val="010202"/>
                <w:sz w:val="12"/>
              </w:rPr>
              <w:t>No.</w:t>
            </w:r>
          </w:p>
        </w:tc>
        <w:tc>
          <w:tcPr>
            <w:tcW w:w="794" w:type="dxa"/>
          </w:tcPr>
          <w:p>
            <w:pPr>
              <w:pStyle w:val="TableParagraph"/>
              <w:spacing w:before="9"/>
              <w:jc w:val="left"/>
              <w:rPr>
                <w:sz w:val="16"/>
              </w:rPr>
            </w:pPr>
          </w:p>
          <w:p>
            <w:pPr>
              <w:pStyle w:val="TableParagraph"/>
              <w:ind w:left="130"/>
              <w:jc w:val="left"/>
              <w:rPr>
                <w:rFonts w:ascii="Palatino Linotype"/>
                <w:b/>
                <w:sz w:val="12"/>
              </w:rPr>
            </w:pPr>
            <w:r>
              <w:rPr>
                <w:rFonts w:ascii="Palatino Linotype"/>
                <w:b/>
                <w:color w:val="010202"/>
                <w:sz w:val="12"/>
              </w:rPr>
              <w:t>Municipio</w:t>
            </w:r>
          </w:p>
        </w:tc>
        <w:tc>
          <w:tcPr>
            <w:tcW w:w="2551" w:type="dxa"/>
          </w:tcPr>
          <w:p>
            <w:pPr>
              <w:pStyle w:val="TableParagraph"/>
              <w:spacing w:before="9"/>
              <w:jc w:val="left"/>
              <w:rPr>
                <w:sz w:val="16"/>
              </w:rPr>
            </w:pPr>
          </w:p>
          <w:p>
            <w:pPr>
              <w:pStyle w:val="TableParagraph"/>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9"/>
              <w:jc w:val="left"/>
              <w:rPr>
                <w:sz w:val="16"/>
              </w:rPr>
            </w:pPr>
          </w:p>
          <w:p>
            <w:pPr>
              <w:pStyle w:val="TableParagraph"/>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82"/>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9"/>
              <w:jc w:val="left"/>
              <w:rPr>
                <w:sz w:val="16"/>
              </w:rPr>
            </w:pPr>
          </w:p>
          <w:p>
            <w:pPr>
              <w:pStyle w:val="TableParagraph"/>
              <w:ind w:left="106" w:right="106"/>
              <w:rPr>
                <w:rFonts w:ascii="Palatino Linotype"/>
                <w:b/>
                <w:sz w:val="12"/>
              </w:rPr>
            </w:pPr>
            <w:r>
              <w:rPr>
                <w:rFonts w:ascii="Palatino Linotype"/>
                <w:b/>
                <w:color w:val="010202"/>
                <w:w w:val="90"/>
                <w:sz w:val="12"/>
              </w:rPr>
              <w:t>Principales productos</w:t>
            </w:r>
          </w:p>
        </w:tc>
      </w:tr>
      <w:tr>
        <w:trPr>
          <w:trHeight w:val="340" w:hRule="exact"/>
        </w:trPr>
        <w:tc>
          <w:tcPr>
            <w:tcW w:w="340" w:type="dxa"/>
          </w:tcPr>
          <w:p>
            <w:pPr>
              <w:pStyle w:val="TableParagraph"/>
              <w:spacing w:before="96"/>
              <w:ind w:left="107"/>
              <w:jc w:val="left"/>
              <w:rPr>
                <w:sz w:val="12"/>
              </w:rPr>
            </w:pPr>
            <w:r>
              <w:rPr>
                <w:color w:val="010202"/>
                <w:sz w:val="12"/>
              </w:rPr>
              <w:t>23</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Decoplas, S.A de C.V. (Edo. de Méx.)</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35"/>
              <w:jc w:val="left"/>
              <w:rPr>
                <w:sz w:val="12"/>
              </w:rPr>
            </w:pPr>
            <w:r>
              <w:rPr>
                <w:color w:val="010202"/>
                <w:w w:val="99"/>
                <w:sz w:val="12"/>
              </w:rPr>
              <w:t>G</w:t>
            </w:r>
          </w:p>
        </w:tc>
        <w:tc>
          <w:tcPr>
            <w:tcW w:w="2381" w:type="dxa"/>
          </w:tcPr>
          <w:p>
            <w:pPr>
              <w:pStyle w:val="TableParagraph"/>
              <w:spacing w:before="96"/>
              <w:ind w:left="106" w:right="106"/>
              <w:rPr>
                <w:sz w:val="12"/>
              </w:rPr>
            </w:pPr>
            <w:r>
              <w:rPr>
                <w:color w:val="010202"/>
                <w:sz w:val="12"/>
              </w:rPr>
              <w:t>Fascia</w:t>
            </w:r>
          </w:p>
        </w:tc>
      </w:tr>
      <w:tr>
        <w:trPr>
          <w:trHeight w:val="340" w:hRule="exact"/>
        </w:trPr>
        <w:tc>
          <w:tcPr>
            <w:tcW w:w="340" w:type="dxa"/>
          </w:tcPr>
          <w:p>
            <w:pPr>
              <w:pStyle w:val="TableParagraph"/>
              <w:spacing w:before="96"/>
              <w:ind w:left="107"/>
              <w:jc w:val="left"/>
              <w:rPr>
                <w:sz w:val="12"/>
              </w:rPr>
            </w:pPr>
            <w:r>
              <w:rPr>
                <w:color w:val="010202"/>
                <w:sz w:val="12"/>
              </w:rPr>
              <w:t>24</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Foamex Innovations ( Cuautitlán)</w:t>
            </w:r>
          </w:p>
        </w:tc>
        <w:tc>
          <w:tcPr>
            <w:tcW w:w="567" w:type="dxa"/>
          </w:tcPr>
          <w:p>
            <w:pPr>
              <w:pStyle w:val="TableParagraph"/>
              <w:spacing w:before="96"/>
              <w:rPr>
                <w:sz w:val="12"/>
              </w:rPr>
            </w:pPr>
            <w:r>
              <w:rPr>
                <w:color w:val="010202"/>
                <w:w w:val="96"/>
                <w:sz w:val="12"/>
              </w:rPr>
              <w:t>3</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Espuma de poliuretano flexible</w:t>
            </w:r>
          </w:p>
        </w:tc>
      </w:tr>
      <w:tr>
        <w:trPr>
          <w:trHeight w:val="454" w:hRule="exact"/>
        </w:trPr>
        <w:tc>
          <w:tcPr>
            <w:tcW w:w="340" w:type="dxa"/>
          </w:tcPr>
          <w:p>
            <w:pPr>
              <w:pStyle w:val="TableParagraph"/>
              <w:spacing w:before="3"/>
              <w:jc w:val="left"/>
              <w:rPr>
                <w:sz w:val="13"/>
              </w:rPr>
            </w:pPr>
          </w:p>
          <w:p>
            <w:pPr>
              <w:pStyle w:val="TableParagraph"/>
              <w:spacing w:before="1"/>
              <w:ind w:left="107"/>
              <w:jc w:val="left"/>
              <w:rPr>
                <w:sz w:val="12"/>
              </w:rPr>
            </w:pPr>
            <w:r>
              <w:rPr>
                <w:color w:val="010202"/>
                <w:sz w:val="12"/>
              </w:rPr>
              <w:t>25</w:t>
            </w:r>
          </w:p>
        </w:tc>
        <w:tc>
          <w:tcPr>
            <w:tcW w:w="794" w:type="dxa"/>
          </w:tcPr>
          <w:p>
            <w:pPr/>
          </w:p>
        </w:tc>
        <w:tc>
          <w:tcPr>
            <w:tcW w:w="2551" w:type="dxa"/>
            <w:shd w:val="clear" w:color="auto" w:fill="BCBEC0"/>
          </w:tcPr>
          <w:p>
            <w:pPr>
              <w:pStyle w:val="TableParagraph"/>
              <w:spacing w:before="1"/>
              <w:jc w:val="left"/>
              <w:rPr>
                <w:sz w:val="12"/>
              </w:rPr>
            </w:pPr>
          </w:p>
          <w:p>
            <w:pPr>
              <w:pStyle w:val="TableParagraph"/>
              <w:rPr>
                <w:rFonts w:ascii="Palatino Linotype"/>
                <w:b/>
                <w:sz w:val="12"/>
              </w:rPr>
            </w:pPr>
            <w:r>
              <w:rPr>
                <w:rFonts w:ascii="Palatino Linotype"/>
                <w:b/>
                <w:color w:val="010202"/>
                <w:w w:val="95"/>
                <w:sz w:val="12"/>
              </w:rPr>
              <w:t>Ford Motor Company S.A. de C.V.</w:t>
            </w:r>
          </w:p>
        </w:tc>
        <w:tc>
          <w:tcPr>
            <w:tcW w:w="567" w:type="dxa"/>
          </w:tcPr>
          <w:p>
            <w:pPr/>
          </w:p>
        </w:tc>
        <w:tc>
          <w:tcPr>
            <w:tcW w:w="567" w:type="dxa"/>
          </w:tcPr>
          <w:p>
            <w:pPr/>
          </w:p>
        </w:tc>
        <w:tc>
          <w:tcPr>
            <w:tcW w:w="2381" w:type="dxa"/>
          </w:tcPr>
          <w:p>
            <w:pPr>
              <w:pStyle w:val="TableParagraph"/>
              <w:spacing w:line="132" w:lineRule="exact" w:before="94"/>
              <w:ind w:left="614" w:right="-17" w:hanging="400"/>
              <w:jc w:val="left"/>
              <w:rPr>
                <w:sz w:val="12"/>
              </w:rPr>
            </w:pPr>
            <w:r>
              <w:rPr>
                <w:color w:val="010202"/>
                <w:sz w:val="12"/>
              </w:rPr>
              <w:t>Fabricación de motores y sus partes para automóviles y camiones</w:t>
            </w:r>
          </w:p>
        </w:tc>
      </w:tr>
      <w:tr>
        <w:trPr>
          <w:trHeight w:val="312" w:hRule="exact"/>
        </w:trPr>
        <w:tc>
          <w:tcPr>
            <w:tcW w:w="340" w:type="dxa"/>
          </w:tcPr>
          <w:p>
            <w:pPr>
              <w:pStyle w:val="TableParagraph"/>
              <w:spacing w:before="82"/>
              <w:ind w:left="107"/>
              <w:jc w:val="left"/>
              <w:rPr>
                <w:sz w:val="12"/>
              </w:rPr>
            </w:pPr>
            <w:r>
              <w:rPr>
                <w:color w:val="010202"/>
                <w:sz w:val="12"/>
              </w:rPr>
              <w:t>26</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GAFF International,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Bujes de soporte de poliuretano</w:t>
            </w:r>
          </w:p>
        </w:tc>
      </w:tr>
      <w:tr>
        <w:trPr>
          <w:trHeight w:val="312" w:hRule="exact"/>
        </w:trPr>
        <w:tc>
          <w:tcPr>
            <w:tcW w:w="340" w:type="dxa"/>
          </w:tcPr>
          <w:p>
            <w:pPr>
              <w:pStyle w:val="TableParagraph"/>
              <w:spacing w:before="82"/>
              <w:ind w:left="107"/>
              <w:jc w:val="left"/>
              <w:rPr>
                <w:sz w:val="12"/>
              </w:rPr>
            </w:pPr>
            <w:r>
              <w:rPr>
                <w:color w:val="010202"/>
                <w:sz w:val="12"/>
              </w:rPr>
              <w:t>27</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Hules banda,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Corbata para neumáticos</w:t>
            </w:r>
          </w:p>
        </w:tc>
      </w:tr>
      <w:tr>
        <w:trPr>
          <w:trHeight w:val="312" w:hRule="exact"/>
        </w:trPr>
        <w:tc>
          <w:tcPr>
            <w:tcW w:w="340" w:type="dxa"/>
          </w:tcPr>
          <w:p>
            <w:pPr>
              <w:pStyle w:val="TableParagraph"/>
              <w:spacing w:before="82"/>
              <w:ind w:left="107"/>
              <w:jc w:val="left"/>
              <w:rPr>
                <w:sz w:val="12"/>
              </w:rPr>
            </w:pPr>
            <w:r>
              <w:rPr>
                <w:color w:val="010202"/>
                <w:sz w:val="12"/>
              </w:rPr>
              <w:t>28</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Industrias Zubiría,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Semirremolques</w:t>
            </w:r>
          </w:p>
        </w:tc>
      </w:tr>
      <w:tr>
        <w:trPr>
          <w:trHeight w:val="333" w:hRule="exact"/>
        </w:trPr>
        <w:tc>
          <w:tcPr>
            <w:tcW w:w="340" w:type="dxa"/>
          </w:tcPr>
          <w:p>
            <w:pPr>
              <w:pStyle w:val="TableParagraph"/>
              <w:spacing w:before="93"/>
              <w:ind w:left="107"/>
              <w:jc w:val="left"/>
              <w:rPr>
                <w:sz w:val="12"/>
              </w:rPr>
            </w:pPr>
            <w:r>
              <w:rPr>
                <w:color w:val="010202"/>
                <w:sz w:val="12"/>
              </w:rPr>
              <w:t>29</w:t>
            </w:r>
          </w:p>
        </w:tc>
        <w:tc>
          <w:tcPr>
            <w:tcW w:w="794" w:type="dxa"/>
          </w:tcPr>
          <w:p>
            <w:pPr/>
          </w:p>
        </w:tc>
        <w:tc>
          <w:tcPr>
            <w:tcW w:w="2551" w:type="dxa"/>
          </w:tcPr>
          <w:p>
            <w:pPr>
              <w:pStyle w:val="TableParagraph"/>
              <w:spacing w:line="132" w:lineRule="exact" w:before="33"/>
              <w:ind w:left="903" w:right="29" w:hanging="791"/>
              <w:jc w:val="left"/>
              <w:rPr>
                <w:rFonts w:ascii="Palatino Linotype" w:hAnsi="Palatino Linotype"/>
                <w:b/>
                <w:sz w:val="12"/>
              </w:rPr>
            </w:pPr>
            <w:r>
              <w:rPr>
                <w:rFonts w:ascii="Palatino Linotype" w:hAnsi="Palatino Linotype"/>
                <w:b/>
                <w:color w:val="010202"/>
                <w:w w:val="95"/>
                <w:sz w:val="12"/>
              </w:rPr>
              <w:t>Ingeniería Especializada en Herramentales, S. </w:t>
            </w:r>
            <w:r>
              <w:rPr>
                <w:rFonts w:ascii="Palatino Linotype" w:hAnsi="Palatino Linotype"/>
                <w:b/>
                <w:color w:val="010202"/>
                <w:sz w:val="12"/>
              </w:rPr>
              <w:t>de R.L. de C.V.</w:t>
            </w:r>
          </w:p>
        </w:tc>
        <w:tc>
          <w:tcPr>
            <w:tcW w:w="567" w:type="dxa"/>
          </w:tcPr>
          <w:p>
            <w:pPr>
              <w:pStyle w:val="TableParagraph"/>
              <w:spacing w:before="93"/>
              <w:rPr>
                <w:sz w:val="12"/>
              </w:rPr>
            </w:pPr>
            <w:r>
              <w:rPr>
                <w:color w:val="010202"/>
                <w:w w:val="96"/>
                <w:sz w:val="12"/>
              </w:rPr>
              <w:t>1</w:t>
            </w:r>
          </w:p>
        </w:tc>
        <w:tc>
          <w:tcPr>
            <w:tcW w:w="567" w:type="dxa"/>
          </w:tcPr>
          <w:p>
            <w:pPr>
              <w:pStyle w:val="TableParagraph"/>
              <w:spacing w:before="93"/>
              <w:ind w:left="366"/>
              <w:jc w:val="left"/>
              <w:rPr>
                <w:sz w:val="12"/>
              </w:rPr>
            </w:pPr>
            <w:r>
              <w:rPr>
                <w:color w:val="010202"/>
                <w:w w:val="101"/>
                <w:sz w:val="12"/>
              </w:rPr>
              <w:t>P</w:t>
            </w:r>
          </w:p>
        </w:tc>
        <w:tc>
          <w:tcPr>
            <w:tcW w:w="2381" w:type="dxa"/>
          </w:tcPr>
          <w:p>
            <w:pPr>
              <w:pStyle w:val="TableParagraph"/>
              <w:spacing w:before="93"/>
              <w:ind w:left="106" w:right="106"/>
              <w:rPr>
                <w:sz w:val="12"/>
              </w:rPr>
            </w:pPr>
            <w:r>
              <w:rPr>
                <w:color w:val="010202"/>
                <w:sz w:val="12"/>
              </w:rPr>
              <w:t>Troqueles</w:t>
            </w:r>
          </w:p>
        </w:tc>
      </w:tr>
      <w:tr>
        <w:trPr>
          <w:trHeight w:val="433" w:hRule="exact"/>
        </w:trPr>
        <w:tc>
          <w:tcPr>
            <w:tcW w:w="340" w:type="dxa"/>
          </w:tcPr>
          <w:p>
            <w:pPr>
              <w:pStyle w:val="TableParagraph"/>
              <w:spacing w:before="4"/>
              <w:jc w:val="left"/>
              <w:rPr>
                <w:sz w:val="12"/>
              </w:rPr>
            </w:pPr>
          </w:p>
          <w:p>
            <w:pPr>
              <w:pStyle w:val="TableParagraph"/>
              <w:spacing w:before="1"/>
              <w:ind w:left="107"/>
              <w:jc w:val="left"/>
              <w:rPr>
                <w:sz w:val="12"/>
              </w:rPr>
            </w:pPr>
            <w:r>
              <w:rPr>
                <w:color w:val="010202"/>
                <w:sz w:val="12"/>
              </w:rPr>
              <w:t>30</w:t>
            </w:r>
          </w:p>
        </w:tc>
        <w:tc>
          <w:tcPr>
            <w:tcW w:w="794" w:type="dxa"/>
          </w:tcPr>
          <w:p>
            <w:pPr/>
          </w:p>
        </w:tc>
        <w:tc>
          <w:tcPr>
            <w:tcW w:w="2551" w:type="dxa"/>
          </w:tcPr>
          <w:p>
            <w:pPr>
              <w:pStyle w:val="TableParagraph"/>
              <w:spacing w:before="2"/>
              <w:jc w:val="left"/>
              <w:rPr>
                <w:sz w:val="11"/>
              </w:rPr>
            </w:pPr>
          </w:p>
          <w:p>
            <w:pPr>
              <w:pStyle w:val="TableParagraph"/>
              <w:rPr>
                <w:rFonts w:ascii="Palatino Linotype" w:hAnsi="Palatino Linotype"/>
                <w:b/>
                <w:sz w:val="12"/>
              </w:rPr>
            </w:pPr>
            <w:r>
              <w:rPr>
                <w:rFonts w:ascii="Palatino Linotype" w:hAnsi="Palatino Linotype"/>
                <w:b/>
                <w:color w:val="010202"/>
                <w:w w:val="95"/>
                <w:sz w:val="12"/>
              </w:rPr>
              <w:t>Isovolta de México, S.A. de C.V.</w:t>
            </w:r>
          </w:p>
        </w:tc>
        <w:tc>
          <w:tcPr>
            <w:tcW w:w="567" w:type="dxa"/>
          </w:tcPr>
          <w:p>
            <w:pPr/>
          </w:p>
        </w:tc>
        <w:tc>
          <w:tcPr>
            <w:tcW w:w="567" w:type="dxa"/>
          </w:tcPr>
          <w:p>
            <w:pPr/>
          </w:p>
        </w:tc>
        <w:tc>
          <w:tcPr>
            <w:tcW w:w="2381" w:type="dxa"/>
          </w:tcPr>
          <w:p>
            <w:pPr>
              <w:pStyle w:val="TableParagraph"/>
              <w:spacing w:line="132" w:lineRule="exact" w:before="83"/>
              <w:ind w:left="788" w:right="-17" w:hanging="432"/>
              <w:jc w:val="left"/>
              <w:rPr>
                <w:sz w:val="12"/>
              </w:rPr>
            </w:pPr>
            <w:r>
              <w:rPr>
                <w:color w:val="010202"/>
                <w:sz w:val="12"/>
              </w:rPr>
              <w:t>Aislantes eléctricos para motores y transformadores</w:t>
            </w:r>
          </w:p>
        </w:tc>
      </w:tr>
      <w:tr>
        <w:trPr>
          <w:trHeight w:val="312" w:hRule="exact"/>
        </w:trPr>
        <w:tc>
          <w:tcPr>
            <w:tcW w:w="340" w:type="dxa"/>
          </w:tcPr>
          <w:p>
            <w:pPr>
              <w:pStyle w:val="TableParagraph"/>
              <w:spacing w:before="82"/>
              <w:ind w:left="107"/>
              <w:jc w:val="left"/>
              <w:rPr>
                <w:sz w:val="12"/>
              </w:rPr>
            </w:pPr>
            <w:r>
              <w:rPr>
                <w:color w:val="010202"/>
                <w:sz w:val="12"/>
              </w:rPr>
              <w:t>31</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Pick up Body de México, S.A. de C.V.</w:t>
            </w:r>
          </w:p>
        </w:tc>
        <w:tc>
          <w:tcPr>
            <w:tcW w:w="567" w:type="dxa"/>
          </w:tcPr>
          <w:p>
            <w:pPr/>
          </w:p>
        </w:tc>
        <w:tc>
          <w:tcPr>
            <w:tcW w:w="567" w:type="dxa"/>
          </w:tcPr>
          <w:p>
            <w:pPr/>
          </w:p>
        </w:tc>
        <w:tc>
          <w:tcPr>
            <w:tcW w:w="2381" w:type="dxa"/>
          </w:tcPr>
          <w:p>
            <w:pPr>
              <w:pStyle w:val="TableParagraph"/>
              <w:spacing w:before="82"/>
              <w:ind w:left="105" w:right="106"/>
              <w:rPr>
                <w:sz w:val="12"/>
              </w:rPr>
            </w:pPr>
            <w:r>
              <w:rPr>
                <w:color w:val="010202"/>
                <w:sz w:val="12"/>
              </w:rPr>
              <w:t>Aluminio</w:t>
            </w:r>
          </w:p>
        </w:tc>
      </w:tr>
      <w:tr>
        <w:trPr>
          <w:trHeight w:val="333" w:hRule="exact"/>
        </w:trPr>
        <w:tc>
          <w:tcPr>
            <w:tcW w:w="340" w:type="dxa"/>
          </w:tcPr>
          <w:p>
            <w:pPr>
              <w:pStyle w:val="TableParagraph"/>
              <w:spacing w:before="93"/>
              <w:ind w:left="106"/>
              <w:jc w:val="left"/>
              <w:rPr>
                <w:sz w:val="12"/>
              </w:rPr>
            </w:pPr>
            <w:r>
              <w:rPr>
                <w:color w:val="010202"/>
                <w:sz w:val="12"/>
              </w:rPr>
              <w:t>32</w:t>
            </w:r>
          </w:p>
        </w:tc>
        <w:tc>
          <w:tcPr>
            <w:tcW w:w="794" w:type="dxa"/>
          </w:tcPr>
          <w:p>
            <w:pPr/>
          </w:p>
        </w:tc>
        <w:tc>
          <w:tcPr>
            <w:tcW w:w="2551" w:type="dxa"/>
          </w:tcPr>
          <w:p>
            <w:pPr>
              <w:pStyle w:val="TableParagraph"/>
              <w:spacing w:line="132" w:lineRule="exact" w:before="33"/>
              <w:ind w:left="1092" w:right="60" w:hanging="965"/>
              <w:jc w:val="left"/>
              <w:rPr>
                <w:rFonts w:ascii="Palatino Linotype" w:hAnsi="Palatino Linotype"/>
                <w:b/>
                <w:sz w:val="12"/>
              </w:rPr>
            </w:pPr>
            <w:r>
              <w:rPr>
                <w:rFonts w:ascii="Palatino Linotype" w:hAnsi="Palatino Linotype"/>
                <w:b/>
                <w:color w:val="010202"/>
                <w:w w:val="95"/>
                <w:sz w:val="12"/>
              </w:rPr>
              <w:t>Productos Panamericanos de Protección, S.A. de C.V.</w:t>
            </w:r>
          </w:p>
        </w:tc>
        <w:tc>
          <w:tcPr>
            <w:tcW w:w="567" w:type="dxa"/>
          </w:tcPr>
          <w:p>
            <w:pPr/>
          </w:p>
        </w:tc>
        <w:tc>
          <w:tcPr>
            <w:tcW w:w="567" w:type="dxa"/>
          </w:tcPr>
          <w:p>
            <w:pPr/>
          </w:p>
        </w:tc>
        <w:tc>
          <w:tcPr>
            <w:tcW w:w="2381" w:type="dxa"/>
          </w:tcPr>
          <w:p>
            <w:pPr>
              <w:pStyle w:val="TableParagraph"/>
              <w:spacing w:before="93"/>
              <w:ind w:left="105" w:right="106"/>
              <w:rPr>
                <w:sz w:val="12"/>
              </w:rPr>
            </w:pPr>
            <w:r>
              <w:rPr>
                <w:color w:val="010202"/>
                <w:sz w:val="12"/>
              </w:rPr>
              <w:t>Camiones blindados, sellado de presión</w:t>
            </w:r>
          </w:p>
        </w:tc>
      </w:tr>
      <w:tr>
        <w:trPr>
          <w:trHeight w:val="312" w:hRule="exact"/>
        </w:trPr>
        <w:tc>
          <w:tcPr>
            <w:tcW w:w="340" w:type="dxa"/>
          </w:tcPr>
          <w:p>
            <w:pPr>
              <w:pStyle w:val="TableParagraph"/>
              <w:spacing w:before="82"/>
              <w:ind w:left="106"/>
              <w:jc w:val="left"/>
              <w:rPr>
                <w:sz w:val="12"/>
              </w:rPr>
            </w:pPr>
            <w:r>
              <w:rPr>
                <w:color w:val="010202"/>
                <w:sz w:val="12"/>
              </w:rPr>
              <w:t>33</w:t>
            </w:r>
          </w:p>
        </w:tc>
        <w:tc>
          <w:tcPr>
            <w:tcW w:w="794" w:type="dxa"/>
          </w:tcPr>
          <w:p>
            <w:pPr/>
          </w:p>
        </w:tc>
        <w:tc>
          <w:tcPr>
            <w:tcW w:w="2551" w:type="dxa"/>
          </w:tcPr>
          <w:p>
            <w:pPr>
              <w:pStyle w:val="TableParagraph"/>
              <w:spacing w:before="68"/>
              <w:ind w:left="1" w:right="2"/>
              <w:rPr>
                <w:rFonts w:ascii="Palatino Linotype" w:hAnsi="Palatino Linotype"/>
                <w:b/>
                <w:sz w:val="12"/>
              </w:rPr>
            </w:pPr>
            <w:r>
              <w:rPr>
                <w:rFonts w:ascii="Palatino Linotype" w:hAnsi="Palatino Linotype"/>
                <w:b/>
                <w:color w:val="010202"/>
                <w:w w:val="95"/>
                <w:sz w:val="12"/>
              </w:rPr>
              <w:t>Timken de México, S.A. de C.V.</w:t>
            </w:r>
          </w:p>
        </w:tc>
        <w:tc>
          <w:tcPr>
            <w:tcW w:w="567" w:type="dxa"/>
          </w:tcPr>
          <w:p>
            <w:pPr>
              <w:pStyle w:val="TableParagraph"/>
              <w:spacing w:before="82"/>
              <w:ind w:left="45" w:right="46"/>
              <w:rPr>
                <w:sz w:val="12"/>
              </w:rPr>
            </w:pPr>
            <w:r>
              <w:rPr>
                <w:color w:val="010202"/>
                <w:sz w:val="12"/>
              </w:rPr>
              <w:t>1, 2 y 3</w:t>
            </w:r>
          </w:p>
        </w:tc>
        <w:tc>
          <w:tcPr>
            <w:tcW w:w="567" w:type="dxa"/>
          </w:tcPr>
          <w:p>
            <w:pPr>
              <w:pStyle w:val="TableParagraph"/>
              <w:spacing w:before="82"/>
              <w:ind w:left="243"/>
              <w:jc w:val="left"/>
              <w:rPr>
                <w:sz w:val="12"/>
              </w:rPr>
            </w:pPr>
            <w:r>
              <w:rPr>
                <w:color w:val="010202"/>
                <w:w w:val="101"/>
                <w:sz w:val="12"/>
              </w:rPr>
              <w:t>P</w:t>
            </w:r>
          </w:p>
        </w:tc>
        <w:tc>
          <w:tcPr>
            <w:tcW w:w="2381" w:type="dxa"/>
          </w:tcPr>
          <w:p>
            <w:pPr>
              <w:pStyle w:val="TableParagraph"/>
              <w:spacing w:before="82"/>
              <w:ind w:left="105" w:right="106"/>
              <w:rPr>
                <w:sz w:val="12"/>
              </w:rPr>
            </w:pPr>
            <w:r>
              <w:rPr>
                <w:color w:val="010202"/>
                <w:sz w:val="12"/>
              </w:rPr>
              <w:t>Transmisiones y sus partes</w:t>
            </w:r>
          </w:p>
        </w:tc>
      </w:tr>
      <w:tr>
        <w:trPr>
          <w:trHeight w:val="312" w:hRule="exact"/>
        </w:trPr>
        <w:tc>
          <w:tcPr>
            <w:tcW w:w="340" w:type="dxa"/>
          </w:tcPr>
          <w:p>
            <w:pPr>
              <w:pStyle w:val="TableParagraph"/>
              <w:spacing w:before="82"/>
              <w:ind w:left="106"/>
              <w:jc w:val="left"/>
              <w:rPr>
                <w:sz w:val="12"/>
              </w:rPr>
            </w:pPr>
            <w:r>
              <w:rPr>
                <w:color w:val="010202"/>
                <w:sz w:val="12"/>
              </w:rPr>
              <w:t>34</w:t>
            </w:r>
          </w:p>
        </w:tc>
        <w:tc>
          <w:tcPr>
            <w:tcW w:w="794" w:type="dxa"/>
          </w:tcPr>
          <w:p>
            <w:pPr>
              <w:pStyle w:val="TableParagraph"/>
              <w:spacing w:before="82"/>
              <w:ind w:left="179"/>
              <w:jc w:val="left"/>
              <w:rPr>
                <w:sz w:val="12"/>
              </w:rPr>
            </w:pPr>
            <w:r>
              <w:rPr>
                <w:color w:val="010202"/>
                <w:sz w:val="12"/>
              </w:rPr>
              <w:t>Ecatepec</w:t>
            </w:r>
          </w:p>
        </w:tc>
        <w:tc>
          <w:tcPr>
            <w:tcW w:w="2551" w:type="dxa"/>
          </w:tcPr>
          <w:p>
            <w:pPr>
              <w:pStyle w:val="TableParagraph"/>
              <w:spacing w:before="68"/>
              <w:ind w:left="1" w:right="2"/>
              <w:rPr>
                <w:rFonts w:ascii="Palatino Linotype"/>
                <w:b/>
                <w:sz w:val="12"/>
              </w:rPr>
            </w:pPr>
            <w:r>
              <w:rPr>
                <w:rFonts w:ascii="Palatino Linotype"/>
                <w:b/>
                <w:color w:val="010202"/>
                <w:w w:val="95"/>
                <w:sz w:val="12"/>
              </w:rPr>
              <w:t>Alca Gas and Diesel Gaskets S.A. de C.V.</w:t>
            </w:r>
          </w:p>
        </w:tc>
        <w:tc>
          <w:tcPr>
            <w:tcW w:w="567" w:type="dxa"/>
          </w:tcPr>
          <w:p>
            <w:pPr>
              <w:pStyle w:val="TableParagraph"/>
              <w:spacing w:before="82"/>
              <w:ind w:right="1"/>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5" w:right="106"/>
              <w:rPr>
                <w:sz w:val="12"/>
              </w:rPr>
            </w:pPr>
            <w:r>
              <w:rPr>
                <w:color w:val="010202"/>
                <w:sz w:val="12"/>
              </w:rPr>
              <w:t>Empaques automotrices</w:t>
            </w:r>
          </w:p>
        </w:tc>
      </w:tr>
      <w:tr>
        <w:trPr>
          <w:trHeight w:val="312" w:hRule="exact"/>
        </w:trPr>
        <w:tc>
          <w:tcPr>
            <w:tcW w:w="340" w:type="dxa"/>
          </w:tcPr>
          <w:p>
            <w:pPr>
              <w:pStyle w:val="TableParagraph"/>
              <w:spacing w:before="82"/>
              <w:ind w:left="106"/>
              <w:jc w:val="left"/>
              <w:rPr>
                <w:sz w:val="12"/>
              </w:rPr>
            </w:pPr>
            <w:r>
              <w:rPr>
                <w:color w:val="010202"/>
                <w:sz w:val="12"/>
              </w:rPr>
              <w:t>35</w:t>
            </w:r>
          </w:p>
        </w:tc>
        <w:tc>
          <w:tcPr>
            <w:tcW w:w="794" w:type="dxa"/>
          </w:tcPr>
          <w:p>
            <w:pPr/>
          </w:p>
        </w:tc>
        <w:tc>
          <w:tcPr>
            <w:tcW w:w="2551" w:type="dxa"/>
          </w:tcPr>
          <w:p>
            <w:pPr>
              <w:pStyle w:val="TableParagraph"/>
              <w:spacing w:before="68"/>
              <w:ind w:left="1" w:right="2"/>
              <w:rPr>
                <w:rFonts w:ascii="Palatino Linotype"/>
                <w:b/>
                <w:sz w:val="12"/>
              </w:rPr>
            </w:pPr>
            <w:r>
              <w:rPr>
                <w:rFonts w:ascii="Palatino Linotype"/>
                <w:b/>
                <w:color w:val="010202"/>
                <w:w w:val="95"/>
                <w:sz w:val="12"/>
              </w:rPr>
              <w:t>Arelmex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Arneses eléctricos</w:t>
            </w:r>
          </w:p>
        </w:tc>
      </w:tr>
      <w:tr>
        <w:trPr>
          <w:trHeight w:val="312" w:hRule="exact"/>
        </w:trPr>
        <w:tc>
          <w:tcPr>
            <w:tcW w:w="340" w:type="dxa"/>
          </w:tcPr>
          <w:p>
            <w:pPr>
              <w:pStyle w:val="TableParagraph"/>
              <w:spacing w:before="82"/>
              <w:ind w:left="106"/>
              <w:jc w:val="left"/>
              <w:rPr>
                <w:sz w:val="12"/>
              </w:rPr>
            </w:pPr>
            <w:r>
              <w:rPr>
                <w:color w:val="010202"/>
                <w:sz w:val="12"/>
              </w:rPr>
              <w:t>36</w:t>
            </w:r>
          </w:p>
        </w:tc>
        <w:tc>
          <w:tcPr>
            <w:tcW w:w="794" w:type="dxa"/>
          </w:tcPr>
          <w:p>
            <w:pPr/>
          </w:p>
        </w:tc>
        <w:tc>
          <w:tcPr>
            <w:tcW w:w="2551" w:type="dxa"/>
          </w:tcPr>
          <w:p>
            <w:pPr>
              <w:pStyle w:val="TableParagraph"/>
              <w:spacing w:before="68"/>
              <w:ind w:left="1" w:right="2"/>
              <w:rPr>
                <w:rFonts w:ascii="Palatino Linotype" w:hAnsi="Palatino Linotype"/>
                <w:b/>
                <w:sz w:val="12"/>
              </w:rPr>
            </w:pPr>
            <w:r>
              <w:rPr>
                <w:rFonts w:ascii="Palatino Linotype" w:hAnsi="Palatino Linotype"/>
                <w:b/>
                <w:color w:val="010202"/>
                <w:w w:val="95"/>
                <w:sz w:val="12"/>
              </w:rPr>
              <w:t>Auto Eléctricos de México, S.A. de C.V.</w:t>
            </w:r>
          </w:p>
        </w:tc>
        <w:tc>
          <w:tcPr>
            <w:tcW w:w="567" w:type="dxa"/>
          </w:tcPr>
          <w:p>
            <w:pPr>
              <w:pStyle w:val="TableParagraph"/>
              <w:spacing w:before="82"/>
              <w:ind w:right="1"/>
              <w:rPr>
                <w:sz w:val="12"/>
              </w:rPr>
            </w:pPr>
            <w:r>
              <w:rPr>
                <w:color w:val="010202"/>
                <w:w w:val="96"/>
                <w:sz w:val="12"/>
              </w:rPr>
              <w:t>1</w:t>
            </w:r>
          </w:p>
        </w:tc>
        <w:tc>
          <w:tcPr>
            <w:tcW w:w="567" w:type="dxa"/>
          </w:tcPr>
          <w:p>
            <w:pPr>
              <w:pStyle w:val="TableParagraph"/>
              <w:spacing w:before="82"/>
              <w:ind w:left="234"/>
              <w:jc w:val="left"/>
              <w:rPr>
                <w:sz w:val="12"/>
              </w:rPr>
            </w:pPr>
            <w:r>
              <w:rPr>
                <w:color w:val="010202"/>
                <w:w w:val="99"/>
                <w:sz w:val="12"/>
              </w:rPr>
              <w:t>G</w:t>
            </w:r>
          </w:p>
        </w:tc>
        <w:tc>
          <w:tcPr>
            <w:tcW w:w="2381" w:type="dxa"/>
          </w:tcPr>
          <w:p>
            <w:pPr>
              <w:pStyle w:val="TableParagraph"/>
              <w:spacing w:before="82"/>
              <w:ind w:left="105" w:right="106"/>
              <w:rPr>
                <w:sz w:val="12"/>
              </w:rPr>
            </w:pPr>
            <w:r>
              <w:rPr>
                <w:color w:val="010202"/>
                <w:sz w:val="12"/>
              </w:rPr>
              <w:t>Frenos hidraúlicos automotrices</w:t>
            </w:r>
          </w:p>
        </w:tc>
      </w:tr>
      <w:tr>
        <w:trPr>
          <w:trHeight w:val="426" w:hRule="exact"/>
        </w:trPr>
        <w:tc>
          <w:tcPr>
            <w:tcW w:w="340" w:type="dxa"/>
          </w:tcPr>
          <w:p>
            <w:pPr>
              <w:pStyle w:val="TableParagraph"/>
              <w:spacing w:before="1"/>
              <w:jc w:val="left"/>
              <w:rPr>
                <w:sz w:val="12"/>
              </w:rPr>
            </w:pPr>
          </w:p>
          <w:p>
            <w:pPr>
              <w:pStyle w:val="TableParagraph"/>
              <w:ind w:left="106"/>
              <w:jc w:val="left"/>
              <w:rPr>
                <w:sz w:val="12"/>
              </w:rPr>
            </w:pPr>
            <w:r>
              <w:rPr>
                <w:color w:val="010202"/>
                <w:sz w:val="12"/>
              </w:rPr>
              <w:t>37</w:t>
            </w:r>
          </w:p>
        </w:tc>
        <w:tc>
          <w:tcPr>
            <w:tcW w:w="794" w:type="dxa"/>
          </w:tcPr>
          <w:p>
            <w:pPr/>
          </w:p>
        </w:tc>
        <w:tc>
          <w:tcPr>
            <w:tcW w:w="2551" w:type="dxa"/>
          </w:tcPr>
          <w:p>
            <w:pPr>
              <w:pStyle w:val="TableParagraph"/>
              <w:spacing w:before="10"/>
              <w:jc w:val="left"/>
              <w:rPr>
                <w:sz w:val="10"/>
              </w:rPr>
            </w:pPr>
          </w:p>
          <w:p>
            <w:pPr>
              <w:pStyle w:val="TableParagraph"/>
              <w:ind w:left="1" w:right="2"/>
              <w:rPr>
                <w:rFonts w:ascii="Palatino Linotype"/>
                <w:b/>
                <w:sz w:val="12"/>
              </w:rPr>
            </w:pPr>
            <w:r>
              <w:rPr>
                <w:rFonts w:ascii="Palatino Linotype"/>
                <w:b/>
                <w:color w:val="010202"/>
                <w:w w:val="95"/>
                <w:sz w:val="12"/>
              </w:rPr>
              <w:t>Automanufacturas Alca, S.A. de C.V.</w:t>
            </w:r>
          </w:p>
        </w:tc>
        <w:tc>
          <w:tcPr>
            <w:tcW w:w="567" w:type="dxa"/>
          </w:tcPr>
          <w:p>
            <w:pPr/>
          </w:p>
        </w:tc>
        <w:tc>
          <w:tcPr>
            <w:tcW w:w="567" w:type="dxa"/>
          </w:tcPr>
          <w:p>
            <w:pPr/>
          </w:p>
        </w:tc>
        <w:tc>
          <w:tcPr>
            <w:tcW w:w="2381" w:type="dxa"/>
          </w:tcPr>
          <w:p>
            <w:pPr>
              <w:pStyle w:val="TableParagraph"/>
              <w:spacing w:line="132" w:lineRule="exact" w:before="80"/>
              <w:ind w:left="521" w:right="-17" w:hanging="362"/>
              <w:jc w:val="left"/>
              <w:rPr>
                <w:sz w:val="12"/>
              </w:rPr>
            </w:pPr>
            <w:r>
              <w:rPr>
                <w:color w:val="010202"/>
                <w:sz w:val="12"/>
              </w:rPr>
              <w:t>Empaques de corcho, asbesto, metálicos de diésel y juntas automotrices</w:t>
            </w:r>
          </w:p>
        </w:tc>
      </w:tr>
      <w:tr>
        <w:trPr>
          <w:trHeight w:val="340" w:hRule="exact"/>
        </w:trPr>
        <w:tc>
          <w:tcPr>
            <w:tcW w:w="340" w:type="dxa"/>
          </w:tcPr>
          <w:p>
            <w:pPr>
              <w:pStyle w:val="TableParagraph"/>
              <w:spacing w:before="96"/>
              <w:ind w:left="106"/>
              <w:jc w:val="left"/>
              <w:rPr>
                <w:sz w:val="12"/>
              </w:rPr>
            </w:pPr>
            <w:r>
              <w:rPr>
                <w:color w:val="010202"/>
                <w:sz w:val="12"/>
              </w:rPr>
              <w:t>38</w:t>
            </w:r>
          </w:p>
        </w:tc>
        <w:tc>
          <w:tcPr>
            <w:tcW w:w="794" w:type="dxa"/>
          </w:tcPr>
          <w:p>
            <w:pPr/>
          </w:p>
        </w:tc>
        <w:tc>
          <w:tcPr>
            <w:tcW w:w="2551" w:type="dxa"/>
          </w:tcPr>
          <w:p>
            <w:pPr>
              <w:pStyle w:val="TableParagraph"/>
              <w:spacing w:before="82"/>
              <w:ind w:left="1" w:right="2"/>
              <w:rPr>
                <w:rFonts w:ascii="Palatino Linotype" w:hAnsi="Palatino Linotype"/>
                <w:b/>
                <w:sz w:val="12"/>
              </w:rPr>
            </w:pPr>
            <w:r>
              <w:rPr>
                <w:rFonts w:ascii="Palatino Linotype" w:hAnsi="Palatino Linotype"/>
                <w:b/>
                <w:color w:val="010202"/>
                <w:w w:val="95"/>
                <w:sz w:val="12"/>
              </w:rPr>
              <w:t>Corporación Textil Mexicana, S.A. de C.V.</w:t>
            </w:r>
          </w:p>
        </w:tc>
        <w:tc>
          <w:tcPr>
            <w:tcW w:w="567" w:type="dxa"/>
          </w:tcPr>
          <w:p>
            <w:pPr/>
          </w:p>
        </w:tc>
        <w:tc>
          <w:tcPr>
            <w:tcW w:w="567" w:type="dxa"/>
          </w:tcPr>
          <w:p>
            <w:pPr/>
          </w:p>
        </w:tc>
        <w:tc>
          <w:tcPr>
            <w:tcW w:w="2381" w:type="dxa"/>
          </w:tcPr>
          <w:p>
            <w:pPr>
              <w:pStyle w:val="TableParagraph"/>
              <w:spacing w:before="96"/>
              <w:ind w:left="105" w:right="106"/>
              <w:rPr>
                <w:sz w:val="12"/>
              </w:rPr>
            </w:pPr>
            <w:r>
              <w:rPr>
                <w:color w:val="010202"/>
                <w:sz w:val="12"/>
              </w:rPr>
              <w:t>Alfombras para la industria automotriz</w:t>
            </w:r>
          </w:p>
        </w:tc>
      </w:tr>
      <w:tr>
        <w:trPr>
          <w:trHeight w:val="454" w:hRule="exact"/>
        </w:trPr>
        <w:tc>
          <w:tcPr>
            <w:tcW w:w="340" w:type="dxa"/>
          </w:tcPr>
          <w:p>
            <w:pPr>
              <w:pStyle w:val="TableParagraph"/>
              <w:spacing w:before="3"/>
              <w:jc w:val="left"/>
              <w:rPr>
                <w:sz w:val="13"/>
              </w:rPr>
            </w:pPr>
          </w:p>
          <w:p>
            <w:pPr>
              <w:pStyle w:val="TableParagraph"/>
              <w:ind w:left="106"/>
              <w:jc w:val="left"/>
              <w:rPr>
                <w:sz w:val="12"/>
              </w:rPr>
            </w:pPr>
            <w:r>
              <w:rPr>
                <w:color w:val="010202"/>
                <w:sz w:val="12"/>
              </w:rPr>
              <w:t>39</w:t>
            </w:r>
          </w:p>
        </w:tc>
        <w:tc>
          <w:tcPr>
            <w:tcW w:w="794" w:type="dxa"/>
          </w:tcPr>
          <w:p>
            <w:pPr/>
          </w:p>
        </w:tc>
        <w:tc>
          <w:tcPr>
            <w:tcW w:w="2551" w:type="dxa"/>
          </w:tcPr>
          <w:p>
            <w:pPr>
              <w:pStyle w:val="TableParagraph"/>
              <w:spacing w:before="1"/>
              <w:jc w:val="left"/>
              <w:rPr>
                <w:sz w:val="12"/>
              </w:rPr>
            </w:pPr>
          </w:p>
          <w:p>
            <w:pPr>
              <w:pStyle w:val="TableParagraph"/>
              <w:ind w:left="1" w:right="2"/>
              <w:rPr>
                <w:rFonts w:ascii="Palatino Linotype"/>
                <w:b/>
                <w:sz w:val="12"/>
              </w:rPr>
            </w:pPr>
            <w:r>
              <w:rPr>
                <w:rFonts w:ascii="Palatino Linotype"/>
                <w:b/>
                <w:color w:val="010202"/>
                <w:w w:val="95"/>
                <w:sz w:val="12"/>
              </w:rPr>
              <w:t>Echlin Mexicana, S.A. de C.V.</w:t>
            </w:r>
          </w:p>
        </w:tc>
        <w:tc>
          <w:tcPr>
            <w:tcW w:w="567" w:type="dxa"/>
          </w:tcPr>
          <w:p>
            <w:pPr/>
          </w:p>
        </w:tc>
        <w:tc>
          <w:tcPr>
            <w:tcW w:w="567" w:type="dxa"/>
          </w:tcPr>
          <w:p>
            <w:pPr/>
          </w:p>
        </w:tc>
        <w:tc>
          <w:tcPr>
            <w:tcW w:w="2381" w:type="dxa"/>
          </w:tcPr>
          <w:p>
            <w:pPr>
              <w:pStyle w:val="TableParagraph"/>
              <w:spacing w:line="132" w:lineRule="exact" w:before="93"/>
              <w:ind w:left="347" w:right="-17" w:hanging="204"/>
              <w:jc w:val="left"/>
              <w:rPr>
                <w:sz w:val="12"/>
              </w:rPr>
            </w:pPr>
            <w:r>
              <w:rPr>
                <w:color w:val="010202"/>
                <w:sz w:val="12"/>
              </w:rPr>
              <w:t>Platinos, alternadores, bobinas eléctricas de ignición, condensadores y marchas</w:t>
            </w:r>
          </w:p>
        </w:tc>
      </w:tr>
      <w:tr>
        <w:trPr>
          <w:trHeight w:val="340" w:hRule="exact"/>
        </w:trPr>
        <w:tc>
          <w:tcPr>
            <w:tcW w:w="340" w:type="dxa"/>
          </w:tcPr>
          <w:p>
            <w:pPr>
              <w:pStyle w:val="TableParagraph"/>
              <w:spacing w:before="96"/>
              <w:ind w:left="106"/>
              <w:jc w:val="left"/>
              <w:rPr>
                <w:sz w:val="12"/>
              </w:rPr>
            </w:pPr>
            <w:r>
              <w:rPr>
                <w:color w:val="010202"/>
                <w:sz w:val="12"/>
              </w:rPr>
              <w:t>40</w:t>
            </w:r>
          </w:p>
        </w:tc>
        <w:tc>
          <w:tcPr>
            <w:tcW w:w="794" w:type="dxa"/>
          </w:tcPr>
          <w:p>
            <w:pPr/>
          </w:p>
        </w:tc>
        <w:tc>
          <w:tcPr>
            <w:tcW w:w="2551" w:type="dxa"/>
          </w:tcPr>
          <w:p>
            <w:pPr>
              <w:pStyle w:val="TableParagraph"/>
              <w:spacing w:before="82"/>
              <w:ind w:left="1" w:right="2"/>
              <w:rPr>
                <w:rFonts w:ascii="Palatino Linotype"/>
                <w:b/>
                <w:sz w:val="12"/>
              </w:rPr>
            </w:pPr>
            <w:r>
              <w:rPr>
                <w:rFonts w:ascii="Palatino Linotype"/>
                <w:b/>
                <w:color w:val="010202"/>
                <w:w w:val="95"/>
                <w:sz w:val="12"/>
              </w:rPr>
              <w:t>Grupo Utomundo, S.A. de C.V.</w:t>
            </w:r>
          </w:p>
        </w:tc>
        <w:tc>
          <w:tcPr>
            <w:tcW w:w="567" w:type="dxa"/>
          </w:tcPr>
          <w:p>
            <w:pPr/>
          </w:p>
        </w:tc>
        <w:tc>
          <w:tcPr>
            <w:tcW w:w="567" w:type="dxa"/>
          </w:tcPr>
          <w:p>
            <w:pPr/>
          </w:p>
        </w:tc>
        <w:tc>
          <w:tcPr>
            <w:tcW w:w="2381" w:type="dxa"/>
          </w:tcPr>
          <w:p>
            <w:pPr>
              <w:pStyle w:val="TableParagraph"/>
              <w:spacing w:before="96"/>
              <w:ind w:left="105" w:right="106"/>
              <w:rPr>
                <w:sz w:val="12"/>
              </w:rPr>
            </w:pPr>
            <w:r>
              <w:rPr>
                <w:color w:val="010202"/>
                <w:sz w:val="12"/>
              </w:rPr>
              <w:t>Carrocerías</w:t>
            </w:r>
          </w:p>
        </w:tc>
      </w:tr>
      <w:tr>
        <w:trPr>
          <w:trHeight w:val="454" w:hRule="exact"/>
        </w:trPr>
        <w:tc>
          <w:tcPr>
            <w:tcW w:w="340" w:type="dxa"/>
          </w:tcPr>
          <w:p>
            <w:pPr>
              <w:pStyle w:val="TableParagraph"/>
              <w:spacing w:before="3"/>
              <w:jc w:val="left"/>
              <w:rPr>
                <w:sz w:val="13"/>
              </w:rPr>
            </w:pPr>
          </w:p>
          <w:p>
            <w:pPr>
              <w:pStyle w:val="TableParagraph"/>
              <w:ind w:left="106"/>
              <w:jc w:val="left"/>
              <w:rPr>
                <w:sz w:val="12"/>
              </w:rPr>
            </w:pPr>
            <w:r>
              <w:rPr>
                <w:color w:val="010202"/>
                <w:sz w:val="12"/>
              </w:rPr>
              <w:t>41</w:t>
            </w:r>
          </w:p>
        </w:tc>
        <w:tc>
          <w:tcPr>
            <w:tcW w:w="794" w:type="dxa"/>
          </w:tcPr>
          <w:p>
            <w:pPr/>
          </w:p>
        </w:tc>
        <w:tc>
          <w:tcPr>
            <w:tcW w:w="2551" w:type="dxa"/>
          </w:tcPr>
          <w:p>
            <w:pPr>
              <w:pStyle w:val="TableParagraph"/>
              <w:spacing w:before="1"/>
              <w:jc w:val="left"/>
              <w:rPr>
                <w:sz w:val="12"/>
              </w:rPr>
            </w:pPr>
          </w:p>
          <w:p>
            <w:pPr>
              <w:pStyle w:val="TableParagraph"/>
              <w:ind w:left="1" w:right="2"/>
              <w:rPr>
                <w:rFonts w:ascii="Palatino Linotype" w:hAnsi="Palatino Linotype"/>
                <w:b/>
                <w:sz w:val="12"/>
              </w:rPr>
            </w:pPr>
            <w:r>
              <w:rPr>
                <w:rFonts w:ascii="Palatino Linotype" w:hAnsi="Palatino Linotype"/>
                <w:b/>
                <w:color w:val="010202"/>
                <w:w w:val="95"/>
                <w:sz w:val="12"/>
              </w:rPr>
              <w:t>Grupo México Tecnoindustrial, S.A. de C.V.</w:t>
            </w:r>
          </w:p>
        </w:tc>
        <w:tc>
          <w:tcPr>
            <w:tcW w:w="567" w:type="dxa"/>
          </w:tcPr>
          <w:p>
            <w:pPr/>
          </w:p>
        </w:tc>
        <w:tc>
          <w:tcPr>
            <w:tcW w:w="567" w:type="dxa"/>
          </w:tcPr>
          <w:p>
            <w:pPr/>
          </w:p>
        </w:tc>
        <w:tc>
          <w:tcPr>
            <w:tcW w:w="2381" w:type="dxa"/>
          </w:tcPr>
          <w:p>
            <w:pPr>
              <w:pStyle w:val="TableParagraph"/>
              <w:spacing w:line="132" w:lineRule="exact" w:before="93"/>
              <w:ind w:left="632" w:right="149" w:hanging="476"/>
              <w:jc w:val="left"/>
              <w:rPr>
                <w:sz w:val="12"/>
              </w:rPr>
            </w:pPr>
            <w:r>
              <w:rPr>
                <w:color w:val="010202"/>
                <w:sz w:val="12"/>
              </w:rPr>
              <w:t>Comercializadora de equipo y herramienta industrial y automotriz</w:t>
            </w:r>
          </w:p>
        </w:tc>
      </w:tr>
      <w:tr>
        <w:trPr>
          <w:trHeight w:val="340" w:hRule="exact"/>
        </w:trPr>
        <w:tc>
          <w:tcPr>
            <w:tcW w:w="340" w:type="dxa"/>
          </w:tcPr>
          <w:p>
            <w:pPr>
              <w:pStyle w:val="TableParagraph"/>
              <w:spacing w:before="96"/>
              <w:ind w:left="106"/>
              <w:jc w:val="left"/>
              <w:rPr>
                <w:sz w:val="12"/>
              </w:rPr>
            </w:pPr>
            <w:r>
              <w:rPr>
                <w:color w:val="010202"/>
                <w:sz w:val="12"/>
              </w:rPr>
              <w:t>42</w:t>
            </w:r>
          </w:p>
        </w:tc>
        <w:tc>
          <w:tcPr>
            <w:tcW w:w="794" w:type="dxa"/>
          </w:tcPr>
          <w:p>
            <w:pPr/>
          </w:p>
        </w:tc>
        <w:tc>
          <w:tcPr>
            <w:tcW w:w="2551" w:type="dxa"/>
          </w:tcPr>
          <w:p>
            <w:pPr>
              <w:pStyle w:val="TableParagraph"/>
              <w:spacing w:before="82"/>
              <w:ind w:left="1" w:right="2"/>
              <w:rPr>
                <w:rFonts w:ascii="Palatino Linotype"/>
                <w:b/>
                <w:sz w:val="12"/>
              </w:rPr>
            </w:pPr>
            <w:r>
              <w:rPr>
                <w:rFonts w:ascii="Palatino Linotype"/>
                <w:b/>
                <w:color w:val="010202"/>
                <w:w w:val="95"/>
                <w:sz w:val="12"/>
              </w:rPr>
              <w:t>Henkel Capital, S.A. de C.V. (Ecatepec)</w:t>
            </w:r>
          </w:p>
        </w:tc>
        <w:tc>
          <w:tcPr>
            <w:tcW w:w="567" w:type="dxa"/>
          </w:tcPr>
          <w:p>
            <w:pPr>
              <w:pStyle w:val="TableParagraph"/>
              <w:spacing w:before="96"/>
              <w:ind w:left="45" w:right="46"/>
              <w:rPr>
                <w:sz w:val="12"/>
              </w:rPr>
            </w:pPr>
            <w:r>
              <w:rPr>
                <w:color w:val="010202"/>
                <w:sz w:val="12"/>
              </w:rPr>
              <w:t>1 y 2</w:t>
            </w:r>
          </w:p>
        </w:tc>
        <w:tc>
          <w:tcPr>
            <w:tcW w:w="567" w:type="dxa"/>
          </w:tcPr>
          <w:p>
            <w:pPr>
              <w:pStyle w:val="TableParagraph"/>
              <w:spacing w:before="96"/>
              <w:ind w:left="234"/>
              <w:jc w:val="left"/>
              <w:rPr>
                <w:sz w:val="12"/>
              </w:rPr>
            </w:pPr>
            <w:r>
              <w:rPr>
                <w:color w:val="010202"/>
                <w:w w:val="99"/>
                <w:sz w:val="12"/>
              </w:rPr>
              <w:t>G</w:t>
            </w:r>
          </w:p>
        </w:tc>
        <w:tc>
          <w:tcPr>
            <w:tcW w:w="2381" w:type="dxa"/>
          </w:tcPr>
          <w:p>
            <w:pPr>
              <w:pStyle w:val="TableParagraph"/>
              <w:spacing w:before="96"/>
              <w:ind w:left="105" w:right="106"/>
              <w:rPr>
                <w:sz w:val="12"/>
              </w:rPr>
            </w:pPr>
            <w:r>
              <w:rPr>
                <w:color w:val="010202"/>
                <w:sz w:val="12"/>
              </w:rPr>
              <w:t>Lubricantes</w:t>
            </w:r>
          </w:p>
        </w:tc>
      </w:tr>
      <w:tr>
        <w:trPr>
          <w:trHeight w:val="340" w:hRule="exact"/>
        </w:trPr>
        <w:tc>
          <w:tcPr>
            <w:tcW w:w="340" w:type="dxa"/>
          </w:tcPr>
          <w:p>
            <w:pPr>
              <w:pStyle w:val="TableParagraph"/>
              <w:spacing w:before="96"/>
              <w:ind w:left="106"/>
              <w:jc w:val="left"/>
              <w:rPr>
                <w:sz w:val="12"/>
              </w:rPr>
            </w:pPr>
            <w:r>
              <w:rPr>
                <w:color w:val="010202"/>
                <w:sz w:val="12"/>
              </w:rPr>
              <w:t>43</w:t>
            </w:r>
          </w:p>
        </w:tc>
        <w:tc>
          <w:tcPr>
            <w:tcW w:w="794" w:type="dxa"/>
          </w:tcPr>
          <w:p>
            <w:pPr/>
          </w:p>
        </w:tc>
        <w:tc>
          <w:tcPr>
            <w:tcW w:w="2551" w:type="dxa"/>
          </w:tcPr>
          <w:p>
            <w:pPr>
              <w:pStyle w:val="TableParagraph"/>
              <w:spacing w:before="82"/>
              <w:ind w:left="1" w:right="2"/>
              <w:rPr>
                <w:rFonts w:ascii="Palatino Linotype"/>
                <w:b/>
                <w:sz w:val="12"/>
              </w:rPr>
            </w:pPr>
            <w:r>
              <w:rPr>
                <w:rFonts w:ascii="Palatino Linotype"/>
                <w:b/>
                <w:color w:val="010202"/>
                <w:w w:val="90"/>
                <w:sz w:val="12"/>
              </w:rPr>
              <w:t>Herramientas y dispositivos, s.a.</w:t>
            </w:r>
          </w:p>
        </w:tc>
        <w:tc>
          <w:tcPr>
            <w:tcW w:w="567" w:type="dxa"/>
          </w:tcPr>
          <w:p>
            <w:pPr/>
          </w:p>
        </w:tc>
        <w:tc>
          <w:tcPr>
            <w:tcW w:w="567" w:type="dxa"/>
          </w:tcPr>
          <w:p>
            <w:pPr/>
          </w:p>
        </w:tc>
        <w:tc>
          <w:tcPr>
            <w:tcW w:w="2381" w:type="dxa"/>
          </w:tcPr>
          <w:p>
            <w:pPr>
              <w:pStyle w:val="TableParagraph"/>
              <w:spacing w:before="96"/>
              <w:ind w:left="59" w:right="60"/>
              <w:rPr>
                <w:sz w:val="12"/>
              </w:rPr>
            </w:pPr>
            <w:r>
              <w:rPr>
                <w:color w:val="010202"/>
                <w:sz w:val="12"/>
              </w:rPr>
              <w:t>Productos metálicos automotrices, autopartes</w:t>
            </w:r>
          </w:p>
        </w:tc>
      </w:tr>
      <w:tr>
        <w:trPr>
          <w:trHeight w:val="312" w:hRule="exact"/>
        </w:trPr>
        <w:tc>
          <w:tcPr>
            <w:tcW w:w="340" w:type="dxa"/>
          </w:tcPr>
          <w:p>
            <w:pPr>
              <w:pStyle w:val="TableParagraph"/>
              <w:spacing w:before="82"/>
              <w:ind w:left="106"/>
              <w:jc w:val="left"/>
              <w:rPr>
                <w:sz w:val="12"/>
              </w:rPr>
            </w:pPr>
            <w:r>
              <w:rPr>
                <w:color w:val="010202"/>
                <w:sz w:val="12"/>
              </w:rPr>
              <w:t>44</w:t>
            </w:r>
          </w:p>
        </w:tc>
        <w:tc>
          <w:tcPr>
            <w:tcW w:w="794" w:type="dxa"/>
          </w:tcPr>
          <w:p>
            <w:pPr/>
          </w:p>
        </w:tc>
        <w:tc>
          <w:tcPr>
            <w:tcW w:w="2551" w:type="dxa"/>
          </w:tcPr>
          <w:p>
            <w:pPr>
              <w:pStyle w:val="TableParagraph"/>
              <w:spacing w:before="68"/>
              <w:ind w:left="1" w:right="2"/>
              <w:rPr>
                <w:rFonts w:ascii="Palatino Linotype"/>
                <w:b/>
                <w:sz w:val="12"/>
              </w:rPr>
            </w:pPr>
            <w:r>
              <w:rPr>
                <w:rFonts w:ascii="Palatino Linotype"/>
                <w:b/>
                <w:color w:val="010202"/>
                <w:w w:val="95"/>
                <w:sz w:val="12"/>
              </w:rPr>
              <w:t>Industria Textil Jacquard, S.A. de C.V.</w:t>
            </w:r>
          </w:p>
        </w:tc>
        <w:tc>
          <w:tcPr>
            <w:tcW w:w="567" w:type="dxa"/>
          </w:tcPr>
          <w:p>
            <w:pPr>
              <w:pStyle w:val="TableParagraph"/>
              <w:spacing w:before="82"/>
              <w:ind w:left="45" w:right="46"/>
              <w:rPr>
                <w:sz w:val="12"/>
              </w:rPr>
            </w:pPr>
            <w:r>
              <w:rPr>
                <w:color w:val="010202"/>
                <w:sz w:val="12"/>
              </w:rPr>
              <w:t>1y2</w:t>
            </w:r>
          </w:p>
        </w:tc>
        <w:tc>
          <w:tcPr>
            <w:tcW w:w="567" w:type="dxa"/>
          </w:tcPr>
          <w:p>
            <w:pPr>
              <w:pStyle w:val="TableParagraph"/>
              <w:spacing w:before="82"/>
              <w:ind w:left="243"/>
              <w:jc w:val="left"/>
              <w:rPr>
                <w:sz w:val="12"/>
              </w:rPr>
            </w:pPr>
            <w:r>
              <w:rPr>
                <w:color w:val="010202"/>
                <w:w w:val="101"/>
                <w:sz w:val="12"/>
              </w:rPr>
              <w:t>P</w:t>
            </w:r>
          </w:p>
        </w:tc>
        <w:tc>
          <w:tcPr>
            <w:tcW w:w="2381" w:type="dxa"/>
          </w:tcPr>
          <w:p>
            <w:pPr>
              <w:pStyle w:val="TableParagraph"/>
              <w:spacing w:before="82"/>
              <w:ind w:left="105" w:right="106"/>
              <w:rPr>
                <w:sz w:val="12"/>
              </w:rPr>
            </w:pPr>
            <w:r>
              <w:rPr>
                <w:color w:val="010202"/>
                <w:sz w:val="12"/>
              </w:rPr>
              <w:t>Alfombras</w:t>
            </w:r>
          </w:p>
        </w:tc>
      </w:tr>
      <w:tr>
        <w:trPr>
          <w:trHeight w:val="312" w:hRule="exact"/>
        </w:trPr>
        <w:tc>
          <w:tcPr>
            <w:tcW w:w="340" w:type="dxa"/>
          </w:tcPr>
          <w:p>
            <w:pPr>
              <w:pStyle w:val="TableParagraph"/>
              <w:spacing w:before="82"/>
              <w:ind w:left="106"/>
              <w:jc w:val="left"/>
              <w:rPr>
                <w:sz w:val="12"/>
              </w:rPr>
            </w:pPr>
            <w:r>
              <w:rPr>
                <w:color w:val="010202"/>
                <w:sz w:val="12"/>
              </w:rPr>
              <w:t>45</w:t>
            </w:r>
          </w:p>
        </w:tc>
        <w:tc>
          <w:tcPr>
            <w:tcW w:w="794" w:type="dxa"/>
          </w:tcPr>
          <w:p>
            <w:pPr/>
          </w:p>
        </w:tc>
        <w:tc>
          <w:tcPr>
            <w:tcW w:w="2551" w:type="dxa"/>
          </w:tcPr>
          <w:p>
            <w:pPr>
              <w:pStyle w:val="TableParagraph"/>
              <w:spacing w:before="68"/>
              <w:ind w:left="1" w:right="2"/>
              <w:rPr>
                <w:rFonts w:ascii="Palatino Linotype" w:hAnsi="Palatino Linotype"/>
                <w:b/>
                <w:sz w:val="12"/>
              </w:rPr>
            </w:pPr>
            <w:r>
              <w:rPr>
                <w:rFonts w:ascii="Palatino Linotype" w:hAnsi="Palatino Linotype"/>
                <w:b/>
                <w:color w:val="010202"/>
                <w:w w:val="95"/>
                <w:sz w:val="12"/>
              </w:rPr>
              <w:t>Ingeniería en Espumas S.A. de C.V.</w:t>
            </w:r>
          </w:p>
        </w:tc>
        <w:tc>
          <w:tcPr>
            <w:tcW w:w="567" w:type="dxa"/>
          </w:tcPr>
          <w:p>
            <w:pPr>
              <w:pStyle w:val="TableParagraph"/>
              <w:spacing w:before="82"/>
              <w:ind w:right="1"/>
              <w:rPr>
                <w:sz w:val="12"/>
              </w:rPr>
            </w:pPr>
            <w:r>
              <w:rPr>
                <w:color w:val="010202"/>
                <w:w w:val="96"/>
                <w:sz w:val="12"/>
              </w:rPr>
              <w:t>1</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5" w:right="106"/>
              <w:rPr>
                <w:sz w:val="12"/>
              </w:rPr>
            </w:pPr>
            <w:r>
              <w:rPr>
                <w:color w:val="010202"/>
                <w:sz w:val="12"/>
              </w:rPr>
              <w:t>Adhesivos con cortes especiales</w:t>
            </w:r>
          </w:p>
        </w:tc>
      </w:tr>
      <w:tr>
        <w:trPr>
          <w:trHeight w:val="510" w:hRule="exact"/>
        </w:trPr>
        <w:tc>
          <w:tcPr>
            <w:tcW w:w="340" w:type="dxa"/>
          </w:tcPr>
          <w:p>
            <w:pPr>
              <w:pStyle w:val="TableParagraph"/>
              <w:spacing w:before="9"/>
              <w:jc w:val="left"/>
              <w:rPr>
                <w:sz w:val="15"/>
              </w:rPr>
            </w:pPr>
          </w:p>
          <w:p>
            <w:pPr>
              <w:pStyle w:val="TableParagraph"/>
              <w:ind w:left="106"/>
              <w:jc w:val="left"/>
              <w:rPr>
                <w:sz w:val="12"/>
              </w:rPr>
            </w:pPr>
            <w:r>
              <w:rPr>
                <w:color w:val="010202"/>
                <w:sz w:val="12"/>
              </w:rPr>
              <w:t>46</w:t>
            </w:r>
          </w:p>
        </w:tc>
        <w:tc>
          <w:tcPr>
            <w:tcW w:w="794" w:type="dxa"/>
          </w:tcPr>
          <w:p>
            <w:pPr/>
          </w:p>
        </w:tc>
        <w:tc>
          <w:tcPr>
            <w:tcW w:w="2551" w:type="dxa"/>
          </w:tcPr>
          <w:p>
            <w:pPr>
              <w:pStyle w:val="TableParagraph"/>
              <w:spacing w:before="6"/>
              <w:jc w:val="left"/>
              <w:rPr>
                <w:sz w:val="14"/>
              </w:rPr>
            </w:pPr>
          </w:p>
          <w:p>
            <w:pPr>
              <w:pStyle w:val="TableParagraph"/>
              <w:rPr>
                <w:rFonts w:ascii="Palatino Linotype"/>
                <w:b/>
                <w:sz w:val="12"/>
              </w:rPr>
            </w:pPr>
            <w:r>
              <w:rPr>
                <w:rFonts w:ascii="Palatino Linotype"/>
                <w:b/>
                <w:color w:val="010202"/>
                <w:w w:val="95"/>
                <w:sz w:val="12"/>
              </w:rPr>
              <w:t>Liberty Mexicana, S.A. de C.V.</w:t>
            </w:r>
          </w:p>
        </w:tc>
        <w:tc>
          <w:tcPr>
            <w:tcW w:w="567" w:type="dxa"/>
          </w:tcPr>
          <w:p>
            <w:pPr/>
          </w:p>
        </w:tc>
        <w:tc>
          <w:tcPr>
            <w:tcW w:w="567" w:type="dxa"/>
          </w:tcPr>
          <w:p>
            <w:pPr/>
          </w:p>
        </w:tc>
        <w:tc>
          <w:tcPr>
            <w:tcW w:w="2381" w:type="dxa"/>
          </w:tcPr>
          <w:p>
            <w:pPr>
              <w:pStyle w:val="TableParagraph"/>
              <w:spacing w:before="6"/>
              <w:jc w:val="left"/>
              <w:rPr>
                <w:sz w:val="10"/>
              </w:rPr>
            </w:pPr>
          </w:p>
          <w:p>
            <w:pPr>
              <w:pStyle w:val="TableParagraph"/>
              <w:spacing w:line="132" w:lineRule="exact" w:before="1"/>
              <w:ind w:left="934" w:right="-17" w:hanging="769"/>
              <w:jc w:val="left"/>
              <w:rPr>
                <w:sz w:val="12"/>
              </w:rPr>
            </w:pPr>
            <w:r>
              <w:rPr>
                <w:color w:val="010202"/>
                <w:sz w:val="12"/>
              </w:rPr>
              <w:t>Fabricación, ensamble y reconstrucción de autopartes</w:t>
            </w:r>
          </w:p>
        </w:tc>
      </w:tr>
      <w:tr>
        <w:trPr>
          <w:trHeight w:val="312" w:hRule="exact"/>
        </w:trPr>
        <w:tc>
          <w:tcPr>
            <w:tcW w:w="340" w:type="dxa"/>
          </w:tcPr>
          <w:p>
            <w:pPr>
              <w:pStyle w:val="TableParagraph"/>
              <w:spacing w:before="82"/>
              <w:ind w:left="106"/>
              <w:jc w:val="left"/>
              <w:rPr>
                <w:sz w:val="12"/>
              </w:rPr>
            </w:pPr>
            <w:r>
              <w:rPr>
                <w:color w:val="010202"/>
                <w:sz w:val="12"/>
              </w:rPr>
              <w:t>47</w:t>
            </w:r>
          </w:p>
        </w:tc>
        <w:tc>
          <w:tcPr>
            <w:tcW w:w="794" w:type="dxa"/>
          </w:tcPr>
          <w:p>
            <w:pPr/>
          </w:p>
        </w:tc>
        <w:tc>
          <w:tcPr>
            <w:tcW w:w="2551" w:type="dxa"/>
          </w:tcPr>
          <w:p>
            <w:pPr>
              <w:pStyle w:val="TableParagraph"/>
              <w:spacing w:before="68"/>
              <w:ind w:left="1" w:right="2"/>
              <w:rPr>
                <w:rFonts w:ascii="Palatino Linotype"/>
                <w:b/>
                <w:sz w:val="12"/>
              </w:rPr>
            </w:pPr>
            <w:r>
              <w:rPr>
                <w:rFonts w:ascii="Palatino Linotype"/>
                <w:b/>
                <w:color w:val="010202"/>
                <w:w w:val="95"/>
                <w:sz w:val="12"/>
              </w:rPr>
              <w:t>Micro abrasivos, S.A. DE C.V.</w:t>
            </w:r>
          </w:p>
        </w:tc>
        <w:tc>
          <w:tcPr>
            <w:tcW w:w="567" w:type="dxa"/>
          </w:tcPr>
          <w:p>
            <w:pPr>
              <w:pStyle w:val="TableParagraph"/>
              <w:spacing w:before="82"/>
              <w:ind w:left="45" w:right="46"/>
              <w:rPr>
                <w:sz w:val="12"/>
              </w:rPr>
            </w:pPr>
            <w:r>
              <w:rPr>
                <w:color w:val="010202"/>
                <w:sz w:val="12"/>
              </w:rPr>
              <w:t>1 y 2</w:t>
            </w:r>
          </w:p>
        </w:tc>
        <w:tc>
          <w:tcPr>
            <w:tcW w:w="567" w:type="dxa"/>
          </w:tcPr>
          <w:p>
            <w:pPr>
              <w:pStyle w:val="TableParagraph"/>
              <w:spacing w:before="82"/>
              <w:ind w:left="243"/>
              <w:jc w:val="left"/>
              <w:rPr>
                <w:sz w:val="12"/>
              </w:rPr>
            </w:pPr>
            <w:r>
              <w:rPr>
                <w:color w:val="010202"/>
                <w:w w:val="101"/>
                <w:sz w:val="12"/>
              </w:rPr>
              <w:t>P</w:t>
            </w:r>
          </w:p>
        </w:tc>
        <w:tc>
          <w:tcPr>
            <w:tcW w:w="2381" w:type="dxa"/>
          </w:tcPr>
          <w:p>
            <w:pPr>
              <w:pStyle w:val="TableParagraph"/>
              <w:spacing w:before="82"/>
              <w:ind w:left="106" w:right="106"/>
              <w:rPr>
                <w:sz w:val="12"/>
              </w:rPr>
            </w:pPr>
            <w:r>
              <w:rPr>
                <w:color w:val="010202"/>
                <w:w w:val="95"/>
                <w:sz w:val="12"/>
              </w:rPr>
              <w:t>Polvos abrasivos</w:t>
            </w:r>
          </w:p>
        </w:tc>
      </w:tr>
      <w:tr>
        <w:trPr>
          <w:trHeight w:val="312" w:hRule="exact"/>
        </w:trPr>
        <w:tc>
          <w:tcPr>
            <w:tcW w:w="340" w:type="dxa"/>
          </w:tcPr>
          <w:p>
            <w:pPr>
              <w:pStyle w:val="TableParagraph"/>
              <w:spacing w:before="82"/>
              <w:ind w:left="106"/>
              <w:jc w:val="left"/>
              <w:rPr>
                <w:sz w:val="12"/>
              </w:rPr>
            </w:pPr>
            <w:r>
              <w:rPr>
                <w:color w:val="010202"/>
                <w:sz w:val="12"/>
              </w:rPr>
              <w:t>48</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Mincer HD,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ind w:left="223"/>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Mazas de hierro de frenos</w:t>
            </w:r>
          </w:p>
        </w:tc>
      </w:tr>
      <w:tr>
        <w:trPr>
          <w:trHeight w:val="312" w:hRule="exact"/>
        </w:trPr>
        <w:tc>
          <w:tcPr>
            <w:tcW w:w="340" w:type="dxa"/>
          </w:tcPr>
          <w:p>
            <w:pPr>
              <w:pStyle w:val="TableParagraph"/>
              <w:spacing w:before="82"/>
              <w:ind w:left="106"/>
              <w:jc w:val="left"/>
              <w:rPr>
                <w:sz w:val="12"/>
              </w:rPr>
            </w:pPr>
            <w:r>
              <w:rPr>
                <w:color w:val="010202"/>
                <w:sz w:val="12"/>
              </w:rPr>
              <w:t>49</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Motor Wheel Mincer México,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Fabricación de tambores, masas y rotores</w:t>
            </w:r>
          </w:p>
        </w:tc>
      </w:tr>
      <w:tr>
        <w:trPr>
          <w:trHeight w:val="312" w:hRule="exact"/>
        </w:trPr>
        <w:tc>
          <w:tcPr>
            <w:tcW w:w="340" w:type="dxa"/>
          </w:tcPr>
          <w:p>
            <w:pPr>
              <w:pStyle w:val="TableParagraph"/>
              <w:spacing w:before="82"/>
              <w:ind w:left="106"/>
              <w:jc w:val="left"/>
              <w:rPr>
                <w:sz w:val="12"/>
              </w:rPr>
            </w:pPr>
            <w:r>
              <w:rPr>
                <w:color w:val="010202"/>
                <w:sz w:val="12"/>
              </w:rPr>
              <w:t>50</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Pinturas y Carrocerías,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3"/>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Carrocerías de fibra de vidrio</w:t>
            </w:r>
          </w:p>
        </w:tc>
      </w:tr>
    </w:tbl>
    <w:p>
      <w:pPr>
        <w:spacing w:after="0"/>
        <w:rPr>
          <w:sz w:val="12"/>
        </w:rPr>
        <w:sectPr>
          <w:pgSz w:w="9640" w:h="13040"/>
          <w:pgMar w:header="580" w:footer="654" w:top="780" w:bottom="840" w:left="1200" w:right="420"/>
        </w:sectPr>
      </w:pPr>
    </w:p>
    <w:p>
      <w:pPr>
        <w:pStyle w:val="BodyText"/>
        <w:rPr>
          <w:sz w:val="20"/>
        </w:rPr>
      </w:pPr>
    </w:p>
    <w:p>
      <w:pPr>
        <w:pStyle w:val="BodyText"/>
        <w:rPr>
          <w:sz w:val="20"/>
        </w:rPr>
      </w:pPr>
    </w:p>
    <w:p>
      <w:pPr>
        <w:pStyle w:val="BodyText"/>
        <w:spacing w:before="4"/>
        <w:rPr>
          <w:sz w:val="10"/>
        </w:rPr>
      </w:pPr>
    </w:p>
    <w:tbl>
      <w:tblPr>
        <w:tblW w:w="0" w:type="auto"/>
        <w:jc w:val="left"/>
        <w:tblInd w:w="7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52" w:hRule="exact"/>
        </w:trPr>
        <w:tc>
          <w:tcPr>
            <w:tcW w:w="340" w:type="dxa"/>
          </w:tcPr>
          <w:p>
            <w:pPr>
              <w:pStyle w:val="TableParagraph"/>
              <w:spacing w:before="4"/>
              <w:jc w:val="left"/>
              <w:rPr>
                <w:sz w:val="16"/>
              </w:rPr>
            </w:pPr>
          </w:p>
          <w:p>
            <w:pPr>
              <w:pStyle w:val="TableParagraph"/>
              <w:ind w:left="46" w:right="46"/>
              <w:rPr>
                <w:rFonts w:ascii="Palatino Linotype"/>
                <w:b/>
                <w:sz w:val="12"/>
              </w:rPr>
            </w:pPr>
            <w:r>
              <w:rPr>
                <w:rFonts w:ascii="Palatino Linotype"/>
                <w:b/>
                <w:color w:val="010202"/>
                <w:sz w:val="12"/>
              </w:rPr>
              <w:t>No.</w:t>
            </w:r>
          </w:p>
        </w:tc>
        <w:tc>
          <w:tcPr>
            <w:tcW w:w="794" w:type="dxa"/>
          </w:tcPr>
          <w:p>
            <w:pPr>
              <w:pStyle w:val="TableParagraph"/>
              <w:spacing w:before="4"/>
              <w:jc w:val="left"/>
              <w:rPr>
                <w:sz w:val="16"/>
              </w:rPr>
            </w:pPr>
          </w:p>
          <w:p>
            <w:pPr>
              <w:pStyle w:val="TableParagraph"/>
              <w:ind w:right="128"/>
              <w:jc w:val="right"/>
              <w:rPr>
                <w:rFonts w:ascii="Palatino Linotype"/>
                <w:b/>
                <w:sz w:val="12"/>
              </w:rPr>
            </w:pPr>
            <w:r>
              <w:rPr>
                <w:rFonts w:ascii="Palatino Linotype"/>
                <w:b/>
                <w:color w:val="010202"/>
                <w:w w:val="90"/>
                <w:sz w:val="12"/>
              </w:rPr>
              <w:t>Municipio</w:t>
            </w:r>
          </w:p>
        </w:tc>
        <w:tc>
          <w:tcPr>
            <w:tcW w:w="2551" w:type="dxa"/>
          </w:tcPr>
          <w:p>
            <w:pPr>
              <w:pStyle w:val="TableParagraph"/>
              <w:spacing w:before="4"/>
              <w:jc w:val="left"/>
              <w:rPr>
                <w:sz w:val="16"/>
              </w:rPr>
            </w:pPr>
          </w:p>
          <w:p>
            <w:pPr>
              <w:pStyle w:val="TableParagraph"/>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4"/>
              <w:jc w:val="left"/>
              <w:rPr>
                <w:sz w:val="16"/>
              </w:rPr>
            </w:pPr>
          </w:p>
          <w:p>
            <w:pPr>
              <w:pStyle w:val="TableParagraph"/>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77"/>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4"/>
              <w:jc w:val="left"/>
              <w:rPr>
                <w:sz w:val="16"/>
              </w:rPr>
            </w:pPr>
          </w:p>
          <w:p>
            <w:pPr>
              <w:pStyle w:val="TableParagraph"/>
              <w:ind w:left="106" w:right="106"/>
              <w:rPr>
                <w:rFonts w:ascii="Palatino Linotype"/>
                <w:b/>
                <w:sz w:val="12"/>
              </w:rPr>
            </w:pPr>
            <w:r>
              <w:rPr>
                <w:rFonts w:ascii="Palatino Linotype"/>
                <w:b/>
                <w:color w:val="010202"/>
                <w:w w:val="90"/>
                <w:sz w:val="12"/>
              </w:rPr>
              <w:t>Principales productos</w:t>
            </w:r>
          </w:p>
        </w:tc>
      </w:tr>
      <w:tr>
        <w:trPr>
          <w:trHeight w:val="340" w:hRule="exact"/>
        </w:trPr>
        <w:tc>
          <w:tcPr>
            <w:tcW w:w="340" w:type="dxa"/>
          </w:tcPr>
          <w:p>
            <w:pPr>
              <w:pStyle w:val="TableParagraph"/>
              <w:spacing w:before="96"/>
              <w:ind w:left="46" w:right="46"/>
              <w:rPr>
                <w:sz w:val="12"/>
              </w:rPr>
            </w:pPr>
            <w:r>
              <w:rPr>
                <w:color w:val="010202"/>
                <w:sz w:val="12"/>
              </w:rPr>
              <w:t>51</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Polímeros Flexinova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Acojinamiento automotriz</w:t>
            </w:r>
          </w:p>
        </w:tc>
      </w:tr>
      <w:tr>
        <w:trPr>
          <w:trHeight w:val="446" w:hRule="exact"/>
        </w:trPr>
        <w:tc>
          <w:tcPr>
            <w:tcW w:w="340" w:type="dxa"/>
          </w:tcPr>
          <w:p>
            <w:pPr>
              <w:pStyle w:val="TableParagraph"/>
              <w:jc w:val="left"/>
              <w:rPr>
                <w:sz w:val="13"/>
              </w:rPr>
            </w:pPr>
          </w:p>
          <w:p>
            <w:pPr>
              <w:pStyle w:val="TableParagraph"/>
              <w:ind w:left="46" w:right="46"/>
              <w:rPr>
                <w:sz w:val="12"/>
              </w:rPr>
            </w:pPr>
            <w:r>
              <w:rPr>
                <w:color w:val="010202"/>
                <w:sz w:val="12"/>
              </w:rPr>
              <w:t>52</w:t>
            </w:r>
          </w:p>
        </w:tc>
        <w:tc>
          <w:tcPr>
            <w:tcW w:w="794" w:type="dxa"/>
          </w:tcPr>
          <w:p>
            <w:pPr/>
          </w:p>
        </w:tc>
        <w:tc>
          <w:tcPr>
            <w:tcW w:w="2551" w:type="dxa"/>
          </w:tcPr>
          <w:p>
            <w:pPr>
              <w:pStyle w:val="TableParagraph"/>
              <w:spacing w:before="9"/>
              <w:jc w:val="left"/>
              <w:rPr>
                <w:sz w:val="11"/>
              </w:rPr>
            </w:pPr>
          </w:p>
          <w:p>
            <w:pPr>
              <w:pStyle w:val="TableParagraph"/>
              <w:rPr>
                <w:rFonts w:ascii="Palatino Linotype"/>
                <w:b/>
                <w:sz w:val="12"/>
              </w:rPr>
            </w:pPr>
            <w:r>
              <w:rPr>
                <w:rFonts w:ascii="Palatino Linotype"/>
                <w:b/>
                <w:color w:val="010202"/>
                <w:w w:val="90"/>
                <w:sz w:val="12"/>
              </w:rPr>
              <w:t>Poliresinas Huettenes Albertus, S.A. de C.V.</w:t>
            </w:r>
          </w:p>
        </w:tc>
        <w:tc>
          <w:tcPr>
            <w:tcW w:w="567" w:type="dxa"/>
          </w:tcPr>
          <w:p>
            <w:pPr/>
          </w:p>
        </w:tc>
        <w:tc>
          <w:tcPr>
            <w:tcW w:w="567" w:type="dxa"/>
          </w:tcPr>
          <w:p>
            <w:pPr/>
          </w:p>
        </w:tc>
        <w:tc>
          <w:tcPr>
            <w:tcW w:w="2381" w:type="dxa"/>
          </w:tcPr>
          <w:p>
            <w:pPr>
              <w:pStyle w:val="TableParagraph"/>
              <w:spacing w:line="132" w:lineRule="exact" w:before="90"/>
              <w:ind w:left="910" w:right="56" w:hanging="811"/>
              <w:jc w:val="left"/>
              <w:rPr>
                <w:sz w:val="12"/>
              </w:rPr>
            </w:pPr>
            <w:r>
              <w:rPr>
                <w:color w:val="010202"/>
                <w:sz w:val="12"/>
              </w:rPr>
              <w:t>Resinas sinólicas para la industria automotriz y fundición</w:t>
            </w:r>
          </w:p>
        </w:tc>
      </w:tr>
      <w:tr>
        <w:trPr>
          <w:trHeight w:val="340" w:hRule="exact"/>
        </w:trPr>
        <w:tc>
          <w:tcPr>
            <w:tcW w:w="340" w:type="dxa"/>
          </w:tcPr>
          <w:p>
            <w:pPr>
              <w:pStyle w:val="TableParagraph"/>
              <w:spacing w:before="96"/>
              <w:ind w:left="46" w:right="46"/>
              <w:rPr>
                <w:sz w:val="12"/>
              </w:rPr>
            </w:pPr>
            <w:r>
              <w:rPr>
                <w:color w:val="010202"/>
                <w:sz w:val="12"/>
              </w:rPr>
              <w:t>53</w:t>
            </w:r>
          </w:p>
        </w:tc>
        <w:tc>
          <w:tcPr>
            <w:tcW w:w="794" w:type="dxa"/>
          </w:tcPr>
          <w:p>
            <w:pPr/>
          </w:p>
        </w:tc>
        <w:tc>
          <w:tcPr>
            <w:tcW w:w="2551" w:type="dxa"/>
          </w:tcPr>
          <w:p>
            <w:pPr>
              <w:pStyle w:val="TableParagraph"/>
              <w:spacing w:line="147" w:lineRule="exact" w:before="16"/>
              <w:ind w:left="174" w:right="69"/>
              <w:jc w:val="left"/>
              <w:rPr>
                <w:rFonts w:ascii="Palatino Linotype"/>
                <w:b/>
                <w:sz w:val="12"/>
              </w:rPr>
            </w:pPr>
            <w:r>
              <w:rPr>
                <w:rFonts w:ascii="Palatino Linotype"/>
                <w:b/>
                <w:color w:val="010202"/>
                <w:w w:val="95"/>
                <w:sz w:val="12"/>
              </w:rPr>
              <w:t>Productos especializados para la industria,</w:t>
            </w:r>
          </w:p>
          <w:p>
            <w:pPr>
              <w:pStyle w:val="TableParagraph"/>
              <w:spacing w:line="147" w:lineRule="exact"/>
              <w:ind w:left="970" w:right="69"/>
              <w:jc w:val="left"/>
              <w:rPr>
                <w:rFonts w:ascii="Palatino Linotype"/>
                <w:b/>
                <w:sz w:val="12"/>
              </w:rPr>
            </w:pPr>
            <w:r>
              <w:rPr>
                <w:rFonts w:ascii="Palatino Linotype"/>
                <w:b/>
                <w:color w:val="010202"/>
                <w:w w:val="95"/>
                <w:sz w:val="12"/>
              </w:rPr>
              <w:t>S.A. de C.V.</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Tornillos</w:t>
            </w:r>
          </w:p>
        </w:tc>
      </w:tr>
      <w:tr>
        <w:trPr>
          <w:trHeight w:val="340" w:hRule="exact"/>
        </w:trPr>
        <w:tc>
          <w:tcPr>
            <w:tcW w:w="340" w:type="dxa"/>
          </w:tcPr>
          <w:p>
            <w:pPr>
              <w:pStyle w:val="TableParagraph"/>
              <w:spacing w:before="96"/>
              <w:ind w:left="46" w:right="46"/>
              <w:rPr>
                <w:sz w:val="12"/>
              </w:rPr>
            </w:pPr>
            <w:r>
              <w:rPr>
                <w:color w:val="010202"/>
                <w:sz w:val="12"/>
              </w:rPr>
              <w:t>54</w:t>
            </w:r>
          </w:p>
        </w:tc>
        <w:tc>
          <w:tcPr>
            <w:tcW w:w="794" w:type="dxa"/>
          </w:tcPr>
          <w:p>
            <w:pPr/>
          </w:p>
        </w:tc>
        <w:tc>
          <w:tcPr>
            <w:tcW w:w="2551" w:type="dxa"/>
          </w:tcPr>
          <w:p>
            <w:pPr>
              <w:pStyle w:val="TableParagraph"/>
              <w:spacing w:before="82"/>
              <w:rPr>
                <w:rFonts w:ascii="Palatino Linotype"/>
                <w:b/>
                <w:sz w:val="12"/>
              </w:rPr>
            </w:pPr>
            <w:r>
              <w:rPr>
                <w:rFonts w:ascii="Palatino Linotype"/>
                <w:b/>
                <w:color w:val="010202"/>
                <w:w w:val="95"/>
                <w:sz w:val="12"/>
              </w:rPr>
              <w:t>Rassini, S.A. de C.V. (Planta Xalostoc)</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rPr>
                <w:sz w:val="12"/>
              </w:rPr>
            </w:pPr>
            <w:r>
              <w:rPr>
                <w:color w:val="010202"/>
                <w:w w:val="99"/>
                <w:sz w:val="12"/>
              </w:rPr>
              <w:t>G</w:t>
            </w:r>
          </w:p>
        </w:tc>
        <w:tc>
          <w:tcPr>
            <w:tcW w:w="2381" w:type="dxa"/>
          </w:tcPr>
          <w:p>
            <w:pPr>
              <w:pStyle w:val="TableParagraph"/>
              <w:spacing w:before="96"/>
              <w:ind w:left="106" w:right="106"/>
              <w:rPr>
                <w:sz w:val="12"/>
              </w:rPr>
            </w:pPr>
            <w:r>
              <w:rPr>
                <w:color w:val="010202"/>
                <w:sz w:val="12"/>
              </w:rPr>
              <w:t>Frenos; barras de torsión; componentes</w:t>
            </w:r>
          </w:p>
        </w:tc>
      </w:tr>
      <w:tr>
        <w:trPr>
          <w:trHeight w:val="340" w:hRule="exact"/>
        </w:trPr>
        <w:tc>
          <w:tcPr>
            <w:tcW w:w="340" w:type="dxa"/>
          </w:tcPr>
          <w:p>
            <w:pPr>
              <w:pStyle w:val="TableParagraph"/>
              <w:spacing w:before="96"/>
              <w:ind w:left="46" w:right="46"/>
              <w:rPr>
                <w:sz w:val="12"/>
              </w:rPr>
            </w:pPr>
            <w:r>
              <w:rPr>
                <w:color w:val="010202"/>
                <w:sz w:val="12"/>
              </w:rPr>
              <w:t>55</w:t>
            </w:r>
          </w:p>
        </w:tc>
        <w:tc>
          <w:tcPr>
            <w:tcW w:w="794" w:type="dxa"/>
          </w:tcPr>
          <w:p>
            <w:pPr>
              <w:pStyle w:val="TableParagraph"/>
              <w:spacing w:before="96"/>
              <w:ind w:right="99"/>
              <w:jc w:val="right"/>
              <w:rPr>
                <w:sz w:val="12"/>
              </w:rPr>
            </w:pPr>
            <w:r>
              <w:rPr>
                <w:color w:val="010202"/>
                <w:sz w:val="12"/>
              </w:rPr>
              <w:t>Huehuetoca</w:t>
            </w:r>
          </w:p>
        </w:tc>
        <w:tc>
          <w:tcPr>
            <w:tcW w:w="2551" w:type="dxa"/>
          </w:tcPr>
          <w:p>
            <w:pPr>
              <w:pStyle w:val="TableParagraph"/>
              <w:spacing w:before="82"/>
              <w:rPr>
                <w:rFonts w:ascii="Palatino Linotype"/>
                <w:b/>
                <w:sz w:val="12"/>
              </w:rPr>
            </w:pPr>
            <w:r>
              <w:rPr>
                <w:rFonts w:ascii="Palatino Linotype"/>
                <w:b/>
                <w:color w:val="010202"/>
                <w:w w:val="95"/>
                <w:sz w:val="12"/>
              </w:rPr>
              <w:t>Aleaciones finas S.A. de C.V. (Gpo. Unik)</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Aleación de aluminio</w:t>
            </w:r>
          </w:p>
        </w:tc>
      </w:tr>
      <w:tr>
        <w:trPr>
          <w:trHeight w:val="340" w:hRule="exact"/>
        </w:trPr>
        <w:tc>
          <w:tcPr>
            <w:tcW w:w="340" w:type="dxa"/>
          </w:tcPr>
          <w:p>
            <w:pPr>
              <w:pStyle w:val="TableParagraph"/>
              <w:spacing w:before="96"/>
              <w:ind w:left="46" w:right="46"/>
              <w:rPr>
                <w:sz w:val="12"/>
              </w:rPr>
            </w:pPr>
            <w:r>
              <w:rPr>
                <w:color w:val="010202"/>
                <w:sz w:val="12"/>
              </w:rPr>
              <w:t>56</w:t>
            </w:r>
          </w:p>
        </w:tc>
        <w:tc>
          <w:tcPr>
            <w:tcW w:w="794" w:type="dxa"/>
          </w:tcPr>
          <w:p>
            <w:pPr/>
          </w:p>
        </w:tc>
        <w:tc>
          <w:tcPr>
            <w:tcW w:w="2551" w:type="dxa"/>
          </w:tcPr>
          <w:p>
            <w:pPr>
              <w:pStyle w:val="TableParagraph"/>
              <w:spacing w:before="83"/>
              <w:rPr>
                <w:rFonts w:ascii="Palatino Linotype"/>
                <w:b/>
                <w:sz w:val="12"/>
              </w:rPr>
            </w:pPr>
            <w:r>
              <w:rPr>
                <w:rFonts w:ascii="Palatino Linotype"/>
                <w:b/>
                <w:color w:val="010202"/>
                <w:sz w:val="12"/>
              </w:rPr>
              <w:t>Ayco</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Carrocerías, autopartes metálicas</w:t>
            </w:r>
          </w:p>
        </w:tc>
      </w:tr>
      <w:tr>
        <w:trPr>
          <w:trHeight w:val="340" w:hRule="exact"/>
        </w:trPr>
        <w:tc>
          <w:tcPr>
            <w:tcW w:w="340" w:type="dxa"/>
          </w:tcPr>
          <w:p>
            <w:pPr>
              <w:pStyle w:val="TableParagraph"/>
              <w:spacing w:before="97"/>
              <w:ind w:left="46" w:right="46"/>
              <w:rPr>
                <w:sz w:val="12"/>
              </w:rPr>
            </w:pPr>
            <w:r>
              <w:rPr>
                <w:color w:val="010202"/>
                <w:sz w:val="12"/>
              </w:rPr>
              <w:t>57</w:t>
            </w:r>
          </w:p>
        </w:tc>
        <w:tc>
          <w:tcPr>
            <w:tcW w:w="794" w:type="dxa"/>
          </w:tcPr>
          <w:p>
            <w:pPr>
              <w:pStyle w:val="TableParagraph"/>
              <w:spacing w:before="97"/>
              <w:ind w:right="140"/>
              <w:jc w:val="right"/>
              <w:rPr>
                <w:sz w:val="12"/>
              </w:rPr>
            </w:pPr>
            <w:r>
              <w:rPr>
                <w:color w:val="010202"/>
                <w:sz w:val="12"/>
              </w:rPr>
              <w:t>Ixtapaluca</w:t>
            </w:r>
          </w:p>
        </w:tc>
        <w:tc>
          <w:tcPr>
            <w:tcW w:w="2551" w:type="dxa"/>
          </w:tcPr>
          <w:p>
            <w:pPr>
              <w:pStyle w:val="TableParagraph"/>
              <w:spacing w:before="83"/>
              <w:rPr>
                <w:rFonts w:ascii="Palatino Linotype"/>
                <w:b/>
                <w:sz w:val="12"/>
              </w:rPr>
            </w:pPr>
            <w:r>
              <w:rPr>
                <w:rFonts w:ascii="Palatino Linotype"/>
                <w:b/>
                <w:color w:val="010202"/>
                <w:w w:val="90"/>
                <w:sz w:val="12"/>
              </w:rPr>
              <w:t>Estampados y tubulares nacionales, S.A. DE C.V.</w:t>
            </w:r>
          </w:p>
        </w:tc>
        <w:tc>
          <w:tcPr>
            <w:tcW w:w="567" w:type="dxa"/>
          </w:tcPr>
          <w:p>
            <w:pPr>
              <w:pStyle w:val="TableParagraph"/>
              <w:spacing w:before="97"/>
              <w:ind w:left="46" w:right="46"/>
              <w:rPr>
                <w:sz w:val="12"/>
              </w:rPr>
            </w:pPr>
            <w:r>
              <w:rPr>
                <w:color w:val="010202"/>
                <w:sz w:val="12"/>
              </w:rPr>
              <w:t>1 y 2</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Tubos de combustible</w:t>
            </w:r>
          </w:p>
        </w:tc>
      </w:tr>
      <w:tr>
        <w:trPr>
          <w:trHeight w:val="454" w:hRule="exact"/>
        </w:trPr>
        <w:tc>
          <w:tcPr>
            <w:tcW w:w="340" w:type="dxa"/>
          </w:tcPr>
          <w:p>
            <w:pPr>
              <w:pStyle w:val="TableParagraph"/>
              <w:spacing w:before="4"/>
              <w:jc w:val="left"/>
              <w:rPr>
                <w:sz w:val="13"/>
              </w:rPr>
            </w:pPr>
          </w:p>
          <w:p>
            <w:pPr>
              <w:pStyle w:val="TableParagraph"/>
              <w:ind w:left="46" w:right="46"/>
              <w:rPr>
                <w:sz w:val="12"/>
              </w:rPr>
            </w:pPr>
            <w:r>
              <w:rPr>
                <w:color w:val="010202"/>
                <w:sz w:val="12"/>
              </w:rPr>
              <w:t>58</w:t>
            </w:r>
          </w:p>
        </w:tc>
        <w:tc>
          <w:tcPr>
            <w:tcW w:w="794" w:type="dxa"/>
          </w:tcPr>
          <w:p>
            <w:pPr/>
          </w:p>
        </w:tc>
        <w:tc>
          <w:tcPr>
            <w:tcW w:w="2551" w:type="dxa"/>
          </w:tcPr>
          <w:p>
            <w:pPr>
              <w:pStyle w:val="TableParagraph"/>
              <w:spacing w:line="132" w:lineRule="exact" w:before="94"/>
              <w:ind w:left="1060" w:right="94" w:hanging="891"/>
              <w:jc w:val="left"/>
              <w:rPr>
                <w:rFonts w:ascii="Palatino Linotype"/>
                <w:b/>
                <w:sz w:val="12"/>
              </w:rPr>
            </w:pPr>
            <w:r>
              <w:rPr>
                <w:rFonts w:ascii="Palatino Linotype"/>
                <w:b/>
                <w:color w:val="010202"/>
                <w:w w:val="95"/>
                <w:sz w:val="12"/>
              </w:rPr>
              <w:t>Industria de Cristal Templado, S.A. de C.V. </w:t>
            </w:r>
            <w:r>
              <w:rPr>
                <w:rFonts w:ascii="Palatino Linotype"/>
                <w:b/>
                <w:color w:val="010202"/>
                <w:sz w:val="12"/>
              </w:rPr>
              <w:t>(Incrite)</w:t>
            </w:r>
          </w:p>
        </w:tc>
        <w:tc>
          <w:tcPr>
            <w:tcW w:w="567" w:type="dxa"/>
          </w:tcPr>
          <w:p>
            <w:pPr>
              <w:pStyle w:val="TableParagraph"/>
              <w:spacing w:before="4"/>
              <w:jc w:val="left"/>
              <w:rPr>
                <w:sz w:val="13"/>
              </w:rPr>
            </w:pPr>
          </w:p>
          <w:p>
            <w:pPr>
              <w:pStyle w:val="TableParagraph"/>
              <w:rPr>
                <w:sz w:val="12"/>
              </w:rPr>
            </w:pPr>
            <w:r>
              <w:rPr>
                <w:color w:val="010202"/>
                <w:w w:val="96"/>
                <w:sz w:val="12"/>
              </w:rPr>
              <w:t>1</w:t>
            </w:r>
          </w:p>
        </w:tc>
        <w:tc>
          <w:tcPr>
            <w:tcW w:w="567" w:type="dxa"/>
          </w:tcPr>
          <w:p>
            <w:pPr>
              <w:pStyle w:val="TableParagraph"/>
              <w:spacing w:before="4"/>
              <w:jc w:val="left"/>
              <w:rPr>
                <w:sz w:val="13"/>
              </w:rPr>
            </w:pPr>
          </w:p>
          <w:p>
            <w:pPr>
              <w:pStyle w:val="TableParagraph"/>
              <w:rPr>
                <w:sz w:val="12"/>
              </w:rPr>
            </w:pPr>
            <w:r>
              <w:rPr>
                <w:color w:val="010202"/>
                <w:w w:val="101"/>
                <w:sz w:val="12"/>
              </w:rPr>
              <w:t>P</w:t>
            </w:r>
          </w:p>
        </w:tc>
        <w:tc>
          <w:tcPr>
            <w:tcW w:w="2381" w:type="dxa"/>
          </w:tcPr>
          <w:p>
            <w:pPr>
              <w:pStyle w:val="TableParagraph"/>
              <w:spacing w:before="4"/>
              <w:jc w:val="left"/>
              <w:rPr>
                <w:sz w:val="13"/>
              </w:rPr>
            </w:pPr>
          </w:p>
          <w:p>
            <w:pPr>
              <w:pStyle w:val="TableParagraph"/>
              <w:ind w:left="106" w:right="106"/>
              <w:rPr>
                <w:sz w:val="12"/>
              </w:rPr>
            </w:pPr>
            <w:r>
              <w:rPr>
                <w:color w:val="010202"/>
                <w:sz w:val="12"/>
              </w:rPr>
              <w:t>Cristal templado y blindaje automotriz</w:t>
            </w:r>
          </w:p>
        </w:tc>
      </w:tr>
      <w:tr>
        <w:trPr>
          <w:trHeight w:val="454" w:hRule="exact"/>
        </w:trPr>
        <w:tc>
          <w:tcPr>
            <w:tcW w:w="340" w:type="dxa"/>
          </w:tcPr>
          <w:p>
            <w:pPr>
              <w:pStyle w:val="TableParagraph"/>
              <w:spacing w:before="4"/>
              <w:jc w:val="left"/>
              <w:rPr>
                <w:sz w:val="13"/>
              </w:rPr>
            </w:pPr>
          </w:p>
          <w:p>
            <w:pPr>
              <w:pStyle w:val="TableParagraph"/>
              <w:ind w:left="46" w:right="46"/>
              <w:rPr>
                <w:sz w:val="12"/>
              </w:rPr>
            </w:pPr>
            <w:r>
              <w:rPr>
                <w:color w:val="010202"/>
                <w:sz w:val="12"/>
              </w:rPr>
              <w:t>59</w:t>
            </w:r>
          </w:p>
        </w:tc>
        <w:tc>
          <w:tcPr>
            <w:tcW w:w="794" w:type="dxa"/>
          </w:tcPr>
          <w:p>
            <w:pPr>
              <w:pStyle w:val="TableParagraph"/>
              <w:spacing w:before="4"/>
              <w:jc w:val="left"/>
              <w:rPr>
                <w:sz w:val="13"/>
              </w:rPr>
            </w:pPr>
          </w:p>
          <w:p>
            <w:pPr>
              <w:pStyle w:val="TableParagraph"/>
              <w:ind w:left="235"/>
              <w:jc w:val="left"/>
              <w:rPr>
                <w:sz w:val="12"/>
              </w:rPr>
            </w:pPr>
            <w:r>
              <w:rPr>
                <w:color w:val="010202"/>
                <w:sz w:val="12"/>
              </w:rPr>
              <w:t>La Paz</w:t>
            </w:r>
          </w:p>
        </w:tc>
        <w:tc>
          <w:tcPr>
            <w:tcW w:w="2551" w:type="dxa"/>
          </w:tcPr>
          <w:p>
            <w:pPr>
              <w:pStyle w:val="TableParagraph"/>
              <w:spacing w:before="1"/>
              <w:jc w:val="left"/>
              <w:rPr>
                <w:sz w:val="12"/>
              </w:rPr>
            </w:pPr>
          </w:p>
          <w:p>
            <w:pPr>
              <w:pStyle w:val="TableParagraph"/>
              <w:rPr>
                <w:rFonts w:ascii="Palatino Linotype"/>
                <w:b/>
                <w:sz w:val="12"/>
              </w:rPr>
            </w:pPr>
            <w:r>
              <w:rPr>
                <w:rFonts w:ascii="Palatino Linotype"/>
                <w:b/>
                <w:color w:val="010202"/>
                <w:w w:val="95"/>
                <w:sz w:val="12"/>
              </w:rPr>
              <w:t>Itapsa, S.A. de C.V.</w:t>
            </w:r>
          </w:p>
        </w:tc>
        <w:tc>
          <w:tcPr>
            <w:tcW w:w="567" w:type="dxa"/>
          </w:tcPr>
          <w:p>
            <w:pPr/>
          </w:p>
        </w:tc>
        <w:tc>
          <w:tcPr>
            <w:tcW w:w="567" w:type="dxa"/>
          </w:tcPr>
          <w:p>
            <w:pPr/>
          </w:p>
        </w:tc>
        <w:tc>
          <w:tcPr>
            <w:tcW w:w="2381" w:type="dxa"/>
          </w:tcPr>
          <w:p>
            <w:pPr>
              <w:pStyle w:val="TableParagraph"/>
              <w:spacing w:line="132" w:lineRule="exact" w:before="94"/>
              <w:ind w:left="614" w:right="-17" w:hanging="361"/>
              <w:jc w:val="left"/>
              <w:rPr>
                <w:sz w:val="12"/>
              </w:rPr>
            </w:pPr>
            <w:r>
              <w:rPr>
                <w:color w:val="010202"/>
                <w:sz w:val="12"/>
              </w:rPr>
              <w:t>Fabricación de partes y accesorios para automóviles y camiones</w:t>
            </w:r>
          </w:p>
        </w:tc>
      </w:tr>
      <w:tr>
        <w:trPr>
          <w:trHeight w:val="340" w:hRule="exact"/>
        </w:trPr>
        <w:tc>
          <w:tcPr>
            <w:tcW w:w="340" w:type="dxa"/>
          </w:tcPr>
          <w:p>
            <w:pPr>
              <w:pStyle w:val="TableParagraph"/>
              <w:spacing w:before="97"/>
              <w:ind w:left="46" w:right="46"/>
              <w:rPr>
                <w:sz w:val="12"/>
              </w:rPr>
            </w:pPr>
            <w:r>
              <w:rPr>
                <w:color w:val="010202"/>
                <w:sz w:val="12"/>
              </w:rPr>
              <w:t>60</w:t>
            </w:r>
          </w:p>
        </w:tc>
        <w:tc>
          <w:tcPr>
            <w:tcW w:w="794" w:type="dxa"/>
          </w:tcPr>
          <w:p>
            <w:pPr>
              <w:pStyle w:val="TableParagraph"/>
              <w:spacing w:before="97"/>
              <w:ind w:left="235"/>
              <w:jc w:val="left"/>
              <w:rPr>
                <w:sz w:val="12"/>
              </w:rPr>
            </w:pPr>
            <w:r>
              <w:rPr>
                <w:color w:val="010202"/>
                <w:sz w:val="12"/>
              </w:rPr>
              <w:t>Lerma</w:t>
            </w:r>
          </w:p>
        </w:tc>
        <w:tc>
          <w:tcPr>
            <w:tcW w:w="2551" w:type="dxa"/>
          </w:tcPr>
          <w:p>
            <w:pPr>
              <w:pStyle w:val="TableParagraph"/>
              <w:spacing w:before="83"/>
              <w:rPr>
                <w:rFonts w:ascii="Palatino Linotype"/>
                <w:b/>
                <w:sz w:val="12"/>
              </w:rPr>
            </w:pPr>
            <w:r>
              <w:rPr>
                <w:rFonts w:ascii="Palatino Linotype"/>
                <w:b/>
                <w:color w:val="010202"/>
                <w:w w:val="95"/>
                <w:sz w:val="12"/>
              </w:rPr>
              <w:t>Atsugi Mexicana S.A. de C.V.</w:t>
            </w:r>
          </w:p>
        </w:tc>
        <w:tc>
          <w:tcPr>
            <w:tcW w:w="567" w:type="dxa"/>
          </w:tcPr>
          <w:p>
            <w:pPr/>
          </w:p>
        </w:tc>
        <w:tc>
          <w:tcPr>
            <w:tcW w:w="567" w:type="dxa"/>
          </w:tcPr>
          <w:p>
            <w:pPr/>
          </w:p>
        </w:tc>
        <w:tc>
          <w:tcPr>
            <w:tcW w:w="2381" w:type="dxa"/>
          </w:tcPr>
          <w:p>
            <w:pPr>
              <w:pStyle w:val="TableParagraph"/>
              <w:spacing w:line="132" w:lineRule="exact" w:before="37"/>
              <w:ind w:left="1024" w:right="-17" w:hanging="845"/>
              <w:jc w:val="left"/>
              <w:rPr>
                <w:sz w:val="12"/>
              </w:rPr>
            </w:pPr>
            <w:r>
              <w:rPr>
                <w:color w:val="010202"/>
                <w:sz w:val="12"/>
              </w:rPr>
              <w:t>Bomba de aceite, bomba de agua, cubierta frontal</w:t>
            </w:r>
          </w:p>
        </w:tc>
      </w:tr>
      <w:tr>
        <w:trPr>
          <w:trHeight w:val="340" w:hRule="exact"/>
        </w:trPr>
        <w:tc>
          <w:tcPr>
            <w:tcW w:w="340" w:type="dxa"/>
          </w:tcPr>
          <w:p>
            <w:pPr>
              <w:pStyle w:val="TableParagraph"/>
              <w:spacing w:before="97"/>
              <w:ind w:left="46" w:right="46"/>
              <w:rPr>
                <w:sz w:val="12"/>
              </w:rPr>
            </w:pPr>
            <w:r>
              <w:rPr>
                <w:color w:val="010202"/>
                <w:sz w:val="12"/>
              </w:rPr>
              <w:t>61</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Auma Lerma, S.A. de C.V.</w:t>
            </w:r>
          </w:p>
        </w:tc>
        <w:tc>
          <w:tcPr>
            <w:tcW w:w="567" w:type="dxa"/>
          </w:tcPr>
          <w:p>
            <w:pPr>
              <w:pStyle w:val="TableParagraph"/>
              <w:spacing w:before="97"/>
              <w:ind w:left="46" w:right="46"/>
              <w:rPr>
                <w:sz w:val="12"/>
              </w:rPr>
            </w:pPr>
            <w:r>
              <w:rPr>
                <w:color w:val="010202"/>
                <w:sz w:val="12"/>
              </w:rPr>
              <w:t>1 y 2</w:t>
            </w:r>
          </w:p>
        </w:tc>
        <w:tc>
          <w:tcPr>
            <w:tcW w:w="567" w:type="dxa"/>
          </w:tcPr>
          <w:p>
            <w:pPr>
              <w:pStyle w:val="TableParagraph"/>
              <w:spacing w:before="97"/>
              <w:rPr>
                <w:sz w:val="12"/>
              </w:rPr>
            </w:pPr>
            <w:r>
              <w:rPr>
                <w:color w:val="010202"/>
                <w:w w:val="99"/>
                <w:sz w:val="12"/>
              </w:rPr>
              <w:t>G</w:t>
            </w:r>
          </w:p>
        </w:tc>
        <w:tc>
          <w:tcPr>
            <w:tcW w:w="2381" w:type="dxa"/>
          </w:tcPr>
          <w:p>
            <w:pPr>
              <w:pStyle w:val="TableParagraph"/>
              <w:spacing w:before="97"/>
              <w:ind w:left="106" w:right="106"/>
              <w:rPr>
                <w:sz w:val="12"/>
              </w:rPr>
            </w:pPr>
            <w:r>
              <w:rPr>
                <w:color w:val="010202"/>
                <w:sz w:val="12"/>
              </w:rPr>
              <w:t>Componentes de aluminio</w:t>
            </w:r>
          </w:p>
        </w:tc>
      </w:tr>
      <w:tr>
        <w:trPr>
          <w:trHeight w:val="510" w:hRule="exact"/>
        </w:trPr>
        <w:tc>
          <w:tcPr>
            <w:tcW w:w="340" w:type="dxa"/>
          </w:tcPr>
          <w:p>
            <w:pPr>
              <w:pStyle w:val="TableParagraph"/>
              <w:spacing w:before="9"/>
              <w:jc w:val="left"/>
              <w:rPr>
                <w:sz w:val="15"/>
              </w:rPr>
            </w:pPr>
          </w:p>
          <w:p>
            <w:pPr>
              <w:pStyle w:val="TableParagraph"/>
              <w:ind w:left="46" w:right="46"/>
              <w:rPr>
                <w:sz w:val="12"/>
              </w:rPr>
            </w:pPr>
            <w:r>
              <w:rPr>
                <w:color w:val="010202"/>
                <w:sz w:val="12"/>
              </w:rPr>
              <w:t>62</w:t>
            </w:r>
          </w:p>
        </w:tc>
        <w:tc>
          <w:tcPr>
            <w:tcW w:w="794" w:type="dxa"/>
          </w:tcPr>
          <w:p>
            <w:pPr/>
          </w:p>
        </w:tc>
        <w:tc>
          <w:tcPr>
            <w:tcW w:w="2551" w:type="dxa"/>
          </w:tcPr>
          <w:p>
            <w:pPr>
              <w:pStyle w:val="TableParagraph"/>
              <w:spacing w:before="6"/>
              <w:jc w:val="left"/>
              <w:rPr>
                <w:sz w:val="14"/>
              </w:rPr>
            </w:pPr>
          </w:p>
          <w:p>
            <w:pPr>
              <w:pStyle w:val="TableParagraph"/>
              <w:spacing w:before="1"/>
              <w:rPr>
                <w:rFonts w:ascii="Palatino Linotype" w:hAnsi="Palatino Linotype"/>
                <w:b/>
                <w:sz w:val="12"/>
              </w:rPr>
            </w:pPr>
            <w:r>
              <w:rPr>
                <w:rFonts w:ascii="Palatino Linotype" w:hAnsi="Palatino Linotype"/>
                <w:b/>
                <w:color w:val="010202"/>
                <w:w w:val="95"/>
                <w:sz w:val="12"/>
              </w:rPr>
              <w:t>Autolive México, S.A. de C.V.</w:t>
            </w:r>
          </w:p>
        </w:tc>
        <w:tc>
          <w:tcPr>
            <w:tcW w:w="567" w:type="dxa"/>
          </w:tcPr>
          <w:p>
            <w:pPr/>
          </w:p>
        </w:tc>
        <w:tc>
          <w:tcPr>
            <w:tcW w:w="567" w:type="dxa"/>
          </w:tcPr>
          <w:p>
            <w:pPr/>
          </w:p>
        </w:tc>
        <w:tc>
          <w:tcPr>
            <w:tcW w:w="2381" w:type="dxa"/>
          </w:tcPr>
          <w:p>
            <w:pPr>
              <w:pStyle w:val="TableParagraph"/>
              <w:spacing w:before="7"/>
              <w:jc w:val="left"/>
              <w:rPr>
                <w:sz w:val="10"/>
              </w:rPr>
            </w:pPr>
          </w:p>
          <w:p>
            <w:pPr>
              <w:pStyle w:val="TableParagraph"/>
              <w:spacing w:line="132" w:lineRule="exact"/>
              <w:ind w:left="284" w:right="-17" w:firstLine="27"/>
              <w:jc w:val="left"/>
              <w:rPr>
                <w:sz w:val="12"/>
              </w:rPr>
            </w:pPr>
            <w:r>
              <w:rPr>
                <w:color w:val="010202"/>
                <w:sz w:val="12"/>
              </w:rPr>
              <w:t>Fabricación de equipos de seguridad automotriz (cinturones automotrices)</w:t>
            </w:r>
          </w:p>
        </w:tc>
      </w:tr>
      <w:tr>
        <w:trPr>
          <w:trHeight w:val="612" w:hRule="exact"/>
        </w:trPr>
        <w:tc>
          <w:tcPr>
            <w:tcW w:w="340" w:type="dxa"/>
          </w:tcPr>
          <w:p>
            <w:pPr>
              <w:pStyle w:val="TableParagraph"/>
              <w:jc w:val="left"/>
              <w:rPr>
                <w:sz w:val="12"/>
              </w:rPr>
            </w:pPr>
          </w:p>
          <w:p>
            <w:pPr>
              <w:pStyle w:val="TableParagraph"/>
              <w:spacing w:before="95"/>
              <w:ind w:left="46" w:right="46"/>
              <w:rPr>
                <w:sz w:val="12"/>
              </w:rPr>
            </w:pPr>
            <w:r>
              <w:rPr>
                <w:color w:val="010202"/>
                <w:sz w:val="12"/>
              </w:rPr>
              <w:t>63</w:t>
            </w:r>
          </w:p>
        </w:tc>
        <w:tc>
          <w:tcPr>
            <w:tcW w:w="794" w:type="dxa"/>
          </w:tcPr>
          <w:p>
            <w:pPr/>
          </w:p>
        </w:tc>
        <w:tc>
          <w:tcPr>
            <w:tcW w:w="2551" w:type="dxa"/>
          </w:tcPr>
          <w:p>
            <w:pPr>
              <w:pStyle w:val="TableParagraph"/>
              <w:jc w:val="left"/>
              <w:rPr>
                <w:sz w:val="12"/>
              </w:rPr>
            </w:pPr>
          </w:p>
          <w:p>
            <w:pPr>
              <w:pStyle w:val="TableParagraph"/>
              <w:spacing w:before="81"/>
              <w:rPr>
                <w:rFonts w:ascii="Palatino Linotype"/>
                <w:b/>
                <w:sz w:val="12"/>
              </w:rPr>
            </w:pPr>
            <w:r>
              <w:rPr>
                <w:rFonts w:ascii="Palatino Linotype"/>
                <w:b/>
                <w:color w:val="010202"/>
                <w:w w:val="95"/>
                <w:sz w:val="12"/>
              </w:rPr>
              <w:t>Crucetas mexicanas, S.A. de C.V.</w:t>
            </w:r>
          </w:p>
        </w:tc>
        <w:tc>
          <w:tcPr>
            <w:tcW w:w="567" w:type="dxa"/>
          </w:tcPr>
          <w:p>
            <w:pPr/>
          </w:p>
        </w:tc>
        <w:tc>
          <w:tcPr>
            <w:tcW w:w="567" w:type="dxa"/>
          </w:tcPr>
          <w:p>
            <w:pPr/>
          </w:p>
        </w:tc>
        <w:tc>
          <w:tcPr>
            <w:tcW w:w="2381" w:type="dxa"/>
          </w:tcPr>
          <w:p>
            <w:pPr>
              <w:pStyle w:val="TableParagraph"/>
              <w:spacing w:line="132" w:lineRule="exact" w:before="107"/>
              <w:ind w:left="62" w:right="60"/>
              <w:rPr>
                <w:sz w:val="12"/>
              </w:rPr>
            </w:pPr>
            <w:r>
              <w:rPr>
                <w:color w:val="010202"/>
                <w:sz w:val="12"/>
              </w:rPr>
              <w:t>Fabricación de terminales de dirección, crucetas, cordón y sus partes para automóviles y camiones</w:t>
            </w:r>
          </w:p>
        </w:tc>
      </w:tr>
      <w:tr>
        <w:trPr>
          <w:trHeight w:val="510" w:hRule="exact"/>
        </w:trPr>
        <w:tc>
          <w:tcPr>
            <w:tcW w:w="340" w:type="dxa"/>
          </w:tcPr>
          <w:p>
            <w:pPr>
              <w:pStyle w:val="TableParagraph"/>
              <w:spacing w:before="9"/>
              <w:jc w:val="left"/>
              <w:rPr>
                <w:sz w:val="15"/>
              </w:rPr>
            </w:pPr>
          </w:p>
          <w:p>
            <w:pPr>
              <w:pStyle w:val="TableParagraph"/>
              <w:ind w:left="46" w:right="46"/>
              <w:rPr>
                <w:sz w:val="12"/>
              </w:rPr>
            </w:pPr>
            <w:r>
              <w:rPr>
                <w:color w:val="010202"/>
                <w:sz w:val="12"/>
              </w:rPr>
              <w:t>64</w:t>
            </w:r>
          </w:p>
        </w:tc>
        <w:tc>
          <w:tcPr>
            <w:tcW w:w="794" w:type="dxa"/>
          </w:tcPr>
          <w:p>
            <w:pPr/>
          </w:p>
        </w:tc>
        <w:tc>
          <w:tcPr>
            <w:tcW w:w="2551" w:type="dxa"/>
          </w:tcPr>
          <w:p>
            <w:pPr>
              <w:pStyle w:val="TableParagraph"/>
              <w:spacing w:line="147" w:lineRule="exact" w:before="102"/>
              <w:ind w:left="94" w:right="69"/>
              <w:jc w:val="left"/>
              <w:rPr>
                <w:rFonts w:ascii="Palatino Linotype" w:hAnsi="Palatino Linotype"/>
                <w:b/>
                <w:sz w:val="12"/>
              </w:rPr>
            </w:pPr>
            <w:r>
              <w:rPr>
                <w:rFonts w:ascii="Palatino Linotype" w:hAnsi="Palatino Linotype"/>
                <w:b/>
                <w:color w:val="010202"/>
                <w:w w:val="95"/>
                <w:sz w:val="12"/>
              </w:rPr>
              <w:t>Mahle</w:t>
            </w:r>
            <w:r>
              <w:rPr>
                <w:rFonts w:ascii="Palatino Linotype" w:hAnsi="Palatino Linotype"/>
                <w:b/>
                <w:color w:val="010202"/>
                <w:spacing w:val="-19"/>
                <w:w w:val="95"/>
                <w:sz w:val="12"/>
              </w:rPr>
              <w:t> </w:t>
            </w:r>
            <w:r>
              <w:rPr>
                <w:rFonts w:ascii="Palatino Linotype" w:hAnsi="Palatino Linotype"/>
                <w:b/>
                <w:color w:val="010202"/>
                <w:w w:val="95"/>
                <w:sz w:val="12"/>
              </w:rPr>
              <w:t>Componentes</w:t>
            </w:r>
            <w:r>
              <w:rPr>
                <w:rFonts w:ascii="Palatino Linotype" w:hAnsi="Palatino Linotype"/>
                <w:b/>
                <w:color w:val="010202"/>
                <w:spacing w:val="-19"/>
                <w:w w:val="95"/>
                <w:sz w:val="12"/>
              </w:rPr>
              <w:t> </w:t>
            </w:r>
            <w:r>
              <w:rPr>
                <w:rFonts w:ascii="Palatino Linotype" w:hAnsi="Palatino Linotype"/>
                <w:b/>
                <w:color w:val="010202"/>
                <w:w w:val="95"/>
                <w:sz w:val="12"/>
              </w:rPr>
              <w:t>de</w:t>
            </w:r>
            <w:r>
              <w:rPr>
                <w:rFonts w:ascii="Palatino Linotype" w:hAnsi="Palatino Linotype"/>
                <w:b/>
                <w:color w:val="010202"/>
                <w:spacing w:val="-19"/>
                <w:w w:val="95"/>
                <w:sz w:val="12"/>
              </w:rPr>
              <w:t> </w:t>
            </w:r>
            <w:r>
              <w:rPr>
                <w:rFonts w:ascii="Palatino Linotype" w:hAnsi="Palatino Linotype"/>
                <w:b/>
                <w:color w:val="010202"/>
                <w:w w:val="95"/>
                <w:sz w:val="12"/>
              </w:rPr>
              <w:t>Motor</w:t>
            </w:r>
            <w:r>
              <w:rPr>
                <w:rFonts w:ascii="Palatino Linotype" w:hAnsi="Palatino Linotype"/>
                <w:b/>
                <w:color w:val="010202"/>
                <w:spacing w:val="-19"/>
                <w:w w:val="95"/>
                <w:sz w:val="12"/>
              </w:rPr>
              <w:t> </w:t>
            </w:r>
            <w:r>
              <w:rPr>
                <w:rFonts w:ascii="Palatino Linotype" w:hAnsi="Palatino Linotype"/>
                <w:b/>
                <w:color w:val="010202"/>
                <w:w w:val="95"/>
                <w:sz w:val="12"/>
              </w:rPr>
              <w:t>de</w:t>
            </w:r>
            <w:r>
              <w:rPr>
                <w:rFonts w:ascii="Palatino Linotype" w:hAnsi="Palatino Linotype"/>
                <w:b/>
                <w:color w:val="010202"/>
                <w:spacing w:val="-19"/>
                <w:w w:val="95"/>
                <w:sz w:val="12"/>
              </w:rPr>
              <w:t> </w:t>
            </w:r>
            <w:r>
              <w:rPr>
                <w:rFonts w:ascii="Palatino Linotype" w:hAnsi="Palatino Linotype"/>
                <w:b/>
                <w:color w:val="010202"/>
                <w:w w:val="95"/>
                <w:sz w:val="12"/>
              </w:rPr>
              <w:t>México,</w:t>
            </w:r>
            <w:r>
              <w:rPr>
                <w:rFonts w:ascii="Palatino Linotype" w:hAnsi="Palatino Linotype"/>
                <w:b/>
                <w:color w:val="010202"/>
                <w:spacing w:val="-19"/>
                <w:w w:val="95"/>
                <w:sz w:val="12"/>
              </w:rPr>
              <w:t> </w:t>
            </w:r>
            <w:r>
              <w:rPr>
                <w:rFonts w:ascii="Palatino Linotype" w:hAnsi="Palatino Linotype"/>
                <w:b/>
                <w:color w:val="010202"/>
                <w:w w:val="95"/>
                <w:sz w:val="12"/>
              </w:rPr>
              <w:t>S.</w:t>
            </w:r>
            <w:r>
              <w:rPr>
                <w:rFonts w:ascii="Palatino Linotype" w:hAnsi="Palatino Linotype"/>
                <w:b/>
                <w:color w:val="010202"/>
                <w:spacing w:val="-19"/>
                <w:w w:val="95"/>
                <w:sz w:val="12"/>
              </w:rPr>
              <w:t> </w:t>
            </w:r>
            <w:r>
              <w:rPr>
                <w:rFonts w:ascii="Palatino Linotype" w:hAnsi="Palatino Linotype"/>
                <w:b/>
                <w:color w:val="010202"/>
                <w:w w:val="95"/>
                <w:sz w:val="12"/>
              </w:rPr>
              <w:t>de</w:t>
            </w:r>
          </w:p>
          <w:p>
            <w:pPr>
              <w:pStyle w:val="TableParagraph"/>
              <w:spacing w:line="147" w:lineRule="exact"/>
              <w:ind w:left="753" w:right="69"/>
              <w:jc w:val="left"/>
              <w:rPr>
                <w:rFonts w:ascii="Palatino Linotype"/>
                <w:b/>
                <w:sz w:val="12"/>
              </w:rPr>
            </w:pPr>
            <w:r>
              <w:rPr>
                <w:rFonts w:ascii="Palatino Linotype"/>
                <w:b/>
                <w:color w:val="010202"/>
                <w:w w:val="95"/>
                <w:sz w:val="12"/>
              </w:rPr>
              <w:t>R.L. de C.V. (Toluca)</w:t>
            </w:r>
          </w:p>
        </w:tc>
        <w:tc>
          <w:tcPr>
            <w:tcW w:w="567" w:type="dxa"/>
          </w:tcPr>
          <w:p>
            <w:pPr>
              <w:pStyle w:val="TableParagraph"/>
              <w:spacing w:before="9"/>
              <w:jc w:val="left"/>
              <w:rPr>
                <w:sz w:val="15"/>
              </w:rPr>
            </w:pPr>
          </w:p>
          <w:p>
            <w:pPr>
              <w:pStyle w:val="TableParagraph"/>
              <w:rPr>
                <w:sz w:val="12"/>
              </w:rPr>
            </w:pPr>
            <w:r>
              <w:rPr>
                <w:color w:val="010202"/>
                <w:w w:val="96"/>
                <w:sz w:val="12"/>
              </w:rPr>
              <w:t>1</w:t>
            </w:r>
          </w:p>
        </w:tc>
        <w:tc>
          <w:tcPr>
            <w:tcW w:w="567" w:type="dxa"/>
          </w:tcPr>
          <w:p>
            <w:pPr>
              <w:pStyle w:val="TableParagraph"/>
              <w:spacing w:before="9"/>
              <w:jc w:val="left"/>
              <w:rPr>
                <w:sz w:val="15"/>
              </w:rPr>
            </w:pPr>
          </w:p>
          <w:p>
            <w:pPr>
              <w:pStyle w:val="TableParagraph"/>
              <w:rPr>
                <w:sz w:val="12"/>
              </w:rPr>
            </w:pPr>
            <w:r>
              <w:rPr>
                <w:color w:val="010202"/>
                <w:w w:val="100"/>
                <w:sz w:val="12"/>
              </w:rPr>
              <w:t>M</w:t>
            </w:r>
          </w:p>
        </w:tc>
        <w:tc>
          <w:tcPr>
            <w:tcW w:w="2381" w:type="dxa"/>
          </w:tcPr>
          <w:p>
            <w:pPr>
              <w:pStyle w:val="TableParagraph"/>
              <w:spacing w:before="7"/>
              <w:jc w:val="left"/>
              <w:rPr>
                <w:sz w:val="10"/>
              </w:rPr>
            </w:pPr>
          </w:p>
          <w:p>
            <w:pPr>
              <w:pStyle w:val="TableParagraph"/>
              <w:spacing w:line="132" w:lineRule="exact"/>
              <w:ind w:left="630" w:right="-17" w:hanging="552"/>
              <w:jc w:val="left"/>
              <w:rPr>
                <w:sz w:val="12"/>
              </w:rPr>
            </w:pPr>
            <w:r>
              <w:rPr>
                <w:color w:val="010202"/>
                <w:sz w:val="12"/>
              </w:rPr>
              <w:t>Componentes para motor (anillos para pistón, camisas, cojinetes, etc.)</w:t>
            </w:r>
          </w:p>
        </w:tc>
      </w:tr>
      <w:tr>
        <w:trPr>
          <w:trHeight w:val="635" w:hRule="exact"/>
        </w:trPr>
        <w:tc>
          <w:tcPr>
            <w:tcW w:w="340" w:type="dxa"/>
          </w:tcPr>
          <w:p>
            <w:pPr>
              <w:pStyle w:val="TableParagraph"/>
              <w:jc w:val="left"/>
              <w:rPr>
                <w:sz w:val="12"/>
              </w:rPr>
            </w:pPr>
          </w:p>
          <w:p>
            <w:pPr>
              <w:pStyle w:val="TableParagraph"/>
              <w:spacing w:before="106"/>
              <w:ind w:left="46" w:right="46"/>
              <w:rPr>
                <w:sz w:val="12"/>
              </w:rPr>
            </w:pPr>
            <w:r>
              <w:rPr>
                <w:color w:val="010202"/>
                <w:sz w:val="12"/>
              </w:rPr>
              <w:t>65</w:t>
            </w:r>
          </w:p>
        </w:tc>
        <w:tc>
          <w:tcPr>
            <w:tcW w:w="794" w:type="dxa"/>
          </w:tcPr>
          <w:p>
            <w:pPr/>
          </w:p>
        </w:tc>
        <w:tc>
          <w:tcPr>
            <w:tcW w:w="2551" w:type="dxa"/>
          </w:tcPr>
          <w:p>
            <w:pPr>
              <w:pStyle w:val="TableParagraph"/>
              <w:jc w:val="left"/>
              <w:rPr>
                <w:sz w:val="12"/>
              </w:rPr>
            </w:pPr>
          </w:p>
          <w:p>
            <w:pPr>
              <w:pStyle w:val="TableParagraph"/>
              <w:spacing w:before="92"/>
              <w:rPr>
                <w:rFonts w:ascii="Palatino Linotype"/>
                <w:b/>
                <w:sz w:val="12"/>
              </w:rPr>
            </w:pPr>
            <w:r>
              <w:rPr>
                <w:rFonts w:ascii="Palatino Linotype"/>
                <w:b/>
                <w:color w:val="010202"/>
                <w:w w:val="95"/>
                <w:sz w:val="12"/>
              </w:rPr>
              <w:t>Plastic Tec, S.A. de C.V. (Planta Lerma)</w:t>
            </w:r>
          </w:p>
        </w:tc>
        <w:tc>
          <w:tcPr>
            <w:tcW w:w="567" w:type="dxa"/>
          </w:tcPr>
          <w:p>
            <w:pPr>
              <w:pStyle w:val="TableParagraph"/>
              <w:jc w:val="left"/>
              <w:rPr>
                <w:sz w:val="12"/>
              </w:rPr>
            </w:pPr>
          </w:p>
          <w:p>
            <w:pPr>
              <w:pStyle w:val="TableParagraph"/>
              <w:spacing w:before="106"/>
              <w:rPr>
                <w:sz w:val="12"/>
              </w:rPr>
            </w:pPr>
            <w:r>
              <w:rPr>
                <w:color w:val="010202"/>
                <w:w w:val="96"/>
                <w:sz w:val="12"/>
              </w:rPr>
              <w:t>1</w:t>
            </w:r>
          </w:p>
        </w:tc>
        <w:tc>
          <w:tcPr>
            <w:tcW w:w="567" w:type="dxa"/>
          </w:tcPr>
          <w:p>
            <w:pPr>
              <w:pStyle w:val="TableParagraph"/>
              <w:jc w:val="left"/>
              <w:rPr>
                <w:sz w:val="12"/>
              </w:rPr>
            </w:pPr>
          </w:p>
          <w:p>
            <w:pPr>
              <w:pStyle w:val="TableParagraph"/>
              <w:spacing w:before="106"/>
              <w:rPr>
                <w:sz w:val="12"/>
              </w:rPr>
            </w:pPr>
            <w:r>
              <w:rPr>
                <w:color w:val="010202"/>
                <w:w w:val="100"/>
                <w:sz w:val="12"/>
              </w:rPr>
              <w:t>M</w:t>
            </w:r>
          </w:p>
        </w:tc>
        <w:tc>
          <w:tcPr>
            <w:tcW w:w="2381" w:type="dxa"/>
          </w:tcPr>
          <w:p>
            <w:pPr>
              <w:pStyle w:val="TableParagraph"/>
              <w:spacing w:before="3"/>
              <w:jc w:val="left"/>
              <w:rPr>
                <w:sz w:val="10"/>
              </w:rPr>
            </w:pPr>
          </w:p>
          <w:p>
            <w:pPr>
              <w:pStyle w:val="TableParagraph"/>
              <w:spacing w:line="132" w:lineRule="exact"/>
              <w:ind w:left="47" w:right="44"/>
              <w:rPr>
                <w:sz w:val="12"/>
              </w:rPr>
            </w:pPr>
            <w:r>
              <w:rPr>
                <w:color w:val="010202"/>
                <w:sz w:val="12"/>
              </w:rPr>
              <w:t>Se encarga del moldeado de inyección plástica de partes automotrices, de su pintado y de ensamblaje</w:t>
            </w:r>
          </w:p>
        </w:tc>
      </w:tr>
      <w:tr>
        <w:trPr>
          <w:trHeight w:val="340" w:hRule="exact"/>
        </w:trPr>
        <w:tc>
          <w:tcPr>
            <w:tcW w:w="340" w:type="dxa"/>
          </w:tcPr>
          <w:p>
            <w:pPr>
              <w:pStyle w:val="TableParagraph"/>
              <w:spacing w:before="97"/>
              <w:ind w:left="46" w:right="46"/>
              <w:rPr>
                <w:sz w:val="12"/>
              </w:rPr>
            </w:pPr>
            <w:r>
              <w:rPr>
                <w:color w:val="010202"/>
                <w:sz w:val="12"/>
              </w:rPr>
              <w:t>66</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Sesamee Mexicana,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Comercializadora de herrajes</w:t>
            </w:r>
          </w:p>
        </w:tc>
      </w:tr>
      <w:tr>
        <w:trPr>
          <w:trHeight w:val="340" w:hRule="exact"/>
        </w:trPr>
        <w:tc>
          <w:tcPr>
            <w:tcW w:w="340" w:type="dxa"/>
          </w:tcPr>
          <w:p>
            <w:pPr>
              <w:pStyle w:val="TableParagraph"/>
              <w:spacing w:before="97"/>
              <w:ind w:left="46" w:right="46"/>
              <w:rPr>
                <w:sz w:val="12"/>
              </w:rPr>
            </w:pPr>
            <w:r>
              <w:rPr>
                <w:color w:val="010202"/>
                <w:sz w:val="12"/>
              </w:rPr>
              <w:t>67</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Unisia Mexicana,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99"/>
                <w:sz w:val="12"/>
              </w:rPr>
              <w:t>G</w:t>
            </w:r>
          </w:p>
        </w:tc>
        <w:tc>
          <w:tcPr>
            <w:tcW w:w="2381" w:type="dxa"/>
          </w:tcPr>
          <w:p>
            <w:pPr>
              <w:pStyle w:val="TableParagraph"/>
              <w:spacing w:before="97"/>
              <w:ind w:left="106" w:right="106"/>
              <w:rPr>
                <w:sz w:val="12"/>
              </w:rPr>
            </w:pPr>
            <w:r>
              <w:rPr>
                <w:color w:val="010202"/>
                <w:sz w:val="12"/>
              </w:rPr>
              <w:t>Estampados</w:t>
            </w:r>
          </w:p>
        </w:tc>
      </w:tr>
      <w:tr>
        <w:trPr>
          <w:trHeight w:val="340" w:hRule="exact"/>
        </w:trPr>
        <w:tc>
          <w:tcPr>
            <w:tcW w:w="340" w:type="dxa"/>
          </w:tcPr>
          <w:p>
            <w:pPr>
              <w:pStyle w:val="TableParagraph"/>
              <w:spacing w:before="97"/>
              <w:ind w:left="46" w:right="46"/>
              <w:rPr>
                <w:sz w:val="12"/>
              </w:rPr>
            </w:pPr>
            <w:r>
              <w:rPr>
                <w:color w:val="010202"/>
                <w:sz w:val="12"/>
              </w:rPr>
              <w:t>68</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WMD, S.A. de C.V.</w:t>
            </w:r>
          </w:p>
        </w:tc>
        <w:tc>
          <w:tcPr>
            <w:tcW w:w="567" w:type="dxa"/>
          </w:tcPr>
          <w:p>
            <w:pPr>
              <w:pStyle w:val="TableParagraph"/>
              <w:spacing w:before="97"/>
              <w:rPr>
                <w:sz w:val="12"/>
              </w:rPr>
            </w:pPr>
            <w:r>
              <w:rPr>
                <w:color w:val="010202"/>
                <w:w w:val="96"/>
                <w:sz w:val="12"/>
              </w:rPr>
              <w:t>2</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Partes metálicas</w:t>
            </w:r>
          </w:p>
        </w:tc>
      </w:tr>
      <w:tr>
        <w:trPr>
          <w:trHeight w:val="454" w:hRule="exact"/>
        </w:trPr>
        <w:tc>
          <w:tcPr>
            <w:tcW w:w="340" w:type="dxa"/>
          </w:tcPr>
          <w:p>
            <w:pPr>
              <w:pStyle w:val="TableParagraph"/>
              <w:spacing w:before="4"/>
              <w:jc w:val="left"/>
              <w:rPr>
                <w:sz w:val="13"/>
              </w:rPr>
            </w:pPr>
          </w:p>
          <w:p>
            <w:pPr>
              <w:pStyle w:val="TableParagraph"/>
              <w:ind w:left="46" w:right="46"/>
              <w:rPr>
                <w:sz w:val="12"/>
              </w:rPr>
            </w:pPr>
            <w:r>
              <w:rPr>
                <w:color w:val="010202"/>
                <w:sz w:val="12"/>
              </w:rPr>
              <w:t>69</w:t>
            </w:r>
          </w:p>
        </w:tc>
        <w:tc>
          <w:tcPr>
            <w:tcW w:w="794" w:type="dxa"/>
          </w:tcPr>
          <w:p>
            <w:pPr>
              <w:pStyle w:val="TableParagraph"/>
              <w:spacing w:line="132" w:lineRule="exact" w:before="94"/>
              <w:ind w:left="235" w:right="81" w:hanging="80"/>
              <w:jc w:val="left"/>
              <w:rPr>
                <w:sz w:val="12"/>
              </w:rPr>
            </w:pPr>
            <w:r>
              <w:rPr>
                <w:color w:val="010202"/>
                <w:w w:val="95"/>
                <w:sz w:val="12"/>
              </w:rPr>
              <w:t>Los Reyes </w:t>
            </w:r>
            <w:r>
              <w:rPr>
                <w:color w:val="010202"/>
                <w:sz w:val="12"/>
              </w:rPr>
              <w:t>La Paz</w:t>
            </w:r>
          </w:p>
        </w:tc>
        <w:tc>
          <w:tcPr>
            <w:tcW w:w="2551" w:type="dxa"/>
          </w:tcPr>
          <w:p>
            <w:pPr>
              <w:pStyle w:val="TableParagraph"/>
              <w:spacing w:before="1"/>
              <w:jc w:val="left"/>
              <w:rPr>
                <w:sz w:val="12"/>
              </w:rPr>
            </w:pPr>
          </w:p>
          <w:p>
            <w:pPr>
              <w:pStyle w:val="TableParagraph"/>
              <w:rPr>
                <w:rFonts w:ascii="Palatino Linotype"/>
                <w:b/>
                <w:sz w:val="12"/>
              </w:rPr>
            </w:pPr>
            <w:r>
              <w:rPr>
                <w:rFonts w:ascii="Palatino Linotype"/>
                <w:b/>
                <w:color w:val="010202"/>
                <w:w w:val="95"/>
                <w:sz w:val="12"/>
              </w:rPr>
              <w:t>Hi-Fil Pinturas, S.A. de C.V.</w:t>
            </w:r>
          </w:p>
        </w:tc>
        <w:tc>
          <w:tcPr>
            <w:tcW w:w="567" w:type="dxa"/>
          </w:tcPr>
          <w:p>
            <w:pPr>
              <w:pStyle w:val="TableParagraph"/>
              <w:spacing w:before="4"/>
              <w:jc w:val="left"/>
              <w:rPr>
                <w:sz w:val="13"/>
              </w:rPr>
            </w:pPr>
          </w:p>
          <w:p>
            <w:pPr>
              <w:pStyle w:val="TableParagraph"/>
              <w:ind w:left="47" w:right="46"/>
              <w:rPr>
                <w:sz w:val="12"/>
              </w:rPr>
            </w:pPr>
            <w:r>
              <w:rPr>
                <w:color w:val="010202"/>
                <w:sz w:val="12"/>
              </w:rPr>
              <w:t>1 y 2</w:t>
            </w:r>
          </w:p>
        </w:tc>
        <w:tc>
          <w:tcPr>
            <w:tcW w:w="567" w:type="dxa"/>
          </w:tcPr>
          <w:p>
            <w:pPr>
              <w:pStyle w:val="TableParagraph"/>
              <w:spacing w:before="4"/>
              <w:jc w:val="left"/>
              <w:rPr>
                <w:sz w:val="13"/>
              </w:rPr>
            </w:pPr>
          </w:p>
          <w:p>
            <w:pPr>
              <w:pStyle w:val="TableParagraph"/>
              <w:rPr>
                <w:sz w:val="12"/>
              </w:rPr>
            </w:pPr>
            <w:r>
              <w:rPr>
                <w:color w:val="010202"/>
                <w:w w:val="101"/>
                <w:sz w:val="12"/>
              </w:rPr>
              <w:t>P</w:t>
            </w:r>
          </w:p>
        </w:tc>
        <w:tc>
          <w:tcPr>
            <w:tcW w:w="2381" w:type="dxa"/>
          </w:tcPr>
          <w:p>
            <w:pPr>
              <w:pStyle w:val="TableParagraph"/>
              <w:spacing w:before="4"/>
              <w:jc w:val="left"/>
              <w:rPr>
                <w:sz w:val="13"/>
              </w:rPr>
            </w:pPr>
          </w:p>
          <w:p>
            <w:pPr>
              <w:pStyle w:val="TableParagraph"/>
              <w:ind w:left="106" w:right="106"/>
              <w:rPr>
                <w:sz w:val="12"/>
              </w:rPr>
            </w:pPr>
            <w:r>
              <w:rPr>
                <w:color w:val="010202"/>
                <w:w w:val="105"/>
                <w:sz w:val="12"/>
              </w:rPr>
              <w:t>Pintura</w:t>
            </w:r>
          </w:p>
        </w:tc>
      </w:tr>
      <w:tr>
        <w:trPr>
          <w:trHeight w:val="454" w:hRule="exact"/>
        </w:trPr>
        <w:tc>
          <w:tcPr>
            <w:tcW w:w="340" w:type="dxa"/>
          </w:tcPr>
          <w:p>
            <w:pPr>
              <w:pStyle w:val="TableParagraph"/>
              <w:spacing w:before="4"/>
              <w:jc w:val="left"/>
              <w:rPr>
                <w:sz w:val="13"/>
              </w:rPr>
            </w:pPr>
          </w:p>
          <w:p>
            <w:pPr>
              <w:pStyle w:val="TableParagraph"/>
              <w:ind w:left="46" w:right="45"/>
              <w:rPr>
                <w:sz w:val="12"/>
              </w:rPr>
            </w:pPr>
            <w:r>
              <w:rPr>
                <w:color w:val="010202"/>
                <w:sz w:val="12"/>
              </w:rPr>
              <w:t>70</w:t>
            </w:r>
          </w:p>
        </w:tc>
        <w:tc>
          <w:tcPr>
            <w:tcW w:w="794" w:type="dxa"/>
          </w:tcPr>
          <w:p>
            <w:pPr>
              <w:pStyle w:val="TableParagraph"/>
              <w:spacing w:before="4"/>
              <w:jc w:val="left"/>
              <w:rPr>
                <w:sz w:val="13"/>
              </w:rPr>
            </w:pPr>
          </w:p>
          <w:p>
            <w:pPr>
              <w:pStyle w:val="TableParagraph"/>
              <w:ind w:right="104"/>
              <w:jc w:val="right"/>
              <w:rPr>
                <w:sz w:val="12"/>
              </w:rPr>
            </w:pPr>
            <w:r>
              <w:rPr>
                <w:color w:val="010202"/>
                <w:sz w:val="12"/>
              </w:rPr>
              <w:t>Naucalpan</w:t>
            </w:r>
          </w:p>
        </w:tc>
        <w:tc>
          <w:tcPr>
            <w:tcW w:w="2551" w:type="dxa"/>
          </w:tcPr>
          <w:p>
            <w:pPr>
              <w:pStyle w:val="TableParagraph"/>
              <w:spacing w:line="132" w:lineRule="exact" w:before="94"/>
              <w:ind w:left="851" w:right="69" w:hanging="577"/>
              <w:jc w:val="left"/>
              <w:rPr>
                <w:rFonts w:ascii="Palatino Linotype"/>
                <w:b/>
                <w:sz w:val="12"/>
              </w:rPr>
            </w:pPr>
            <w:r>
              <w:rPr>
                <w:rFonts w:ascii="Palatino Linotype"/>
                <w:b/>
                <w:color w:val="010202"/>
                <w:w w:val="90"/>
                <w:sz w:val="12"/>
              </w:rPr>
              <w:t>Akzo Nobel Automotive and Aerospace Coatings Mexico</w:t>
            </w:r>
          </w:p>
        </w:tc>
        <w:tc>
          <w:tcPr>
            <w:tcW w:w="567" w:type="dxa"/>
          </w:tcPr>
          <w:p>
            <w:pPr>
              <w:pStyle w:val="TableParagraph"/>
              <w:spacing w:before="4"/>
              <w:jc w:val="left"/>
              <w:rPr>
                <w:sz w:val="13"/>
              </w:rPr>
            </w:pPr>
          </w:p>
          <w:p>
            <w:pPr>
              <w:pStyle w:val="TableParagraph"/>
              <w:ind w:left="47" w:right="46"/>
              <w:rPr>
                <w:sz w:val="12"/>
              </w:rPr>
            </w:pPr>
            <w:r>
              <w:rPr>
                <w:color w:val="010202"/>
                <w:sz w:val="12"/>
              </w:rPr>
              <w:t>1 y 2</w:t>
            </w:r>
          </w:p>
        </w:tc>
        <w:tc>
          <w:tcPr>
            <w:tcW w:w="567" w:type="dxa"/>
          </w:tcPr>
          <w:p>
            <w:pPr>
              <w:pStyle w:val="TableParagraph"/>
              <w:spacing w:before="4"/>
              <w:jc w:val="left"/>
              <w:rPr>
                <w:sz w:val="13"/>
              </w:rPr>
            </w:pPr>
          </w:p>
          <w:p>
            <w:pPr>
              <w:pStyle w:val="TableParagraph"/>
              <w:rPr>
                <w:sz w:val="12"/>
              </w:rPr>
            </w:pPr>
            <w:r>
              <w:rPr>
                <w:color w:val="010202"/>
                <w:w w:val="100"/>
                <w:sz w:val="12"/>
              </w:rPr>
              <w:t>M</w:t>
            </w:r>
          </w:p>
        </w:tc>
        <w:tc>
          <w:tcPr>
            <w:tcW w:w="2381" w:type="dxa"/>
          </w:tcPr>
          <w:p>
            <w:pPr>
              <w:pStyle w:val="TableParagraph"/>
              <w:spacing w:before="4"/>
              <w:jc w:val="left"/>
              <w:rPr>
                <w:sz w:val="13"/>
              </w:rPr>
            </w:pPr>
          </w:p>
          <w:p>
            <w:pPr>
              <w:pStyle w:val="TableParagraph"/>
              <w:ind w:left="106" w:right="106"/>
              <w:rPr>
                <w:sz w:val="12"/>
              </w:rPr>
            </w:pPr>
            <w:r>
              <w:rPr>
                <w:color w:val="010202"/>
                <w:sz w:val="12"/>
              </w:rPr>
              <w:t>Recubrimientos</w:t>
            </w:r>
          </w:p>
        </w:tc>
      </w:tr>
      <w:tr>
        <w:trPr>
          <w:trHeight w:val="340" w:hRule="exact"/>
        </w:trPr>
        <w:tc>
          <w:tcPr>
            <w:tcW w:w="340" w:type="dxa"/>
          </w:tcPr>
          <w:p>
            <w:pPr>
              <w:pStyle w:val="TableParagraph"/>
              <w:spacing w:before="97"/>
              <w:ind w:left="46" w:right="45"/>
              <w:rPr>
                <w:sz w:val="12"/>
              </w:rPr>
            </w:pPr>
            <w:r>
              <w:rPr>
                <w:color w:val="010202"/>
                <w:sz w:val="12"/>
              </w:rPr>
              <w:t>71</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Alphabet de México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Arneses eléctricos</w:t>
            </w:r>
          </w:p>
        </w:tc>
      </w:tr>
      <w:tr>
        <w:trPr>
          <w:trHeight w:val="340" w:hRule="exact"/>
        </w:trPr>
        <w:tc>
          <w:tcPr>
            <w:tcW w:w="340" w:type="dxa"/>
          </w:tcPr>
          <w:p>
            <w:pPr>
              <w:pStyle w:val="TableParagraph"/>
              <w:spacing w:before="97"/>
              <w:ind w:left="46" w:right="46"/>
              <w:rPr>
                <w:sz w:val="12"/>
              </w:rPr>
            </w:pPr>
            <w:r>
              <w:rPr>
                <w:color w:val="010202"/>
                <w:sz w:val="12"/>
              </w:rPr>
              <w:t>72</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Bostik Mexicana, S.A. de C.V.</w:t>
            </w:r>
          </w:p>
        </w:tc>
        <w:tc>
          <w:tcPr>
            <w:tcW w:w="567" w:type="dxa"/>
          </w:tcPr>
          <w:p>
            <w:pPr>
              <w:pStyle w:val="TableParagraph"/>
              <w:spacing w:before="97"/>
              <w:ind w:left="46" w:right="46"/>
              <w:rPr>
                <w:sz w:val="12"/>
              </w:rPr>
            </w:pPr>
            <w:r>
              <w:rPr>
                <w:color w:val="010202"/>
                <w:sz w:val="12"/>
              </w:rPr>
              <w:t>1 y 2</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Adhesivo automotriz y selladores</w:t>
            </w:r>
          </w:p>
        </w:tc>
      </w:tr>
      <w:tr>
        <w:trPr>
          <w:trHeight w:val="340" w:hRule="exact"/>
        </w:trPr>
        <w:tc>
          <w:tcPr>
            <w:tcW w:w="340" w:type="dxa"/>
          </w:tcPr>
          <w:p>
            <w:pPr>
              <w:pStyle w:val="TableParagraph"/>
              <w:spacing w:before="97"/>
              <w:ind w:left="46" w:right="46"/>
              <w:rPr>
                <w:sz w:val="12"/>
              </w:rPr>
            </w:pPr>
            <w:r>
              <w:rPr>
                <w:color w:val="010202"/>
                <w:sz w:val="12"/>
              </w:rPr>
              <w:t>73</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Brother International de México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Centro de maquinado cnc.</w:t>
            </w:r>
          </w:p>
        </w:tc>
      </w:tr>
      <w:tr>
        <w:trPr>
          <w:trHeight w:val="522" w:hRule="exact"/>
        </w:trPr>
        <w:tc>
          <w:tcPr>
            <w:tcW w:w="340" w:type="dxa"/>
          </w:tcPr>
          <w:p>
            <w:pPr>
              <w:pStyle w:val="TableParagraph"/>
              <w:spacing w:before="4"/>
              <w:jc w:val="left"/>
              <w:rPr>
                <w:sz w:val="16"/>
              </w:rPr>
            </w:pPr>
          </w:p>
          <w:p>
            <w:pPr>
              <w:pStyle w:val="TableParagraph"/>
              <w:ind w:left="46" w:right="46"/>
              <w:rPr>
                <w:sz w:val="12"/>
              </w:rPr>
            </w:pPr>
            <w:r>
              <w:rPr>
                <w:color w:val="010202"/>
                <w:sz w:val="12"/>
              </w:rPr>
              <w:t>74</w:t>
            </w:r>
          </w:p>
        </w:tc>
        <w:tc>
          <w:tcPr>
            <w:tcW w:w="794" w:type="dxa"/>
          </w:tcPr>
          <w:p>
            <w:pPr/>
          </w:p>
        </w:tc>
        <w:tc>
          <w:tcPr>
            <w:tcW w:w="2551" w:type="dxa"/>
          </w:tcPr>
          <w:p>
            <w:pPr>
              <w:pStyle w:val="TableParagraph"/>
              <w:spacing w:before="2"/>
              <w:jc w:val="left"/>
              <w:rPr>
                <w:sz w:val="11"/>
              </w:rPr>
            </w:pPr>
          </w:p>
          <w:p>
            <w:pPr>
              <w:pStyle w:val="TableParagraph"/>
              <w:spacing w:line="132" w:lineRule="exact"/>
              <w:ind w:left="1165" w:right="69" w:hanging="1024"/>
              <w:jc w:val="left"/>
              <w:rPr>
                <w:rFonts w:ascii="Palatino Linotype"/>
                <w:b/>
                <w:sz w:val="12"/>
              </w:rPr>
            </w:pPr>
            <w:r>
              <w:rPr>
                <w:rFonts w:ascii="Palatino Linotype"/>
                <w:b/>
                <w:color w:val="010202"/>
                <w:w w:val="90"/>
                <w:sz w:val="12"/>
              </w:rPr>
              <w:t>Cables Automotrices Internacionales, S.A. de </w:t>
            </w:r>
            <w:r>
              <w:rPr>
                <w:rFonts w:ascii="Palatino Linotype"/>
                <w:b/>
                <w:color w:val="010202"/>
                <w:sz w:val="12"/>
              </w:rPr>
              <w:t>C.V.</w:t>
            </w:r>
          </w:p>
        </w:tc>
        <w:tc>
          <w:tcPr>
            <w:tcW w:w="567" w:type="dxa"/>
          </w:tcPr>
          <w:p>
            <w:pPr>
              <w:pStyle w:val="TableParagraph"/>
              <w:spacing w:before="4"/>
              <w:jc w:val="left"/>
              <w:rPr>
                <w:sz w:val="16"/>
              </w:rPr>
            </w:pPr>
          </w:p>
          <w:p>
            <w:pPr>
              <w:pStyle w:val="TableParagraph"/>
              <w:ind w:left="46" w:right="46"/>
              <w:rPr>
                <w:sz w:val="12"/>
              </w:rPr>
            </w:pPr>
            <w:r>
              <w:rPr>
                <w:color w:val="010202"/>
                <w:sz w:val="12"/>
              </w:rPr>
              <w:t>1 y 2</w:t>
            </w:r>
          </w:p>
        </w:tc>
        <w:tc>
          <w:tcPr>
            <w:tcW w:w="567" w:type="dxa"/>
          </w:tcPr>
          <w:p>
            <w:pPr>
              <w:pStyle w:val="TableParagraph"/>
              <w:spacing w:before="4"/>
              <w:jc w:val="left"/>
              <w:rPr>
                <w:sz w:val="16"/>
              </w:rPr>
            </w:pPr>
          </w:p>
          <w:p>
            <w:pPr>
              <w:pStyle w:val="TableParagraph"/>
              <w:rPr>
                <w:sz w:val="12"/>
              </w:rPr>
            </w:pPr>
            <w:r>
              <w:rPr>
                <w:color w:val="010202"/>
                <w:w w:val="101"/>
                <w:sz w:val="12"/>
              </w:rPr>
              <w:t>P</w:t>
            </w:r>
          </w:p>
        </w:tc>
        <w:tc>
          <w:tcPr>
            <w:tcW w:w="2381" w:type="dxa"/>
          </w:tcPr>
          <w:p>
            <w:pPr>
              <w:pStyle w:val="TableParagraph"/>
              <w:spacing w:before="2"/>
              <w:jc w:val="left"/>
              <w:rPr>
                <w:sz w:val="11"/>
              </w:rPr>
            </w:pPr>
          </w:p>
          <w:p>
            <w:pPr>
              <w:pStyle w:val="TableParagraph"/>
              <w:spacing w:line="132" w:lineRule="exact"/>
              <w:ind w:left="1041" w:right="-17" w:hanging="840"/>
              <w:jc w:val="left"/>
              <w:rPr>
                <w:sz w:val="12"/>
              </w:rPr>
            </w:pPr>
            <w:r>
              <w:rPr>
                <w:color w:val="010202"/>
                <w:sz w:val="12"/>
              </w:rPr>
              <w:t>Fabricación de chicotes para acelerador y cables</w:t>
            </w:r>
          </w:p>
        </w:tc>
      </w:tr>
    </w:tbl>
    <w:p>
      <w:pPr>
        <w:spacing w:after="0" w:line="132" w:lineRule="exact"/>
        <w:jc w:val="left"/>
        <w:rPr>
          <w:sz w:val="12"/>
        </w:rPr>
        <w:sectPr>
          <w:pgSz w:w="9640" w:h="13040"/>
          <w:pgMar w:header="581" w:footer="654" w:top="780" w:bottom="840" w:left="420" w:right="1180"/>
        </w:sectPr>
      </w:pPr>
    </w:p>
    <w:p>
      <w:pPr>
        <w:pStyle w:val="BodyText"/>
        <w:rPr>
          <w:sz w:val="20"/>
        </w:rPr>
      </w:pPr>
    </w:p>
    <w:p>
      <w:pPr>
        <w:pStyle w:val="BodyText"/>
        <w:rPr>
          <w:sz w:val="20"/>
        </w:rPr>
      </w:pPr>
    </w:p>
    <w:p>
      <w:pPr>
        <w:pStyle w:val="BodyText"/>
        <w:spacing w:before="5"/>
        <w:rPr>
          <w:sz w:val="10"/>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62" w:hRule="exact"/>
        </w:trPr>
        <w:tc>
          <w:tcPr>
            <w:tcW w:w="340" w:type="dxa"/>
          </w:tcPr>
          <w:p>
            <w:pPr>
              <w:pStyle w:val="TableParagraph"/>
              <w:spacing w:before="9"/>
              <w:jc w:val="left"/>
              <w:rPr>
                <w:sz w:val="16"/>
              </w:rPr>
            </w:pPr>
          </w:p>
          <w:p>
            <w:pPr>
              <w:pStyle w:val="TableParagraph"/>
              <w:ind w:left="76"/>
              <w:jc w:val="left"/>
              <w:rPr>
                <w:rFonts w:ascii="Palatino Linotype"/>
                <w:b/>
                <w:sz w:val="12"/>
              </w:rPr>
            </w:pPr>
            <w:r>
              <w:rPr>
                <w:rFonts w:ascii="Palatino Linotype"/>
                <w:b/>
                <w:color w:val="010202"/>
                <w:sz w:val="12"/>
              </w:rPr>
              <w:t>No.</w:t>
            </w:r>
          </w:p>
        </w:tc>
        <w:tc>
          <w:tcPr>
            <w:tcW w:w="794" w:type="dxa"/>
          </w:tcPr>
          <w:p>
            <w:pPr>
              <w:pStyle w:val="TableParagraph"/>
              <w:spacing w:before="9"/>
              <w:jc w:val="left"/>
              <w:rPr>
                <w:sz w:val="16"/>
              </w:rPr>
            </w:pPr>
          </w:p>
          <w:p>
            <w:pPr>
              <w:pStyle w:val="TableParagraph"/>
              <w:ind w:left="18" w:right="18"/>
              <w:rPr>
                <w:rFonts w:ascii="Palatino Linotype"/>
                <w:b/>
                <w:sz w:val="12"/>
              </w:rPr>
            </w:pPr>
            <w:r>
              <w:rPr>
                <w:rFonts w:ascii="Palatino Linotype"/>
                <w:b/>
                <w:color w:val="010202"/>
                <w:sz w:val="12"/>
              </w:rPr>
              <w:t>Municipio</w:t>
            </w:r>
          </w:p>
        </w:tc>
        <w:tc>
          <w:tcPr>
            <w:tcW w:w="2551" w:type="dxa"/>
          </w:tcPr>
          <w:p>
            <w:pPr>
              <w:pStyle w:val="TableParagraph"/>
              <w:spacing w:before="9"/>
              <w:jc w:val="left"/>
              <w:rPr>
                <w:sz w:val="16"/>
              </w:rPr>
            </w:pPr>
          </w:p>
          <w:p>
            <w:pPr>
              <w:pStyle w:val="TableParagraph"/>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9"/>
              <w:jc w:val="left"/>
              <w:rPr>
                <w:sz w:val="16"/>
              </w:rPr>
            </w:pPr>
          </w:p>
          <w:p>
            <w:pPr>
              <w:pStyle w:val="TableParagraph"/>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82"/>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9"/>
              <w:jc w:val="left"/>
              <w:rPr>
                <w:sz w:val="16"/>
              </w:rPr>
            </w:pPr>
          </w:p>
          <w:p>
            <w:pPr>
              <w:pStyle w:val="TableParagraph"/>
              <w:ind w:left="106" w:right="106"/>
              <w:rPr>
                <w:rFonts w:ascii="Palatino Linotype"/>
                <w:b/>
                <w:sz w:val="12"/>
              </w:rPr>
            </w:pPr>
            <w:r>
              <w:rPr>
                <w:rFonts w:ascii="Palatino Linotype"/>
                <w:b/>
                <w:color w:val="010202"/>
                <w:w w:val="90"/>
                <w:sz w:val="12"/>
              </w:rPr>
              <w:t>Principales productos</w:t>
            </w:r>
          </w:p>
        </w:tc>
      </w:tr>
      <w:tr>
        <w:trPr>
          <w:trHeight w:val="312" w:hRule="exact"/>
        </w:trPr>
        <w:tc>
          <w:tcPr>
            <w:tcW w:w="340" w:type="dxa"/>
          </w:tcPr>
          <w:p>
            <w:pPr>
              <w:pStyle w:val="TableParagraph"/>
              <w:spacing w:before="82"/>
              <w:ind w:left="107"/>
              <w:jc w:val="left"/>
              <w:rPr>
                <w:sz w:val="12"/>
              </w:rPr>
            </w:pPr>
            <w:r>
              <w:rPr>
                <w:color w:val="010202"/>
                <w:sz w:val="12"/>
              </w:rPr>
              <w:t>75</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Central de Servicios Hunter, S.A. DE C.V.</w:t>
            </w:r>
          </w:p>
        </w:tc>
        <w:tc>
          <w:tcPr>
            <w:tcW w:w="567" w:type="dxa"/>
          </w:tcPr>
          <w:p>
            <w:pPr>
              <w:pStyle w:val="TableParagraph"/>
              <w:spacing w:before="82"/>
              <w:rPr>
                <w:sz w:val="12"/>
              </w:rPr>
            </w:pPr>
            <w:r>
              <w:rPr>
                <w:color w:val="010202"/>
                <w:w w:val="96"/>
                <w:sz w:val="12"/>
              </w:rPr>
              <w:t>3</w:t>
            </w:r>
          </w:p>
        </w:tc>
        <w:tc>
          <w:tcPr>
            <w:tcW w:w="567" w:type="dxa"/>
          </w:tcPr>
          <w:p>
            <w:pPr>
              <w:pStyle w:val="TableParagraph"/>
              <w:spacing w:before="82"/>
              <w:ind w:left="225"/>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Accesorios y herramientas de alineación</w:t>
            </w:r>
          </w:p>
        </w:tc>
      </w:tr>
      <w:tr>
        <w:trPr>
          <w:trHeight w:val="312" w:hRule="exact"/>
        </w:trPr>
        <w:tc>
          <w:tcPr>
            <w:tcW w:w="340" w:type="dxa"/>
          </w:tcPr>
          <w:p>
            <w:pPr>
              <w:pStyle w:val="TableParagraph"/>
              <w:spacing w:before="82"/>
              <w:ind w:left="107"/>
              <w:jc w:val="left"/>
              <w:rPr>
                <w:sz w:val="12"/>
              </w:rPr>
            </w:pPr>
            <w:r>
              <w:rPr>
                <w:color w:val="010202"/>
                <w:sz w:val="12"/>
              </w:rPr>
              <w:t>76</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Chesterton Mexicana,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Empaques y sellos automotrices</w:t>
            </w:r>
          </w:p>
        </w:tc>
      </w:tr>
      <w:tr>
        <w:trPr>
          <w:trHeight w:val="312" w:hRule="exact"/>
        </w:trPr>
        <w:tc>
          <w:tcPr>
            <w:tcW w:w="340" w:type="dxa"/>
          </w:tcPr>
          <w:p>
            <w:pPr>
              <w:pStyle w:val="TableParagraph"/>
              <w:spacing w:before="82"/>
              <w:ind w:left="107"/>
              <w:jc w:val="left"/>
              <w:rPr>
                <w:sz w:val="12"/>
              </w:rPr>
            </w:pPr>
            <w:r>
              <w:rPr>
                <w:color w:val="010202"/>
                <w:sz w:val="12"/>
              </w:rPr>
              <w:t>77</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Comercial Importadora,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Aceites lubricantes</w:t>
            </w:r>
          </w:p>
        </w:tc>
      </w:tr>
      <w:tr>
        <w:trPr>
          <w:trHeight w:val="425" w:hRule="exact"/>
        </w:trPr>
        <w:tc>
          <w:tcPr>
            <w:tcW w:w="340" w:type="dxa"/>
          </w:tcPr>
          <w:p>
            <w:pPr>
              <w:pStyle w:val="TableParagraph"/>
              <w:spacing w:before="1"/>
              <w:jc w:val="left"/>
              <w:rPr>
                <w:sz w:val="12"/>
              </w:rPr>
            </w:pPr>
          </w:p>
          <w:p>
            <w:pPr>
              <w:pStyle w:val="TableParagraph"/>
              <w:ind w:left="107"/>
              <w:jc w:val="left"/>
              <w:rPr>
                <w:sz w:val="12"/>
              </w:rPr>
            </w:pPr>
            <w:r>
              <w:rPr>
                <w:color w:val="010202"/>
                <w:sz w:val="12"/>
              </w:rPr>
              <w:t>78</w:t>
            </w:r>
          </w:p>
        </w:tc>
        <w:tc>
          <w:tcPr>
            <w:tcW w:w="794" w:type="dxa"/>
          </w:tcPr>
          <w:p>
            <w:pPr/>
          </w:p>
        </w:tc>
        <w:tc>
          <w:tcPr>
            <w:tcW w:w="2551" w:type="dxa"/>
          </w:tcPr>
          <w:p>
            <w:pPr>
              <w:pStyle w:val="TableParagraph"/>
              <w:spacing w:before="10"/>
              <w:jc w:val="left"/>
              <w:rPr>
                <w:sz w:val="10"/>
              </w:rPr>
            </w:pPr>
          </w:p>
          <w:p>
            <w:pPr>
              <w:pStyle w:val="TableParagraph"/>
              <w:rPr>
                <w:rFonts w:ascii="Palatino Linotype"/>
                <w:b/>
                <w:sz w:val="12"/>
              </w:rPr>
            </w:pPr>
            <w:r>
              <w:rPr>
                <w:rFonts w:ascii="Palatino Linotype"/>
                <w:b/>
                <w:color w:val="010202"/>
                <w:w w:val="95"/>
                <w:sz w:val="12"/>
              </w:rPr>
              <w:t>Duroplast S.A. de C.V.</w:t>
            </w:r>
          </w:p>
        </w:tc>
        <w:tc>
          <w:tcPr>
            <w:tcW w:w="567" w:type="dxa"/>
          </w:tcPr>
          <w:p>
            <w:pPr/>
          </w:p>
        </w:tc>
        <w:tc>
          <w:tcPr>
            <w:tcW w:w="567" w:type="dxa"/>
          </w:tcPr>
          <w:p>
            <w:pPr/>
          </w:p>
        </w:tc>
        <w:tc>
          <w:tcPr>
            <w:tcW w:w="2381" w:type="dxa"/>
          </w:tcPr>
          <w:p>
            <w:pPr>
              <w:pStyle w:val="TableParagraph"/>
              <w:spacing w:line="132" w:lineRule="exact" w:before="79"/>
              <w:ind w:left="797" w:right="-17" w:hanging="601"/>
              <w:jc w:val="left"/>
              <w:rPr>
                <w:sz w:val="12"/>
              </w:rPr>
            </w:pPr>
            <w:r>
              <w:rPr>
                <w:color w:val="010202"/>
                <w:sz w:val="12"/>
              </w:rPr>
              <w:t>Canister, filtros-aire, partes de carrocería, partes interiores</w:t>
            </w:r>
          </w:p>
        </w:tc>
      </w:tr>
      <w:tr>
        <w:trPr>
          <w:trHeight w:val="340" w:hRule="exact"/>
        </w:trPr>
        <w:tc>
          <w:tcPr>
            <w:tcW w:w="340" w:type="dxa"/>
          </w:tcPr>
          <w:p>
            <w:pPr>
              <w:pStyle w:val="TableParagraph"/>
              <w:spacing w:before="96"/>
              <w:ind w:left="107"/>
              <w:jc w:val="left"/>
              <w:rPr>
                <w:sz w:val="12"/>
              </w:rPr>
            </w:pPr>
            <w:r>
              <w:rPr>
                <w:color w:val="010202"/>
                <w:sz w:val="12"/>
              </w:rPr>
              <w:t>79</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Elastómeros Transformados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Hule y Elastómeros</w:t>
            </w:r>
          </w:p>
        </w:tc>
      </w:tr>
      <w:tr>
        <w:trPr>
          <w:trHeight w:val="340" w:hRule="exact"/>
        </w:trPr>
        <w:tc>
          <w:tcPr>
            <w:tcW w:w="340" w:type="dxa"/>
          </w:tcPr>
          <w:p>
            <w:pPr>
              <w:pStyle w:val="TableParagraph"/>
              <w:spacing w:before="96"/>
              <w:ind w:left="107"/>
              <w:jc w:val="left"/>
              <w:rPr>
                <w:sz w:val="12"/>
              </w:rPr>
            </w:pPr>
            <w:r>
              <w:rPr>
                <w:color w:val="010202"/>
                <w:sz w:val="12"/>
              </w:rPr>
              <w:t>80</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Gill Industries of México,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6" w:right="106"/>
              <w:rPr>
                <w:sz w:val="12"/>
              </w:rPr>
            </w:pPr>
            <w:r>
              <w:rPr>
                <w:color w:val="010202"/>
                <w:w w:val="95"/>
                <w:sz w:val="12"/>
              </w:rPr>
              <w:t>Mecanismos  reclinables</w:t>
            </w:r>
          </w:p>
        </w:tc>
      </w:tr>
      <w:tr>
        <w:trPr>
          <w:trHeight w:val="425" w:hRule="exact"/>
        </w:trPr>
        <w:tc>
          <w:tcPr>
            <w:tcW w:w="340" w:type="dxa"/>
          </w:tcPr>
          <w:p>
            <w:pPr>
              <w:pStyle w:val="TableParagraph"/>
              <w:spacing w:before="1"/>
              <w:jc w:val="left"/>
              <w:rPr>
                <w:sz w:val="12"/>
              </w:rPr>
            </w:pPr>
          </w:p>
          <w:p>
            <w:pPr>
              <w:pStyle w:val="TableParagraph"/>
              <w:ind w:left="107"/>
              <w:jc w:val="left"/>
              <w:rPr>
                <w:sz w:val="12"/>
              </w:rPr>
            </w:pPr>
            <w:r>
              <w:rPr>
                <w:color w:val="010202"/>
                <w:sz w:val="12"/>
              </w:rPr>
              <w:t>81</w:t>
            </w:r>
          </w:p>
        </w:tc>
        <w:tc>
          <w:tcPr>
            <w:tcW w:w="794" w:type="dxa"/>
          </w:tcPr>
          <w:p>
            <w:pPr/>
          </w:p>
        </w:tc>
        <w:tc>
          <w:tcPr>
            <w:tcW w:w="2551" w:type="dxa"/>
          </w:tcPr>
          <w:p>
            <w:pPr>
              <w:pStyle w:val="TableParagraph"/>
              <w:spacing w:before="10"/>
              <w:jc w:val="left"/>
              <w:rPr>
                <w:sz w:val="10"/>
              </w:rPr>
            </w:pPr>
          </w:p>
          <w:p>
            <w:pPr>
              <w:pStyle w:val="TableParagraph"/>
              <w:rPr>
                <w:rFonts w:ascii="Palatino Linotype"/>
                <w:b/>
                <w:sz w:val="12"/>
              </w:rPr>
            </w:pPr>
            <w:r>
              <w:rPr>
                <w:rFonts w:ascii="Palatino Linotype"/>
                <w:b/>
                <w:color w:val="010202"/>
                <w:w w:val="95"/>
                <w:sz w:val="12"/>
              </w:rPr>
              <w:t>Hellamex, S.A. de C.V.</w:t>
            </w:r>
          </w:p>
        </w:tc>
        <w:tc>
          <w:tcPr>
            <w:tcW w:w="567" w:type="dxa"/>
          </w:tcPr>
          <w:p>
            <w:pPr>
              <w:pStyle w:val="TableParagraph"/>
              <w:spacing w:before="1"/>
              <w:jc w:val="left"/>
              <w:rPr>
                <w:sz w:val="12"/>
              </w:rPr>
            </w:pPr>
          </w:p>
          <w:p>
            <w:pPr>
              <w:pStyle w:val="TableParagraph"/>
              <w:rPr>
                <w:sz w:val="12"/>
              </w:rPr>
            </w:pPr>
            <w:r>
              <w:rPr>
                <w:color w:val="010202"/>
                <w:w w:val="96"/>
                <w:sz w:val="12"/>
              </w:rPr>
              <w:t>2</w:t>
            </w:r>
          </w:p>
        </w:tc>
        <w:tc>
          <w:tcPr>
            <w:tcW w:w="567" w:type="dxa"/>
          </w:tcPr>
          <w:p>
            <w:pPr>
              <w:pStyle w:val="TableParagraph"/>
              <w:spacing w:before="1"/>
              <w:jc w:val="left"/>
              <w:rPr>
                <w:sz w:val="12"/>
              </w:rPr>
            </w:pPr>
          </w:p>
          <w:p>
            <w:pPr>
              <w:pStyle w:val="TableParagraph"/>
              <w:ind w:left="224"/>
              <w:jc w:val="left"/>
              <w:rPr>
                <w:sz w:val="12"/>
              </w:rPr>
            </w:pPr>
            <w:r>
              <w:rPr>
                <w:color w:val="010202"/>
                <w:w w:val="100"/>
                <w:sz w:val="12"/>
              </w:rPr>
              <w:t>M</w:t>
            </w:r>
          </w:p>
        </w:tc>
        <w:tc>
          <w:tcPr>
            <w:tcW w:w="2381" w:type="dxa"/>
          </w:tcPr>
          <w:p>
            <w:pPr>
              <w:pStyle w:val="TableParagraph"/>
              <w:spacing w:line="132" w:lineRule="exact" w:before="79"/>
              <w:ind w:left="483" w:right="132" w:hanging="344"/>
              <w:jc w:val="left"/>
              <w:rPr>
                <w:sz w:val="12"/>
              </w:rPr>
            </w:pPr>
            <w:r>
              <w:rPr>
                <w:color w:val="010202"/>
                <w:sz w:val="12"/>
              </w:rPr>
              <w:t>Iluminación automotriz, iluminación heavy duty, eléctricos y electrónicos</w:t>
            </w:r>
          </w:p>
        </w:tc>
      </w:tr>
      <w:tr>
        <w:trPr>
          <w:trHeight w:val="340" w:hRule="exact"/>
        </w:trPr>
        <w:tc>
          <w:tcPr>
            <w:tcW w:w="340" w:type="dxa"/>
          </w:tcPr>
          <w:p>
            <w:pPr>
              <w:pStyle w:val="TableParagraph"/>
              <w:spacing w:before="96"/>
              <w:ind w:left="107"/>
              <w:jc w:val="left"/>
              <w:rPr>
                <w:sz w:val="12"/>
              </w:rPr>
            </w:pPr>
            <w:r>
              <w:rPr>
                <w:color w:val="010202"/>
                <w:sz w:val="12"/>
              </w:rPr>
              <w:t>82</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0"/>
                <w:sz w:val="12"/>
              </w:rPr>
              <w:t>Honeywell Bendix México, S.A.</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Balatas de disco para tambor</w:t>
            </w:r>
          </w:p>
        </w:tc>
      </w:tr>
      <w:tr>
        <w:trPr>
          <w:trHeight w:val="312" w:hRule="exact"/>
        </w:trPr>
        <w:tc>
          <w:tcPr>
            <w:tcW w:w="340" w:type="dxa"/>
          </w:tcPr>
          <w:p>
            <w:pPr>
              <w:pStyle w:val="TableParagraph"/>
              <w:spacing w:before="82"/>
              <w:ind w:left="107"/>
              <w:jc w:val="left"/>
              <w:rPr>
                <w:sz w:val="12"/>
              </w:rPr>
            </w:pPr>
            <w:r>
              <w:rPr>
                <w:color w:val="010202"/>
                <w:sz w:val="12"/>
              </w:rPr>
              <w:t>83</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Hope Industries de México, S. de R. L.</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ind w:left="235"/>
              <w:jc w:val="left"/>
              <w:rPr>
                <w:sz w:val="12"/>
              </w:rPr>
            </w:pPr>
            <w:r>
              <w:rPr>
                <w:color w:val="010202"/>
                <w:w w:val="99"/>
                <w:sz w:val="12"/>
              </w:rPr>
              <w:t>G</w:t>
            </w:r>
          </w:p>
        </w:tc>
        <w:tc>
          <w:tcPr>
            <w:tcW w:w="2381" w:type="dxa"/>
          </w:tcPr>
          <w:p>
            <w:pPr>
              <w:pStyle w:val="TableParagraph"/>
              <w:spacing w:before="82"/>
              <w:ind w:left="106" w:right="106"/>
              <w:rPr>
                <w:sz w:val="12"/>
              </w:rPr>
            </w:pPr>
            <w:r>
              <w:rPr>
                <w:color w:val="010202"/>
                <w:sz w:val="12"/>
              </w:rPr>
              <w:t>Cabeceras</w:t>
            </w:r>
          </w:p>
        </w:tc>
      </w:tr>
      <w:tr>
        <w:trPr>
          <w:trHeight w:val="312" w:hRule="exact"/>
        </w:trPr>
        <w:tc>
          <w:tcPr>
            <w:tcW w:w="340" w:type="dxa"/>
          </w:tcPr>
          <w:p>
            <w:pPr>
              <w:pStyle w:val="TableParagraph"/>
              <w:spacing w:before="82"/>
              <w:ind w:left="107"/>
              <w:jc w:val="left"/>
              <w:rPr>
                <w:sz w:val="12"/>
              </w:rPr>
            </w:pPr>
            <w:r>
              <w:rPr>
                <w:color w:val="010202"/>
                <w:sz w:val="12"/>
              </w:rPr>
              <w:t>84</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Juntas Especiales, S.A. de C.V.</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Inyección de hule</w:t>
            </w:r>
          </w:p>
        </w:tc>
      </w:tr>
      <w:tr>
        <w:trPr>
          <w:trHeight w:val="340" w:hRule="exact"/>
        </w:trPr>
        <w:tc>
          <w:tcPr>
            <w:tcW w:w="340" w:type="dxa"/>
          </w:tcPr>
          <w:p>
            <w:pPr>
              <w:pStyle w:val="TableParagraph"/>
              <w:spacing w:before="96"/>
              <w:ind w:left="107"/>
              <w:jc w:val="left"/>
              <w:rPr>
                <w:sz w:val="12"/>
              </w:rPr>
            </w:pPr>
            <w:r>
              <w:rPr>
                <w:color w:val="010202"/>
                <w:sz w:val="12"/>
              </w:rPr>
              <w:t>85</w:t>
            </w:r>
          </w:p>
        </w:tc>
        <w:tc>
          <w:tcPr>
            <w:tcW w:w="794" w:type="dxa"/>
          </w:tcPr>
          <w:p>
            <w:pPr/>
          </w:p>
        </w:tc>
        <w:tc>
          <w:tcPr>
            <w:tcW w:w="2551" w:type="dxa"/>
          </w:tcPr>
          <w:p>
            <w:pPr>
              <w:pStyle w:val="TableParagraph"/>
              <w:spacing w:line="132" w:lineRule="exact" w:before="37"/>
              <w:ind w:left="658" w:right="173" w:hanging="477"/>
              <w:jc w:val="left"/>
              <w:rPr>
                <w:rFonts w:ascii="Palatino Linotype" w:hAnsi="Palatino Linotype"/>
                <w:b/>
                <w:sz w:val="12"/>
              </w:rPr>
            </w:pPr>
            <w:r>
              <w:rPr>
                <w:rFonts w:ascii="Palatino Linotype" w:hAnsi="Palatino Linotype"/>
                <w:b/>
                <w:color w:val="010202"/>
                <w:w w:val="95"/>
                <w:sz w:val="12"/>
              </w:rPr>
              <w:t>McCord</w:t>
            </w:r>
            <w:r>
              <w:rPr>
                <w:rFonts w:ascii="Palatino Linotype" w:hAnsi="Palatino Linotype"/>
                <w:b/>
                <w:color w:val="010202"/>
                <w:spacing w:val="-13"/>
                <w:w w:val="95"/>
                <w:sz w:val="12"/>
              </w:rPr>
              <w:t> </w:t>
            </w:r>
            <w:r>
              <w:rPr>
                <w:rFonts w:ascii="Palatino Linotype" w:hAnsi="Palatino Linotype"/>
                <w:b/>
                <w:color w:val="010202"/>
                <w:w w:val="95"/>
                <w:sz w:val="12"/>
              </w:rPr>
              <w:t>Payen</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w w:val="95"/>
                <w:sz w:val="12"/>
              </w:rPr>
              <w:t>México,</w:t>
            </w:r>
            <w:r>
              <w:rPr>
                <w:rFonts w:ascii="Palatino Linotype" w:hAnsi="Palatino Linotype"/>
                <w:b/>
                <w:color w:val="010202"/>
                <w:spacing w:val="-13"/>
                <w:w w:val="95"/>
                <w:sz w:val="12"/>
              </w:rPr>
              <w:t> </w:t>
            </w:r>
            <w:r>
              <w:rPr>
                <w:rFonts w:ascii="Palatino Linotype" w:hAnsi="Palatino Linotype"/>
                <w:b/>
                <w:color w:val="010202"/>
                <w:w w:val="95"/>
                <w:sz w:val="12"/>
              </w:rPr>
              <w:t>S.</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w w:val="95"/>
                <w:sz w:val="12"/>
              </w:rPr>
              <w:t>R.L.</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spacing w:val="-5"/>
                <w:w w:val="95"/>
                <w:sz w:val="12"/>
              </w:rPr>
              <w:t>C.V. </w:t>
            </w:r>
            <w:r>
              <w:rPr>
                <w:rFonts w:ascii="Palatino Linotype" w:hAnsi="Palatino Linotype"/>
                <w:b/>
                <w:color w:val="010202"/>
                <w:w w:val="90"/>
                <w:sz w:val="12"/>
              </w:rPr>
              <w:t>(Planta Sealing Systems)</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ind w:left="225"/>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Bujes</w:t>
            </w:r>
          </w:p>
        </w:tc>
      </w:tr>
      <w:tr>
        <w:trPr>
          <w:trHeight w:val="340" w:hRule="exact"/>
        </w:trPr>
        <w:tc>
          <w:tcPr>
            <w:tcW w:w="340" w:type="dxa"/>
          </w:tcPr>
          <w:p>
            <w:pPr>
              <w:pStyle w:val="TableParagraph"/>
              <w:spacing w:before="96"/>
              <w:ind w:left="107"/>
              <w:jc w:val="left"/>
              <w:rPr>
                <w:sz w:val="12"/>
              </w:rPr>
            </w:pPr>
            <w:r>
              <w:rPr>
                <w:color w:val="010202"/>
                <w:sz w:val="12"/>
              </w:rPr>
              <w:t>86</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Precisión Moderna,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25"/>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Piezas maquinadas de alta presición</w:t>
            </w:r>
          </w:p>
        </w:tc>
      </w:tr>
      <w:tr>
        <w:trPr>
          <w:trHeight w:val="515" w:hRule="exact"/>
        </w:trPr>
        <w:tc>
          <w:tcPr>
            <w:tcW w:w="340" w:type="dxa"/>
          </w:tcPr>
          <w:p>
            <w:pPr>
              <w:pStyle w:val="TableParagraph"/>
              <w:jc w:val="left"/>
              <w:rPr>
                <w:sz w:val="16"/>
              </w:rPr>
            </w:pPr>
          </w:p>
          <w:p>
            <w:pPr>
              <w:pStyle w:val="TableParagraph"/>
              <w:ind w:left="107"/>
              <w:jc w:val="left"/>
              <w:rPr>
                <w:sz w:val="12"/>
              </w:rPr>
            </w:pPr>
            <w:r>
              <w:rPr>
                <w:color w:val="010202"/>
                <w:sz w:val="12"/>
              </w:rPr>
              <w:t>87</w:t>
            </w:r>
          </w:p>
        </w:tc>
        <w:tc>
          <w:tcPr>
            <w:tcW w:w="794" w:type="dxa"/>
          </w:tcPr>
          <w:p>
            <w:pPr/>
          </w:p>
        </w:tc>
        <w:tc>
          <w:tcPr>
            <w:tcW w:w="2551" w:type="dxa"/>
          </w:tcPr>
          <w:p>
            <w:pPr>
              <w:pStyle w:val="TableParagraph"/>
              <w:spacing w:before="9"/>
              <w:jc w:val="left"/>
              <w:rPr>
                <w:sz w:val="14"/>
              </w:rPr>
            </w:pPr>
          </w:p>
          <w:p>
            <w:pPr>
              <w:pStyle w:val="TableParagraph"/>
              <w:rPr>
                <w:rFonts w:ascii="Palatino Linotype" w:hAnsi="Palatino Linotype"/>
                <w:b/>
                <w:sz w:val="12"/>
              </w:rPr>
            </w:pPr>
            <w:r>
              <w:rPr>
                <w:rFonts w:ascii="Palatino Linotype" w:hAnsi="Palatino Linotype"/>
                <w:b/>
                <w:color w:val="010202"/>
                <w:w w:val="95"/>
                <w:sz w:val="12"/>
              </w:rPr>
              <w:t>Productos Metálicos Electrónicos, S.A. de C.V.</w:t>
            </w:r>
          </w:p>
        </w:tc>
        <w:tc>
          <w:tcPr>
            <w:tcW w:w="567" w:type="dxa"/>
          </w:tcPr>
          <w:p>
            <w:pPr/>
          </w:p>
        </w:tc>
        <w:tc>
          <w:tcPr>
            <w:tcW w:w="567" w:type="dxa"/>
          </w:tcPr>
          <w:p>
            <w:pPr/>
          </w:p>
        </w:tc>
        <w:tc>
          <w:tcPr>
            <w:tcW w:w="2381" w:type="dxa"/>
          </w:tcPr>
          <w:p>
            <w:pPr>
              <w:pStyle w:val="TableParagraph"/>
              <w:spacing w:before="9"/>
              <w:jc w:val="left"/>
              <w:rPr>
                <w:sz w:val="10"/>
              </w:rPr>
            </w:pPr>
          </w:p>
          <w:p>
            <w:pPr>
              <w:pStyle w:val="TableParagraph"/>
              <w:spacing w:line="132" w:lineRule="exact"/>
              <w:ind w:left="124" w:right="-17" w:firstLine="9"/>
              <w:jc w:val="left"/>
              <w:rPr>
                <w:sz w:val="12"/>
              </w:rPr>
            </w:pPr>
            <w:r>
              <w:rPr>
                <w:color w:val="010202"/>
                <w:sz w:val="12"/>
              </w:rPr>
              <w:t>Refacciones eléctricas, equipos electrónicos, antenas para autos, antenas para televisiones</w:t>
            </w:r>
          </w:p>
        </w:tc>
      </w:tr>
      <w:tr>
        <w:trPr>
          <w:trHeight w:val="312" w:hRule="exact"/>
        </w:trPr>
        <w:tc>
          <w:tcPr>
            <w:tcW w:w="340" w:type="dxa"/>
          </w:tcPr>
          <w:p>
            <w:pPr>
              <w:pStyle w:val="TableParagraph"/>
              <w:spacing w:before="82"/>
              <w:ind w:left="107"/>
              <w:jc w:val="left"/>
              <w:rPr>
                <w:sz w:val="12"/>
              </w:rPr>
            </w:pPr>
            <w:r>
              <w:rPr>
                <w:color w:val="010202"/>
                <w:sz w:val="12"/>
              </w:rPr>
              <w:t>88</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Resortes y Partes,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Resortes</w:t>
            </w:r>
          </w:p>
        </w:tc>
      </w:tr>
      <w:tr>
        <w:trPr>
          <w:trHeight w:val="312" w:hRule="exact"/>
        </w:trPr>
        <w:tc>
          <w:tcPr>
            <w:tcW w:w="340" w:type="dxa"/>
          </w:tcPr>
          <w:p>
            <w:pPr>
              <w:pStyle w:val="TableParagraph"/>
              <w:spacing w:before="82"/>
              <w:ind w:left="107"/>
              <w:jc w:val="left"/>
              <w:rPr>
                <w:sz w:val="12"/>
              </w:rPr>
            </w:pPr>
            <w:r>
              <w:rPr>
                <w:color w:val="010202"/>
                <w:sz w:val="12"/>
              </w:rPr>
              <w:t>89</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Reymak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Frenos de aire</w:t>
            </w:r>
          </w:p>
        </w:tc>
      </w:tr>
      <w:tr>
        <w:trPr>
          <w:trHeight w:val="312" w:hRule="exact"/>
        </w:trPr>
        <w:tc>
          <w:tcPr>
            <w:tcW w:w="340" w:type="dxa"/>
          </w:tcPr>
          <w:p>
            <w:pPr>
              <w:pStyle w:val="TableParagraph"/>
              <w:spacing w:before="82"/>
              <w:ind w:left="107"/>
              <w:jc w:val="left"/>
              <w:rPr>
                <w:sz w:val="12"/>
              </w:rPr>
            </w:pPr>
            <w:r>
              <w:rPr>
                <w:color w:val="010202"/>
                <w:sz w:val="12"/>
              </w:rPr>
              <w:t>90</w:t>
            </w:r>
          </w:p>
        </w:tc>
        <w:tc>
          <w:tcPr>
            <w:tcW w:w="794" w:type="dxa"/>
          </w:tcPr>
          <w:p>
            <w:pPr/>
          </w:p>
        </w:tc>
        <w:tc>
          <w:tcPr>
            <w:tcW w:w="2551" w:type="dxa"/>
          </w:tcPr>
          <w:p>
            <w:pPr>
              <w:pStyle w:val="TableParagraph"/>
              <w:spacing w:before="68"/>
              <w:ind w:left="693" w:right="69"/>
              <w:jc w:val="left"/>
              <w:rPr>
                <w:rFonts w:ascii="Palatino Linotype" w:hAnsi="Palatino Linotype"/>
                <w:b/>
                <w:sz w:val="12"/>
              </w:rPr>
            </w:pPr>
            <w:r>
              <w:rPr>
                <w:rFonts w:ascii="Palatino Linotype" w:hAnsi="Palatino Linotype"/>
                <w:b/>
                <w:color w:val="010202"/>
                <w:sz w:val="12"/>
              </w:rPr>
              <w:t>T.F. Víctor,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Juntas a diesel y materiales comprimidos</w:t>
            </w:r>
          </w:p>
        </w:tc>
      </w:tr>
      <w:tr>
        <w:trPr>
          <w:trHeight w:val="718" w:hRule="exact"/>
        </w:trPr>
        <w:tc>
          <w:tcPr>
            <w:tcW w:w="340" w:type="dxa"/>
          </w:tcPr>
          <w:p>
            <w:pPr>
              <w:pStyle w:val="TableParagraph"/>
              <w:jc w:val="left"/>
              <w:rPr>
                <w:sz w:val="12"/>
              </w:rPr>
            </w:pPr>
          </w:p>
          <w:p>
            <w:pPr>
              <w:pStyle w:val="TableParagraph"/>
              <w:spacing w:before="9"/>
              <w:jc w:val="left"/>
              <w:rPr>
                <w:sz w:val="12"/>
              </w:rPr>
            </w:pPr>
          </w:p>
          <w:p>
            <w:pPr>
              <w:pStyle w:val="TableParagraph"/>
              <w:ind w:left="107"/>
              <w:jc w:val="left"/>
              <w:rPr>
                <w:sz w:val="12"/>
              </w:rPr>
            </w:pPr>
            <w:r>
              <w:rPr>
                <w:color w:val="010202"/>
                <w:sz w:val="12"/>
              </w:rPr>
              <w:t>91</w:t>
            </w:r>
          </w:p>
        </w:tc>
        <w:tc>
          <w:tcPr>
            <w:tcW w:w="794" w:type="dxa"/>
          </w:tcPr>
          <w:p>
            <w:pPr/>
          </w:p>
        </w:tc>
        <w:tc>
          <w:tcPr>
            <w:tcW w:w="2551" w:type="dxa"/>
          </w:tcPr>
          <w:p>
            <w:pPr>
              <w:pStyle w:val="TableParagraph"/>
              <w:jc w:val="left"/>
              <w:rPr>
                <w:sz w:val="12"/>
              </w:rPr>
            </w:pPr>
          </w:p>
          <w:p>
            <w:pPr>
              <w:pStyle w:val="TableParagraph"/>
              <w:spacing w:before="7"/>
              <w:jc w:val="left"/>
              <w:rPr>
                <w:sz w:val="11"/>
              </w:rPr>
            </w:pPr>
          </w:p>
          <w:p>
            <w:pPr>
              <w:pStyle w:val="TableParagraph"/>
              <w:rPr>
                <w:rFonts w:ascii="Palatino Linotype"/>
                <w:b/>
                <w:sz w:val="12"/>
              </w:rPr>
            </w:pPr>
            <w:r>
              <w:rPr>
                <w:rFonts w:ascii="Palatino Linotype"/>
                <w:b/>
                <w:color w:val="010202"/>
                <w:w w:val="95"/>
                <w:sz w:val="12"/>
              </w:rPr>
              <w:t>Tebo, S.A. de C.V. (Gpo. Tebo)</w:t>
            </w:r>
          </w:p>
        </w:tc>
        <w:tc>
          <w:tcPr>
            <w:tcW w:w="567" w:type="dxa"/>
          </w:tcPr>
          <w:p>
            <w:pPr/>
          </w:p>
        </w:tc>
        <w:tc>
          <w:tcPr>
            <w:tcW w:w="567" w:type="dxa"/>
          </w:tcPr>
          <w:p>
            <w:pPr/>
          </w:p>
        </w:tc>
        <w:tc>
          <w:tcPr>
            <w:tcW w:w="2381" w:type="dxa"/>
          </w:tcPr>
          <w:p>
            <w:pPr>
              <w:pStyle w:val="TableParagraph"/>
              <w:spacing w:line="132" w:lineRule="exact" w:before="94"/>
              <w:ind w:left="138" w:right="120" w:firstLine="11"/>
              <w:rPr>
                <w:sz w:val="12"/>
              </w:rPr>
            </w:pPr>
            <w:r>
              <w:rPr>
                <w:color w:val="010202"/>
                <w:sz w:val="12"/>
              </w:rPr>
              <w:t>Cilindros de frenos de rueda, conexiones</w:t>
            </w:r>
            <w:r>
              <w:rPr>
                <w:color w:val="010202"/>
                <w:spacing w:val="-11"/>
                <w:sz w:val="12"/>
              </w:rPr>
              <w:t> </w:t>
            </w:r>
            <w:r>
              <w:rPr>
                <w:color w:val="010202"/>
                <w:sz w:val="12"/>
              </w:rPr>
              <w:t>de acero y latón, mangueras de frenos,</w:t>
            </w:r>
            <w:r>
              <w:rPr>
                <w:color w:val="010202"/>
                <w:spacing w:val="-20"/>
                <w:sz w:val="12"/>
              </w:rPr>
              <w:t> </w:t>
            </w:r>
            <w:r>
              <w:rPr>
                <w:color w:val="010202"/>
                <w:sz w:val="12"/>
              </w:rPr>
              <w:t>cilindro maestro de frenos, servo freno, cilindro maestro de freno</w:t>
            </w:r>
            <w:r>
              <w:rPr>
                <w:color w:val="010202"/>
                <w:spacing w:val="1"/>
                <w:sz w:val="12"/>
              </w:rPr>
              <w:t> </w:t>
            </w:r>
            <w:r>
              <w:rPr>
                <w:color w:val="010202"/>
                <w:sz w:val="12"/>
              </w:rPr>
              <w:t>antibloqueo</w:t>
            </w:r>
          </w:p>
        </w:tc>
      </w:tr>
      <w:tr>
        <w:trPr>
          <w:trHeight w:val="505" w:hRule="exact"/>
        </w:trPr>
        <w:tc>
          <w:tcPr>
            <w:tcW w:w="340" w:type="dxa"/>
          </w:tcPr>
          <w:p>
            <w:pPr>
              <w:pStyle w:val="TableParagraph"/>
              <w:spacing w:before="6"/>
              <w:jc w:val="left"/>
              <w:rPr>
                <w:sz w:val="15"/>
              </w:rPr>
            </w:pPr>
          </w:p>
          <w:p>
            <w:pPr>
              <w:pStyle w:val="TableParagraph"/>
              <w:ind w:left="107"/>
              <w:jc w:val="left"/>
              <w:rPr>
                <w:sz w:val="12"/>
              </w:rPr>
            </w:pPr>
            <w:r>
              <w:rPr>
                <w:color w:val="010202"/>
                <w:sz w:val="12"/>
              </w:rPr>
              <w:t>92</w:t>
            </w:r>
          </w:p>
        </w:tc>
        <w:tc>
          <w:tcPr>
            <w:tcW w:w="794" w:type="dxa"/>
          </w:tcPr>
          <w:p>
            <w:pPr/>
          </w:p>
        </w:tc>
        <w:tc>
          <w:tcPr>
            <w:tcW w:w="2551" w:type="dxa"/>
          </w:tcPr>
          <w:p>
            <w:pPr>
              <w:pStyle w:val="TableParagraph"/>
              <w:spacing w:line="147" w:lineRule="exact" w:before="99"/>
              <w:ind w:left="109" w:right="29"/>
              <w:jc w:val="left"/>
              <w:rPr>
                <w:rFonts w:ascii="Palatino Linotype" w:hAnsi="Palatino Linotype"/>
                <w:b/>
                <w:sz w:val="12"/>
              </w:rPr>
            </w:pPr>
            <w:r>
              <w:rPr>
                <w:rFonts w:ascii="Palatino Linotype" w:hAnsi="Palatino Linotype"/>
                <w:b/>
                <w:color w:val="010202"/>
                <w:w w:val="95"/>
                <w:sz w:val="12"/>
              </w:rPr>
              <w:t>TECNIFLEX Ansorge de México y Compañía,</w:t>
            </w:r>
          </w:p>
          <w:p>
            <w:pPr>
              <w:pStyle w:val="TableParagraph"/>
              <w:spacing w:line="147" w:lineRule="exact"/>
              <w:ind w:left="846" w:right="69"/>
              <w:jc w:val="left"/>
              <w:rPr>
                <w:rFonts w:ascii="Palatino Linotype"/>
                <w:b/>
                <w:sz w:val="12"/>
              </w:rPr>
            </w:pPr>
            <w:r>
              <w:rPr>
                <w:rFonts w:ascii="Palatino Linotype"/>
                <w:b/>
                <w:color w:val="010202"/>
                <w:sz w:val="12"/>
              </w:rPr>
              <w:t>S. en C.S. de C.V.</w:t>
            </w:r>
          </w:p>
        </w:tc>
        <w:tc>
          <w:tcPr>
            <w:tcW w:w="567" w:type="dxa"/>
          </w:tcPr>
          <w:p>
            <w:pPr>
              <w:pStyle w:val="TableParagraph"/>
              <w:spacing w:before="6"/>
              <w:jc w:val="left"/>
              <w:rPr>
                <w:sz w:val="15"/>
              </w:rPr>
            </w:pPr>
          </w:p>
          <w:p>
            <w:pPr>
              <w:pStyle w:val="TableParagraph"/>
              <w:rPr>
                <w:sz w:val="12"/>
              </w:rPr>
            </w:pPr>
            <w:r>
              <w:rPr>
                <w:color w:val="010202"/>
                <w:w w:val="96"/>
                <w:sz w:val="12"/>
              </w:rPr>
              <w:t>2</w:t>
            </w:r>
          </w:p>
        </w:tc>
        <w:tc>
          <w:tcPr>
            <w:tcW w:w="567" w:type="dxa"/>
          </w:tcPr>
          <w:p>
            <w:pPr>
              <w:pStyle w:val="TableParagraph"/>
              <w:spacing w:before="6"/>
              <w:jc w:val="left"/>
              <w:rPr>
                <w:sz w:val="15"/>
              </w:rPr>
            </w:pPr>
          </w:p>
          <w:p>
            <w:pPr>
              <w:pStyle w:val="TableParagraph"/>
              <w:ind w:left="244"/>
              <w:jc w:val="left"/>
              <w:rPr>
                <w:sz w:val="12"/>
              </w:rPr>
            </w:pPr>
            <w:r>
              <w:rPr>
                <w:color w:val="010202"/>
                <w:w w:val="101"/>
                <w:sz w:val="12"/>
              </w:rPr>
              <w:t>P</w:t>
            </w:r>
          </w:p>
        </w:tc>
        <w:tc>
          <w:tcPr>
            <w:tcW w:w="2381" w:type="dxa"/>
          </w:tcPr>
          <w:p>
            <w:pPr>
              <w:pStyle w:val="TableParagraph"/>
              <w:spacing w:before="4"/>
              <w:jc w:val="left"/>
              <w:rPr>
                <w:sz w:val="10"/>
              </w:rPr>
            </w:pPr>
          </w:p>
          <w:p>
            <w:pPr>
              <w:pStyle w:val="TableParagraph"/>
              <w:spacing w:line="132" w:lineRule="exact"/>
              <w:ind w:left="417" w:right="-17" w:hanging="168"/>
              <w:jc w:val="left"/>
              <w:rPr>
                <w:sz w:val="12"/>
              </w:rPr>
            </w:pPr>
            <w:r>
              <w:rPr>
                <w:color w:val="010202"/>
                <w:sz w:val="12"/>
              </w:rPr>
              <w:t>Recubrimientos duplex, protección a la corrosión y acabados galvánicos</w:t>
            </w:r>
          </w:p>
        </w:tc>
      </w:tr>
      <w:tr>
        <w:trPr>
          <w:trHeight w:val="340" w:hRule="exact"/>
        </w:trPr>
        <w:tc>
          <w:tcPr>
            <w:tcW w:w="340" w:type="dxa"/>
          </w:tcPr>
          <w:p>
            <w:pPr>
              <w:pStyle w:val="TableParagraph"/>
              <w:spacing w:before="96"/>
              <w:ind w:left="107"/>
              <w:jc w:val="left"/>
              <w:rPr>
                <w:sz w:val="12"/>
              </w:rPr>
            </w:pPr>
            <w:r>
              <w:rPr>
                <w:color w:val="010202"/>
                <w:sz w:val="12"/>
              </w:rPr>
              <w:t>93</w:t>
            </w:r>
          </w:p>
        </w:tc>
        <w:tc>
          <w:tcPr>
            <w:tcW w:w="794" w:type="dxa"/>
          </w:tcPr>
          <w:p>
            <w:pPr>
              <w:pStyle w:val="TableParagraph"/>
              <w:spacing w:before="96"/>
              <w:ind w:left="18" w:right="18"/>
              <w:rPr>
                <w:sz w:val="12"/>
              </w:rPr>
            </w:pPr>
            <w:r>
              <w:rPr>
                <w:color w:val="010202"/>
                <w:w w:val="90"/>
                <w:sz w:val="12"/>
              </w:rPr>
              <w:t>Netzahualcoyotl</w:t>
            </w:r>
          </w:p>
        </w:tc>
        <w:tc>
          <w:tcPr>
            <w:tcW w:w="2551" w:type="dxa"/>
          </w:tcPr>
          <w:p>
            <w:pPr>
              <w:pStyle w:val="TableParagraph"/>
              <w:spacing w:before="82"/>
              <w:rPr>
                <w:rFonts w:ascii="Palatino Linotype"/>
                <w:b/>
                <w:sz w:val="12"/>
              </w:rPr>
            </w:pPr>
            <w:r>
              <w:rPr>
                <w:rFonts w:ascii="Palatino Linotype"/>
                <w:b/>
                <w:color w:val="010202"/>
                <w:w w:val="95"/>
                <w:sz w:val="12"/>
              </w:rPr>
              <w:t>Espumados Absa,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25"/>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Espuma de polietileno</w:t>
            </w:r>
          </w:p>
        </w:tc>
      </w:tr>
      <w:tr>
        <w:trPr>
          <w:trHeight w:val="340" w:hRule="exact"/>
        </w:trPr>
        <w:tc>
          <w:tcPr>
            <w:tcW w:w="340" w:type="dxa"/>
          </w:tcPr>
          <w:p>
            <w:pPr>
              <w:pStyle w:val="TableParagraph"/>
              <w:spacing w:before="96"/>
              <w:ind w:left="107"/>
              <w:jc w:val="left"/>
              <w:rPr>
                <w:sz w:val="12"/>
              </w:rPr>
            </w:pPr>
            <w:r>
              <w:rPr>
                <w:color w:val="010202"/>
                <w:sz w:val="12"/>
              </w:rPr>
              <w:t>94</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Maquinados Asociados Rodríguez,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Partes automotrices</w:t>
            </w:r>
          </w:p>
        </w:tc>
      </w:tr>
      <w:tr>
        <w:trPr>
          <w:trHeight w:val="340" w:hRule="exact"/>
        </w:trPr>
        <w:tc>
          <w:tcPr>
            <w:tcW w:w="340" w:type="dxa"/>
          </w:tcPr>
          <w:p>
            <w:pPr>
              <w:pStyle w:val="TableParagraph"/>
              <w:spacing w:before="96"/>
              <w:ind w:left="107"/>
              <w:jc w:val="left"/>
              <w:rPr>
                <w:sz w:val="12"/>
              </w:rPr>
            </w:pPr>
            <w:r>
              <w:rPr>
                <w:color w:val="010202"/>
                <w:sz w:val="12"/>
              </w:rPr>
              <w:t>95</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0"/>
                <w:sz w:val="12"/>
              </w:rPr>
              <w:t>Ungia Mexicana</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Bombas de agua y aceite</w:t>
            </w:r>
          </w:p>
        </w:tc>
      </w:tr>
      <w:tr>
        <w:trPr>
          <w:trHeight w:val="466" w:hRule="exact"/>
        </w:trPr>
        <w:tc>
          <w:tcPr>
            <w:tcW w:w="340" w:type="dxa"/>
          </w:tcPr>
          <w:p>
            <w:pPr>
              <w:pStyle w:val="TableParagraph"/>
              <w:spacing w:before="9"/>
              <w:jc w:val="left"/>
              <w:rPr>
                <w:sz w:val="13"/>
              </w:rPr>
            </w:pPr>
          </w:p>
          <w:p>
            <w:pPr>
              <w:pStyle w:val="TableParagraph"/>
              <w:spacing w:before="1"/>
              <w:ind w:left="107"/>
              <w:jc w:val="left"/>
              <w:rPr>
                <w:sz w:val="12"/>
              </w:rPr>
            </w:pPr>
            <w:r>
              <w:rPr>
                <w:color w:val="010202"/>
                <w:sz w:val="12"/>
              </w:rPr>
              <w:t>96</w:t>
            </w:r>
          </w:p>
        </w:tc>
        <w:tc>
          <w:tcPr>
            <w:tcW w:w="794" w:type="dxa"/>
          </w:tcPr>
          <w:p>
            <w:pPr>
              <w:pStyle w:val="TableParagraph"/>
              <w:spacing w:before="9"/>
              <w:jc w:val="left"/>
              <w:rPr>
                <w:sz w:val="13"/>
              </w:rPr>
            </w:pPr>
          </w:p>
          <w:p>
            <w:pPr>
              <w:pStyle w:val="TableParagraph"/>
              <w:spacing w:before="1"/>
              <w:ind w:left="18" w:right="18"/>
              <w:rPr>
                <w:sz w:val="12"/>
              </w:rPr>
            </w:pPr>
            <w:r>
              <w:rPr>
                <w:color w:val="010202"/>
                <w:sz w:val="12"/>
              </w:rPr>
              <w:t>Ocoyoacac</w:t>
            </w:r>
          </w:p>
        </w:tc>
        <w:tc>
          <w:tcPr>
            <w:tcW w:w="2551" w:type="dxa"/>
            <w:shd w:val="clear" w:color="auto" w:fill="BCBEC0"/>
          </w:tcPr>
          <w:p>
            <w:pPr>
              <w:pStyle w:val="TableParagraph"/>
              <w:spacing w:before="7"/>
              <w:jc w:val="left"/>
              <w:rPr>
                <w:sz w:val="12"/>
              </w:rPr>
            </w:pPr>
          </w:p>
          <w:p>
            <w:pPr>
              <w:pStyle w:val="TableParagraph"/>
              <w:ind w:left="26"/>
              <w:rPr>
                <w:rFonts w:ascii="Palatino Linotype" w:hAnsi="Palatino Linotype"/>
                <w:b/>
                <w:sz w:val="12"/>
              </w:rPr>
            </w:pPr>
            <w:r>
              <w:rPr>
                <w:rFonts w:ascii="Palatino Linotype" w:hAnsi="Palatino Linotype"/>
                <w:b/>
                <w:color w:val="010202"/>
                <w:w w:val="95"/>
                <w:sz w:val="12"/>
              </w:rPr>
              <w:t>BMW de México, S.A. de C.V.</w:t>
            </w:r>
          </w:p>
        </w:tc>
        <w:tc>
          <w:tcPr>
            <w:tcW w:w="567" w:type="dxa"/>
          </w:tcPr>
          <w:p>
            <w:pPr/>
          </w:p>
        </w:tc>
        <w:tc>
          <w:tcPr>
            <w:tcW w:w="567" w:type="dxa"/>
          </w:tcPr>
          <w:p>
            <w:pPr/>
          </w:p>
        </w:tc>
        <w:tc>
          <w:tcPr>
            <w:tcW w:w="2381" w:type="dxa"/>
          </w:tcPr>
          <w:p>
            <w:pPr>
              <w:pStyle w:val="TableParagraph"/>
              <w:spacing w:line="132" w:lineRule="exact" w:before="100"/>
              <w:ind w:left="917" w:right="202" w:hanging="668"/>
              <w:jc w:val="left"/>
              <w:rPr>
                <w:sz w:val="12"/>
              </w:rPr>
            </w:pPr>
            <w:r>
              <w:rPr>
                <w:color w:val="010202"/>
                <w:sz w:val="12"/>
              </w:rPr>
              <w:t>Fabricación y ensamble de automóviles y camiones</w:t>
            </w:r>
          </w:p>
        </w:tc>
      </w:tr>
      <w:tr>
        <w:trPr>
          <w:trHeight w:val="363" w:hRule="exact"/>
        </w:trPr>
        <w:tc>
          <w:tcPr>
            <w:tcW w:w="340" w:type="dxa"/>
          </w:tcPr>
          <w:p>
            <w:pPr>
              <w:pStyle w:val="TableParagraph"/>
              <w:spacing w:before="4"/>
              <w:jc w:val="left"/>
              <w:rPr>
                <w:sz w:val="9"/>
              </w:rPr>
            </w:pPr>
          </w:p>
          <w:p>
            <w:pPr>
              <w:pStyle w:val="TableParagraph"/>
              <w:ind w:left="107"/>
              <w:jc w:val="left"/>
              <w:rPr>
                <w:sz w:val="12"/>
              </w:rPr>
            </w:pPr>
            <w:r>
              <w:rPr>
                <w:color w:val="010202"/>
                <w:sz w:val="12"/>
              </w:rPr>
              <w:t>97</w:t>
            </w:r>
          </w:p>
        </w:tc>
        <w:tc>
          <w:tcPr>
            <w:tcW w:w="794" w:type="dxa"/>
          </w:tcPr>
          <w:p>
            <w:pPr/>
          </w:p>
        </w:tc>
        <w:tc>
          <w:tcPr>
            <w:tcW w:w="2551" w:type="dxa"/>
          </w:tcPr>
          <w:p>
            <w:pPr>
              <w:pStyle w:val="TableParagraph"/>
              <w:spacing w:before="94"/>
              <w:rPr>
                <w:rFonts w:ascii="Palatino Linotype"/>
                <w:b/>
                <w:sz w:val="12"/>
              </w:rPr>
            </w:pPr>
            <w:r>
              <w:rPr>
                <w:rFonts w:ascii="Palatino Linotype"/>
                <w:b/>
                <w:color w:val="010202"/>
                <w:w w:val="95"/>
                <w:sz w:val="12"/>
              </w:rPr>
              <w:t>Sintermetal, S. A. DE C. V.</w:t>
            </w:r>
          </w:p>
        </w:tc>
        <w:tc>
          <w:tcPr>
            <w:tcW w:w="567" w:type="dxa"/>
          </w:tcPr>
          <w:p>
            <w:pPr>
              <w:pStyle w:val="TableParagraph"/>
              <w:spacing w:before="4"/>
              <w:jc w:val="left"/>
              <w:rPr>
                <w:sz w:val="9"/>
              </w:rPr>
            </w:pPr>
          </w:p>
          <w:p>
            <w:pPr>
              <w:pStyle w:val="TableParagraph"/>
              <w:ind w:left="46" w:right="46"/>
              <w:rPr>
                <w:sz w:val="12"/>
              </w:rPr>
            </w:pPr>
            <w:r>
              <w:rPr>
                <w:color w:val="010202"/>
                <w:sz w:val="12"/>
              </w:rPr>
              <w:t>1 y 2</w:t>
            </w:r>
          </w:p>
        </w:tc>
        <w:tc>
          <w:tcPr>
            <w:tcW w:w="567" w:type="dxa"/>
          </w:tcPr>
          <w:p>
            <w:pPr>
              <w:pStyle w:val="TableParagraph"/>
              <w:spacing w:before="4"/>
              <w:jc w:val="left"/>
              <w:rPr>
                <w:sz w:val="9"/>
              </w:rPr>
            </w:pPr>
          </w:p>
          <w:p>
            <w:pPr>
              <w:pStyle w:val="TableParagraph"/>
              <w:ind w:left="244"/>
              <w:jc w:val="left"/>
              <w:rPr>
                <w:sz w:val="12"/>
              </w:rPr>
            </w:pPr>
            <w:r>
              <w:rPr>
                <w:color w:val="010202"/>
                <w:w w:val="101"/>
                <w:sz w:val="12"/>
              </w:rPr>
              <w:t>P</w:t>
            </w:r>
          </w:p>
        </w:tc>
        <w:tc>
          <w:tcPr>
            <w:tcW w:w="2381" w:type="dxa"/>
          </w:tcPr>
          <w:p>
            <w:pPr>
              <w:pStyle w:val="TableParagraph"/>
              <w:spacing w:before="4"/>
              <w:jc w:val="left"/>
              <w:rPr>
                <w:sz w:val="9"/>
              </w:rPr>
            </w:pPr>
          </w:p>
          <w:p>
            <w:pPr>
              <w:pStyle w:val="TableParagraph"/>
              <w:ind w:left="106" w:right="106"/>
              <w:rPr>
                <w:sz w:val="12"/>
              </w:rPr>
            </w:pPr>
            <w:r>
              <w:rPr>
                <w:color w:val="010202"/>
                <w:sz w:val="12"/>
              </w:rPr>
              <w:t>Bujes sinterizados de hierro, cobre y bonce</w:t>
            </w:r>
          </w:p>
        </w:tc>
      </w:tr>
      <w:tr>
        <w:trPr>
          <w:trHeight w:val="386" w:hRule="exact"/>
        </w:trPr>
        <w:tc>
          <w:tcPr>
            <w:tcW w:w="340" w:type="dxa"/>
          </w:tcPr>
          <w:p>
            <w:pPr>
              <w:pStyle w:val="TableParagraph"/>
              <w:spacing w:before="4"/>
              <w:jc w:val="left"/>
              <w:rPr>
                <w:sz w:val="10"/>
              </w:rPr>
            </w:pPr>
          </w:p>
          <w:p>
            <w:pPr>
              <w:pStyle w:val="TableParagraph"/>
              <w:ind w:left="107"/>
              <w:jc w:val="left"/>
              <w:rPr>
                <w:sz w:val="12"/>
              </w:rPr>
            </w:pPr>
            <w:r>
              <w:rPr>
                <w:color w:val="010202"/>
                <w:sz w:val="12"/>
              </w:rPr>
              <w:t>98</w:t>
            </w:r>
          </w:p>
        </w:tc>
        <w:tc>
          <w:tcPr>
            <w:tcW w:w="794" w:type="dxa"/>
          </w:tcPr>
          <w:p>
            <w:pPr>
              <w:pStyle w:val="TableParagraph"/>
              <w:spacing w:line="132" w:lineRule="exact" w:before="60"/>
              <w:ind w:left="96" w:right="81" w:firstLine="86"/>
              <w:jc w:val="left"/>
              <w:rPr>
                <w:sz w:val="12"/>
              </w:rPr>
            </w:pPr>
            <w:r>
              <w:rPr>
                <w:color w:val="010202"/>
                <w:sz w:val="12"/>
              </w:rPr>
              <w:t>San Juan Ixhuantepec</w:t>
            </w:r>
          </w:p>
        </w:tc>
        <w:tc>
          <w:tcPr>
            <w:tcW w:w="2551" w:type="dxa"/>
          </w:tcPr>
          <w:p>
            <w:pPr>
              <w:pStyle w:val="TableParagraph"/>
              <w:spacing w:before="105"/>
              <w:rPr>
                <w:rFonts w:ascii="Palatino Linotype"/>
                <w:b/>
                <w:sz w:val="12"/>
              </w:rPr>
            </w:pPr>
            <w:r>
              <w:rPr>
                <w:rFonts w:ascii="Palatino Linotype"/>
                <w:b/>
                <w:color w:val="010202"/>
                <w:w w:val="90"/>
                <w:sz w:val="12"/>
              </w:rPr>
              <w:t>Adelar, S.A</w:t>
            </w:r>
          </w:p>
        </w:tc>
        <w:tc>
          <w:tcPr>
            <w:tcW w:w="567" w:type="dxa"/>
          </w:tcPr>
          <w:p>
            <w:pPr>
              <w:pStyle w:val="TableParagraph"/>
              <w:spacing w:before="4"/>
              <w:jc w:val="left"/>
              <w:rPr>
                <w:sz w:val="10"/>
              </w:rPr>
            </w:pPr>
          </w:p>
          <w:p>
            <w:pPr>
              <w:pStyle w:val="TableParagraph"/>
              <w:rPr>
                <w:sz w:val="12"/>
              </w:rPr>
            </w:pPr>
            <w:r>
              <w:rPr>
                <w:color w:val="010202"/>
                <w:w w:val="106"/>
                <w:sz w:val="12"/>
              </w:rPr>
              <w:t>-</w:t>
            </w:r>
          </w:p>
        </w:tc>
        <w:tc>
          <w:tcPr>
            <w:tcW w:w="567" w:type="dxa"/>
          </w:tcPr>
          <w:p>
            <w:pPr>
              <w:pStyle w:val="TableParagraph"/>
              <w:spacing w:before="4"/>
              <w:jc w:val="left"/>
              <w:rPr>
                <w:sz w:val="10"/>
              </w:rPr>
            </w:pPr>
          </w:p>
          <w:p>
            <w:pPr>
              <w:pStyle w:val="TableParagraph"/>
              <w:ind w:left="225"/>
              <w:jc w:val="left"/>
              <w:rPr>
                <w:sz w:val="12"/>
              </w:rPr>
            </w:pPr>
            <w:r>
              <w:rPr>
                <w:color w:val="010202"/>
                <w:w w:val="100"/>
                <w:sz w:val="12"/>
              </w:rPr>
              <w:t>M</w:t>
            </w:r>
          </w:p>
        </w:tc>
        <w:tc>
          <w:tcPr>
            <w:tcW w:w="2381" w:type="dxa"/>
          </w:tcPr>
          <w:p>
            <w:pPr>
              <w:pStyle w:val="TableParagraph"/>
              <w:spacing w:before="4"/>
              <w:jc w:val="left"/>
              <w:rPr>
                <w:sz w:val="10"/>
              </w:rPr>
            </w:pPr>
          </w:p>
          <w:p>
            <w:pPr>
              <w:pStyle w:val="TableParagraph"/>
              <w:ind w:left="106" w:right="106"/>
              <w:rPr>
                <w:sz w:val="12"/>
              </w:rPr>
            </w:pPr>
            <w:r>
              <w:rPr>
                <w:color w:val="010202"/>
                <w:sz w:val="12"/>
              </w:rPr>
              <w:t>Bolbas de gasolina</w:t>
            </w:r>
          </w:p>
        </w:tc>
      </w:tr>
      <w:tr>
        <w:trPr>
          <w:trHeight w:val="447" w:hRule="exact"/>
        </w:trPr>
        <w:tc>
          <w:tcPr>
            <w:tcW w:w="340" w:type="dxa"/>
          </w:tcPr>
          <w:p>
            <w:pPr>
              <w:pStyle w:val="TableParagraph"/>
              <w:jc w:val="left"/>
              <w:rPr>
                <w:sz w:val="13"/>
              </w:rPr>
            </w:pPr>
          </w:p>
          <w:p>
            <w:pPr>
              <w:pStyle w:val="TableParagraph"/>
              <w:spacing w:before="1"/>
              <w:ind w:left="107"/>
              <w:jc w:val="left"/>
              <w:rPr>
                <w:sz w:val="12"/>
              </w:rPr>
            </w:pPr>
            <w:r>
              <w:rPr>
                <w:color w:val="010202"/>
                <w:sz w:val="12"/>
              </w:rPr>
              <w:t>99</w:t>
            </w:r>
          </w:p>
        </w:tc>
        <w:tc>
          <w:tcPr>
            <w:tcW w:w="794" w:type="dxa"/>
          </w:tcPr>
          <w:p>
            <w:pPr>
              <w:pStyle w:val="TableParagraph"/>
              <w:spacing w:line="132" w:lineRule="exact" w:before="90"/>
              <w:ind w:left="59" w:firstLine="132"/>
              <w:jc w:val="left"/>
              <w:rPr>
                <w:sz w:val="12"/>
              </w:rPr>
            </w:pPr>
            <w:r>
              <w:rPr>
                <w:color w:val="010202"/>
                <w:sz w:val="12"/>
              </w:rPr>
              <w:t>Santiago Tianguistenco</w:t>
            </w:r>
          </w:p>
        </w:tc>
        <w:tc>
          <w:tcPr>
            <w:tcW w:w="2551" w:type="dxa"/>
          </w:tcPr>
          <w:p>
            <w:pPr>
              <w:pStyle w:val="TableParagraph"/>
              <w:spacing w:before="9"/>
              <w:jc w:val="left"/>
              <w:rPr>
                <w:sz w:val="11"/>
              </w:rPr>
            </w:pPr>
          </w:p>
          <w:p>
            <w:pPr>
              <w:pStyle w:val="TableParagraph"/>
              <w:spacing w:before="1"/>
              <w:rPr>
                <w:rFonts w:ascii="Palatino Linotype"/>
                <w:b/>
                <w:sz w:val="12"/>
              </w:rPr>
            </w:pPr>
            <w:r>
              <w:rPr>
                <w:rFonts w:ascii="Palatino Linotype"/>
                <w:b/>
                <w:color w:val="010202"/>
                <w:w w:val="95"/>
                <w:sz w:val="12"/>
              </w:rPr>
              <w:t>Hitchiner, S.A. de C.V.</w:t>
            </w:r>
          </w:p>
        </w:tc>
        <w:tc>
          <w:tcPr>
            <w:tcW w:w="567" w:type="dxa"/>
          </w:tcPr>
          <w:p>
            <w:pPr>
              <w:pStyle w:val="TableParagraph"/>
              <w:jc w:val="left"/>
              <w:rPr>
                <w:sz w:val="13"/>
              </w:rPr>
            </w:pPr>
          </w:p>
          <w:p>
            <w:pPr>
              <w:pStyle w:val="TableParagraph"/>
              <w:spacing w:before="1"/>
              <w:rPr>
                <w:sz w:val="12"/>
              </w:rPr>
            </w:pPr>
            <w:r>
              <w:rPr>
                <w:color w:val="010202"/>
                <w:w w:val="96"/>
                <w:sz w:val="12"/>
              </w:rPr>
              <w:t>1</w:t>
            </w:r>
          </w:p>
        </w:tc>
        <w:tc>
          <w:tcPr>
            <w:tcW w:w="567" w:type="dxa"/>
          </w:tcPr>
          <w:p>
            <w:pPr>
              <w:pStyle w:val="TableParagraph"/>
              <w:jc w:val="left"/>
              <w:rPr>
                <w:sz w:val="13"/>
              </w:rPr>
            </w:pPr>
          </w:p>
          <w:p>
            <w:pPr>
              <w:pStyle w:val="TableParagraph"/>
              <w:spacing w:before="1"/>
              <w:ind w:left="235"/>
              <w:jc w:val="left"/>
              <w:rPr>
                <w:sz w:val="12"/>
              </w:rPr>
            </w:pPr>
            <w:r>
              <w:rPr>
                <w:color w:val="010202"/>
                <w:w w:val="99"/>
                <w:sz w:val="12"/>
              </w:rPr>
              <w:t>G</w:t>
            </w:r>
          </w:p>
        </w:tc>
        <w:tc>
          <w:tcPr>
            <w:tcW w:w="2381" w:type="dxa"/>
          </w:tcPr>
          <w:p>
            <w:pPr>
              <w:pStyle w:val="TableParagraph"/>
              <w:jc w:val="left"/>
              <w:rPr>
                <w:sz w:val="13"/>
              </w:rPr>
            </w:pPr>
          </w:p>
          <w:p>
            <w:pPr>
              <w:pStyle w:val="TableParagraph"/>
              <w:spacing w:before="1"/>
              <w:ind w:left="106" w:right="106"/>
              <w:rPr>
                <w:sz w:val="12"/>
              </w:rPr>
            </w:pPr>
            <w:r>
              <w:rPr>
                <w:color w:val="010202"/>
                <w:sz w:val="12"/>
              </w:rPr>
              <w:t>Fundición de metales</w:t>
            </w:r>
          </w:p>
        </w:tc>
      </w:tr>
      <w:tr>
        <w:trPr>
          <w:trHeight w:val="312" w:hRule="exact"/>
        </w:trPr>
        <w:tc>
          <w:tcPr>
            <w:tcW w:w="340" w:type="dxa"/>
          </w:tcPr>
          <w:p>
            <w:pPr>
              <w:pStyle w:val="TableParagraph"/>
              <w:spacing w:before="82"/>
              <w:ind w:left="78"/>
              <w:jc w:val="left"/>
              <w:rPr>
                <w:sz w:val="12"/>
              </w:rPr>
            </w:pPr>
            <w:r>
              <w:rPr>
                <w:color w:val="010202"/>
                <w:sz w:val="12"/>
              </w:rPr>
              <w:t>100</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Raloy lubricantes,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ind w:left="225"/>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Aceites</w:t>
            </w:r>
          </w:p>
        </w:tc>
      </w:tr>
    </w:tbl>
    <w:p>
      <w:pPr>
        <w:spacing w:after="0"/>
        <w:rPr>
          <w:sz w:val="12"/>
        </w:rPr>
        <w:sectPr>
          <w:pgSz w:w="9640" w:h="13040"/>
          <w:pgMar w:header="580" w:footer="654" w:top="780" w:bottom="840" w:left="1200" w:right="420"/>
        </w:sectPr>
      </w:pPr>
    </w:p>
    <w:p>
      <w:pPr>
        <w:pStyle w:val="BodyText"/>
        <w:rPr>
          <w:sz w:val="20"/>
        </w:rPr>
      </w:pPr>
    </w:p>
    <w:p>
      <w:pPr>
        <w:pStyle w:val="BodyText"/>
        <w:rPr>
          <w:sz w:val="20"/>
        </w:rPr>
      </w:pPr>
    </w:p>
    <w:p>
      <w:pPr>
        <w:pStyle w:val="BodyText"/>
        <w:spacing w:before="4"/>
        <w:rPr>
          <w:sz w:val="10"/>
        </w:rPr>
      </w:pPr>
    </w:p>
    <w:tbl>
      <w:tblPr>
        <w:tblW w:w="0" w:type="auto"/>
        <w:jc w:val="left"/>
        <w:tblInd w:w="7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465" w:hRule="exact"/>
        </w:trPr>
        <w:tc>
          <w:tcPr>
            <w:tcW w:w="340" w:type="dxa"/>
          </w:tcPr>
          <w:p>
            <w:pPr>
              <w:pStyle w:val="TableParagraph"/>
              <w:spacing w:before="6"/>
              <w:jc w:val="left"/>
              <w:rPr>
                <w:sz w:val="12"/>
              </w:rPr>
            </w:pPr>
          </w:p>
          <w:p>
            <w:pPr>
              <w:pStyle w:val="TableParagraph"/>
              <w:spacing w:before="1"/>
              <w:ind w:left="46" w:right="46"/>
              <w:rPr>
                <w:rFonts w:ascii="Palatino Linotype"/>
                <w:b/>
                <w:sz w:val="12"/>
              </w:rPr>
            </w:pPr>
            <w:r>
              <w:rPr>
                <w:rFonts w:ascii="Palatino Linotype"/>
                <w:b/>
                <w:color w:val="010202"/>
                <w:sz w:val="12"/>
              </w:rPr>
              <w:t>No.</w:t>
            </w:r>
          </w:p>
        </w:tc>
        <w:tc>
          <w:tcPr>
            <w:tcW w:w="794" w:type="dxa"/>
          </w:tcPr>
          <w:p>
            <w:pPr>
              <w:pStyle w:val="TableParagraph"/>
              <w:spacing w:before="6"/>
              <w:jc w:val="left"/>
              <w:rPr>
                <w:sz w:val="12"/>
              </w:rPr>
            </w:pPr>
          </w:p>
          <w:p>
            <w:pPr>
              <w:pStyle w:val="TableParagraph"/>
              <w:spacing w:before="1"/>
              <w:ind w:left="130"/>
              <w:jc w:val="left"/>
              <w:rPr>
                <w:rFonts w:ascii="Palatino Linotype"/>
                <w:b/>
                <w:sz w:val="12"/>
              </w:rPr>
            </w:pPr>
            <w:r>
              <w:rPr>
                <w:rFonts w:ascii="Palatino Linotype"/>
                <w:b/>
                <w:color w:val="010202"/>
                <w:sz w:val="12"/>
              </w:rPr>
              <w:t>Municipio</w:t>
            </w:r>
          </w:p>
        </w:tc>
        <w:tc>
          <w:tcPr>
            <w:tcW w:w="2551" w:type="dxa"/>
          </w:tcPr>
          <w:p>
            <w:pPr>
              <w:pStyle w:val="TableParagraph"/>
              <w:spacing w:before="6"/>
              <w:jc w:val="left"/>
              <w:rPr>
                <w:sz w:val="12"/>
              </w:rPr>
            </w:pPr>
          </w:p>
          <w:p>
            <w:pPr>
              <w:pStyle w:val="TableParagraph"/>
              <w:spacing w:before="1"/>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6"/>
              <w:jc w:val="left"/>
              <w:rPr>
                <w:sz w:val="12"/>
              </w:rPr>
            </w:pPr>
          </w:p>
          <w:p>
            <w:pPr>
              <w:pStyle w:val="TableParagraph"/>
              <w:spacing w:before="1"/>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33"/>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6"/>
              <w:jc w:val="left"/>
              <w:rPr>
                <w:sz w:val="12"/>
              </w:rPr>
            </w:pPr>
          </w:p>
          <w:p>
            <w:pPr>
              <w:pStyle w:val="TableParagraph"/>
              <w:spacing w:before="1"/>
              <w:ind w:left="106" w:right="106"/>
              <w:rPr>
                <w:rFonts w:ascii="Palatino Linotype"/>
                <w:b/>
                <w:sz w:val="12"/>
              </w:rPr>
            </w:pPr>
            <w:r>
              <w:rPr>
                <w:rFonts w:ascii="Palatino Linotype"/>
                <w:b/>
                <w:color w:val="010202"/>
                <w:w w:val="90"/>
                <w:sz w:val="12"/>
              </w:rPr>
              <w:t>Principales productos</w:t>
            </w:r>
          </w:p>
        </w:tc>
      </w:tr>
      <w:tr>
        <w:trPr>
          <w:trHeight w:val="340" w:hRule="exact"/>
        </w:trPr>
        <w:tc>
          <w:tcPr>
            <w:tcW w:w="340" w:type="dxa"/>
          </w:tcPr>
          <w:p>
            <w:pPr>
              <w:pStyle w:val="TableParagraph"/>
              <w:spacing w:before="96"/>
              <w:ind w:left="46" w:right="46"/>
              <w:rPr>
                <w:sz w:val="12"/>
              </w:rPr>
            </w:pPr>
            <w:r>
              <w:rPr>
                <w:color w:val="010202"/>
                <w:sz w:val="12"/>
              </w:rPr>
              <w:t>101</w:t>
            </w:r>
          </w:p>
        </w:tc>
        <w:tc>
          <w:tcPr>
            <w:tcW w:w="794" w:type="dxa"/>
          </w:tcPr>
          <w:p>
            <w:pPr>
              <w:pStyle w:val="TableParagraph"/>
              <w:spacing w:before="96"/>
              <w:ind w:left="182"/>
              <w:jc w:val="left"/>
              <w:rPr>
                <w:sz w:val="12"/>
              </w:rPr>
            </w:pPr>
            <w:r>
              <w:rPr>
                <w:color w:val="010202"/>
                <w:sz w:val="12"/>
              </w:rPr>
              <w:t>Tecamac</w:t>
            </w:r>
          </w:p>
        </w:tc>
        <w:tc>
          <w:tcPr>
            <w:tcW w:w="2551" w:type="dxa"/>
          </w:tcPr>
          <w:p>
            <w:pPr>
              <w:pStyle w:val="TableParagraph"/>
              <w:spacing w:before="82"/>
              <w:rPr>
                <w:rFonts w:ascii="Palatino Linotype"/>
                <w:b/>
                <w:sz w:val="12"/>
              </w:rPr>
            </w:pPr>
            <w:r>
              <w:rPr>
                <w:rFonts w:ascii="Palatino Linotype"/>
                <w:b/>
                <w:color w:val="010202"/>
                <w:w w:val="95"/>
                <w:sz w:val="12"/>
              </w:rPr>
              <w:t>Duck Poleas Automotrices,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Poleas</w:t>
            </w:r>
          </w:p>
        </w:tc>
      </w:tr>
      <w:tr>
        <w:trPr>
          <w:trHeight w:val="340" w:hRule="exact"/>
        </w:trPr>
        <w:tc>
          <w:tcPr>
            <w:tcW w:w="340" w:type="dxa"/>
          </w:tcPr>
          <w:p>
            <w:pPr>
              <w:pStyle w:val="TableParagraph"/>
              <w:spacing w:before="96"/>
              <w:ind w:left="46" w:right="46"/>
              <w:rPr>
                <w:sz w:val="12"/>
              </w:rPr>
            </w:pPr>
            <w:r>
              <w:rPr>
                <w:color w:val="010202"/>
                <w:sz w:val="12"/>
              </w:rPr>
              <w:t>102</w:t>
            </w:r>
          </w:p>
        </w:tc>
        <w:tc>
          <w:tcPr>
            <w:tcW w:w="794" w:type="dxa"/>
          </w:tcPr>
          <w:p>
            <w:pPr>
              <w:pStyle w:val="TableParagraph"/>
              <w:spacing w:before="96"/>
              <w:ind w:left="186"/>
              <w:jc w:val="left"/>
              <w:rPr>
                <w:sz w:val="12"/>
              </w:rPr>
            </w:pPr>
            <w:r>
              <w:rPr>
                <w:color w:val="010202"/>
                <w:sz w:val="12"/>
              </w:rPr>
              <w:t>Tenango</w:t>
            </w:r>
          </w:p>
        </w:tc>
        <w:tc>
          <w:tcPr>
            <w:tcW w:w="2551" w:type="dxa"/>
          </w:tcPr>
          <w:p>
            <w:pPr>
              <w:pStyle w:val="TableParagraph"/>
              <w:spacing w:before="82"/>
              <w:rPr>
                <w:rFonts w:ascii="Palatino Linotype" w:hAnsi="Palatino Linotype"/>
                <w:b/>
                <w:sz w:val="12"/>
              </w:rPr>
            </w:pPr>
            <w:r>
              <w:rPr>
                <w:rFonts w:ascii="Palatino Linotype" w:hAnsi="Palatino Linotype"/>
                <w:b/>
                <w:color w:val="010202"/>
                <w:w w:val="90"/>
                <w:sz w:val="12"/>
              </w:rPr>
              <w:t>Manufacturas de cigüeñales de México</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Cigüeñales</w:t>
            </w:r>
          </w:p>
        </w:tc>
      </w:tr>
      <w:tr>
        <w:trPr>
          <w:trHeight w:val="340" w:hRule="exact"/>
        </w:trPr>
        <w:tc>
          <w:tcPr>
            <w:tcW w:w="340" w:type="dxa"/>
          </w:tcPr>
          <w:p>
            <w:pPr>
              <w:pStyle w:val="TableParagraph"/>
              <w:spacing w:before="96"/>
              <w:ind w:left="46" w:right="46"/>
              <w:rPr>
                <w:sz w:val="12"/>
              </w:rPr>
            </w:pPr>
            <w:r>
              <w:rPr>
                <w:color w:val="010202"/>
                <w:sz w:val="12"/>
              </w:rPr>
              <w:t>103</w:t>
            </w:r>
          </w:p>
        </w:tc>
        <w:tc>
          <w:tcPr>
            <w:tcW w:w="794" w:type="dxa"/>
          </w:tcPr>
          <w:p>
            <w:pPr>
              <w:pStyle w:val="TableParagraph"/>
              <w:spacing w:before="96"/>
              <w:ind w:left="116"/>
              <w:jc w:val="left"/>
              <w:rPr>
                <w:sz w:val="12"/>
              </w:rPr>
            </w:pPr>
            <w:r>
              <w:rPr>
                <w:color w:val="010202"/>
                <w:sz w:val="12"/>
              </w:rPr>
              <w:t>Teoloyucan</w:t>
            </w:r>
          </w:p>
        </w:tc>
        <w:tc>
          <w:tcPr>
            <w:tcW w:w="2551" w:type="dxa"/>
          </w:tcPr>
          <w:p>
            <w:pPr>
              <w:pStyle w:val="TableParagraph"/>
              <w:spacing w:before="82"/>
              <w:rPr>
                <w:rFonts w:ascii="Palatino Linotype"/>
                <w:b/>
                <w:sz w:val="12"/>
              </w:rPr>
            </w:pPr>
            <w:r>
              <w:rPr>
                <w:rFonts w:ascii="Palatino Linotype"/>
                <w:b/>
                <w:color w:val="010202"/>
                <w:w w:val="95"/>
                <w:sz w:val="12"/>
              </w:rPr>
              <w:t>Industrias HBM,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Mofles</w:t>
            </w:r>
          </w:p>
        </w:tc>
      </w:tr>
      <w:tr>
        <w:trPr>
          <w:trHeight w:val="622" w:hRule="exact"/>
        </w:trPr>
        <w:tc>
          <w:tcPr>
            <w:tcW w:w="340" w:type="dxa"/>
          </w:tcPr>
          <w:p>
            <w:pPr>
              <w:pStyle w:val="TableParagraph"/>
              <w:jc w:val="left"/>
              <w:rPr>
                <w:sz w:val="12"/>
              </w:rPr>
            </w:pPr>
          </w:p>
          <w:p>
            <w:pPr>
              <w:pStyle w:val="TableParagraph"/>
              <w:spacing w:before="99"/>
              <w:ind w:left="46" w:right="46"/>
              <w:rPr>
                <w:sz w:val="12"/>
              </w:rPr>
            </w:pPr>
            <w:r>
              <w:rPr>
                <w:color w:val="010202"/>
                <w:sz w:val="12"/>
              </w:rPr>
              <w:t>104</w:t>
            </w:r>
          </w:p>
        </w:tc>
        <w:tc>
          <w:tcPr>
            <w:tcW w:w="794" w:type="dxa"/>
          </w:tcPr>
          <w:p>
            <w:pPr>
              <w:pStyle w:val="TableParagraph"/>
              <w:jc w:val="left"/>
              <w:rPr>
                <w:sz w:val="12"/>
              </w:rPr>
            </w:pPr>
          </w:p>
          <w:p>
            <w:pPr>
              <w:pStyle w:val="TableParagraph"/>
              <w:spacing w:before="99"/>
              <w:ind w:left="107"/>
              <w:jc w:val="left"/>
              <w:rPr>
                <w:sz w:val="12"/>
              </w:rPr>
            </w:pPr>
            <w:r>
              <w:rPr>
                <w:color w:val="010202"/>
                <w:sz w:val="12"/>
              </w:rPr>
              <w:t>Tepotzotlán</w:t>
            </w:r>
          </w:p>
        </w:tc>
        <w:tc>
          <w:tcPr>
            <w:tcW w:w="2551" w:type="dxa"/>
          </w:tcPr>
          <w:p>
            <w:pPr>
              <w:pStyle w:val="TableParagraph"/>
              <w:jc w:val="left"/>
              <w:rPr>
                <w:sz w:val="12"/>
              </w:rPr>
            </w:pPr>
          </w:p>
          <w:p>
            <w:pPr>
              <w:pStyle w:val="TableParagraph"/>
              <w:spacing w:before="85"/>
              <w:rPr>
                <w:rFonts w:ascii="Palatino Linotype" w:hAnsi="Palatino Linotype"/>
                <w:b/>
                <w:sz w:val="12"/>
              </w:rPr>
            </w:pPr>
            <w:r>
              <w:rPr>
                <w:rFonts w:ascii="Palatino Linotype" w:hAnsi="Palatino Linotype"/>
                <w:b/>
                <w:color w:val="010202"/>
                <w:w w:val="95"/>
                <w:sz w:val="12"/>
              </w:rPr>
              <w:t>Fel-pro México, S. de R.L. de C.V.</w:t>
            </w:r>
          </w:p>
        </w:tc>
        <w:tc>
          <w:tcPr>
            <w:tcW w:w="567" w:type="dxa"/>
          </w:tcPr>
          <w:p>
            <w:pPr/>
          </w:p>
        </w:tc>
        <w:tc>
          <w:tcPr>
            <w:tcW w:w="567" w:type="dxa"/>
          </w:tcPr>
          <w:p>
            <w:pPr/>
          </w:p>
        </w:tc>
        <w:tc>
          <w:tcPr>
            <w:tcW w:w="2381" w:type="dxa"/>
          </w:tcPr>
          <w:p>
            <w:pPr>
              <w:pStyle w:val="TableParagraph"/>
              <w:spacing w:before="8"/>
              <w:jc w:val="left"/>
              <w:rPr>
                <w:sz w:val="9"/>
              </w:rPr>
            </w:pPr>
          </w:p>
          <w:p>
            <w:pPr>
              <w:pStyle w:val="TableParagraph"/>
              <w:spacing w:line="132" w:lineRule="exact"/>
              <w:ind w:left="47" w:right="45"/>
              <w:rPr>
                <w:sz w:val="12"/>
              </w:rPr>
            </w:pPr>
            <w:r>
              <w:rPr>
                <w:color w:val="010202"/>
                <w:sz w:val="12"/>
              </w:rPr>
              <w:t>Juntas para motores diesel, juntas para motores a gasolina, partes de reemplazo para maq.</w:t>
            </w:r>
          </w:p>
          <w:p>
            <w:pPr>
              <w:pStyle w:val="TableParagraph"/>
              <w:spacing w:line="132" w:lineRule="exact"/>
              <w:ind w:left="106" w:right="106"/>
              <w:rPr>
                <w:sz w:val="12"/>
              </w:rPr>
            </w:pPr>
            <w:r>
              <w:rPr>
                <w:color w:val="010202"/>
                <w:sz w:val="12"/>
              </w:rPr>
              <w:t>Diésel</w:t>
            </w:r>
          </w:p>
        </w:tc>
      </w:tr>
      <w:tr>
        <w:trPr>
          <w:trHeight w:val="340" w:hRule="exact"/>
        </w:trPr>
        <w:tc>
          <w:tcPr>
            <w:tcW w:w="340" w:type="dxa"/>
          </w:tcPr>
          <w:p>
            <w:pPr>
              <w:pStyle w:val="TableParagraph"/>
              <w:spacing w:before="96"/>
              <w:ind w:left="46" w:right="46"/>
              <w:rPr>
                <w:sz w:val="12"/>
              </w:rPr>
            </w:pPr>
            <w:r>
              <w:rPr>
                <w:color w:val="010202"/>
                <w:sz w:val="12"/>
              </w:rPr>
              <w:t>105</w:t>
            </w:r>
          </w:p>
        </w:tc>
        <w:tc>
          <w:tcPr>
            <w:tcW w:w="794" w:type="dxa"/>
          </w:tcPr>
          <w:p>
            <w:pPr/>
          </w:p>
        </w:tc>
        <w:tc>
          <w:tcPr>
            <w:tcW w:w="2551" w:type="dxa"/>
          </w:tcPr>
          <w:p>
            <w:pPr>
              <w:pStyle w:val="TableParagraph"/>
              <w:spacing w:line="132" w:lineRule="exact" w:before="37"/>
              <w:ind w:left="527" w:right="58" w:hanging="456"/>
              <w:jc w:val="left"/>
              <w:rPr>
                <w:rFonts w:ascii="Palatino Linotype" w:hAnsi="Palatino Linotype"/>
                <w:b/>
                <w:sz w:val="12"/>
              </w:rPr>
            </w:pPr>
            <w:r>
              <w:rPr>
                <w:rFonts w:ascii="Palatino Linotype" w:hAnsi="Palatino Linotype"/>
                <w:b/>
                <w:color w:val="010202"/>
                <w:w w:val="95"/>
                <w:sz w:val="12"/>
              </w:rPr>
              <w:t>Federal</w:t>
            </w:r>
            <w:r>
              <w:rPr>
                <w:rFonts w:ascii="Palatino Linotype" w:hAnsi="Palatino Linotype"/>
                <w:b/>
                <w:color w:val="010202"/>
                <w:spacing w:val="-16"/>
                <w:w w:val="95"/>
                <w:sz w:val="12"/>
              </w:rPr>
              <w:t> </w:t>
            </w:r>
            <w:r>
              <w:rPr>
                <w:rFonts w:ascii="Palatino Linotype" w:hAnsi="Palatino Linotype"/>
                <w:b/>
                <w:color w:val="010202"/>
                <w:w w:val="95"/>
                <w:sz w:val="12"/>
              </w:rPr>
              <w:t>Mogul</w:t>
            </w:r>
            <w:r>
              <w:rPr>
                <w:rFonts w:ascii="Palatino Linotype" w:hAnsi="Palatino Linotype"/>
                <w:b/>
                <w:color w:val="010202"/>
                <w:spacing w:val="-16"/>
                <w:w w:val="95"/>
                <w:sz w:val="12"/>
              </w:rPr>
              <w:t> </w:t>
            </w:r>
            <w:r>
              <w:rPr>
                <w:rFonts w:ascii="Palatino Linotype" w:hAnsi="Palatino Linotype"/>
                <w:b/>
                <w:color w:val="010202"/>
                <w:w w:val="95"/>
                <w:sz w:val="12"/>
              </w:rPr>
              <w:t>S.A.</w:t>
            </w:r>
            <w:r>
              <w:rPr>
                <w:rFonts w:ascii="Palatino Linotype" w:hAnsi="Palatino Linotype"/>
                <w:b/>
                <w:color w:val="010202"/>
                <w:spacing w:val="-16"/>
                <w:w w:val="95"/>
                <w:sz w:val="12"/>
              </w:rPr>
              <w:t> </w:t>
            </w:r>
            <w:r>
              <w:rPr>
                <w:rFonts w:ascii="Palatino Linotype" w:hAnsi="Palatino Linotype"/>
                <w:b/>
                <w:color w:val="010202"/>
                <w:w w:val="95"/>
                <w:sz w:val="12"/>
              </w:rPr>
              <w:t>de</w:t>
            </w:r>
            <w:r>
              <w:rPr>
                <w:rFonts w:ascii="Palatino Linotype" w:hAnsi="Palatino Linotype"/>
                <w:b/>
                <w:color w:val="010202"/>
                <w:spacing w:val="-16"/>
                <w:w w:val="95"/>
                <w:sz w:val="12"/>
              </w:rPr>
              <w:t> </w:t>
            </w:r>
            <w:r>
              <w:rPr>
                <w:rFonts w:ascii="Palatino Linotype" w:hAnsi="Palatino Linotype"/>
                <w:b/>
                <w:color w:val="010202"/>
                <w:spacing w:val="-5"/>
                <w:w w:val="95"/>
                <w:sz w:val="12"/>
              </w:rPr>
              <w:t>C.V.</w:t>
            </w:r>
            <w:r>
              <w:rPr>
                <w:rFonts w:ascii="Palatino Linotype" w:hAnsi="Palatino Linotype"/>
                <w:b/>
                <w:color w:val="010202"/>
                <w:spacing w:val="-16"/>
                <w:w w:val="95"/>
                <w:sz w:val="12"/>
              </w:rPr>
              <w:t> </w:t>
            </w:r>
            <w:r>
              <w:rPr>
                <w:rFonts w:ascii="Palatino Linotype" w:hAnsi="Palatino Linotype"/>
                <w:b/>
                <w:color w:val="010202"/>
                <w:w w:val="95"/>
                <w:sz w:val="12"/>
              </w:rPr>
              <w:t>(antes</w:t>
            </w:r>
            <w:r>
              <w:rPr>
                <w:rFonts w:ascii="Palatino Linotype" w:hAnsi="Palatino Linotype"/>
                <w:b/>
                <w:color w:val="010202"/>
                <w:spacing w:val="-16"/>
                <w:w w:val="95"/>
                <w:sz w:val="12"/>
              </w:rPr>
              <w:t> </w:t>
            </w:r>
            <w:r>
              <w:rPr>
                <w:rFonts w:ascii="Palatino Linotype" w:hAnsi="Palatino Linotype"/>
                <w:b/>
                <w:color w:val="010202"/>
                <w:w w:val="95"/>
                <w:sz w:val="12"/>
              </w:rPr>
              <w:t>Manufacturas Metálicas</w:t>
            </w:r>
            <w:r>
              <w:rPr>
                <w:rFonts w:ascii="Palatino Linotype" w:hAnsi="Palatino Linotype"/>
                <w:b/>
                <w:color w:val="010202"/>
                <w:spacing w:val="-14"/>
                <w:w w:val="95"/>
                <w:sz w:val="12"/>
              </w:rPr>
              <w:t> </w:t>
            </w:r>
            <w:r>
              <w:rPr>
                <w:rFonts w:ascii="Palatino Linotype" w:hAnsi="Palatino Linotype"/>
                <w:b/>
                <w:color w:val="010202"/>
                <w:w w:val="95"/>
                <w:sz w:val="12"/>
              </w:rPr>
              <w:t>Liñán,</w:t>
            </w:r>
            <w:r>
              <w:rPr>
                <w:rFonts w:ascii="Palatino Linotype" w:hAnsi="Palatino Linotype"/>
                <w:b/>
                <w:color w:val="010202"/>
                <w:spacing w:val="-14"/>
                <w:w w:val="95"/>
                <w:sz w:val="12"/>
              </w:rPr>
              <w:t> </w:t>
            </w:r>
            <w:r>
              <w:rPr>
                <w:rFonts w:ascii="Palatino Linotype" w:hAnsi="Palatino Linotype"/>
                <w:b/>
                <w:color w:val="010202"/>
                <w:w w:val="95"/>
                <w:sz w:val="12"/>
              </w:rPr>
              <w:t>S.A.</w:t>
            </w:r>
            <w:r>
              <w:rPr>
                <w:rFonts w:ascii="Palatino Linotype" w:hAnsi="Palatino Linotype"/>
                <w:b/>
                <w:color w:val="010202"/>
                <w:spacing w:val="-14"/>
                <w:w w:val="95"/>
                <w:sz w:val="12"/>
              </w:rPr>
              <w:t> </w:t>
            </w:r>
            <w:r>
              <w:rPr>
                <w:rFonts w:ascii="Palatino Linotype" w:hAnsi="Palatino Linotype"/>
                <w:b/>
                <w:color w:val="010202"/>
                <w:w w:val="95"/>
                <w:sz w:val="12"/>
              </w:rPr>
              <w:t>de</w:t>
            </w:r>
            <w:r>
              <w:rPr>
                <w:rFonts w:ascii="Palatino Linotype" w:hAnsi="Palatino Linotype"/>
                <w:b/>
                <w:color w:val="010202"/>
                <w:spacing w:val="-14"/>
                <w:w w:val="95"/>
                <w:sz w:val="12"/>
              </w:rPr>
              <w:t> </w:t>
            </w:r>
            <w:r>
              <w:rPr>
                <w:rFonts w:ascii="Palatino Linotype" w:hAnsi="Palatino Linotype"/>
                <w:b/>
                <w:color w:val="010202"/>
                <w:spacing w:val="-4"/>
                <w:w w:val="95"/>
                <w:sz w:val="12"/>
              </w:rPr>
              <w:t>C.V.)</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Retenes, sellos para aceites</w:t>
            </w:r>
          </w:p>
        </w:tc>
      </w:tr>
      <w:tr>
        <w:trPr>
          <w:trHeight w:val="624" w:hRule="exact"/>
        </w:trPr>
        <w:tc>
          <w:tcPr>
            <w:tcW w:w="340" w:type="dxa"/>
          </w:tcPr>
          <w:p>
            <w:pPr>
              <w:pStyle w:val="TableParagraph"/>
              <w:jc w:val="left"/>
              <w:rPr>
                <w:sz w:val="12"/>
              </w:rPr>
            </w:pPr>
          </w:p>
          <w:p>
            <w:pPr>
              <w:pStyle w:val="TableParagraph"/>
              <w:spacing w:before="100"/>
              <w:ind w:left="46" w:right="46"/>
              <w:rPr>
                <w:sz w:val="12"/>
              </w:rPr>
            </w:pPr>
            <w:r>
              <w:rPr>
                <w:color w:val="010202"/>
                <w:sz w:val="12"/>
              </w:rPr>
              <w:t>106</w:t>
            </w:r>
          </w:p>
        </w:tc>
        <w:tc>
          <w:tcPr>
            <w:tcW w:w="794" w:type="dxa"/>
          </w:tcPr>
          <w:p>
            <w:pPr/>
          </w:p>
        </w:tc>
        <w:tc>
          <w:tcPr>
            <w:tcW w:w="2551" w:type="dxa"/>
          </w:tcPr>
          <w:p>
            <w:pPr>
              <w:pStyle w:val="TableParagraph"/>
              <w:spacing w:before="6"/>
              <w:jc w:val="left"/>
              <w:rPr>
                <w:sz w:val="15"/>
              </w:rPr>
            </w:pPr>
          </w:p>
          <w:p>
            <w:pPr>
              <w:pStyle w:val="TableParagraph"/>
              <w:spacing w:line="132" w:lineRule="exact"/>
              <w:ind w:left="767" w:right="69" w:hanging="661"/>
              <w:jc w:val="left"/>
              <w:rPr>
                <w:rFonts w:ascii="Palatino Linotype" w:hAnsi="Palatino Linotype"/>
                <w:b/>
                <w:sz w:val="12"/>
              </w:rPr>
            </w:pPr>
            <w:r>
              <w:rPr>
                <w:rFonts w:ascii="Palatino Linotype" w:hAnsi="Palatino Linotype"/>
                <w:b/>
                <w:color w:val="010202"/>
                <w:w w:val="90"/>
                <w:sz w:val="12"/>
              </w:rPr>
              <w:t>Finmek Magneti Marelli Sistemas Electrónicos </w:t>
            </w:r>
            <w:r>
              <w:rPr>
                <w:rFonts w:ascii="Palatino Linotype" w:hAnsi="Palatino Linotype"/>
                <w:b/>
                <w:color w:val="010202"/>
                <w:w w:val="95"/>
                <w:sz w:val="12"/>
              </w:rPr>
              <w:t>México, S.A. de C.V.</w:t>
            </w:r>
          </w:p>
        </w:tc>
        <w:tc>
          <w:tcPr>
            <w:tcW w:w="567" w:type="dxa"/>
          </w:tcPr>
          <w:p>
            <w:pPr/>
          </w:p>
        </w:tc>
        <w:tc>
          <w:tcPr>
            <w:tcW w:w="567" w:type="dxa"/>
          </w:tcPr>
          <w:p>
            <w:pPr/>
          </w:p>
        </w:tc>
        <w:tc>
          <w:tcPr>
            <w:tcW w:w="2381" w:type="dxa"/>
          </w:tcPr>
          <w:p>
            <w:pPr>
              <w:pStyle w:val="TableParagraph"/>
              <w:spacing w:before="9"/>
              <w:jc w:val="left"/>
              <w:rPr>
                <w:sz w:val="9"/>
              </w:rPr>
            </w:pPr>
          </w:p>
          <w:p>
            <w:pPr>
              <w:pStyle w:val="TableParagraph"/>
              <w:spacing w:line="132" w:lineRule="exact"/>
              <w:ind w:left="106" w:right="104"/>
              <w:rPr>
                <w:sz w:val="12"/>
              </w:rPr>
            </w:pPr>
            <w:r>
              <w:rPr>
                <w:color w:val="010202"/>
                <w:sz w:val="12"/>
              </w:rPr>
              <w:t>Fabricación, reparación y/o ensamble de instrumentos y equipo de precisión para automóviles</w:t>
            </w:r>
          </w:p>
        </w:tc>
      </w:tr>
      <w:tr>
        <w:trPr>
          <w:trHeight w:val="638" w:hRule="exact"/>
        </w:trPr>
        <w:tc>
          <w:tcPr>
            <w:tcW w:w="340" w:type="dxa"/>
          </w:tcPr>
          <w:p>
            <w:pPr>
              <w:pStyle w:val="TableParagraph"/>
              <w:jc w:val="left"/>
              <w:rPr>
                <w:sz w:val="12"/>
              </w:rPr>
            </w:pPr>
          </w:p>
          <w:p>
            <w:pPr>
              <w:pStyle w:val="TableParagraph"/>
              <w:spacing w:before="107"/>
              <w:ind w:left="46" w:right="46"/>
              <w:rPr>
                <w:sz w:val="12"/>
              </w:rPr>
            </w:pPr>
            <w:r>
              <w:rPr>
                <w:color w:val="010202"/>
                <w:sz w:val="12"/>
              </w:rPr>
              <w:t>107</w:t>
            </w:r>
          </w:p>
        </w:tc>
        <w:tc>
          <w:tcPr>
            <w:tcW w:w="794" w:type="dxa"/>
          </w:tcPr>
          <w:p>
            <w:pPr/>
          </w:p>
        </w:tc>
        <w:tc>
          <w:tcPr>
            <w:tcW w:w="2551" w:type="dxa"/>
          </w:tcPr>
          <w:p>
            <w:pPr>
              <w:pStyle w:val="TableParagraph"/>
              <w:jc w:val="left"/>
              <w:rPr>
                <w:sz w:val="12"/>
              </w:rPr>
            </w:pPr>
          </w:p>
          <w:p>
            <w:pPr>
              <w:pStyle w:val="TableParagraph"/>
              <w:spacing w:before="93"/>
              <w:rPr>
                <w:rFonts w:ascii="Palatino Linotype"/>
                <w:b/>
                <w:sz w:val="12"/>
              </w:rPr>
            </w:pPr>
            <w:r>
              <w:rPr>
                <w:rFonts w:ascii="Palatino Linotype"/>
                <w:b/>
                <w:color w:val="010202"/>
                <w:w w:val="95"/>
                <w:sz w:val="12"/>
              </w:rPr>
              <w:t>Magneti Marelli, S.A. de C.V.</w:t>
            </w:r>
          </w:p>
        </w:tc>
        <w:tc>
          <w:tcPr>
            <w:tcW w:w="567" w:type="dxa"/>
          </w:tcPr>
          <w:p>
            <w:pPr>
              <w:pStyle w:val="TableParagraph"/>
              <w:jc w:val="left"/>
              <w:rPr>
                <w:sz w:val="12"/>
              </w:rPr>
            </w:pPr>
          </w:p>
          <w:p>
            <w:pPr>
              <w:pStyle w:val="TableParagraph"/>
              <w:spacing w:before="107"/>
              <w:rPr>
                <w:sz w:val="12"/>
              </w:rPr>
            </w:pPr>
            <w:r>
              <w:rPr>
                <w:color w:val="010202"/>
                <w:w w:val="96"/>
                <w:sz w:val="12"/>
              </w:rPr>
              <w:t>1</w:t>
            </w:r>
          </w:p>
        </w:tc>
        <w:tc>
          <w:tcPr>
            <w:tcW w:w="567" w:type="dxa"/>
          </w:tcPr>
          <w:p>
            <w:pPr>
              <w:pStyle w:val="TableParagraph"/>
              <w:jc w:val="left"/>
              <w:rPr>
                <w:sz w:val="12"/>
              </w:rPr>
            </w:pPr>
          </w:p>
          <w:p>
            <w:pPr>
              <w:pStyle w:val="TableParagraph"/>
              <w:spacing w:before="107"/>
              <w:rPr>
                <w:sz w:val="12"/>
              </w:rPr>
            </w:pPr>
            <w:r>
              <w:rPr>
                <w:color w:val="010202"/>
                <w:w w:val="99"/>
                <w:sz w:val="12"/>
              </w:rPr>
              <w:t>G</w:t>
            </w:r>
          </w:p>
        </w:tc>
        <w:tc>
          <w:tcPr>
            <w:tcW w:w="2381" w:type="dxa"/>
          </w:tcPr>
          <w:p>
            <w:pPr>
              <w:pStyle w:val="TableParagraph"/>
              <w:spacing w:before="5"/>
              <w:jc w:val="left"/>
              <w:rPr>
                <w:sz w:val="10"/>
              </w:rPr>
            </w:pPr>
          </w:p>
          <w:p>
            <w:pPr>
              <w:pStyle w:val="TableParagraph"/>
              <w:spacing w:line="132" w:lineRule="exact"/>
              <w:ind w:left="106" w:right="104"/>
              <w:rPr>
                <w:sz w:val="12"/>
              </w:rPr>
            </w:pPr>
            <w:r>
              <w:rPr>
                <w:color w:val="010202"/>
                <w:sz w:val="12"/>
              </w:rPr>
              <w:t>Bulbo-temperatura, bulbo-presión de aceite, flotadores, tableros de instrumento, tanque- gasolina</w:t>
            </w:r>
          </w:p>
        </w:tc>
      </w:tr>
      <w:tr>
        <w:trPr>
          <w:trHeight w:val="340" w:hRule="exact"/>
        </w:trPr>
        <w:tc>
          <w:tcPr>
            <w:tcW w:w="340" w:type="dxa"/>
          </w:tcPr>
          <w:p>
            <w:pPr>
              <w:pStyle w:val="TableParagraph"/>
              <w:spacing w:before="97"/>
              <w:ind w:left="46" w:right="46"/>
              <w:rPr>
                <w:sz w:val="12"/>
              </w:rPr>
            </w:pPr>
            <w:r>
              <w:rPr>
                <w:color w:val="010202"/>
                <w:sz w:val="12"/>
              </w:rPr>
              <w:t>108</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Marwal de México,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Módulos y transmisores de combustible</w:t>
            </w:r>
          </w:p>
        </w:tc>
      </w:tr>
      <w:tr>
        <w:trPr>
          <w:trHeight w:val="340" w:hRule="exact"/>
        </w:trPr>
        <w:tc>
          <w:tcPr>
            <w:tcW w:w="340" w:type="dxa"/>
          </w:tcPr>
          <w:p>
            <w:pPr>
              <w:pStyle w:val="TableParagraph"/>
              <w:spacing w:before="97"/>
              <w:ind w:left="46" w:right="46"/>
              <w:rPr>
                <w:sz w:val="12"/>
              </w:rPr>
            </w:pPr>
            <w:r>
              <w:rPr>
                <w:color w:val="010202"/>
                <w:sz w:val="12"/>
              </w:rPr>
              <w:t>109</w:t>
            </w:r>
          </w:p>
        </w:tc>
        <w:tc>
          <w:tcPr>
            <w:tcW w:w="794" w:type="dxa"/>
          </w:tcPr>
          <w:p>
            <w:pPr/>
          </w:p>
        </w:tc>
        <w:tc>
          <w:tcPr>
            <w:tcW w:w="2551" w:type="dxa"/>
          </w:tcPr>
          <w:p>
            <w:pPr>
              <w:pStyle w:val="TableParagraph"/>
              <w:spacing w:before="83"/>
              <w:rPr>
                <w:rFonts w:ascii="Palatino Linotype"/>
                <w:b/>
                <w:sz w:val="12"/>
              </w:rPr>
            </w:pPr>
            <w:r>
              <w:rPr>
                <w:rFonts w:ascii="Palatino Linotype"/>
                <w:b/>
                <w:color w:val="010202"/>
                <w:sz w:val="12"/>
              </w:rPr>
              <w:t>Siemens</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Faros y focos para el a4 de Volkswagen</w:t>
            </w:r>
          </w:p>
        </w:tc>
      </w:tr>
      <w:tr>
        <w:trPr>
          <w:trHeight w:val="340" w:hRule="exact"/>
        </w:trPr>
        <w:tc>
          <w:tcPr>
            <w:tcW w:w="340" w:type="dxa"/>
          </w:tcPr>
          <w:p>
            <w:pPr>
              <w:pStyle w:val="TableParagraph"/>
              <w:spacing w:before="97"/>
              <w:ind w:left="46" w:right="46"/>
              <w:rPr>
                <w:sz w:val="12"/>
              </w:rPr>
            </w:pPr>
            <w:r>
              <w:rPr>
                <w:color w:val="010202"/>
                <w:sz w:val="12"/>
              </w:rPr>
              <w:t>110</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Varese, S.A. de C.V.</w:t>
            </w:r>
          </w:p>
        </w:tc>
        <w:tc>
          <w:tcPr>
            <w:tcW w:w="567" w:type="dxa"/>
          </w:tcPr>
          <w:p>
            <w:pPr>
              <w:pStyle w:val="TableParagraph"/>
              <w:spacing w:before="97"/>
              <w:rPr>
                <w:sz w:val="12"/>
              </w:rPr>
            </w:pPr>
            <w:r>
              <w:rPr>
                <w:color w:val="010202"/>
                <w:w w:val="96"/>
                <w:sz w:val="12"/>
              </w:rPr>
              <w:t>2</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Abrazaderas metálicas</w:t>
            </w:r>
          </w:p>
        </w:tc>
      </w:tr>
      <w:tr>
        <w:trPr>
          <w:trHeight w:val="340" w:hRule="exact"/>
        </w:trPr>
        <w:tc>
          <w:tcPr>
            <w:tcW w:w="340" w:type="dxa"/>
          </w:tcPr>
          <w:p>
            <w:pPr>
              <w:pStyle w:val="TableParagraph"/>
              <w:spacing w:before="97"/>
              <w:ind w:left="46" w:right="46"/>
              <w:rPr>
                <w:sz w:val="12"/>
              </w:rPr>
            </w:pPr>
            <w:r>
              <w:rPr>
                <w:color w:val="010202"/>
                <w:sz w:val="12"/>
              </w:rPr>
              <w:t>111</w:t>
            </w:r>
          </w:p>
        </w:tc>
        <w:tc>
          <w:tcPr>
            <w:tcW w:w="794" w:type="dxa"/>
          </w:tcPr>
          <w:p>
            <w:pPr/>
          </w:p>
        </w:tc>
        <w:tc>
          <w:tcPr>
            <w:tcW w:w="2551" w:type="dxa"/>
          </w:tcPr>
          <w:p>
            <w:pPr>
              <w:pStyle w:val="TableParagraph"/>
              <w:spacing w:line="132" w:lineRule="exact" w:before="37"/>
              <w:ind w:left="658" w:right="173" w:hanging="477"/>
              <w:jc w:val="left"/>
              <w:rPr>
                <w:rFonts w:ascii="Palatino Linotype" w:hAnsi="Palatino Linotype"/>
                <w:b/>
                <w:sz w:val="12"/>
              </w:rPr>
            </w:pPr>
            <w:r>
              <w:rPr>
                <w:rFonts w:ascii="Palatino Linotype" w:hAnsi="Palatino Linotype"/>
                <w:b/>
                <w:color w:val="010202"/>
                <w:w w:val="95"/>
                <w:sz w:val="12"/>
              </w:rPr>
              <w:t>McCord</w:t>
            </w:r>
            <w:r>
              <w:rPr>
                <w:rFonts w:ascii="Palatino Linotype" w:hAnsi="Palatino Linotype"/>
                <w:b/>
                <w:color w:val="010202"/>
                <w:spacing w:val="-13"/>
                <w:w w:val="95"/>
                <w:sz w:val="12"/>
              </w:rPr>
              <w:t> </w:t>
            </w:r>
            <w:r>
              <w:rPr>
                <w:rFonts w:ascii="Palatino Linotype" w:hAnsi="Palatino Linotype"/>
                <w:b/>
                <w:color w:val="010202"/>
                <w:w w:val="95"/>
                <w:sz w:val="12"/>
              </w:rPr>
              <w:t>Payen</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w w:val="95"/>
                <w:sz w:val="12"/>
              </w:rPr>
              <w:t>México,</w:t>
            </w:r>
            <w:r>
              <w:rPr>
                <w:rFonts w:ascii="Palatino Linotype" w:hAnsi="Palatino Linotype"/>
                <w:b/>
                <w:color w:val="010202"/>
                <w:spacing w:val="-13"/>
                <w:w w:val="95"/>
                <w:sz w:val="12"/>
              </w:rPr>
              <w:t> </w:t>
            </w:r>
            <w:r>
              <w:rPr>
                <w:rFonts w:ascii="Palatino Linotype" w:hAnsi="Palatino Linotype"/>
                <w:b/>
                <w:color w:val="010202"/>
                <w:w w:val="95"/>
                <w:sz w:val="12"/>
              </w:rPr>
              <w:t>S.</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w w:val="95"/>
                <w:sz w:val="12"/>
              </w:rPr>
              <w:t>R.L.</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spacing w:val="-5"/>
                <w:w w:val="95"/>
                <w:sz w:val="12"/>
              </w:rPr>
              <w:t>C.V. </w:t>
            </w:r>
            <w:r>
              <w:rPr>
                <w:rFonts w:ascii="Palatino Linotype" w:hAnsi="Palatino Linotype"/>
                <w:b/>
                <w:color w:val="010202"/>
                <w:w w:val="90"/>
                <w:sz w:val="12"/>
              </w:rPr>
              <w:t>(Planta Sealing Systems)</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Bujes</w:t>
            </w:r>
          </w:p>
        </w:tc>
      </w:tr>
      <w:tr>
        <w:trPr>
          <w:trHeight w:val="397" w:hRule="exact"/>
        </w:trPr>
        <w:tc>
          <w:tcPr>
            <w:tcW w:w="340" w:type="dxa"/>
          </w:tcPr>
          <w:p>
            <w:pPr>
              <w:pStyle w:val="TableParagraph"/>
              <w:spacing w:before="10"/>
              <w:jc w:val="left"/>
              <w:rPr>
                <w:sz w:val="10"/>
              </w:rPr>
            </w:pPr>
          </w:p>
          <w:p>
            <w:pPr>
              <w:pStyle w:val="TableParagraph"/>
              <w:ind w:left="46" w:right="46"/>
              <w:rPr>
                <w:sz w:val="12"/>
              </w:rPr>
            </w:pPr>
            <w:r>
              <w:rPr>
                <w:color w:val="010202"/>
                <w:sz w:val="12"/>
              </w:rPr>
              <w:t>112</w:t>
            </w:r>
          </w:p>
        </w:tc>
        <w:tc>
          <w:tcPr>
            <w:tcW w:w="794" w:type="dxa"/>
          </w:tcPr>
          <w:p>
            <w:pPr>
              <w:pStyle w:val="TableParagraph"/>
              <w:spacing w:before="10"/>
              <w:jc w:val="left"/>
              <w:rPr>
                <w:sz w:val="10"/>
              </w:rPr>
            </w:pPr>
          </w:p>
          <w:p>
            <w:pPr>
              <w:pStyle w:val="TableParagraph"/>
              <w:ind w:left="168"/>
              <w:jc w:val="left"/>
              <w:rPr>
                <w:sz w:val="12"/>
              </w:rPr>
            </w:pPr>
            <w:r>
              <w:rPr>
                <w:color w:val="010202"/>
                <w:sz w:val="12"/>
              </w:rPr>
              <w:t>Tezoyuca</w:t>
            </w:r>
          </w:p>
        </w:tc>
        <w:tc>
          <w:tcPr>
            <w:tcW w:w="2551" w:type="dxa"/>
          </w:tcPr>
          <w:p>
            <w:pPr>
              <w:pStyle w:val="TableParagraph"/>
              <w:spacing w:before="7"/>
              <w:jc w:val="left"/>
              <w:rPr>
                <w:sz w:val="9"/>
              </w:rPr>
            </w:pPr>
          </w:p>
          <w:p>
            <w:pPr>
              <w:pStyle w:val="TableParagraph"/>
              <w:spacing w:before="1"/>
              <w:rPr>
                <w:rFonts w:ascii="Palatino Linotype" w:hAnsi="Palatino Linotype"/>
                <w:b/>
                <w:sz w:val="12"/>
              </w:rPr>
            </w:pPr>
            <w:r>
              <w:rPr>
                <w:rFonts w:ascii="Palatino Linotype" w:hAnsi="Palatino Linotype"/>
                <w:b/>
                <w:color w:val="010202"/>
                <w:w w:val="95"/>
                <w:sz w:val="12"/>
              </w:rPr>
              <w:t>Lohr México, S.A. de C.V.</w:t>
            </w:r>
          </w:p>
        </w:tc>
        <w:tc>
          <w:tcPr>
            <w:tcW w:w="567" w:type="dxa"/>
          </w:tcPr>
          <w:p>
            <w:pPr/>
          </w:p>
        </w:tc>
        <w:tc>
          <w:tcPr>
            <w:tcW w:w="567" w:type="dxa"/>
          </w:tcPr>
          <w:p>
            <w:pPr/>
          </w:p>
        </w:tc>
        <w:tc>
          <w:tcPr>
            <w:tcW w:w="2381" w:type="dxa"/>
          </w:tcPr>
          <w:p>
            <w:pPr>
              <w:pStyle w:val="TableParagraph"/>
              <w:spacing w:line="132" w:lineRule="exact" w:before="65"/>
              <w:ind w:left="917" w:right="132" w:hanging="741"/>
              <w:jc w:val="left"/>
              <w:rPr>
                <w:sz w:val="12"/>
              </w:rPr>
            </w:pPr>
            <w:r>
              <w:rPr>
                <w:color w:val="010202"/>
                <w:sz w:val="12"/>
              </w:rPr>
              <w:t>Carrocerías y remolques para automóviles y camiones</w:t>
            </w:r>
          </w:p>
        </w:tc>
      </w:tr>
      <w:tr>
        <w:trPr>
          <w:trHeight w:val="340" w:hRule="exact"/>
        </w:trPr>
        <w:tc>
          <w:tcPr>
            <w:tcW w:w="340" w:type="dxa"/>
          </w:tcPr>
          <w:p>
            <w:pPr>
              <w:pStyle w:val="TableParagraph"/>
              <w:spacing w:before="97"/>
              <w:ind w:left="46" w:right="46"/>
              <w:rPr>
                <w:sz w:val="12"/>
              </w:rPr>
            </w:pPr>
            <w:r>
              <w:rPr>
                <w:color w:val="010202"/>
                <w:sz w:val="12"/>
              </w:rPr>
              <w:t>113</w:t>
            </w:r>
          </w:p>
        </w:tc>
        <w:tc>
          <w:tcPr>
            <w:tcW w:w="794" w:type="dxa"/>
          </w:tcPr>
          <w:p>
            <w:pPr>
              <w:pStyle w:val="TableParagraph"/>
              <w:spacing w:before="97"/>
              <w:ind w:left="89"/>
              <w:jc w:val="left"/>
              <w:rPr>
                <w:sz w:val="12"/>
              </w:rPr>
            </w:pPr>
            <w:r>
              <w:rPr>
                <w:color w:val="010202"/>
                <w:sz w:val="12"/>
              </w:rPr>
              <w:t>Tlalnepantla</w:t>
            </w:r>
          </w:p>
        </w:tc>
        <w:tc>
          <w:tcPr>
            <w:tcW w:w="2551" w:type="dxa"/>
          </w:tcPr>
          <w:p>
            <w:pPr>
              <w:pStyle w:val="TableParagraph"/>
              <w:spacing w:before="83"/>
              <w:rPr>
                <w:rFonts w:ascii="Palatino Linotype"/>
                <w:b/>
                <w:sz w:val="12"/>
              </w:rPr>
            </w:pPr>
            <w:r>
              <w:rPr>
                <w:rFonts w:ascii="Palatino Linotype"/>
                <w:b/>
                <w:color w:val="010202"/>
                <w:w w:val="95"/>
                <w:sz w:val="12"/>
              </w:rPr>
              <w:t>Adelar, S.A. de C.V.</w:t>
            </w:r>
          </w:p>
        </w:tc>
        <w:tc>
          <w:tcPr>
            <w:tcW w:w="567" w:type="dxa"/>
          </w:tcPr>
          <w:p>
            <w:pPr>
              <w:pStyle w:val="TableParagraph"/>
              <w:spacing w:before="97"/>
              <w:rPr>
                <w:sz w:val="12"/>
              </w:rPr>
            </w:pPr>
            <w:r>
              <w:rPr>
                <w:color w:val="010202"/>
                <w:w w:val="106"/>
                <w:sz w:val="12"/>
              </w:rPr>
              <w:t>-</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Alternadores</w:t>
            </w:r>
          </w:p>
        </w:tc>
      </w:tr>
      <w:tr>
        <w:trPr>
          <w:trHeight w:val="488" w:hRule="exact"/>
        </w:trPr>
        <w:tc>
          <w:tcPr>
            <w:tcW w:w="340" w:type="dxa"/>
          </w:tcPr>
          <w:p>
            <w:pPr>
              <w:pStyle w:val="TableParagraph"/>
              <w:spacing w:before="9"/>
              <w:jc w:val="left"/>
              <w:rPr>
                <w:sz w:val="14"/>
              </w:rPr>
            </w:pPr>
          </w:p>
          <w:p>
            <w:pPr>
              <w:pStyle w:val="TableParagraph"/>
              <w:ind w:left="46" w:right="46"/>
              <w:rPr>
                <w:sz w:val="12"/>
              </w:rPr>
            </w:pPr>
            <w:r>
              <w:rPr>
                <w:color w:val="010202"/>
                <w:sz w:val="12"/>
              </w:rPr>
              <w:t>114</w:t>
            </w:r>
          </w:p>
        </w:tc>
        <w:tc>
          <w:tcPr>
            <w:tcW w:w="794" w:type="dxa"/>
          </w:tcPr>
          <w:p>
            <w:pPr/>
          </w:p>
        </w:tc>
        <w:tc>
          <w:tcPr>
            <w:tcW w:w="2551" w:type="dxa"/>
          </w:tcPr>
          <w:p>
            <w:pPr>
              <w:pStyle w:val="TableParagraph"/>
              <w:spacing w:before="7"/>
              <w:jc w:val="left"/>
              <w:rPr>
                <w:sz w:val="13"/>
              </w:rPr>
            </w:pPr>
          </w:p>
          <w:p>
            <w:pPr>
              <w:pStyle w:val="TableParagraph"/>
              <w:rPr>
                <w:rFonts w:ascii="Palatino Linotype"/>
                <w:b/>
                <w:sz w:val="12"/>
              </w:rPr>
            </w:pPr>
            <w:r>
              <w:rPr>
                <w:rFonts w:ascii="Palatino Linotype"/>
                <w:b/>
                <w:color w:val="010202"/>
                <w:w w:val="95"/>
                <w:sz w:val="12"/>
              </w:rPr>
              <w:t>Aeroplex, S.A. de C.V.</w:t>
            </w:r>
          </w:p>
        </w:tc>
        <w:tc>
          <w:tcPr>
            <w:tcW w:w="567" w:type="dxa"/>
          </w:tcPr>
          <w:p>
            <w:pPr/>
          </w:p>
        </w:tc>
        <w:tc>
          <w:tcPr>
            <w:tcW w:w="567" w:type="dxa"/>
          </w:tcPr>
          <w:p>
            <w:pPr/>
          </w:p>
        </w:tc>
        <w:tc>
          <w:tcPr>
            <w:tcW w:w="2381" w:type="dxa"/>
          </w:tcPr>
          <w:p>
            <w:pPr>
              <w:pStyle w:val="TableParagraph"/>
              <w:spacing w:before="7"/>
              <w:jc w:val="left"/>
              <w:rPr>
                <w:sz w:val="9"/>
              </w:rPr>
            </w:pPr>
          </w:p>
          <w:p>
            <w:pPr>
              <w:pStyle w:val="TableParagraph"/>
              <w:spacing w:line="132" w:lineRule="exact"/>
              <w:ind w:left="353" w:right="-17" w:hanging="40"/>
              <w:jc w:val="left"/>
              <w:rPr>
                <w:sz w:val="12"/>
              </w:rPr>
            </w:pPr>
            <w:r>
              <w:rPr>
                <w:color w:val="010202"/>
                <w:sz w:val="12"/>
              </w:rPr>
              <w:t>Interiores automotrices: elastómeros, polímetros sintéticos e insecticidas</w:t>
            </w:r>
          </w:p>
        </w:tc>
      </w:tr>
      <w:tr>
        <w:trPr>
          <w:trHeight w:val="340" w:hRule="exact"/>
        </w:trPr>
        <w:tc>
          <w:tcPr>
            <w:tcW w:w="340" w:type="dxa"/>
          </w:tcPr>
          <w:p>
            <w:pPr>
              <w:pStyle w:val="TableParagraph"/>
              <w:spacing w:before="97"/>
              <w:ind w:left="46" w:right="46"/>
              <w:rPr>
                <w:sz w:val="12"/>
              </w:rPr>
            </w:pPr>
            <w:r>
              <w:rPr>
                <w:color w:val="010202"/>
                <w:sz w:val="12"/>
              </w:rPr>
              <w:t>115</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All Pro Trading, S.A. de C.V.</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Partes automotrices.</w:t>
            </w:r>
          </w:p>
        </w:tc>
      </w:tr>
      <w:tr>
        <w:trPr>
          <w:trHeight w:val="476" w:hRule="exact"/>
        </w:trPr>
        <w:tc>
          <w:tcPr>
            <w:tcW w:w="340" w:type="dxa"/>
          </w:tcPr>
          <w:p>
            <w:pPr>
              <w:pStyle w:val="TableParagraph"/>
              <w:spacing w:before="4"/>
              <w:jc w:val="left"/>
              <w:rPr>
                <w:sz w:val="14"/>
              </w:rPr>
            </w:pPr>
          </w:p>
          <w:p>
            <w:pPr>
              <w:pStyle w:val="TableParagraph"/>
              <w:ind w:left="46" w:right="46"/>
              <w:rPr>
                <w:sz w:val="12"/>
              </w:rPr>
            </w:pPr>
            <w:r>
              <w:rPr>
                <w:color w:val="010202"/>
                <w:sz w:val="12"/>
              </w:rPr>
              <w:t>116</w:t>
            </w:r>
          </w:p>
        </w:tc>
        <w:tc>
          <w:tcPr>
            <w:tcW w:w="794" w:type="dxa"/>
          </w:tcPr>
          <w:p>
            <w:pPr/>
          </w:p>
        </w:tc>
        <w:tc>
          <w:tcPr>
            <w:tcW w:w="2551" w:type="dxa"/>
          </w:tcPr>
          <w:p>
            <w:pPr>
              <w:pStyle w:val="TableParagraph"/>
              <w:spacing w:before="1"/>
              <w:jc w:val="left"/>
              <w:rPr>
                <w:sz w:val="13"/>
              </w:rPr>
            </w:pPr>
          </w:p>
          <w:p>
            <w:pPr>
              <w:pStyle w:val="TableParagraph"/>
              <w:rPr>
                <w:rFonts w:ascii="Palatino Linotype" w:hAnsi="Palatino Linotype"/>
                <w:b/>
                <w:sz w:val="12"/>
              </w:rPr>
            </w:pPr>
            <w:r>
              <w:rPr>
                <w:rFonts w:ascii="Palatino Linotype" w:hAnsi="Palatino Linotype"/>
                <w:b/>
                <w:color w:val="010202"/>
                <w:w w:val="95"/>
                <w:sz w:val="12"/>
              </w:rPr>
              <w:t>Álvarez Automotriz, S.A. de C.V.</w:t>
            </w:r>
          </w:p>
        </w:tc>
        <w:tc>
          <w:tcPr>
            <w:tcW w:w="567" w:type="dxa"/>
          </w:tcPr>
          <w:p>
            <w:pPr/>
          </w:p>
        </w:tc>
        <w:tc>
          <w:tcPr>
            <w:tcW w:w="567" w:type="dxa"/>
          </w:tcPr>
          <w:p>
            <w:pPr/>
          </w:p>
        </w:tc>
        <w:tc>
          <w:tcPr>
            <w:tcW w:w="2381" w:type="dxa"/>
          </w:tcPr>
          <w:p>
            <w:pPr>
              <w:pStyle w:val="TableParagraph"/>
              <w:spacing w:line="132" w:lineRule="exact" w:before="105"/>
              <w:ind w:left="872" w:right="-17" w:hanging="772"/>
              <w:jc w:val="left"/>
              <w:rPr>
                <w:sz w:val="12"/>
              </w:rPr>
            </w:pPr>
            <w:r>
              <w:rPr>
                <w:color w:val="010202"/>
                <w:sz w:val="12"/>
              </w:rPr>
              <w:t>Fabricación de muelles, abrazaderas, perchas, soportes, etc.</w:t>
            </w:r>
          </w:p>
        </w:tc>
      </w:tr>
      <w:tr>
        <w:trPr>
          <w:trHeight w:val="567" w:hRule="exact"/>
        </w:trPr>
        <w:tc>
          <w:tcPr>
            <w:tcW w:w="340" w:type="dxa"/>
          </w:tcPr>
          <w:p>
            <w:pPr>
              <w:pStyle w:val="TableParagraph"/>
              <w:jc w:val="left"/>
              <w:rPr>
                <w:sz w:val="12"/>
              </w:rPr>
            </w:pPr>
          </w:p>
          <w:p>
            <w:pPr>
              <w:pStyle w:val="TableParagraph"/>
              <w:spacing w:before="72"/>
              <w:ind w:left="46" w:right="46"/>
              <w:rPr>
                <w:sz w:val="12"/>
              </w:rPr>
            </w:pPr>
            <w:r>
              <w:rPr>
                <w:color w:val="010202"/>
                <w:sz w:val="12"/>
              </w:rPr>
              <w:t>117</w:t>
            </w:r>
          </w:p>
        </w:tc>
        <w:tc>
          <w:tcPr>
            <w:tcW w:w="794" w:type="dxa"/>
          </w:tcPr>
          <w:p>
            <w:pPr/>
          </w:p>
        </w:tc>
        <w:tc>
          <w:tcPr>
            <w:tcW w:w="2551" w:type="dxa"/>
          </w:tcPr>
          <w:p>
            <w:pPr>
              <w:pStyle w:val="TableParagraph"/>
              <w:spacing w:before="1"/>
              <w:jc w:val="left"/>
              <w:rPr>
                <w:sz w:val="17"/>
              </w:rPr>
            </w:pPr>
          </w:p>
          <w:p>
            <w:pPr>
              <w:pStyle w:val="TableParagraph"/>
              <w:rPr>
                <w:rFonts w:ascii="Palatino Linotype" w:hAnsi="Palatino Linotype"/>
                <w:b/>
                <w:sz w:val="12"/>
              </w:rPr>
            </w:pPr>
            <w:r>
              <w:rPr>
                <w:rFonts w:ascii="Palatino Linotype" w:hAnsi="Palatino Linotype"/>
                <w:b/>
                <w:color w:val="010202"/>
                <w:w w:val="95"/>
                <w:sz w:val="12"/>
              </w:rPr>
              <w:t>Amp de México, S.A. de C.V.</w:t>
            </w:r>
          </w:p>
        </w:tc>
        <w:tc>
          <w:tcPr>
            <w:tcW w:w="567" w:type="dxa"/>
          </w:tcPr>
          <w:p>
            <w:pPr/>
          </w:p>
        </w:tc>
        <w:tc>
          <w:tcPr>
            <w:tcW w:w="567" w:type="dxa"/>
          </w:tcPr>
          <w:p>
            <w:pPr/>
          </w:p>
        </w:tc>
        <w:tc>
          <w:tcPr>
            <w:tcW w:w="2381" w:type="dxa"/>
          </w:tcPr>
          <w:p>
            <w:pPr>
              <w:pStyle w:val="TableParagraph"/>
              <w:spacing w:before="1"/>
              <w:jc w:val="left"/>
              <w:rPr>
                <w:sz w:val="13"/>
              </w:rPr>
            </w:pPr>
          </w:p>
          <w:p>
            <w:pPr>
              <w:pStyle w:val="TableParagraph"/>
              <w:spacing w:line="132" w:lineRule="exact"/>
              <w:ind w:left="681" w:right="82" w:hanging="578"/>
              <w:jc w:val="left"/>
              <w:rPr>
                <w:sz w:val="12"/>
              </w:rPr>
            </w:pPr>
            <w:r>
              <w:rPr>
                <w:color w:val="010202"/>
                <w:sz w:val="12"/>
              </w:rPr>
              <w:t>Terminales junior power timer, conectores p/ jpt, conectores modu</w:t>
            </w:r>
          </w:p>
        </w:tc>
      </w:tr>
      <w:tr>
        <w:trPr>
          <w:trHeight w:val="340" w:hRule="exact"/>
        </w:trPr>
        <w:tc>
          <w:tcPr>
            <w:tcW w:w="340" w:type="dxa"/>
          </w:tcPr>
          <w:p>
            <w:pPr>
              <w:pStyle w:val="TableParagraph"/>
              <w:spacing w:before="97"/>
              <w:ind w:left="46" w:right="46"/>
              <w:rPr>
                <w:sz w:val="12"/>
              </w:rPr>
            </w:pPr>
            <w:r>
              <w:rPr>
                <w:color w:val="010202"/>
                <w:sz w:val="12"/>
              </w:rPr>
              <w:t>118</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Arandelas y Chavetas,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Arandelas y chavetas</w:t>
            </w:r>
          </w:p>
        </w:tc>
      </w:tr>
      <w:tr>
        <w:trPr>
          <w:trHeight w:val="340" w:hRule="exact"/>
        </w:trPr>
        <w:tc>
          <w:tcPr>
            <w:tcW w:w="340" w:type="dxa"/>
          </w:tcPr>
          <w:p>
            <w:pPr>
              <w:pStyle w:val="TableParagraph"/>
              <w:spacing w:before="97"/>
              <w:ind w:left="46" w:right="46"/>
              <w:rPr>
                <w:sz w:val="12"/>
              </w:rPr>
            </w:pPr>
            <w:r>
              <w:rPr>
                <w:color w:val="010202"/>
                <w:sz w:val="12"/>
              </w:rPr>
              <w:t>119</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0"/>
                <w:sz w:val="12"/>
              </w:rPr>
              <w:t>Asientos D’Chelyn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0"/>
                <w:sz w:val="12"/>
              </w:rPr>
              <w:t>M</w:t>
            </w:r>
          </w:p>
        </w:tc>
        <w:tc>
          <w:tcPr>
            <w:tcW w:w="2381" w:type="dxa"/>
          </w:tcPr>
          <w:p>
            <w:pPr>
              <w:pStyle w:val="TableParagraph"/>
              <w:spacing w:before="97"/>
              <w:ind w:left="106" w:right="106"/>
              <w:rPr>
                <w:sz w:val="12"/>
              </w:rPr>
            </w:pPr>
            <w:r>
              <w:rPr>
                <w:color w:val="010202"/>
                <w:sz w:val="12"/>
              </w:rPr>
              <w:t>Asientos para vehículo-automóvil</w:t>
            </w:r>
          </w:p>
        </w:tc>
      </w:tr>
      <w:tr>
        <w:trPr>
          <w:trHeight w:val="340" w:hRule="exact"/>
        </w:trPr>
        <w:tc>
          <w:tcPr>
            <w:tcW w:w="340" w:type="dxa"/>
          </w:tcPr>
          <w:p>
            <w:pPr>
              <w:pStyle w:val="TableParagraph"/>
              <w:spacing w:before="97"/>
              <w:ind w:left="46" w:right="46"/>
              <w:rPr>
                <w:sz w:val="12"/>
              </w:rPr>
            </w:pPr>
            <w:r>
              <w:rPr>
                <w:color w:val="010202"/>
                <w:sz w:val="12"/>
              </w:rPr>
              <w:t>120</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Asientos para Autobuses Amaya,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99"/>
                <w:sz w:val="12"/>
              </w:rPr>
              <w:t>G</w:t>
            </w:r>
          </w:p>
        </w:tc>
        <w:tc>
          <w:tcPr>
            <w:tcW w:w="2381" w:type="dxa"/>
          </w:tcPr>
          <w:p>
            <w:pPr>
              <w:pStyle w:val="TableParagraph"/>
              <w:spacing w:before="97"/>
              <w:ind w:left="106" w:right="106"/>
              <w:rPr>
                <w:sz w:val="12"/>
              </w:rPr>
            </w:pPr>
            <w:r>
              <w:rPr>
                <w:color w:val="010202"/>
                <w:sz w:val="12"/>
              </w:rPr>
              <w:t>Asientos para autobús y combis</w:t>
            </w:r>
          </w:p>
        </w:tc>
      </w:tr>
      <w:tr>
        <w:trPr>
          <w:trHeight w:val="454" w:hRule="exact"/>
        </w:trPr>
        <w:tc>
          <w:tcPr>
            <w:tcW w:w="340" w:type="dxa"/>
          </w:tcPr>
          <w:p>
            <w:pPr>
              <w:pStyle w:val="TableParagraph"/>
              <w:spacing w:before="4"/>
              <w:jc w:val="left"/>
              <w:rPr>
                <w:sz w:val="13"/>
              </w:rPr>
            </w:pPr>
          </w:p>
          <w:p>
            <w:pPr>
              <w:pStyle w:val="TableParagraph"/>
              <w:ind w:left="46" w:right="46"/>
              <w:rPr>
                <w:sz w:val="12"/>
              </w:rPr>
            </w:pPr>
            <w:r>
              <w:rPr>
                <w:color w:val="010202"/>
                <w:sz w:val="12"/>
              </w:rPr>
              <w:t>121</w:t>
            </w:r>
          </w:p>
        </w:tc>
        <w:tc>
          <w:tcPr>
            <w:tcW w:w="794" w:type="dxa"/>
          </w:tcPr>
          <w:p>
            <w:pPr/>
          </w:p>
        </w:tc>
        <w:tc>
          <w:tcPr>
            <w:tcW w:w="2551" w:type="dxa"/>
          </w:tcPr>
          <w:p>
            <w:pPr>
              <w:pStyle w:val="TableParagraph"/>
              <w:spacing w:before="1"/>
              <w:jc w:val="left"/>
              <w:rPr>
                <w:sz w:val="12"/>
              </w:rPr>
            </w:pPr>
          </w:p>
          <w:p>
            <w:pPr>
              <w:pStyle w:val="TableParagraph"/>
              <w:spacing w:before="1"/>
              <w:rPr>
                <w:rFonts w:ascii="Palatino Linotype"/>
                <w:b/>
                <w:sz w:val="12"/>
              </w:rPr>
            </w:pPr>
            <w:r>
              <w:rPr>
                <w:rFonts w:ascii="Palatino Linotype"/>
                <w:b/>
                <w:color w:val="010202"/>
                <w:w w:val="90"/>
                <w:sz w:val="12"/>
              </w:rPr>
              <w:t>Atlas Copco Mexicana</w:t>
            </w:r>
          </w:p>
        </w:tc>
        <w:tc>
          <w:tcPr>
            <w:tcW w:w="567" w:type="dxa"/>
          </w:tcPr>
          <w:p>
            <w:pPr/>
          </w:p>
        </w:tc>
        <w:tc>
          <w:tcPr>
            <w:tcW w:w="567" w:type="dxa"/>
          </w:tcPr>
          <w:p>
            <w:pPr/>
          </w:p>
        </w:tc>
        <w:tc>
          <w:tcPr>
            <w:tcW w:w="2381" w:type="dxa"/>
          </w:tcPr>
          <w:p>
            <w:pPr>
              <w:pStyle w:val="TableParagraph"/>
              <w:spacing w:line="132" w:lineRule="exact" w:before="94"/>
              <w:ind w:left="821" w:right="-17" w:hanging="674"/>
              <w:jc w:val="left"/>
              <w:rPr>
                <w:sz w:val="12"/>
              </w:rPr>
            </w:pPr>
            <w:r>
              <w:rPr>
                <w:color w:val="010202"/>
                <w:sz w:val="12"/>
              </w:rPr>
              <w:t>Comercializadora, herramientas y servicios eléctricos / aire</w:t>
            </w:r>
          </w:p>
        </w:tc>
      </w:tr>
      <w:tr>
        <w:trPr>
          <w:trHeight w:val="340" w:hRule="exact"/>
        </w:trPr>
        <w:tc>
          <w:tcPr>
            <w:tcW w:w="340" w:type="dxa"/>
          </w:tcPr>
          <w:p>
            <w:pPr>
              <w:pStyle w:val="TableParagraph"/>
              <w:spacing w:before="97"/>
              <w:ind w:left="46" w:right="46"/>
              <w:rPr>
                <w:sz w:val="12"/>
              </w:rPr>
            </w:pPr>
            <w:r>
              <w:rPr>
                <w:color w:val="010202"/>
                <w:sz w:val="12"/>
              </w:rPr>
              <w:t>122</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Auto Empaques y manufacturas, S.A. de C.V.</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Juntas</w:t>
            </w:r>
          </w:p>
        </w:tc>
      </w:tr>
      <w:tr>
        <w:trPr>
          <w:trHeight w:val="510" w:hRule="exact"/>
        </w:trPr>
        <w:tc>
          <w:tcPr>
            <w:tcW w:w="340" w:type="dxa"/>
          </w:tcPr>
          <w:p>
            <w:pPr>
              <w:pStyle w:val="TableParagraph"/>
              <w:spacing w:before="9"/>
              <w:jc w:val="left"/>
              <w:rPr>
                <w:sz w:val="15"/>
              </w:rPr>
            </w:pPr>
          </w:p>
          <w:p>
            <w:pPr>
              <w:pStyle w:val="TableParagraph"/>
              <w:ind w:left="46" w:right="46"/>
              <w:rPr>
                <w:sz w:val="12"/>
              </w:rPr>
            </w:pPr>
            <w:r>
              <w:rPr>
                <w:color w:val="010202"/>
                <w:sz w:val="12"/>
              </w:rPr>
              <w:t>123</w:t>
            </w:r>
          </w:p>
        </w:tc>
        <w:tc>
          <w:tcPr>
            <w:tcW w:w="794" w:type="dxa"/>
          </w:tcPr>
          <w:p>
            <w:pPr/>
          </w:p>
        </w:tc>
        <w:tc>
          <w:tcPr>
            <w:tcW w:w="2551" w:type="dxa"/>
          </w:tcPr>
          <w:p>
            <w:pPr>
              <w:pStyle w:val="TableParagraph"/>
              <w:spacing w:before="7"/>
              <w:jc w:val="left"/>
              <w:rPr>
                <w:sz w:val="14"/>
              </w:rPr>
            </w:pPr>
          </w:p>
          <w:p>
            <w:pPr>
              <w:pStyle w:val="TableParagraph"/>
              <w:rPr>
                <w:rFonts w:ascii="Palatino Linotype"/>
                <w:b/>
                <w:sz w:val="12"/>
              </w:rPr>
            </w:pPr>
            <w:r>
              <w:rPr>
                <w:rFonts w:ascii="Palatino Linotype"/>
                <w:b/>
                <w:color w:val="010202"/>
                <w:w w:val="95"/>
                <w:sz w:val="12"/>
              </w:rPr>
              <w:t>Autometales, S.A. de C.V. (gpo. Spicer)</w:t>
            </w:r>
          </w:p>
        </w:tc>
        <w:tc>
          <w:tcPr>
            <w:tcW w:w="567" w:type="dxa"/>
          </w:tcPr>
          <w:p>
            <w:pPr/>
          </w:p>
        </w:tc>
        <w:tc>
          <w:tcPr>
            <w:tcW w:w="567" w:type="dxa"/>
          </w:tcPr>
          <w:p>
            <w:pPr/>
          </w:p>
        </w:tc>
        <w:tc>
          <w:tcPr>
            <w:tcW w:w="2381" w:type="dxa"/>
          </w:tcPr>
          <w:p>
            <w:pPr>
              <w:pStyle w:val="TableParagraph"/>
              <w:spacing w:before="7"/>
              <w:jc w:val="left"/>
              <w:rPr>
                <w:sz w:val="10"/>
              </w:rPr>
            </w:pPr>
          </w:p>
          <w:p>
            <w:pPr>
              <w:pStyle w:val="TableParagraph"/>
              <w:spacing w:line="132" w:lineRule="exact"/>
              <w:ind w:left="652" w:right="-17" w:hanging="502"/>
              <w:jc w:val="left"/>
              <w:rPr>
                <w:sz w:val="12"/>
              </w:rPr>
            </w:pPr>
            <w:r>
              <w:rPr>
                <w:color w:val="010202"/>
                <w:sz w:val="12"/>
              </w:rPr>
              <w:t>Carcaza, porta-engranes, yugo, yugo-brida, anillos pistón, calipers</w:t>
            </w:r>
          </w:p>
        </w:tc>
      </w:tr>
      <w:tr>
        <w:trPr>
          <w:trHeight w:val="340" w:hRule="exact"/>
        </w:trPr>
        <w:tc>
          <w:tcPr>
            <w:tcW w:w="340" w:type="dxa"/>
          </w:tcPr>
          <w:p>
            <w:pPr>
              <w:pStyle w:val="TableParagraph"/>
              <w:spacing w:before="97"/>
              <w:ind w:left="46" w:right="46"/>
              <w:rPr>
                <w:sz w:val="12"/>
              </w:rPr>
            </w:pPr>
            <w:r>
              <w:rPr>
                <w:color w:val="010202"/>
                <w:sz w:val="12"/>
              </w:rPr>
              <w:t>124</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Bauer electrónica, S.A. de C.V. (Oficina México)</w:t>
            </w:r>
          </w:p>
        </w:tc>
        <w:tc>
          <w:tcPr>
            <w:tcW w:w="567" w:type="dxa"/>
          </w:tcPr>
          <w:p>
            <w:pPr>
              <w:pStyle w:val="TableParagraph"/>
              <w:spacing w:before="97"/>
              <w:rPr>
                <w:sz w:val="12"/>
              </w:rPr>
            </w:pPr>
            <w:r>
              <w:rPr>
                <w:color w:val="010202"/>
                <w:w w:val="96"/>
                <w:sz w:val="12"/>
              </w:rPr>
              <w:t>1</w:t>
            </w:r>
          </w:p>
        </w:tc>
        <w:tc>
          <w:tcPr>
            <w:tcW w:w="567" w:type="dxa"/>
          </w:tcPr>
          <w:p>
            <w:pPr>
              <w:pStyle w:val="TableParagraph"/>
              <w:spacing w:before="97"/>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Gabinetes electrónicos</w:t>
            </w:r>
          </w:p>
        </w:tc>
      </w:tr>
    </w:tbl>
    <w:p>
      <w:pPr>
        <w:spacing w:after="0"/>
        <w:rPr>
          <w:sz w:val="12"/>
        </w:rPr>
        <w:sectPr>
          <w:footerReference w:type="even" r:id="rId405"/>
          <w:footerReference w:type="default" r:id="rId406"/>
          <w:pgSz w:w="9640" w:h="13040"/>
          <w:pgMar w:footer="654" w:header="581" w:top="780" w:bottom="840" w:left="420" w:right="1180"/>
        </w:sectPr>
      </w:pPr>
    </w:p>
    <w:p>
      <w:pPr>
        <w:pStyle w:val="BodyText"/>
        <w:rPr>
          <w:sz w:val="20"/>
        </w:rPr>
      </w:pPr>
    </w:p>
    <w:p>
      <w:pPr>
        <w:pStyle w:val="BodyText"/>
        <w:rPr>
          <w:sz w:val="20"/>
        </w:rPr>
      </w:pPr>
    </w:p>
    <w:p>
      <w:pPr>
        <w:pStyle w:val="BodyText"/>
        <w:spacing w:before="5"/>
        <w:rPr>
          <w:sz w:val="10"/>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62" w:hRule="exact"/>
        </w:trPr>
        <w:tc>
          <w:tcPr>
            <w:tcW w:w="340" w:type="dxa"/>
          </w:tcPr>
          <w:p>
            <w:pPr>
              <w:pStyle w:val="TableParagraph"/>
              <w:spacing w:before="9"/>
              <w:jc w:val="left"/>
              <w:rPr>
                <w:sz w:val="16"/>
              </w:rPr>
            </w:pPr>
          </w:p>
          <w:p>
            <w:pPr>
              <w:pStyle w:val="TableParagraph"/>
              <w:ind w:left="46" w:right="46"/>
              <w:rPr>
                <w:rFonts w:ascii="Palatino Linotype"/>
                <w:b/>
                <w:sz w:val="12"/>
              </w:rPr>
            </w:pPr>
            <w:r>
              <w:rPr>
                <w:rFonts w:ascii="Palatino Linotype"/>
                <w:b/>
                <w:color w:val="010202"/>
                <w:sz w:val="12"/>
              </w:rPr>
              <w:t>No.</w:t>
            </w:r>
          </w:p>
        </w:tc>
        <w:tc>
          <w:tcPr>
            <w:tcW w:w="794" w:type="dxa"/>
          </w:tcPr>
          <w:p>
            <w:pPr>
              <w:pStyle w:val="TableParagraph"/>
              <w:spacing w:before="9"/>
              <w:jc w:val="left"/>
              <w:rPr>
                <w:sz w:val="16"/>
              </w:rPr>
            </w:pPr>
          </w:p>
          <w:p>
            <w:pPr>
              <w:pStyle w:val="TableParagraph"/>
              <w:ind w:left="130"/>
              <w:jc w:val="left"/>
              <w:rPr>
                <w:rFonts w:ascii="Palatino Linotype"/>
                <w:b/>
                <w:sz w:val="12"/>
              </w:rPr>
            </w:pPr>
            <w:r>
              <w:rPr>
                <w:rFonts w:ascii="Palatino Linotype"/>
                <w:b/>
                <w:color w:val="010202"/>
                <w:sz w:val="12"/>
              </w:rPr>
              <w:t>Municipio</w:t>
            </w:r>
          </w:p>
        </w:tc>
        <w:tc>
          <w:tcPr>
            <w:tcW w:w="2551" w:type="dxa"/>
          </w:tcPr>
          <w:p>
            <w:pPr>
              <w:pStyle w:val="TableParagraph"/>
              <w:spacing w:before="9"/>
              <w:jc w:val="left"/>
              <w:rPr>
                <w:sz w:val="16"/>
              </w:rPr>
            </w:pPr>
          </w:p>
          <w:p>
            <w:pPr>
              <w:pStyle w:val="TableParagraph"/>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9"/>
              <w:jc w:val="left"/>
              <w:rPr>
                <w:sz w:val="16"/>
              </w:rPr>
            </w:pPr>
          </w:p>
          <w:p>
            <w:pPr>
              <w:pStyle w:val="TableParagraph"/>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82"/>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9"/>
              <w:jc w:val="left"/>
              <w:rPr>
                <w:sz w:val="16"/>
              </w:rPr>
            </w:pPr>
          </w:p>
          <w:p>
            <w:pPr>
              <w:pStyle w:val="TableParagraph"/>
              <w:ind w:left="106" w:right="106"/>
              <w:rPr>
                <w:rFonts w:ascii="Palatino Linotype"/>
                <w:b/>
                <w:sz w:val="12"/>
              </w:rPr>
            </w:pPr>
            <w:r>
              <w:rPr>
                <w:rFonts w:ascii="Palatino Linotype"/>
                <w:b/>
                <w:color w:val="010202"/>
                <w:w w:val="90"/>
                <w:sz w:val="12"/>
              </w:rPr>
              <w:t>Principales productos</w:t>
            </w:r>
          </w:p>
        </w:tc>
      </w:tr>
      <w:tr>
        <w:trPr>
          <w:trHeight w:val="340" w:hRule="exact"/>
        </w:trPr>
        <w:tc>
          <w:tcPr>
            <w:tcW w:w="340" w:type="dxa"/>
          </w:tcPr>
          <w:p>
            <w:pPr>
              <w:pStyle w:val="TableParagraph"/>
              <w:spacing w:before="96"/>
              <w:ind w:left="46" w:right="46"/>
              <w:rPr>
                <w:sz w:val="12"/>
              </w:rPr>
            </w:pPr>
            <w:r>
              <w:rPr>
                <w:color w:val="010202"/>
                <w:sz w:val="12"/>
              </w:rPr>
              <w:t>125</w:t>
            </w:r>
          </w:p>
        </w:tc>
        <w:tc>
          <w:tcPr>
            <w:tcW w:w="794" w:type="dxa"/>
          </w:tcPr>
          <w:p>
            <w:pPr/>
          </w:p>
        </w:tc>
        <w:tc>
          <w:tcPr>
            <w:tcW w:w="2551" w:type="dxa"/>
          </w:tcPr>
          <w:p>
            <w:pPr>
              <w:pStyle w:val="TableParagraph"/>
              <w:spacing w:before="82"/>
              <w:rPr>
                <w:rFonts w:ascii="Palatino Linotype"/>
                <w:b/>
                <w:sz w:val="12"/>
              </w:rPr>
            </w:pPr>
            <w:r>
              <w:rPr>
                <w:rFonts w:ascii="Palatino Linotype"/>
                <w:b/>
                <w:color w:val="010202"/>
                <w:w w:val="95"/>
                <w:sz w:val="12"/>
              </w:rPr>
              <w:t>Bicar,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Empaques</w:t>
            </w:r>
          </w:p>
        </w:tc>
      </w:tr>
      <w:tr>
        <w:trPr>
          <w:trHeight w:val="340" w:hRule="exact"/>
        </w:trPr>
        <w:tc>
          <w:tcPr>
            <w:tcW w:w="340" w:type="dxa"/>
          </w:tcPr>
          <w:p>
            <w:pPr>
              <w:pStyle w:val="TableParagraph"/>
              <w:spacing w:before="96"/>
              <w:ind w:left="46" w:right="46"/>
              <w:rPr>
                <w:sz w:val="12"/>
              </w:rPr>
            </w:pPr>
            <w:r>
              <w:rPr>
                <w:color w:val="010202"/>
                <w:sz w:val="12"/>
              </w:rPr>
              <w:t>126</w:t>
            </w:r>
          </w:p>
        </w:tc>
        <w:tc>
          <w:tcPr>
            <w:tcW w:w="794" w:type="dxa"/>
          </w:tcPr>
          <w:p>
            <w:pPr/>
          </w:p>
        </w:tc>
        <w:tc>
          <w:tcPr>
            <w:tcW w:w="2551" w:type="dxa"/>
          </w:tcPr>
          <w:p>
            <w:pPr>
              <w:pStyle w:val="TableParagraph"/>
              <w:spacing w:line="132" w:lineRule="exact" w:before="37"/>
              <w:ind w:left="1066" w:right="87" w:hanging="892"/>
              <w:jc w:val="left"/>
              <w:rPr>
                <w:rFonts w:ascii="Palatino Linotype" w:hAnsi="Palatino Linotype"/>
                <w:b/>
                <w:sz w:val="12"/>
              </w:rPr>
            </w:pPr>
            <w:r>
              <w:rPr>
                <w:rFonts w:ascii="Palatino Linotype" w:hAnsi="Palatino Linotype"/>
                <w:b/>
                <w:color w:val="010202"/>
                <w:w w:val="95"/>
                <w:sz w:val="12"/>
              </w:rPr>
              <w:t>BorgWarner Morse </w:t>
            </w:r>
            <w:r>
              <w:rPr>
                <w:rFonts w:ascii="Palatino Linotype" w:hAnsi="Palatino Linotype"/>
                <w:b/>
                <w:color w:val="010202"/>
                <w:spacing w:val="-4"/>
                <w:w w:val="95"/>
                <w:sz w:val="12"/>
              </w:rPr>
              <w:t>Tec </w:t>
            </w:r>
            <w:r>
              <w:rPr>
                <w:rFonts w:ascii="Palatino Linotype" w:hAnsi="Palatino Linotype"/>
                <w:b/>
                <w:color w:val="010202"/>
                <w:w w:val="95"/>
                <w:sz w:val="12"/>
              </w:rPr>
              <w:t>México, S.A. de </w:t>
            </w:r>
            <w:r>
              <w:rPr>
                <w:rFonts w:ascii="Palatino Linotype" w:hAnsi="Palatino Linotype"/>
                <w:b/>
                <w:color w:val="010202"/>
                <w:spacing w:val="-5"/>
                <w:w w:val="95"/>
                <w:sz w:val="12"/>
              </w:rPr>
              <w:t>C.V. </w:t>
            </w:r>
            <w:r>
              <w:rPr>
                <w:rFonts w:ascii="Palatino Linotype" w:hAnsi="Palatino Linotype"/>
                <w:b/>
                <w:color w:val="010202"/>
                <w:sz w:val="12"/>
              </w:rPr>
              <w:t>(Planta)</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Bombas de agua importadas</w:t>
            </w:r>
          </w:p>
        </w:tc>
      </w:tr>
      <w:tr>
        <w:trPr>
          <w:trHeight w:val="425" w:hRule="exact"/>
        </w:trPr>
        <w:tc>
          <w:tcPr>
            <w:tcW w:w="340" w:type="dxa"/>
          </w:tcPr>
          <w:p>
            <w:pPr>
              <w:pStyle w:val="TableParagraph"/>
              <w:spacing w:before="1"/>
              <w:jc w:val="left"/>
              <w:rPr>
                <w:sz w:val="12"/>
              </w:rPr>
            </w:pPr>
          </w:p>
          <w:p>
            <w:pPr>
              <w:pStyle w:val="TableParagraph"/>
              <w:ind w:left="46" w:right="46"/>
              <w:rPr>
                <w:sz w:val="12"/>
              </w:rPr>
            </w:pPr>
            <w:r>
              <w:rPr>
                <w:color w:val="010202"/>
                <w:sz w:val="12"/>
              </w:rPr>
              <w:t>127</w:t>
            </w:r>
          </w:p>
        </w:tc>
        <w:tc>
          <w:tcPr>
            <w:tcW w:w="794" w:type="dxa"/>
          </w:tcPr>
          <w:p>
            <w:pPr/>
          </w:p>
        </w:tc>
        <w:tc>
          <w:tcPr>
            <w:tcW w:w="2551" w:type="dxa"/>
          </w:tcPr>
          <w:p>
            <w:pPr>
              <w:pStyle w:val="TableParagraph"/>
              <w:spacing w:before="10"/>
              <w:jc w:val="left"/>
              <w:rPr>
                <w:sz w:val="10"/>
              </w:rPr>
            </w:pPr>
          </w:p>
          <w:p>
            <w:pPr>
              <w:pStyle w:val="TableParagraph"/>
              <w:rPr>
                <w:rFonts w:ascii="Palatino Linotype" w:hAnsi="Palatino Linotype"/>
                <w:b/>
                <w:sz w:val="12"/>
              </w:rPr>
            </w:pPr>
            <w:r>
              <w:rPr>
                <w:rFonts w:ascii="Palatino Linotype" w:hAnsi="Palatino Linotype"/>
                <w:b/>
                <w:color w:val="010202"/>
                <w:w w:val="95"/>
                <w:sz w:val="12"/>
              </w:rPr>
              <w:t>Bujías mexicanas, S.A. de C.V. (gpo. Unik)</w:t>
            </w:r>
          </w:p>
        </w:tc>
        <w:tc>
          <w:tcPr>
            <w:tcW w:w="567" w:type="dxa"/>
          </w:tcPr>
          <w:p>
            <w:pPr/>
          </w:p>
        </w:tc>
        <w:tc>
          <w:tcPr>
            <w:tcW w:w="567" w:type="dxa"/>
          </w:tcPr>
          <w:p>
            <w:pPr/>
          </w:p>
        </w:tc>
        <w:tc>
          <w:tcPr>
            <w:tcW w:w="2381" w:type="dxa"/>
          </w:tcPr>
          <w:p>
            <w:pPr>
              <w:pStyle w:val="TableParagraph"/>
              <w:spacing w:line="132" w:lineRule="exact" w:before="79"/>
              <w:ind w:left="708" w:right="-17" w:hanging="481"/>
              <w:jc w:val="left"/>
              <w:rPr>
                <w:sz w:val="12"/>
              </w:rPr>
            </w:pPr>
            <w:r>
              <w:rPr>
                <w:color w:val="010202"/>
                <w:sz w:val="12"/>
              </w:rPr>
              <w:t>Aislador cerámico, bujías para motor de combustión externa</w:t>
            </w:r>
          </w:p>
        </w:tc>
      </w:tr>
      <w:tr>
        <w:trPr>
          <w:trHeight w:val="340" w:hRule="exact"/>
        </w:trPr>
        <w:tc>
          <w:tcPr>
            <w:tcW w:w="340" w:type="dxa"/>
          </w:tcPr>
          <w:p>
            <w:pPr>
              <w:pStyle w:val="TableParagraph"/>
              <w:spacing w:before="96"/>
              <w:ind w:left="46" w:right="46"/>
              <w:rPr>
                <w:sz w:val="12"/>
              </w:rPr>
            </w:pPr>
            <w:r>
              <w:rPr>
                <w:color w:val="010202"/>
                <w:sz w:val="12"/>
              </w:rPr>
              <w:t>128</w:t>
            </w:r>
          </w:p>
        </w:tc>
        <w:tc>
          <w:tcPr>
            <w:tcW w:w="794" w:type="dxa"/>
          </w:tcPr>
          <w:p>
            <w:pPr/>
          </w:p>
        </w:tc>
        <w:tc>
          <w:tcPr>
            <w:tcW w:w="2551" w:type="dxa"/>
          </w:tcPr>
          <w:p>
            <w:pPr>
              <w:pStyle w:val="TableParagraph"/>
              <w:spacing w:before="83"/>
              <w:rPr>
                <w:rFonts w:ascii="Palatino Linotype" w:hAnsi="Palatino Linotype"/>
                <w:b/>
                <w:sz w:val="12"/>
              </w:rPr>
            </w:pPr>
            <w:r>
              <w:rPr>
                <w:rFonts w:ascii="Palatino Linotype" w:hAnsi="Palatino Linotype"/>
                <w:b/>
                <w:color w:val="010202"/>
                <w:w w:val="95"/>
                <w:sz w:val="12"/>
              </w:rPr>
              <w:t>Bujias NGK de México.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60" w:right="60"/>
              <w:rPr>
                <w:sz w:val="12"/>
              </w:rPr>
            </w:pPr>
            <w:r>
              <w:rPr>
                <w:color w:val="010202"/>
                <w:sz w:val="12"/>
              </w:rPr>
              <w:t>Fabricación de bujías, sensores y capuchones</w:t>
            </w:r>
          </w:p>
        </w:tc>
      </w:tr>
      <w:tr>
        <w:trPr>
          <w:trHeight w:val="544" w:hRule="exact"/>
        </w:trPr>
        <w:tc>
          <w:tcPr>
            <w:tcW w:w="340" w:type="dxa"/>
          </w:tcPr>
          <w:p>
            <w:pPr>
              <w:pStyle w:val="TableParagraph"/>
              <w:spacing w:before="2"/>
              <w:jc w:val="left"/>
              <w:rPr>
                <w:sz w:val="17"/>
              </w:rPr>
            </w:pPr>
          </w:p>
          <w:p>
            <w:pPr>
              <w:pStyle w:val="TableParagraph"/>
              <w:spacing w:before="1"/>
              <w:ind w:left="46" w:right="46"/>
              <w:rPr>
                <w:sz w:val="12"/>
              </w:rPr>
            </w:pPr>
            <w:r>
              <w:rPr>
                <w:color w:val="010202"/>
                <w:sz w:val="12"/>
              </w:rPr>
              <w:t>129</w:t>
            </w:r>
          </w:p>
        </w:tc>
        <w:tc>
          <w:tcPr>
            <w:tcW w:w="794" w:type="dxa"/>
          </w:tcPr>
          <w:p>
            <w:pPr/>
          </w:p>
        </w:tc>
        <w:tc>
          <w:tcPr>
            <w:tcW w:w="2551" w:type="dxa"/>
          </w:tcPr>
          <w:p>
            <w:pPr>
              <w:pStyle w:val="TableParagraph"/>
              <w:jc w:val="left"/>
              <w:rPr>
                <w:sz w:val="16"/>
              </w:rPr>
            </w:pPr>
          </w:p>
          <w:p>
            <w:pPr>
              <w:pStyle w:val="TableParagraph"/>
              <w:rPr>
                <w:rFonts w:ascii="Palatino Linotype"/>
                <w:b/>
                <w:sz w:val="12"/>
              </w:rPr>
            </w:pPr>
            <w:r>
              <w:rPr>
                <w:rFonts w:ascii="Palatino Linotype"/>
                <w:b/>
                <w:color w:val="010202"/>
                <w:w w:val="95"/>
                <w:sz w:val="12"/>
              </w:rPr>
              <w:t>Cables Automotrices de Hidalgo, S.A. de C.V.</w:t>
            </w:r>
          </w:p>
        </w:tc>
        <w:tc>
          <w:tcPr>
            <w:tcW w:w="567" w:type="dxa"/>
          </w:tcPr>
          <w:p>
            <w:pPr>
              <w:pStyle w:val="TableParagraph"/>
              <w:spacing w:before="2"/>
              <w:jc w:val="left"/>
              <w:rPr>
                <w:sz w:val="17"/>
              </w:rPr>
            </w:pPr>
          </w:p>
          <w:p>
            <w:pPr>
              <w:pStyle w:val="TableParagraph"/>
              <w:spacing w:before="1"/>
              <w:rPr>
                <w:sz w:val="12"/>
              </w:rPr>
            </w:pPr>
            <w:r>
              <w:rPr>
                <w:color w:val="010202"/>
                <w:w w:val="96"/>
                <w:sz w:val="12"/>
              </w:rPr>
              <w:t>2</w:t>
            </w:r>
          </w:p>
        </w:tc>
        <w:tc>
          <w:tcPr>
            <w:tcW w:w="567" w:type="dxa"/>
          </w:tcPr>
          <w:p>
            <w:pPr>
              <w:pStyle w:val="TableParagraph"/>
              <w:spacing w:before="2"/>
              <w:jc w:val="left"/>
              <w:rPr>
                <w:sz w:val="17"/>
              </w:rPr>
            </w:pPr>
          </w:p>
          <w:p>
            <w:pPr>
              <w:pStyle w:val="TableParagraph"/>
              <w:spacing w:before="1"/>
              <w:ind w:left="235"/>
              <w:jc w:val="left"/>
              <w:rPr>
                <w:sz w:val="12"/>
              </w:rPr>
            </w:pPr>
            <w:r>
              <w:rPr>
                <w:color w:val="010202"/>
                <w:w w:val="99"/>
                <w:sz w:val="12"/>
              </w:rPr>
              <w:t>G</w:t>
            </w:r>
          </w:p>
        </w:tc>
        <w:tc>
          <w:tcPr>
            <w:tcW w:w="2381" w:type="dxa"/>
          </w:tcPr>
          <w:p>
            <w:pPr>
              <w:pStyle w:val="TableParagraph"/>
              <w:spacing w:line="132" w:lineRule="exact" w:before="73"/>
              <w:ind w:left="36" w:right="34"/>
              <w:rPr>
                <w:sz w:val="12"/>
              </w:rPr>
            </w:pPr>
            <w:r>
              <w:rPr>
                <w:color w:val="010202"/>
                <w:sz w:val="12"/>
              </w:rPr>
              <w:t>Fabricación de cables de mandos automotrices, para bujía, pasa corriente para equipo de repuesto</w:t>
            </w:r>
          </w:p>
        </w:tc>
      </w:tr>
      <w:tr>
        <w:trPr>
          <w:trHeight w:val="312" w:hRule="exact"/>
        </w:trPr>
        <w:tc>
          <w:tcPr>
            <w:tcW w:w="340" w:type="dxa"/>
          </w:tcPr>
          <w:p>
            <w:pPr>
              <w:pStyle w:val="TableParagraph"/>
              <w:spacing w:before="82"/>
              <w:ind w:left="46" w:right="46"/>
              <w:rPr>
                <w:sz w:val="12"/>
              </w:rPr>
            </w:pPr>
            <w:r>
              <w:rPr>
                <w:color w:val="010202"/>
                <w:sz w:val="12"/>
              </w:rPr>
              <w:t>130</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Carpenter Aceros Fortuna</w:t>
            </w:r>
          </w:p>
        </w:tc>
        <w:tc>
          <w:tcPr>
            <w:tcW w:w="567" w:type="dxa"/>
          </w:tcPr>
          <w:p>
            <w:pPr>
              <w:pStyle w:val="TableParagraph"/>
              <w:spacing w:before="82"/>
              <w:rPr>
                <w:sz w:val="12"/>
              </w:rPr>
            </w:pPr>
            <w:r>
              <w:rPr>
                <w:color w:val="010202"/>
                <w:w w:val="96"/>
                <w:sz w:val="12"/>
              </w:rPr>
              <w:t>3</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Acero</w:t>
            </w:r>
          </w:p>
        </w:tc>
      </w:tr>
      <w:tr>
        <w:trPr>
          <w:trHeight w:val="312" w:hRule="exact"/>
        </w:trPr>
        <w:tc>
          <w:tcPr>
            <w:tcW w:w="340" w:type="dxa"/>
          </w:tcPr>
          <w:p>
            <w:pPr>
              <w:pStyle w:val="TableParagraph"/>
              <w:spacing w:before="82"/>
              <w:ind w:left="46" w:right="46"/>
              <w:rPr>
                <w:sz w:val="12"/>
              </w:rPr>
            </w:pPr>
            <w:r>
              <w:rPr>
                <w:color w:val="010202"/>
                <w:sz w:val="12"/>
              </w:rPr>
              <w:t>131</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Cemtormaq,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Mazas para automóvil</w:t>
            </w:r>
          </w:p>
        </w:tc>
      </w:tr>
      <w:tr>
        <w:trPr>
          <w:trHeight w:val="496" w:hRule="exact"/>
        </w:trPr>
        <w:tc>
          <w:tcPr>
            <w:tcW w:w="340" w:type="dxa"/>
          </w:tcPr>
          <w:p>
            <w:pPr>
              <w:pStyle w:val="TableParagraph"/>
              <w:spacing w:before="2"/>
              <w:jc w:val="left"/>
              <w:rPr>
                <w:sz w:val="15"/>
              </w:rPr>
            </w:pPr>
          </w:p>
          <w:p>
            <w:pPr>
              <w:pStyle w:val="TableParagraph"/>
              <w:ind w:left="46" w:right="46"/>
              <w:rPr>
                <w:sz w:val="12"/>
              </w:rPr>
            </w:pPr>
            <w:r>
              <w:rPr>
                <w:color w:val="010202"/>
                <w:sz w:val="12"/>
              </w:rPr>
              <w:t>132</w:t>
            </w:r>
          </w:p>
        </w:tc>
        <w:tc>
          <w:tcPr>
            <w:tcW w:w="794" w:type="dxa"/>
          </w:tcPr>
          <w:p>
            <w:pPr/>
          </w:p>
        </w:tc>
        <w:tc>
          <w:tcPr>
            <w:tcW w:w="2551" w:type="dxa"/>
          </w:tcPr>
          <w:p>
            <w:pPr>
              <w:pStyle w:val="TableParagraph"/>
              <w:spacing w:before="11"/>
              <w:jc w:val="left"/>
              <w:rPr>
                <w:sz w:val="13"/>
              </w:rPr>
            </w:pPr>
          </w:p>
          <w:p>
            <w:pPr>
              <w:pStyle w:val="TableParagraph"/>
              <w:rPr>
                <w:rFonts w:ascii="Palatino Linotype" w:hAnsi="Palatino Linotype"/>
                <w:b/>
                <w:sz w:val="12"/>
              </w:rPr>
            </w:pPr>
            <w:r>
              <w:rPr>
                <w:rFonts w:ascii="Palatino Linotype" w:hAnsi="Palatino Linotype"/>
                <w:b/>
                <w:color w:val="010202"/>
                <w:w w:val="95"/>
                <w:sz w:val="12"/>
              </w:rPr>
              <w:t>Codan Rubber México, S.A. de C.V.</w:t>
            </w:r>
          </w:p>
        </w:tc>
        <w:tc>
          <w:tcPr>
            <w:tcW w:w="567" w:type="dxa"/>
          </w:tcPr>
          <w:p>
            <w:pPr>
              <w:pStyle w:val="TableParagraph"/>
              <w:spacing w:before="2"/>
              <w:jc w:val="left"/>
              <w:rPr>
                <w:sz w:val="15"/>
              </w:rPr>
            </w:pPr>
          </w:p>
          <w:p>
            <w:pPr>
              <w:pStyle w:val="TableParagraph"/>
              <w:ind w:left="46" w:right="46"/>
              <w:rPr>
                <w:sz w:val="12"/>
              </w:rPr>
            </w:pPr>
            <w:r>
              <w:rPr>
                <w:color w:val="010202"/>
                <w:sz w:val="12"/>
              </w:rPr>
              <w:t>1 y 2</w:t>
            </w:r>
          </w:p>
        </w:tc>
        <w:tc>
          <w:tcPr>
            <w:tcW w:w="567" w:type="dxa"/>
          </w:tcPr>
          <w:p>
            <w:pPr>
              <w:pStyle w:val="TableParagraph"/>
              <w:spacing w:before="2"/>
              <w:jc w:val="left"/>
              <w:rPr>
                <w:sz w:val="15"/>
              </w:rPr>
            </w:pPr>
          </w:p>
          <w:p>
            <w:pPr>
              <w:pStyle w:val="TableParagraph"/>
              <w:ind w:left="224"/>
              <w:jc w:val="left"/>
              <w:rPr>
                <w:sz w:val="12"/>
              </w:rPr>
            </w:pPr>
            <w:r>
              <w:rPr>
                <w:color w:val="010202"/>
                <w:w w:val="100"/>
                <w:sz w:val="12"/>
              </w:rPr>
              <w:t>M</w:t>
            </w:r>
          </w:p>
        </w:tc>
        <w:tc>
          <w:tcPr>
            <w:tcW w:w="2381" w:type="dxa"/>
          </w:tcPr>
          <w:p>
            <w:pPr>
              <w:pStyle w:val="TableParagraph"/>
              <w:jc w:val="left"/>
              <w:rPr>
                <w:sz w:val="10"/>
              </w:rPr>
            </w:pPr>
          </w:p>
          <w:p>
            <w:pPr>
              <w:pStyle w:val="TableParagraph"/>
              <w:spacing w:line="132" w:lineRule="exact"/>
              <w:ind w:left="895" w:right="102" w:hanging="772"/>
              <w:jc w:val="left"/>
              <w:rPr>
                <w:sz w:val="12"/>
              </w:rPr>
            </w:pPr>
            <w:r>
              <w:rPr>
                <w:color w:val="010202"/>
                <w:sz w:val="12"/>
              </w:rPr>
              <w:t>Mangueras de hule (caucho) para mediana y baja presión</w:t>
            </w:r>
          </w:p>
        </w:tc>
      </w:tr>
      <w:tr>
        <w:trPr>
          <w:trHeight w:val="439" w:hRule="exact"/>
        </w:trPr>
        <w:tc>
          <w:tcPr>
            <w:tcW w:w="340" w:type="dxa"/>
          </w:tcPr>
          <w:p>
            <w:pPr>
              <w:pStyle w:val="TableParagraph"/>
              <w:spacing w:before="8"/>
              <w:jc w:val="left"/>
              <w:rPr>
                <w:sz w:val="12"/>
              </w:rPr>
            </w:pPr>
          </w:p>
          <w:p>
            <w:pPr>
              <w:pStyle w:val="TableParagraph"/>
              <w:ind w:left="46" w:right="46"/>
              <w:rPr>
                <w:sz w:val="12"/>
              </w:rPr>
            </w:pPr>
            <w:r>
              <w:rPr>
                <w:color w:val="010202"/>
                <w:sz w:val="12"/>
              </w:rPr>
              <w:t>133</w:t>
            </w:r>
          </w:p>
        </w:tc>
        <w:tc>
          <w:tcPr>
            <w:tcW w:w="794" w:type="dxa"/>
          </w:tcPr>
          <w:p>
            <w:pPr/>
          </w:p>
        </w:tc>
        <w:tc>
          <w:tcPr>
            <w:tcW w:w="2551" w:type="dxa"/>
          </w:tcPr>
          <w:p>
            <w:pPr>
              <w:pStyle w:val="TableParagraph"/>
              <w:spacing w:line="132" w:lineRule="exact" w:before="86"/>
              <w:ind w:left="983" w:right="56" w:hanging="845"/>
              <w:jc w:val="left"/>
              <w:rPr>
                <w:rFonts w:ascii="Palatino Linotype" w:hAnsi="Palatino Linotype"/>
                <w:b/>
                <w:sz w:val="12"/>
              </w:rPr>
            </w:pPr>
            <w:r>
              <w:rPr>
                <w:rFonts w:ascii="Palatino Linotype" w:hAnsi="Palatino Linotype"/>
                <w:b/>
                <w:color w:val="010202"/>
                <w:w w:val="95"/>
                <w:sz w:val="12"/>
              </w:rPr>
              <w:t>Codan Rubber México, S.A. de </w:t>
            </w:r>
            <w:r>
              <w:rPr>
                <w:rFonts w:ascii="Palatino Linotype" w:hAnsi="Palatino Linotype"/>
                <w:b/>
                <w:color w:val="010202"/>
                <w:spacing w:val="-5"/>
                <w:w w:val="95"/>
                <w:sz w:val="12"/>
              </w:rPr>
              <w:t>C.V. </w:t>
            </w:r>
            <w:r>
              <w:rPr>
                <w:rFonts w:ascii="Palatino Linotype" w:hAnsi="Palatino Linotype"/>
                <w:b/>
                <w:color w:val="010202"/>
                <w:w w:val="95"/>
                <w:sz w:val="12"/>
              </w:rPr>
              <w:t>(Tepeyac </w:t>
            </w:r>
            <w:r>
              <w:rPr>
                <w:rFonts w:ascii="Palatino Linotype" w:hAnsi="Palatino Linotype"/>
                <w:b/>
                <w:color w:val="010202"/>
                <w:sz w:val="12"/>
              </w:rPr>
              <w:t>autopartes)</w:t>
            </w:r>
          </w:p>
        </w:tc>
        <w:tc>
          <w:tcPr>
            <w:tcW w:w="567" w:type="dxa"/>
          </w:tcPr>
          <w:p>
            <w:pPr>
              <w:pStyle w:val="TableParagraph"/>
              <w:spacing w:before="8"/>
              <w:jc w:val="left"/>
              <w:rPr>
                <w:sz w:val="12"/>
              </w:rPr>
            </w:pPr>
          </w:p>
          <w:p>
            <w:pPr>
              <w:pStyle w:val="TableParagraph"/>
              <w:rPr>
                <w:sz w:val="12"/>
              </w:rPr>
            </w:pPr>
            <w:r>
              <w:rPr>
                <w:color w:val="010202"/>
                <w:w w:val="96"/>
                <w:sz w:val="12"/>
              </w:rPr>
              <w:t>1</w:t>
            </w:r>
          </w:p>
        </w:tc>
        <w:tc>
          <w:tcPr>
            <w:tcW w:w="567" w:type="dxa"/>
          </w:tcPr>
          <w:p>
            <w:pPr>
              <w:pStyle w:val="TableParagraph"/>
              <w:spacing w:before="8"/>
              <w:jc w:val="left"/>
              <w:rPr>
                <w:sz w:val="12"/>
              </w:rPr>
            </w:pPr>
          </w:p>
          <w:p>
            <w:pPr>
              <w:pStyle w:val="TableParagraph"/>
              <w:ind w:left="224"/>
              <w:jc w:val="left"/>
              <w:rPr>
                <w:sz w:val="12"/>
              </w:rPr>
            </w:pPr>
            <w:r>
              <w:rPr>
                <w:color w:val="010202"/>
                <w:w w:val="100"/>
                <w:sz w:val="12"/>
              </w:rPr>
              <w:t>M</w:t>
            </w:r>
          </w:p>
        </w:tc>
        <w:tc>
          <w:tcPr>
            <w:tcW w:w="2381" w:type="dxa"/>
          </w:tcPr>
          <w:p>
            <w:pPr>
              <w:pStyle w:val="TableParagraph"/>
              <w:spacing w:line="132" w:lineRule="exact" w:before="86"/>
              <w:ind w:left="895" w:right="102" w:hanging="772"/>
              <w:jc w:val="left"/>
              <w:rPr>
                <w:sz w:val="12"/>
              </w:rPr>
            </w:pPr>
            <w:r>
              <w:rPr>
                <w:color w:val="010202"/>
                <w:sz w:val="12"/>
              </w:rPr>
              <w:t>Mangueras de hule (caucho) para mediana y baja presión</w:t>
            </w:r>
          </w:p>
        </w:tc>
      </w:tr>
      <w:tr>
        <w:trPr>
          <w:trHeight w:val="340" w:hRule="exact"/>
        </w:trPr>
        <w:tc>
          <w:tcPr>
            <w:tcW w:w="340" w:type="dxa"/>
          </w:tcPr>
          <w:p>
            <w:pPr>
              <w:pStyle w:val="TableParagraph"/>
              <w:spacing w:before="96"/>
              <w:ind w:left="46" w:right="46"/>
              <w:rPr>
                <w:sz w:val="12"/>
              </w:rPr>
            </w:pPr>
            <w:r>
              <w:rPr>
                <w:color w:val="010202"/>
                <w:sz w:val="12"/>
              </w:rPr>
              <w:t>134</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Compañía Estañadora Nacional,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6" w:right="106"/>
              <w:rPr>
                <w:sz w:val="12"/>
              </w:rPr>
            </w:pPr>
            <w:r>
              <w:rPr>
                <w:color w:val="010202"/>
                <w:w w:val="105"/>
                <w:sz w:val="12"/>
              </w:rPr>
              <w:t>Cromado</w:t>
            </w:r>
          </w:p>
        </w:tc>
      </w:tr>
      <w:tr>
        <w:trPr>
          <w:trHeight w:val="340" w:hRule="exact"/>
        </w:trPr>
        <w:tc>
          <w:tcPr>
            <w:tcW w:w="340" w:type="dxa"/>
          </w:tcPr>
          <w:p>
            <w:pPr>
              <w:pStyle w:val="TableParagraph"/>
              <w:spacing w:before="96"/>
              <w:ind w:left="46" w:right="46"/>
              <w:rPr>
                <w:sz w:val="12"/>
              </w:rPr>
            </w:pPr>
            <w:r>
              <w:rPr>
                <w:color w:val="010202"/>
                <w:sz w:val="12"/>
              </w:rPr>
              <w:t>135</w:t>
            </w:r>
          </w:p>
        </w:tc>
        <w:tc>
          <w:tcPr>
            <w:tcW w:w="794" w:type="dxa"/>
          </w:tcPr>
          <w:p>
            <w:pPr/>
          </w:p>
        </w:tc>
        <w:tc>
          <w:tcPr>
            <w:tcW w:w="2551" w:type="dxa"/>
          </w:tcPr>
          <w:p>
            <w:pPr>
              <w:pStyle w:val="TableParagraph"/>
              <w:spacing w:before="82"/>
              <w:rPr>
                <w:rFonts w:ascii="Palatino Linotype"/>
                <w:b/>
                <w:sz w:val="12"/>
              </w:rPr>
            </w:pPr>
            <w:r>
              <w:rPr>
                <w:rFonts w:ascii="Palatino Linotype"/>
                <w:b/>
                <w:color w:val="010202"/>
                <w:w w:val="95"/>
                <w:sz w:val="12"/>
              </w:rPr>
              <w:t>Compartec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Inyección de plástico</w:t>
            </w:r>
          </w:p>
        </w:tc>
      </w:tr>
      <w:tr>
        <w:trPr>
          <w:trHeight w:val="340" w:hRule="exact"/>
        </w:trPr>
        <w:tc>
          <w:tcPr>
            <w:tcW w:w="340" w:type="dxa"/>
          </w:tcPr>
          <w:p>
            <w:pPr>
              <w:pStyle w:val="TableParagraph"/>
              <w:spacing w:before="96"/>
              <w:ind w:left="46" w:right="46"/>
              <w:rPr>
                <w:sz w:val="12"/>
              </w:rPr>
            </w:pPr>
            <w:r>
              <w:rPr>
                <w:color w:val="010202"/>
                <w:sz w:val="12"/>
              </w:rPr>
              <w:t>136</w:t>
            </w:r>
          </w:p>
        </w:tc>
        <w:tc>
          <w:tcPr>
            <w:tcW w:w="794" w:type="dxa"/>
          </w:tcPr>
          <w:p>
            <w:pPr/>
          </w:p>
        </w:tc>
        <w:tc>
          <w:tcPr>
            <w:tcW w:w="2551" w:type="dxa"/>
          </w:tcPr>
          <w:p>
            <w:pPr>
              <w:pStyle w:val="TableParagraph"/>
              <w:spacing w:before="83"/>
              <w:rPr>
                <w:rFonts w:ascii="Palatino Linotype"/>
                <w:b/>
                <w:sz w:val="12"/>
              </w:rPr>
            </w:pPr>
            <w:r>
              <w:rPr>
                <w:rFonts w:ascii="Palatino Linotype"/>
                <w:b/>
                <w:color w:val="010202"/>
                <w:w w:val="95"/>
                <w:sz w:val="12"/>
              </w:rPr>
              <w:t>Cosmocel, s.a.</w:t>
            </w:r>
          </w:p>
        </w:tc>
        <w:tc>
          <w:tcPr>
            <w:tcW w:w="567" w:type="dxa"/>
          </w:tcPr>
          <w:p>
            <w:pPr/>
          </w:p>
        </w:tc>
        <w:tc>
          <w:tcPr>
            <w:tcW w:w="567" w:type="dxa"/>
          </w:tcPr>
          <w:p>
            <w:pPr/>
          </w:p>
        </w:tc>
        <w:tc>
          <w:tcPr>
            <w:tcW w:w="2381" w:type="dxa"/>
          </w:tcPr>
          <w:p>
            <w:pPr>
              <w:pStyle w:val="TableParagraph"/>
              <w:spacing w:before="96"/>
              <w:ind w:left="47" w:right="47"/>
              <w:rPr>
                <w:sz w:val="12"/>
              </w:rPr>
            </w:pPr>
            <w:r>
              <w:rPr>
                <w:color w:val="010202"/>
                <w:sz w:val="12"/>
              </w:rPr>
              <w:t>Cables para bujías, extensiones pasa-corriente</w:t>
            </w:r>
          </w:p>
        </w:tc>
      </w:tr>
      <w:tr>
        <w:trPr>
          <w:trHeight w:val="312" w:hRule="exact"/>
        </w:trPr>
        <w:tc>
          <w:tcPr>
            <w:tcW w:w="340" w:type="dxa"/>
          </w:tcPr>
          <w:p>
            <w:pPr>
              <w:pStyle w:val="TableParagraph"/>
              <w:spacing w:before="82"/>
              <w:ind w:left="46" w:right="46"/>
              <w:rPr>
                <w:sz w:val="12"/>
              </w:rPr>
            </w:pPr>
            <w:r>
              <w:rPr>
                <w:color w:val="010202"/>
                <w:sz w:val="12"/>
              </w:rPr>
              <w:t>137</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Cromios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Cables para bujía y batería</w:t>
            </w:r>
          </w:p>
        </w:tc>
      </w:tr>
      <w:tr>
        <w:trPr>
          <w:trHeight w:val="312" w:hRule="exact"/>
        </w:trPr>
        <w:tc>
          <w:tcPr>
            <w:tcW w:w="340" w:type="dxa"/>
          </w:tcPr>
          <w:p>
            <w:pPr>
              <w:pStyle w:val="TableParagraph"/>
              <w:spacing w:before="82"/>
              <w:ind w:left="46" w:right="46"/>
              <w:rPr>
                <w:sz w:val="12"/>
              </w:rPr>
            </w:pPr>
            <w:r>
              <w:rPr>
                <w:color w:val="010202"/>
                <w:sz w:val="12"/>
              </w:rPr>
              <w:t>138</w:t>
            </w:r>
          </w:p>
        </w:tc>
        <w:tc>
          <w:tcPr>
            <w:tcW w:w="794" w:type="dxa"/>
          </w:tcPr>
          <w:p>
            <w:pPr/>
          </w:p>
        </w:tc>
        <w:tc>
          <w:tcPr>
            <w:tcW w:w="2551" w:type="dxa"/>
          </w:tcPr>
          <w:p>
            <w:pPr>
              <w:pStyle w:val="TableParagraph"/>
              <w:spacing w:before="68"/>
              <w:rPr>
                <w:rFonts w:ascii="Palatino Linotype"/>
                <w:b/>
                <w:sz w:val="12"/>
              </w:rPr>
            </w:pPr>
            <w:r>
              <w:rPr>
                <w:rFonts w:ascii="Palatino Linotype"/>
                <w:b/>
                <w:color w:val="010202"/>
                <w:sz w:val="12"/>
              </w:rPr>
              <w:t>Cummins</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Motores cigüeñal y filtros</w:t>
            </w:r>
          </w:p>
        </w:tc>
      </w:tr>
      <w:tr>
        <w:trPr>
          <w:trHeight w:val="312" w:hRule="exact"/>
        </w:trPr>
        <w:tc>
          <w:tcPr>
            <w:tcW w:w="340" w:type="dxa"/>
          </w:tcPr>
          <w:p>
            <w:pPr>
              <w:pStyle w:val="TableParagraph"/>
              <w:spacing w:before="82"/>
              <w:ind w:left="46" w:right="46"/>
              <w:rPr>
                <w:sz w:val="12"/>
              </w:rPr>
            </w:pPr>
            <w:r>
              <w:rPr>
                <w:color w:val="010202"/>
                <w:sz w:val="12"/>
              </w:rPr>
              <w:t>139</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Dayco Products,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Bandas</w:t>
            </w:r>
          </w:p>
        </w:tc>
      </w:tr>
      <w:tr>
        <w:trPr>
          <w:trHeight w:val="312" w:hRule="exact"/>
        </w:trPr>
        <w:tc>
          <w:tcPr>
            <w:tcW w:w="340" w:type="dxa"/>
          </w:tcPr>
          <w:p>
            <w:pPr>
              <w:pStyle w:val="TableParagraph"/>
              <w:spacing w:before="82"/>
              <w:ind w:left="46" w:right="46"/>
              <w:rPr>
                <w:sz w:val="12"/>
              </w:rPr>
            </w:pPr>
            <w:r>
              <w:rPr>
                <w:color w:val="010202"/>
                <w:sz w:val="12"/>
              </w:rPr>
              <w:t>140</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Detroit diesel allison,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Motores</w:t>
            </w:r>
          </w:p>
        </w:tc>
      </w:tr>
      <w:tr>
        <w:trPr>
          <w:trHeight w:val="312" w:hRule="exact"/>
        </w:trPr>
        <w:tc>
          <w:tcPr>
            <w:tcW w:w="340" w:type="dxa"/>
          </w:tcPr>
          <w:p>
            <w:pPr>
              <w:pStyle w:val="TableParagraph"/>
              <w:spacing w:before="82"/>
              <w:ind w:left="46" w:right="46"/>
              <w:rPr>
                <w:sz w:val="12"/>
              </w:rPr>
            </w:pPr>
            <w:r>
              <w:rPr>
                <w:color w:val="010202"/>
                <w:sz w:val="12"/>
              </w:rPr>
              <w:t>141</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0"/>
                <w:sz w:val="12"/>
              </w:rPr>
              <w:t>Diesel USA-México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Baleros</w:t>
            </w:r>
          </w:p>
        </w:tc>
      </w:tr>
      <w:tr>
        <w:trPr>
          <w:trHeight w:val="434" w:hRule="exact"/>
        </w:trPr>
        <w:tc>
          <w:tcPr>
            <w:tcW w:w="340" w:type="dxa"/>
          </w:tcPr>
          <w:p>
            <w:pPr>
              <w:pStyle w:val="TableParagraph"/>
              <w:spacing w:before="5"/>
              <w:jc w:val="left"/>
              <w:rPr>
                <w:sz w:val="12"/>
              </w:rPr>
            </w:pPr>
          </w:p>
          <w:p>
            <w:pPr>
              <w:pStyle w:val="TableParagraph"/>
              <w:ind w:left="46" w:right="46"/>
              <w:rPr>
                <w:sz w:val="12"/>
              </w:rPr>
            </w:pPr>
            <w:r>
              <w:rPr>
                <w:color w:val="010202"/>
                <w:sz w:val="12"/>
              </w:rPr>
              <w:t>142</w:t>
            </w:r>
          </w:p>
        </w:tc>
        <w:tc>
          <w:tcPr>
            <w:tcW w:w="794" w:type="dxa"/>
          </w:tcPr>
          <w:p>
            <w:pPr/>
          </w:p>
        </w:tc>
        <w:tc>
          <w:tcPr>
            <w:tcW w:w="2551" w:type="dxa"/>
          </w:tcPr>
          <w:p>
            <w:pPr>
              <w:pStyle w:val="TableParagraph"/>
              <w:spacing w:before="3"/>
              <w:jc w:val="left"/>
              <w:rPr>
                <w:sz w:val="11"/>
              </w:rPr>
            </w:pPr>
          </w:p>
          <w:p>
            <w:pPr>
              <w:pStyle w:val="TableParagraph"/>
              <w:rPr>
                <w:rFonts w:ascii="Palatino Linotype"/>
                <w:b/>
                <w:sz w:val="12"/>
              </w:rPr>
            </w:pPr>
            <w:r>
              <w:rPr>
                <w:rFonts w:ascii="Palatino Linotype"/>
                <w:b/>
                <w:color w:val="010202"/>
                <w:w w:val="95"/>
                <w:sz w:val="12"/>
              </w:rPr>
              <w:t>Direcspicer, S.A. de C.V.</w:t>
            </w:r>
          </w:p>
        </w:tc>
        <w:tc>
          <w:tcPr>
            <w:tcW w:w="567" w:type="dxa"/>
          </w:tcPr>
          <w:p>
            <w:pPr>
              <w:pStyle w:val="TableParagraph"/>
              <w:spacing w:before="5"/>
              <w:jc w:val="left"/>
              <w:rPr>
                <w:sz w:val="12"/>
              </w:rPr>
            </w:pPr>
          </w:p>
          <w:p>
            <w:pPr>
              <w:pStyle w:val="TableParagraph"/>
              <w:rPr>
                <w:sz w:val="12"/>
              </w:rPr>
            </w:pPr>
            <w:r>
              <w:rPr>
                <w:color w:val="010202"/>
                <w:w w:val="96"/>
                <w:sz w:val="12"/>
              </w:rPr>
              <w:t>1</w:t>
            </w:r>
          </w:p>
        </w:tc>
        <w:tc>
          <w:tcPr>
            <w:tcW w:w="567" w:type="dxa"/>
          </w:tcPr>
          <w:p>
            <w:pPr>
              <w:pStyle w:val="TableParagraph"/>
              <w:spacing w:before="5"/>
              <w:jc w:val="left"/>
              <w:rPr>
                <w:sz w:val="12"/>
              </w:rPr>
            </w:pPr>
          </w:p>
          <w:p>
            <w:pPr>
              <w:pStyle w:val="TableParagraph"/>
              <w:ind w:left="244"/>
              <w:jc w:val="left"/>
              <w:rPr>
                <w:sz w:val="12"/>
              </w:rPr>
            </w:pPr>
            <w:r>
              <w:rPr>
                <w:color w:val="010202"/>
                <w:w w:val="101"/>
                <w:sz w:val="12"/>
              </w:rPr>
              <w:t>P</w:t>
            </w:r>
          </w:p>
        </w:tc>
        <w:tc>
          <w:tcPr>
            <w:tcW w:w="2381" w:type="dxa"/>
          </w:tcPr>
          <w:p>
            <w:pPr>
              <w:pStyle w:val="TableParagraph"/>
              <w:spacing w:line="132" w:lineRule="exact" w:before="84"/>
              <w:ind w:left="959" w:right="-17" w:hanging="686"/>
              <w:jc w:val="left"/>
              <w:rPr>
                <w:sz w:val="12"/>
              </w:rPr>
            </w:pPr>
            <w:r>
              <w:rPr>
                <w:color w:val="010202"/>
                <w:sz w:val="12"/>
              </w:rPr>
              <w:t>Partes y accesorios para automóviles y camiones</w:t>
            </w:r>
          </w:p>
        </w:tc>
      </w:tr>
      <w:tr>
        <w:trPr>
          <w:trHeight w:val="468" w:hRule="exact"/>
        </w:trPr>
        <w:tc>
          <w:tcPr>
            <w:tcW w:w="340" w:type="dxa"/>
          </w:tcPr>
          <w:p>
            <w:pPr>
              <w:pStyle w:val="TableParagraph"/>
              <w:spacing w:before="10"/>
              <w:jc w:val="left"/>
              <w:rPr>
                <w:sz w:val="13"/>
              </w:rPr>
            </w:pPr>
          </w:p>
          <w:p>
            <w:pPr>
              <w:pStyle w:val="TableParagraph"/>
              <w:spacing w:before="1"/>
              <w:ind w:left="46" w:right="46"/>
              <w:rPr>
                <w:sz w:val="12"/>
              </w:rPr>
            </w:pPr>
            <w:r>
              <w:rPr>
                <w:color w:val="010202"/>
                <w:sz w:val="12"/>
              </w:rPr>
              <w:t>143</w:t>
            </w:r>
          </w:p>
        </w:tc>
        <w:tc>
          <w:tcPr>
            <w:tcW w:w="794" w:type="dxa"/>
          </w:tcPr>
          <w:p>
            <w:pPr/>
          </w:p>
        </w:tc>
        <w:tc>
          <w:tcPr>
            <w:tcW w:w="2551" w:type="dxa"/>
          </w:tcPr>
          <w:p>
            <w:pPr>
              <w:pStyle w:val="TableParagraph"/>
              <w:spacing w:before="8"/>
              <w:jc w:val="left"/>
              <w:rPr>
                <w:sz w:val="12"/>
              </w:rPr>
            </w:pPr>
          </w:p>
          <w:p>
            <w:pPr>
              <w:pStyle w:val="TableParagraph"/>
              <w:rPr>
                <w:rFonts w:ascii="Palatino Linotype" w:hAnsi="Palatino Linotype"/>
                <w:b/>
                <w:sz w:val="12"/>
              </w:rPr>
            </w:pPr>
            <w:r>
              <w:rPr>
                <w:rFonts w:ascii="Palatino Linotype" w:hAnsi="Palatino Linotype"/>
                <w:b/>
                <w:color w:val="010202"/>
                <w:w w:val="95"/>
                <w:sz w:val="12"/>
              </w:rPr>
              <w:t>DuPont México, S.A. de C.V.</w:t>
            </w:r>
          </w:p>
        </w:tc>
        <w:tc>
          <w:tcPr>
            <w:tcW w:w="567" w:type="dxa"/>
          </w:tcPr>
          <w:p>
            <w:pPr>
              <w:pStyle w:val="TableParagraph"/>
              <w:spacing w:before="10"/>
              <w:jc w:val="left"/>
              <w:rPr>
                <w:sz w:val="13"/>
              </w:rPr>
            </w:pPr>
          </w:p>
          <w:p>
            <w:pPr>
              <w:pStyle w:val="TableParagraph"/>
              <w:spacing w:before="1"/>
              <w:rPr>
                <w:sz w:val="12"/>
              </w:rPr>
            </w:pPr>
            <w:r>
              <w:rPr>
                <w:color w:val="010202"/>
                <w:w w:val="96"/>
                <w:sz w:val="12"/>
              </w:rPr>
              <w:t>2</w:t>
            </w:r>
          </w:p>
        </w:tc>
        <w:tc>
          <w:tcPr>
            <w:tcW w:w="567" w:type="dxa"/>
          </w:tcPr>
          <w:p>
            <w:pPr>
              <w:pStyle w:val="TableParagraph"/>
              <w:spacing w:before="10"/>
              <w:jc w:val="left"/>
              <w:rPr>
                <w:sz w:val="13"/>
              </w:rPr>
            </w:pPr>
          </w:p>
          <w:p>
            <w:pPr>
              <w:pStyle w:val="TableParagraph"/>
              <w:spacing w:before="1"/>
              <w:ind w:left="235"/>
              <w:jc w:val="left"/>
              <w:rPr>
                <w:sz w:val="12"/>
              </w:rPr>
            </w:pPr>
            <w:r>
              <w:rPr>
                <w:color w:val="010202"/>
                <w:w w:val="99"/>
                <w:sz w:val="12"/>
              </w:rPr>
              <w:t>G</w:t>
            </w:r>
          </w:p>
        </w:tc>
        <w:tc>
          <w:tcPr>
            <w:tcW w:w="2381" w:type="dxa"/>
          </w:tcPr>
          <w:p>
            <w:pPr>
              <w:pStyle w:val="TableParagraph"/>
              <w:spacing w:line="132" w:lineRule="exact" w:before="101"/>
              <w:ind w:left="818" w:right="168" w:hanging="641"/>
              <w:jc w:val="left"/>
              <w:rPr>
                <w:sz w:val="12"/>
              </w:rPr>
            </w:pPr>
            <w:r>
              <w:rPr>
                <w:color w:val="010202"/>
                <w:sz w:val="12"/>
              </w:rPr>
              <w:t>Pintura, acabados de alto desempeño para equipo original</w:t>
            </w:r>
          </w:p>
        </w:tc>
      </w:tr>
      <w:tr>
        <w:trPr>
          <w:trHeight w:val="312" w:hRule="exact"/>
        </w:trPr>
        <w:tc>
          <w:tcPr>
            <w:tcW w:w="340" w:type="dxa"/>
          </w:tcPr>
          <w:p>
            <w:pPr>
              <w:pStyle w:val="TableParagraph"/>
              <w:spacing w:before="82"/>
              <w:ind w:left="46" w:right="46"/>
              <w:rPr>
                <w:sz w:val="12"/>
              </w:rPr>
            </w:pPr>
            <w:r>
              <w:rPr>
                <w:color w:val="010202"/>
                <w:sz w:val="12"/>
              </w:rPr>
              <w:t>144</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Duramax,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Balatas de embrague</w:t>
            </w:r>
          </w:p>
        </w:tc>
      </w:tr>
      <w:tr>
        <w:trPr>
          <w:trHeight w:val="312" w:hRule="exact"/>
        </w:trPr>
        <w:tc>
          <w:tcPr>
            <w:tcW w:w="340" w:type="dxa"/>
          </w:tcPr>
          <w:p>
            <w:pPr>
              <w:pStyle w:val="TableParagraph"/>
              <w:spacing w:before="82"/>
              <w:ind w:left="46" w:right="46"/>
              <w:rPr>
                <w:sz w:val="12"/>
              </w:rPr>
            </w:pPr>
            <w:r>
              <w:rPr>
                <w:color w:val="010202"/>
                <w:sz w:val="12"/>
              </w:rPr>
              <w:t>145</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Edwards Productos Automotrices, S.A. de C.V.</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Bujes para balero piloto</w:t>
            </w:r>
          </w:p>
        </w:tc>
      </w:tr>
      <w:tr>
        <w:trPr>
          <w:trHeight w:val="425" w:hRule="exact"/>
        </w:trPr>
        <w:tc>
          <w:tcPr>
            <w:tcW w:w="340" w:type="dxa"/>
          </w:tcPr>
          <w:p>
            <w:pPr>
              <w:pStyle w:val="TableParagraph"/>
              <w:spacing w:before="1"/>
              <w:jc w:val="left"/>
              <w:rPr>
                <w:sz w:val="12"/>
              </w:rPr>
            </w:pPr>
          </w:p>
          <w:p>
            <w:pPr>
              <w:pStyle w:val="TableParagraph"/>
              <w:ind w:left="46" w:right="46"/>
              <w:rPr>
                <w:sz w:val="12"/>
              </w:rPr>
            </w:pPr>
            <w:r>
              <w:rPr>
                <w:color w:val="010202"/>
                <w:sz w:val="12"/>
              </w:rPr>
              <w:t>146</w:t>
            </w:r>
          </w:p>
        </w:tc>
        <w:tc>
          <w:tcPr>
            <w:tcW w:w="794" w:type="dxa"/>
          </w:tcPr>
          <w:p>
            <w:pPr/>
          </w:p>
        </w:tc>
        <w:tc>
          <w:tcPr>
            <w:tcW w:w="2551" w:type="dxa"/>
          </w:tcPr>
          <w:p>
            <w:pPr>
              <w:pStyle w:val="TableParagraph"/>
              <w:spacing w:before="10"/>
              <w:jc w:val="left"/>
              <w:rPr>
                <w:sz w:val="10"/>
              </w:rPr>
            </w:pPr>
          </w:p>
          <w:p>
            <w:pPr>
              <w:pStyle w:val="TableParagraph"/>
              <w:rPr>
                <w:rFonts w:ascii="Palatino Linotype" w:hAnsi="Palatino Linotype"/>
                <w:b/>
                <w:sz w:val="12"/>
              </w:rPr>
            </w:pPr>
            <w:r>
              <w:rPr>
                <w:rFonts w:ascii="Palatino Linotype" w:hAnsi="Palatino Linotype"/>
                <w:b/>
                <w:color w:val="010202"/>
                <w:w w:val="95"/>
                <w:sz w:val="12"/>
              </w:rPr>
              <w:t>Efl lubricante de México, S.A. de C.V.</w:t>
            </w:r>
          </w:p>
        </w:tc>
        <w:tc>
          <w:tcPr>
            <w:tcW w:w="567" w:type="dxa"/>
          </w:tcPr>
          <w:p>
            <w:pPr/>
          </w:p>
        </w:tc>
        <w:tc>
          <w:tcPr>
            <w:tcW w:w="567" w:type="dxa"/>
          </w:tcPr>
          <w:p>
            <w:pPr/>
          </w:p>
        </w:tc>
        <w:tc>
          <w:tcPr>
            <w:tcW w:w="2381" w:type="dxa"/>
          </w:tcPr>
          <w:p>
            <w:pPr>
              <w:pStyle w:val="TableParagraph"/>
              <w:spacing w:line="132" w:lineRule="exact" w:before="79"/>
              <w:ind w:left="915" w:right="-17" w:hanging="829"/>
              <w:jc w:val="left"/>
              <w:rPr>
                <w:sz w:val="12"/>
              </w:rPr>
            </w:pPr>
            <w:r>
              <w:rPr>
                <w:color w:val="010202"/>
                <w:sz w:val="12"/>
              </w:rPr>
              <w:t>Aceites lubricantes, grasas lubricantes, líquido para frenos</w:t>
            </w:r>
          </w:p>
        </w:tc>
      </w:tr>
      <w:tr>
        <w:trPr>
          <w:trHeight w:val="595" w:hRule="exact"/>
        </w:trPr>
        <w:tc>
          <w:tcPr>
            <w:tcW w:w="340" w:type="dxa"/>
          </w:tcPr>
          <w:p>
            <w:pPr>
              <w:pStyle w:val="TableParagraph"/>
              <w:jc w:val="left"/>
              <w:rPr>
                <w:sz w:val="12"/>
              </w:rPr>
            </w:pPr>
          </w:p>
          <w:p>
            <w:pPr>
              <w:pStyle w:val="TableParagraph"/>
              <w:spacing w:before="86"/>
              <w:ind w:left="46" w:right="46"/>
              <w:rPr>
                <w:sz w:val="12"/>
              </w:rPr>
            </w:pPr>
            <w:r>
              <w:rPr>
                <w:color w:val="010202"/>
                <w:sz w:val="12"/>
              </w:rPr>
              <w:t>147</w:t>
            </w:r>
          </w:p>
        </w:tc>
        <w:tc>
          <w:tcPr>
            <w:tcW w:w="794" w:type="dxa"/>
          </w:tcPr>
          <w:p>
            <w:pPr/>
          </w:p>
        </w:tc>
        <w:tc>
          <w:tcPr>
            <w:tcW w:w="2551" w:type="dxa"/>
          </w:tcPr>
          <w:p>
            <w:pPr>
              <w:pStyle w:val="TableParagraph"/>
              <w:jc w:val="left"/>
              <w:rPr>
                <w:sz w:val="12"/>
              </w:rPr>
            </w:pPr>
          </w:p>
          <w:p>
            <w:pPr>
              <w:pStyle w:val="TableParagraph"/>
              <w:spacing w:before="72"/>
              <w:rPr>
                <w:rFonts w:ascii="Palatino Linotype"/>
                <w:b/>
                <w:sz w:val="12"/>
              </w:rPr>
            </w:pPr>
            <w:r>
              <w:rPr>
                <w:rFonts w:ascii="Palatino Linotype"/>
                <w:b/>
                <w:color w:val="010202"/>
                <w:w w:val="95"/>
                <w:sz w:val="12"/>
              </w:rPr>
              <w:t>Ejes Tractivos, S.A. de C.V.</w:t>
            </w:r>
          </w:p>
        </w:tc>
        <w:tc>
          <w:tcPr>
            <w:tcW w:w="567" w:type="dxa"/>
          </w:tcPr>
          <w:p>
            <w:pPr>
              <w:pStyle w:val="TableParagraph"/>
              <w:jc w:val="left"/>
              <w:rPr>
                <w:sz w:val="12"/>
              </w:rPr>
            </w:pPr>
          </w:p>
          <w:p>
            <w:pPr>
              <w:pStyle w:val="TableParagraph"/>
              <w:spacing w:before="86"/>
              <w:rPr>
                <w:sz w:val="12"/>
              </w:rPr>
            </w:pPr>
            <w:r>
              <w:rPr>
                <w:color w:val="010202"/>
                <w:w w:val="96"/>
                <w:sz w:val="12"/>
              </w:rPr>
              <w:t>1</w:t>
            </w:r>
          </w:p>
        </w:tc>
        <w:tc>
          <w:tcPr>
            <w:tcW w:w="567" w:type="dxa"/>
          </w:tcPr>
          <w:p>
            <w:pPr>
              <w:pStyle w:val="TableParagraph"/>
              <w:jc w:val="left"/>
              <w:rPr>
                <w:sz w:val="12"/>
              </w:rPr>
            </w:pPr>
          </w:p>
          <w:p>
            <w:pPr>
              <w:pStyle w:val="TableParagraph"/>
              <w:spacing w:before="86"/>
              <w:ind w:left="225"/>
              <w:jc w:val="left"/>
              <w:rPr>
                <w:sz w:val="12"/>
              </w:rPr>
            </w:pPr>
            <w:r>
              <w:rPr>
                <w:color w:val="010202"/>
                <w:w w:val="100"/>
                <w:sz w:val="12"/>
              </w:rPr>
              <w:t>M</w:t>
            </w:r>
          </w:p>
        </w:tc>
        <w:tc>
          <w:tcPr>
            <w:tcW w:w="2381" w:type="dxa"/>
          </w:tcPr>
          <w:p>
            <w:pPr>
              <w:pStyle w:val="TableParagraph"/>
              <w:spacing w:line="132" w:lineRule="exact" w:before="98"/>
              <w:ind w:left="36" w:right="34"/>
              <w:rPr>
                <w:sz w:val="12"/>
              </w:rPr>
            </w:pPr>
            <w:r>
              <w:rPr>
                <w:color w:val="010202"/>
                <w:sz w:val="12"/>
              </w:rPr>
              <w:t>Ejes-tracción traseros, ejes-tracción delanteros, porta engranes, partes para diferencial,</w:t>
            </w:r>
          </w:p>
          <w:p>
            <w:pPr>
              <w:pStyle w:val="TableParagraph"/>
              <w:spacing w:line="132" w:lineRule="exact"/>
              <w:ind w:left="106" w:right="106"/>
              <w:rPr>
                <w:sz w:val="12"/>
              </w:rPr>
            </w:pPr>
            <w:r>
              <w:rPr>
                <w:color w:val="010202"/>
                <w:sz w:val="12"/>
              </w:rPr>
              <w:t>yugo-fina</w:t>
            </w:r>
          </w:p>
        </w:tc>
      </w:tr>
      <w:tr>
        <w:trPr>
          <w:trHeight w:val="439" w:hRule="exact"/>
        </w:trPr>
        <w:tc>
          <w:tcPr>
            <w:tcW w:w="340" w:type="dxa"/>
          </w:tcPr>
          <w:p>
            <w:pPr>
              <w:pStyle w:val="TableParagraph"/>
              <w:spacing w:before="8"/>
              <w:jc w:val="left"/>
              <w:rPr>
                <w:sz w:val="12"/>
              </w:rPr>
            </w:pPr>
          </w:p>
          <w:p>
            <w:pPr>
              <w:pStyle w:val="TableParagraph"/>
              <w:ind w:left="46" w:right="46"/>
              <w:rPr>
                <w:sz w:val="12"/>
              </w:rPr>
            </w:pPr>
            <w:r>
              <w:rPr>
                <w:color w:val="010202"/>
                <w:sz w:val="12"/>
              </w:rPr>
              <w:t>148</w:t>
            </w:r>
          </w:p>
        </w:tc>
        <w:tc>
          <w:tcPr>
            <w:tcW w:w="794" w:type="dxa"/>
          </w:tcPr>
          <w:p>
            <w:pPr/>
          </w:p>
        </w:tc>
        <w:tc>
          <w:tcPr>
            <w:tcW w:w="2551" w:type="dxa"/>
          </w:tcPr>
          <w:p>
            <w:pPr>
              <w:pStyle w:val="TableParagraph"/>
              <w:spacing w:before="5"/>
              <w:jc w:val="left"/>
              <w:rPr>
                <w:sz w:val="11"/>
              </w:rPr>
            </w:pPr>
          </w:p>
          <w:p>
            <w:pPr>
              <w:pStyle w:val="TableParagraph"/>
              <w:rPr>
                <w:rFonts w:ascii="Palatino Linotype" w:hAnsi="Palatino Linotype"/>
                <w:b/>
                <w:sz w:val="12"/>
              </w:rPr>
            </w:pPr>
            <w:r>
              <w:rPr>
                <w:rFonts w:ascii="Palatino Linotype" w:hAnsi="Palatino Linotype"/>
                <w:b/>
                <w:color w:val="010202"/>
                <w:w w:val="95"/>
                <w:sz w:val="12"/>
              </w:rPr>
              <w:t>Electro Óptica, S.A. de C.V.</w:t>
            </w:r>
          </w:p>
        </w:tc>
        <w:tc>
          <w:tcPr>
            <w:tcW w:w="567" w:type="dxa"/>
          </w:tcPr>
          <w:p>
            <w:pPr>
              <w:pStyle w:val="TableParagraph"/>
              <w:spacing w:before="8"/>
              <w:jc w:val="left"/>
              <w:rPr>
                <w:sz w:val="12"/>
              </w:rPr>
            </w:pPr>
          </w:p>
          <w:p>
            <w:pPr>
              <w:pStyle w:val="TableParagraph"/>
              <w:rPr>
                <w:sz w:val="12"/>
              </w:rPr>
            </w:pPr>
            <w:r>
              <w:rPr>
                <w:color w:val="010202"/>
                <w:w w:val="96"/>
                <w:sz w:val="12"/>
              </w:rPr>
              <w:t>1</w:t>
            </w:r>
          </w:p>
        </w:tc>
        <w:tc>
          <w:tcPr>
            <w:tcW w:w="567" w:type="dxa"/>
          </w:tcPr>
          <w:p>
            <w:pPr>
              <w:pStyle w:val="TableParagraph"/>
              <w:spacing w:before="8"/>
              <w:jc w:val="left"/>
              <w:rPr>
                <w:sz w:val="12"/>
              </w:rPr>
            </w:pPr>
          </w:p>
          <w:p>
            <w:pPr>
              <w:pStyle w:val="TableParagraph"/>
              <w:ind w:right="97"/>
              <w:jc w:val="right"/>
              <w:rPr>
                <w:sz w:val="12"/>
              </w:rPr>
            </w:pPr>
            <w:r>
              <w:rPr>
                <w:color w:val="010202"/>
                <w:w w:val="99"/>
                <w:sz w:val="12"/>
              </w:rPr>
              <w:t>G</w:t>
            </w:r>
          </w:p>
        </w:tc>
        <w:tc>
          <w:tcPr>
            <w:tcW w:w="2381" w:type="dxa"/>
          </w:tcPr>
          <w:p>
            <w:pPr>
              <w:pStyle w:val="TableParagraph"/>
              <w:spacing w:line="132" w:lineRule="exact" w:before="86"/>
              <w:ind w:left="821" w:right="-17" w:hanging="753"/>
              <w:jc w:val="left"/>
              <w:rPr>
                <w:sz w:val="12"/>
              </w:rPr>
            </w:pPr>
            <w:r>
              <w:rPr>
                <w:color w:val="010202"/>
                <w:sz w:val="12"/>
              </w:rPr>
              <w:t>Frenos sist. Abs, faros, calaveras, direccionales, paneles control</w:t>
            </w:r>
          </w:p>
        </w:tc>
      </w:tr>
      <w:tr>
        <w:trPr>
          <w:trHeight w:val="333" w:hRule="exact"/>
        </w:trPr>
        <w:tc>
          <w:tcPr>
            <w:tcW w:w="340" w:type="dxa"/>
          </w:tcPr>
          <w:p>
            <w:pPr>
              <w:pStyle w:val="TableParagraph"/>
              <w:spacing w:before="93"/>
              <w:ind w:left="46" w:right="46"/>
              <w:rPr>
                <w:sz w:val="12"/>
              </w:rPr>
            </w:pPr>
            <w:r>
              <w:rPr>
                <w:color w:val="010202"/>
                <w:sz w:val="12"/>
              </w:rPr>
              <w:t>149</w:t>
            </w:r>
          </w:p>
        </w:tc>
        <w:tc>
          <w:tcPr>
            <w:tcW w:w="794" w:type="dxa"/>
          </w:tcPr>
          <w:p>
            <w:pPr/>
          </w:p>
        </w:tc>
        <w:tc>
          <w:tcPr>
            <w:tcW w:w="2551" w:type="dxa"/>
          </w:tcPr>
          <w:p>
            <w:pPr>
              <w:pStyle w:val="TableParagraph"/>
              <w:spacing w:line="132" w:lineRule="exact" w:before="33"/>
              <w:ind w:left="1067" w:right="138" w:hanging="832"/>
              <w:jc w:val="left"/>
              <w:rPr>
                <w:rFonts w:ascii="Palatino Linotype" w:hAnsi="Palatino Linotype"/>
                <w:b/>
                <w:sz w:val="12"/>
              </w:rPr>
            </w:pPr>
            <w:r>
              <w:rPr>
                <w:rFonts w:ascii="Palatino Linotype" w:hAnsi="Palatino Linotype"/>
                <w:b/>
                <w:color w:val="010202"/>
                <w:w w:val="95"/>
                <w:sz w:val="12"/>
              </w:rPr>
              <w:t>Enertec México, S. de R.L. de C.V. (Planta </w:t>
            </w:r>
            <w:r>
              <w:rPr>
                <w:rFonts w:ascii="Palatino Linotype" w:hAnsi="Palatino Linotype"/>
                <w:b/>
                <w:color w:val="010202"/>
                <w:sz w:val="12"/>
              </w:rPr>
              <w:t>México)</w:t>
            </w:r>
          </w:p>
        </w:tc>
        <w:tc>
          <w:tcPr>
            <w:tcW w:w="567" w:type="dxa"/>
          </w:tcPr>
          <w:p>
            <w:pPr>
              <w:pStyle w:val="TableParagraph"/>
              <w:spacing w:before="93"/>
              <w:ind w:left="46" w:right="46"/>
              <w:rPr>
                <w:sz w:val="12"/>
              </w:rPr>
            </w:pPr>
            <w:r>
              <w:rPr>
                <w:color w:val="010202"/>
                <w:sz w:val="12"/>
              </w:rPr>
              <w:t>1 y 2</w:t>
            </w:r>
          </w:p>
        </w:tc>
        <w:tc>
          <w:tcPr>
            <w:tcW w:w="567" w:type="dxa"/>
          </w:tcPr>
          <w:p>
            <w:pPr>
              <w:pStyle w:val="TableParagraph"/>
              <w:spacing w:before="93"/>
              <w:ind w:left="225"/>
              <w:jc w:val="left"/>
              <w:rPr>
                <w:sz w:val="12"/>
              </w:rPr>
            </w:pPr>
            <w:r>
              <w:rPr>
                <w:color w:val="010202"/>
                <w:w w:val="100"/>
                <w:sz w:val="12"/>
              </w:rPr>
              <w:t>M</w:t>
            </w:r>
          </w:p>
        </w:tc>
        <w:tc>
          <w:tcPr>
            <w:tcW w:w="2381" w:type="dxa"/>
          </w:tcPr>
          <w:p>
            <w:pPr>
              <w:pStyle w:val="TableParagraph"/>
              <w:spacing w:before="93"/>
              <w:ind w:left="106" w:right="106"/>
              <w:rPr>
                <w:sz w:val="12"/>
              </w:rPr>
            </w:pPr>
            <w:r>
              <w:rPr>
                <w:color w:val="010202"/>
                <w:sz w:val="12"/>
              </w:rPr>
              <w:t>Acumuladores y filtros</w:t>
            </w:r>
          </w:p>
        </w:tc>
      </w:tr>
      <w:tr>
        <w:trPr>
          <w:trHeight w:val="340" w:hRule="exact"/>
        </w:trPr>
        <w:tc>
          <w:tcPr>
            <w:tcW w:w="340" w:type="dxa"/>
          </w:tcPr>
          <w:p>
            <w:pPr>
              <w:pStyle w:val="TableParagraph"/>
              <w:spacing w:before="96"/>
              <w:ind w:left="46" w:right="46"/>
              <w:rPr>
                <w:sz w:val="12"/>
              </w:rPr>
            </w:pPr>
            <w:r>
              <w:rPr>
                <w:color w:val="010202"/>
                <w:sz w:val="12"/>
              </w:rPr>
              <w:t>150</w:t>
            </w:r>
          </w:p>
        </w:tc>
        <w:tc>
          <w:tcPr>
            <w:tcW w:w="794" w:type="dxa"/>
          </w:tcPr>
          <w:p>
            <w:pPr/>
          </w:p>
        </w:tc>
        <w:tc>
          <w:tcPr>
            <w:tcW w:w="2551" w:type="dxa"/>
          </w:tcPr>
          <w:p>
            <w:pPr>
              <w:pStyle w:val="TableParagraph"/>
              <w:spacing w:before="82"/>
              <w:rPr>
                <w:rFonts w:ascii="Palatino Linotype"/>
                <w:b/>
                <w:sz w:val="12"/>
              </w:rPr>
            </w:pPr>
            <w:r>
              <w:rPr>
                <w:rFonts w:ascii="Palatino Linotype"/>
                <w:b/>
                <w:color w:val="010202"/>
                <w:w w:val="90"/>
                <w:sz w:val="12"/>
              </w:rPr>
              <w:t>Estampados  automotrices</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Autopartes</w:t>
            </w:r>
          </w:p>
        </w:tc>
      </w:tr>
    </w:tbl>
    <w:p>
      <w:pPr>
        <w:spacing w:after="0"/>
        <w:rPr>
          <w:sz w:val="12"/>
        </w:rPr>
        <w:sectPr>
          <w:pgSz w:w="9640" w:h="13040"/>
          <w:pgMar w:header="580" w:footer="654" w:top="780" w:bottom="840" w:left="1200" w:right="420"/>
        </w:sectPr>
      </w:pPr>
    </w:p>
    <w:p>
      <w:pPr>
        <w:pStyle w:val="BodyText"/>
        <w:rPr>
          <w:sz w:val="20"/>
        </w:rPr>
      </w:pPr>
    </w:p>
    <w:p>
      <w:pPr>
        <w:pStyle w:val="BodyText"/>
        <w:rPr>
          <w:sz w:val="20"/>
        </w:rPr>
      </w:pPr>
    </w:p>
    <w:p>
      <w:pPr>
        <w:pStyle w:val="BodyText"/>
        <w:spacing w:before="4"/>
        <w:rPr>
          <w:sz w:val="10"/>
        </w:rPr>
      </w:pPr>
    </w:p>
    <w:tbl>
      <w:tblPr>
        <w:tblW w:w="0" w:type="auto"/>
        <w:jc w:val="left"/>
        <w:tblInd w:w="7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465" w:hRule="exact"/>
        </w:trPr>
        <w:tc>
          <w:tcPr>
            <w:tcW w:w="340" w:type="dxa"/>
          </w:tcPr>
          <w:p>
            <w:pPr>
              <w:pStyle w:val="TableParagraph"/>
              <w:spacing w:before="6"/>
              <w:jc w:val="left"/>
              <w:rPr>
                <w:sz w:val="12"/>
              </w:rPr>
            </w:pPr>
          </w:p>
          <w:p>
            <w:pPr>
              <w:pStyle w:val="TableParagraph"/>
              <w:spacing w:before="1"/>
              <w:ind w:left="46" w:right="46"/>
              <w:rPr>
                <w:rFonts w:ascii="Palatino Linotype"/>
                <w:b/>
                <w:sz w:val="12"/>
              </w:rPr>
            </w:pPr>
            <w:r>
              <w:rPr>
                <w:rFonts w:ascii="Palatino Linotype"/>
                <w:b/>
                <w:color w:val="010202"/>
                <w:sz w:val="12"/>
              </w:rPr>
              <w:t>No.</w:t>
            </w:r>
          </w:p>
        </w:tc>
        <w:tc>
          <w:tcPr>
            <w:tcW w:w="794" w:type="dxa"/>
          </w:tcPr>
          <w:p>
            <w:pPr>
              <w:pStyle w:val="TableParagraph"/>
              <w:spacing w:before="6"/>
              <w:jc w:val="left"/>
              <w:rPr>
                <w:sz w:val="12"/>
              </w:rPr>
            </w:pPr>
          </w:p>
          <w:p>
            <w:pPr>
              <w:pStyle w:val="TableParagraph"/>
              <w:spacing w:before="1"/>
              <w:ind w:left="130"/>
              <w:jc w:val="left"/>
              <w:rPr>
                <w:rFonts w:ascii="Palatino Linotype"/>
                <w:b/>
                <w:sz w:val="12"/>
              </w:rPr>
            </w:pPr>
            <w:r>
              <w:rPr>
                <w:rFonts w:ascii="Palatino Linotype"/>
                <w:b/>
                <w:color w:val="010202"/>
                <w:sz w:val="12"/>
              </w:rPr>
              <w:t>Municipio</w:t>
            </w:r>
          </w:p>
        </w:tc>
        <w:tc>
          <w:tcPr>
            <w:tcW w:w="2551" w:type="dxa"/>
          </w:tcPr>
          <w:p>
            <w:pPr>
              <w:pStyle w:val="TableParagraph"/>
              <w:spacing w:before="6"/>
              <w:jc w:val="left"/>
              <w:rPr>
                <w:sz w:val="12"/>
              </w:rPr>
            </w:pPr>
          </w:p>
          <w:p>
            <w:pPr>
              <w:pStyle w:val="TableParagraph"/>
              <w:spacing w:before="1"/>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6"/>
              <w:jc w:val="left"/>
              <w:rPr>
                <w:sz w:val="12"/>
              </w:rPr>
            </w:pPr>
          </w:p>
          <w:p>
            <w:pPr>
              <w:pStyle w:val="TableParagraph"/>
              <w:spacing w:before="1"/>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33"/>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6"/>
              <w:jc w:val="left"/>
              <w:rPr>
                <w:sz w:val="12"/>
              </w:rPr>
            </w:pPr>
          </w:p>
          <w:p>
            <w:pPr>
              <w:pStyle w:val="TableParagraph"/>
              <w:spacing w:before="1"/>
              <w:ind w:left="106" w:right="106"/>
              <w:rPr>
                <w:rFonts w:ascii="Palatino Linotype"/>
                <w:b/>
                <w:sz w:val="12"/>
              </w:rPr>
            </w:pPr>
            <w:r>
              <w:rPr>
                <w:rFonts w:ascii="Palatino Linotype"/>
                <w:b/>
                <w:color w:val="010202"/>
                <w:w w:val="90"/>
                <w:sz w:val="12"/>
              </w:rPr>
              <w:t>Principales productos</w:t>
            </w:r>
          </w:p>
        </w:tc>
      </w:tr>
      <w:tr>
        <w:trPr>
          <w:trHeight w:val="340" w:hRule="exact"/>
        </w:trPr>
        <w:tc>
          <w:tcPr>
            <w:tcW w:w="340" w:type="dxa"/>
          </w:tcPr>
          <w:p>
            <w:pPr>
              <w:pStyle w:val="TableParagraph"/>
              <w:spacing w:before="96"/>
              <w:ind w:left="46" w:right="46"/>
              <w:rPr>
                <w:sz w:val="12"/>
              </w:rPr>
            </w:pPr>
            <w:r>
              <w:rPr>
                <w:color w:val="010202"/>
                <w:sz w:val="12"/>
              </w:rPr>
              <w:t>151</w:t>
            </w:r>
          </w:p>
        </w:tc>
        <w:tc>
          <w:tcPr>
            <w:tcW w:w="794" w:type="dxa"/>
          </w:tcPr>
          <w:p>
            <w:pPr/>
          </w:p>
        </w:tc>
        <w:tc>
          <w:tcPr>
            <w:tcW w:w="2551" w:type="dxa"/>
          </w:tcPr>
          <w:p>
            <w:pPr>
              <w:pStyle w:val="TableParagraph"/>
              <w:spacing w:before="82"/>
              <w:ind w:left="817" w:right="69"/>
              <w:jc w:val="left"/>
              <w:rPr>
                <w:rFonts w:ascii="Palatino Linotype"/>
                <w:b/>
                <w:sz w:val="12"/>
              </w:rPr>
            </w:pPr>
            <w:r>
              <w:rPr>
                <w:rFonts w:ascii="Palatino Linotype"/>
                <w:b/>
                <w:color w:val="010202"/>
                <w:w w:val="95"/>
                <w:sz w:val="12"/>
              </w:rPr>
              <w:t>FDM,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Balatas</w:t>
            </w:r>
          </w:p>
        </w:tc>
      </w:tr>
      <w:tr>
        <w:trPr>
          <w:trHeight w:val="568" w:hRule="exact"/>
        </w:trPr>
        <w:tc>
          <w:tcPr>
            <w:tcW w:w="340" w:type="dxa"/>
          </w:tcPr>
          <w:p>
            <w:pPr>
              <w:pStyle w:val="TableParagraph"/>
              <w:jc w:val="left"/>
              <w:rPr>
                <w:sz w:val="12"/>
              </w:rPr>
            </w:pPr>
          </w:p>
          <w:p>
            <w:pPr>
              <w:pStyle w:val="TableParagraph"/>
              <w:spacing w:before="72"/>
              <w:ind w:left="46" w:right="46"/>
              <w:rPr>
                <w:sz w:val="12"/>
              </w:rPr>
            </w:pPr>
            <w:r>
              <w:rPr>
                <w:color w:val="010202"/>
                <w:sz w:val="12"/>
              </w:rPr>
              <w:t>152</w:t>
            </w:r>
          </w:p>
        </w:tc>
        <w:tc>
          <w:tcPr>
            <w:tcW w:w="794" w:type="dxa"/>
          </w:tcPr>
          <w:p>
            <w:pPr/>
          </w:p>
        </w:tc>
        <w:tc>
          <w:tcPr>
            <w:tcW w:w="2551" w:type="dxa"/>
          </w:tcPr>
          <w:p>
            <w:pPr>
              <w:pStyle w:val="TableParagraph"/>
              <w:spacing w:before="1"/>
              <w:jc w:val="left"/>
              <w:rPr>
                <w:sz w:val="17"/>
              </w:rPr>
            </w:pPr>
          </w:p>
          <w:p>
            <w:pPr>
              <w:pStyle w:val="TableParagraph"/>
              <w:ind w:left="621" w:right="69"/>
              <w:jc w:val="left"/>
              <w:rPr>
                <w:rFonts w:ascii="Palatino Linotype"/>
                <w:b/>
                <w:sz w:val="12"/>
              </w:rPr>
            </w:pPr>
            <w:r>
              <w:rPr>
                <w:rFonts w:ascii="Palatino Linotype"/>
                <w:b/>
                <w:color w:val="010202"/>
                <w:w w:val="95"/>
                <w:sz w:val="12"/>
              </w:rPr>
              <w:t>Filtros Mann, S.A. de C.V.</w:t>
            </w:r>
          </w:p>
        </w:tc>
        <w:tc>
          <w:tcPr>
            <w:tcW w:w="567" w:type="dxa"/>
          </w:tcPr>
          <w:p>
            <w:pPr/>
          </w:p>
        </w:tc>
        <w:tc>
          <w:tcPr>
            <w:tcW w:w="567" w:type="dxa"/>
          </w:tcPr>
          <w:p>
            <w:pPr/>
          </w:p>
        </w:tc>
        <w:tc>
          <w:tcPr>
            <w:tcW w:w="2381" w:type="dxa"/>
          </w:tcPr>
          <w:p>
            <w:pPr>
              <w:pStyle w:val="TableParagraph"/>
              <w:spacing w:line="132" w:lineRule="exact" w:before="85"/>
              <w:ind w:left="6" w:right="4"/>
              <w:rPr>
                <w:sz w:val="12"/>
              </w:rPr>
            </w:pPr>
            <w:r>
              <w:rPr>
                <w:color w:val="010202"/>
                <w:sz w:val="12"/>
              </w:rPr>
              <w:t>Filtro de aire, sistema de admisión de aire, elemento filtrante, válvulas, partes de inyección de plásticos</w:t>
            </w:r>
          </w:p>
        </w:tc>
      </w:tr>
      <w:tr>
        <w:trPr>
          <w:trHeight w:val="340" w:hRule="exact"/>
        </w:trPr>
        <w:tc>
          <w:tcPr>
            <w:tcW w:w="340" w:type="dxa"/>
          </w:tcPr>
          <w:p>
            <w:pPr>
              <w:pStyle w:val="TableParagraph"/>
              <w:spacing w:before="96"/>
              <w:ind w:left="46" w:right="46"/>
              <w:rPr>
                <w:sz w:val="12"/>
              </w:rPr>
            </w:pPr>
            <w:r>
              <w:rPr>
                <w:color w:val="010202"/>
                <w:sz w:val="12"/>
              </w:rPr>
              <w:t>153</w:t>
            </w:r>
          </w:p>
        </w:tc>
        <w:tc>
          <w:tcPr>
            <w:tcW w:w="794" w:type="dxa"/>
          </w:tcPr>
          <w:p>
            <w:pPr/>
          </w:p>
        </w:tc>
        <w:tc>
          <w:tcPr>
            <w:tcW w:w="2551" w:type="dxa"/>
          </w:tcPr>
          <w:p>
            <w:pPr>
              <w:pStyle w:val="TableParagraph"/>
              <w:spacing w:before="82"/>
              <w:ind w:left="595" w:right="69"/>
              <w:jc w:val="left"/>
              <w:rPr>
                <w:rFonts w:ascii="Palatino Linotype"/>
                <w:b/>
                <w:sz w:val="12"/>
              </w:rPr>
            </w:pPr>
            <w:r>
              <w:rPr>
                <w:rFonts w:ascii="Palatino Linotype"/>
                <w:b/>
                <w:color w:val="010202"/>
                <w:w w:val="90"/>
                <w:sz w:val="12"/>
              </w:rPr>
              <w:t>ForboSiegling,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Bandas de transporte</w:t>
            </w:r>
          </w:p>
        </w:tc>
      </w:tr>
      <w:tr>
        <w:trPr>
          <w:trHeight w:val="454" w:hRule="exact"/>
        </w:trPr>
        <w:tc>
          <w:tcPr>
            <w:tcW w:w="340" w:type="dxa"/>
          </w:tcPr>
          <w:p>
            <w:pPr>
              <w:pStyle w:val="TableParagraph"/>
              <w:spacing w:before="3"/>
              <w:jc w:val="left"/>
              <w:rPr>
                <w:sz w:val="13"/>
              </w:rPr>
            </w:pPr>
          </w:p>
          <w:p>
            <w:pPr>
              <w:pStyle w:val="TableParagraph"/>
              <w:ind w:left="46" w:right="46"/>
              <w:rPr>
                <w:sz w:val="12"/>
              </w:rPr>
            </w:pPr>
            <w:r>
              <w:rPr>
                <w:color w:val="010202"/>
                <w:sz w:val="12"/>
              </w:rPr>
              <w:t>154</w:t>
            </w:r>
          </w:p>
        </w:tc>
        <w:tc>
          <w:tcPr>
            <w:tcW w:w="794" w:type="dxa"/>
          </w:tcPr>
          <w:p>
            <w:pPr/>
          </w:p>
        </w:tc>
        <w:tc>
          <w:tcPr>
            <w:tcW w:w="2551" w:type="dxa"/>
          </w:tcPr>
          <w:p>
            <w:pPr>
              <w:pStyle w:val="TableParagraph"/>
              <w:spacing w:before="1"/>
              <w:jc w:val="left"/>
              <w:rPr>
                <w:sz w:val="12"/>
              </w:rPr>
            </w:pPr>
          </w:p>
          <w:p>
            <w:pPr>
              <w:pStyle w:val="TableParagraph"/>
              <w:ind w:left="138"/>
              <w:jc w:val="left"/>
              <w:rPr>
                <w:rFonts w:ascii="Palatino Linotype" w:hAnsi="Palatino Linotype"/>
                <w:b/>
                <w:sz w:val="12"/>
              </w:rPr>
            </w:pPr>
            <w:r>
              <w:rPr>
                <w:rFonts w:ascii="Palatino Linotype" w:hAnsi="Palatino Linotype"/>
                <w:b/>
                <w:color w:val="010202"/>
                <w:w w:val="95"/>
                <w:sz w:val="12"/>
              </w:rPr>
              <w:t>Frenos hidraúlicos automotrices, S.A. de C.V.</w:t>
            </w:r>
          </w:p>
        </w:tc>
        <w:tc>
          <w:tcPr>
            <w:tcW w:w="567" w:type="dxa"/>
          </w:tcPr>
          <w:p>
            <w:pPr/>
          </w:p>
        </w:tc>
        <w:tc>
          <w:tcPr>
            <w:tcW w:w="567" w:type="dxa"/>
          </w:tcPr>
          <w:p>
            <w:pPr/>
          </w:p>
        </w:tc>
        <w:tc>
          <w:tcPr>
            <w:tcW w:w="2381" w:type="dxa"/>
          </w:tcPr>
          <w:p>
            <w:pPr>
              <w:pStyle w:val="TableParagraph"/>
              <w:spacing w:line="132" w:lineRule="exact" w:before="93"/>
              <w:ind w:left="202" w:right="-17" w:firstLine="149"/>
              <w:jc w:val="left"/>
              <w:rPr>
                <w:sz w:val="12"/>
              </w:rPr>
            </w:pPr>
            <w:r>
              <w:rPr>
                <w:color w:val="010202"/>
                <w:sz w:val="12"/>
              </w:rPr>
              <w:t>Fabricación de líquido para frenos, anticongelante, mangueras de frenos, etc.</w:t>
            </w:r>
          </w:p>
        </w:tc>
      </w:tr>
      <w:tr>
        <w:trPr>
          <w:trHeight w:val="437" w:hRule="exact"/>
        </w:trPr>
        <w:tc>
          <w:tcPr>
            <w:tcW w:w="340" w:type="dxa"/>
          </w:tcPr>
          <w:p>
            <w:pPr>
              <w:pStyle w:val="TableParagraph"/>
              <w:spacing w:before="6"/>
              <w:jc w:val="left"/>
              <w:rPr>
                <w:sz w:val="12"/>
              </w:rPr>
            </w:pPr>
          </w:p>
          <w:p>
            <w:pPr>
              <w:pStyle w:val="TableParagraph"/>
              <w:ind w:left="46" w:right="46"/>
              <w:rPr>
                <w:sz w:val="12"/>
              </w:rPr>
            </w:pPr>
            <w:r>
              <w:rPr>
                <w:color w:val="010202"/>
                <w:sz w:val="12"/>
              </w:rPr>
              <w:t>155</w:t>
            </w:r>
          </w:p>
        </w:tc>
        <w:tc>
          <w:tcPr>
            <w:tcW w:w="794" w:type="dxa"/>
          </w:tcPr>
          <w:p>
            <w:pPr/>
          </w:p>
        </w:tc>
        <w:tc>
          <w:tcPr>
            <w:tcW w:w="2551" w:type="dxa"/>
          </w:tcPr>
          <w:p>
            <w:pPr>
              <w:pStyle w:val="TableParagraph"/>
              <w:spacing w:before="4"/>
              <w:jc w:val="left"/>
              <w:rPr>
                <w:sz w:val="11"/>
              </w:rPr>
            </w:pPr>
          </w:p>
          <w:p>
            <w:pPr>
              <w:pStyle w:val="TableParagraph"/>
              <w:ind w:left="494" w:right="69"/>
              <w:jc w:val="left"/>
              <w:rPr>
                <w:rFonts w:ascii="Palatino Linotype" w:hAnsi="Palatino Linotype"/>
                <w:b/>
                <w:sz w:val="12"/>
              </w:rPr>
            </w:pPr>
            <w:r>
              <w:rPr>
                <w:rFonts w:ascii="Palatino Linotype" w:hAnsi="Palatino Linotype"/>
                <w:b/>
                <w:color w:val="010202"/>
                <w:w w:val="95"/>
                <w:sz w:val="12"/>
              </w:rPr>
              <w:t>Gabriel de México, S.A. de C.V.</w:t>
            </w:r>
          </w:p>
        </w:tc>
        <w:tc>
          <w:tcPr>
            <w:tcW w:w="567" w:type="dxa"/>
          </w:tcPr>
          <w:p>
            <w:pPr>
              <w:pStyle w:val="TableParagraph"/>
              <w:spacing w:before="6"/>
              <w:jc w:val="left"/>
              <w:rPr>
                <w:sz w:val="12"/>
              </w:rPr>
            </w:pPr>
          </w:p>
          <w:p>
            <w:pPr>
              <w:pStyle w:val="TableParagraph"/>
              <w:ind w:left="46" w:right="46"/>
              <w:rPr>
                <w:sz w:val="12"/>
              </w:rPr>
            </w:pPr>
            <w:r>
              <w:rPr>
                <w:color w:val="010202"/>
                <w:sz w:val="12"/>
              </w:rPr>
              <w:t>1 y 2</w:t>
            </w:r>
          </w:p>
        </w:tc>
        <w:tc>
          <w:tcPr>
            <w:tcW w:w="567" w:type="dxa"/>
          </w:tcPr>
          <w:p>
            <w:pPr>
              <w:pStyle w:val="TableParagraph"/>
              <w:spacing w:before="6"/>
              <w:jc w:val="left"/>
              <w:rPr>
                <w:sz w:val="12"/>
              </w:rPr>
            </w:pPr>
          </w:p>
          <w:p>
            <w:pPr>
              <w:pStyle w:val="TableParagraph"/>
              <w:rPr>
                <w:sz w:val="12"/>
              </w:rPr>
            </w:pPr>
            <w:r>
              <w:rPr>
                <w:color w:val="010202"/>
                <w:w w:val="100"/>
                <w:sz w:val="12"/>
              </w:rPr>
              <w:t>M</w:t>
            </w:r>
          </w:p>
        </w:tc>
        <w:tc>
          <w:tcPr>
            <w:tcW w:w="2381" w:type="dxa"/>
          </w:tcPr>
          <w:p>
            <w:pPr>
              <w:pStyle w:val="TableParagraph"/>
              <w:spacing w:line="132" w:lineRule="exact" w:before="85"/>
              <w:ind w:left="494" w:right="-17" w:hanging="355"/>
              <w:jc w:val="left"/>
              <w:rPr>
                <w:sz w:val="12"/>
              </w:rPr>
            </w:pPr>
            <w:r>
              <w:rPr>
                <w:color w:val="010202"/>
                <w:sz w:val="12"/>
              </w:rPr>
              <w:t>Fabricación de amortiguadores y accesorios para automóviles y camiones</w:t>
            </w:r>
          </w:p>
        </w:tc>
      </w:tr>
      <w:tr>
        <w:trPr>
          <w:trHeight w:val="340" w:hRule="exact"/>
        </w:trPr>
        <w:tc>
          <w:tcPr>
            <w:tcW w:w="340" w:type="dxa"/>
          </w:tcPr>
          <w:p>
            <w:pPr>
              <w:pStyle w:val="TableParagraph"/>
              <w:spacing w:before="96"/>
              <w:ind w:left="46" w:right="46"/>
              <w:rPr>
                <w:sz w:val="12"/>
              </w:rPr>
            </w:pPr>
            <w:r>
              <w:rPr>
                <w:color w:val="010202"/>
                <w:sz w:val="12"/>
              </w:rPr>
              <w:t>156</w:t>
            </w:r>
          </w:p>
        </w:tc>
        <w:tc>
          <w:tcPr>
            <w:tcW w:w="794" w:type="dxa"/>
          </w:tcPr>
          <w:p>
            <w:pPr/>
          </w:p>
        </w:tc>
        <w:tc>
          <w:tcPr>
            <w:tcW w:w="2551" w:type="dxa"/>
          </w:tcPr>
          <w:p>
            <w:pPr>
              <w:pStyle w:val="TableParagraph"/>
              <w:spacing w:before="82"/>
              <w:ind w:left="548" w:right="69"/>
              <w:jc w:val="left"/>
              <w:rPr>
                <w:rFonts w:ascii="Palatino Linotype" w:hAnsi="Palatino Linotype"/>
                <w:b/>
                <w:sz w:val="12"/>
              </w:rPr>
            </w:pPr>
            <w:r>
              <w:rPr>
                <w:rFonts w:ascii="Palatino Linotype" w:hAnsi="Palatino Linotype"/>
                <w:b/>
                <w:color w:val="010202"/>
                <w:w w:val="95"/>
                <w:sz w:val="12"/>
              </w:rPr>
              <w:t>Gates de México, S.A. de C.V</w:t>
            </w:r>
          </w:p>
        </w:tc>
        <w:tc>
          <w:tcPr>
            <w:tcW w:w="567" w:type="dxa"/>
          </w:tcPr>
          <w:p>
            <w:pPr>
              <w:pStyle w:val="TableParagraph"/>
              <w:spacing w:before="96"/>
              <w:ind w:left="46" w:right="46"/>
              <w:rPr>
                <w:sz w:val="12"/>
              </w:rPr>
            </w:pPr>
            <w:r>
              <w:rPr>
                <w:color w:val="010202"/>
                <w:sz w:val="12"/>
              </w:rPr>
              <w:t>1y2</w:t>
            </w:r>
          </w:p>
        </w:tc>
        <w:tc>
          <w:tcPr>
            <w:tcW w:w="567" w:type="dxa"/>
          </w:tcPr>
          <w:p>
            <w:pPr>
              <w:pStyle w:val="TableParagraph"/>
              <w:spacing w:before="96"/>
              <w:rPr>
                <w:sz w:val="12"/>
              </w:rPr>
            </w:pPr>
            <w:r>
              <w:rPr>
                <w:color w:val="010202"/>
                <w:w w:val="99"/>
                <w:sz w:val="12"/>
              </w:rPr>
              <w:t>G</w:t>
            </w:r>
          </w:p>
        </w:tc>
        <w:tc>
          <w:tcPr>
            <w:tcW w:w="2381" w:type="dxa"/>
          </w:tcPr>
          <w:p>
            <w:pPr>
              <w:pStyle w:val="TableParagraph"/>
              <w:spacing w:before="96"/>
              <w:ind w:left="106" w:right="106"/>
              <w:rPr>
                <w:sz w:val="12"/>
              </w:rPr>
            </w:pPr>
            <w:r>
              <w:rPr>
                <w:color w:val="010202"/>
                <w:sz w:val="12"/>
              </w:rPr>
              <w:t>Bandas y abrazaderas para camión</w:t>
            </w:r>
          </w:p>
        </w:tc>
      </w:tr>
      <w:tr>
        <w:trPr>
          <w:trHeight w:val="340" w:hRule="exact"/>
        </w:trPr>
        <w:tc>
          <w:tcPr>
            <w:tcW w:w="340" w:type="dxa"/>
          </w:tcPr>
          <w:p>
            <w:pPr>
              <w:pStyle w:val="TableParagraph"/>
              <w:spacing w:before="96"/>
              <w:ind w:left="46" w:right="46"/>
              <w:rPr>
                <w:sz w:val="12"/>
              </w:rPr>
            </w:pPr>
            <w:r>
              <w:rPr>
                <w:color w:val="010202"/>
                <w:sz w:val="12"/>
              </w:rPr>
              <w:t>157</w:t>
            </w:r>
          </w:p>
        </w:tc>
        <w:tc>
          <w:tcPr>
            <w:tcW w:w="794" w:type="dxa"/>
          </w:tcPr>
          <w:p>
            <w:pPr/>
          </w:p>
        </w:tc>
        <w:tc>
          <w:tcPr>
            <w:tcW w:w="2551" w:type="dxa"/>
          </w:tcPr>
          <w:p>
            <w:pPr>
              <w:pStyle w:val="TableParagraph"/>
              <w:spacing w:before="82"/>
              <w:ind w:left="150"/>
              <w:jc w:val="left"/>
              <w:rPr>
                <w:rFonts w:ascii="Palatino Linotype" w:hAnsi="Palatino Linotype"/>
                <w:b/>
                <w:sz w:val="12"/>
              </w:rPr>
            </w:pPr>
            <w:r>
              <w:rPr>
                <w:rFonts w:ascii="Palatino Linotype" w:hAnsi="Palatino Linotype"/>
                <w:b/>
                <w:color w:val="010202"/>
                <w:w w:val="95"/>
                <w:sz w:val="12"/>
              </w:rPr>
              <w:t>Gergonne Plásticos Industriales,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Adhesivos, aislantes térmicos y otros</w:t>
            </w:r>
          </w:p>
        </w:tc>
      </w:tr>
      <w:tr>
        <w:trPr>
          <w:trHeight w:val="340" w:hRule="exact"/>
        </w:trPr>
        <w:tc>
          <w:tcPr>
            <w:tcW w:w="340" w:type="dxa"/>
          </w:tcPr>
          <w:p>
            <w:pPr>
              <w:pStyle w:val="TableParagraph"/>
              <w:spacing w:before="96"/>
              <w:ind w:left="46" w:right="46"/>
              <w:rPr>
                <w:sz w:val="12"/>
              </w:rPr>
            </w:pPr>
            <w:r>
              <w:rPr>
                <w:color w:val="010202"/>
                <w:sz w:val="12"/>
              </w:rPr>
              <w:t>158</w:t>
            </w:r>
          </w:p>
        </w:tc>
        <w:tc>
          <w:tcPr>
            <w:tcW w:w="794" w:type="dxa"/>
          </w:tcPr>
          <w:p>
            <w:pPr/>
          </w:p>
        </w:tc>
        <w:tc>
          <w:tcPr>
            <w:tcW w:w="2551" w:type="dxa"/>
          </w:tcPr>
          <w:p>
            <w:pPr>
              <w:pStyle w:val="TableParagraph"/>
              <w:spacing w:before="82"/>
              <w:ind w:left="744" w:right="69"/>
              <w:jc w:val="left"/>
              <w:rPr>
                <w:rFonts w:ascii="Palatino Linotype"/>
                <w:b/>
                <w:sz w:val="12"/>
              </w:rPr>
            </w:pPr>
            <w:r>
              <w:rPr>
                <w:rFonts w:ascii="Palatino Linotype"/>
                <w:b/>
                <w:color w:val="010202"/>
                <w:w w:val="95"/>
                <w:sz w:val="12"/>
              </w:rPr>
              <w:t>Gleason, S.A. de C.V.</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Fabricación de autopartes</w:t>
            </w:r>
          </w:p>
        </w:tc>
      </w:tr>
      <w:tr>
        <w:trPr>
          <w:trHeight w:val="437" w:hRule="exact"/>
        </w:trPr>
        <w:tc>
          <w:tcPr>
            <w:tcW w:w="340" w:type="dxa"/>
          </w:tcPr>
          <w:p>
            <w:pPr>
              <w:pStyle w:val="TableParagraph"/>
              <w:spacing w:before="6"/>
              <w:jc w:val="left"/>
              <w:rPr>
                <w:sz w:val="12"/>
              </w:rPr>
            </w:pPr>
          </w:p>
          <w:p>
            <w:pPr>
              <w:pStyle w:val="TableParagraph"/>
              <w:spacing w:before="1"/>
              <w:ind w:left="46" w:right="46"/>
              <w:rPr>
                <w:sz w:val="12"/>
              </w:rPr>
            </w:pPr>
            <w:r>
              <w:rPr>
                <w:color w:val="010202"/>
                <w:sz w:val="12"/>
              </w:rPr>
              <w:t>159</w:t>
            </w:r>
          </w:p>
        </w:tc>
        <w:tc>
          <w:tcPr>
            <w:tcW w:w="794" w:type="dxa"/>
          </w:tcPr>
          <w:p>
            <w:pPr/>
          </w:p>
        </w:tc>
        <w:tc>
          <w:tcPr>
            <w:tcW w:w="2551" w:type="dxa"/>
          </w:tcPr>
          <w:p>
            <w:pPr>
              <w:pStyle w:val="TableParagraph"/>
              <w:spacing w:before="4"/>
              <w:jc w:val="left"/>
              <w:rPr>
                <w:sz w:val="11"/>
              </w:rPr>
            </w:pPr>
          </w:p>
          <w:p>
            <w:pPr>
              <w:pStyle w:val="TableParagraph"/>
              <w:ind w:left="489" w:right="69"/>
              <w:jc w:val="left"/>
              <w:rPr>
                <w:rFonts w:ascii="Palatino Linotype" w:hAnsi="Palatino Linotype"/>
                <w:b/>
                <w:sz w:val="12"/>
              </w:rPr>
            </w:pPr>
            <w:r>
              <w:rPr>
                <w:rFonts w:ascii="Palatino Linotype" w:hAnsi="Palatino Linotype"/>
                <w:b/>
                <w:color w:val="010202"/>
                <w:w w:val="95"/>
                <w:sz w:val="12"/>
              </w:rPr>
              <w:t>Gonher de México, S.A. de C.V.</w:t>
            </w:r>
          </w:p>
        </w:tc>
        <w:tc>
          <w:tcPr>
            <w:tcW w:w="567" w:type="dxa"/>
          </w:tcPr>
          <w:p>
            <w:pPr/>
          </w:p>
        </w:tc>
        <w:tc>
          <w:tcPr>
            <w:tcW w:w="567" w:type="dxa"/>
          </w:tcPr>
          <w:p>
            <w:pPr/>
          </w:p>
        </w:tc>
        <w:tc>
          <w:tcPr>
            <w:tcW w:w="2381" w:type="dxa"/>
          </w:tcPr>
          <w:p>
            <w:pPr>
              <w:pStyle w:val="TableParagraph"/>
              <w:spacing w:line="132" w:lineRule="exact" w:before="85"/>
              <w:ind w:left="837" w:right="-17" w:hanging="754"/>
              <w:jc w:val="left"/>
              <w:rPr>
                <w:sz w:val="12"/>
              </w:rPr>
            </w:pPr>
            <w:r>
              <w:rPr>
                <w:color w:val="010202"/>
                <w:sz w:val="12"/>
              </w:rPr>
              <w:t>Combustible, aire y agua para uso automotriz, equipo pesado</w:t>
            </w:r>
          </w:p>
        </w:tc>
      </w:tr>
      <w:tr>
        <w:trPr>
          <w:trHeight w:val="340" w:hRule="exact"/>
        </w:trPr>
        <w:tc>
          <w:tcPr>
            <w:tcW w:w="340" w:type="dxa"/>
          </w:tcPr>
          <w:p>
            <w:pPr>
              <w:pStyle w:val="TableParagraph"/>
              <w:spacing w:before="96"/>
              <w:ind w:left="46" w:right="46"/>
              <w:rPr>
                <w:sz w:val="12"/>
              </w:rPr>
            </w:pPr>
            <w:r>
              <w:rPr>
                <w:color w:val="010202"/>
                <w:sz w:val="12"/>
              </w:rPr>
              <w:t>160</w:t>
            </w:r>
          </w:p>
        </w:tc>
        <w:tc>
          <w:tcPr>
            <w:tcW w:w="794" w:type="dxa"/>
          </w:tcPr>
          <w:p>
            <w:pPr/>
          </w:p>
        </w:tc>
        <w:tc>
          <w:tcPr>
            <w:tcW w:w="2551" w:type="dxa"/>
          </w:tcPr>
          <w:p>
            <w:pPr>
              <w:pStyle w:val="TableParagraph"/>
              <w:spacing w:before="82"/>
              <w:ind w:left="770" w:right="69"/>
              <w:jc w:val="left"/>
              <w:rPr>
                <w:rFonts w:ascii="Palatino Linotype"/>
                <w:b/>
                <w:sz w:val="12"/>
              </w:rPr>
            </w:pPr>
            <w:r>
              <w:rPr>
                <w:rFonts w:ascii="Palatino Linotype"/>
                <w:b/>
                <w:color w:val="010202"/>
                <w:w w:val="95"/>
                <w:sz w:val="12"/>
              </w:rPr>
              <w:t>Grauto,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Grases y aceites lubricantes</w:t>
            </w:r>
          </w:p>
        </w:tc>
      </w:tr>
      <w:tr>
        <w:trPr>
          <w:trHeight w:val="340" w:hRule="exact"/>
        </w:trPr>
        <w:tc>
          <w:tcPr>
            <w:tcW w:w="340" w:type="dxa"/>
          </w:tcPr>
          <w:p>
            <w:pPr>
              <w:pStyle w:val="TableParagraph"/>
              <w:spacing w:before="96"/>
              <w:ind w:left="46" w:right="46"/>
              <w:rPr>
                <w:sz w:val="12"/>
              </w:rPr>
            </w:pPr>
            <w:r>
              <w:rPr>
                <w:color w:val="010202"/>
                <w:sz w:val="12"/>
              </w:rPr>
              <w:t>161</w:t>
            </w:r>
          </w:p>
        </w:tc>
        <w:tc>
          <w:tcPr>
            <w:tcW w:w="794" w:type="dxa"/>
          </w:tcPr>
          <w:p>
            <w:pPr/>
          </w:p>
        </w:tc>
        <w:tc>
          <w:tcPr>
            <w:tcW w:w="2551" w:type="dxa"/>
          </w:tcPr>
          <w:p>
            <w:pPr>
              <w:pStyle w:val="TableParagraph"/>
              <w:spacing w:before="82"/>
              <w:ind w:left="666" w:right="69"/>
              <w:jc w:val="left"/>
              <w:rPr>
                <w:rFonts w:ascii="Palatino Linotype"/>
                <w:b/>
                <w:sz w:val="12"/>
              </w:rPr>
            </w:pPr>
            <w:r>
              <w:rPr>
                <w:rFonts w:ascii="Palatino Linotype"/>
                <w:b/>
                <w:color w:val="010202"/>
                <w:w w:val="95"/>
                <w:sz w:val="12"/>
              </w:rPr>
              <w:t>Grupo CEA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99"/>
                <w:sz w:val="12"/>
              </w:rPr>
              <w:t>G</w:t>
            </w:r>
          </w:p>
        </w:tc>
        <w:tc>
          <w:tcPr>
            <w:tcW w:w="2381" w:type="dxa"/>
          </w:tcPr>
          <w:p>
            <w:pPr>
              <w:pStyle w:val="TableParagraph"/>
              <w:spacing w:before="96"/>
              <w:ind w:left="106" w:right="106"/>
              <w:rPr>
                <w:sz w:val="12"/>
              </w:rPr>
            </w:pPr>
            <w:r>
              <w:rPr>
                <w:color w:val="010202"/>
                <w:sz w:val="12"/>
              </w:rPr>
              <w:t>Reductores e incrementadores de velocidad</w:t>
            </w:r>
          </w:p>
        </w:tc>
      </w:tr>
      <w:tr>
        <w:trPr>
          <w:trHeight w:val="340" w:hRule="exact"/>
        </w:trPr>
        <w:tc>
          <w:tcPr>
            <w:tcW w:w="340" w:type="dxa"/>
          </w:tcPr>
          <w:p>
            <w:pPr>
              <w:pStyle w:val="TableParagraph"/>
              <w:spacing w:before="96"/>
              <w:ind w:left="46" w:right="46"/>
              <w:rPr>
                <w:sz w:val="12"/>
              </w:rPr>
            </w:pPr>
            <w:r>
              <w:rPr>
                <w:color w:val="010202"/>
                <w:sz w:val="12"/>
              </w:rPr>
              <w:t>162</w:t>
            </w:r>
          </w:p>
        </w:tc>
        <w:tc>
          <w:tcPr>
            <w:tcW w:w="794" w:type="dxa"/>
          </w:tcPr>
          <w:p>
            <w:pPr/>
          </w:p>
        </w:tc>
        <w:tc>
          <w:tcPr>
            <w:tcW w:w="2551" w:type="dxa"/>
          </w:tcPr>
          <w:p>
            <w:pPr>
              <w:pStyle w:val="TableParagraph"/>
              <w:spacing w:before="82"/>
              <w:ind w:left="197" w:right="69"/>
              <w:jc w:val="left"/>
              <w:rPr>
                <w:rFonts w:ascii="Palatino Linotype" w:hAnsi="Palatino Linotype"/>
                <w:b/>
                <w:sz w:val="12"/>
              </w:rPr>
            </w:pPr>
            <w:r>
              <w:rPr>
                <w:rFonts w:ascii="Palatino Linotype" w:hAnsi="Palatino Linotype"/>
                <w:b/>
                <w:color w:val="010202"/>
                <w:w w:val="95"/>
                <w:sz w:val="12"/>
              </w:rPr>
              <w:t>Grupo Hemex, S.A. de C.V. (electro óptica)</w:t>
            </w:r>
          </w:p>
        </w:tc>
        <w:tc>
          <w:tcPr>
            <w:tcW w:w="567" w:type="dxa"/>
          </w:tcPr>
          <w:p>
            <w:pPr/>
          </w:p>
        </w:tc>
        <w:tc>
          <w:tcPr>
            <w:tcW w:w="567" w:type="dxa"/>
          </w:tcPr>
          <w:p>
            <w:pPr/>
          </w:p>
        </w:tc>
        <w:tc>
          <w:tcPr>
            <w:tcW w:w="2381" w:type="dxa"/>
          </w:tcPr>
          <w:p>
            <w:pPr>
              <w:pStyle w:val="TableParagraph"/>
              <w:spacing w:before="96"/>
              <w:ind w:left="6" w:right="6"/>
              <w:rPr>
                <w:sz w:val="12"/>
              </w:rPr>
            </w:pPr>
            <w:r>
              <w:rPr>
                <w:color w:val="010202"/>
                <w:sz w:val="12"/>
              </w:rPr>
              <w:t>Biseles, espejos, calaveras, cerraduras de claxon</w:t>
            </w:r>
          </w:p>
        </w:tc>
      </w:tr>
      <w:tr>
        <w:trPr>
          <w:trHeight w:val="340" w:hRule="exact"/>
        </w:trPr>
        <w:tc>
          <w:tcPr>
            <w:tcW w:w="340" w:type="dxa"/>
          </w:tcPr>
          <w:p>
            <w:pPr>
              <w:pStyle w:val="TableParagraph"/>
              <w:spacing w:before="96"/>
              <w:ind w:left="46" w:right="46"/>
              <w:rPr>
                <w:sz w:val="12"/>
              </w:rPr>
            </w:pPr>
            <w:r>
              <w:rPr>
                <w:color w:val="010202"/>
                <w:sz w:val="12"/>
              </w:rPr>
              <w:t>163</w:t>
            </w:r>
          </w:p>
        </w:tc>
        <w:tc>
          <w:tcPr>
            <w:tcW w:w="794" w:type="dxa"/>
          </w:tcPr>
          <w:p>
            <w:pPr/>
          </w:p>
        </w:tc>
        <w:tc>
          <w:tcPr>
            <w:tcW w:w="2551" w:type="dxa"/>
          </w:tcPr>
          <w:p>
            <w:pPr>
              <w:pStyle w:val="TableParagraph"/>
              <w:spacing w:before="82"/>
              <w:ind w:left="273" w:right="69"/>
              <w:jc w:val="left"/>
              <w:rPr>
                <w:rFonts w:ascii="Palatino Linotype"/>
                <w:b/>
                <w:sz w:val="12"/>
              </w:rPr>
            </w:pPr>
            <w:r>
              <w:rPr>
                <w:rFonts w:ascii="Palatino Linotype"/>
                <w:b/>
                <w:color w:val="010202"/>
                <w:w w:val="95"/>
                <w:sz w:val="12"/>
              </w:rPr>
              <w:t>Hayes Wheeles, S.A. de C.V. (gpo. Unik)</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Rines-acero</w:t>
            </w:r>
          </w:p>
        </w:tc>
      </w:tr>
      <w:tr>
        <w:trPr>
          <w:trHeight w:val="340" w:hRule="exact"/>
        </w:trPr>
        <w:tc>
          <w:tcPr>
            <w:tcW w:w="340" w:type="dxa"/>
          </w:tcPr>
          <w:p>
            <w:pPr>
              <w:pStyle w:val="TableParagraph"/>
              <w:spacing w:before="96"/>
              <w:ind w:left="46" w:right="46"/>
              <w:rPr>
                <w:sz w:val="12"/>
              </w:rPr>
            </w:pPr>
            <w:r>
              <w:rPr>
                <w:color w:val="010202"/>
                <w:sz w:val="12"/>
              </w:rPr>
              <w:t>164</w:t>
            </w:r>
          </w:p>
        </w:tc>
        <w:tc>
          <w:tcPr>
            <w:tcW w:w="794" w:type="dxa"/>
          </w:tcPr>
          <w:p>
            <w:pPr/>
          </w:p>
        </w:tc>
        <w:tc>
          <w:tcPr>
            <w:tcW w:w="2551" w:type="dxa"/>
          </w:tcPr>
          <w:p>
            <w:pPr>
              <w:pStyle w:val="TableParagraph"/>
              <w:spacing w:before="83"/>
              <w:ind w:left="94"/>
              <w:jc w:val="left"/>
              <w:rPr>
                <w:rFonts w:ascii="Palatino Linotype" w:hAnsi="Palatino Linotype"/>
                <w:b/>
                <w:sz w:val="12"/>
              </w:rPr>
            </w:pPr>
            <w:r>
              <w:rPr>
                <w:rFonts w:ascii="Palatino Linotype" w:hAnsi="Palatino Linotype"/>
                <w:b/>
                <w:color w:val="010202"/>
                <w:w w:val="95"/>
                <w:sz w:val="12"/>
              </w:rPr>
              <w:t>Hella Centro Corporativo México, S.A. de C.V.</w:t>
            </w:r>
          </w:p>
        </w:tc>
        <w:tc>
          <w:tcPr>
            <w:tcW w:w="567" w:type="dxa"/>
          </w:tcPr>
          <w:p>
            <w:pPr>
              <w:pStyle w:val="TableParagraph"/>
              <w:spacing w:before="96"/>
              <w:rPr>
                <w:sz w:val="12"/>
              </w:rPr>
            </w:pPr>
            <w:r>
              <w:rPr>
                <w:color w:val="010202"/>
                <w:w w:val="96"/>
                <w:sz w:val="12"/>
              </w:rPr>
              <w:t>1</w:t>
            </w:r>
          </w:p>
        </w:tc>
        <w:tc>
          <w:tcPr>
            <w:tcW w:w="567" w:type="dxa"/>
          </w:tcPr>
          <w:p>
            <w:pPr>
              <w:pStyle w:val="TableParagraph"/>
              <w:spacing w:before="96"/>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Componentes eléctricos y electrónicos</w:t>
            </w:r>
          </w:p>
        </w:tc>
      </w:tr>
      <w:tr>
        <w:trPr>
          <w:trHeight w:val="425" w:hRule="exact"/>
        </w:trPr>
        <w:tc>
          <w:tcPr>
            <w:tcW w:w="340" w:type="dxa"/>
          </w:tcPr>
          <w:p>
            <w:pPr>
              <w:pStyle w:val="TableParagraph"/>
              <w:spacing w:before="1"/>
              <w:jc w:val="left"/>
              <w:rPr>
                <w:sz w:val="12"/>
              </w:rPr>
            </w:pPr>
          </w:p>
          <w:p>
            <w:pPr>
              <w:pStyle w:val="TableParagraph"/>
              <w:ind w:left="46" w:right="46"/>
              <w:rPr>
                <w:sz w:val="12"/>
              </w:rPr>
            </w:pPr>
            <w:r>
              <w:rPr>
                <w:color w:val="010202"/>
                <w:sz w:val="12"/>
              </w:rPr>
              <w:t>165</w:t>
            </w:r>
          </w:p>
        </w:tc>
        <w:tc>
          <w:tcPr>
            <w:tcW w:w="794" w:type="dxa"/>
          </w:tcPr>
          <w:p>
            <w:pPr/>
          </w:p>
        </w:tc>
        <w:tc>
          <w:tcPr>
            <w:tcW w:w="2551" w:type="dxa"/>
          </w:tcPr>
          <w:p>
            <w:pPr>
              <w:pStyle w:val="TableParagraph"/>
              <w:spacing w:before="10"/>
              <w:jc w:val="left"/>
              <w:rPr>
                <w:sz w:val="10"/>
              </w:rPr>
            </w:pPr>
          </w:p>
          <w:p>
            <w:pPr>
              <w:pStyle w:val="TableParagraph"/>
              <w:ind w:left="270" w:right="69"/>
              <w:jc w:val="left"/>
              <w:rPr>
                <w:rFonts w:ascii="Palatino Linotype"/>
                <w:b/>
                <w:sz w:val="12"/>
              </w:rPr>
            </w:pPr>
            <w:r>
              <w:rPr>
                <w:rFonts w:ascii="Palatino Linotype"/>
                <w:b/>
                <w:color w:val="010202"/>
                <w:w w:val="90"/>
                <w:sz w:val="12"/>
              </w:rPr>
              <w:t>Hoesch suspensiones automotrices, S.A.</w:t>
            </w:r>
          </w:p>
        </w:tc>
        <w:tc>
          <w:tcPr>
            <w:tcW w:w="567" w:type="dxa"/>
          </w:tcPr>
          <w:p>
            <w:pPr/>
          </w:p>
        </w:tc>
        <w:tc>
          <w:tcPr>
            <w:tcW w:w="567" w:type="dxa"/>
          </w:tcPr>
          <w:p>
            <w:pPr/>
          </w:p>
        </w:tc>
        <w:tc>
          <w:tcPr>
            <w:tcW w:w="2381" w:type="dxa"/>
          </w:tcPr>
          <w:p>
            <w:pPr>
              <w:pStyle w:val="TableParagraph"/>
              <w:spacing w:line="132" w:lineRule="exact" w:before="79"/>
              <w:ind w:left="224" w:right="167" w:hanging="14"/>
              <w:jc w:val="left"/>
              <w:rPr>
                <w:sz w:val="12"/>
              </w:rPr>
            </w:pPr>
            <w:r>
              <w:rPr>
                <w:color w:val="010202"/>
                <w:sz w:val="12"/>
              </w:rPr>
              <w:t>Barras de torsión, barras-estabilizadoras, resortes-helicoidales, brazos-suspensión</w:t>
            </w:r>
          </w:p>
        </w:tc>
      </w:tr>
      <w:tr>
        <w:trPr>
          <w:trHeight w:val="612" w:hRule="exact"/>
        </w:trPr>
        <w:tc>
          <w:tcPr>
            <w:tcW w:w="340" w:type="dxa"/>
          </w:tcPr>
          <w:p>
            <w:pPr>
              <w:pStyle w:val="TableParagraph"/>
              <w:jc w:val="left"/>
              <w:rPr>
                <w:sz w:val="12"/>
              </w:rPr>
            </w:pPr>
          </w:p>
          <w:p>
            <w:pPr>
              <w:pStyle w:val="TableParagraph"/>
              <w:spacing w:before="95"/>
              <w:ind w:left="46" w:right="46"/>
              <w:rPr>
                <w:sz w:val="12"/>
              </w:rPr>
            </w:pPr>
            <w:r>
              <w:rPr>
                <w:color w:val="010202"/>
                <w:sz w:val="12"/>
              </w:rPr>
              <w:t>166</w:t>
            </w:r>
          </w:p>
        </w:tc>
        <w:tc>
          <w:tcPr>
            <w:tcW w:w="794" w:type="dxa"/>
          </w:tcPr>
          <w:p>
            <w:pPr/>
          </w:p>
        </w:tc>
        <w:tc>
          <w:tcPr>
            <w:tcW w:w="2551" w:type="dxa"/>
          </w:tcPr>
          <w:p>
            <w:pPr>
              <w:pStyle w:val="TableParagraph"/>
              <w:jc w:val="left"/>
              <w:rPr>
                <w:sz w:val="15"/>
              </w:rPr>
            </w:pPr>
          </w:p>
          <w:p>
            <w:pPr>
              <w:pStyle w:val="TableParagraph"/>
              <w:spacing w:line="132" w:lineRule="exact"/>
              <w:ind w:left="881" w:right="56" w:hanging="811"/>
              <w:jc w:val="left"/>
              <w:rPr>
                <w:rFonts w:ascii="Palatino Linotype" w:hAnsi="Palatino Linotype"/>
                <w:b/>
                <w:sz w:val="12"/>
              </w:rPr>
            </w:pPr>
            <w:r>
              <w:rPr>
                <w:rFonts w:ascii="Palatino Linotype" w:hAnsi="Palatino Linotype"/>
                <w:b/>
                <w:color w:val="010202"/>
                <w:w w:val="95"/>
                <w:sz w:val="12"/>
              </w:rPr>
              <w:t>Iluminación</w:t>
            </w:r>
            <w:r>
              <w:rPr>
                <w:rFonts w:ascii="Palatino Linotype" w:hAnsi="Palatino Linotype"/>
                <w:b/>
                <w:color w:val="010202"/>
                <w:spacing w:val="-14"/>
                <w:w w:val="95"/>
                <w:sz w:val="12"/>
              </w:rPr>
              <w:t> </w:t>
            </w:r>
            <w:r>
              <w:rPr>
                <w:rFonts w:ascii="Palatino Linotype" w:hAnsi="Palatino Linotype"/>
                <w:b/>
                <w:color w:val="010202"/>
                <w:w w:val="95"/>
                <w:sz w:val="12"/>
              </w:rPr>
              <w:t>automotriz</w:t>
            </w:r>
            <w:r>
              <w:rPr>
                <w:rFonts w:ascii="Palatino Linotype" w:hAnsi="Palatino Linotype"/>
                <w:b/>
                <w:color w:val="010202"/>
                <w:spacing w:val="-14"/>
                <w:w w:val="95"/>
                <w:sz w:val="12"/>
              </w:rPr>
              <w:t> </w:t>
            </w:r>
            <w:r>
              <w:rPr>
                <w:rFonts w:ascii="Palatino Linotype" w:hAnsi="Palatino Linotype"/>
                <w:b/>
                <w:color w:val="010202"/>
                <w:w w:val="95"/>
                <w:sz w:val="12"/>
              </w:rPr>
              <w:t>y</w:t>
            </w:r>
            <w:r>
              <w:rPr>
                <w:rFonts w:ascii="Palatino Linotype" w:hAnsi="Palatino Linotype"/>
                <w:b/>
                <w:color w:val="010202"/>
                <w:spacing w:val="-14"/>
                <w:w w:val="95"/>
                <w:sz w:val="12"/>
              </w:rPr>
              <w:t> </w:t>
            </w:r>
            <w:r>
              <w:rPr>
                <w:rFonts w:ascii="Palatino Linotype" w:hAnsi="Palatino Linotype"/>
                <w:b/>
                <w:color w:val="010202"/>
                <w:w w:val="95"/>
                <w:sz w:val="12"/>
              </w:rPr>
              <w:t>plásticos,</w:t>
            </w:r>
            <w:r>
              <w:rPr>
                <w:rFonts w:ascii="Palatino Linotype" w:hAnsi="Palatino Linotype"/>
                <w:b/>
                <w:color w:val="010202"/>
                <w:spacing w:val="-14"/>
                <w:w w:val="95"/>
                <w:sz w:val="12"/>
              </w:rPr>
              <w:t> </w:t>
            </w:r>
            <w:r>
              <w:rPr>
                <w:rFonts w:ascii="Palatino Linotype" w:hAnsi="Palatino Linotype"/>
                <w:b/>
                <w:color w:val="010202"/>
                <w:w w:val="95"/>
                <w:sz w:val="12"/>
              </w:rPr>
              <w:t>S.A.</w:t>
            </w:r>
            <w:r>
              <w:rPr>
                <w:rFonts w:ascii="Palatino Linotype" w:hAnsi="Palatino Linotype"/>
                <w:b/>
                <w:color w:val="010202"/>
                <w:spacing w:val="-14"/>
                <w:w w:val="95"/>
                <w:sz w:val="12"/>
              </w:rPr>
              <w:t> </w:t>
            </w:r>
            <w:r>
              <w:rPr>
                <w:rFonts w:ascii="Palatino Linotype" w:hAnsi="Palatino Linotype"/>
                <w:b/>
                <w:color w:val="010202"/>
                <w:w w:val="95"/>
                <w:sz w:val="12"/>
              </w:rPr>
              <w:t>de</w:t>
            </w:r>
            <w:r>
              <w:rPr>
                <w:rFonts w:ascii="Palatino Linotype" w:hAnsi="Palatino Linotype"/>
                <w:b/>
                <w:color w:val="010202"/>
                <w:spacing w:val="-14"/>
                <w:w w:val="95"/>
                <w:sz w:val="12"/>
              </w:rPr>
              <w:t> </w:t>
            </w:r>
            <w:r>
              <w:rPr>
                <w:rFonts w:ascii="Palatino Linotype" w:hAnsi="Palatino Linotype"/>
                <w:b/>
                <w:color w:val="010202"/>
                <w:spacing w:val="-5"/>
                <w:w w:val="95"/>
                <w:sz w:val="12"/>
              </w:rPr>
              <w:t>C.V. </w:t>
            </w:r>
            <w:r>
              <w:rPr>
                <w:rFonts w:ascii="Palatino Linotype" w:hAnsi="Palatino Linotype"/>
                <w:b/>
                <w:color w:val="010202"/>
                <w:w w:val="90"/>
                <w:sz w:val="12"/>
              </w:rPr>
              <w:t>(gpo.</w:t>
            </w:r>
            <w:r>
              <w:rPr>
                <w:rFonts w:ascii="Palatino Linotype" w:hAnsi="Palatino Linotype"/>
                <w:b/>
                <w:color w:val="010202"/>
                <w:spacing w:val="17"/>
                <w:w w:val="90"/>
                <w:sz w:val="12"/>
              </w:rPr>
              <w:t> </w:t>
            </w:r>
            <w:r>
              <w:rPr>
                <w:rFonts w:ascii="Palatino Linotype" w:hAnsi="Palatino Linotype"/>
                <w:b/>
                <w:color w:val="010202"/>
                <w:w w:val="90"/>
                <w:sz w:val="12"/>
              </w:rPr>
              <w:t>Aloymex)</w:t>
            </w:r>
          </w:p>
        </w:tc>
        <w:tc>
          <w:tcPr>
            <w:tcW w:w="567" w:type="dxa"/>
          </w:tcPr>
          <w:p>
            <w:pPr/>
          </w:p>
        </w:tc>
        <w:tc>
          <w:tcPr>
            <w:tcW w:w="567" w:type="dxa"/>
          </w:tcPr>
          <w:p>
            <w:pPr/>
          </w:p>
        </w:tc>
        <w:tc>
          <w:tcPr>
            <w:tcW w:w="2381" w:type="dxa"/>
          </w:tcPr>
          <w:p>
            <w:pPr>
              <w:pStyle w:val="TableParagraph"/>
              <w:spacing w:line="132" w:lineRule="exact" w:before="107"/>
              <w:ind w:left="175" w:right="162" w:hanging="12"/>
              <w:jc w:val="both"/>
              <w:rPr>
                <w:sz w:val="12"/>
              </w:rPr>
            </w:pPr>
            <w:r>
              <w:rPr>
                <w:color w:val="010202"/>
                <w:sz w:val="12"/>
              </w:rPr>
              <w:t>Luz</w:t>
            </w:r>
            <w:r>
              <w:rPr>
                <w:color w:val="010202"/>
                <w:spacing w:val="-5"/>
                <w:sz w:val="12"/>
              </w:rPr>
              <w:t> </w:t>
            </w:r>
            <w:r>
              <w:rPr>
                <w:color w:val="010202"/>
                <w:sz w:val="12"/>
              </w:rPr>
              <w:t>de</w:t>
            </w:r>
            <w:r>
              <w:rPr>
                <w:color w:val="010202"/>
                <w:spacing w:val="-5"/>
                <w:sz w:val="12"/>
              </w:rPr>
              <w:t> </w:t>
            </w:r>
            <w:r>
              <w:rPr>
                <w:color w:val="010202"/>
                <w:sz w:val="12"/>
              </w:rPr>
              <w:t>lectura,</w:t>
            </w:r>
            <w:r>
              <w:rPr>
                <w:color w:val="010202"/>
                <w:spacing w:val="-5"/>
                <w:sz w:val="12"/>
              </w:rPr>
              <w:t> </w:t>
            </w:r>
            <w:r>
              <w:rPr>
                <w:color w:val="010202"/>
                <w:sz w:val="12"/>
              </w:rPr>
              <w:t>lámpara</w:t>
            </w:r>
            <w:r>
              <w:rPr>
                <w:color w:val="010202"/>
                <w:spacing w:val="-5"/>
                <w:sz w:val="12"/>
              </w:rPr>
              <w:t> </w:t>
            </w:r>
            <w:r>
              <w:rPr>
                <w:color w:val="010202"/>
                <w:sz w:val="12"/>
              </w:rPr>
              <w:t>cuarto</w:t>
            </w:r>
            <w:r>
              <w:rPr>
                <w:color w:val="010202"/>
                <w:spacing w:val="-5"/>
                <w:sz w:val="12"/>
              </w:rPr>
              <w:t> </w:t>
            </w:r>
            <w:r>
              <w:rPr>
                <w:color w:val="010202"/>
                <w:sz w:val="12"/>
              </w:rPr>
              <w:t>direccional, lámpara direccional, luz de identificación, plafón</w:t>
            </w:r>
            <w:r>
              <w:rPr>
                <w:color w:val="010202"/>
                <w:spacing w:val="-13"/>
                <w:sz w:val="12"/>
              </w:rPr>
              <w:t> </w:t>
            </w:r>
            <w:r>
              <w:rPr>
                <w:color w:val="010202"/>
                <w:sz w:val="12"/>
              </w:rPr>
              <w:t>trasero,</w:t>
            </w:r>
            <w:r>
              <w:rPr>
                <w:color w:val="010202"/>
                <w:spacing w:val="-13"/>
                <w:sz w:val="12"/>
              </w:rPr>
              <w:t> </w:t>
            </w:r>
            <w:r>
              <w:rPr>
                <w:color w:val="010202"/>
                <w:sz w:val="12"/>
              </w:rPr>
              <w:t>emblemas,</w:t>
            </w:r>
            <w:r>
              <w:rPr>
                <w:color w:val="010202"/>
                <w:spacing w:val="-13"/>
                <w:sz w:val="12"/>
              </w:rPr>
              <w:t> </w:t>
            </w:r>
            <w:r>
              <w:rPr>
                <w:color w:val="010202"/>
                <w:sz w:val="12"/>
              </w:rPr>
              <w:t>calaveras,</w:t>
            </w:r>
            <w:r>
              <w:rPr>
                <w:color w:val="010202"/>
                <w:spacing w:val="-13"/>
                <w:sz w:val="12"/>
              </w:rPr>
              <w:t> </w:t>
            </w:r>
            <w:r>
              <w:rPr>
                <w:color w:val="010202"/>
                <w:sz w:val="12"/>
              </w:rPr>
              <w:t>micas</w:t>
            </w:r>
          </w:p>
        </w:tc>
      </w:tr>
      <w:tr>
        <w:trPr>
          <w:trHeight w:val="340" w:hRule="exact"/>
        </w:trPr>
        <w:tc>
          <w:tcPr>
            <w:tcW w:w="340" w:type="dxa"/>
          </w:tcPr>
          <w:p>
            <w:pPr>
              <w:pStyle w:val="TableParagraph"/>
              <w:spacing w:before="97"/>
              <w:ind w:left="45" w:right="46"/>
              <w:rPr>
                <w:sz w:val="12"/>
              </w:rPr>
            </w:pPr>
            <w:r>
              <w:rPr>
                <w:color w:val="010202"/>
                <w:sz w:val="12"/>
              </w:rPr>
              <w:t>167</w:t>
            </w:r>
          </w:p>
        </w:tc>
        <w:tc>
          <w:tcPr>
            <w:tcW w:w="794" w:type="dxa"/>
          </w:tcPr>
          <w:p>
            <w:pPr/>
          </w:p>
        </w:tc>
        <w:tc>
          <w:tcPr>
            <w:tcW w:w="2551" w:type="dxa"/>
          </w:tcPr>
          <w:p>
            <w:pPr>
              <w:pStyle w:val="TableParagraph"/>
              <w:spacing w:before="83"/>
              <w:ind w:left="749" w:right="69"/>
              <w:jc w:val="left"/>
              <w:rPr>
                <w:rFonts w:ascii="Palatino Linotype"/>
                <w:b/>
                <w:sz w:val="12"/>
              </w:rPr>
            </w:pPr>
            <w:r>
              <w:rPr>
                <w:rFonts w:ascii="Palatino Linotype"/>
                <w:b/>
                <w:color w:val="010202"/>
                <w:w w:val="95"/>
                <w:sz w:val="12"/>
              </w:rPr>
              <w:t>Industrias Canasaro</w:t>
            </w:r>
          </w:p>
        </w:tc>
        <w:tc>
          <w:tcPr>
            <w:tcW w:w="567" w:type="dxa"/>
          </w:tcPr>
          <w:p>
            <w:pPr>
              <w:pStyle w:val="TableParagraph"/>
              <w:spacing w:before="97"/>
              <w:ind w:right="1"/>
              <w:rPr>
                <w:sz w:val="12"/>
              </w:rPr>
            </w:pPr>
            <w:r>
              <w:rPr>
                <w:color w:val="010202"/>
                <w:w w:val="96"/>
                <w:sz w:val="12"/>
              </w:rPr>
              <w:t>1</w:t>
            </w:r>
          </w:p>
        </w:tc>
        <w:tc>
          <w:tcPr>
            <w:tcW w:w="567" w:type="dxa"/>
          </w:tcPr>
          <w:p>
            <w:pPr>
              <w:pStyle w:val="TableParagraph"/>
              <w:spacing w:before="97"/>
              <w:ind w:right="1"/>
              <w:rPr>
                <w:sz w:val="12"/>
              </w:rPr>
            </w:pPr>
            <w:r>
              <w:rPr>
                <w:color w:val="010202"/>
                <w:w w:val="100"/>
                <w:sz w:val="12"/>
              </w:rPr>
              <w:t>M</w:t>
            </w:r>
          </w:p>
        </w:tc>
        <w:tc>
          <w:tcPr>
            <w:tcW w:w="2381" w:type="dxa"/>
          </w:tcPr>
          <w:p>
            <w:pPr>
              <w:pStyle w:val="TableParagraph"/>
              <w:spacing w:before="97"/>
              <w:ind w:left="105" w:right="106"/>
              <w:rPr>
                <w:sz w:val="12"/>
              </w:rPr>
            </w:pPr>
            <w:r>
              <w:rPr>
                <w:color w:val="010202"/>
                <w:sz w:val="12"/>
              </w:rPr>
              <w:t>Rampas y equipo de alineación y balanceo</w:t>
            </w:r>
          </w:p>
        </w:tc>
      </w:tr>
      <w:tr>
        <w:trPr>
          <w:trHeight w:val="442" w:hRule="exact"/>
        </w:trPr>
        <w:tc>
          <w:tcPr>
            <w:tcW w:w="340" w:type="dxa"/>
          </w:tcPr>
          <w:p>
            <w:pPr>
              <w:pStyle w:val="TableParagraph"/>
              <w:spacing w:before="9"/>
              <w:jc w:val="left"/>
              <w:rPr>
                <w:sz w:val="12"/>
              </w:rPr>
            </w:pPr>
          </w:p>
          <w:p>
            <w:pPr>
              <w:pStyle w:val="TableParagraph"/>
              <w:spacing w:before="1"/>
              <w:ind w:left="45" w:right="46"/>
              <w:rPr>
                <w:sz w:val="12"/>
              </w:rPr>
            </w:pPr>
            <w:r>
              <w:rPr>
                <w:color w:val="010202"/>
                <w:sz w:val="12"/>
              </w:rPr>
              <w:t>168</w:t>
            </w:r>
          </w:p>
        </w:tc>
        <w:tc>
          <w:tcPr>
            <w:tcW w:w="794" w:type="dxa"/>
          </w:tcPr>
          <w:p>
            <w:pPr/>
          </w:p>
        </w:tc>
        <w:tc>
          <w:tcPr>
            <w:tcW w:w="2551" w:type="dxa"/>
          </w:tcPr>
          <w:p>
            <w:pPr>
              <w:pStyle w:val="TableParagraph"/>
              <w:spacing w:line="147" w:lineRule="exact" w:before="68"/>
              <w:ind w:left="1" w:right="2"/>
              <w:rPr>
                <w:rFonts w:ascii="Palatino Linotype" w:hAnsi="Palatino Linotype"/>
                <w:b/>
                <w:sz w:val="12"/>
              </w:rPr>
            </w:pPr>
            <w:r>
              <w:rPr>
                <w:rFonts w:ascii="Palatino Linotype" w:hAnsi="Palatino Linotype"/>
                <w:b/>
                <w:color w:val="010202"/>
                <w:w w:val="95"/>
                <w:sz w:val="12"/>
              </w:rPr>
              <w:t>Ind. Eléctrica automotriz, S.A. de C.V. (gpo.</w:t>
            </w:r>
          </w:p>
          <w:p>
            <w:pPr>
              <w:pStyle w:val="TableParagraph"/>
              <w:spacing w:line="147" w:lineRule="exact"/>
              <w:ind w:left="1" w:right="2"/>
              <w:rPr>
                <w:rFonts w:ascii="Palatino Linotype"/>
                <w:b/>
                <w:sz w:val="12"/>
              </w:rPr>
            </w:pPr>
            <w:r>
              <w:rPr>
                <w:rFonts w:ascii="Palatino Linotype"/>
                <w:b/>
                <w:color w:val="010202"/>
                <w:sz w:val="12"/>
              </w:rPr>
              <w:t>Unik)</w:t>
            </w:r>
          </w:p>
        </w:tc>
        <w:tc>
          <w:tcPr>
            <w:tcW w:w="567" w:type="dxa"/>
          </w:tcPr>
          <w:p>
            <w:pPr/>
          </w:p>
        </w:tc>
        <w:tc>
          <w:tcPr>
            <w:tcW w:w="567" w:type="dxa"/>
          </w:tcPr>
          <w:p>
            <w:pPr/>
          </w:p>
        </w:tc>
        <w:tc>
          <w:tcPr>
            <w:tcW w:w="2381" w:type="dxa"/>
          </w:tcPr>
          <w:p>
            <w:pPr>
              <w:pStyle w:val="TableParagraph"/>
              <w:spacing w:line="132" w:lineRule="exact" w:before="88"/>
              <w:ind w:left="521" w:right="45" w:hanging="458"/>
              <w:jc w:val="left"/>
              <w:rPr>
                <w:sz w:val="12"/>
              </w:rPr>
            </w:pPr>
            <w:r>
              <w:rPr>
                <w:color w:val="010202"/>
                <w:sz w:val="12"/>
              </w:rPr>
              <w:t>Alternadores, bobinas, distribuidores, platinos, reguladores, condensadores</w:t>
            </w:r>
          </w:p>
        </w:tc>
      </w:tr>
      <w:tr>
        <w:trPr>
          <w:trHeight w:val="340" w:hRule="exact"/>
        </w:trPr>
        <w:tc>
          <w:tcPr>
            <w:tcW w:w="340" w:type="dxa"/>
          </w:tcPr>
          <w:p>
            <w:pPr>
              <w:pStyle w:val="TableParagraph"/>
              <w:spacing w:before="97"/>
              <w:ind w:left="45" w:right="46"/>
              <w:rPr>
                <w:sz w:val="12"/>
              </w:rPr>
            </w:pPr>
            <w:r>
              <w:rPr>
                <w:color w:val="010202"/>
                <w:sz w:val="12"/>
              </w:rPr>
              <w:t>169</w:t>
            </w:r>
          </w:p>
        </w:tc>
        <w:tc>
          <w:tcPr>
            <w:tcW w:w="794" w:type="dxa"/>
          </w:tcPr>
          <w:p>
            <w:pPr/>
          </w:p>
        </w:tc>
        <w:tc>
          <w:tcPr>
            <w:tcW w:w="2551" w:type="dxa"/>
          </w:tcPr>
          <w:p>
            <w:pPr>
              <w:pStyle w:val="TableParagraph"/>
              <w:spacing w:before="83"/>
              <w:ind w:left="528" w:right="69"/>
              <w:jc w:val="left"/>
              <w:rPr>
                <w:rFonts w:ascii="Palatino Linotype"/>
                <w:b/>
                <w:sz w:val="12"/>
              </w:rPr>
            </w:pPr>
            <w:r>
              <w:rPr>
                <w:rFonts w:ascii="Palatino Linotype"/>
                <w:b/>
                <w:color w:val="010202"/>
                <w:w w:val="95"/>
                <w:sz w:val="12"/>
              </w:rPr>
              <w:t>Industrial Garbe, S.A. de C.V.</w:t>
            </w:r>
          </w:p>
        </w:tc>
        <w:tc>
          <w:tcPr>
            <w:tcW w:w="567" w:type="dxa"/>
          </w:tcPr>
          <w:p>
            <w:pPr/>
          </w:p>
        </w:tc>
        <w:tc>
          <w:tcPr>
            <w:tcW w:w="567" w:type="dxa"/>
          </w:tcPr>
          <w:p>
            <w:pPr/>
          </w:p>
        </w:tc>
        <w:tc>
          <w:tcPr>
            <w:tcW w:w="2381" w:type="dxa"/>
          </w:tcPr>
          <w:p>
            <w:pPr>
              <w:pStyle w:val="TableParagraph"/>
              <w:spacing w:before="97"/>
              <w:ind w:left="105" w:right="106"/>
              <w:rPr>
                <w:sz w:val="12"/>
              </w:rPr>
            </w:pPr>
            <w:r>
              <w:rPr>
                <w:color w:val="010202"/>
                <w:sz w:val="12"/>
              </w:rPr>
              <w:t>Embobinados de motores, corte de flechas</w:t>
            </w:r>
          </w:p>
        </w:tc>
      </w:tr>
      <w:tr>
        <w:trPr>
          <w:trHeight w:val="340" w:hRule="exact"/>
        </w:trPr>
        <w:tc>
          <w:tcPr>
            <w:tcW w:w="340" w:type="dxa"/>
          </w:tcPr>
          <w:p>
            <w:pPr>
              <w:pStyle w:val="TableParagraph"/>
              <w:spacing w:before="97"/>
              <w:ind w:left="45" w:right="46"/>
              <w:rPr>
                <w:sz w:val="12"/>
              </w:rPr>
            </w:pPr>
            <w:r>
              <w:rPr>
                <w:color w:val="010202"/>
                <w:sz w:val="12"/>
              </w:rPr>
              <w:t>170</w:t>
            </w:r>
          </w:p>
        </w:tc>
        <w:tc>
          <w:tcPr>
            <w:tcW w:w="794" w:type="dxa"/>
          </w:tcPr>
          <w:p>
            <w:pPr/>
          </w:p>
        </w:tc>
        <w:tc>
          <w:tcPr>
            <w:tcW w:w="2551" w:type="dxa"/>
          </w:tcPr>
          <w:p>
            <w:pPr>
              <w:pStyle w:val="TableParagraph"/>
              <w:spacing w:before="83"/>
              <w:ind w:left="467" w:right="69"/>
              <w:jc w:val="left"/>
              <w:rPr>
                <w:rFonts w:ascii="Palatino Linotype"/>
                <w:b/>
                <w:sz w:val="12"/>
              </w:rPr>
            </w:pPr>
            <w:r>
              <w:rPr>
                <w:rFonts w:ascii="Palatino Linotype"/>
                <w:b/>
                <w:color w:val="010202"/>
                <w:w w:val="95"/>
                <w:sz w:val="12"/>
              </w:rPr>
              <w:t>Industrias Memper S.A. de C.V.</w:t>
            </w:r>
          </w:p>
        </w:tc>
        <w:tc>
          <w:tcPr>
            <w:tcW w:w="567" w:type="dxa"/>
          </w:tcPr>
          <w:p>
            <w:pPr>
              <w:pStyle w:val="TableParagraph"/>
              <w:spacing w:before="97"/>
              <w:ind w:right="1"/>
              <w:rPr>
                <w:sz w:val="12"/>
              </w:rPr>
            </w:pPr>
            <w:r>
              <w:rPr>
                <w:color w:val="010202"/>
                <w:w w:val="96"/>
                <w:sz w:val="12"/>
              </w:rPr>
              <w:t>1</w:t>
            </w:r>
          </w:p>
        </w:tc>
        <w:tc>
          <w:tcPr>
            <w:tcW w:w="567" w:type="dxa"/>
          </w:tcPr>
          <w:p>
            <w:pPr>
              <w:pStyle w:val="TableParagraph"/>
              <w:spacing w:before="97"/>
              <w:ind w:right="1"/>
              <w:rPr>
                <w:sz w:val="12"/>
              </w:rPr>
            </w:pPr>
            <w:r>
              <w:rPr>
                <w:color w:val="010202"/>
                <w:w w:val="99"/>
                <w:sz w:val="12"/>
              </w:rPr>
              <w:t>G</w:t>
            </w:r>
          </w:p>
        </w:tc>
        <w:tc>
          <w:tcPr>
            <w:tcW w:w="2381" w:type="dxa"/>
          </w:tcPr>
          <w:p>
            <w:pPr>
              <w:pStyle w:val="TableParagraph"/>
              <w:spacing w:before="97"/>
              <w:ind w:left="105" w:right="106"/>
              <w:rPr>
                <w:sz w:val="12"/>
              </w:rPr>
            </w:pPr>
            <w:r>
              <w:rPr>
                <w:color w:val="010202"/>
                <w:sz w:val="12"/>
              </w:rPr>
              <w:t>Piso de soporte para camiones</w:t>
            </w:r>
          </w:p>
        </w:tc>
      </w:tr>
      <w:tr>
        <w:trPr>
          <w:trHeight w:val="397" w:hRule="exact"/>
        </w:trPr>
        <w:tc>
          <w:tcPr>
            <w:tcW w:w="340" w:type="dxa"/>
          </w:tcPr>
          <w:p>
            <w:pPr>
              <w:pStyle w:val="TableParagraph"/>
              <w:spacing w:before="10"/>
              <w:jc w:val="left"/>
              <w:rPr>
                <w:sz w:val="10"/>
              </w:rPr>
            </w:pPr>
          </w:p>
          <w:p>
            <w:pPr>
              <w:pStyle w:val="TableParagraph"/>
              <w:ind w:left="45" w:right="46"/>
              <w:rPr>
                <w:sz w:val="12"/>
              </w:rPr>
            </w:pPr>
            <w:r>
              <w:rPr>
                <w:color w:val="010202"/>
                <w:sz w:val="12"/>
              </w:rPr>
              <w:t>171</w:t>
            </w:r>
          </w:p>
        </w:tc>
        <w:tc>
          <w:tcPr>
            <w:tcW w:w="794" w:type="dxa"/>
          </w:tcPr>
          <w:p>
            <w:pPr/>
          </w:p>
        </w:tc>
        <w:tc>
          <w:tcPr>
            <w:tcW w:w="2551" w:type="dxa"/>
          </w:tcPr>
          <w:p>
            <w:pPr>
              <w:pStyle w:val="TableParagraph"/>
              <w:spacing w:before="7"/>
              <w:jc w:val="left"/>
              <w:rPr>
                <w:sz w:val="9"/>
              </w:rPr>
            </w:pPr>
          </w:p>
          <w:p>
            <w:pPr>
              <w:pStyle w:val="TableParagraph"/>
              <w:spacing w:before="1"/>
              <w:ind w:left="506" w:right="69"/>
              <w:jc w:val="left"/>
              <w:rPr>
                <w:rFonts w:ascii="Palatino Linotype"/>
                <w:b/>
                <w:sz w:val="12"/>
              </w:rPr>
            </w:pPr>
            <w:r>
              <w:rPr>
                <w:rFonts w:ascii="Palatino Linotype"/>
                <w:b/>
                <w:color w:val="010202"/>
                <w:w w:val="95"/>
                <w:sz w:val="12"/>
              </w:rPr>
              <w:t>Industrias Tamer, S.A. de C.V.</w:t>
            </w:r>
          </w:p>
        </w:tc>
        <w:tc>
          <w:tcPr>
            <w:tcW w:w="567" w:type="dxa"/>
          </w:tcPr>
          <w:p>
            <w:pPr>
              <w:pStyle w:val="TableParagraph"/>
              <w:spacing w:before="10"/>
              <w:jc w:val="left"/>
              <w:rPr>
                <w:sz w:val="10"/>
              </w:rPr>
            </w:pPr>
          </w:p>
          <w:p>
            <w:pPr>
              <w:pStyle w:val="TableParagraph"/>
              <w:ind w:right="1"/>
              <w:rPr>
                <w:sz w:val="12"/>
              </w:rPr>
            </w:pPr>
            <w:r>
              <w:rPr>
                <w:color w:val="010202"/>
                <w:w w:val="96"/>
                <w:sz w:val="12"/>
              </w:rPr>
              <w:t>2</w:t>
            </w:r>
          </w:p>
        </w:tc>
        <w:tc>
          <w:tcPr>
            <w:tcW w:w="567" w:type="dxa"/>
          </w:tcPr>
          <w:p>
            <w:pPr>
              <w:pStyle w:val="TableParagraph"/>
              <w:spacing w:before="10"/>
              <w:jc w:val="left"/>
              <w:rPr>
                <w:sz w:val="10"/>
              </w:rPr>
            </w:pPr>
          </w:p>
          <w:p>
            <w:pPr>
              <w:pStyle w:val="TableParagraph"/>
              <w:ind w:right="1"/>
              <w:rPr>
                <w:sz w:val="12"/>
              </w:rPr>
            </w:pPr>
            <w:r>
              <w:rPr>
                <w:color w:val="010202"/>
                <w:w w:val="101"/>
                <w:sz w:val="12"/>
              </w:rPr>
              <w:t>P</w:t>
            </w:r>
          </w:p>
        </w:tc>
        <w:tc>
          <w:tcPr>
            <w:tcW w:w="2381" w:type="dxa"/>
          </w:tcPr>
          <w:p>
            <w:pPr>
              <w:pStyle w:val="TableParagraph"/>
              <w:spacing w:line="132" w:lineRule="exact" w:before="65"/>
              <w:ind w:left="498" w:right="182" w:hanging="249"/>
              <w:jc w:val="left"/>
              <w:rPr>
                <w:sz w:val="12"/>
              </w:rPr>
            </w:pPr>
            <w:r>
              <w:rPr>
                <w:color w:val="010202"/>
                <w:sz w:val="12"/>
              </w:rPr>
              <w:t>G.h.b. de 1.5 a 30 tons. Bombas de aire, inyectores de grasa, aceiteras</w:t>
            </w:r>
          </w:p>
        </w:tc>
      </w:tr>
      <w:tr>
        <w:trPr>
          <w:trHeight w:val="340" w:hRule="exact"/>
        </w:trPr>
        <w:tc>
          <w:tcPr>
            <w:tcW w:w="340" w:type="dxa"/>
          </w:tcPr>
          <w:p>
            <w:pPr>
              <w:pStyle w:val="TableParagraph"/>
              <w:spacing w:before="97"/>
              <w:ind w:left="45" w:right="46"/>
              <w:rPr>
                <w:sz w:val="12"/>
              </w:rPr>
            </w:pPr>
            <w:r>
              <w:rPr>
                <w:color w:val="010202"/>
                <w:sz w:val="12"/>
              </w:rPr>
              <w:t>172</w:t>
            </w:r>
          </w:p>
        </w:tc>
        <w:tc>
          <w:tcPr>
            <w:tcW w:w="794" w:type="dxa"/>
          </w:tcPr>
          <w:p>
            <w:pPr/>
          </w:p>
        </w:tc>
        <w:tc>
          <w:tcPr>
            <w:tcW w:w="2551" w:type="dxa"/>
          </w:tcPr>
          <w:p>
            <w:pPr>
              <w:pStyle w:val="TableParagraph"/>
              <w:spacing w:before="83"/>
              <w:ind w:left="460" w:right="69"/>
              <w:jc w:val="left"/>
              <w:rPr>
                <w:rFonts w:ascii="Palatino Linotype"/>
                <w:b/>
                <w:sz w:val="12"/>
              </w:rPr>
            </w:pPr>
            <w:r>
              <w:rPr>
                <w:rFonts w:ascii="Palatino Linotype"/>
                <w:b/>
                <w:color w:val="010202"/>
                <w:w w:val="95"/>
                <w:sz w:val="12"/>
              </w:rPr>
              <w:t>Krupp Hoesch Sasa, S.A. de C.V.</w:t>
            </w:r>
          </w:p>
        </w:tc>
        <w:tc>
          <w:tcPr>
            <w:tcW w:w="567" w:type="dxa"/>
          </w:tcPr>
          <w:p>
            <w:pPr/>
          </w:p>
        </w:tc>
        <w:tc>
          <w:tcPr>
            <w:tcW w:w="567" w:type="dxa"/>
          </w:tcPr>
          <w:p>
            <w:pPr/>
          </w:p>
        </w:tc>
        <w:tc>
          <w:tcPr>
            <w:tcW w:w="2381" w:type="dxa"/>
          </w:tcPr>
          <w:p>
            <w:pPr>
              <w:pStyle w:val="TableParagraph"/>
              <w:spacing w:before="97"/>
              <w:ind w:left="105" w:right="106"/>
              <w:rPr>
                <w:sz w:val="12"/>
              </w:rPr>
            </w:pPr>
            <w:r>
              <w:rPr>
                <w:color w:val="010202"/>
                <w:sz w:val="12"/>
              </w:rPr>
              <w:t>Resortes, barras estabilizadoras</w:t>
            </w:r>
          </w:p>
        </w:tc>
      </w:tr>
      <w:tr>
        <w:trPr>
          <w:trHeight w:val="340" w:hRule="exact"/>
        </w:trPr>
        <w:tc>
          <w:tcPr>
            <w:tcW w:w="340" w:type="dxa"/>
          </w:tcPr>
          <w:p>
            <w:pPr>
              <w:pStyle w:val="TableParagraph"/>
              <w:spacing w:before="97"/>
              <w:ind w:left="45" w:right="46"/>
              <w:rPr>
                <w:sz w:val="12"/>
              </w:rPr>
            </w:pPr>
            <w:r>
              <w:rPr>
                <w:color w:val="010202"/>
                <w:sz w:val="12"/>
              </w:rPr>
              <w:t>173</w:t>
            </w:r>
          </w:p>
        </w:tc>
        <w:tc>
          <w:tcPr>
            <w:tcW w:w="794" w:type="dxa"/>
          </w:tcPr>
          <w:p>
            <w:pPr/>
          </w:p>
        </w:tc>
        <w:tc>
          <w:tcPr>
            <w:tcW w:w="2551" w:type="dxa"/>
          </w:tcPr>
          <w:p>
            <w:pPr>
              <w:pStyle w:val="TableParagraph"/>
              <w:spacing w:before="83"/>
              <w:ind w:left="362" w:right="69"/>
              <w:jc w:val="left"/>
              <w:rPr>
                <w:rFonts w:ascii="Palatino Linotype" w:hAnsi="Palatino Linotype"/>
                <w:b/>
                <w:sz w:val="12"/>
              </w:rPr>
            </w:pPr>
            <w:r>
              <w:rPr>
                <w:rFonts w:ascii="Palatino Linotype" w:hAnsi="Palatino Linotype"/>
                <w:b/>
                <w:color w:val="010202"/>
                <w:w w:val="95"/>
                <w:sz w:val="12"/>
              </w:rPr>
              <w:t>Lara Rodríguez Víctor Manuel, S.A.</w:t>
            </w:r>
          </w:p>
        </w:tc>
        <w:tc>
          <w:tcPr>
            <w:tcW w:w="567" w:type="dxa"/>
          </w:tcPr>
          <w:p>
            <w:pPr>
              <w:pStyle w:val="TableParagraph"/>
              <w:spacing w:before="97"/>
              <w:ind w:right="1"/>
              <w:rPr>
                <w:sz w:val="12"/>
              </w:rPr>
            </w:pPr>
            <w:r>
              <w:rPr>
                <w:color w:val="010202"/>
                <w:w w:val="96"/>
                <w:sz w:val="12"/>
              </w:rPr>
              <w:t>2</w:t>
            </w:r>
          </w:p>
        </w:tc>
        <w:tc>
          <w:tcPr>
            <w:tcW w:w="567" w:type="dxa"/>
          </w:tcPr>
          <w:p>
            <w:pPr>
              <w:pStyle w:val="TableParagraph"/>
              <w:spacing w:before="97"/>
              <w:ind w:right="1"/>
              <w:rPr>
                <w:sz w:val="12"/>
              </w:rPr>
            </w:pPr>
            <w:r>
              <w:rPr>
                <w:color w:val="010202"/>
                <w:w w:val="101"/>
                <w:sz w:val="12"/>
              </w:rPr>
              <w:t>P</w:t>
            </w:r>
          </w:p>
        </w:tc>
        <w:tc>
          <w:tcPr>
            <w:tcW w:w="2381" w:type="dxa"/>
          </w:tcPr>
          <w:p>
            <w:pPr>
              <w:pStyle w:val="TableParagraph"/>
              <w:spacing w:before="97"/>
              <w:ind w:left="106" w:right="106"/>
              <w:rPr>
                <w:sz w:val="12"/>
              </w:rPr>
            </w:pPr>
            <w:r>
              <w:rPr>
                <w:color w:val="010202"/>
                <w:sz w:val="12"/>
              </w:rPr>
              <w:t>Forjas</w:t>
            </w:r>
          </w:p>
        </w:tc>
      </w:tr>
      <w:tr>
        <w:trPr>
          <w:trHeight w:val="340" w:hRule="exact"/>
        </w:trPr>
        <w:tc>
          <w:tcPr>
            <w:tcW w:w="340" w:type="dxa"/>
          </w:tcPr>
          <w:p>
            <w:pPr>
              <w:pStyle w:val="TableParagraph"/>
              <w:spacing w:before="97"/>
              <w:ind w:left="46" w:right="46"/>
              <w:rPr>
                <w:sz w:val="12"/>
              </w:rPr>
            </w:pPr>
            <w:r>
              <w:rPr>
                <w:color w:val="010202"/>
                <w:sz w:val="12"/>
              </w:rPr>
              <w:t>174</w:t>
            </w:r>
          </w:p>
        </w:tc>
        <w:tc>
          <w:tcPr>
            <w:tcW w:w="794" w:type="dxa"/>
          </w:tcPr>
          <w:p>
            <w:pPr/>
          </w:p>
        </w:tc>
        <w:tc>
          <w:tcPr>
            <w:tcW w:w="2551" w:type="dxa"/>
          </w:tcPr>
          <w:p>
            <w:pPr>
              <w:pStyle w:val="TableParagraph"/>
              <w:spacing w:before="83"/>
              <w:ind w:left="710" w:right="69"/>
              <w:jc w:val="left"/>
              <w:rPr>
                <w:rFonts w:ascii="Palatino Linotype" w:hAnsi="Palatino Linotype"/>
                <w:b/>
                <w:sz w:val="12"/>
              </w:rPr>
            </w:pPr>
            <w:r>
              <w:rPr>
                <w:rFonts w:ascii="Palatino Linotype" w:hAnsi="Palatino Linotype"/>
                <w:b/>
                <w:color w:val="010202"/>
                <w:w w:val="90"/>
                <w:sz w:val="12"/>
              </w:rPr>
              <w:t>Mario Cortéz Saucedo</w:t>
            </w:r>
          </w:p>
        </w:tc>
        <w:tc>
          <w:tcPr>
            <w:tcW w:w="567" w:type="dxa"/>
          </w:tcPr>
          <w:p>
            <w:pPr/>
          </w:p>
        </w:tc>
        <w:tc>
          <w:tcPr>
            <w:tcW w:w="567" w:type="dxa"/>
          </w:tcPr>
          <w:p>
            <w:pPr/>
          </w:p>
        </w:tc>
        <w:tc>
          <w:tcPr>
            <w:tcW w:w="2381" w:type="dxa"/>
          </w:tcPr>
          <w:p>
            <w:pPr>
              <w:pStyle w:val="TableParagraph"/>
              <w:spacing w:before="97"/>
              <w:ind w:left="106" w:right="106"/>
              <w:rPr>
                <w:sz w:val="12"/>
              </w:rPr>
            </w:pPr>
            <w:r>
              <w:rPr>
                <w:color w:val="010202"/>
                <w:sz w:val="12"/>
              </w:rPr>
              <w:t>Autopartes</w:t>
            </w:r>
          </w:p>
        </w:tc>
      </w:tr>
      <w:tr>
        <w:trPr>
          <w:trHeight w:val="687" w:hRule="exact"/>
        </w:trPr>
        <w:tc>
          <w:tcPr>
            <w:tcW w:w="340" w:type="dxa"/>
          </w:tcPr>
          <w:p>
            <w:pPr>
              <w:pStyle w:val="TableParagraph"/>
              <w:jc w:val="left"/>
              <w:rPr>
                <w:sz w:val="12"/>
              </w:rPr>
            </w:pPr>
          </w:p>
          <w:p>
            <w:pPr>
              <w:pStyle w:val="TableParagraph"/>
              <w:spacing w:before="5"/>
              <w:jc w:val="left"/>
              <w:rPr>
                <w:sz w:val="11"/>
              </w:rPr>
            </w:pPr>
          </w:p>
          <w:p>
            <w:pPr>
              <w:pStyle w:val="TableParagraph"/>
              <w:ind w:left="46" w:right="46"/>
              <w:rPr>
                <w:sz w:val="12"/>
              </w:rPr>
            </w:pPr>
            <w:r>
              <w:rPr>
                <w:color w:val="010202"/>
                <w:sz w:val="12"/>
              </w:rPr>
              <w:t>175</w:t>
            </w:r>
          </w:p>
        </w:tc>
        <w:tc>
          <w:tcPr>
            <w:tcW w:w="794" w:type="dxa"/>
          </w:tcPr>
          <w:p>
            <w:pPr/>
          </w:p>
        </w:tc>
        <w:tc>
          <w:tcPr>
            <w:tcW w:w="2551" w:type="dxa"/>
          </w:tcPr>
          <w:p>
            <w:pPr>
              <w:pStyle w:val="TableParagraph"/>
              <w:spacing w:before="6"/>
              <w:jc w:val="left"/>
              <w:rPr>
                <w:sz w:val="16"/>
              </w:rPr>
            </w:pPr>
          </w:p>
          <w:p>
            <w:pPr>
              <w:pStyle w:val="TableParagraph"/>
              <w:spacing w:line="147" w:lineRule="exact"/>
              <w:rPr>
                <w:rFonts w:ascii="Palatino Linotype"/>
                <w:b/>
                <w:sz w:val="12"/>
              </w:rPr>
            </w:pPr>
            <w:r>
              <w:rPr>
                <w:rFonts w:ascii="Palatino Linotype"/>
                <w:b/>
                <w:color w:val="010202"/>
                <w:w w:val="95"/>
                <w:sz w:val="12"/>
              </w:rPr>
              <w:t>Mecanismos automotrices, S.A. de C.V. (gpo.</w:t>
            </w:r>
          </w:p>
          <w:p>
            <w:pPr>
              <w:pStyle w:val="TableParagraph"/>
              <w:spacing w:line="147" w:lineRule="exact"/>
              <w:rPr>
                <w:rFonts w:ascii="Palatino Linotype"/>
                <w:b/>
                <w:sz w:val="12"/>
              </w:rPr>
            </w:pPr>
            <w:r>
              <w:rPr>
                <w:rFonts w:ascii="Palatino Linotype"/>
                <w:b/>
                <w:color w:val="010202"/>
                <w:sz w:val="12"/>
              </w:rPr>
              <w:t>Aloymex)</w:t>
            </w:r>
          </w:p>
        </w:tc>
        <w:tc>
          <w:tcPr>
            <w:tcW w:w="567" w:type="dxa"/>
          </w:tcPr>
          <w:p>
            <w:pPr/>
          </w:p>
        </w:tc>
        <w:tc>
          <w:tcPr>
            <w:tcW w:w="567" w:type="dxa"/>
          </w:tcPr>
          <w:p>
            <w:pPr/>
          </w:p>
        </w:tc>
        <w:tc>
          <w:tcPr>
            <w:tcW w:w="2381" w:type="dxa"/>
          </w:tcPr>
          <w:p>
            <w:pPr>
              <w:pStyle w:val="TableParagraph"/>
              <w:spacing w:line="132" w:lineRule="exact" w:before="78"/>
              <w:ind w:left="106" w:right="106"/>
              <w:rPr>
                <w:sz w:val="12"/>
              </w:rPr>
            </w:pPr>
            <w:r>
              <w:rPr>
                <w:color w:val="010202"/>
                <w:sz w:val="12"/>
              </w:rPr>
              <w:t>Tanques de combustible en lámina negra, tanques de combustible en aluminio, tanques reserva aire en lámina negra, puertas para autobús, silenciadores</w:t>
            </w:r>
          </w:p>
        </w:tc>
      </w:tr>
    </w:tbl>
    <w:p>
      <w:pPr>
        <w:spacing w:after="0" w:line="132" w:lineRule="exact"/>
        <w:rPr>
          <w:sz w:val="12"/>
        </w:rPr>
        <w:sectPr>
          <w:footerReference w:type="even" r:id="rId407"/>
          <w:footerReference w:type="default" r:id="rId408"/>
          <w:pgSz w:w="9640" w:h="13040"/>
          <w:pgMar w:footer="654" w:header="581" w:top="780" w:bottom="840" w:left="420" w:right="1180"/>
          <w:pgNumType w:start="162"/>
        </w:sectPr>
      </w:pPr>
    </w:p>
    <w:p>
      <w:pPr>
        <w:pStyle w:val="BodyText"/>
        <w:rPr>
          <w:sz w:val="20"/>
        </w:rPr>
      </w:pPr>
    </w:p>
    <w:p>
      <w:pPr>
        <w:pStyle w:val="BodyText"/>
        <w:rPr>
          <w:sz w:val="20"/>
        </w:rPr>
      </w:pPr>
    </w:p>
    <w:p>
      <w:pPr>
        <w:pStyle w:val="BodyText"/>
        <w:spacing w:before="5"/>
        <w:rPr>
          <w:sz w:val="10"/>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52" w:hRule="exact"/>
        </w:trPr>
        <w:tc>
          <w:tcPr>
            <w:tcW w:w="340" w:type="dxa"/>
          </w:tcPr>
          <w:p>
            <w:pPr>
              <w:pStyle w:val="TableParagraph"/>
              <w:spacing w:before="4"/>
              <w:jc w:val="left"/>
              <w:rPr>
                <w:sz w:val="16"/>
              </w:rPr>
            </w:pPr>
          </w:p>
          <w:p>
            <w:pPr>
              <w:pStyle w:val="TableParagraph"/>
              <w:spacing w:before="1"/>
              <w:ind w:left="46" w:right="46"/>
              <w:rPr>
                <w:rFonts w:ascii="Palatino Linotype"/>
                <w:b/>
                <w:sz w:val="12"/>
              </w:rPr>
            </w:pPr>
            <w:r>
              <w:rPr>
                <w:rFonts w:ascii="Palatino Linotype"/>
                <w:b/>
                <w:color w:val="010202"/>
                <w:sz w:val="12"/>
              </w:rPr>
              <w:t>No.</w:t>
            </w:r>
          </w:p>
        </w:tc>
        <w:tc>
          <w:tcPr>
            <w:tcW w:w="794" w:type="dxa"/>
          </w:tcPr>
          <w:p>
            <w:pPr>
              <w:pStyle w:val="TableParagraph"/>
              <w:spacing w:before="4"/>
              <w:jc w:val="left"/>
              <w:rPr>
                <w:sz w:val="16"/>
              </w:rPr>
            </w:pPr>
          </w:p>
          <w:p>
            <w:pPr>
              <w:pStyle w:val="TableParagraph"/>
              <w:spacing w:before="1"/>
              <w:ind w:left="130"/>
              <w:jc w:val="left"/>
              <w:rPr>
                <w:rFonts w:ascii="Palatino Linotype"/>
                <w:b/>
                <w:sz w:val="12"/>
              </w:rPr>
            </w:pPr>
            <w:r>
              <w:rPr>
                <w:rFonts w:ascii="Palatino Linotype"/>
                <w:b/>
                <w:color w:val="010202"/>
                <w:sz w:val="12"/>
              </w:rPr>
              <w:t>Municipio</w:t>
            </w:r>
          </w:p>
        </w:tc>
        <w:tc>
          <w:tcPr>
            <w:tcW w:w="2551" w:type="dxa"/>
          </w:tcPr>
          <w:p>
            <w:pPr>
              <w:pStyle w:val="TableParagraph"/>
              <w:spacing w:before="4"/>
              <w:jc w:val="left"/>
              <w:rPr>
                <w:sz w:val="16"/>
              </w:rPr>
            </w:pPr>
          </w:p>
          <w:p>
            <w:pPr>
              <w:pStyle w:val="TableParagraph"/>
              <w:spacing w:before="1"/>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4"/>
              <w:jc w:val="left"/>
              <w:rPr>
                <w:sz w:val="16"/>
              </w:rPr>
            </w:pPr>
          </w:p>
          <w:p>
            <w:pPr>
              <w:pStyle w:val="TableParagraph"/>
              <w:spacing w:before="1"/>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77"/>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4"/>
              <w:jc w:val="left"/>
              <w:rPr>
                <w:sz w:val="16"/>
              </w:rPr>
            </w:pPr>
          </w:p>
          <w:p>
            <w:pPr>
              <w:pStyle w:val="TableParagraph"/>
              <w:spacing w:before="1"/>
              <w:ind w:left="106" w:right="106"/>
              <w:rPr>
                <w:rFonts w:ascii="Palatino Linotype"/>
                <w:b/>
                <w:sz w:val="12"/>
              </w:rPr>
            </w:pPr>
            <w:r>
              <w:rPr>
                <w:rFonts w:ascii="Palatino Linotype"/>
                <w:b/>
                <w:color w:val="010202"/>
                <w:w w:val="90"/>
                <w:sz w:val="12"/>
              </w:rPr>
              <w:t>Principales productos</w:t>
            </w:r>
          </w:p>
        </w:tc>
      </w:tr>
      <w:tr>
        <w:trPr>
          <w:trHeight w:val="333" w:hRule="exact"/>
        </w:trPr>
        <w:tc>
          <w:tcPr>
            <w:tcW w:w="340" w:type="dxa"/>
          </w:tcPr>
          <w:p>
            <w:pPr>
              <w:pStyle w:val="TableParagraph"/>
              <w:spacing w:before="93"/>
              <w:ind w:left="46" w:right="46"/>
              <w:rPr>
                <w:sz w:val="12"/>
              </w:rPr>
            </w:pPr>
            <w:r>
              <w:rPr>
                <w:color w:val="010202"/>
                <w:sz w:val="12"/>
              </w:rPr>
              <w:t>176</w:t>
            </w:r>
          </w:p>
        </w:tc>
        <w:tc>
          <w:tcPr>
            <w:tcW w:w="794" w:type="dxa"/>
          </w:tcPr>
          <w:p>
            <w:pPr/>
          </w:p>
        </w:tc>
        <w:tc>
          <w:tcPr>
            <w:tcW w:w="2551" w:type="dxa"/>
          </w:tcPr>
          <w:p>
            <w:pPr>
              <w:pStyle w:val="TableParagraph"/>
              <w:spacing w:line="132" w:lineRule="exact" w:before="33"/>
              <w:ind w:left="1092" w:right="69" w:hanging="907"/>
              <w:jc w:val="left"/>
              <w:rPr>
                <w:rFonts w:ascii="Palatino Linotype"/>
                <w:b/>
                <w:sz w:val="12"/>
              </w:rPr>
            </w:pPr>
            <w:r>
              <w:rPr>
                <w:rFonts w:ascii="Palatino Linotype"/>
                <w:b/>
                <w:color w:val="010202"/>
                <w:w w:val="95"/>
                <w:sz w:val="12"/>
              </w:rPr>
              <w:t>Medidores Internacionales Rochester, S.A. de C.V.</w:t>
            </w:r>
          </w:p>
        </w:tc>
        <w:tc>
          <w:tcPr>
            <w:tcW w:w="567" w:type="dxa"/>
          </w:tcPr>
          <w:p>
            <w:pPr>
              <w:pStyle w:val="TableParagraph"/>
              <w:spacing w:before="93"/>
              <w:rPr>
                <w:sz w:val="12"/>
              </w:rPr>
            </w:pPr>
            <w:r>
              <w:rPr>
                <w:color w:val="010202"/>
                <w:w w:val="96"/>
                <w:sz w:val="12"/>
              </w:rPr>
              <w:t>2</w:t>
            </w:r>
          </w:p>
        </w:tc>
        <w:tc>
          <w:tcPr>
            <w:tcW w:w="567" w:type="dxa"/>
          </w:tcPr>
          <w:p>
            <w:pPr>
              <w:pStyle w:val="TableParagraph"/>
              <w:spacing w:before="93"/>
              <w:ind w:left="244"/>
              <w:jc w:val="left"/>
              <w:rPr>
                <w:sz w:val="12"/>
              </w:rPr>
            </w:pPr>
            <w:r>
              <w:rPr>
                <w:color w:val="010202"/>
                <w:w w:val="101"/>
                <w:sz w:val="12"/>
              </w:rPr>
              <w:t>P</w:t>
            </w:r>
          </w:p>
        </w:tc>
        <w:tc>
          <w:tcPr>
            <w:tcW w:w="2381" w:type="dxa"/>
          </w:tcPr>
          <w:p>
            <w:pPr>
              <w:pStyle w:val="TableParagraph"/>
              <w:spacing w:before="93"/>
              <w:ind w:left="106" w:right="106"/>
              <w:rPr>
                <w:sz w:val="12"/>
              </w:rPr>
            </w:pPr>
            <w:r>
              <w:rPr>
                <w:color w:val="010202"/>
                <w:sz w:val="12"/>
              </w:rPr>
              <w:t>Indicador de nivel</w:t>
            </w:r>
          </w:p>
        </w:tc>
      </w:tr>
      <w:tr>
        <w:trPr>
          <w:trHeight w:val="312" w:hRule="exact"/>
        </w:trPr>
        <w:tc>
          <w:tcPr>
            <w:tcW w:w="340" w:type="dxa"/>
          </w:tcPr>
          <w:p>
            <w:pPr>
              <w:pStyle w:val="TableParagraph"/>
              <w:spacing w:before="82"/>
              <w:ind w:left="46" w:right="46"/>
              <w:rPr>
                <w:sz w:val="12"/>
              </w:rPr>
            </w:pPr>
            <w:r>
              <w:rPr>
                <w:color w:val="010202"/>
                <w:sz w:val="12"/>
              </w:rPr>
              <w:t>177</w:t>
            </w:r>
          </w:p>
        </w:tc>
        <w:tc>
          <w:tcPr>
            <w:tcW w:w="794" w:type="dxa"/>
          </w:tcPr>
          <w:p>
            <w:pPr/>
          </w:p>
        </w:tc>
        <w:tc>
          <w:tcPr>
            <w:tcW w:w="2551" w:type="dxa"/>
          </w:tcPr>
          <w:p>
            <w:pPr>
              <w:pStyle w:val="TableParagraph"/>
              <w:spacing w:before="68"/>
              <w:ind w:left="665" w:right="69"/>
              <w:jc w:val="left"/>
              <w:rPr>
                <w:rFonts w:ascii="Palatino Linotype"/>
                <w:b/>
                <w:sz w:val="12"/>
              </w:rPr>
            </w:pPr>
            <w:r>
              <w:rPr>
                <w:rFonts w:ascii="Palatino Linotype"/>
                <w:b/>
                <w:color w:val="010202"/>
                <w:w w:val="95"/>
                <w:sz w:val="12"/>
              </w:rPr>
              <w:t>Mex-bestos,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Balatas boxer</w:t>
            </w:r>
          </w:p>
        </w:tc>
      </w:tr>
      <w:tr>
        <w:trPr>
          <w:trHeight w:val="406" w:hRule="exact"/>
        </w:trPr>
        <w:tc>
          <w:tcPr>
            <w:tcW w:w="340" w:type="dxa"/>
          </w:tcPr>
          <w:p>
            <w:pPr>
              <w:pStyle w:val="TableParagraph"/>
              <w:spacing w:before="3"/>
              <w:jc w:val="left"/>
              <w:rPr>
                <w:sz w:val="11"/>
              </w:rPr>
            </w:pPr>
          </w:p>
          <w:p>
            <w:pPr>
              <w:pStyle w:val="TableParagraph"/>
              <w:ind w:left="46" w:right="46"/>
              <w:rPr>
                <w:sz w:val="12"/>
              </w:rPr>
            </w:pPr>
            <w:r>
              <w:rPr>
                <w:color w:val="010202"/>
                <w:sz w:val="12"/>
              </w:rPr>
              <w:t>178</w:t>
            </w:r>
          </w:p>
        </w:tc>
        <w:tc>
          <w:tcPr>
            <w:tcW w:w="794" w:type="dxa"/>
          </w:tcPr>
          <w:p>
            <w:pPr/>
          </w:p>
        </w:tc>
        <w:tc>
          <w:tcPr>
            <w:tcW w:w="2551" w:type="dxa"/>
          </w:tcPr>
          <w:p>
            <w:pPr>
              <w:pStyle w:val="TableParagraph"/>
              <w:jc w:val="left"/>
              <w:rPr>
                <w:sz w:val="10"/>
              </w:rPr>
            </w:pPr>
          </w:p>
          <w:p>
            <w:pPr>
              <w:pStyle w:val="TableParagraph"/>
              <w:ind w:left="827" w:right="69"/>
              <w:jc w:val="left"/>
              <w:rPr>
                <w:rFonts w:ascii="Palatino Linotype"/>
                <w:b/>
                <w:sz w:val="12"/>
              </w:rPr>
            </w:pPr>
            <w:r>
              <w:rPr>
                <w:rFonts w:ascii="Palatino Linotype"/>
                <w:b/>
                <w:color w:val="010202"/>
                <w:w w:val="85"/>
                <w:sz w:val="12"/>
              </w:rPr>
              <w:t>Muelles  Tenayuca</w:t>
            </w:r>
          </w:p>
        </w:tc>
        <w:tc>
          <w:tcPr>
            <w:tcW w:w="567" w:type="dxa"/>
          </w:tcPr>
          <w:p>
            <w:pPr/>
          </w:p>
        </w:tc>
        <w:tc>
          <w:tcPr>
            <w:tcW w:w="567" w:type="dxa"/>
          </w:tcPr>
          <w:p>
            <w:pPr/>
          </w:p>
        </w:tc>
        <w:tc>
          <w:tcPr>
            <w:tcW w:w="2381" w:type="dxa"/>
          </w:tcPr>
          <w:p>
            <w:pPr>
              <w:pStyle w:val="TableParagraph"/>
              <w:spacing w:line="132" w:lineRule="exact" w:before="70"/>
              <w:ind w:left="803" w:right="-17" w:hanging="603"/>
              <w:jc w:val="left"/>
              <w:rPr>
                <w:sz w:val="12"/>
              </w:rPr>
            </w:pPr>
            <w:r>
              <w:rPr>
                <w:color w:val="010202"/>
                <w:sz w:val="12"/>
              </w:rPr>
              <w:t>Muelles para camiones, para camioneta y tractocamiones.</w:t>
            </w:r>
          </w:p>
        </w:tc>
      </w:tr>
      <w:tr>
        <w:trPr>
          <w:trHeight w:val="340" w:hRule="exact"/>
        </w:trPr>
        <w:tc>
          <w:tcPr>
            <w:tcW w:w="340" w:type="dxa"/>
          </w:tcPr>
          <w:p>
            <w:pPr>
              <w:pStyle w:val="TableParagraph"/>
              <w:spacing w:before="96"/>
              <w:ind w:left="46" w:right="46"/>
              <w:rPr>
                <w:sz w:val="12"/>
              </w:rPr>
            </w:pPr>
            <w:r>
              <w:rPr>
                <w:color w:val="010202"/>
                <w:sz w:val="12"/>
              </w:rPr>
              <w:t>179</w:t>
            </w:r>
          </w:p>
        </w:tc>
        <w:tc>
          <w:tcPr>
            <w:tcW w:w="794" w:type="dxa"/>
          </w:tcPr>
          <w:p>
            <w:pPr/>
          </w:p>
        </w:tc>
        <w:tc>
          <w:tcPr>
            <w:tcW w:w="2551" w:type="dxa"/>
          </w:tcPr>
          <w:p>
            <w:pPr>
              <w:pStyle w:val="TableParagraph"/>
              <w:spacing w:before="82"/>
              <w:ind w:left="807" w:right="69"/>
              <w:jc w:val="left"/>
              <w:rPr>
                <w:rFonts w:ascii="Palatino Linotype"/>
                <w:b/>
                <w:sz w:val="12"/>
              </w:rPr>
            </w:pPr>
            <w:r>
              <w:rPr>
                <w:rFonts w:ascii="Palatino Linotype"/>
                <w:b/>
                <w:color w:val="010202"/>
                <w:w w:val="95"/>
                <w:sz w:val="12"/>
              </w:rPr>
              <w:t>Nicro, S.A. de C.V.</w:t>
            </w:r>
          </w:p>
        </w:tc>
        <w:tc>
          <w:tcPr>
            <w:tcW w:w="567" w:type="dxa"/>
          </w:tcPr>
          <w:p>
            <w:pPr>
              <w:pStyle w:val="TableParagraph"/>
              <w:spacing w:before="96"/>
              <w:rPr>
                <w:sz w:val="12"/>
              </w:rPr>
            </w:pPr>
            <w:r>
              <w:rPr>
                <w:color w:val="010202"/>
                <w:w w:val="96"/>
                <w:sz w:val="12"/>
              </w:rPr>
              <w:t>3</w:t>
            </w:r>
          </w:p>
        </w:tc>
        <w:tc>
          <w:tcPr>
            <w:tcW w:w="567" w:type="dxa"/>
          </w:tcPr>
          <w:p>
            <w:pPr>
              <w:pStyle w:val="TableParagraph"/>
              <w:spacing w:before="96"/>
              <w:ind w:left="225"/>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Galvanostegia de Níquel y Cromo</w:t>
            </w:r>
          </w:p>
        </w:tc>
      </w:tr>
      <w:tr>
        <w:trPr>
          <w:trHeight w:val="340" w:hRule="exact"/>
        </w:trPr>
        <w:tc>
          <w:tcPr>
            <w:tcW w:w="340" w:type="dxa"/>
          </w:tcPr>
          <w:p>
            <w:pPr>
              <w:pStyle w:val="TableParagraph"/>
              <w:spacing w:before="96"/>
              <w:ind w:left="46" w:right="46"/>
              <w:rPr>
                <w:sz w:val="12"/>
              </w:rPr>
            </w:pPr>
            <w:r>
              <w:rPr>
                <w:color w:val="010202"/>
                <w:sz w:val="12"/>
              </w:rPr>
              <w:t>180</w:t>
            </w:r>
          </w:p>
        </w:tc>
        <w:tc>
          <w:tcPr>
            <w:tcW w:w="794" w:type="dxa"/>
          </w:tcPr>
          <w:p>
            <w:pPr/>
          </w:p>
        </w:tc>
        <w:tc>
          <w:tcPr>
            <w:tcW w:w="2551" w:type="dxa"/>
          </w:tcPr>
          <w:p>
            <w:pPr>
              <w:pStyle w:val="TableParagraph"/>
              <w:spacing w:before="82"/>
              <w:ind w:right="216"/>
              <w:jc w:val="right"/>
              <w:rPr>
                <w:rFonts w:ascii="Palatino Linotype"/>
                <w:b/>
                <w:sz w:val="12"/>
              </w:rPr>
            </w:pPr>
            <w:r>
              <w:rPr>
                <w:rFonts w:ascii="Palatino Linotype"/>
                <w:b/>
                <w:color w:val="010202"/>
                <w:w w:val="95"/>
                <w:sz w:val="12"/>
              </w:rPr>
              <w:t>NSK Rodamientos Mexicana,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Rodamientos para transmisión</w:t>
            </w:r>
          </w:p>
        </w:tc>
      </w:tr>
      <w:tr>
        <w:trPr>
          <w:trHeight w:val="340" w:hRule="exact"/>
        </w:trPr>
        <w:tc>
          <w:tcPr>
            <w:tcW w:w="340" w:type="dxa"/>
          </w:tcPr>
          <w:p>
            <w:pPr>
              <w:pStyle w:val="TableParagraph"/>
              <w:spacing w:before="96"/>
              <w:ind w:left="46" w:right="46"/>
              <w:rPr>
                <w:sz w:val="12"/>
              </w:rPr>
            </w:pPr>
            <w:r>
              <w:rPr>
                <w:color w:val="010202"/>
                <w:sz w:val="12"/>
              </w:rPr>
              <w:t>181</w:t>
            </w:r>
          </w:p>
        </w:tc>
        <w:tc>
          <w:tcPr>
            <w:tcW w:w="794" w:type="dxa"/>
          </w:tcPr>
          <w:p>
            <w:pPr/>
          </w:p>
        </w:tc>
        <w:tc>
          <w:tcPr>
            <w:tcW w:w="2551" w:type="dxa"/>
          </w:tcPr>
          <w:p>
            <w:pPr>
              <w:pStyle w:val="TableParagraph"/>
              <w:spacing w:before="82"/>
              <w:ind w:left="238" w:right="69"/>
              <w:jc w:val="left"/>
              <w:rPr>
                <w:rFonts w:ascii="Palatino Linotype" w:hAnsi="Palatino Linotype"/>
                <w:b/>
                <w:sz w:val="12"/>
              </w:rPr>
            </w:pPr>
            <w:r>
              <w:rPr>
                <w:rFonts w:ascii="Palatino Linotype" w:hAnsi="Palatino Linotype"/>
                <w:b/>
                <w:color w:val="010202"/>
                <w:w w:val="95"/>
                <w:sz w:val="12"/>
              </w:rPr>
              <w:t>Plásticos Laminados Joremi,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Piezas de plástico</w:t>
            </w:r>
          </w:p>
        </w:tc>
      </w:tr>
      <w:tr>
        <w:trPr>
          <w:trHeight w:val="340" w:hRule="exact"/>
        </w:trPr>
        <w:tc>
          <w:tcPr>
            <w:tcW w:w="340" w:type="dxa"/>
          </w:tcPr>
          <w:p>
            <w:pPr>
              <w:pStyle w:val="TableParagraph"/>
              <w:spacing w:before="96"/>
              <w:ind w:left="46" w:right="46"/>
              <w:rPr>
                <w:sz w:val="12"/>
              </w:rPr>
            </w:pPr>
            <w:r>
              <w:rPr>
                <w:color w:val="010202"/>
                <w:sz w:val="12"/>
              </w:rPr>
              <w:t>182</w:t>
            </w:r>
          </w:p>
        </w:tc>
        <w:tc>
          <w:tcPr>
            <w:tcW w:w="794" w:type="dxa"/>
          </w:tcPr>
          <w:p>
            <w:pPr/>
          </w:p>
        </w:tc>
        <w:tc>
          <w:tcPr>
            <w:tcW w:w="2551" w:type="dxa"/>
          </w:tcPr>
          <w:p>
            <w:pPr>
              <w:pStyle w:val="TableParagraph"/>
              <w:spacing w:before="82"/>
              <w:ind w:right="113"/>
              <w:jc w:val="right"/>
              <w:rPr>
                <w:rFonts w:ascii="Palatino Linotype"/>
                <w:b/>
                <w:sz w:val="12"/>
              </w:rPr>
            </w:pPr>
            <w:r>
              <w:rPr>
                <w:rFonts w:ascii="Palatino Linotype"/>
                <w:b/>
                <w:color w:val="010202"/>
                <w:w w:val="95"/>
                <w:sz w:val="12"/>
              </w:rPr>
              <w:t>Productos de Hule Automotrices,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6" w:right="106"/>
              <w:rPr>
                <w:sz w:val="12"/>
              </w:rPr>
            </w:pPr>
            <w:r>
              <w:rPr>
                <w:color w:val="010202"/>
                <w:sz w:val="12"/>
              </w:rPr>
              <w:t>Hule</w:t>
            </w:r>
          </w:p>
        </w:tc>
      </w:tr>
      <w:tr>
        <w:trPr>
          <w:trHeight w:val="425" w:hRule="exact"/>
        </w:trPr>
        <w:tc>
          <w:tcPr>
            <w:tcW w:w="340" w:type="dxa"/>
          </w:tcPr>
          <w:p>
            <w:pPr>
              <w:pStyle w:val="TableParagraph"/>
              <w:spacing w:before="1"/>
              <w:jc w:val="left"/>
              <w:rPr>
                <w:sz w:val="12"/>
              </w:rPr>
            </w:pPr>
          </w:p>
          <w:p>
            <w:pPr>
              <w:pStyle w:val="TableParagraph"/>
              <w:ind w:left="46" w:right="46"/>
              <w:rPr>
                <w:sz w:val="12"/>
              </w:rPr>
            </w:pPr>
            <w:r>
              <w:rPr>
                <w:color w:val="010202"/>
                <w:sz w:val="12"/>
              </w:rPr>
              <w:t>183</w:t>
            </w:r>
          </w:p>
        </w:tc>
        <w:tc>
          <w:tcPr>
            <w:tcW w:w="794" w:type="dxa"/>
          </w:tcPr>
          <w:p>
            <w:pPr/>
          </w:p>
        </w:tc>
        <w:tc>
          <w:tcPr>
            <w:tcW w:w="2551" w:type="dxa"/>
          </w:tcPr>
          <w:p>
            <w:pPr>
              <w:pStyle w:val="TableParagraph"/>
              <w:spacing w:before="10"/>
              <w:jc w:val="left"/>
              <w:rPr>
                <w:sz w:val="10"/>
              </w:rPr>
            </w:pPr>
          </w:p>
          <w:p>
            <w:pPr>
              <w:pStyle w:val="TableParagraph"/>
              <w:ind w:right="165"/>
              <w:jc w:val="right"/>
              <w:rPr>
                <w:rFonts w:ascii="Palatino Linotype" w:hAnsi="Palatino Linotype"/>
                <w:b/>
                <w:sz w:val="12"/>
              </w:rPr>
            </w:pPr>
            <w:r>
              <w:rPr>
                <w:rFonts w:ascii="Palatino Linotype" w:hAnsi="Palatino Linotype"/>
                <w:b/>
                <w:color w:val="010202"/>
                <w:w w:val="95"/>
                <w:sz w:val="12"/>
              </w:rPr>
              <w:t>Productos metálicos en general, S.A. de C.V.</w:t>
            </w:r>
          </w:p>
        </w:tc>
        <w:tc>
          <w:tcPr>
            <w:tcW w:w="567" w:type="dxa"/>
          </w:tcPr>
          <w:p>
            <w:pPr/>
          </w:p>
        </w:tc>
        <w:tc>
          <w:tcPr>
            <w:tcW w:w="567" w:type="dxa"/>
          </w:tcPr>
          <w:p>
            <w:pPr/>
          </w:p>
        </w:tc>
        <w:tc>
          <w:tcPr>
            <w:tcW w:w="2381" w:type="dxa"/>
          </w:tcPr>
          <w:p>
            <w:pPr>
              <w:pStyle w:val="TableParagraph"/>
              <w:spacing w:line="132" w:lineRule="exact" w:before="80"/>
              <w:ind w:left="235" w:right="226" w:firstLine="14"/>
              <w:jc w:val="left"/>
              <w:rPr>
                <w:sz w:val="12"/>
              </w:rPr>
            </w:pPr>
            <w:r>
              <w:rPr>
                <w:color w:val="010202"/>
                <w:sz w:val="12"/>
              </w:rPr>
              <w:t>Poleas para uso automotriz, embragues industriales para motores estacionarios</w:t>
            </w:r>
          </w:p>
        </w:tc>
      </w:tr>
      <w:tr>
        <w:trPr>
          <w:trHeight w:val="340" w:hRule="exact"/>
        </w:trPr>
        <w:tc>
          <w:tcPr>
            <w:tcW w:w="340" w:type="dxa"/>
          </w:tcPr>
          <w:p>
            <w:pPr>
              <w:pStyle w:val="TableParagraph"/>
              <w:spacing w:before="96"/>
              <w:ind w:left="46" w:right="46"/>
              <w:rPr>
                <w:sz w:val="12"/>
              </w:rPr>
            </w:pPr>
            <w:r>
              <w:rPr>
                <w:color w:val="010202"/>
                <w:sz w:val="12"/>
              </w:rPr>
              <w:t>184</w:t>
            </w:r>
          </w:p>
        </w:tc>
        <w:tc>
          <w:tcPr>
            <w:tcW w:w="794" w:type="dxa"/>
          </w:tcPr>
          <w:p>
            <w:pPr/>
          </w:p>
        </w:tc>
        <w:tc>
          <w:tcPr>
            <w:tcW w:w="2551" w:type="dxa"/>
          </w:tcPr>
          <w:p>
            <w:pPr>
              <w:pStyle w:val="TableParagraph"/>
              <w:spacing w:before="82"/>
              <w:ind w:right="204"/>
              <w:jc w:val="right"/>
              <w:rPr>
                <w:rFonts w:ascii="Palatino Linotype"/>
                <w:b/>
                <w:sz w:val="12"/>
              </w:rPr>
            </w:pPr>
            <w:r>
              <w:rPr>
                <w:rFonts w:ascii="Palatino Linotype"/>
                <w:b/>
                <w:color w:val="010202"/>
                <w:w w:val="95"/>
                <w:sz w:val="12"/>
              </w:rPr>
              <w:t>Resortes y Muelles de Calidad, S.C. de R.L.</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Resortes</w:t>
            </w:r>
          </w:p>
        </w:tc>
      </w:tr>
      <w:tr>
        <w:trPr>
          <w:trHeight w:val="340" w:hRule="exact"/>
        </w:trPr>
        <w:tc>
          <w:tcPr>
            <w:tcW w:w="340" w:type="dxa"/>
          </w:tcPr>
          <w:p>
            <w:pPr>
              <w:pStyle w:val="TableParagraph"/>
              <w:spacing w:before="96"/>
              <w:ind w:left="46" w:right="46"/>
              <w:rPr>
                <w:sz w:val="12"/>
              </w:rPr>
            </w:pPr>
            <w:r>
              <w:rPr>
                <w:color w:val="010202"/>
                <w:sz w:val="12"/>
              </w:rPr>
              <w:t>185</w:t>
            </w:r>
          </w:p>
        </w:tc>
        <w:tc>
          <w:tcPr>
            <w:tcW w:w="794" w:type="dxa"/>
          </w:tcPr>
          <w:p>
            <w:pPr/>
          </w:p>
        </w:tc>
        <w:tc>
          <w:tcPr>
            <w:tcW w:w="2551" w:type="dxa"/>
          </w:tcPr>
          <w:p>
            <w:pPr>
              <w:pStyle w:val="TableParagraph"/>
              <w:spacing w:line="132" w:lineRule="exact" w:before="37"/>
              <w:ind w:left="1149" w:right="83" w:hanging="974"/>
              <w:jc w:val="left"/>
              <w:rPr>
                <w:rFonts w:ascii="Palatino Linotype" w:hAnsi="Palatino Linotype"/>
                <w:b/>
                <w:sz w:val="12"/>
              </w:rPr>
            </w:pPr>
            <w:r>
              <w:rPr>
                <w:rFonts w:ascii="Palatino Linotype" w:hAnsi="Palatino Linotype"/>
                <w:b/>
                <w:color w:val="010202"/>
                <w:w w:val="95"/>
                <w:sz w:val="12"/>
              </w:rPr>
              <w:t>Schmolz + Bickenbach México, S.A. de C.V. </w:t>
            </w:r>
            <w:r>
              <w:rPr>
                <w:rFonts w:ascii="Palatino Linotype" w:hAnsi="Palatino Linotype"/>
                <w:b/>
                <w:color w:val="010202"/>
                <w:sz w:val="12"/>
              </w:rPr>
              <w:t>(DF)</w:t>
            </w:r>
          </w:p>
        </w:tc>
        <w:tc>
          <w:tcPr>
            <w:tcW w:w="567" w:type="dxa"/>
          </w:tcPr>
          <w:p>
            <w:pPr>
              <w:pStyle w:val="TableParagraph"/>
              <w:spacing w:before="96"/>
              <w:ind w:left="46" w:right="46"/>
              <w:rPr>
                <w:sz w:val="12"/>
              </w:rPr>
            </w:pPr>
            <w:r>
              <w:rPr>
                <w:color w:val="010202"/>
                <w:sz w:val="12"/>
              </w:rPr>
              <w:t>2 y 3</w:t>
            </w:r>
          </w:p>
        </w:tc>
        <w:tc>
          <w:tcPr>
            <w:tcW w:w="567" w:type="dxa"/>
          </w:tcPr>
          <w:p>
            <w:pPr>
              <w:pStyle w:val="TableParagraph"/>
              <w:spacing w:before="96"/>
              <w:ind w:left="244"/>
              <w:jc w:val="left"/>
              <w:rPr>
                <w:sz w:val="12"/>
              </w:rPr>
            </w:pPr>
            <w:r>
              <w:rPr>
                <w:color w:val="010202"/>
                <w:w w:val="101"/>
                <w:sz w:val="12"/>
              </w:rPr>
              <w:t>P</w:t>
            </w:r>
          </w:p>
        </w:tc>
        <w:tc>
          <w:tcPr>
            <w:tcW w:w="2381" w:type="dxa"/>
          </w:tcPr>
          <w:p>
            <w:pPr>
              <w:pStyle w:val="TableParagraph"/>
              <w:spacing w:before="96"/>
              <w:ind w:left="106" w:right="106"/>
              <w:rPr>
                <w:sz w:val="12"/>
              </w:rPr>
            </w:pPr>
            <w:r>
              <w:rPr>
                <w:color w:val="010202"/>
                <w:sz w:val="12"/>
              </w:rPr>
              <w:t>Acero de barra</w:t>
            </w:r>
          </w:p>
        </w:tc>
      </w:tr>
      <w:tr>
        <w:trPr>
          <w:trHeight w:val="439" w:hRule="exact"/>
        </w:trPr>
        <w:tc>
          <w:tcPr>
            <w:tcW w:w="340" w:type="dxa"/>
          </w:tcPr>
          <w:p>
            <w:pPr>
              <w:pStyle w:val="TableParagraph"/>
              <w:spacing w:before="8"/>
              <w:jc w:val="left"/>
              <w:rPr>
                <w:sz w:val="12"/>
              </w:rPr>
            </w:pPr>
          </w:p>
          <w:p>
            <w:pPr>
              <w:pStyle w:val="TableParagraph"/>
              <w:ind w:left="46" w:right="46"/>
              <w:rPr>
                <w:sz w:val="12"/>
              </w:rPr>
            </w:pPr>
            <w:r>
              <w:rPr>
                <w:color w:val="010202"/>
                <w:sz w:val="12"/>
              </w:rPr>
              <w:t>186</w:t>
            </w:r>
          </w:p>
        </w:tc>
        <w:tc>
          <w:tcPr>
            <w:tcW w:w="794" w:type="dxa"/>
          </w:tcPr>
          <w:p>
            <w:pPr/>
          </w:p>
        </w:tc>
        <w:tc>
          <w:tcPr>
            <w:tcW w:w="2551" w:type="dxa"/>
          </w:tcPr>
          <w:p>
            <w:pPr>
              <w:pStyle w:val="TableParagraph"/>
              <w:spacing w:before="5"/>
              <w:jc w:val="left"/>
              <w:rPr>
                <w:sz w:val="11"/>
              </w:rPr>
            </w:pPr>
          </w:p>
          <w:p>
            <w:pPr>
              <w:pStyle w:val="TableParagraph"/>
              <w:spacing w:before="1"/>
              <w:ind w:left="511" w:right="69"/>
              <w:jc w:val="left"/>
              <w:rPr>
                <w:rFonts w:ascii="Palatino Linotype" w:hAnsi="Palatino Linotype"/>
                <w:b/>
                <w:sz w:val="12"/>
              </w:rPr>
            </w:pPr>
            <w:r>
              <w:rPr>
                <w:rFonts w:ascii="Palatino Linotype" w:hAnsi="Palatino Linotype"/>
                <w:b/>
                <w:color w:val="010202"/>
                <w:w w:val="95"/>
                <w:sz w:val="12"/>
              </w:rPr>
              <w:t>Segher de México, S.A. de C.V.</w:t>
            </w:r>
          </w:p>
        </w:tc>
        <w:tc>
          <w:tcPr>
            <w:tcW w:w="567" w:type="dxa"/>
          </w:tcPr>
          <w:p>
            <w:pPr/>
          </w:p>
        </w:tc>
        <w:tc>
          <w:tcPr>
            <w:tcW w:w="567" w:type="dxa"/>
          </w:tcPr>
          <w:p>
            <w:pPr/>
          </w:p>
        </w:tc>
        <w:tc>
          <w:tcPr>
            <w:tcW w:w="2381" w:type="dxa"/>
          </w:tcPr>
          <w:p>
            <w:pPr>
              <w:pStyle w:val="TableParagraph"/>
              <w:spacing w:line="132" w:lineRule="exact" w:before="86"/>
              <w:ind w:left="547" w:right="-17" w:hanging="396"/>
              <w:jc w:val="left"/>
              <w:rPr>
                <w:sz w:val="12"/>
              </w:rPr>
            </w:pPr>
            <w:r>
              <w:rPr>
                <w:color w:val="010202"/>
                <w:sz w:val="12"/>
              </w:rPr>
              <w:t>Filtro para aceite, filtro para aire, filtro para gasolina, cartucho de filtro</w:t>
            </w:r>
          </w:p>
        </w:tc>
      </w:tr>
      <w:tr>
        <w:trPr>
          <w:trHeight w:val="340" w:hRule="exact"/>
        </w:trPr>
        <w:tc>
          <w:tcPr>
            <w:tcW w:w="340" w:type="dxa"/>
          </w:tcPr>
          <w:p>
            <w:pPr>
              <w:pStyle w:val="TableParagraph"/>
              <w:spacing w:before="96"/>
              <w:ind w:left="46" w:right="46"/>
              <w:rPr>
                <w:sz w:val="12"/>
              </w:rPr>
            </w:pPr>
            <w:r>
              <w:rPr>
                <w:color w:val="010202"/>
                <w:sz w:val="12"/>
              </w:rPr>
              <w:t>187</w:t>
            </w:r>
          </w:p>
        </w:tc>
        <w:tc>
          <w:tcPr>
            <w:tcW w:w="794" w:type="dxa"/>
          </w:tcPr>
          <w:p>
            <w:pPr/>
          </w:p>
        </w:tc>
        <w:tc>
          <w:tcPr>
            <w:tcW w:w="2551" w:type="dxa"/>
          </w:tcPr>
          <w:p>
            <w:pPr>
              <w:pStyle w:val="TableParagraph"/>
              <w:spacing w:before="83"/>
              <w:ind w:left="560" w:right="69"/>
              <w:jc w:val="left"/>
              <w:rPr>
                <w:rFonts w:ascii="Palatino Linotype"/>
                <w:b/>
                <w:sz w:val="12"/>
              </w:rPr>
            </w:pPr>
            <w:r>
              <w:rPr>
                <w:rFonts w:ascii="Palatino Linotype"/>
                <w:b/>
                <w:color w:val="010202"/>
                <w:w w:val="95"/>
                <w:sz w:val="12"/>
              </w:rPr>
              <w:t>Sika Mexicana, S. 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ind w:left="224"/>
              <w:jc w:val="left"/>
              <w:rPr>
                <w:sz w:val="12"/>
              </w:rPr>
            </w:pPr>
            <w:r>
              <w:rPr>
                <w:color w:val="010202"/>
                <w:w w:val="100"/>
                <w:sz w:val="12"/>
              </w:rPr>
              <w:t>M</w:t>
            </w:r>
          </w:p>
        </w:tc>
        <w:tc>
          <w:tcPr>
            <w:tcW w:w="2381" w:type="dxa"/>
          </w:tcPr>
          <w:p>
            <w:pPr>
              <w:pStyle w:val="TableParagraph"/>
              <w:spacing w:before="96"/>
              <w:ind w:left="105" w:right="106"/>
              <w:rPr>
                <w:sz w:val="12"/>
              </w:rPr>
            </w:pPr>
            <w:r>
              <w:rPr>
                <w:color w:val="010202"/>
                <w:sz w:val="12"/>
              </w:rPr>
              <w:t>Adhesivos</w:t>
            </w:r>
          </w:p>
        </w:tc>
      </w:tr>
      <w:tr>
        <w:trPr>
          <w:trHeight w:val="524" w:hRule="exact"/>
        </w:trPr>
        <w:tc>
          <w:tcPr>
            <w:tcW w:w="340" w:type="dxa"/>
          </w:tcPr>
          <w:p>
            <w:pPr>
              <w:pStyle w:val="TableParagraph"/>
              <w:spacing w:before="4"/>
              <w:jc w:val="left"/>
              <w:rPr>
                <w:sz w:val="16"/>
              </w:rPr>
            </w:pPr>
          </w:p>
          <w:p>
            <w:pPr>
              <w:pStyle w:val="TableParagraph"/>
              <w:spacing w:before="1"/>
              <w:ind w:left="45" w:right="46"/>
              <w:rPr>
                <w:sz w:val="12"/>
              </w:rPr>
            </w:pPr>
            <w:r>
              <w:rPr>
                <w:color w:val="010202"/>
                <w:sz w:val="12"/>
              </w:rPr>
              <w:t>188</w:t>
            </w:r>
          </w:p>
        </w:tc>
        <w:tc>
          <w:tcPr>
            <w:tcW w:w="794" w:type="dxa"/>
          </w:tcPr>
          <w:p>
            <w:pPr/>
          </w:p>
        </w:tc>
        <w:tc>
          <w:tcPr>
            <w:tcW w:w="2551" w:type="dxa"/>
          </w:tcPr>
          <w:p>
            <w:pPr>
              <w:pStyle w:val="TableParagraph"/>
              <w:spacing w:before="2"/>
              <w:jc w:val="left"/>
              <w:rPr>
                <w:sz w:val="15"/>
              </w:rPr>
            </w:pPr>
          </w:p>
          <w:p>
            <w:pPr>
              <w:pStyle w:val="TableParagraph"/>
              <w:ind w:left="318" w:right="69"/>
              <w:jc w:val="left"/>
              <w:rPr>
                <w:rFonts w:ascii="Palatino Linotype" w:hAnsi="Palatino Linotype"/>
                <w:b/>
                <w:sz w:val="12"/>
              </w:rPr>
            </w:pPr>
            <w:r>
              <w:rPr>
                <w:rFonts w:ascii="Palatino Linotype" w:hAnsi="Palatino Linotype"/>
                <w:b/>
                <w:color w:val="010202"/>
                <w:w w:val="95"/>
                <w:sz w:val="12"/>
              </w:rPr>
              <w:t>Smc Corporation México, S.A. de C.V.</w:t>
            </w:r>
          </w:p>
        </w:tc>
        <w:tc>
          <w:tcPr>
            <w:tcW w:w="567" w:type="dxa"/>
          </w:tcPr>
          <w:p>
            <w:pPr/>
          </w:p>
        </w:tc>
        <w:tc>
          <w:tcPr>
            <w:tcW w:w="567" w:type="dxa"/>
          </w:tcPr>
          <w:p>
            <w:pPr/>
          </w:p>
        </w:tc>
        <w:tc>
          <w:tcPr>
            <w:tcW w:w="2381" w:type="dxa"/>
          </w:tcPr>
          <w:p>
            <w:pPr>
              <w:pStyle w:val="TableParagraph"/>
              <w:spacing w:before="2"/>
              <w:jc w:val="left"/>
              <w:rPr>
                <w:sz w:val="11"/>
              </w:rPr>
            </w:pPr>
          </w:p>
          <w:p>
            <w:pPr>
              <w:pStyle w:val="TableParagraph"/>
              <w:spacing w:line="132" w:lineRule="exact"/>
              <w:ind w:left="201" w:right="-17" w:hanging="53"/>
              <w:jc w:val="left"/>
              <w:rPr>
                <w:sz w:val="12"/>
              </w:rPr>
            </w:pPr>
            <w:r>
              <w:rPr>
                <w:color w:val="010202"/>
                <w:sz w:val="12"/>
              </w:rPr>
              <w:t>Cilindros neumáticos, válvulas neumáticas, tubería y conexiones, sistemas de puertas</w:t>
            </w:r>
          </w:p>
        </w:tc>
      </w:tr>
      <w:tr>
        <w:trPr>
          <w:trHeight w:val="461" w:hRule="exact"/>
        </w:trPr>
        <w:tc>
          <w:tcPr>
            <w:tcW w:w="340" w:type="dxa"/>
          </w:tcPr>
          <w:p>
            <w:pPr>
              <w:pStyle w:val="TableParagraph"/>
              <w:spacing w:before="7"/>
              <w:jc w:val="left"/>
              <w:rPr>
                <w:sz w:val="13"/>
              </w:rPr>
            </w:pPr>
          </w:p>
          <w:p>
            <w:pPr>
              <w:pStyle w:val="TableParagraph"/>
              <w:ind w:left="45" w:right="46"/>
              <w:rPr>
                <w:sz w:val="12"/>
              </w:rPr>
            </w:pPr>
            <w:r>
              <w:rPr>
                <w:color w:val="010202"/>
                <w:sz w:val="12"/>
              </w:rPr>
              <w:t>189</w:t>
            </w:r>
          </w:p>
        </w:tc>
        <w:tc>
          <w:tcPr>
            <w:tcW w:w="794" w:type="dxa"/>
          </w:tcPr>
          <w:p>
            <w:pPr/>
          </w:p>
        </w:tc>
        <w:tc>
          <w:tcPr>
            <w:tcW w:w="2551" w:type="dxa"/>
          </w:tcPr>
          <w:p>
            <w:pPr>
              <w:pStyle w:val="TableParagraph"/>
              <w:spacing w:before="5"/>
              <w:jc w:val="left"/>
              <w:rPr>
                <w:sz w:val="12"/>
              </w:rPr>
            </w:pPr>
          </w:p>
          <w:p>
            <w:pPr>
              <w:pStyle w:val="TableParagraph"/>
              <w:ind w:left="455" w:right="69"/>
              <w:jc w:val="left"/>
              <w:rPr>
                <w:rFonts w:ascii="Palatino Linotype"/>
                <w:b/>
                <w:sz w:val="12"/>
              </w:rPr>
            </w:pPr>
            <w:r>
              <w:rPr>
                <w:rFonts w:ascii="Palatino Linotype"/>
                <w:b/>
                <w:color w:val="010202"/>
                <w:w w:val="95"/>
                <w:sz w:val="12"/>
              </w:rPr>
              <w:t>Tepeyac Autopartes, S.A. de C.V.</w:t>
            </w:r>
          </w:p>
        </w:tc>
        <w:tc>
          <w:tcPr>
            <w:tcW w:w="567" w:type="dxa"/>
          </w:tcPr>
          <w:p>
            <w:pPr/>
          </w:p>
        </w:tc>
        <w:tc>
          <w:tcPr>
            <w:tcW w:w="567" w:type="dxa"/>
          </w:tcPr>
          <w:p>
            <w:pPr/>
          </w:p>
        </w:tc>
        <w:tc>
          <w:tcPr>
            <w:tcW w:w="2381" w:type="dxa"/>
          </w:tcPr>
          <w:p>
            <w:pPr>
              <w:pStyle w:val="TableParagraph"/>
              <w:spacing w:line="132" w:lineRule="exact" w:before="97"/>
              <w:ind w:left="754" w:right="-17" w:hanging="561"/>
              <w:jc w:val="left"/>
              <w:rPr>
                <w:sz w:val="12"/>
              </w:rPr>
            </w:pPr>
            <w:r>
              <w:rPr>
                <w:color w:val="010202"/>
                <w:sz w:val="12"/>
              </w:rPr>
              <w:t>Mangueras flexibles, moldeadas radiador, frenos diafragmas</w:t>
            </w:r>
          </w:p>
        </w:tc>
      </w:tr>
      <w:tr>
        <w:trPr>
          <w:trHeight w:val="471" w:hRule="exact"/>
        </w:trPr>
        <w:tc>
          <w:tcPr>
            <w:tcW w:w="340" w:type="dxa"/>
          </w:tcPr>
          <w:p>
            <w:pPr>
              <w:pStyle w:val="TableParagraph"/>
              <w:jc w:val="left"/>
              <w:rPr>
                <w:sz w:val="14"/>
              </w:rPr>
            </w:pPr>
          </w:p>
          <w:p>
            <w:pPr>
              <w:pStyle w:val="TableParagraph"/>
              <w:spacing w:before="1"/>
              <w:ind w:left="45" w:right="46"/>
              <w:rPr>
                <w:sz w:val="12"/>
              </w:rPr>
            </w:pPr>
            <w:r>
              <w:rPr>
                <w:color w:val="010202"/>
                <w:sz w:val="12"/>
              </w:rPr>
              <w:t>190</w:t>
            </w:r>
          </w:p>
        </w:tc>
        <w:tc>
          <w:tcPr>
            <w:tcW w:w="794" w:type="dxa"/>
          </w:tcPr>
          <w:p>
            <w:pPr/>
          </w:p>
        </w:tc>
        <w:tc>
          <w:tcPr>
            <w:tcW w:w="2551" w:type="dxa"/>
          </w:tcPr>
          <w:p>
            <w:pPr>
              <w:pStyle w:val="TableParagraph"/>
              <w:spacing w:before="10"/>
              <w:jc w:val="left"/>
              <w:rPr>
                <w:sz w:val="12"/>
              </w:rPr>
            </w:pPr>
          </w:p>
          <w:p>
            <w:pPr>
              <w:pStyle w:val="TableParagraph"/>
              <w:ind w:left="392" w:right="69"/>
              <w:jc w:val="left"/>
              <w:rPr>
                <w:rFonts w:ascii="Palatino Linotype"/>
                <w:b/>
                <w:sz w:val="12"/>
              </w:rPr>
            </w:pPr>
            <w:r>
              <w:rPr>
                <w:rFonts w:ascii="Palatino Linotype"/>
                <w:b/>
                <w:color w:val="010202"/>
                <w:w w:val="95"/>
                <w:sz w:val="12"/>
              </w:rPr>
              <w:t>Tf Victor, S.A. de C.V. (gpo. Spicer)</w:t>
            </w:r>
          </w:p>
        </w:tc>
        <w:tc>
          <w:tcPr>
            <w:tcW w:w="567" w:type="dxa"/>
          </w:tcPr>
          <w:p>
            <w:pPr/>
          </w:p>
        </w:tc>
        <w:tc>
          <w:tcPr>
            <w:tcW w:w="567" w:type="dxa"/>
          </w:tcPr>
          <w:p>
            <w:pPr/>
          </w:p>
        </w:tc>
        <w:tc>
          <w:tcPr>
            <w:tcW w:w="2381" w:type="dxa"/>
          </w:tcPr>
          <w:p>
            <w:pPr>
              <w:pStyle w:val="TableParagraph"/>
              <w:spacing w:line="132" w:lineRule="exact" w:before="102"/>
              <w:ind w:left="583" w:right="-17" w:hanging="261"/>
              <w:jc w:val="left"/>
              <w:rPr>
                <w:sz w:val="12"/>
              </w:rPr>
            </w:pPr>
            <w:r>
              <w:rPr>
                <w:color w:val="010202"/>
                <w:sz w:val="12"/>
              </w:rPr>
              <w:t>Juntas-gasolina, juntas diésel, juntas materiales, retenes-aceite</w:t>
            </w:r>
          </w:p>
        </w:tc>
      </w:tr>
      <w:tr>
        <w:trPr>
          <w:trHeight w:val="340" w:hRule="exact"/>
        </w:trPr>
        <w:tc>
          <w:tcPr>
            <w:tcW w:w="340" w:type="dxa"/>
          </w:tcPr>
          <w:p>
            <w:pPr>
              <w:pStyle w:val="TableParagraph"/>
              <w:spacing w:before="96"/>
              <w:ind w:left="45" w:right="46"/>
              <w:rPr>
                <w:sz w:val="12"/>
              </w:rPr>
            </w:pPr>
            <w:r>
              <w:rPr>
                <w:color w:val="010202"/>
                <w:sz w:val="12"/>
              </w:rPr>
              <w:t>191</w:t>
            </w:r>
          </w:p>
        </w:tc>
        <w:tc>
          <w:tcPr>
            <w:tcW w:w="794" w:type="dxa"/>
          </w:tcPr>
          <w:p>
            <w:pPr/>
          </w:p>
        </w:tc>
        <w:tc>
          <w:tcPr>
            <w:tcW w:w="2551" w:type="dxa"/>
          </w:tcPr>
          <w:p>
            <w:pPr>
              <w:pStyle w:val="TableParagraph"/>
              <w:spacing w:line="132" w:lineRule="exact" w:before="37"/>
              <w:ind w:left="958" w:right="69" w:hanging="798"/>
              <w:jc w:val="left"/>
              <w:rPr>
                <w:rFonts w:ascii="Palatino Linotype" w:hAnsi="Palatino Linotype"/>
                <w:b/>
                <w:sz w:val="12"/>
              </w:rPr>
            </w:pPr>
            <w:r>
              <w:rPr>
                <w:rFonts w:ascii="Palatino Linotype" w:hAnsi="Palatino Linotype"/>
                <w:b/>
                <w:color w:val="010202"/>
                <w:w w:val="95"/>
                <w:sz w:val="12"/>
              </w:rPr>
              <w:t>Veyance Productos de Ingeniería, S. de R.L. </w:t>
            </w:r>
            <w:r>
              <w:rPr>
                <w:rFonts w:ascii="Palatino Linotype" w:hAnsi="Palatino Linotype"/>
                <w:b/>
                <w:color w:val="010202"/>
                <w:sz w:val="12"/>
              </w:rPr>
              <w:t>de C.V. (DF)</w:t>
            </w:r>
          </w:p>
        </w:tc>
        <w:tc>
          <w:tcPr>
            <w:tcW w:w="567" w:type="dxa"/>
          </w:tcPr>
          <w:p>
            <w:pPr>
              <w:pStyle w:val="TableParagraph"/>
              <w:spacing w:before="96"/>
              <w:ind w:right="1"/>
              <w:rPr>
                <w:sz w:val="12"/>
              </w:rPr>
            </w:pPr>
            <w:r>
              <w:rPr>
                <w:color w:val="010202"/>
                <w:w w:val="96"/>
                <w:sz w:val="12"/>
              </w:rPr>
              <w:t>1</w:t>
            </w:r>
          </w:p>
        </w:tc>
        <w:tc>
          <w:tcPr>
            <w:tcW w:w="567" w:type="dxa"/>
          </w:tcPr>
          <w:p>
            <w:pPr>
              <w:pStyle w:val="TableParagraph"/>
              <w:spacing w:before="96"/>
              <w:ind w:left="243"/>
              <w:jc w:val="left"/>
              <w:rPr>
                <w:sz w:val="12"/>
              </w:rPr>
            </w:pPr>
            <w:r>
              <w:rPr>
                <w:color w:val="010202"/>
                <w:w w:val="101"/>
                <w:sz w:val="12"/>
              </w:rPr>
              <w:t>P</w:t>
            </w:r>
          </w:p>
        </w:tc>
        <w:tc>
          <w:tcPr>
            <w:tcW w:w="2381" w:type="dxa"/>
          </w:tcPr>
          <w:p>
            <w:pPr>
              <w:pStyle w:val="TableParagraph"/>
              <w:spacing w:before="96"/>
              <w:ind w:left="105" w:right="106"/>
              <w:rPr>
                <w:sz w:val="12"/>
              </w:rPr>
            </w:pPr>
            <w:r>
              <w:rPr>
                <w:color w:val="010202"/>
                <w:sz w:val="12"/>
              </w:rPr>
              <w:t>Bandas</w:t>
            </w:r>
          </w:p>
        </w:tc>
      </w:tr>
      <w:tr>
        <w:trPr>
          <w:trHeight w:val="578" w:hRule="exact"/>
        </w:trPr>
        <w:tc>
          <w:tcPr>
            <w:tcW w:w="340" w:type="dxa"/>
          </w:tcPr>
          <w:p>
            <w:pPr>
              <w:pStyle w:val="TableParagraph"/>
              <w:jc w:val="left"/>
              <w:rPr>
                <w:sz w:val="12"/>
              </w:rPr>
            </w:pPr>
          </w:p>
          <w:p>
            <w:pPr>
              <w:pStyle w:val="TableParagraph"/>
              <w:spacing w:before="78"/>
              <w:ind w:left="45" w:right="46"/>
              <w:rPr>
                <w:sz w:val="12"/>
              </w:rPr>
            </w:pPr>
            <w:r>
              <w:rPr>
                <w:color w:val="010202"/>
                <w:sz w:val="12"/>
              </w:rPr>
              <w:t>192</w:t>
            </w:r>
          </w:p>
        </w:tc>
        <w:tc>
          <w:tcPr>
            <w:tcW w:w="794" w:type="dxa"/>
          </w:tcPr>
          <w:p>
            <w:pPr/>
          </w:p>
        </w:tc>
        <w:tc>
          <w:tcPr>
            <w:tcW w:w="2551" w:type="dxa"/>
          </w:tcPr>
          <w:p>
            <w:pPr>
              <w:pStyle w:val="TableParagraph"/>
              <w:spacing w:before="9"/>
              <w:jc w:val="left"/>
              <w:rPr>
                <w:sz w:val="11"/>
              </w:rPr>
            </w:pPr>
          </w:p>
          <w:p>
            <w:pPr>
              <w:pStyle w:val="TableParagraph"/>
              <w:spacing w:line="147" w:lineRule="exact"/>
              <w:ind w:left="1" w:right="2"/>
              <w:rPr>
                <w:rFonts w:ascii="Palatino Linotype" w:hAnsi="Palatino Linotype"/>
                <w:b/>
                <w:sz w:val="12"/>
              </w:rPr>
            </w:pPr>
            <w:r>
              <w:rPr>
                <w:rFonts w:ascii="Palatino Linotype" w:hAnsi="Palatino Linotype"/>
                <w:b/>
                <w:color w:val="010202"/>
                <w:w w:val="95"/>
                <w:sz w:val="12"/>
              </w:rPr>
              <w:t>Vidrio plano de México, S.A. de C.V. (Gpo.</w:t>
            </w:r>
          </w:p>
          <w:p>
            <w:pPr>
              <w:pStyle w:val="TableParagraph"/>
              <w:spacing w:line="147" w:lineRule="exact"/>
              <w:ind w:left="1" w:right="2"/>
              <w:rPr>
                <w:rFonts w:ascii="Palatino Linotype"/>
                <w:b/>
                <w:sz w:val="12"/>
              </w:rPr>
            </w:pPr>
            <w:r>
              <w:rPr>
                <w:rFonts w:ascii="Palatino Linotype"/>
                <w:b/>
                <w:color w:val="010202"/>
                <w:sz w:val="12"/>
              </w:rPr>
              <w:t>Vitro)</w:t>
            </w:r>
          </w:p>
        </w:tc>
        <w:tc>
          <w:tcPr>
            <w:tcW w:w="567" w:type="dxa"/>
          </w:tcPr>
          <w:p>
            <w:pPr/>
          </w:p>
        </w:tc>
        <w:tc>
          <w:tcPr>
            <w:tcW w:w="567" w:type="dxa"/>
          </w:tcPr>
          <w:p>
            <w:pPr/>
          </w:p>
        </w:tc>
        <w:tc>
          <w:tcPr>
            <w:tcW w:w="2381" w:type="dxa"/>
          </w:tcPr>
          <w:p>
            <w:pPr>
              <w:pStyle w:val="TableParagraph"/>
              <w:spacing w:line="132" w:lineRule="exact" w:before="90"/>
              <w:ind w:left="106" w:right="106"/>
              <w:rPr>
                <w:sz w:val="12"/>
              </w:rPr>
            </w:pPr>
            <w:r>
              <w:rPr>
                <w:color w:val="010202"/>
                <w:sz w:val="12"/>
              </w:rPr>
              <w:t>Cristal templado de seguridad p/ ind. Aut., cristales puertas, medallones, parabrisas, laterales</w:t>
            </w:r>
          </w:p>
        </w:tc>
      </w:tr>
      <w:tr>
        <w:trPr>
          <w:trHeight w:val="482" w:hRule="exact"/>
        </w:trPr>
        <w:tc>
          <w:tcPr>
            <w:tcW w:w="340" w:type="dxa"/>
          </w:tcPr>
          <w:p>
            <w:pPr>
              <w:pStyle w:val="TableParagraph"/>
              <w:spacing w:before="6"/>
              <w:jc w:val="left"/>
              <w:rPr>
                <w:sz w:val="14"/>
              </w:rPr>
            </w:pPr>
          </w:p>
          <w:p>
            <w:pPr>
              <w:pStyle w:val="TableParagraph"/>
              <w:ind w:left="45" w:right="46"/>
              <w:rPr>
                <w:sz w:val="12"/>
              </w:rPr>
            </w:pPr>
            <w:r>
              <w:rPr>
                <w:color w:val="010202"/>
                <w:sz w:val="12"/>
              </w:rPr>
              <w:t>193</w:t>
            </w:r>
          </w:p>
        </w:tc>
        <w:tc>
          <w:tcPr>
            <w:tcW w:w="794" w:type="dxa"/>
          </w:tcPr>
          <w:p>
            <w:pPr>
              <w:pStyle w:val="TableParagraph"/>
              <w:spacing w:before="4"/>
              <w:jc w:val="left"/>
              <w:rPr>
                <w:sz w:val="9"/>
              </w:rPr>
            </w:pPr>
          </w:p>
          <w:p>
            <w:pPr>
              <w:pStyle w:val="TableParagraph"/>
              <w:spacing w:line="132" w:lineRule="exact"/>
              <w:ind w:left="232" w:right="76" w:hanging="144"/>
              <w:jc w:val="left"/>
              <w:rPr>
                <w:sz w:val="12"/>
              </w:rPr>
            </w:pPr>
            <w:r>
              <w:rPr>
                <w:color w:val="010202"/>
                <w:sz w:val="12"/>
              </w:rPr>
              <w:t>Tlalnepantla de Baz</w:t>
            </w:r>
          </w:p>
        </w:tc>
        <w:tc>
          <w:tcPr>
            <w:tcW w:w="2551" w:type="dxa"/>
          </w:tcPr>
          <w:p>
            <w:pPr>
              <w:pStyle w:val="TableParagraph"/>
              <w:spacing w:before="4"/>
              <w:jc w:val="left"/>
              <w:rPr>
                <w:sz w:val="13"/>
              </w:rPr>
            </w:pPr>
          </w:p>
          <w:p>
            <w:pPr>
              <w:pStyle w:val="TableParagraph"/>
              <w:ind w:left="674" w:right="69"/>
              <w:jc w:val="left"/>
              <w:rPr>
                <w:rFonts w:ascii="Palatino Linotype"/>
                <w:b/>
                <w:sz w:val="12"/>
              </w:rPr>
            </w:pPr>
            <w:r>
              <w:rPr>
                <w:rFonts w:ascii="Palatino Linotype"/>
                <w:b/>
                <w:color w:val="010202"/>
                <w:w w:val="95"/>
                <w:sz w:val="12"/>
              </w:rPr>
              <w:t>Air Design, S.A. de C.V.</w:t>
            </w:r>
          </w:p>
        </w:tc>
        <w:tc>
          <w:tcPr>
            <w:tcW w:w="567" w:type="dxa"/>
          </w:tcPr>
          <w:p>
            <w:pPr>
              <w:pStyle w:val="TableParagraph"/>
              <w:spacing w:before="6"/>
              <w:jc w:val="left"/>
              <w:rPr>
                <w:sz w:val="14"/>
              </w:rPr>
            </w:pPr>
          </w:p>
          <w:p>
            <w:pPr>
              <w:pStyle w:val="TableParagraph"/>
              <w:ind w:left="45" w:right="46"/>
              <w:rPr>
                <w:sz w:val="12"/>
              </w:rPr>
            </w:pPr>
            <w:r>
              <w:rPr>
                <w:color w:val="010202"/>
                <w:sz w:val="12"/>
              </w:rPr>
              <w:t>1 y 2</w:t>
            </w:r>
          </w:p>
        </w:tc>
        <w:tc>
          <w:tcPr>
            <w:tcW w:w="567" w:type="dxa"/>
          </w:tcPr>
          <w:p>
            <w:pPr>
              <w:pStyle w:val="TableParagraph"/>
              <w:spacing w:before="6"/>
              <w:jc w:val="left"/>
              <w:rPr>
                <w:sz w:val="14"/>
              </w:rPr>
            </w:pPr>
          </w:p>
          <w:p>
            <w:pPr>
              <w:pStyle w:val="TableParagraph"/>
              <w:ind w:left="243"/>
              <w:jc w:val="left"/>
              <w:rPr>
                <w:sz w:val="12"/>
              </w:rPr>
            </w:pPr>
            <w:r>
              <w:rPr>
                <w:color w:val="010202"/>
                <w:w w:val="101"/>
                <w:sz w:val="12"/>
              </w:rPr>
              <w:t>P</w:t>
            </w:r>
          </w:p>
        </w:tc>
        <w:tc>
          <w:tcPr>
            <w:tcW w:w="2381" w:type="dxa"/>
          </w:tcPr>
          <w:p>
            <w:pPr>
              <w:pStyle w:val="TableParagraph"/>
              <w:spacing w:before="4"/>
              <w:jc w:val="left"/>
              <w:rPr>
                <w:sz w:val="9"/>
              </w:rPr>
            </w:pPr>
          </w:p>
          <w:p>
            <w:pPr>
              <w:pStyle w:val="TableParagraph"/>
              <w:spacing w:line="132" w:lineRule="exact"/>
              <w:ind w:left="852" w:right="-17" w:hanging="787"/>
              <w:jc w:val="left"/>
              <w:rPr>
                <w:sz w:val="12"/>
              </w:rPr>
            </w:pPr>
            <w:r>
              <w:rPr>
                <w:color w:val="010202"/>
                <w:sz w:val="12"/>
              </w:rPr>
              <w:t>Fascias e inyección de poliuretano (espumados para asientos)</w:t>
            </w:r>
          </w:p>
        </w:tc>
      </w:tr>
      <w:tr>
        <w:trPr>
          <w:trHeight w:val="465" w:hRule="exact"/>
        </w:trPr>
        <w:tc>
          <w:tcPr>
            <w:tcW w:w="340" w:type="dxa"/>
          </w:tcPr>
          <w:p>
            <w:pPr>
              <w:pStyle w:val="TableParagraph"/>
              <w:spacing w:before="9"/>
              <w:jc w:val="left"/>
              <w:rPr>
                <w:sz w:val="13"/>
              </w:rPr>
            </w:pPr>
          </w:p>
          <w:p>
            <w:pPr>
              <w:pStyle w:val="TableParagraph"/>
              <w:ind w:left="45" w:right="46"/>
              <w:rPr>
                <w:sz w:val="12"/>
              </w:rPr>
            </w:pPr>
            <w:r>
              <w:rPr>
                <w:color w:val="010202"/>
                <w:sz w:val="12"/>
              </w:rPr>
              <w:t>194</w:t>
            </w:r>
          </w:p>
        </w:tc>
        <w:tc>
          <w:tcPr>
            <w:tcW w:w="794" w:type="dxa"/>
          </w:tcPr>
          <w:p>
            <w:pPr/>
          </w:p>
        </w:tc>
        <w:tc>
          <w:tcPr>
            <w:tcW w:w="2551" w:type="dxa"/>
          </w:tcPr>
          <w:p>
            <w:pPr>
              <w:pStyle w:val="TableParagraph"/>
              <w:spacing w:before="7"/>
              <w:jc w:val="left"/>
              <w:rPr>
                <w:sz w:val="12"/>
              </w:rPr>
            </w:pPr>
          </w:p>
          <w:p>
            <w:pPr>
              <w:pStyle w:val="TableParagraph"/>
              <w:ind w:left="708" w:right="69"/>
              <w:jc w:val="left"/>
              <w:rPr>
                <w:rFonts w:ascii="Palatino Linotype"/>
                <w:b/>
                <w:sz w:val="12"/>
              </w:rPr>
            </w:pPr>
            <w:r>
              <w:rPr>
                <w:rFonts w:ascii="Palatino Linotype"/>
                <w:b/>
                <w:color w:val="010202"/>
                <w:w w:val="95"/>
                <w:sz w:val="12"/>
              </w:rPr>
              <w:t>Alfa Laval S.A. de C.V.</w:t>
            </w:r>
          </w:p>
        </w:tc>
        <w:tc>
          <w:tcPr>
            <w:tcW w:w="567" w:type="dxa"/>
          </w:tcPr>
          <w:p>
            <w:pPr>
              <w:pStyle w:val="TableParagraph"/>
              <w:spacing w:before="9"/>
              <w:jc w:val="left"/>
              <w:rPr>
                <w:sz w:val="13"/>
              </w:rPr>
            </w:pPr>
          </w:p>
          <w:p>
            <w:pPr>
              <w:pStyle w:val="TableParagraph"/>
              <w:ind w:right="1"/>
              <w:rPr>
                <w:sz w:val="12"/>
              </w:rPr>
            </w:pPr>
            <w:r>
              <w:rPr>
                <w:color w:val="010202"/>
                <w:w w:val="96"/>
                <w:sz w:val="12"/>
              </w:rPr>
              <w:t>1</w:t>
            </w:r>
          </w:p>
        </w:tc>
        <w:tc>
          <w:tcPr>
            <w:tcW w:w="567" w:type="dxa"/>
          </w:tcPr>
          <w:p>
            <w:pPr>
              <w:pStyle w:val="TableParagraph"/>
              <w:spacing w:before="9"/>
              <w:jc w:val="left"/>
              <w:rPr>
                <w:sz w:val="13"/>
              </w:rPr>
            </w:pPr>
          </w:p>
          <w:p>
            <w:pPr>
              <w:pStyle w:val="TableParagraph"/>
              <w:ind w:left="224"/>
              <w:jc w:val="left"/>
              <w:rPr>
                <w:sz w:val="12"/>
              </w:rPr>
            </w:pPr>
            <w:r>
              <w:rPr>
                <w:color w:val="010202"/>
                <w:w w:val="100"/>
                <w:sz w:val="12"/>
              </w:rPr>
              <w:t>M</w:t>
            </w:r>
          </w:p>
        </w:tc>
        <w:tc>
          <w:tcPr>
            <w:tcW w:w="2381" w:type="dxa"/>
          </w:tcPr>
          <w:p>
            <w:pPr>
              <w:pStyle w:val="TableParagraph"/>
              <w:spacing w:line="132" w:lineRule="exact" w:before="99"/>
              <w:ind w:left="636" w:right="-17" w:hanging="492"/>
              <w:jc w:val="left"/>
              <w:rPr>
                <w:sz w:val="12"/>
              </w:rPr>
            </w:pPr>
            <w:r>
              <w:rPr>
                <w:color w:val="010202"/>
                <w:sz w:val="12"/>
              </w:rPr>
              <w:t>Enfriamiento de aceites y refrigerantes para fabricación de motores</w:t>
            </w:r>
          </w:p>
        </w:tc>
      </w:tr>
      <w:tr>
        <w:trPr>
          <w:trHeight w:val="323" w:hRule="exact"/>
        </w:trPr>
        <w:tc>
          <w:tcPr>
            <w:tcW w:w="340" w:type="dxa"/>
          </w:tcPr>
          <w:p>
            <w:pPr>
              <w:pStyle w:val="TableParagraph"/>
              <w:spacing w:before="88"/>
              <w:ind w:left="45" w:right="46"/>
              <w:rPr>
                <w:sz w:val="12"/>
              </w:rPr>
            </w:pPr>
            <w:r>
              <w:rPr>
                <w:color w:val="010202"/>
                <w:sz w:val="12"/>
              </w:rPr>
              <w:t>195</w:t>
            </w:r>
          </w:p>
        </w:tc>
        <w:tc>
          <w:tcPr>
            <w:tcW w:w="794" w:type="dxa"/>
          </w:tcPr>
          <w:p>
            <w:pPr/>
          </w:p>
        </w:tc>
        <w:tc>
          <w:tcPr>
            <w:tcW w:w="2551" w:type="dxa"/>
          </w:tcPr>
          <w:p>
            <w:pPr>
              <w:pStyle w:val="TableParagraph"/>
              <w:spacing w:before="74"/>
              <w:ind w:left="435" w:right="69"/>
              <w:jc w:val="left"/>
              <w:rPr>
                <w:rFonts w:ascii="Palatino Linotype" w:hAnsi="Palatino Linotype"/>
                <w:b/>
                <w:sz w:val="12"/>
              </w:rPr>
            </w:pPr>
            <w:r>
              <w:rPr>
                <w:rFonts w:ascii="Palatino Linotype" w:hAnsi="Palatino Linotype"/>
                <w:b/>
                <w:color w:val="010202"/>
                <w:w w:val="95"/>
                <w:sz w:val="12"/>
              </w:rPr>
              <w:t>Álvarez Automotriz, S.A. de C.V.</w:t>
            </w:r>
          </w:p>
        </w:tc>
        <w:tc>
          <w:tcPr>
            <w:tcW w:w="567" w:type="dxa"/>
          </w:tcPr>
          <w:p>
            <w:pPr>
              <w:pStyle w:val="TableParagraph"/>
              <w:spacing w:before="88"/>
              <w:ind w:left="45" w:right="46"/>
              <w:rPr>
                <w:sz w:val="12"/>
              </w:rPr>
            </w:pPr>
            <w:r>
              <w:rPr>
                <w:color w:val="010202"/>
                <w:sz w:val="12"/>
              </w:rPr>
              <w:t>1 y 2</w:t>
            </w:r>
          </w:p>
        </w:tc>
        <w:tc>
          <w:tcPr>
            <w:tcW w:w="567" w:type="dxa"/>
          </w:tcPr>
          <w:p>
            <w:pPr>
              <w:pStyle w:val="TableParagraph"/>
              <w:spacing w:before="88"/>
              <w:ind w:left="243"/>
              <w:jc w:val="left"/>
              <w:rPr>
                <w:sz w:val="12"/>
              </w:rPr>
            </w:pPr>
            <w:r>
              <w:rPr>
                <w:color w:val="010202"/>
                <w:w w:val="101"/>
                <w:sz w:val="12"/>
              </w:rPr>
              <w:t>P</w:t>
            </w:r>
          </w:p>
        </w:tc>
        <w:tc>
          <w:tcPr>
            <w:tcW w:w="2381" w:type="dxa"/>
          </w:tcPr>
          <w:p>
            <w:pPr>
              <w:pStyle w:val="TableParagraph"/>
              <w:spacing w:before="88"/>
              <w:ind w:left="105" w:right="106"/>
              <w:rPr>
                <w:sz w:val="12"/>
              </w:rPr>
            </w:pPr>
            <w:r>
              <w:rPr>
                <w:color w:val="010202"/>
                <w:sz w:val="12"/>
              </w:rPr>
              <w:t>Partes para suspensión</w:t>
            </w:r>
          </w:p>
        </w:tc>
      </w:tr>
      <w:tr>
        <w:trPr>
          <w:trHeight w:val="323" w:hRule="exact"/>
        </w:trPr>
        <w:tc>
          <w:tcPr>
            <w:tcW w:w="340" w:type="dxa"/>
          </w:tcPr>
          <w:p>
            <w:pPr>
              <w:pStyle w:val="TableParagraph"/>
              <w:spacing w:before="88"/>
              <w:ind w:left="45" w:right="46"/>
              <w:rPr>
                <w:sz w:val="12"/>
              </w:rPr>
            </w:pPr>
            <w:r>
              <w:rPr>
                <w:color w:val="010202"/>
                <w:sz w:val="12"/>
              </w:rPr>
              <w:t>196</w:t>
            </w:r>
          </w:p>
        </w:tc>
        <w:tc>
          <w:tcPr>
            <w:tcW w:w="794" w:type="dxa"/>
          </w:tcPr>
          <w:p>
            <w:pPr/>
          </w:p>
        </w:tc>
        <w:tc>
          <w:tcPr>
            <w:tcW w:w="2551" w:type="dxa"/>
          </w:tcPr>
          <w:p>
            <w:pPr>
              <w:pStyle w:val="TableParagraph"/>
              <w:spacing w:before="74"/>
              <w:ind w:left="680" w:right="69"/>
              <w:jc w:val="left"/>
              <w:rPr>
                <w:rFonts w:ascii="Palatino Linotype"/>
                <w:b/>
                <w:sz w:val="12"/>
              </w:rPr>
            </w:pPr>
            <w:r>
              <w:rPr>
                <w:rFonts w:ascii="Palatino Linotype"/>
                <w:b/>
                <w:color w:val="010202"/>
                <w:w w:val="95"/>
                <w:sz w:val="12"/>
              </w:rPr>
              <w:t>Amsumex, S.A. de C.V.</w:t>
            </w:r>
          </w:p>
        </w:tc>
        <w:tc>
          <w:tcPr>
            <w:tcW w:w="567" w:type="dxa"/>
          </w:tcPr>
          <w:p>
            <w:pPr>
              <w:pStyle w:val="TableParagraph"/>
              <w:spacing w:before="88"/>
              <w:ind w:right="1"/>
              <w:rPr>
                <w:sz w:val="12"/>
              </w:rPr>
            </w:pPr>
            <w:r>
              <w:rPr>
                <w:color w:val="010202"/>
                <w:w w:val="96"/>
                <w:sz w:val="12"/>
              </w:rPr>
              <w:t>2</w:t>
            </w:r>
          </w:p>
        </w:tc>
        <w:tc>
          <w:tcPr>
            <w:tcW w:w="567" w:type="dxa"/>
          </w:tcPr>
          <w:p>
            <w:pPr>
              <w:pStyle w:val="TableParagraph"/>
              <w:spacing w:before="88"/>
              <w:ind w:left="243"/>
              <w:jc w:val="left"/>
              <w:rPr>
                <w:sz w:val="12"/>
              </w:rPr>
            </w:pPr>
            <w:r>
              <w:rPr>
                <w:color w:val="010202"/>
                <w:w w:val="101"/>
                <w:sz w:val="12"/>
              </w:rPr>
              <w:t>P</w:t>
            </w:r>
          </w:p>
        </w:tc>
        <w:tc>
          <w:tcPr>
            <w:tcW w:w="2381" w:type="dxa"/>
          </w:tcPr>
          <w:p>
            <w:pPr>
              <w:pStyle w:val="TableParagraph"/>
              <w:spacing w:before="88"/>
              <w:ind w:left="105" w:right="106"/>
              <w:rPr>
                <w:sz w:val="12"/>
              </w:rPr>
            </w:pPr>
            <w:r>
              <w:rPr>
                <w:color w:val="010202"/>
                <w:sz w:val="12"/>
              </w:rPr>
              <w:t>Juntas</w:t>
            </w:r>
          </w:p>
        </w:tc>
      </w:tr>
      <w:tr>
        <w:trPr>
          <w:trHeight w:val="323" w:hRule="exact"/>
        </w:trPr>
        <w:tc>
          <w:tcPr>
            <w:tcW w:w="340" w:type="dxa"/>
          </w:tcPr>
          <w:p>
            <w:pPr>
              <w:pStyle w:val="TableParagraph"/>
              <w:spacing w:before="88"/>
              <w:ind w:left="45" w:right="46"/>
              <w:rPr>
                <w:sz w:val="12"/>
              </w:rPr>
            </w:pPr>
            <w:r>
              <w:rPr>
                <w:color w:val="010202"/>
                <w:sz w:val="12"/>
              </w:rPr>
              <w:t>197</w:t>
            </w:r>
          </w:p>
        </w:tc>
        <w:tc>
          <w:tcPr>
            <w:tcW w:w="794" w:type="dxa"/>
          </w:tcPr>
          <w:p>
            <w:pPr/>
          </w:p>
        </w:tc>
        <w:tc>
          <w:tcPr>
            <w:tcW w:w="2551" w:type="dxa"/>
          </w:tcPr>
          <w:p>
            <w:pPr>
              <w:pStyle w:val="TableParagraph"/>
              <w:spacing w:before="74"/>
              <w:ind w:left="344" w:right="69"/>
              <w:jc w:val="left"/>
              <w:rPr>
                <w:rFonts w:ascii="Palatino Linotype" w:hAnsi="Palatino Linotype"/>
                <w:b/>
                <w:sz w:val="12"/>
              </w:rPr>
            </w:pPr>
            <w:r>
              <w:rPr>
                <w:rFonts w:ascii="Palatino Linotype" w:hAnsi="Palatino Linotype"/>
                <w:b/>
                <w:color w:val="010202"/>
                <w:w w:val="95"/>
                <w:sz w:val="12"/>
              </w:rPr>
              <w:t>Dispositivos Mecánicos R.B. de S.A.</w:t>
            </w:r>
          </w:p>
        </w:tc>
        <w:tc>
          <w:tcPr>
            <w:tcW w:w="567" w:type="dxa"/>
          </w:tcPr>
          <w:p>
            <w:pPr>
              <w:pStyle w:val="TableParagraph"/>
              <w:spacing w:before="88"/>
              <w:ind w:right="1"/>
              <w:rPr>
                <w:sz w:val="12"/>
              </w:rPr>
            </w:pPr>
            <w:r>
              <w:rPr>
                <w:color w:val="010202"/>
                <w:w w:val="96"/>
                <w:sz w:val="12"/>
              </w:rPr>
              <w:t>2</w:t>
            </w:r>
          </w:p>
        </w:tc>
        <w:tc>
          <w:tcPr>
            <w:tcW w:w="567" w:type="dxa"/>
          </w:tcPr>
          <w:p>
            <w:pPr>
              <w:pStyle w:val="TableParagraph"/>
              <w:spacing w:before="88"/>
              <w:ind w:left="243"/>
              <w:jc w:val="left"/>
              <w:rPr>
                <w:sz w:val="12"/>
              </w:rPr>
            </w:pPr>
            <w:r>
              <w:rPr>
                <w:color w:val="010202"/>
                <w:w w:val="101"/>
                <w:sz w:val="12"/>
              </w:rPr>
              <w:t>P</w:t>
            </w:r>
          </w:p>
        </w:tc>
        <w:tc>
          <w:tcPr>
            <w:tcW w:w="2381" w:type="dxa"/>
          </w:tcPr>
          <w:p>
            <w:pPr>
              <w:pStyle w:val="TableParagraph"/>
              <w:spacing w:before="88"/>
              <w:ind w:left="105" w:right="106"/>
              <w:rPr>
                <w:sz w:val="12"/>
              </w:rPr>
            </w:pPr>
            <w:r>
              <w:rPr>
                <w:color w:val="010202"/>
                <w:sz w:val="12"/>
              </w:rPr>
              <w:t>Troqueles</w:t>
            </w:r>
          </w:p>
        </w:tc>
      </w:tr>
      <w:tr>
        <w:trPr>
          <w:trHeight w:val="323" w:hRule="exact"/>
        </w:trPr>
        <w:tc>
          <w:tcPr>
            <w:tcW w:w="340" w:type="dxa"/>
          </w:tcPr>
          <w:p>
            <w:pPr>
              <w:pStyle w:val="TableParagraph"/>
              <w:spacing w:before="88"/>
              <w:ind w:left="45" w:right="46"/>
              <w:rPr>
                <w:sz w:val="12"/>
              </w:rPr>
            </w:pPr>
            <w:r>
              <w:rPr>
                <w:color w:val="010202"/>
                <w:sz w:val="12"/>
              </w:rPr>
              <w:t>198</w:t>
            </w:r>
          </w:p>
        </w:tc>
        <w:tc>
          <w:tcPr>
            <w:tcW w:w="794" w:type="dxa"/>
          </w:tcPr>
          <w:p>
            <w:pPr/>
          </w:p>
        </w:tc>
        <w:tc>
          <w:tcPr>
            <w:tcW w:w="2551" w:type="dxa"/>
          </w:tcPr>
          <w:p>
            <w:pPr>
              <w:pStyle w:val="TableParagraph"/>
              <w:spacing w:before="74"/>
              <w:ind w:left="790" w:right="69"/>
              <w:jc w:val="left"/>
              <w:rPr>
                <w:rFonts w:ascii="Palatino Linotype"/>
                <w:b/>
                <w:sz w:val="12"/>
              </w:rPr>
            </w:pPr>
            <w:r>
              <w:rPr>
                <w:rFonts w:ascii="Palatino Linotype"/>
                <w:b/>
                <w:color w:val="010202"/>
                <w:w w:val="95"/>
                <w:sz w:val="12"/>
              </w:rPr>
              <w:t>Rexite, S.A. de C.V.</w:t>
            </w:r>
          </w:p>
        </w:tc>
        <w:tc>
          <w:tcPr>
            <w:tcW w:w="567" w:type="dxa"/>
          </w:tcPr>
          <w:p>
            <w:pPr>
              <w:pStyle w:val="TableParagraph"/>
              <w:spacing w:before="88"/>
              <w:ind w:right="1"/>
              <w:rPr>
                <w:sz w:val="12"/>
              </w:rPr>
            </w:pPr>
            <w:r>
              <w:rPr>
                <w:color w:val="010202"/>
                <w:w w:val="96"/>
                <w:sz w:val="12"/>
              </w:rPr>
              <w:t>2</w:t>
            </w:r>
          </w:p>
        </w:tc>
        <w:tc>
          <w:tcPr>
            <w:tcW w:w="567" w:type="dxa"/>
          </w:tcPr>
          <w:p>
            <w:pPr>
              <w:pStyle w:val="TableParagraph"/>
              <w:spacing w:before="88"/>
              <w:ind w:left="243"/>
              <w:jc w:val="left"/>
              <w:rPr>
                <w:sz w:val="12"/>
              </w:rPr>
            </w:pPr>
            <w:r>
              <w:rPr>
                <w:color w:val="010202"/>
                <w:w w:val="101"/>
                <w:sz w:val="12"/>
              </w:rPr>
              <w:t>P</w:t>
            </w:r>
          </w:p>
        </w:tc>
        <w:tc>
          <w:tcPr>
            <w:tcW w:w="2381" w:type="dxa"/>
          </w:tcPr>
          <w:p>
            <w:pPr>
              <w:pStyle w:val="TableParagraph"/>
              <w:spacing w:before="88"/>
              <w:ind w:left="105" w:right="106"/>
              <w:rPr>
                <w:sz w:val="12"/>
              </w:rPr>
            </w:pPr>
            <w:r>
              <w:rPr>
                <w:color w:val="010202"/>
                <w:sz w:val="12"/>
              </w:rPr>
              <w:t>Árboles de levas y camisas de cilindros</w:t>
            </w:r>
          </w:p>
        </w:tc>
      </w:tr>
      <w:tr>
        <w:trPr>
          <w:trHeight w:val="340" w:hRule="exact"/>
        </w:trPr>
        <w:tc>
          <w:tcPr>
            <w:tcW w:w="340" w:type="dxa"/>
          </w:tcPr>
          <w:p>
            <w:pPr>
              <w:pStyle w:val="TableParagraph"/>
              <w:spacing w:before="96"/>
              <w:ind w:left="45" w:right="46"/>
              <w:rPr>
                <w:sz w:val="12"/>
              </w:rPr>
            </w:pPr>
            <w:r>
              <w:rPr>
                <w:color w:val="010202"/>
                <w:sz w:val="12"/>
              </w:rPr>
              <w:t>199</w:t>
            </w:r>
          </w:p>
        </w:tc>
        <w:tc>
          <w:tcPr>
            <w:tcW w:w="794" w:type="dxa"/>
          </w:tcPr>
          <w:p>
            <w:pPr/>
          </w:p>
        </w:tc>
        <w:tc>
          <w:tcPr>
            <w:tcW w:w="2551" w:type="dxa"/>
          </w:tcPr>
          <w:p>
            <w:pPr>
              <w:pStyle w:val="TableParagraph"/>
              <w:spacing w:before="83"/>
              <w:ind w:left="654" w:right="69"/>
              <w:jc w:val="left"/>
              <w:rPr>
                <w:rFonts w:ascii="Palatino Linotype"/>
                <w:b/>
                <w:sz w:val="12"/>
              </w:rPr>
            </w:pPr>
            <w:r>
              <w:rPr>
                <w:rFonts w:ascii="Palatino Linotype"/>
                <w:b/>
                <w:color w:val="010202"/>
                <w:w w:val="95"/>
                <w:sz w:val="12"/>
              </w:rPr>
              <w:t>Sag-Mecasa, S.A. de C.V.</w:t>
            </w:r>
          </w:p>
        </w:tc>
        <w:tc>
          <w:tcPr>
            <w:tcW w:w="567" w:type="dxa"/>
          </w:tcPr>
          <w:p>
            <w:pPr>
              <w:pStyle w:val="TableParagraph"/>
              <w:spacing w:before="96"/>
              <w:ind w:left="45" w:right="46"/>
              <w:rPr>
                <w:sz w:val="12"/>
              </w:rPr>
            </w:pPr>
            <w:r>
              <w:rPr>
                <w:color w:val="010202"/>
                <w:sz w:val="12"/>
              </w:rPr>
              <w:t>1 y 2</w:t>
            </w:r>
          </w:p>
        </w:tc>
        <w:tc>
          <w:tcPr>
            <w:tcW w:w="567" w:type="dxa"/>
          </w:tcPr>
          <w:p>
            <w:pPr>
              <w:pStyle w:val="TableParagraph"/>
              <w:spacing w:before="96"/>
              <w:ind w:left="243"/>
              <w:jc w:val="left"/>
              <w:rPr>
                <w:sz w:val="12"/>
              </w:rPr>
            </w:pPr>
            <w:r>
              <w:rPr>
                <w:color w:val="010202"/>
                <w:w w:val="101"/>
                <w:sz w:val="12"/>
              </w:rPr>
              <w:t>P</w:t>
            </w:r>
          </w:p>
        </w:tc>
        <w:tc>
          <w:tcPr>
            <w:tcW w:w="2381" w:type="dxa"/>
          </w:tcPr>
          <w:p>
            <w:pPr>
              <w:pStyle w:val="TableParagraph"/>
              <w:spacing w:before="96"/>
              <w:ind w:left="105" w:right="106"/>
              <w:rPr>
                <w:sz w:val="12"/>
              </w:rPr>
            </w:pPr>
            <w:r>
              <w:rPr>
                <w:color w:val="010202"/>
                <w:sz w:val="12"/>
              </w:rPr>
              <w:t>Tanques de gasolina de aluminio y acero</w:t>
            </w:r>
          </w:p>
        </w:tc>
      </w:tr>
      <w:tr>
        <w:trPr>
          <w:trHeight w:val="562" w:hRule="exact"/>
        </w:trPr>
        <w:tc>
          <w:tcPr>
            <w:tcW w:w="340" w:type="dxa"/>
          </w:tcPr>
          <w:p>
            <w:pPr>
              <w:pStyle w:val="TableParagraph"/>
              <w:jc w:val="left"/>
              <w:rPr>
                <w:sz w:val="12"/>
              </w:rPr>
            </w:pPr>
          </w:p>
          <w:p>
            <w:pPr>
              <w:pStyle w:val="TableParagraph"/>
              <w:spacing w:before="69"/>
              <w:ind w:left="45" w:right="46"/>
              <w:rPr>
                <w:sz w:val="12"/>
              </w:rPr>
            </w:pPr>
            <w:r>
              <w:rPr>
                <w:color w:val="010202"/>
                <w:sz w:val="12"/>
              </w:rPr>
              <w:t>200</w:t>
            </w:r>
          </w:p>
        </w:tc>
        <w:tc>
          <w:tcPr>
            <w:tcW w:w="794" w:type="dxa"/>
          </w:tcPr>
          <w:p>
            <w:pPr/>
          </w:p>
        </w:tc>
        <w:tc>
          <w:tcPr>
            <w:tcW w:w="2551" w:type="dxa"/>
          </w:tcPr>
          <w:p>
            <w:pPr>
              <w:pStyle w:val="TableParagraph"/>
              <w:spacing w:before="10"/>
              <w:jc w:val="left"/>
              <w:rPr>
                <w:sz w:val="12"/>
              </w:rPr>
            </w:pPr>
          </w:p>
          <w:p>
            <w:pPr>
              <w:pStyle w:val="TableParagraph"/>
              <w:spacing w:line="132" w:lineRule="exact"/>
              <w:ind w:left="1092" w:right="137" w:hanging="930"/>
              <w:jc w:val="left"/>
              <w:rPr>
                <w:rFonts w:ascii="Palatino Linotype"/>
                <w:b/>
                <w:sz w:val="12"/>
              </w:rPr>
            </w:pPr>
            <w:r>
              <w:rPr>
                <w:rFonts w:ascii="Palatino Linotype"/>
                <w:b/>
                <w:color w:val="010202"/>
                <w:w w:val="90"/>
                <w:sz w:val="12"/>
              </w:rPr>
              <w:t>Servicios Administrativos Industriales, S.A. </w:t>
            </w:r>
            <w:r>
              <w:rPr>
                <w:rFonts w:ascii="Palatino Linotype"/>
                <w:b/>
                <w:color w:val="010202"/>
                <w:w w:val="95"/>
                <w:sz w:val="12"/>
              </w:rPr>
              <w:t>de C.V.</w:t>
            </w:r>
          </w:p>
        </w:tc>
        <w:tc>
          <w:tcPr>
            <w:tcW w:w="567" w:type="dxa"/>
          </w:tcPr>
          <w:p>
            <w:pPr>
              <w:pStyle w:val="TableParagraph"/>
              <w:jc w:val="left"/>
              <w:rPr>
                <w:sz w:val="12"/>
              </w:rPr>
            </w:pPr>
          </w:p>
          <w:p>
            <w:pPr>
              <w:pStyle w:val="TableParagraph"/>
              <w:spacing w:before="69"/>
              <w:ind w:left="45" w:right="46"/>
              <w:rPr>
                <w:sz w:val="12"/>
              </w:rPr>
            </w:pPr>
            <w:r>
              <w:rPr>
                <w:color w:val="010202"/>
                <w:sz w:val="12"/>
              </w:rPr>
              <w:t>1 y 2</w:t>
            </w:r>
          </w:p>
        </w:tc>
        <w:tc>
          <w:tcPr>
            <w:tcW w:w="567" w:type="dxa"/>
          </w:tcPr>
          <w:p>
            <w:pPr>
              <w:pStyle w:val="TableParagraph"/>
              <w:jc w:val="left"/>
              <w:rPr>
                <w:sz w:val="12"/>
              </w:rPr>
            </w:pPr>
          </w:p>
          <w:p>
            <w:pPr>
              <w:pStyle w:val="TableParagraph"/>
              <w:spacing w:before="69"/>
              <w:ind w:left="243"/>
              <w:jc w:val="left"/>
              <w:rPr>
                <w:sz w:val="12"/>
              </w:rPr>
            </w:pPr>
            <w:r>
              <w:rPr>
                <w:color w:val="010202"/>
                <w:w w:val="101"/>
                <w:sz w:val="12"/>
              </w:rPr>
              <w:t>P</w:t>
            </w:r>
          </w:p>
        </w:tc>
        <w:tc>
          <w:tcPr>
            <w:tcW w:w="2381" w:type="dxa"/>
          </w:tcPr>
          <w:p>
            <w:pPr>
              <w:pStyle w:val="TableParagraph"/>
              <w:spacing w:before="10"/>
              <w:jc w:val="left"/>
              <w:rPr>
                <w:sz w:val="12"/>
              </w:rPr>
            </w:pPr>
          </w:p>
          <w:p>
            <w:pPr>
              <w:pStyle w:val="TableParagraph"/>
              <w:spacing w:line="132" w:lineRule="exact"/>
              <w:ind w:left="620" w:right="56" w:hanging="481"/>
              <w:jc w:val="left"/>
              <w:rPr>
                <w:sz w:val="12"/>
              </w:rPr>
            </w:pPr>
            <w:r>
              <w:rPr>
                <w:color w:val="010202"/>
                <w:sz w:val="12"/>
              </w:rPr>
              <w:t>Alimentación de combustible, direcciones y sus partes para motores</w:t>
            </w:r>
          </w:p>
        </w:tc>
      </w:tr>
    </w:tbl>
    <w:p>
      <w:pPr>
        <w:spacing w:after="0" w:line="132" w:lineRule="exact"/>
        <w:jc w:val="left"/>
        <w:rPr>
          <w:sz w:val="12"/>
        </w:rPr>
        <w:sectPr>
          <w:pgSz w:w="9640" w:h="13040"/>
          <w:pgMar w:header="580" w:footer="654" w:top="780" w:bottom="840" w:left="1200" w:right="420"/>
        </w:sectPr>
      </w:pPr>
    </w:p>
    <w:p>
      <w:pPr>
        <w:pStyle w:val="BodyText"/>
        <w:rPr>
          <w:sz w:val="20"/>
        </w:rPr>
      </w:pPr>
    </w:p>
    <w:p>
      <w:pPr>
        <w:pStyle w:val="BodyText"/>
        <w:rPr>
          <w:sz w:val="20"/>
        </w:rPr>
      </w:pPr>
    </w:p>
    <w:p>
      <w:pPr>
        <w:pStyle w:val="BodyText"/>
        <w:spacing w:before="4"/>
        <w:rPr>
          <w:sz w:val="10"/>
        </w:rPr>
      </w:pPr>
    </w:p>
    <w:tbl>
      <w:tblPr>
        <w:tblW w:w="0" w:type="auto"/>
        <w:jc w:val="left"/>
        <w:tblInd w:w="71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465" w:hRule="exact"/>
        </w:trPr>
        <w:tc>
          <w:tcPr>
            <w:tcW w:w="340" w:type="dxa"/>
          </w:tcPr>
          <w:p>
            <w:pPr>
              <w:pStyle w:val="TableParagraph"/>
              <w:spacing w:before="9"/>
              <w:jc w:val="left"/>
              <w:rPr>
                <w:sz w:val="13"/>
              </w:rPr>
            </w:pPr>
          </w:p>
          <w:p>
            <w:pPr>
              <w:pStyle w:val="TableParagraph"/>
              <w:ind w:left="45" w:right="46"/>
              <w:rPr>
                <w:sz w:val="12"/>
              </w:rPr>
            </w:pPr>
            <w:r>
              <w:rPr>
                <w:color w:val="231F20"/>
                <w:sz w:val="12"/>
              </w:rPr>
              <w:t>No.</w:t>
            </w:r>
          </w:p>
        </w:tc>
        <w:tc>
          <w:tcPr>
            <w:tcW w:w="794" w:type="dxa"/>
          </w:tcPr>
          <w:p>
            <w:pPr>
              <w:pStyle w:val="TableParagraph"/>
              <w:spacing w:before="9"/>
              <w:jc w:val="left"/>
              <w:rPr>
                <w:sz w:val="13"/>
              </w:rPr>
            </w:pPr>
          </w:p>
          <w:p>
            <w:pPr>
              <w:pStyle w:val="TableParagraph"/>
              <w:ind w:left="18" w:right="18"/>
              <w:rPr>
                <w:sz w:val="12"/>
              </w:rPr>
            </w:pPr>
            <w:r>
              <w:rPr>
                <w:color w:val="231F20"/>
                <w:sz w:val="12"/>
              </w:rPr>
              <w:t>Municipio</w:t>
            </w:r>
          </w:p>
        </w:tc>
        <w:tc>
          <w:tcPr>
            <w:tcW w:w="2551" w:type="dxa"/>
          </w:tcPr>
          <w:p>
            <w:pPr>
              <w:pStyle w:val="TableParagraph"/>
              <w:spacing w:before="9"/>
              <w:jc w:val="left"/>
              <w:rPr>
                <w:sz w:val="13"/>
              </w:rPr>
            </w:pPr>
          </w:p>
          <w:p>
            <w:pPr>
              <w:pStyle w:val="TableParagraph"/>
              <w:rPr>
                <w:sz w:val="12"/>
              </w:rPr>
            </w:pPr>
            <w:r>
              <w:rPr>
                <w:color w:val="231F20"/>
                <w:sz w:val="12"/>
              </w:rPr>
              <w:t>Compañía</w:t>
            </w:r>
          </w:p>
        </w:tc>
        <w:tc>
          <w:tcPr>
            <w:tcW w:w="567" w:type="dxa"/>
          </w:tcPr>
          <w:p>
            <w:pPr>
              <w:pStyle w:val="TableParagraph"/>
              <w:spacing w:before="6"/>
              <w:jc w:val="left"/>
              <w:rPr>
                <w:sz w:val="12"/>
              </w:rPr>
            </w:pPr>
          </w:p>
          <w:p>
            <w:pPr>
              <w:pStyle w:val="TableParagraph"/>
              <w:spacing w:before="1"/>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33"/>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6"/>
              <w:jc w:val="left"/>
              <w:rPr>
                <w:sz w:val="12"/>
              </w:rPr>
            </w:pPr>
          </w:p>
          <w:p>
            <w:pPr>
              <w:pStyle w:val="TableParagraph"/>
              <w:spacing w:before="1"/>
              <w:ind w:left="106" w:right="106"/>
              <w:rPr>
                <w:rFonts w:ascii="Palatino Linotype"/>
                <w:b/>
                <w:sz w:val="12"/>
              </w:rPr>
            </w:pPr>
            <w:r>
              <w:rPr>
                <w:rFonts w:ascii="Palatino Linotype"/>
                <w:b/>
                <w:color w:val="010202"/>
                <w:w w:val="90"/>
                <w:sz w:val="12"/>
              </w:rPr>
              <w:t>Principales productos</w:t>
            </w:r>
          </w:p>
        </w:tc>
      </w:tr>
      <w:tr>
        <w:trPr>
          <w:trHeight w:val="312" w:hRule="exact"/>
        </w:trPr>
        <w:tc>
          <w:tcPr>
            <w:tcW w:w="340" w:type="dxa"/>
          </w:tcPr>
          <w:p>
            <w:pPr>
              <w:pStyle w:val="TableParagraph"/>
              <w:spacing w:before="82"/>
              <w:ind w:left="46" w:right="46"/>
              <w:rPr>
                <w:sz w:val="12"/>
              </w:rPr>
            </w:pPr>
            <w:r>
              <w:rPr>
                <w:color w:val="010202"/>
                <w:sz w:val="12"/>
              </w:rPr>
              <w:t>201</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Tyco Electronics México, S.A.</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Terminales y conectores</w:t>
            </w:r>
          </w:p>
        </w:tc>
      </w:tr>
      <w:tr>
        <w:trPr>
          <w:trHeight w:val="333" w:hRule="exact"/>
        </w:trPr>
        <w:tc>
          <w:tcPr>
            <w:tcW w:w="340" w:type="dxa"/>
          </w:tcPr>
          <w:p>
            <w:pPr>
              <w:pStyle w:val="TableParagraph"/>
              <w:spacing w:before="93"/>
              <w:ind w:left="46" w:right="46"/>
              <w:rPr>
                <w:sz w:val="12"/>
              </w:rPr>
            </w:pPr>
            <w:r>
              <w:rPr>
                <w:color w:val="010202"/>
                <w:sz w:val="12"/>
              </w:rPr>
              <w:t>202</w:t>
            </w:r>
          </w:p>
        </w:tc>
        <w:tc>
          <w:tcPr>
            <w:tcW w:w="794" w:type="dxa"/>
          </w:tcPr>
          <w:p>
            <w:pPr>
              <w:pStyle w:val="TableParagraph"/>
              <w:spacing w:before="93"/>
              <w:ind w:left="18" w:right="18"/>
              <w:rPr>
                <w:sz w:val="12"/>
              </w:rPr>
            </w:pPr>
            <w:r>
              <w:rPr>
                <w:color w:val="010202"/>
                <w:sz w:val="12"/>
              </w:rPr>
              <w:t>Toluca</w:t>
            </w:r>
          </w:p>
        </w:tc>
        <w:tc>
          <w:tcPr>
            <w:tcW w:w="2551" w:type="dxa"/>
          </w:tcPr>
          <w:p>
            <w:pPr>
              <w:pStyle w:val="TableParagraph"/>
              <w:spacing w:before="79"/>
              <w:rPr>
                <w:rFonts w:ascii="Palatino Linotype"/>
                <w:b/>
                <w:sz w:val="12"/>
              </w:rPr>
            </w:pPr>
            <w:r>
              <w:rPr>
                <w:rFonts w:ascii="Palatino Linotype"/>
                <w:b/>
                <w:color w:val="010202"/>
                <w:w w:val="95"/>
                <w:sz w:val="12"/>
              </w:rPr>
              <w:t>Acero Prime (Planta Toluca)</w:t>
            </w:r>
          </w:p>
        </w:tc>
        <w:tc>
          <w:tcPr>
            <w:tcW w:w="567" w:type="dxa"/>
          </w:tcPr>
          <w:p>
            <w:pPr>
              <w:pStyle w:val="TableParagraph"/>
              <w:spacing w:before="93"/>
              <w:rPr>
                <w:sz w:val="12"/>
              </w:rPr>
            </w:pPr>
            <w:r>
              <w:rPr>
                <w:color w:val="010202"/>
                <w:w w:val="106"/>
                <w:sz w:val="12"/>
              </w:rPr>
              <w:t>-</w:t>
            </w:r>
          </w:p>
        </w:tc>
        <w:tc>
          <w:tcPr>
            <w:tcW w:w="567" w:type="dxa"/>
          </w:tcPr>
          <w:p>
            <w:pPr>
              <w:pStyle w:val="TableParagraph"/>
              <w:spacing w:before="93"/>
              <w:rPr>
                <w:sz w:val="12"/>
              </w:rPr>
            </w:pPr>
            <w:r>
              <w:rPr>
                <w:color w:val="010202"/>
                <w:w w:val="100"/>
                <w:sz w:val="12"/>
              </w:rPr>
              <w:t>M</w:t>
            </w:r>
          </w:p>
        </w:tc>
        <w:tc>
          <w:tcPr>
            <w:tcW w:w="2381" w:type="dxa"/>
          </w:tcPr>
          <w:p>
            <w:pPr>
              <w:pStyle w:val="TableParagraph"/>
              <w:spacing w:line="132" w:lineRule="exact" w:before="33"/>
              <w:ind w:left="1056" w:right="161" w:hanging="873"/>
              <w:jc w:val="left"/>
              <w:rPr>
                <w:sz w:val="12"/>
              </w:rPr>
            </w:pPr>
            <w:r>
              <w:rPr>
                <w:color w:val="010202"/>
                <w:sz w:val="12"/>
              </w:rPr>
              <w:t>Corte longitudinaly en hojas de lámina de acero</w:t>
            </w:r>
          </w:p>
        </w:tc>
      </w:tr>
      <w:tr>
        <w:trPr>
          <w:trHeight w:val="312" w:hRule="exact"/>
        </w:trPr>
        <w:tc>
          <w:tcPr>
            <w:tcW w:w="340" w:type="dxa"/>
          </w:tcPr>
          <w:p>
            <w:pPr>
              <w:pStyle w:val="TableParagraph"/>
              <w:spacing w:before="82"/>
              <w:ind w:left="46" w:right="46"/>
              <w:rPr>
                <w:sz w:val="12"/>
              </w:rPr>
            </w:pPr>
            <w:r>
              <w:rPr>
                <w:color w:val="010202"/>
                <w:sz w:val="12"/>
              </w:rPr>
              <w:t>203</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Autoliv Mexico S.A. de C.V. (Toluca)</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rPr>
                <w:sz w:val="12"/>
              </w:rPr>
            </w:pPr>
            <w:r>
              <w:rPr>
                <w:color w:val="010202"/>
                <w:w w:val="99"/>
                <w:sz w:val="12"/>
              </w:rPr>
              <w:t>G</w:t>
            </w:r>
          </w:p>
        </w:tc>
        <w:tc>
          <w:tcPr>
            <w:tcW w:w="2381" w:type="dxa"/>
          </w:tcPr>
          <w:p>
            <w:pPr>
              <w:pStyle w:val="TableParagraph"/>
              <w:spacing w:before="82"/>
              <w:ind w:left="106" w:right="106"/>
              <w:rPr>
                <w:sz w:val="12"/>
              </w:rPr>
            </w:pPr>
            <w:r>
              <w:rPr>
                <w:color w:val="010202"/>
                <w:sz w:val="12"/>
              </w:rPr>
              <w:t>Cinturones de seguridad</w:t>
            </w:r>
          </w:p>
        </w:tc>
      </w:tr>
      <w:tr>
        <w:trPr>
          <w:trHeight w:val="312" w:hRule="exact"/>
        </w:trPr>
        <w:tc>
          <w:tcPr>
            <w:tcW w:w="340" w:type="dxa"/>
          </w:tcPr>
          <w:p>
            <w:pPr>
              <w:pStyle w:val="TableParagraph"/>
              <w:spacing w:before="82"/>
              <w:ind w:left="46" w:right="46"/>
              <w:rPr>
                <w:sz w:val="12"/>
              </w:rPr>
            </w:pPr>
            <w:r>
              <w:rPr>
                <w:color w:val="010202"/>
                <w:sz w:val="12"/>
              </w:rPr>
              <w:t>204</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Bardahl de México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rPr>
                <w:sz w:val="12"/>
              </w:rPr>
            </w:pPr>
            <w:r>
              <w:rPr>
                <w:color w:val="010202"/>
                <w:w w:val="99"/>
                <w:sz w:val="12"/>
              </w:rPr>
              <w:t>G</w:t>
            </w:r>
          </w:p>
        </w:tc>
        <w:tc>
          <w:tcPr>
            <w:tcW w:w="2381" w:type="dxa"/>
          </w:tcPr>
          <w:p>
            <w:pPr>
              <w:pStyle w:val="TableParagraph"/>
              <w:spacing w:before="82"/>
              <w:ind w:left="106" w:right="106"/>
              <w:rPr>
                <w:sz w:val="12"/>
              </w:rPr>
            </w:pPr>
            <w:r>
              <w:rPr>
                <w:color w:val="010202"/>
                <w:sz w:val="12"/>
              </w:rPr>
              <w:t>Aceites, grasas, aditivos y lubricantes</w:t>
            </w:r>
          </w:p>
        </w:tc>
      </w:tr>
      <w:tr>
        <w:trPr>
          <w:trHeight w:val="612" w:hRule="exact"/>
        </w:trPr>
        <w:tc>
          <w:tcPr>
            <w:tcW w:w="340" w:type="dxa"/>
          </w:tcPr>
          <w:p>
            <w:pPr>
              <w:pStyle w:val="TableParagraph"/>
              <w:jc w:val="left"/>
              <w:rPr>
                <w:sz w:val="12"/>
              </w:rPr>
            </w:pPr>
          </w:p>
          <w:p>
            <w:pPr>
              <w:pStyle w:val="TableParagraph"/>
              <w:spacing w:before="94"/>
              <w:ind w:left="46" w:right="46"/>
              <w:rPr>
                <w:sz w:val="12"/>
              </w:rPr>
            </w:pPr>
            <w:r>
              <w:rPr>
                <w:color w:val="010202"/>
                <w:sz w:val="12"/>
              </w:rPr>
              <w:t>205</w:t>
            </w:r>
          </w:p>
        </w:tc>
        <w:tc>
          <w:tcPr>
            <w:tcW w:w="794" w:type="dxa"/>
          </w:tcPr>
          <w:p>
            <w:pPr/>
          </w:p>
        </w:tc>
        <w:tc>
          <w:tcPr>
            <w:tcW w:w="2551" w:type="dxa"/>
          </w:tcPr>
          <w:p>
            <w:pPr>
              <w:pStyle w:val="TableParagraph"/>
              <w:jc w:val="left"/>
              <w:rPr>
                <w:sz w:val="12"/>
              </w:rPr>
            </w:pPr>
          </w:p>
          <w:p>
            <w:pPr>
              <w:pStyle w:val="TableParagraph"/>
              <w:spacing w:before="80"/>
              <w:rPr>
                <w:rFonts w:ascii="Palatino Linotype" w:hAnsi="Palatino Linotype"/>
                <w:b/>
                <w:sz w:val="12"/>
              </w:rPr>
            </w:pPr>
            <w:r>
              <w:rPr>
                <w:rFonts w:ascii="Palatino Linotype" w:hAnsi="Palatino Linotype"/>
                <w:b/>
                <w:color w:val="010202"/>
                <w:w w:val="95"/>
                <w:sz w:val="12"/>
              </w:rPr>
              <w:t>Compañía Nacional de Abrasivos, S.A. de C.V.</w:t>
            </w:r>
          </w:p>
        </w:tc>
        <w:tc>
          <w:tcPr>
            <w:tcW w:w="567" w:type="dxa"/>
          </w:tcPr>
          <w:p>
            <w:pPr>
              <w:pStyle w:val="TableParagraph"/>
              <w:jc w:val="left"/>
              <w:rPr>
                <w:sz w:val="12"/>
              </w:rPr>
            </w:pPr>
          </w:p>
          <w:p>
            <w:pPr>
              <w:pStyle w:val="TableParagraph"/>
              <w:spacing w:before="94"/>
              <w:rPr>
                <w:sz w:val="12"/>
              </w:rPr>
            </w:pPr>
            <w:r>
              <w:rPr>
                <w:color w:val="010202"/>
                <w:w w:val="96"/>
                <w:sz w:val="12"/>
              </w:rPr>
              <w:t>1</w:t>
            </w:r>
          </w:p>
        </w:tc>
        <w:tc>
          <w:tcPr>
            <w:tcW w:w="567" w:type="dxa"/>
          </w:tcPr>
          <w:p>
            <w:pPr>
              <w:pStyle w:val="TableParagraph"/>
              <w:jc w:val="left"/>
              <w:rPr>
                <w:sz w:val="12"/>
              </w:rPr>
            </w:pPr>
          </w:p>
          <w:p>
            <w:pPr>
              <w:pStyle w:val="TableParagraph"/>
              <w:spacing w:before="94"/>
              <w:rPr>
                <w:sz w:val="12"/>
              </w:rPr>
            </w:pPr>
            <w:r>
              <w:rPr>
                <w:color w:val="010202"/>
                <w:w w:val="100"/>
                <w:sz w:val="12"/>
              </w:rPr>
              <w:t>M</w:t>
            </w:r>
          </w:p>
        </w:tc>
        <w:tc>
          <w:tcPr>
            <w:tcW w:w="2381" w:type="dxa"/>
          </w:tcPr>
          <w:p>
            <w:pPr>
              <w:pStyle w:val="TableParagraph"/>
              <w:spacing w:line="132" w:lineRule="exact" w:before="107"/>
              <w:ind w:left="42" w:right="40"/>
              <w:rPr>
                <w:sz w:val="12"/>
              </w:rPr>
            </w:pPr>
            <w:r>
              <w:rPr>
                <w:color w:val="010202"/>
                <w:sz w:val="12"/>
              </w:rPr>
              <w:t>Discos de corte y desbaste, discos de diamante, discos laminados, jeringas de diamante y pads de diamante, entre otros</w:t>
            </w:r>
          </w:p>
        </w:tc>
      </w:tr>
      <w:tr>
        <w:trPr>
          <w:trHeight w:val="454" w:hRule="exact"/>
        </w:trPr>
        <w:tc>
          <w:tcPr>
            <w:tcW w:w="340" w:type="dxa"/>
          </w:tcPr>
          <w:p>
            <w:pPr>
              <w:pStyle w:val="TableParagraph"/>
              <w:spacing w:before="3"/>
              <w:jc w:val="left"/>
              <w:rPr>
                <w:sz w:val="13"/>
              </w:rPr>
            </w:pPr>
          </w:p>
          <w:p>
            <w:pPr>
              <w:pStyle w:val="TableParagraph"/>
              <w:ind w:left="46" w:right="46"/>
              <w:rPr>
                <w:sz w:val="12"/>
              </w:rPr>
            </w:pPr>
            <w:r>
              <w:rPr>
                <w:color w:val="010202"/>
                <w:sz w:val="12"/>
              </w:rPr>
              <w:t>206</w:t>
            </w:r>
          </w:p>
        </w:tc>
        <w:tc>
          <w:tcPr>
            <w:tcW w:w="794" w:type="dxa"/>
          </w:tcPr>
          <w:p>
            <w:pPr/>
          </w:p>
        </w:tc>
        <w:tc>
          <w:tcPr>
            <w:tcW w:w="2551" w:type="dxa"/>
            <w:shd w:val="clear" w:color="auto" w:fill="BCBEC0"/>
          </w:tcPr>
          <w:p>
            <w:pPr>
              <w:pStyle w:val="TableParagraph"/>
              <w:spacing w:line="132" w:lineRule="exact" w:before="93"/>
              <w:ind w:left="1060" w:right="140" w:hanging="825"/>
              <w:jc w:val="left"/>
              <w:rPr>
                <w:rFonts w:ascii="Palatino Linotype" w:hAnsi="Palatino Linotype"/>
                <w:b/>
                <w:sz w:val="12"/>
              </w:rPr>
            </w:pPr>
            <w:r>
              <w:rPr>
                <w:rFonts w:ascii="Palatino Linotype" w:hAnsi="Palatino Linotype"/>
                <w:b/>
                <w:color w:val="010202"/>
                <w:w w:val="95"/>
                <w:sz w:val="12"/>
              </w:rPr>
              <w:t>Daimler-Chrysler de México, S.A. de </w:t>
            </w:r>
            <w:r>
              <w:rPr>
                <w:rFonts w:ascii="Palatino Linotype" w:hAnsi="Palatino Linotype"/>
                <w:b/>
                <w:color w:val="010202"/>
                <w:spacing w:val="-5"/>
                <w:w w:val="95"/>
                <w:sz w:val="12"/>
              </w:rPr>
              <w:t>C.V. </w:t>
            </w:r>
            <w:r>
              <w:rPr>
                <w:rFonts w:ascii="Palatino Linotype" w:hAnsi="Palatino Linotype"/>
                <w:b/>
                <w:color w:val="010202"/>
                <w:sz w:val="12"/>
              </w:rPr>
              <w:t>(Toluca)</w:t>
            </w:r>
          </w:p>
        </w:tc>
        <w:tc>
          <w:tcPr>
            <w:tcW w:w="567" w:type="dxa"/>
          </w:tcPr>
          <w:p>
            <w:pPr/>
          </w:p>
        </w:tc>
        <w:tc>
          <w:tcPr>
            <w:tcW w:w="567" w:type="dxa"/>
          </w:tcPr>
          <w:p>
            <w:pPr/>
          </w:p>
        </w:tc>
        <w:tc>
          <w:tcPr>
            <w:tcW w:w="2381" w:type="dxa"/>
          </w:tcPr>
          <w:p>
            <w:pPr>
              <w:pStyle w:val="TableParagraph"/>
              <w:spacing w:line="132" w:lineRule="exact" w:before="93"/>
              <w:ind w:left="958" w:right="-17" w:hanging="750"/>
              <w:jc w:val="left"/>
              <w:rPr>
                <w:sz w:val="12"/>
              </w:rPr>
            </w:pPr>
            <w:r>
              <w:rPr>
                <w:color w:val="010202"/>
                <w:sz w:val="12"/>
              </w:rPr>
              <w:t>Fabricación y ensamble de automóviles y camiones</w:t>
            </w:r>
          </w:p>
        </w:tc>
      </w:tr>
      <w:tr>
        <w:trPr>
          <w:trHeight w:val="431" w:hRule="exact"/>
        </w:trPr>
        <w:tc>
          <w:tcPr>
            <w:tcW w:w="340" w:type="dxa"/>
          </w:tcPr>
          <w:p>
            <w:pPr>
              <w:pStyle w:val="TableParagraph"/>
              <w:spacing w:before="3"/>
              <w:jc w:val="left"/>
              <w:rPr>
                <w:sz w:val="12"/>
              </w:rPr>
            </w:pPr>
          </w:p>
          <w:p>
            <w:pPr>
              <w:pStyle w:val="TableParagraph"/>
              <w:spacing w:before="1"/>
              <w:ind w:left="46" w:right="46"/>
              <w:rPr>
                <w:sz w:val="12"/>
              </w:rPr>
            </w:pPr>
            <w:r>
              <w:rPr>
                <w:color w:val="010202"/>
                <w:sz w:val="12"/>
              </w:rPr>
              <w:t>207</w:t>
            </w:r>
          </w:p>
        </w:tc>
        <w:tc>
          <w:tcPr>
            <w:tcW w:w="794" w:type="dxa"/>
          </w:tcPr>
          <w:p>
            <w:pPr/>
          </w:p>
        </w:tc>
        <w:tc>
          <w:tcPr>
            <w:tcW w:w="2551" w:type="dxa"/>
          </w:tcPr>
          <w:p>
            <w:pPr>
              <w:pStyle w:val="TableParagraph"/>
              <w:spacing w:before="1"/>
              <w:jc w:val="left"/>
              <w:rPr>
                <w:sz w:val="11"/>
              </w:rPr>
            </w:pPr>
          </w:p>
          <w:p>
            <w:pPr>
              <w:pStyle w:val="TableParagraph"/>
              <w:rPr>
                <w:rFonts w:ascii="Palatino Linotype" w:hAnsi="Palatino Linotype"/>
                <w:b/>
                <w:sz w:val="12"/>
              </w:rPr>
            </w:pPr>
            <w:r>
              <w:rPr>
                <w:rFonts w:ascii="Palatino Linotype" w:hAnsi="Palatino Linotype"/>
                <w:b/>
                <w:color w:val="010202"/>
                <w:w w:val="95"/>
                <w:sz w:val="12"/>
              </w:rPr>
              <w:t>Dana Heavy Axle México, S.A. de C.V. (Toluca)</w:t>
            </w:r>
          </w:p>
        </w:tc>
        <w:tc>
          <w:tcPr>
            <w:tcW w:w="567" w:type="dxa"/>
          </w:tcPr>
          <w:p>
            <w:pPr>
              <w:pStyle w:val="TableParagraph"/>
              <w:spacing w:before="3"/>
              <w:jc w:val="left"/>
              <w:rPr>
                <w:sz w:val="12"/>
              </w:rPr>
            </w:pPr>
          </w:p>
          <w:p>
            <w:pPr>
              <w:pStyle w:val="TableParagraph"/>
              <w:spacing w:before="1"/>
              <w:rPr>
                <w:sz w:val="12"/>
              </w:rPr>
            </w:pPr>
            <w:r>
              <w:rPr>
                <w:color w:val="010202"/>
                <w:w w:val="96"/>
                <w:sz w:val="12"/>
              </w:rPr>
              <w:t>2</w:t>
            </w:r>
          </w:p>
        </w:tc>
        <w:tc>
          <w:tcPr>
            <w:tcW w:w="567" w:type="dxa"/>
          </w:tcPr>
          <w:p>
            <w:pPr>
              <w:pStyle w:val="TableParagraph"/>
              <w:spacing w:before="3"/>
              <w:jc w:val="left"/>
              <w:rPr>
                <w:sz w:val="12"/>
              </w:rPr>
            </w:pPr>
          </w:p>
          <w:p>
            <w:pPr>
              <w:pStyle w:val="TableParagraph"/>
              <w:spacing w:before="1"/>
              <w:rPr>
                <w:sz w:val="12"/>
              </w:rPr>
            </w:pPr>
            <w:r>
              <w:rPr>
                <w:color w:val="010202"/>
                <w:w w:val="101"/>
                <w:sz w:val="12"/>
              </w:rPr>
              <w:t>P</w:t>
            </w:r>
          </w:p>
        </w:tc>
        <w:tc>
          <w:tcPr>
            <w:tcW w:w="2381" w:type="dxa"/>
          </w:tcPr>
          <w:p>
            <w:pPr>
              <w:pStyle w:val="TableParagraph"/>
              <w:spacing w:line="132" w:lineRule="exact" w:before="82"/>
              <w:ind w:left="959" w:right="-17" w:hanging="839"/>
              <w:jc w:val="left"/>
              <w:rPr>
                <w:sz w:val="12"/>
              </w:rPr>
            </w:pPr>
            <w:r>
              <w:rPr>
                <w:color w:val="010202"/>
                <w:sz w:val="12"/>
              </w:rPr>
              <w:t>Fabricación de otras partes y accesorios para camiones</w:t>
            </w:r>
          </w:p>
        </w:tc>
      </w:tr>
      <w:tr>
        <w:trPr>
          <w:trHeight w:val="312" w:hRule="exact"/>
        </w:trPr>
        <w:tc>
          <w:tcPr>
            <w:tcW w:w="340" w:type="dxa"/>
          </w:tcPr>
          <w:p>
            <w:pPr>
              <w:pStyle w:val="TableParagraph"/>
              <w:spacing w:before="82"/>
              <w:ind w:left="46" w:right="46"/>
              <w:rPr>
                <w:sz w:val="12"/>
              </w:rPr>
            </w:pPr>
            <w:r>
              <w:rPr>
                <w:color w:val="010202"/>
                <w:sz w:val="12"/>
              </w:rPr>
              <w:t>208</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Delpart S.A. de C.V.</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Charola transformada</w:t>
            </w:r>
          </w:p>
        </w:tc>
      </w:tr>
      <w:tr>
        <w:trPr>
          <w:trHeight w:val="312" w:hRule="exact"/>
        </w:trPr>
        <w:tc>
          <w:tcPr>
            <w:tcW w:w="340" w:type="dxa"/>
          </w:tcPr>
          <w:p>
            <w:pPr>
              <w:pStyle w:val="TableParagraph"/>
              <w:spacing w:before="82"/>
              <w:ind w:left="46" w:right="46"/>
              <w:rPr>
                <w:sz w:val="12"/>
              </w:rPr>
            </w:pPr>
            <w:r>
              <w:rPr>
                <w:color w:val="010202"/>
                <w:sz w:val="12"/>
              </w:rPr>
              <w:t>209</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0"/>
                <w:sz w:val="12"/>
              </w:rPr>
              <w:t>Diagma México Company</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Fabricación de partes automotrices</w:t>
            </w:r>
          </w:p>
        </w:tc>
      </w:tr>
      <w:tr>
        <w:trPr>
          <w:trHeight w:val="312" w:hRule="exact"/>
        </w:trPr>
        <w:tc>
          <w:tcPr>
            <w:tcW w:w="340" w:type="dxa"/>
          </w:tcPr>
          <w:p>
            <w:pPr>
              <w:pStyle w:val="TableParagraph"/>
              <w:spacing w:before="82"/>
              <w:ind w:left="46" w:right="46"/>
              <w:rPr>
                <w:sz w:val="12"/>
              </w:rPr>
            </w:pPr>
            <w:r>
              <w:rPr>
                <w:color w:val="010202"/>
                <w:sz w:val="12"/>
              </w:rPr>
              <w:t>210</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Eaton ejes,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Ejes traseros, ejes delanteros, frenos</w:t>
            </w:r>
          </w:p>
        </w:tc>
      </w:tr>
      <w:tr>
        <w:trPr>
          <w:trHeight w:val="312" w:hRule="exact"/>
        </w:trPr>
        <w:tc>
          <w:tcPr>
            <w:tcW w:w="340" w:type="dxa"/>
          </w:tcPr>
          <w:p>
            <w:pPr>
              <w:pStyle w:val="TableParagraph"/>
              <w:spacing w:before="82"/>
              <w:ind w:left="46" w:right="46"/>
              <w:rPr>
                <w:sz w:val="12"/>
              </w:rPr>
            </w:pPr>
            <w:r>
              <w:rPr>
                <w:color w:val="010202"/>
                <w:sz w:val="12"/>
              </w:rPr>
              <w:t>211</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Edscha Roof System de México,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Techos para autos convertibles</w:t>
            </w:r>
          </w:p>
        </w:tc>
      </w:tr>
      <w:tr>
        <w:trPr>
          <w:trHeight w:val="312" w:hRule="exact"/>
        </w:trPr>
        <w:tc>
          <w:tcPr>
            <w:tcW w:w="340" w:type="dxa"/>
          </w:tcPr>
          <w:p>
            <w:pPr>
              <w:pStyle w:val="TableParagraph"/>
              <w:spacing w:before="82"/>
              <w:ind w:left="46" w:right="46"/>
              <w:rPr>
                <w:sz w:val="12"/>
              </w:rPr>
            </w:pPr>
            <w:r>
              <w:rPr>
                <w:color w:val="010202"/>
                <w:sz w:val="12"/>
              </w:rPr>
              <w:t>212</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Elring Klinger México S.A. de C.V.</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Fabricación de juntas para motor</w:t>
            </w:r>
          </w:p>
        </w:tc>
      </w:tr>
      <w:tr>
        <w:trPr>
          <w:trHeight w:val="312" w:hRule="exact"/>
        </w:trPr>
        <w:tc>
          <w:tcPr>
            <w:tcW w:w="340" w:type="dxa"/>
          </w:tcPr>
          <w:p>
            <w:pPr>
              <w:pStyle w:val="TableParagraph"/>
              <w:spacing w:before="82"/>
              <w:ind w:left="46" w:right="46"/>
              <w:rPr>
                <w:sz w:val="12"/>
              </w:rPr>
            </w:pPr>
            <w:r>
              <w:rPr>
                <w:color w:val="010202"/>
                <w:sz w:val="12"/>
              </w:rPr>
              <w:t>213</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Gates de México,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Fabricación de banda automotriz</w:t>
            </w:r>
          </w:p>
        </w:tc>
      </w:tr>
      <w:tr>
        <w:trPr>
          <w:trHeight w:val="312" w:hRule="exact"/>
        </w:trPr>
        <w:tc>
          <w:tcPr>
            <w:tcW w:w="340" w:type="dxa"/>
          </w:tcPr>
          <w:p>
            <w:pPr>
              <w:pStyle w:val="TableParagraph"/>
              <w:spacing w:before="82"/>
              <w:ind w:left="46" w:right="46"/>
              <w:rPr>
                <w:sz w:val="12"/>
              </w:rPr>
            </w:pPr>
            <w:r>
              <w:rPr>
                <w:color w:val="010202"/>
                <w:sz w:val="12"/>
              </w:rPr>
              <w:t>214</w:t>
            </w:r>
          </w:p>
        </w:tc>
        <w:tc>
          <w:tcPr>
            <w:tcW w:w="794" w:type="dxa"/>
          </w:tcPr>
          <w:p>
            <w:pPr/>
          </w:p>
        </w:tc>
        <w:tc>
          <w:tcPr>
            <w:tcW w:w="2551" w:type="dxa"/>
            <w:shd w:val="clear" w:color="auto" w:fill="BCBEC0"/>
          </w:tcPr>
          <w:p>
            <w:pPr>
              <w:pStyle w:val="TableParagraph"/>
              <w:spacing w:before="68"/>
              <w:rPr>
                <w:rFonts w:ascii="Palatino Linotype" w:hAnsi="Palatino Linotype"/>
                <w:b/>
                <w:sz w:val="12"/>
              </w:rPr>
            </w:pPr>
            <w:r>
              <w:rPr>
                <w:rFonts w:ascii="Palatino Linotype" w:hAnsi="Palatino Linotype"/>
                <w:b/>
                <w:color w:val="010202"/>
                <w:w w:val="95"/>
                <w:sz w:val="12"/>
              </w:rPr>
              <w:t>General Motors de México, S. de R.L.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Ensamble de automóviles y camiones</w:t>
            </w:r>
          </w:p>
        </w:tc>
      </w:tr>
      <w:tr>
        <w:trPr>
          <w:trHeight w:val="312" w:hRule="exact"/>
        </w:trPr>
        <w:tc>
          <w:tcPr>
            <w:tcW w:w="340" w:type="dxa"/>
          </w:tcPr>
          <w:p>
            <w:pPr>
              <w:pStyle w:val="TableParagraph"/>
              <w:spacing w:before="82"/>
              <w:ind w:left="46" w:right="46"/>
              <w:rPr>
                <w:sz w:val="12"/>
              </w:rPr>
            </w:pPr>
            <w:r>
              <w:rPr>
                <w:color w:val="010202"/>
                <w:sz w:val="12"/>
              </w:rPr>
              <w:t>215</w:t>
            </w:r>
          </w:p>
        </w:tc>
        <w:tc>
          <w:tcPr>
            <w:tcW w:w="794" w:type="dxa"/>
          </w:tcPr>
          <w:p>
            <w:pPr/>
          </w:p>
        </w:tc>
        <w:tc>
          <w:tcPr>
            <w:tcW w:w="2551" w:type="dxa"/>
          </w:tcPr>
          <w:p>
            <w:pPr>
              <w:pStyle w:val="TableParagraph"/>
              <w:spacing w:before="68"/>
              <w:rPr>
                <w:rFonts w:ascii="Palatino Linotype" w:hAnsi="Palatino Linotype"/>
                <w:b/>
                <w:sz w:val="12"/>
              </w:rPr>
            </w:pPr>
            <w:r>
              <w:rPr>
                <w:rFonts w:ascii="Palatino Linotype" w:hAnsi="Palatino Linotype"/>
                <w:b/>
                <w:color w:val="010202"/>
                <w:w w:val="95"/>
                <w:sz w:val="12"/>
              </w:rPr>
              <w:t>Grupo Expomar de México, S.A. de C.V.</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Condensadores para aire acondicionado</w:t>
            </w:r>
          </w:p>
        </w:tc>
      </w:tr>
      <w:tr>
        <w:trPr>
          <w:trHeight w:val="312" w:hRule="exact"/>
        </w:trPr>
        <w:tc>
          <w:tcPr>
            <w:tcW w:w="340" w:type="dxa"/>
          </w:tcPr>
          <w:p>
            <w:pPr>
              <w:pStyle w:val="TableParagraph"/>
              <w:spacing w:before="82"/>
              <w:ind w:left="46" w:right="46"/>
              <w:rPr>
                <w:sz w:val="12"/>
              </w:rPr>
            </w:pPr>
            <w:r>
              <w:rPr>
                <w:color w:val="010202"/>
                <w:sz w:val="12"/>
              </w:rPr>
              <w:t>216</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Grupo Gysapol S.A. de C.V.</w:t>
            </w:r>
          </w:p>
        </w:tc>
        <w:tc>
          <w:tcPr>
            <w:tcW w:w="567" w:type="dxa"/>
          </w:tcPr>
          <w:p>
            <w:pPr>
              <w:pStyle w:val="TableParagraph"/>
              <w:spacing w:before="82"/>
              <w:rPr>
                <w:sz w:val="12"/>
              </w:rPr>
            </w:pPr>
            <w:r>
              <w:rPr>
                <w:color w:val="010202"/>
                <w:w w:val="96"/>
                <w:sz w:val="12"/>
              </w:rPr>
              <w:t>3</w:t>
            </w:r>
          </w:p>
        </w:tc>
        <w:tc>
          <w:tcPr>
            <w:tcW w:w="567" w:type="dxa"/>
          </w:tcPr>
          <w:p>
            <w:pPr>
              <w:pStyle w:val="TableParagraph"/>
              <w:spacing w:before="82"/>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Redillas, pisos y carrocerías plásticas</w:t>
            </w:r>
          </w:p>
        </w:tc>
      </w:tr>
      <w:tr>
        <w:trPr>
          <w:trHeight w:val="442" w:hRule="exact"/>
        </w:trPr>
        <w:tc>
          <w:tcPr>
            <w:tcW w:w="340" w:type="dxa"/>
          </w:tcPr>
          <w:p>
            <w:pPr>
              <w:pStyle w:val="TableParagraph"/>
              <w:spacing w:before="9"/>
              <w:jc w:val="left"/>
              <w:rPr>
                <w:sz w:val="12"/>
              </w:rPr>
            </w:pPr>
          </w:p>
          <w:p>
            <w:pPr>
              <w:pStyle w:val="TableParagraph"/>
              <w:ind w:left="46" w:right="46"/>
              <w:rPr>
                <w:sz w:val="12"/>
              </w:rPr>
            </w:pPr>
            <w:r>
              <w:rPr>
                <w:color w:val="010202"/>
                <w:sz w:val="12"/>
              </w:rPr>
              <w:t>217</w:t>
            </w:r>
          </w:p>
        </w:tc>
        <w:tc>
          <w:tcPr>
            <w:tcW w:w="794" w:type="dxa"/>
          </w:tcPr>
          <w:p>
            <w:pPr/>
          </w:p>
        </w:tc>
        <w:tc>
          <w:tcPr>
            <w:tcW w:w="2551" w:type="dxa"/>
          </w:tcPr>
          <w:p>
            <w:pPr>
              <w:pStyle w:val="TableParagraph"/>
              <w:spacing w:before="6"/>
              <w:jc w:val="left"/>
              <w:rPr>
                <w:sz w:val="11"/>
              </w:rPr>
            </w:pPr>
          </w:p>
          <w:p>
            <w:pPr>
              <w:pStyle w:val="TableParagraph"/>
              <w:rPr>
                <w:rFonts w:ascii="Palatino Linotype"/>
                <w:b/>
                <w:sz w:val="12"/>
              </w:rPr>
            </w:pPr>
            <w:r>
              <w:rPr>
                <w:rFonts w:ascii="Palatino Linotype"/>
                <w:b/>
                <w:color w:val="010202"/>
                <w:w w:val="95"/>
                <w:sz w:val="12"/>
              </w:rPr>
              <w:t>Hydroflex, S.A. de C.V.</w:t>
            </w:r>
          </w:p>
        </w:tc>
        <w:tc>
          <w:tcPr>
            <w:tcW w:w="567" w:type="dxa"/>
          </w:tcPr>
          <w:p>
            <w:pPr/>
          </w:p>
        </w:tc>
        <w:tc>
          <w:tcPr>
            <w:tcW w:w="567" w:type="dxa"/>
          </w:tcPr>
          <w:p>
            <w:pPr/>
          </w:p>
        </w:tc>
        <w:tc>
          <w:tcPr>
            <w:tcW w:w="2381" w:type="dxa"/>
          </w:tcPr>
          <w:p>
            <w:pPr>
              <w:pStyle w:val="TableParagraph"/>
              <w:spacing w:line="132" w:lineRule="exact" w:before="87"/>
              <w:ind w:left="376" w:right="-17" w:hanging="135"/>
              <w:jc w:val="left"/>
              <w:rPr>
                <w:sz w:val="12"/>
              </w:rPr>
            </w:pPr>
            <w:r>
              <w:rPr>
                <w:color w:val="010202"/>
                <w:sz w:val="12"/>
              </w:rPr>
              <w:t>Mangueras y conexiones de acero para- aplicación hidráulica-y ensambles</w:t>
            </w:r>
          </w:p>
        </w:tc>
      </w:tr>
      <w:tr>
        <w:trPr>
          <w:trHeight w:val="442" w:hRule="exact"/>
        </w:trPr>
        <w:tc>
          <w:tcPr>
            <w:tcW w:w="340" w:type="dxa"/>
          </w:tcPr>
          <w:p>
            <w:pPr>
              <w:pStyle w:val="TableParagraph"/>
              <w:spacing w:before="9"/>
              <w:jc w:val="left"/>
              <w:rPr>
                <w:sz w:val="12"/>
              </w:rPr>
            </w:pPr>
          </w:p>
          <w:p>
            <w:pPr>
              <w:pStyle w:val="TableParagraph"/>
              <w:ind w:left="46" w:right="46"/>
              <w:rPr>
                <w:sz w:val="12"/>
              </w:rPr>
            </w:pPr>
            <w:r>
              <w:rPr>
                <w:color w:val="010202"/>
                <w:sz w:val="12"/>
              </w:rPr>
              <w:t>218</w:t>
            </w:r>
          </w:p>
        </w:tc>
        <w:tc>
          <w:tcPr>
            <w:tcW w:w="794" w:type="dxa"/>
          </w:tcPr>
          <w:p>
            <w:pPr/>
          </w:p>
        </w:tc>
        <w:tc>
          <w:tcPr>
            <w:tcW w:w="2551" w:type="dxa"/>
          </w:tcPr>
          <w:p>
            <w:pPr>
              <w:pStyle w:val="TableParagraph"/>
              <w:spacing w:before="6"/>
              <w:jc w:val="left"/>
              <w:rPr>
                <w:sz w:val="11"/>
              </w:rPr>
            </w:pPr>
          </w:p>
          <w:p>
            <w:pPr>
              <w:pStyle w:val="TableParagraph"/>
              <w:rPr>
                <w:rFonts w:ascii="Palatino Linotype" w:hAnsi="Palatino Linotype"/>
                <w:b/>
                <w:sz w:val="12"/>
              </w:rPr>
            </w:pPr>
            <w:r>
              <w:rPr>
                <w:rFonts w:ascii="Palatino Linotype" w:hAnsi="Palatino Linotype"/>
                <w:b/>
                <w:color w:val="010202"/>
                <w:w w:val="95"/>
                <w:sz w:val="12"/>
              </w:rPr>
              <w:t>IACNA México, S. de R.L. de C.V.</w:t>
            </w:r>
          </w:p>
        </w:tc>
        <w:tc>
          <w:tcPr>
            <w:tcW w:w="567" w:type="dxa"/>
          </w:tcPr>
          <w:p>
            <w:pPr>
              <w:pStyle w:val="TableParagraph"/>
              <w:spacing w:before="9"/>
              <w:jc w:val="left"/>
              <w:rPr>
                <w:sz w:val="12"/>
              </w:rPr>
            </w:pPr>
          </w:p>
          <w:p>
            <w:pPr>
              <w:pStyle w:val="TableParagraph"/>
              <w:ind w:left="46" w:right="46"/>
              <w:rPr>
                <w:sz w:val="12"/>
              </w:rPr>
            </w:pPr>
            <w:r>
              <w:rPr>
                <w:color w:val="010202"/>
                <w:sz w:val="12"/>
              </w:rPr>
              <w:t>1 y 2</w:t>
            </w:r>
          </w:p>
        </w:tc>
        <w:tc>
          <w:tcPr>
            <w:tcW w:w="567" w:type="dxa"/>
          </w:tcPr>
          <w:p>
            <w:pPr>
              <w:pStyle w:val="TableParagraph"/>
              <w:spacing w:before="9"/>
              <w:jc w:val="left"/>
              <w:rPr>
                <w:sz w:val="12"/>
              </w:rPr>
            </w:pPr>
          </w:p>
          <w:p>
            <w:pPr>
              <w:pStyle w:val="TableParagraph"/>
              <w:rPr>
                <w:sz w:val="12"/>
              </w:rPr>
            </w:pPr>
            <w:r>
              <w:rPr>
                <w:color w:val="010202"/>
                <w:w w:val="100"/>
                <w:sz w:val="12"/>
              </w:rPr>
              <w:t>M</w:t>
            </w:r>
          </w:p>
        </w:tc>
        <w:tc>
          <w:tcPr>
            <w:tcW w:w="2381" w:type="dxa"/>
          </w:tcPr>
          <w:p>
            <w:pPr>
              <w:pStyle w:val="TableParagraph"/>
              <w:spacing w:line="132" w:lineRule="exact" w:before="87"/>
              <w:ind w:left="661" w:right="-17" w:hanging="427"/>
              <w:jc w:val="left"/>
              <w:rPr>
                <w:sz w:val="12"/>
              </w:rPr>
            </w:pPr>
            <w:r>
              <w:rPr>
                <w:color w:val="010202"/>
                <w:sz w:val="12"/>
              </w:rPr>
              <w:t>Fabricación de Autopartes Y Moldeo de Alfombra Automotriz</w:t>
            </w:r>
          </w:p>
        </w:tc>
      </w:tr>
      <w:tr>
        <w:trPr>
          <w:trHeight w:val="312" w:hRule="exact"/>
        </w:trPr>
        <w:tc>
          <w:tcPr>
            <w:tcW w:w="340" w:type="dxa"/>
          </w:tcPr>
          <w:p>
            <w:pPr>
              <w:pStyle w:val="TableParagraph"/>
              <w:spacing w:before="82"/>
              <w:ind w:left="46" w:right="46"/>
              <w:rPr>
                <w:sz w:val="12"/>
              </w:rPr>
            </w:pPr>
            <w:r>
              <w:rPr>
                <w:color w:val="010202"/>
                <w:sz w:val="12"/>
              </w:rPr>
              <w:t>219</w:t>
            </w:r>
          </w:p>
        </w:tc>
        <w:tc>
          <w:tcPr>
            <w:tcW w:w="794" w:type="dxa"/>
          </w:tcPr>
          <w:p>
            <w:pPr/>
          </w:p>
        </w:tc>
        <w:tc>
          <w:tcPr>
            <w:tcW w:w="2551" w:type="dxa"/>
          </w:tcPr>
          <w:p>
            <w:pPr>
              <w:pStyle w:val="TableParagraph"/>
              <w:spacing w:before="68"/>
              <w:rPr>
                <w:rFonts w:ascii="Palatino Linotype"/>
                <w:b/>
                <w:sz w:val="12"/>
              </w:rPr>
            </w:pPr>
            <w:r>
              <w:rPr>
                <w:rFonts w:ascii="Palatino Linotype"/>
                <w:b/>
                <w:color w:val="010202"/>
                <w:w w:val="95"/>
                <w:sz w:val="12"/>
              </w:rPr>
              <w:t>Industrias Kirkwood, S.A.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rPr>
                <w:sz w:val="12"/>
              </w:rPr>
            </w:pPr>
            <w:r>
              <w:rPr>
                <w:color w:val="010202"/>
                <w:w w:val="99"/>
                <w:sz w:val="12"/>
              </w:rPr>
              <w:t>G</w:t>
            </w:r>
          </w:p>
        </w:tc>
        <w:tc>
          <w:tcPr>
            <w:tcW w:w="2381" w:type="dxa"/>
          </w:tcPr>
          <w:p>
            <w:pPr>
              <w:pStyle w:val="TableParagraph"/>
              <w:spacing w:before="82"/>
              <w:ind w:left="106" w:right="106"/>
              <w:rPr>
                <w:sz w:val="12"/>
              </w:rPr>
            </w:pPr>
            <w:r>
              <w:rPr>
                <w:color w:val="010202"/>
                <w:sz w:val="12"/>
              </w:rPr>
              <w:t>Estampados metálicos</w:t>
            </w:r>
          </w:p>
        </w:tc>
      </w:tr>
      <w:tr>
        <w:trPr>
          <w:trHeight w:val="431" w:hRule="exact"/>
        </w:trPr>
        <w:tc>
          <w:tcPr>
            <w:tcW w:w="340" w:type="dxa"/>
          </w:tcPr>
          <w:p>
            <w:pPr>
              <w:pStyle w:val="TableParagraph"/>
              <w:spacing w:before="3"/>
              <w:jc w:val="left"/>
              <w:rPr>
                <w:sz w:val="12"/>
              </w:rPr>
            </w:pPr>
          </w:p>
          <w:p>
            <w:pPr>
              <w:pStyle w:val="TableParagraph"/>
              <w:ind w:left="46" w:right="46"/>
              <w:rPr>
                <w:sz w:val="12"/>
              </w:rPr>
            </w:pPr>
            <w:r>
              <w:rPr>
                <w:color w:val="010202"/>
                <w:sz w:val="12"/>
              </w:rPr>
              <w:t>220</w:t>
            </w:r>
          </w:p>
        </w:tc>
        <w:tc>
          <w:tcPr>
            <w:tcW w:w="794" w:type="dxa"/>
          </w:tcPr>
          <w:p>
            <w:pPr/>
          </w:p>
        </w:tc>
        <w:tc>
          <w:tcPr>
            <w:tcW w:w="2551" w:type="dxa"/>
          </w:tcPr>
          <w:p>
            <w:pPr>
              <w:pStyle w:val="TableParagraph"/>
              <w:jc w:val="left"/>
              <w:rPr>
                <w:sz w:val="11"/>
              </w:rPr>
            </w:pPr>
          </w:p>
          <w:p>
            <w:pPr>
              <w:pStyle w:val="TableParagraph"/>
              <w:spacing w:before="1"/>
              <w:rPr>
                <w:rFonts w:ascii="Palatino Linotype" w:hAnsi="Palatino Linotype"/>
                <w:b/>
                <w:sz w:val="12"/>
              </w:rPr>
            </w:pPr>
            <w:r>
              <w:rPr>
                <w:rFonts w:ascii="Palatino Linotype" w:hAnsi="Palatino Linotype"/>
                <w:b/>
                <w:color w:val="010202"/>
                <w:w w:val="95"/>
                <w:sz w:val="12"/>
              </w:rPr>
              <w:t>JSP International de México, S.A. de C.V.</w:t>
            </w:r>
          </w:p>
        </w:tc>
        <w:tc>
          <w:tcPr>
            <w:tcW w:w="567" w:type="dxa"/>
          </w:tcPr>
          <w:p>
            <w:pPr>
              <w:pStyle w:val="TableParagraph"/>
              <w:spacing w:before="3"/>
              <w:jc w:val="left"/>
              <w:rPr>
                <w:sz w:val="12"/>
              </w:rPr>
            </w:pPr>
          </w:p>
          <w:p>
            <w:pPr>
              <w:pStyle w:val="TableParagraph"/>
              <w:rPr>
                <w:sz w:val="12"/>
              </w:rPr>
            </w:pPr>
            <w:r>
              <w:rPr>
                <w:color w:val="010202"/>
                <w:w w:val="96"/>
                <w:sz w:val="12"/>
              </w:rPr>
              <w:t>1</w:t>
            </w:r>
          </w:p>
        </w:tc>
        <w:tc>
          <w:tcPr>
            <w:tcW w:w="567" w:type="dxa"/>
          </w:tcPr>
          <w:p>
            <w:pPr>
              <w:pStyle w:val="TableParagraph"/>
              <w:spacing w:before="3"/>
              <w:jc w:val="left"/>
              <w:rPr>
                <w:sz w:val="12"/>
              </w:rPr>
            </w:pPr>
          </w:p>
          <w:p>
            <w:pPr>
              <w:pStyle w:val="TableParagraph"/>
              <w:rPr>
                <w:sz w:val="12"/>
              </w:rPr>
            </w:pPr>
            <w:r>
              <w:rPr>
                <w:color w:val="010202"/>
                <w:w w:val="101"/>
                <w:sz w:val="12"/>
              </w:rPr>
              <w:t>P</w:t>
            </w:r>
          </w:p>
        </w:tc>
        <w:tc>
          <w:tcPr>
            <w:tcW w:w="2381" w:type="dxa"/>
          </w:tcPr>
          <w:p>
            <w:pPr>
              <w:pStyle w:val="TableParagraph"/>
              <w:spacing w:line="132" w:lineRule="exact" w:before="82"/>
              <w:ind w:left="896" w:right="-17" w:hanging="558"/>
              <w:jc w:val="left"/>
              <w:rPr>
                <w:sz w:val="12"/>
              </w:rPr>
            </w:pPr>
            <w:r>
              <w:rPr>
                <w:color w:val="010202"/>
                <w:sz w:val="12"/>
              </w:rPr>
              <w:t>Fabricación de partes plásticas para automóviles</w:t>
            </w:r>
          </w:p>
        </w:tc>
      </w:tr>
      <w:tr>
        <w:trPr>
          <w:trHeight w:val="340" w:hRule="exact"/>
        </w:trPr>
        <w:tc>
          <w:tcPr>
            <w:tcW w:w="340" w:type="dxa"/>
          </w:tcPr>
          <w:p>
            <w:pPr>
              <w:pStyle w:val="TableParagraph"/>
              <w:spacing w:before="96"/>
              <w:ind w:left="46" w:right="46"/>
              <w:rPr>
                <w:sz w:val="12"/>
              </w:rPr>
            </w:pPr>
            <w:r>
              <w:rPr>
                <w:color w:val="010202"/>
                <w:sz w:val="12"/>
              </w:rPr>
              <w:t>221</w:t>
            </w:r>
          </w:p>
        </w:tc>
        <w:tc>
          <w:tcPr>
            <w:tcW w:w="794" w:type="dxa"/>
          </w:tcPr>
          <w:p>
            <w:pPr/>
          </w:p>
        </w:tc>
        <w:tc>
          <w:tcPr>
            <w:tcW w:w="2551" w:type="dxa"/>
          </w:tcPr>
          <w:p>
            <w:pPr>
              <w:pStyle w:val="TableParagraph"/>
              <w:spacing w:before="82"/>
              <w:rPr>
                <w:rFonts w:ascii="Palatino Linotype" w:hAnsi="Palatino Linotype"/>
                <w:b/>
                <w:sz w:val="12"/>
              </w:rPr>
            </w:pPr>
            <w:r>
              <w:rPr>
                <w:rFonts w:ascii="Palatino Linotype" w:hAnsi="Palatino Linotype"/>
                <w:b/>
                <w:color w:val="010202"/>
                <w:w w:val="95"/>
                <w:sz w:val="12"/>
              </w:rPr>
              <w:t>Metalmod México S.A. de C.V.</w:t>
            </w:r>
          </w:p>
        </w:tc>
        <w:tc>
          <w:tcPr>
            <w:tcW w:w="567" w:type="dxa"/>
          </w:tcPr>
          <w:p>
            <w:pPr>
              <w:pStyle w:val="TableParagraph"/>
              <w:spacing w:before="96"/>
              <w:rPr>
                <w:sz w:val="12"/>
              </w:rPr>
            </w:pPr>
            <w:r>
              <w:rPr>
                <w:color w:val="010202"/>
                <w:w w:val="96"/>
                <w:sz w:val="12"/>
              </w:rPr>
              <w:t>2</w:t>
            </w:r>
          </w:p>
        </w:tc>
        <w:tc>
          <w:tcPr>
            <w:tcW w:w="567" w:type="dxa"/>
          </w:tcPr>
          <w:p>
            <w:pPr>
              <w:pStyle w:val="TableParagraph"/>
              <w:spacing w:before="96"/>
              <w:rPr>
                <w:sz w:val="12"/>
              </w:rPr>
            </w:pPr>
            <w:r>
              <w:rPr>
                <w:color w:val="010202"/>
                <w:w w:val="100"/>
                <w:sz w:val="12"/>
              </w:rPr>
              <w:t>M</w:t>
            </w:r>
          </w:p>
        </w:tc>
        <w:tc>
          <w:tcPr>
            <w:tcW w:w="2381" w:type="dxa"/>
          </w:tcPr>
          <w:p>
            <w:pPr>
              <w:pStyle w:val="TableParagraph"/>
              <w:spacing w:before="96"/>
              <w:ind w:left="106" w:right="105"/>
              <w:rPr>
                <w:sz w:val="12"/>
              </w:rPr>
            </w:pPr>
            <w:r>
              <w:rPr>
                <w:color w:val="010202"/>
                <w:sz w:val="12"/>
              </w:rPr>
              <w:t>Partes maquinadas de precisión</w:t>
            </w:r>
          </w:p>
        </w:tc>
      </w:tr>
      <w:tr>
        <w:trPr>
          <w:trHeight w:val="397" w:hRule="exact"/>
        </w:trPr>
        <w:tc>
          <w:tcPr>
            <w:tcW w:w="340" w:type="dxa"/>
          </w:tcPr>
          <w:p>
            <w:pPr>
              <w:pStyle w:val="TableParagraph"/>
              <w:spacing w:before="9"/>
              <w:jc w:val="left"/>
              <w:rPr>
                <w:sz w:val="10"/>
              </w:rPr>
            </w:pPr>
          </w:p>
          <w:p>
            <w:pPr>
              <w:pStyle w:val="TableParagraph"/>
              <w:ind w:left="46" w:right="45"/>
              <w:rPr>
                <w:sz w:val="12"/>
              </w:rPr>
            </w:pPr>
            <w:r>
              <w:rPr>
                <w:color w:val="010202"/>
                <w:sz w:val="12"/>
              </w:rPr>
              <w:t>222</w:t>
            </w:r>
          </w:p>
        </w:tc>
        <w:tc>
          <w:tcPr>
            <w:tcW w:w="794" w:type="dxa"/>
          </w:tcPr>
          <w:p>
            <w:pPr/>
          </w:p>
        </w:tc>
        <w:tc>
          <w:tcPr>
            <w:tcW w:w="2551" w:type="dxa"/>
          </w:tcPr>
          <w:p>
            <w:pPr>
              <w:pStyle w:val="TableParagraph"/>
              <w:spacing w:before="7"/>
              <w:jc w:val="left"/>
              <w:rPr>
                <w:sz w:val="9"/>
              </w:rPr>
            </w:pPr>
          </w:p>
          <w:p>
            <w:pPr>
              <w:pStyle w:val="TableParagraph"/>
              <w:ind w:left="1"/>
              <w:rPr>
                <w:rFonts w:ascii="Palatino Linotype"/>
                <w:b/>
                <w:sz w:val="12"/>
              </w:rPr>
            </w:pPr>
            <w:r>
              <w:rPr>
                <w:rFonts w:ascii="Palatino Linotype"/>
                <w:b/>
                <w:color w:val="010202"/>
                <w:w w:val="90"/>
                <w:sz w:val="12"/>
              </w:rPr>
              <w:t>Motores Perkins, s.a.</w:t>
            </w:r>
          </w:p>
        </w:tc>
        <w:tc>
          <w:tcPr>
            <w:tcW w:w="567" w:type="dxa"/>
          </w:tcPr>
          <w:p>
            <w:pPr/>
          </w:p>
        </w:tc>
        <w:tc>
          <w:tcPr>
            <w:tcW w:w="567" w:type="dxa"/>
          </w:tcPr>
          <w:p>
            <w:pPr/>
          </w:p>
        </w:tc>
        <w:tc>
          <w:tcPr>
            <w:tcW w:w="2381" w:type="dxa"/>
          </w:tcPr>
          <w:p>
            <w:pPr>
              <w:pStyle w:val="TableParagraph"/>
              <w:spacing w:line="132" w:lineRule="exact" w:before="65"/>
              <w:ind w:left="615" w:right="-17" w:hanging="400"/>
              <w:jc w:val="left"/>
              <w:rPr>
                <w:sz w:val="12"/>
              </w:rPr>
            </w:pPr>
            <w:r>
              <w:rPr>
                <w:color w:val="010202"/>
                <w:sz w:val="12"/>
              </w:rPr>
              <w:t>Fabricación de motores y sus partes para automóviles y camiones</w:t>
            </w:r>
          </w:p>
        </w:tc>
      </w:tr>
      <w:tr>
        <w:trPr>
          <w:trHeight w:val="340" w:hRule="exact"/>
        </w:trPr>
        <w:tc>
          <w:tcPr>
            <w:tcW w:w="340" w:type="dxa"/>
          </w:tcPr>
          <w:p>
            <w:pPr>
              <w:pStyle w:val="TableParagraph"/>
              <w:spacing w:before="96"/>
              <w:ind w:left="46" w:right="45"/>
              <w:rPr>
                <w:sz w:val="12"/>
              </w:rPr>
            </w:pPr>
            <w:r>
              <w:rPr>
                <w:color w:val="010202"/>
                <w:sz w:val="12"/>
              </w:rPr>
              <w:t>223</w:t>
            </w:r>
          </w:p>
        </w:tc>
        <w:tc>
          <w:tcPr>
            <w:tcW w:w="794" w:type="dxa"/>
          </w:tcPr>
          <w:p>
            <w:pPr/>
          </w:p>
        </w:tc>
        <w:tc>
          <w:tcPr>
            <w:tcW w:w="2551" w:type="dxa"/>
            <w:shd w:val="clear" w:color="auto" w:fill="BCBEC0"/>
          </w:tcPr>
          <w:p>
            <w:pPr>
              <w:pStyle w:val="TableParagraph"/>
              <w:spacing w:before="82"/>
              <w:ind w:left="1"/>
              <w:rPr>
                <w:rFonts w:ascii="Palatino Linotype"/>
                <w:b/>
                <w:sz w:val="12"/>
              </w:rPr>
            </w:pPr>
            <w:r>
              <w:rPr>
                <w:rFonts w:ascii="Palatino Linotype"/>
                <w:b/>
                <w:color w:val="010202"/>
                <w:w w:val="90"/>
                <w:sz w:val="12"/>
              </w:rPr>
              <w:t>Nissan Mexicana</w:t>
            </w:r>
          </w:p>
        </w:tc>
        <w:tc>
          <w:tcPr>
            <w:tcW w:w="567" w:type="dxa"/>
          </w:tcPr>
          <w:p>
            <w:pPr/>
          </w:p>
        </w:tc>
        <w:tc>
          <w:tcPr>
            <w:tcW w:w="567" w:type="dxa"/>
          </w:tcPr>
          <w:p>
            <w:pPr/>
          </w:p>
        </w:tc>
        <w:tc>
          <w:tcPr>
            <w:tcW w:w="2381" w:type="dxa"/>
          </w:tcPr>
          <w:p>
            <w:pPr>
              <w:pStyle w:val="TableParagraph"/>
              <w:spacing w:before="96"/>
              <w:ind w:left="106" w:right="105"/>
              <w:rPr>
                <w:sz w:val="12"/>
              </w:rPr>
            </w:pPr>
            <w:r>
              <w:rPr>
                <w:color w:val="010202"/>
                <w:sz w:val="12"/>
              </w:rPr>
              <w:t>Fundición motores</w:t>
            </w:r>
          </w:p>
        </w:tc>
      </w:tr>
      <w:tr>
        <w:trPr>
          <w:trHeight w:val="340" w:hRule="exact"/>
        </w:trPr>
        <w:tc>
          <w:tcPr>
            <w:tcW w:w="340" w:type="dxa"/>
          </w:tcPr>
          <w:p>
            <w:pPr>
              <w:pStyle w:val="TableParagraph"/>
              <w:spacing w:before="96"/>
              <w:ind w:left="46" w:right="45"/>
              <w:rPr>
                <w:sz w:val="12"/>
              </w:rPr>
            </w:pPr>
            <w:r>
              <w:rPr>
                <w:color w:val="010202"/>
                <w:sz w:val="12"/>
              </w:rPr>
              <w:t>224</w:t>
            </w:r>
          </w:p>
        </w:tc>
        <w:tc>
          <w:tcPr>
            <w:tcW w:w="794" w:type="dxa"/>
          </w:tcPr>
          <w:p>
            <w:pPr/>
          </w:p>
        </w:tc>
        <w:tc>
          <w:tcPr>
            <w:tcW w:w="2551" w:type="dxa"/>
          </w:tcPr>
          <w:p>
            <w:pPr>
              <w:pStyle w:val="TableParagraph"/>
              <w:spacing w:before="82"/>
              <w:rPr>
                <w:rFonts w:ascii="Palatino Linotype"/>
                <w:b/>
                <w:sz w:val="12"/>
              </w:rPr>
            </w:pPr>
            <w:r>
              <w:rPr>
                <w:rFonts w:ascii="Palatino Linotype"/>
                <w:b/>
                <w:color w:val="010202"/>
                <w:w w:val="95"/>
                <w:sz w:val="12"/>
              </w:rPr>
              <w:t>Osg Royco, S.A. de C.V.</w:t>
            </w:r>
          </w:p>
        </w:tc>
        <w:tc>
          <w:tcPr>
            <w:tcW w:w="567" w:type="dxa"/>
          </w:tcPr>
          <w:p>
            <w:pPr/>
          </w:p>
        </w:tc>
        <w:tc>
          <w:tcPr>
            <w:tcW w:w="567" w:type="dxa"/>
          </w:tcPr>
          <w:p>
            <w:pPr/>
          </w:p>
        </w:tc>
        <w:tc>
          <w:tcPr>
            <w:tcW w:w="2381" w:type="dxa"/>
          </w:tcPr>
          <w:p>
            <w:pPr>
              <w:pStyle w:val="TableParagraph"/>
              <w:spacing w:line="132" w:lineRule="exact" w:before="36"/>
              <w:ind w:left="614" w:right="-17" w:hanging="494"/>
              <w:jc w:val="left"/>
              <w:rPr>
                <w:sz w:val="12"/>
              </w:rPr>
            </w:pPr>
            <w:r>
              <w:rPr>
                <w:color w:val="010202"/>
                <w:sz w:val="12"/>
              </w:rPr>
              <w:t>Fabricación de otras partes y accesorios para automóviles y camiones</w:t>
            </w:r>
          </w:p>
        </w:tc>
      </w:tr>
      <w:tr>
        <w:trPr>
          <w:trHeight w:val="848" w:hRule="exact"/>
        </w:trPr>
        <w:tc>
          <w:tcPr>
            <w:tcW w:w="340" w:type="dxa"/>
          </w:tcPr>
          <w:p>
            <w:pPr>
              <w:pStyle w:val="TableParagraph"/>
              <w:jc w:val="left"/>
              <w:rPr>
                <w:sz w:val="12"/>
              </w:rPr>
            </w:pPr>
          </w:p>
          <w:p>
            <w:pPr>
              <w:pStyle w:val="TableParagraph"/>
              <w:jc w:val="left"/>
              <w:rPr>
                <w:sz w:val="12"/>
              </w:rPr>
            </w:pPr>
          </w:p>
          <w:p>
            <w:pPr>
              <w:pStyle w:val="TableParagraph"/>
              <w:spacing w:before="74"/>
              <w:ind w:left="46" w:right="46"/>
              <w:rPr>
                <w:sz w:val="12"/>
              </w:rPr>
            </w:pPr>
            <w:r>
              <w:rPr>
                <w:color w:val="010202"/>
                <w:sz w:val="12"/>
              </w:rPr>
              <w:t>225</w:t>
            </w:r>
          </w:p>
        </w:tc>
        <w:tc>
          <w:tcPr>
            <w:tcW w:w="794" w:type="dxa"/>
          </w:tcPr>
          <w:p>
            <w:pPr/>
          </w:p>
        </w:tc>
        <w:tc>
          <w:tcPr>
            <w:tcW w:w="2551" w:type="dxa"/>
          </w:tcPr>
          <w:p>
            <w:pPr>
              <w:pStyle w:val="TableParagraph"/>
              <w:jc w:val="left"/>
              <w:rPr>
                <w:sz w:val="12"/>
              </w:rPr>
            </w:pPr>
          </w:p>
          <w:p>
            <w:pPr>
              <w:pStyle w:val="TableParagraph"/>
              <w:spacing w:before="2"/>
              <w:jc w:val="left"/>
              <w:rPr>
                <w:sz w:val="13"/>
              </w:rPr>
            </w:pPr>
          </w:p>
          <w:p>
            <w:pPr>
              <w:pStyle w:val="TableParagraph"/>
              <w:spacing w:line="132" w:lineRule="exact" w:before="1"/>
              <w:ind w:left="1165" w:right="145" w:hanging="1008"/>
              <w:jc w:val="left"/>
              <w:rPr>
                <w:rFonts w:ascii="Palatino Linotype" w:hAnsi="Palatino Linotype"/>
                <w:b/>
                <w:sz w:val="12"/>
              </w:rPr>
            </w:pPr>
            <w:r>
              <w:rPr>
                <w:rFonts w:ascii="Palatino Linotype" w:hAnsi="Palatino Linotype"/>
                <w:b/>
                <w:color w:val="010202"/>
                <w:w w:val="95"/>
                <w:sz w:val="12"/>
              </w:rPr>
              <w:t>Parker</w:t>
            </w:r>
            <w:r>
              <w:rPr>
                <w:rFonts w:ascii="Palatino Linotype" w:hAnsi="Palatino Linotype"/>
                <w:b/>
                <w:color w:val="010202"/>
                <w:spacing w:val="-17"/>
                <w:w w:val="95"/>
                <w:sz w:val="12"/>
              </w:rPr>
              <w:t> </w:t>
            </w:r>
            <w:r>
              <w:rPr>
                <w:rFonts w:ascii="Palatino Linotype" w:hAnsi="Palatino Linotype"/>
                <w:b/>
                <w:color w:val="010202"/>
                <w:w w:val="95"/>
                <w:sz w:val="12"/>
              </w:rPr>
              <w:t>fluidos</w:t>
            </w:r>
            <w:r>
              <w:rPr>
                <w:rFonts w:ascii="Palatino Linotype" w:hAnsi="Palatino Linotype"/>
                <w:b/>
                <w:color w:val="010202"/>
                <w:spacing w:val="-17"/>
                <w:w w:val="95"/>
                <w:sz w:val="12"/>
              </w:rPr>
              <w:t> </w:t>
            </w:r>
            <w:r>
              <w:rPr>
                <w:rFonts w:ascii="Palatino Linotype" w:hAnsi="Palatino Linotype"/>
                <w:b/>
                <w:color w:val="010202"/>
                <w:w w:val="95"/>
                <w:sz w:val="12"/>
              </w:rPr>
              <w:t>de</w:t>
            </w:r>
            <w:r>
              <w:rPr>
                <w:rFonts w:ascii="Palatino Linotype" w:hAnsi="Palatino Linotype"/>
                <w:b/>
                <w:color w:val="010202"/>
                <w:spacing w:val="-17"/>
                <w:w w:val="95"/>
                <w:sz w:val="12"/>
              </w:rPr>
              <w:t> </w:t>
            </w:r>
            <w:r>
              <w:rPr>
                <w:rFonts w:ascii="Palatino Linotype" w:hAnsi="Palatino Linotype"/>
                <w:b/>
                <w:color w:val="010202"/>
                <w:w w:val="95"/>
                <w:sz w:val="12"/>
              </w:rPr>
              <w:t>México</w:t>
            </w:r>
            <w:r>
              <w:rPr>
                <w:rFonts w:ascii="Palatino Linotype" w:hAnsi="Palatino Linotype"/>
                <w:b/>
                <w:color w:val="010202"/>
                <w:spacing w:val="-17"/>
                <w:w w:val="95"/>
                <w:sz w:val="12"/>
              </w:rPr>
              <w:t> </w:t>
            </w:r>
            <w:r>
              <w:rPr>
                <w:rFonts w:ascii="Palatino Linotype" w:hAnsi="Palatino Linotype"/>
                <w:b/>
                <w:color w:val="010202"/>
                <w:w w:val="95"/>
                <w:sz w:val="12"/>
              </w:rPr>
              <w:t>connectors,</w:t>
            </w:r>
            <w:r>
              <w:rPr>
                <w:rFonts w:ascii="Palatino Linotype" w:hAnsi="Palatino Linotype"/>
                <w:b/>
                <w:color w:val="010202"/>
                <w:spacing w:val="-17"/>
                <w:w w:val="95"/>
                <w:sz w:val="12"/>
              </w:rPr>
              <w:t> </w:t>
            </w:r>
            <w:r>
              <w:rPr>
                <w:rFonts w:ascii="Palatino Linotype" w:hAnsi="Palatino Linotype"/>
                <w:b/>
                <w:color w:val="010202"/>
                <w:w w:val="95"/>
                <w:sz w:val="12"/>
              </w:rPr>
              <w:t>S.A.</w:t>
            </w:r>
            <w:r>
              <w:rPr>
                <w:rFonts w:ascii="Palatino Linotype" w:hAnsi="Palatino Linotype"/>
                <w:b/>
                <w:color w:val="010202"/>
                <w:spacing w:val="-17"/>
                <w:w w:val="95"/>
                <w:sz w:val="12"/>
              </w:rPr>
              <w:t> </w:t>
            </w:r>
            <w:r>
              <w:rPr>
                <w:rFonts w:ascii="Palatino Linotype" w:hAnsi="Palatino Linotype"/>
                <w:b/>
                <w:color w:val="010202"/>
                <w:w w:val="95"/>
                <w:sz w:val="12"/>
              </w:rPr>
              <w:t>de </w:t>
            </w:r>
            <w:r>
              <w:rPr>
                <w:rFonts w:ascii="Palatino Linotype" w:hAnsi="Palatino Linotype"/>
                <w:b/>
                <w:color w:val="010202"/>
                <w:spacing w:val="-5"/>
                <w:sz w:val="12"/>
              </w:rPr>
              <w:t>C.V.</w:t>
            </w:r>
          </w:p>
        </w:tc>
        <w:tc>
          <w:tcPr>
            <w:tcW w:w="567" w:type="dxa"/>
          </w:tcPr>
          <w:p>
            <w:pPr/>
          </w:p>
        </w:tc>
        <w:tc>
          <w:tcPr>
            <w:tcW w:w="567" w:type="dxa"/>
          </w:tcPr>
          <w:p>
            <w:pPr/>
          </w:p>
        </w:tc>
        <w:tc>
          <w:tcPr>
            <w:tcW w:w="2381" w:type="dxa"/>
          </w:tcPr>
          <w:p>
            <w:pPr>
              <w:pStyle w:val="TableParagraph"/>
              <w:spacing w:line="132" w:lineRule="exact" w:before="92"/>
              <w:ind w:left="101" w:right="99"/>
              <w:rPr>
                <w:sz w:val="12"/>
              </w:rPr>
            </w:pPr>
            <w:r>
              <w:rPr>
                <w:color w:val="010202"/>
                <w:sz w:val="12"/>
              </w:rPr>
              <w:t>Fabricación de piezas y artículos de hule natural o sintético, cilindros hidráulicos y neumáticos, unidades de potencia, válvulas neumáticas, equipo para aire comprimido frl, estructuras metálicas</w:t>
            </w:r>
          </w:p>
        </w:tc>
      </w:tr>
      <w:tr>
        <w:trPr>
          <w:trHeight w:val="383" w:hRule="exact"/>
        </w:trPr>
        <w:tc>
          <w:tcPr>
            <w:tcW w:w="340" w:type="dxa"/>
          </w:tcPr>
          <w:p>
            <w:pPr>
              <w:pStyle w:val="TableParagraph"/>
              <w:spacing w:before="2"/>
              <w:jc w:val="left"/>
              <w:rPr>
                <w:sz w:val="10"/>
              </w:rPr>
            </w:pPr>
          </w:p>
          <w:p>
            <w:pPr>
              <w:pStyle w:val="TableParagraph"/>
              <w:ind w:left="46" w:right="46"/>
              <w:rPr>
                <w:sz w:val="12"/>
              </w:rPr>
            </w:pPr>
            <w:r>
              <w:rPr>
                <w:color w:val="010202"/>
                <w:sz w:val="12"/>
              </w:rPr>
              <w:t>226</w:t>
            </w:r>
          </w:p>
        </w:tc>
        <w:tc>
          <w:tcPr>
            <w:tcW w:w="794" w:type="dxa"/>
          </w:tcPr>
          <w:p>
            <w:pPr/>
          </w:p>
        </w:tc>
        <w:tc>
          <w:tcPr>
            <w:tcW w:w="2551" w:type="dxa"/>
          </w:tcPr>
          <w:p>
            <w:pPr>
              <w:pStyle w:val="TableParagraph"/>
              <w:spacing w:before="103"/>
              <w:rPr>
                <w:rFonts w:ascii="Palatino Linotype" w:hAnsi="Palatino Linotype"/>
                <w:b/>
                <w:sz w:val="12"/>
              </w:rPr>
            </w:pPr>
            <w:r>
              <w:rPr>
                <w:rFonts w:ascii="Palatino Linotype" w:hAnsi="Palatino Linotype"/>
                <w:b/>
                <w:color w:val="010202"/>
                <w:spacing w:val="-4"/>
                <w:w w:val="95"/>
                <w:sz w:val="12"/>
              </w:rPr>
              <w:t>Plataformas</w:t>
            </w:r>
            <w:r>
              <w:rPr>
                <w:rFonts w:ascii="Palatino Linotype" w:hAnsi="Palatino Linotype"/>
                <w:b/>
                <w:color w:val="010202"/>
                <w:spacing w:val="-13"/>
                <w:w w:val="95"/>
                <w:sz w:val="12"/>
              </w:rPr>
              <w:t> </w:t>
            </w:r>
            <w:r>
              <w:rPr>
                <w:rFonts w:ascii="Palatino Linotype" w:hAnsi="Palatino Linotype"/>
                <w:b/>
                <w:color w:val="010202"/>
                <w:w w:val="95"/>
                <w:sz w:val="12"/>
              </w:rPr>
              <w:t>y</w:t>
            </w:r>
            <w:r>
              <w:rPr>
                <w:rFonts w:ascii="Palatino Linotype" w:hAnsi="Palatino Linotype"/>
                <w:b/>
                <w:color w:val="010202"/>
                <w:spacing w:val="-13"/>
                <w:w w:val="95"/>
                <w:sz w:val="12"/>
              </w:rPr>
              <w:t> </w:t>
            </w:r>
            <w:r>
              <w:rPr>
                <w:rFonts w:ascii="Palatino Linotype" w:hAnsi="Palatino Linotype"/>
                <w:b/>
                <w:color w:val="010202"/>
                <w:spacing w:val="-3"/>
                <w:w w:val="95"/>
                <w:sz w:val="12"/>
              </w:rPr>
              <w:t>carrocerías</w:t>
            </w:r>
            <w:r>
              <w:rPr>
                <w:rFonts w:ascii="Palatino Linotype" w:hAnsi="Palatino Linotype"/>
                <w:b/>
                <w:color w:val="010202"/>
                <w:spacing w:val="-13"/>
                <w:w w:val="95"/>
                <w:sz w:val="12"/>
              </w:rPr>
              <w:t> </w:t>
            </w:r>
            <w:r>
              <w:rPr>
                <w:rFonts w:ascii="Palatino Linotype" w:hAnsi="Palatino Linotype"/>
                <w:b/>
                <w:color w:val="010202"/>
                <w:w w:val="95"/>
                <w:sz w:val="12"/>
              </w:rPr>
              <w:t>para</w:t>
            </w:r>
            <w:r>
              <w:rPr>
                <w:rFonts w:ascii="Palatino Linotype" w:hAnsi="Palatino Linotype"/>
                <w:b/>
                <w:color w:val="010202"/>
                <w:spacing w:val="-13"/>
                <w:w w:val="95"/>
                <w:sz w:val="12"/>
              </w:rPr>
              <w:t> </w:t>
            </w:r>
            <w:r>
              <w:rPr>
                <w:rFonts w:ascii="Palatino Linotype" w:hAnsi="Palatino Linotype"/>
                <w:b/>
                <w:color w:val="010202"/>
                <w:w w:val="95"/>
                <w:sz w:val="12"/>
              </w:rPr>
              <w:t>la</w:t>
            </w:r>
            <w:r>
              <w:rPr>
                <w:rFonts w:ascii="Palatino Linotype" w:hAnsi="Palatino Linotype"/>
                <w:b/>
                <w:color w:val="010202"/>
                <w:spacing w:val="-13"/>
                <w:w w:val="95"/>
                <w:sz w:val="12"/>
              </w:rPr>
              <w:t> </w:t>
            </w:r>
            <w:r>
              <w:rPr>
                <w:rFonts w:ascii="Palatino Linotype" w:hAnsi="Palatino Linotype"/>
                <w:b/>
                <w:color w:val="010202"/>
                <w:spacing w:val="-3"/>
                <w:w w:val="95"/>
                <w:sz w:val="12"/>
              </w:rPr>
              <w:t>basura,</w:t>
            </w:r>
            <w:r>
              <w:rPr>
                <w:rFonts w:ascii="Palatino Linotype" w:hAnsi="Palatino Linotype"/>
                <w:b/>
                <w:color w:val="010202"/>
                <w:spacing w:val="-13"/>
                <w:w w:val="95"/>
                <w:sz w:val="12"/>
              </w:rPr>
              <w:t> </w:t>
            </w:r>
            <w:r>
              <w:rPr>
                <w:rFonts w:ascii="Palatino Linotype" w:hAnsi="Palatino Linotype"/>
                <w:b/>
                <w:color w:val="010202"/>
                <w:spacing w:val="-3"/>
                <w:w w:val="95"/>
                <w:sz w:val="12"/>
              </w:rPr>
              <w:t>S.A.</w:t>
            </w:r>
            <w:r>
              <w:rPr>
                <w:rFonts w:ascii="Palatino Linotype" w:hAnsi="Palatino Linotype"/>
                <w:b/>
                <w:color w:val="010202"/>
                <w:spacing w:val="-13"/>
                <w:w w:val="95"/>
                <w:sz w:val="12"/>
              </w:rPr>
              <w:t> </w:t>
            </w:r>
            <w:r>
              <w:rPr>
                <w:rFonts w:ascii="Palatino Linotype" w:hAnsi="Palatino Linotype"/>
                <w:b/>
                <w:color w:val="010202"/>
                <w:w w:val="95"/>
                <w:sz w:val="12"/>
              </w:rPr>
              <w:t>de</w:t>
            </w:r>
            <w:r>
              <w:rPr>
                <w:rFonts w:ascii="Palatino Linotype" w:hAnsi="Palatino Linotype"/>
                <w:b/>
                <w:color w:val="010202"/>
                <w:spacing w:val="-13"/>
                <w:w w:val="95"/>
                <w:sz w:val="12"/>
              </w:rPr>
              <w:t> </w:t>
            </w:r>
            <w:r>
              <w:rPr>
                <w:rFonts w:ascii="Palatino Linotype" w:hAnsi="Palatino Linotype"/>
                <w:b/>
                <w:color w:val="010202"/>
                <w:spacing w:val="-7"/>
                <w:w w:val="95"/>
                <w:sz w:val="12"/>
              </w:rPr>
              <w:t>C.V.</w:t>
            </w:r>
          </w:p>
        </w:tc>
        <w:tc>
          <w:tcPr>
            <w:tcW w:w="567" w:type="dxa"/>
          </w:tcPr>
          <w:p>
            <w:pPr/>
          </w:p>
        </w:tc>
        <w:tc>
          <w:tcPr>
            <w:tcW w:w="567" w:type="dxa"/>
          </w:tcPr>
          <w:p>
            <w:pPr/>
          </w:p>
        </w:tc>
        <w:tc>
          <w:tcPr>
            <w:tcW w:w="2381" w:type="dxa"/>
          </w:tcPr>
          <w:p>
            <w:pPr>
              <w:pStyle w:val="TableParagraph"/>
              <w:spacing w:before="2"/>
              <w:jc w:val="left"/>
              <w:rPr>
                <w:sz w:val="10"/>
              </w:rPr>
            </w:pPr>
          </w:p>
          <w:p>
            <w:pPr>
              <w:pStyle w:val="TableParagraph"/>
              <w:ind w:left="106" w:right="106"/>
              <w:rPr>
                <w:sz w:val="12"/>
              </w:rPr>
            </w:pPr>
            <w:r>
              <w:rPr>
                <w:color w:val="010202"/>
                <w:sz w:val="12"/>
              </w:rPr>
              <w:t>Remolques y semirremolque.</w:t>
            </w:r>
          </w:p>
        </w:tc>
      </w:tr>
    </w:tbl>
    <w:p>
      <w:pPr>
        <w:spacing w:after="0"/>
        <w:rPr>
          <w:sz w:val="12"/>
        </w:rPr>
        <w:sectPr>
          <w:pgSz w:w="9640" w:h="13040"/>
          <w:pgMar w:header="581" w:footer="654" w:top="780" w:bottom="840" w:left="420" w:right="1180"/>
        </w:sectPr>
      </w:pPr>
    </w:p>
    <w:p>
      <w:pPr>
        <w:pStyle w:val="BodyText"/>
        <w:rPr>
          <w:sz w:val="20"/>
        </w:rPr>
      </w:pPr>
    </w:p>
    <w:p>
      <w:pPr>
        <w:pStyle w:val="BodyText"/>
        <w:rPr>
          <w:sz w:val="20"/>
        </w:rPr>
      </w:pPr>
    </w:p>
    <w:p>
      <w:pPr>
        <w:pStyle w:val="BodyText"/>
        <w:spacing w:before="5"/>
        <w:rPr>
          <w:sz w:val="10"/>
        </w:rPr>
      </w:pPr>
    </w:p>
    <w:tbl>
      <w:tblPr>
        <w:tblW w:w="0" w:type="auto"/>
        <w:jc w:val="left"/>
        <w:tblInd w:w="10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40"/>
        <w:gridCol w:w="794"/>
        <w:gridCol w:w="2551"/>
        <w:gridCol w:w="567"/>
        <w:gridCol w:w="567"/>
        <w:gridCol w:w="2381"/>
      </w:tblGrid>
      <w:tr>
        <w:trPr>
          <w:trHeight w:val="517" w:hRule="exact"/>
        </w:trPr>
        <w:tc>
          <w:tcPr>
            <w:tcW w:w="340" w:type="dxa"/>
          </w:tcPr>
          <w:p>
            <w:pPr>
              <w:pStyle w:val="TableParagraph"/>
              <w:spacing w:before="9"/>
              <w:jc w:val="left"/>
              <w:rPr>
                <w:sz w:val="14"/>
              </w:rPr>
            </w:pPr>
          </w:p>
          <w:p>
            <w:pPr>
              <w:pStyle w:val="TableParagraph"/>
              <w:spacing w:before="1"/>
              <w:ind w:left="46" w:right="46"/>
              <w:rPr>
                <w:rFonts w:ascii="Palatino Linotype"/>
                <w:b/>
                <w:sz w:val="12"/>
              </w:rPr>
            </w:pPr>
            <w:r>
              <w:rPr>
                <w:rFonts w:ascii="Palatino Linotype"/>
                <w:b/>
                <w:color w:val="010202"/>
                <w:sz w:val="12"/>
              </w:rPr>
              <w:t>No.</w:t>
            </w:r>
          </w:p>
        </w:tc>
        <w:tc>
          <w:tcPr>
            <w:tcW w:w="794" w:type="dxa"/>
          </w:tcPr>
          <w:p>
            <w:pPr>
              <w:pStyle w:val="TableParagraph"/>
              <w:spacing w:before="9"/>
              <w:jc w:val="left"/>
              <w:rPr>
                <w:sz w:val="14"/>
              </w:rPr>
            </w:pPr>
          </w:p>
          <w:p>
            <w:pPr>
              <w:pStyle w:val="TableParagraph"/>
              <w:spacing w:before="1"/>
              <w:ind w:right="128"/>
              <w:jc w:val="right"/>
              <w:rPr>
                <w:rFonts w:ascii="Palatino Linotype"/>
                <w:b/>
                <w:sz w:val="12"/>
              </w:rPr>
            </w:pPr>
            <w:r>
              <w:rPr>
                <w:rFonts w:ascii="Palatino Linotype"/>
                <w:b/>
                <w:color w:val="010202"/>
                <w:w w:val="90"/>
                <w:sz w:val="12"/>
              </w:rPr>
              <w:t>Municipio</w:t>
            </w:r>
          </w:p>
        </w:tc>
        <w:tc>
          <w:tcPr>
            <w:tcW w:w="2551" w:type="dxa"/>
          </w:tcPr>
          <w:p>
            <w:pPr>
              <w:pStyle w:val="TableParagraph"/>
              <w:spacing w:before="9"/>
              <w:jc w:val="left"/>
              <w:rPr>
                <w:sz w:val="14"/>
              </w:rPr>
            </w:pPr>
          </w:p>
          <w:p>
            <w:pPr>
              <w:pStyle w:val="TableParagraph"/>
              <w:spacing w:before="1"/>
              <w:rPr>
                <w:rFonts w:ascii="Palatino Linotype" w:hAnsi="Palatino Linotype"/>
                <w:b/>
                <w:sz w:val="12"/>
              </w:rPr>
            </w:pPr>
            <w:r>
              <w:rPr>
                <w:rFonts w:ascii="Palatino Linotype" w:hAnsi="Palatino Linotype"/>
                <w:b/>
                <w:color w:val="010202"/>
                <w:sz w:val="12"/>
              </w:rPr>
              <w:t>Compañía</w:t>
            </w:r>
          </w:p>
        </w:tc>
        <w:tc>
          <w:tcPr>
            <w:tcW w:w="567" w:type="dxa"/>
          </w:tcPr>
          <w:p>
            <w:pPr>
              <w:pStyle w:val="TableParagraph"/>
              <w:spacing w:before="9"/>
              <w:jc w:val="left"/>
              <w:rPr>
                <w:sz w:val="14"/>
              </w:rPr>
            </w:pPr>
          </w:p>
          <w:p>
            <w:pPr>
              <w:pStyle w:val="TableParagraph"/>
              <w:spacing w:before="1"/>
              <w:ind w:left="46" w:right="46"/>
              <w:rPr>
                <w:rFonts w:ascii="Palatino Linotype"/>
                <w:b/>
                <w:sz w:val="12"/>
              </w:rPr>
            </w:pPr>
            <w:r>
              <w:rPr>
                <w:rFonts w:ascii="Palatino Linotype"/>
                <w:b/>
                <w:color w:val="010202"/>
                <w:sz w:val="12"/>
              </w:rPr>
              <w:t>Tier</w:t>
            </w:r>
          </w:p>
        </w:tc>
        <w:tc>
          <w:tcPr>
            <w:tcW w:w="567" w:type="dxa"/>
          </w:tcPr>
          <w:p>
            <w:pPr>
              <w:pStyle w:val="TableParagraph"/>
              <w:spacing w:line="132" w:lineRule="exact" w:before="59"/>
              <w:ind w:left="48" w:right="46"/>
              <w:rPr>
                <w:rFonts w:ascii="Palatino Linotype" w:hAnsi="Palatino Linotype"/>
                <w:b/>
                <w:sz w:val="12"/>
              </w:rPr>
            </w:pPr>
            <w:r>
              <w:rPr>
                <w:rFonts w:ascii="Palatino Linotype" w:hAnsi="Palatino Linotype"/>
                <w:b/>
                <w:color w:val="010202"/>
                <w:w w:val="95"/>
                <w:sz w:val="12"/>
              </w:rPr>
              <w:t>Tamaño </w:t>
            </w:r>
            <w:r>
              <w:rPr>
                <w:rFonts w:ascii="Palatino Linotype" w:hAnsi="Palatino Linotype"/>
                <w:b/>
                <w:color w:val="010202"/>
                <w:sz w:val="12"/>
              </w:rPr>
              <w:t>de </w:t>
            </w:r>
            <w:r>
              <w:rPr>
                <w:rFonts w:ascii="Palatino Linotype" w:hAnsi="Palatino Linotype"/>
                <w:b/>
                <w:color w:val="010202"/>
                <w:w w:val="90"/>
                <w:sz w:val="12"/>
              </w:rPr>
              <w:t>empresa</w:t>
            </w:r>
          </w:p>
        </w:tc>
        <w:tc>
          <w:tcPr>
            <w:tcW w:w="2381" w:type="dxa"/>
          </w:tcPr>
          <w:p>
            <w:pPr>
              <w:pStyle w:val="TableParagraph"/>
              <w:spacing w:before="9"/>
              <w:jc w:val="left"/>
              <w:rPr>
                <w:sz w:val="14"/>
              </w:rPr>
            </w:pPr>
          </w:p>
          <w:p>
            <w:pPr>
              <w:pStyle w:val="TableParagraph"/>
              <w:spacing w:before="1"/>
              <w:ind w:left="106" w:right="106"/>
              <w:rPr>
                <w:rFonts w:ascii="Palatino Linotype"/>
                <w:b/>
                <w:sz w:val="12"/>
              </w:rPr>
            </w:pPr>
            <w:r>
              <w:rPr>
                <w:rFonts w:ascii="Palatino Linotype"/>
                <w:b/>
                <w:color w:val="010202"/>
                <w:w w:val="90"/>
                <w:sz w:val="12"/>
              </w:rPr>
              <w:t>Principales productos</w:t>
            </w:r>
          </w:p>
        </w:tc>
      </w:tr>
      <w:tr>
        <w:trPr>
          <w:trHeight w:val="689" w:hRule="exact"/>
        </w:trPr>
        <w:tc>
          <w:tcPr>
            <w:tcW w:w="340" w:type="dxa"/>
          </w:tcPr>
          <w:p>
            <w:pPr>
              <w:pStyle w:val="TableParagraph"/>
              <w:jc w:val="left"/>
              <w:rPr>
                <w:sz w:val="12"/>
              </w:rPr>
            </w:pPr>
          </w:p>
          <w:p>
            <w:pPr>
              <w:pStyle w:val="TableParagraph"/>
              <w:spacing w:before="6"/>
              <w:jc w:val="left"/>
              <w:rPr>
                <w:sz w:val="11"/>
              </w:rPr>
            </w:pPr>
          </w:p>
          <w:p>
            <w:pPr>
              <w:pStyle w:val="TableParagraph"/>
              <w:ind w:left="46" w:right="46"/>
              <w:rPr>
                <w:sz w:val="12"/>
              </w:rPr>
            </w:pPr>
            <w:r>
              <w:rPr>
                <w:color w:val="010202"/>
                <w:sz w:val="12"/>
              </w:rPr>
              <w:t>227</w:t>
            </w:r>
          </w:p>
        </w:tc>
        <w:tc>
          <w:tcPr>
            <w:tcW w:w="794" w:type="dxa"/>
          </w:tcPr>
          <w:p>
            <w:pPr/>
          </w:p>
        </w:tc>
        <w:tc>
          <w:tcPr>
            <w:tcW w:w="2551" w:type="dxa"/>
          </w:tcPr>
          <w:p>
            <w:pPr>
              <w:pStyle w:val="TableParagraph"/>
              <w:jc w:val="left"/>
              <w:rPr>
                <w:sz w:val="12"/>
              </w:rPr>
            </w:pPr>
          </w:p>
          <w:p>
            <w:pPr>
              <w:pStyle w:val="TableParagraph"/>
              <w:spacing w:line="132" w:lineRule="exact" w:before="73"/>
              <w:ind w:left="1081" w:right="123" w:hanging="863"/>
              <w:jc w:val="left"/>
              <w:rPr>
                <w:rFonts w:ascii="Palatino Linotype" w:hAnsi="Palatino Linotype"/>
                <w:b/>
                <w:sz w:val="12"/>
              </w:rPr>
            </w:pPr>
            <w:r>
              <w:rPr>
                <w:rFonts w:ascii="Palatino Linotype" w:hAnsi="Palatino Linotype"/>
                <w:b/>
                <w:color w:val="010202"/>
                <w:w w:val="95"/>
                <w:sz w:val="12"/>
              </w:rPr>
              <w:t>Robert Bosch México, S.A. de C.V. (Planta </w:t>
            </w:r>
            <w:r>
              <w:rPr>
                <w:rFonts w:ascii="Palatino Linotype" w:hAnsi="Palatino Linotype"/>
                <w:b/>
                <w:color w:val="010202"/>
                <w:sz w:val="12"/>
              </w:rPr>
              <w:t>Toluca)</w:t>
            </w:r>
          </w:p>
        </w:tc>
        <w:tc>
          <w:tcPr>
            <w:tcW w:w="567" w:type="dxa"/>
          </w:tcPr>
          <w:p>
            <w:pPr>
              <w:pStyle w:val="TableParagraph"/>
              <w:jc w:val="left"/>
              <w:rPr>
                <w:sz w:val="12"/>
              </w:rPr>
            </w:pPr>
          </w:p>
          <w:p>
            <w:pPr>
              <w:pStyle w:val="TableParagraph"/>
              <w:spacing w:before="6"/>
              <w:jc w:val="left"/>
              <w:rPr>
                <w:sz w:val="11"/>
              </w:rPr>
            </w:pPr>
          </w:p>
          <w:p>
            <w:pPr>
              <w:pStyle w:val="TableParagraph"/>
              <w:ind w:left="46" w:right="46"/>
              <w:rPr>
                <w:sz w:val="12"/>
              </w:rPr>
            </w:pPr>
            <w:r>
              <w:rPr>
                <w:color w:val="010202"/>
                <w:sz w:val="12"/>
              </w:rPr>
              <w:t>1 y 2</w:t>
            </w:r>
          </w:p>
        </w:tc>
        <w:tc>
          <w:tcPr>
            <w:tcW w:w="567" w:type="dxa"/>
          </w:tcPr>
          <w:p>
            <w:pPr>
              <w:pStyle w:val="TableParagraph"/>
              <w:jc w:val="left"/>
              <w:rPr>
                <w:sz w:val="12"/>
              </w:rPr>
            </w:pPr>
          </w:p>
          <w:p>
            <w:pPr>
              <w:pStyle w:val="TableParagraph"/>
              <w:spacing w:before="6"/>
              <w:jc w:val="left"/>
              <w:rPr>
                <w:sz w:val="11"/>
              </w:rPr>
            </w:pPr>
          </w:p>
          <w:p>
            <w:pPr>
              <w:pStyle w:val="TableParagraph"/>
              <w:ind w:left="235"/>
              <w:jc w:val="left"/>
              <w:rPr>
                <w:sz w:val="12"/>
              </w:rPr>
            </w:pPr>
            <w:r>
              <w:rPr>
                <w:color w:val="010202"/>
                <w:w w:val="99"/>
                <w:sz w:val="12"/>
              </w:rPr>
              <w:t>G</w:t>
            </w:r>
          </w:p>
        </w:tc>
        <w:tc>
          <w:tcPr>
            <w:tcW w:w="2381" w:type="dxa"/>
          </w:tcPr>
          <w:p>
            <w:pPr>
              <w:pStyle w:val="TableParagraph"/>
              <w:spacing w:line="132" w:lineRule="exact" w:before="79"/>
              <w:ind w:left="106" w:right="105"/>
              <w:rPr>
                <w:sz w:val="12"/>
              </w:rPr>
            </w:pPr>
            <w:r>
              <w:rPr>
                <w:color w:val="010202"/>
                <w:sz w:val="12"/>
              </w:rPr>
              <w:t>Autopartes (alternadores, platinos, motores levanta cristales, motores limpiaparabrisas, marchas, unidad de control, motores calefactores y enfriadores de radiador)</w:t>
            </w:r>
          </w:p>
        </w:tc>
      </w:tr>
      <w:tr>
        <w:trPr>
          <w:trHeight w:val="312" w:hRule="exact"/>
        </w:trPr>
        <w:tc>
          <w:tcPr>
            <w:tcW w:w="340" w:type="dxa"/>
          </w:tcPr>
          <w:p>
            <w:pPr>
              <w:pStyle w:val="TableParagraph"/>
              <w:spacing w:before="82"/>
              <w:ind w:left="46" w:right="46"/>
              <w:rPr>
                <w:sz w:val="12"/>
              </w:rPr>
            </w:pPr>
            <w:r>
              <w:rPr>
                <w:color w:val="010202"/>
                <w:sz w:val="12"/>
              </w:rPr>
              <w:t>228</w:t>
            </w:r>
          </w:p>
        </w:tc>
        <w:tc>
          <w:tcPr>
            <w:tcW w:w="794" w:type="dxa"/>
          </w:tcPr>
          <w:p>
            <w:pPr/>
          </w:p>
        </w:tc>
        <w:tc>
          <w:tcPr>
            <w:tcW w:w="2551" w:type="dxa"/>
          </w:tcPr>
          <w:p>
            <w:pPr>
              <w:pStyle w:val="TableParagraph"/>
              <w:spacing w:before="68"/>
              <w:ind w:left="320" w:right="69"/>
              <w:jc w:val="left"/>
              <w:rPr>
                <w:rFonts w:ascii="Palatino Linotype"/>
                <w:b/>
                <w:sz w:val="12"/>
              </w:rPr>
            </w:pPr>
            <w:r>
              <w:rPr>
                <w:rFonts w:ascii="Palatino Linotype"/>
                <w:b/>
                <w:color w:val="010202"/>
                <w:w w:val="95"/>
                <w:sz w:val="12"/>
              </w:rPr>
              <w:t>Servi Auto Rack, S.A. de C.V. (Toluca)</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Reparación y mantenimiento de rack</w:t>
            </w:r>
          </w:p>
        </w:tc>
      </w:tr>
      <w:tr>
        <w:trPr>
          <w:trHeight w:val="312" w:hRule="exact"/>
        </w:trPr>
        <w:tc>
          <w:tcPr>
            <w:tcW w:w="340" w:type="dxa"/>
          </w:tcPr>
          <w:p>
            <w:pPr>
              <w:pStyle w:val="TableParagraph"/>
              <w:spacing w:before="82"/>
              <w:ind w:left="46" w:right="46"/>
              <w:rPr>
                <w:sz w:val="12"/>
              </w:rPr>
            </w:pPr>
            <w:r>
              <w:rPr>
                <w:color w:val="010202"/>
                <w:sz w:val="12"/>
              </w:rPr>
              <w:t>229</w:t>
            </w:r>
          </w:p>
        </w:tc>
        <w:tc>
          <w:tcPr>
            <w:tcW w:w="794" w:type="dxa"/>
          </w:tcPr>
          <w:p>
            <w:pPr/>
          </w:p>
        </w:tc>
        <w:tc>
          <w:tcPr>
            <w:tcW w:w="2551" w:type="dxa"/>
          </w:tcPr>
          <w:p>
            <w:pPr>
              <w:pStyle w:val="TableParagraph"/>
              <w:spacing w:before="68"/>
              <w:ind w:left="834" w:right="69"/>
              <w:jc w:val="left"/>
              <w:rPr>
                <w:rFonts w:ascii="Palatino Linotype"/>
                <w:b/>
                <w:sz w:val="12"/>
              </w:rPr>
            </w:pPr>
            <w:r>
              <w:rPr>
                <w:rFonts w:ascii="Palatino Linotype"/>
                <w:b/>
                <w:color w:val="010202"/>
                <w:w w:val="95"/>
                <w:sz w:val="12"/>
              </w:rPr>
              <w:t>Trelleborg y S. H.</w:t>
            </w:r>
          </w:p>
        </w:tc>
        <w:tc>
          <w:tcPr>
            <w:tcW w:w="567" w:type="dxa"/>
          </w:tcPr>
          <w:p>
            <w:pPr/>
          </w:p>
        </w:tc>
        <w:tc>
          <w:tcPr>
            <w:tcW w:w="567" w:type="dxa"/>
          </w:tcPr>
          <w:p>
            <w:pPr/>
          </w:p>
        </w:tc>
        <w:tc>
          <w:tcPr>
            <w:tcW w:w="2381" w:type="dxa"/>
          </w:tcPr>
          <w:p>
            <w:pPr>
              <w:pStyle w:val="TableParagraph"/>
              <w:spacing w:before="82"/>
              <w:ind w:left="106" w:right="106"/>
              <w:rPr>
                <w:sz w:val="12"/>
              </w:rPr>
            </w:pPr>
            <w:r>
              <w:rPr>
                <w:color w:val="010202"/>
                <w:sz w:val="12"/>
              </w:rPr>
              <w:t>Partes automotrices de hule</w:t>
            </w:r>
          </w:p>
        </w:tc>
      </w:tr>
      <w:tr>
        <w:trPr>
          <w:trHeight w:val="333" w:hRule="exact"/>
        </w:trPr>
        <w:tc>
          <w:tcPr>
            <w:tcW w:w="340" w:type="dxa"/>
          </w:tcPr>
          <w:p>
            <w:pPr>
              <w:pStyle w:val="TableParagraph"/>
              <w:spacing w:before="93"/>
              <w:ind w:left="46" w:right="46"/>
              <w:rPr>
                <w:sz w:val="12"/>
              </w:rPr>
            </w:pPr>
            <w:r>
              <w:rPr>
                <w:color w:val="010202"/>
                <w:sz w:val="12"/>
              </w:rPr>
              <w:t>230</w:t>
            </w:r>
          </w:p>
        </w:tc>
        <w:tc>
          <w:tcPr>
            <w:tcW w:w="794" w:type="dxa"/>
          </w:tcPr>
          <w:p>
            <w:pPr/>
          </w:p>
        </w:tc>
        <w:tc>
          <w:tcPr>
            <w:tcW w:w="2551" w:type="dxa"/>
          </w:tcPr>
          <w:p>
            <w:pPr>
              <w:pStyle w:val="TableParagraph"/>
              <w:spacing w:line="132" w:lineRule="exact" w:before="33"/>
              <w:ind w:left="903" w:right="29" w:hanging="777"/>
              <w:jc w:val="left"/>
              <w:rPr>
                <w:rFonts w:ascii="Palatino Linotype" w:hAnsi="Palatino Linotype"/>
                <w:b/>
                <w:sz w:val="12"/>
              </w:rPr>
            </w:pPr>
            <w:r>
              <w:rPr>
                <w:rFonts w:ascii="Palatino Linotype" w:hAnsi="Palatino Linotype"/>
                <w:b/>
                <w:color w:val="010202"/>
                <w:w w:val="95"/>
                <w:sz w:val="12"/>
              </w:rPr>
              <w:t>Valeo Climate Control de México Servicios S. </w:t>
            </w:r>
            <w:r>
              <w:rPr>
                <w:rFonts w:ascii="Palatino Linotype" w:hAnsi="Palatino Linotype"/>
                <w:b/>
                <w:color w:val="010202"/>
                <w:sz w:val="12"/>
              </w:rPr>
              <w:t>de R.L. de C.V.</w:t>
            </w:r>
          </w:p>
        </w:tc>
        <w:tc>
          <w:tcPr>
            <w:tcW w:w="567" w:type="dxa"/>
          </w:tcPr>
          <w:p>
            <w:pPr>
              <w:pStyle w:val="TableParagraph"/>
              <w:spacing w:before="93"/>
              <w:rPr>
                <w:sz w:val="12"/>
              </w:rPr>
            </w:pPr>
            <w:r>
              <w:rPr>
                <w:color w:val="010202"/>
                <w:w w:val="96"/>
                <w:sz w:val="12"/>
              </w:rPr>
              <w:t>1</w:t>
            </w:r>
          </w:p>
        </w:tc>
        <w:tc>
          <w:tcPr>
            <w:tcW w:w="567" w:type="dxa"/>
          </w:tcPr>
          <w:p>
            <w:pPr>
              <w:pStyle w:val="TableParagraph"/>
              <w:spacing w:before="93"/>
              <w:ind w:left="235"/>
              <w:jc w:val="left"/>
              <w:rPr>
                <w:sz w:val="12"/>
              </w:rPr>
            </w:pPr>
            <w:r>
              <w:rPr>
                <w:color w:val="010202"/>
                <w:w w:val="99"/>
                <w:sz w:val="12"/>
              </w:rPr>
              <w:t>G</w:t>
            </w:r>
          </w:p>
        </w:tc>
        <w:tc>
          <w:tcPr>
            <w:tcW w:w="2381" w:type="dxa"/>
          </w:tcPr>
          <w:p>
            <w:pPr>
              <w:pStyle w:val="TableParagraph"/>
              <w:spacing w:before="93"/>
              <w:ind w:left="106" w:right="106"/>
              <w:rPr>
                <w:sz w:val="12"/>
              </w:rPr>
            </w:pPr>
            <w:r>
              <w:rPr>
                <w:color w:val="010202"/>
                <w:sz w:val="12"/>
              </w:rPr>
              <w:t>Sistemas de aire acondicionado automotriz</w:t>
            </w:r>
          </w:p>
        </w:tc>
      </w:tr>
      <w:tr>
        <w:trPr>
          <w:trHeight w:val="312" w:hRule="exact"/>
        </w:trPr>
        <w:tc>
          <w:tcPr>
            <w:tcW w:w="340" w:type="dxa"/>
          </w:tcPr>
          <w:p>
            <w:pPr>
              <w:pStyle w:val="TableParagraph"/>
              <w:spacing w:before="82"/>
              <w:ind w:left="46" w:right="46"/>
              <w:rPr>
                <w:sz w:val="12"/>
              </w:rPr>
            </w:pPr>
            <w:r>
              <w:rPr>
                <w:color w:val="010202"/>
                <w:sz w:val="12"/>
              </w:rPr>
              <w:t>231</w:t>
            </w:r>
          </w:p>
        </w:tc>
        <w:tc>
          <w:tcPr>
            <w:tcW w:w="794" w:type="dxa"/>
          </w:tcPr>
          <w:p>
            <w:pPr/>
          </w:p>
        </w:tc>
        <w:tc>
          <w:tcPr>
            <w:tcW w:w="2551" w:type="dxa"/>
          </w:tcPr>
          <w:p>
            <w:pPr>
              <w:pStyle w:val="TableParagraph"/>
              <w:spacing w:before="68"/>
              <w:ind w:right="144"/>
              <w:jc w:val="right"/>
              <w:rPr>
                <w:rFonts w:ascii="Palatino Linotype"/>
                <w:b/>
                <w:sz w:val="12"/>
              </w:rPr>
            </w:pPr>
            <w:r>
              <w:rPr>
                <w:rFonts w:ascii="Palatino Linotype"/>
                <w:b/>
                <w:color w:val="010202"/>
                <w:w w:val="95"/>
                <w:sz w:val="12"/>
              </w:rPr>
              <w:t>ZF Chassis Components Toluca , S.A. de C.V.</w:t>
            </w:r>
          </w:p>
        </w:tc>
        <w:tc>
          <w:tcPr>
            <w:tcW w:w="567" w:type="dxa"/>
          </w:tcPr>
          <w:p>
            <w:pPr>
              <w:pStyle w:val="TableParagraph"/>
              <w:spacing w:before="82"/>
              <w:ind w:left="46" w:right="46"/>
              <w:rPr>
                <w:sz w:val="12"/>
              </w:rPr>
            </w:pPr>
            <w:r>
              <w:rPr>
                <w:color w:val="010202"/>
                <w:sz w:val="12"/>
              </w:rPr>
              <w:t>1 y 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Rótulas de suspensión</w:t>
            </w:r>
          </w:p>
        </w:tc>
      </w:tr>
      <w:tr>
        <w:trPr>
          <w:trHeight w:val="312" w:hRule="exact"/>
        </w:trPr>
        <w:tc>
          <w:tcPr>
            <w:tcW w:w="340" w:type="dxa"/>
          </w:tcPr>
          <w:p>
            <w:pPr>
              <w:pStyle w:val="TableParagraph"/>
              <w:spacing w:before="82"/>
              <w:ind w:left="46" w:right="46"/>
              <w:rPr>
                <w:sz w:val="12"/>
              </w:rPr>
            </w:pPr>
            <w:r>
              <w:rPr>
                <w:color w:val="010202"/>
                <w:sz w:val="12"/>
              </w:rPr>
              <w:t>232</w:t>
            </w:r>
          </w:p>
        </w:tc>
        <w:tc>
          <w:tcPr>
            <w:tcW w:w="794" w:type="dxa"/>
          </w:tcPr>
          <w:p>
            <w:pPr>
              <w:pStyle w:val="TableParagraph"/>
              <w:spacing w:before="82"/>
              <w:ind w:right="185"/>
              <w:jc w:val="right"/>
              <w:rPr>
                <w:sz w:val="12"/>
              </w:rPr>
            </w:pPr>
            <w:r>
              <w:rPr>
                <w:color w:val="010202"/>
                <w:sz w:val="12"/>
              </w:rPr>
              <w:t>Tultitlán</w:t>
            </w:r>
          </w:p>
        </w:tc>
        <w:tc>
          <w:tcPr>
            <w:tcW w:w="2551" w:type="dxa"/>
          </w:tcPr>
          <w:p>
            <w:pPr>
              <w:pStyle w:val="TableParagraph"/>
              <w:spacing w:before="68"/>
              <w:ind w:left="508" w:right="69"/>
              <w:jc w:val="left"/>
              <w:rPr>
                <w:rFonts w:ascii="Palatino Linotype"/>
                <w:b/>
                <w:sz w:val="12"/>
              </w:rPr>
            </w:pPr>
            <w:r>
              <w:rPr>
                <w:rFonts w:ascii="Palatino Linotype"/>
                <w:b/>
                <w:color w:val="010202"/>
                <w:w w:val="95"/>
                <w:sz w:val="12"/>
              </w:rPr>
              <w:t>Aceros Dondisch, S.A. de C.V.</w:t>
            </w:r>
          </w:p>
        </w:tc>
        <w:tc>
          <w:tcPr>
            <w:tcW w:w="567" w:type="dxa"/>
          </w:tcPr>
          <w:p>
            <w:pPr>
              <w:pStyle w:val="TableParagraph"/>
              <w:spacing w:before="82"/>
              <w:rPr>
                <w:sz w:val="12"/>
              </w:rPr>
            </w:pPr>
            <w:r>
              <w:rPr>
                <w:color w:val="010202"/>
                <w:w w:val="96"/>
                <w:sz w:val="12"/>
              </w:rPr>
              <w:t>3</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6" w:right="106"/>
              <w:rPr>
                <w:sz w:val="12"/>
              </w:rPr>
            </w:pPr>
            <w:r>
              <w:rPr>
                <w:color w:val="010202"/>
                <w:sz w:val="12"/>
              </w:rPr>
              <w:t>Acero base</w:t>
            </w:r>
          </w:p>
        </w:tc>
      </w:tr>
      <w:tr>
        <w:trPr>
          <w:trHeight w:val="411" w:hRule="exact"/>
        </w:trPr>
        <w:tc>
          <w:tcPr>
            <w:tcW w:w="340" w:type="dxa"/>
          </w:tcPr>
          <w:p>
            <w:pPr>
              <w:pStyle w:val="TableParagraph"/>
              <w:spacing w:before="5"/>
              <w:jc w:val="left"/>
              <w:rPr>
                <w:sz w:val="11"/>
              </w:rPr>
            </w:pPr>
          </w:p>
          <w:p>
            <w:pPr>
              <w:pStyle w:val="TableParagraph"/>
              <w:ind w:left="46" w:right="46"/>
              <w:rPr>
                <w:sz w:val="12"/>
              </w:rPr>
            </w:pPr>
            <w:r>
              <w:rPr>
                <w:color w:val="010202"/>
                <w:sz w:val="12"/>
              </w:rPr>
              <w:t>233</w:t>
            </w:r>
          </w:p>
        </w:tc>
        <w:tc>
          <w:tcPr>
            <w:tcW w:w="794" w:type="dxa"/>
          </w:tcPr>
          <w:p>
            <w:pPr/>
          </w:p>
        </w:tc>
        <w:tc>
          <w:tcPr>
            <w:tcW w:w="2551" w:type="dxa"/>
          </w:tcPr>
          <w:p>
            <w:pPr>
              <w:pStyle w:val="TableParagraph"/>
              <w:spacing w:before="2"/>
              <w:jc w:val="left"/>
              <w:rPr>
                <w:sz w:val="10"/>
              </w:rPr>
            </w:pPr>
          </w:p>
          <w:p>
            <w:pPr>
              <w:pStyle w:val="TableParagraph"/>
              <w:spacing w:before="1"/>
              <w:ind w:left="310" w:right="69"/>
              <w:jc w:val="left"/>
              <w:rPr>
                <w:rFonts w:ascii="Palatino Linotype" w:hAnsi="Palatino Linotype"/>
                <w:b/>
                <w:sz w:val="12"/>
              </w:rPr>
            </w:pPr>
            <w:r>
              <w:rPr>
                <w:rFonts w:ascii="Palatino Linotype" w:hAnsi="Palatino Linotype"/>
                <w:b/>
                <w:color w:val="010202"/>
                <w:w w:val="95"/>
                <w:sz w:val="12"/>
              </w:rPr>
              <w:t>Basf Mexicana, S.A. de C.V. (Tultitlán)</w:t>
            </w:r>
          </w:p>
        </w:tc>
        <w:tc>
          <w:tcPr>
            <w:tcW w:w="567" w:type="dxa"/>
          </w:tcPr>
          <w:p>
            <w:pPr/>
          </w:p>
        </w:tc>
        <w:tc>
          <w:tcPr>
            <w:tcW w:w="567" w:type="dxa"/>
          </w:tcPr>
          <w:p>
            <w:pPr/>
          </w:p>
        </w:tc>
        <w:tc>
          <w:tcPr>
            <w:tcW w:w="2381" w:type="dxa"/>
          </w:tcPr>
          <w:p>
            <w:pPr>
              <w:pStyle w:val="TableParagraph"/>
              <w:spacing w:line="132" w:lineRule="exact" w:before="72"/>
              <w:ind w:left="286" w:right="-17" w:hanging="78"/>
              <w:jc w:val="left"/>
              <w:rPr>
                <w:sz w:val="12"/>
              </w:rPr>
            </w:pPr>
            <w:r>
              <w:rPr>
                <w:color w:val="010202"/>
                <w:sz w:val="12"/>
              </w:rPr>
              <w:t>Fabricación de pinturas, barnices, lacas y similares para la industria automotriz</w:t>
            </w:r>
          </w:p>
        </w:tc>
      </w:tr>
      <w:tr>
        <w:trPr>
          <w:trHeight w:val="544" w:hRule="exact"/>
        </w:trPr>
        <w:tc>
          <w:tcPr>
            <w:tcW w:w="340" w:type="dxa"/>
          </w:tcPr>
          <w:p>
            <w:pPr>
              <w:pStyle w:val="TableParagraph"/>
              <w:spacing w:before="3"/>
              <w:jc w:val="left"/>
              <w:rPr>
                <w:sz w:val="17"/>
              </w:rPr>
            </w:pPr>
          </w:p>
          <w:p>
            <w:pPr>
              <w:pStyle w:val="TableParagraph"/>
              <w:ind w:left="45" w:right="46"/>
              <w:rPr>
                <w:sz w:val="12"/>
              </w:rPr>
            </w:pPr>
            <w:r>
              <w:rPr>
                <w:color w:val="010202"/>
                <w:sz w:val="12"/>
              </w:rPr>
              <w:t>234</w:t>
            </w:r>
          </w:p>
        </w:tc>
        <w:tc>
          <w:tcPr>
            <w:tcW w:w="794" w:type="dxa"/>
          </w:tcPr>
          <w:p>
            <w:pPr/>
          </w:p>
        </w:tc>
        <w:tc>
          <w:tcPr>
            <w:tcW w:w="2551" w:type="dxa"/>
          </w:tcPr>
          <w:p>
            <w:pPr>
              <w:pStyle w:val="TableParagraph"/>
              <w:jc w:val="left"/>
              <w:rPr>
                <w:sz w:val="16"/>
              </w:rPr>
            </w:pPr>
          </w:p>
          <w:p>
            <w:pPr>
              <w:pStyle w:val="TableParagraph"/>
              <w:ind w:left="602" w:right="69"/>
              <w:jc w:val="left"/>
              <w:rPr>
                <w:rFonts w:ascii="Palatino Linotype" w:hAnsi="Palatino Linotype"/>
                <w:b/>
                <w:sz w:val="12"/>
              </w:rPr>
            </w:pPr>
            <w:r>
              <w:rPr>
                <w:rFonts w:ascii="Palatino Linotype" w:hAnsi="Palatino Linotype"/>
                <w:b/>
                <w:color w:val="010202"/>
                <w:w w:val="95"/>
                <w:sz w:val="12"/>
              </w:rPr>
              <w:t>Bundy México S.A. de C.V.</w:t>
            </w:r>
          </w:p>
        </w:tc>
        <w:tc>
          <w:tcPr>
            <w:tcW w:w="567" w:type="dxa"/>
          </w:tcPr>
          <w:p>
            <w:pPr/>
          </w:p>
        </w:tc>
        <w:tc>
          <w:tcPr>
            <w:tcW w:w="567" w:type="dxa"/>
          </w:tcPr>
          <w:p>
            <w:pPr/>
          </w:p>
        </w:tc>
        <w:tc>
          <w:tcPr>
            <w:tcW w:w="2381" w:type="dxa"/>
          </w:tcPr>
          <w:p>
            <w:pPr>
              <w:pStyle w:val="TableParagraph"/>
              <w:spacing w:line="132" w:lineRule="exact" w:before="73"/>
              <w:ind w:left="35" w:right="34"/>
              <w:rPr>
                <w:sz w:val="12"/>
              </w:rPr>
            </w:pPr>
            <w:r>
              <w:rPr>
                <w:color w:val="010202"/>
                <w:sz w:val="12"/>
              </w:rPr>
              <w:t>Tubos preformados sistema combustible, tubos preformados para inyección diésel, tubos preformados para sistema de frenos</w:t>
            </w:r>
          </w:p>
        </w:tc>
      </w:tr>
      <w:tr>
        <w:trPr>
          <w:trHeight w:val="312" w:hRule="exact"/>
        </w:trPr>
        <w:tc>
          <w:tcPr>
            <w:tcW w:w="340" w:type="dxa"/>
          </w:tcPr>
          <w:p>
            <w:pPr>
              <w:pStyle w:val="TableParagraph"/>
              <w:spacing w:before="82"/>
              <w:ind w:left="45" w:right="46"/>
              <w:rPr>
                <w:sz w:val="12"/>
              </w:rPr>
            </w:pPr>
            <w:r>
              <w:rPr>
                <w:color w:val="010202"/>
                <w:sz w:val="12"/>
              </w:rPr>
              <w:t>235</w:t>
            </w:r>
          </w:p>
        </w:tc>
        <w:tc>
          <w:tcPr>
            <w:tcW w:w="794" w:type="dxa"/>
          </w:tcPr>
          <w:p>
            <w:pPr/>
          </w:p>
        </w:tc>
        <w:tc>
          <w:tcPr>
            <w:tcW w:w="2551" w:type="dxa"/>
          </w:tcPr>
          <w:p>
            <w:pPr>
              <w:pStyle w:val="TableParagraph"/>
              <w:spacing w:before="68"/>
              <w:ind w:left="516" w:right="69"/>
              <w:jc w:val="left"/>
              <w:rPr>
                <w:rFonts w:ascii="Palatino Linotype"/>
                <w:b/>
                <w:sz w:val="12"/>
              </w:rPr>
            </w:pPr>
            <w:r>
              <w:rPr>
                <w:rFonts w:ascii="Palatino Linotype"/>
                <w:b/>
                <w:color w:val="010202"/>
                <w:w w:val="95"/>
                <w:sz w:val="12"/>
              </w:rPr>
              <w:t>Carza Industrias, S.A. de C.V.</w:t>
            </w:r>
          </w:p>
        </w:tc>
        <w:tc>
          <w:tcPr>
            <w:tcW w:w="567" w:type="dxa"/>
          </w:tcPr>
          <w:p>
            <w:pPr>
              <w:pStyle w:val="TableParagraph"/>
              <w:spacing w:before="82"/>
              <w:ind w:left="45" w:right="46"/>
              <w:rPr>
                <w:sz w:val="12"/>
              </w:rPr>
            </w:pPr>
            <w:r>
              <w:rPr>
                <w:color w:val="010202"/>
                <w:sz w:val="12"/>
              </w:rPr>
              <w:t>1 3</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5" w:right="106"/>
              <w:rPr>
                <w:sz w:val="12"/>
              </w:rPr>
            </w:pPr>
            <w:r>
              <w:rPr>
                <w:color w:val="010202"/>
                <w:sz w:val="12"/>
              </w:rPr>
              <w:t>Línea de carrocerías y equipo pesado</w:t>
            </w:r>
          </w:p>
        </w:tc>
      </w:tr>
      <w:tr>
        <w:trPr>
          <w:trHeight w:val="312" w:hRule="exact"/>
        </w:trPr>
        <w:tc>
          <w:tcPr>
            <w:tcW w:w="340" w:type="dxa"/>
          </w:tcPr>
          <w:p>
            <w:pPr>
              <w:pStyle w:val="TableParagraph"/>
              <w:spacing w:before="82"/>
              <w:ind w:left="45" w:right="46"/>
              <w:rPr>
                <w:sz w:val="12"/>
              </w:rPr>
            </w:pPr>
            <w:r>
              <w:rPr>
                <w:color w:val="010202"/>
                <w:sz w:val="12"/>
              </w:rPr>
              <w:t>236</w:t>
            </w:r>
          </w:p>
        </w:tc>
        <w:tc>
          <w:tcPr>
            <w:tcW w:w="794" w:type="dxa"/>
          </w:tcPr>
          <w:p>
            <w:pPr/>
          </w:p>
        </w:tc>
        <w:tc>
          <w:tcPr>
            <w:tcW w:w="2551" w:type="dxa"/>
          </w:tcPr>
          <w:p>
            <w:pPr>
              <w:pStyle w:val="TableParagraph"/>
              <w:spacing w:before="68"/>
              <w:ind w:left="344" w:right="69"/>
              <w:jc w:val="left"/>
              <w:rPr>
                <w:rFonts w:ascii="Palatino Linotype" w:hAnsi="Palatino Linotype"/>
                <w:b/>
                <w:sz w:val="12"/>
              </w:rPr>
            </w:pPr>
            <w:r>
              <w:rPr>
                <w:rFonts w:ascii="Palatino Linotype" w:hAnsi="Palatino Linotype"/>
                <w:b/>
                <w:color w:val="010202"/>
                <w:w w:val="95"/>
                <w:sz w:val="12"/>
              </w:rPr>
              <w:t>DIGA, S.A. de C.V. (Edo. de México)</w:t>
            </w:r>
          </w:p>
        </w:tc>
        <w:tc>
          <w:tcPr>
            <w:tcW w:w="567" w:type="dxa"/>
          </w:tcPr>
          <w:p>
            <w:pPr>
              <w:pStyle w:val="TableParagraph"/>
              <w:spacing w:before="82"/>
              <w:ind w:left="45" w:right="46"/>
              <w:rPr>
                <w:sz w:val="12"/>
              </w:rPr>
            </w:pPr>
            <w:r>
              <w:rPr>
                <w:color w:val="010202"/>
                <w:sz w:val="12"/>
              </w:rPr>
              <w:t>1y2</w:t>
            </w:r>
          </w:p>
        </w:tc>
        <w:tc>
          <w:tcPr>
            <w:tcW w:w="567" w:type="dxa"/>
          </w:tcPr>
          <w:p>
            <w:pPr>
              <w:pStyle w:val="TableParagraph"/>
              <w:spacing w:before="82"/>
              <w:ind w:left="224"/>
              <w:jc w:val="left"/>
              <w:rPr>
                <w:sz w:val="12"/>
              </w:rPr>
            </w:pPr>
            <w:r>
              <w:rPr>
                <w:color w:val="010202"/>
                <w:w w:val="100"/>
                <w:sz w:val="12"/>
              </w:rPr>
              <w:t>M</w:t>
            </w:r>
          </w:p>
        </w:tc>
        <w:tc>
          <w:tcPr>
            <w:tcW w:w="2381" w:type="dxa"/>
          </w:tcPr>
          <w:p>
            <w:pPr>
              <w:pStyle w:val="TableParagraph"/>
              <w:spacing w:before="82"/>
              <w:ind w:left="105" w:right="106"/>
              <w:rPr>
                <w:sz w:val="12"/>
              </w:rPr>
            </w:pPr>
            <w:r>
              <w:rPr>
                <w:color w:val="010202"/>
                <w:sz w:val="12"/>
              </w:rPr>
              <w:t>Polietilenos</w:t>
            </w:r>
          </w:p>
        </w:tc>
      </w:tr>
      <w:tr>
        <w:trPr>
          <w:trHeight w:val="333" w:hRule="exact"/>
        </w:trPr>
        <w:tc>
          <w:tcPr>
            <w:tcW w:w="340" w:type="dxa"/>
          </w:tcPr>
          <w:p>
            <w:pPr>
              <w:pStyle w:val="TableParagraph"/>
              <w:spacing w:before="92"/>
              <w:ind w:left="45" w:right="46"/>
              <w:rPr>
                <w:sz w:val="12"/>
              </w:rPr>
            </w:pPr>
            <w:r>
              <w:rPr>
                <w:color w:val="010202"/>
                <w:sz w:val="12"/>
              </w:rPr>
              <w:t>237</w:t>
            </w:r>
          </w:p>
        </w:tc>
        <w:tc>
          <w:tcPr>
            <w:tcW w:w="794" w:type="dxa"/>
          </w:tcPr>
          <w:p>
            <w:pPr/>
          </w:p>
        </w:tc>
        <w:tc>
          <w:tcPr>
            <w:tcW w:w="2551" w:type="dxa"/>
          </w:tcPr>
          <w:p>
            <w:pPr>
              <w:pStyle w:val="TableParagraph"/>
              <w:spacing w:line="132" w:lineRule="exact" w:before="33"/>
              <w:ind w:left="1092" w:right="75" w:hanging="919"/>
              <w:jc w:val="left"/>
              <w:rPr>
                <w:rFonts w:ascii="Palatino Linotype"/>
                <w:b/>
                <w:sz w:val="12"/>
              </w:rPr>
            </w:pPr>
            <w:r>
              <w:rPr>
                <w:rFonts w:ascii="Palatino Linotype"/>
                <w:b/>
                <w:color w:val="010202"/>
                <w:w w:val="95"/>
                <w:sz w:val="12"/>
              </w:rPr>
              <w:t>Distribuidora de Aleaciones y Metales, S.A. de C.V.</w:t>
            </w:r>
          </w:p>
        </w:tc>
        <w:tc>
          <w:tcPr>
            <w:tcW w:w="567" w:type="dxa"/>
          </w:tcPr>
          <w:p>
            <w:pPr>
              <w:pStyle w:val="TableParagraph"/>
              <w:spacing w:before="92"/>
              <w:ind w:right="1"/>
              <w:rPr>
                <w:sz w:val="12"/>
              </w:rPr>
            </w:pPr>
            <w:r>
              <w:rPr>
                <w:color w:val="010202"/>
                <w:w w:val="96"/>
                <w:sz w:val="12"/>
              </w:rPr>
              <w:t>3</w:t>
            </w:r>
          </w:p>
        </w:tc>
        <w:tc>
          <w:tcPr>
            <w:tcW w:w="567" w:type="dxa"/>
          </w:tcPr>
          <w:p>
            <w:pPr>
              <w:pStyle w:val="TableParagraph"/>
              <w:spacing w:before="92"/>
              <w:ind w:left="244"/>
              <w:jc w:val="left"/>
              <w:rPr>
                <w:sz w:val="12"/>
              </w:rPr>
            </w:pPr>
            <w:r>
              <w:rPr>
                <w:color w:val="010202"/>
                <w:w w:val="101"/>
                <w:sz w:val="12"/>
              </w:rPr>
              <w:t>P</w:t>
            </w:r>
          </w:p>
        </w:tc>
        <w:tc>
          <w:tcPr>
            <w:tcW w:w="2381" w:type="dxa"/>
          </w:tcPr>
          <w:p>
            <w:pPr>
              <w:pStyle w:val="TableParagraph"/>
              <w:spacing w:before="92"/>
              <w:ind w:left="105" w:right="106"/>
              <w:rPr>
                <w:sz w:val="12"/>
              </w:rPr>
            </w:pPr>
            <w:r>
              <w:rPr>
                <w:color w:val="010202"/>
                <w:sz w:val="12"/>
              </w:rPr>
              <w:t>Ferroaleaciones y Metales</w:t>
            </w:r>
          </w:p>
        </w:tc>
      </w:tr>
      <w:tr>
        <w:trPr>
          <w:trHeight w:val="312" w:hRule="exact"/>
        </w:trPr>
        <w:tc>
          <w:tcPr>
            <w:tcW w:w="340" w:type="dxa"/>
          </w:tcPr>
          <w:p>
            <w:pPr>
              <w:pStyle w:val="TableParagraph"/>
              <w:spacing w:before="82"/>
              <w:ind w:left="45" w:right="46"/>
              <w:rPr>
                <w:sz w:val="12"/>
              </w:rPr>
            </w:pPr>
            <w:r>
              <w:rPr>
                <w:color w:val="010202"/>
                <w:sz w:val="12"/>
              </w:rPr>
              <w:t>238</w:t>
            </w:r>
          </w:p>
        </w:tc>
        <w:tc>
          <w:tcPr>
            <w:tcW w:w="794" w:type="dxa"/>
          </w:tcPr>
          <w:p>
            <w:pPr/>
          </w:p>
        </w:tc>
        <w:tc>
          <w:tcPr>
            <w:tcW w:w="2551" w:type="dxa"/>
          </w:tcPr>
          <w:p>
            <w:pPr>
              <w:pStyle w:val="TableParagraph"/>
              <w:spacing w:before="68"/>
              <w:ind w:left="776" w:right="69"/>
              <w:jc w:val="left"/>
              <w:rPr>
                <w:rFonts w:ascii="Palatino Linotype"/>
                <w:b/>
                <w:sz w:val="12"/>
              </w:rPr>
            </w:pPr>
            <w:r>
              <w:rPr>
                <w:rFonts w:ascii="Palatino Linotype"/>
                <w:b/>
                <w:color w:val="010202"/>
                <w:w w:val="95"/>
                <w:sz w:val="12"/>
              </w:rPr>
              <w:t>Fusoni, S.A. de C.V.</w:t>
            </w:r>
          </w:p>
        </w:tc>
        <w:tc>
          <w:tcPr>
            <w:tcW w:w="567" w:type="dxa"/>
          </w:tcPr>
          <w:p>
            <w:pPr>
              <w:pStyle w:val="TableParagraph"/>
              <w:spacing w:before="82"/>
              <w:ind w:left="45" w:right="46"/>
              <w:rPr>
                <w:sz w:val="12"/>
              </w:rPr>
            </w:pPr>
            <w:r>
              <w:rPr>
                <w:color w:val="010202"/>
                <w:sz w:val="12"/>
              </w:rPr>
              <w:t>1 y 2</w:t>
            </w:r>
          </w:p>
        </w:tc>
        <w:tc>
          <w:tcPr>
            <w:tcW w:w="567" w:type="dxa"/>
          </w:tcPr>
          <w:p>
            <w:pPr>
              <w:pStyle w:val="TableParagraph"/>
              <w:spacing w:before="82"/>
              <w:ind w:left="244"/>
              <w:jc w:val="left"/>
              <w:rPr>
                <w:sz w:val="12"/>
              </w:rPr>
            </w:pPr>
            <w:r>
              <w:rPr>
                <w:color w:val="010202"/>
                <w:w w:val="101"/>
                <w:sz w:val="12"/>
              </w:rPr>
              <w:t>P</w:t>
            </w:r>
          </w:p>
        </w:tc>
        <w:tc>
          <w:tcPr>
            <w:tcW w:w="2381" w:type="dxa"/>
          </w:tcPr>
          <w:p>
            <w:pPr>
              <w:pStyle w:val="TableParagraph"/>
              <w:spacing w:before="82"/>
              <w:ind w:left="105" w:right="106"/>
              <w:rPr>
                <w:sz w:val="12"/>
              </w:rPr>
            </w:pPr>
            <w:r>
              <w:rPr>
                <w:color w:val="010202"/>
                <w:sz w:val="12"/>
              </w:rPr>
              <w:t>Productos químicos</w:t>
            </w:r>
          </w:p>
        </w:tc>
      </w:tr>
      <w:tr>
        <w:trPr>
          <w:trHeight w:val="312" w:hRule="exact"/>
        </w:trPr>
        <w:tc>
          <w:tcPr>
            <w:tcW w:w="340" w:type="dxa"/>
          </w:tcPr>
          <w:p>
            <w:pPr>
              <w:pStyle w:val="TableParagraph"/>
              <w:spacing w:before="82"/>
              <w:ind w:left="45" w:right="46"/>
              <w:rPr>
                <w:sz w:val="12"/>
              </w:rPr>
            </w:pPr>
            <w:r>
              <w:rPr>
                <w:color w:val="010202"/>
                <w:sz w:val="12"/>
              </w:rPr>
              <w:t>239</w:t>
            </w:r>
          </w:p>
        </w:tc>
        <w:tc>
          <w:tcPr>
            <w:tcW w:w="794" w:type="dxa"/>
          </w:tcPr>
          <w:p>
            <w:pPr/>
          </w:p>
        </w:tc>
        <w:tc>
          <w:tcPr>
            <w:tcW w:w="2551" w:type="dxa"/>
          </w:tcPr>
          <w:p>
            <w:pPr>
              <w:pStyle w:val="TableParagraph"/>
              <w:spacing w:before="68"/>
              <w:ind w:left="626" w:right="69"/>
              <w:jc w:val="left"/>
              <w:rPr>
                <w:rFonts w:ascii="Palatino Linotype"/>
                <w:b/>
                <w:sz w:val="12"/>
              </w:rPr>
            </w:pPr>
            <w:r>
              <w:rPr>
                <w:rFonts w:ascii="Palatino Linotype"/>
                <w:b/>
                <w:color w:val="010202"/>
                <w:w w:val="95"/>
                <w:sz w:val="12"/>
              </w:rPr>
              <w:t>Fynotej, S. de R.L. de C.V.</w:t>
            </w:r>
          </w:p>
        </w:tc>
        <w:tc>
          <w:tcPr>
            <w:tcW w:w="567" w:type="dxa"/>
          </w:tcPr>
          <w:p>
            <w:pPr>
              <w:pStyle w:val="TableParagraph"/>
              <w:spacing w:before="82"/>
              <w:ind w:left="45" w:right="46"/>
              <w:rPr>
                <w:sz w:val="12"/>
              </w:rPr>
            </w:pPr>
            <w:r>
              <w:rPr>
                <w:color w:val="010202"/>
                <w:sz w:val="12"/>
              </w:rPr>
              <w:t>1 y 2</w:t>
            </w:r>
          </w:p>
        </w:tc>
        <w:tc>
          <w:tcPr>
            <w:tcW w:w="567" w:type="dxa"/>
          </w:tcPr>
          <w:p>
            <w:pPr>
              <w:pStyle w:val="TableParagraph"/>
              <w:spacing w:before="82"/>
              <w:ind w:left="234"/>
              <w:jc w:val="left"/>
              <w:rPr>
                <w:sz w:val="12"/>
              </w:rPr>
            </w:pPr>
            <w:r>
              <w:rPr>
                <w:color w:val="010202"/>
                <w:w w:val="99"/>
                <w:sz w:val="12"/>
              </w:rPr>
              <w:t>G</w:t>
            </w:r>
          </w:p>
        </w:tc>
        <w:tc>
          <w:tcPr>
            <w:tcW w:w="2381" w:type="dxa"/>
          </w:tcPr>
          <w:p>
            <w:pPr>
              <w:pStyle w:val="TableParagraph"/>
              <w:spacing w:before="82"/>
              <w:ind w:left="105" w:right="106"/>
              <w:rPr>
                <w:sz w:val="12"/>
              </w:rPr>
            </w:pPr>
            <w:r>
              <w:rPr>
                <w:color w:val="010202"/>
                <w:sz w:val="12"/>
              </w:rPr>
              <w:t>Fibras textiles</w:t>
            </w:r>
          </w:p>
        </w:tc>
      </w:tr>
      <w:tr>
        <w:trPr>
          <w:trHeight w:val="418" w:hRule="exact"/>
        </w:trPr>
        <w:tc>
          <w:tcPr>
            <w:tcW w:w="340" w:type="dxa"/>
          </w:tcPr>
          <w:p>
            <w:pPr>
              <w:pStyle w:val="TableParagraph"/>
              <w:spacing w:before="8"/>
              <w:jc w:val="left"/>
              <w:rPr>
                <w:sz w:val="11"/>
              </w:rPr>
            </w:pPr>
          </w:p>
          <w:p>
            <w:pPr>
              <w:pStyle w:val="TableParagraph"/>
              <w:ind w:left="45" w:right="46"/>
              <w:rPr>
                <w:sz w:val="12"/>
              </w:rPr>
            </w:pPr>
            <w:r>
              <w:rPr>
                <w:color w:val="010202"/>
                <w:sz w:val="12"/>
              </w:rPr>
              <w:t>240</w:t>
            </w:r>
          </w:p>
        </w:tc>
        <w:tc>
          <w:tcPr>
            <w:tcW w:w="794" w:type="dxa"/>
          </w:tcPr>
          <w:p>
            <w:pPr/>
          </w:p>
        </w:tc>
        <w:tc>
          <w:tcPr>
            <w:tcW w:w="2551" w:type="dxa"/>
          </w:tcPr>
          <w:p>
            <w:pPr>
              <w:pStyle w:val="TableParagraph"/>
              <w:spacing w:before="6"/>
              <w:jc w:val="left"/>
              <w:rPr>
                <w:sz w:val="10"/>
              </w:rPr>
            </w:pPr>
          </w:p>
          <w:p>
            <w:pPr>
              <w:pStyle w:val="TableParagraph"/>
              <w:ind w:left="744" w:right="69"/>
              <w:jc w:val="left"/>
              <w:rPr>
                <w:rFonts w:ascii="Palatino Linotype"/>
                <w:b/>
                <w:sz w:val="12"/>
              </w:rPr>
            </w:pPr>
            <w:r>
              <w:rPr>
                <w:rFonts w:ascii="Palatino Linotype"/>
                <w:b/>
                <w:color w:val="010202"/>
                <w:w w:val="95"/>
                <w:sz w:val="12"/>
              </w:rPr>
              <w:t>Gleason, S.A. de C.V.</w:t>
            </w:r>
          </w:p>
        </w:tc>
        <w:tc>
          <w:tcPr>
            <w:tcW w:w="567" w:type="dxa"/>
          </w:tcPr>
          <w:p>
            <w:pPr>
              <w:pStyle w:val="TableParagraph"/>
              <w:spacing w:before="8"/>
              <w:jc w:val="left"/>
              <w:rPr>
                <w:sz w:val="11"/>
              </w:rPr>
            </w:pPr>
          </w:p>
          <w:p>
            <w:pPr>
              <w:pStyle w:val="TableParagraph"/>
              <w:ind w:left="45" w:right="46"/>
              <w:rPr>
                <w:sz w:val="12"/>
              </w:rPr>
            </w:pPr>
            <w:r>
              <w:rPr>
                <w:color w:val="010202"/>
                <w:sz w:val="12"/>
              </w:rPr>
              <w:t>1 y 2</w:t>
            </w:r>
          </w:p>
        </w:tc>
        <w:tc>
          <w:tcPr>
            <w:tcW w:w="567" w:type="dxa"/>
          </w:tcPr>
          <w:p>
            <w:pPr>
              <w:pStyle w:val="TableParagraph"/>
              <w:spacing w:before="8"/>
              <w:jc w:val="left"/>
              <w:rPr>
                <w:sz w:val="11"/>
              </w:rPr>
            </w:pPr>
          </w:p>
          <w:p>
            <w:pPr>
              <w:pStyle w:val="TableParagraph"/>
              <w:ind w:left="224"/>
              <w:jc w:val="left"/>
              <w:rPr>
                <w:sz w:val="12"/>
              </w:rPr>
            </w:pPr>
            <w:r>
              <w:rPr>
                <w:color w:val="010202"/>
                <w:w w:val="100"/>
                <w:sz w:val="12"/>
              </w:rPr>
              <w:t>M</w:t>
            </w:r>
          </w:p>
        </w:tc>
        <w:tc>
          <w:tcPr>
            <w:tcW w:w="2381" w:type="dxa"/>
          </w:tcPr>
          <w:p>
            <w:pPr>
              <w:pStyle w:val="TableParagraph"/>
              <w:spacing w:line="132" w:lineRule="exact" w:before="75"/>
              <w:ind w:left="415" w:right="56" w:hanging="302"/>
              <w:jc w:val="left"/>
              <w:rPr>
                <w:sz w:val="12"/>
              </w:rPr>
            </w:pPr>
            <w:r>
              <w:rPr>
                <w:color w:val="010202"/>
                <w:sz w:val="12"/>
              </w:rPr>
              <w:t>Partes de suspensión, partes de chasis, partes de carrocerías y partes de motor</w:t>
            </w:r>
          </w:p>
        </w:tc>
      </w:tr>
      <w:tr>
        <w:trPr>
          <w:trHeight w:val="312" w:hRule="exact"/>
        </w:trPr>
        <w:tc>
          <w:tcPr>
            <w:tcW w:w="340" w:type="dxa"/>
          </w:tcPr>
          <w:p>
            <w:pPr>
              <w:pStyle w:val="TableParagraph"/>
              <w:spacing w:before="82"/>
              <w:ind w:left="45" w:right="46"/>
              <w:rPr>
                <w:sz w:val="12"/>
              </w:rPr>
            </w:pPr>
            <w:r>
              <w:rPr>
                <w:color w:val="010202"/>
                <w:sz w:val="12"/>
              </w:rPr>
              <w:t>241</w:t>
            </w:r>
          </w:p>
        </w:tc>
        <w:tc>
          <w:tcPr>
            <w:tcW w:w="794" w:type="dxa"/>
          </w:tcPr>
          <w:p>
            <w:pPr/>
          </w:p>
        </w:tc>
        <w:tc>
          <w:tcPr>
            <w:tcW w:w="2551" w:type="dxa"/>
          </w:tcPr>
          <w:p>
            <w:pPr>
              <w:pStyle w:val="TableParagraph"/>
              <w:spacing w:before="68"/>
              <w:ind w:left="361" w:right="69"/>
              <w:jc w:val="left"/>
              <w:rPr>
                <w:rFonts w:ascii="Palatino Linotype"/>
                <w:b/>
                <w:sz w:val="12"/>
              </w:rPr>
            </w:pPr>
            <w:r>
              <w:rPr>
                <w:rFonts w:ascii="Palatino Linotype"/>
                <w:b/>
                <w:color w:val="010202"/>
                <w:w w:val="95"/>
                <w:sz w:val="12"/>
              </w:rPr>
              <w:t>Grupo BASF Mexicana, S.A. de C.V.</w:t>
            </w:r>
          </w:p>
        </w:tc>
        <w:tc>
          <w:tcPr>
            <w:tcW w:w="567" w:type="dxa"/>
          </w:tcPr>
          <w:p>
            <w:pPr>
              <w:pStyle w:val="TableParagraph"/>
              <w:spacing w:before="82"/>
              <w:ind w:right="1"/>
              <w:rPr>
                <w:sz w:val="12"/>
              </w:rPr>
            </w:pPr>
            <w:r>
              <w:rPr>
                <w:color w:val="010202"/>
                <w:w w:val="96"/>
                <w:sz w:val="12"/>
              </w:rPr>
              <w:t>2</w:t>
            </w:r>
          </w:p>
        </w:tc>
        <w:tc>
          <w:tcPr>
            <w:tcW w:w="567" w:type="dxa"/>
          </w:tcPr>
          <w:p>
            <w:pPr>
              <w:pStyle w:val="TableParagraph"/>
              <w:spacing w:before="82"/>
              <w:ind w:left="234"/>
              <w:jc w:val="left"/>
              <w:rPr>
                <w:sz w:val="12"/>
              </w:rPr>
            </w:pPr>
            <w:r>
              <w:rPr>
                <w:color w:val="010202"/>
                <w:w w:val="99"/>
                <w:sz w:val="12"/>
              </w:rPr>
              <w:t>G</w:t>
            </w:r>
          </w:p>
        </w:tc>
        <w:tc>
          <w:tcPr>
            <w:tcW w:w="2381" w:type="dxa"/>
          </w:tcPr>
          <w:p>
            <w:pPr>
              <w:pStyle w:val="TableParagraph"/>
              <w:spacing w:before="82"/>
              <w:ind w:left="105" w:right="106"/>
              <w:rPr>
                <w:sz w:val="12"/>
              </w:rPr>
            </w:pPr>
            <w:r>
              <w:rPr>
                <w:color w:val="010202"/>
                <w:w w:val="105"/>
                <w:sz w:val="12"/>
              </w:rPr>
              <w:t>Pintura</w:t>
            </w:r>
          </w:p>
        </w:tc>
      </w:tr>
      <w:tr>
        <w:trPr>
          <w:trHeight w:val="537" w:hRule="exact"/>
        </w:trPr>
        <w:tc>
          <w:tcPr>
            <w:tcW w:w="340" w:type="dxa"/>
          </w:tcPr>
          <w:p>
            <w:pPr>
              <w:pStyle w:val="TableParagraph"/>
              <w:spacing w:before="10"/>
              <w:jc w:val="left"/>
              <w:rPr>
                <w:sz w:val="16"/>
              </w:rPr>
            </w:pPr>
          </w:p>
          <w:p>
            <w:pPr>
              <w:pStyle w:val="TableParagraph"/>
              <w:ind w:left="45" w:right="46"/>
              <w:rPr>
                <w:sz w:val="12"/>
              </w:rPr>
            </w:pPr>
            <w:r>
              <w:rPr>
                <w:color w:val="010202"/>
                <w:sz w:val="12"/>
              </w:rPr>
              <w:t>242</w:t>
            </w:r>
          </w:p>
        </w:tc>
        <w:tc>
          <w:tcPr>
            <w:tcW w:w="794" w:type="dxa"/>
          </w:tcPr>
          <w:p>
            <w:pPr/>
          </w:p>
        </w:tc>
        <w:tc>
          <w:tcPr>
            <w:tcW w:w="2551" w:type="dxa"/>
          </w:tcPr>
          <w:p>
            <w:pPr>
              <w:pStyle w:val="TableParagraph"/>
              <w:spacing w:before="8"/>
              <w:jc w:val="left"/>
              <w:rPr>
                <w:sz w:val="15"/>
              </w:rPr>
            </w:pPr>
          </w:p>
          <w:p>
            <w:pPr>
              <w:pStyle w:val="TableParagraph"/>
              <w:ind w:left="393" w:right="69"/>
              <w:jc w:val="left"/>
              <w:rPr>
                <w:rFonts w:ascii="Palatino Linotype"/>
                <w:b/>
                <w:sz w:val="12"/>
              </w:rPr>
            </w:pPr>
            <w:r>
              <w:rPr>
                <w:rFonts w:ascii="Palatino Linotype"/>
                <w:b/>
                <w:color w:val="010202"/>
                <w:w w:val="95"/>
                <w:sz w:val="12"/>
              </w:rPr>
              <w:t>Industrias Cazel, S. de R.L. de C.V.</w:t>
            </w:r>
          </w:p>
        </w:tc>
        <w:tc>
          <w:tcPr>
            <w:tcW w:w="567" w:type="dxa"/>
          </w:tcPr>
          <w:p>
            <w:pPr>
              <w:pStyle w:val="TableParagraph"/>
              <w:spacing w:before="10"/>
              <w:jc w:val="left"/>
              <w:rPr>
                <w:sz w:val="16"/>
              </w:rPr>
            </w:pPr>
          </w:p>
          <w:p>
            <w:pPr>
              <w:pStyle w:val="TableParagraph"/>
              <w:ind w:right="1"/>
              <w:rPr>
                <w:sz w:val="12"/>
              </w:rPr>
            </w:pPr>
            <w:r>
              <w:rPr>
                <w:color w:val="010202"/>
                <w:w w:val="96"/>
                <w:sz w:val="12"/>
              </w:rPr>
              <w:t>1</w:t>
            </w:r>
          </w:p>
        </w:tc>
        <w:tc>
          <w:tcPr>
            <w:tcW w:w="567" w:type="dxa"/>
          </w:tcPr>
          <w:p>
            <w:pPr>
              <w:pStyle w:val="TableParagraph"/>
              <w:spacing w:before="10"/>
              <w:jc w:val="left"/>
              <w:rPr>
                <w:sz w:val="16"/>
              </w:rPr>
            </w:pPr>
          </w:p>
          <w:p>
            <w:pPr>
              <w:pStyle w:val="TableParagraph"/>
              <w:ind w:left="234"/>
              <w:jc w:val="left"/>
              <w:rPr>
                <w:sz w:val="12"/>
              </w:rPr>
            </w:pPr>
            <w:r>
              <w:rPr>
                <w:color w:val="010202"/>
                <w:w w:val="99"/>
                <w:sz w:val="12"/>
              </w:rPr>
              <w:t>G</w:t>
            </w:r>
          </w:p>
        </w:tc>
        <w:tc>
          <w:tcPr>
            <w:tcW w:w="2381" w:type="dxa"/>
          </w:tcPr>
          <w:p>
            <w:pPr>
              <w:pStyle w:val="TableParagraph"/>
              <w:spacing w:line="132" w:lineRule="exact" w:before="69"/>
              <w:ind w:left="33" w:right="34"/>
              <w:rPr>
                <w:sz w:val="12"/>
              </w:rPr>
            </w:pPr>
            <w:r>
              <w:rPr>
                <w:color w:val="010202"/>
                <w:sz w:val="12"/>
              </w:rPr>
              <w:t>Inyección, extrusión y transformado de plástico automotriz. Moldes en inyección de plástico. Soportes de baterías. Tolvas de radiador</w:t>
            </w:r>
          </w:p>
        </w:tc>
      </w:tr>
      <w:tr>
        <w:trPr>
          <w:trHeight w:val="312" w:hRule="exact"/>
        </w:trPr>
        <w:tc>
          <w:tcPr>
            <w:tcW w:w="340" w:type="dxa"/>
          </w:tcPr>
          <w:p>
            <w:pPr>
              <w:pStyle w:val="TableParagraph"/>
              <w:spacing w:before="82"/>
              <w:ind w:left="45" w:right="46"/>
              <w:rPr>
                <w:sz w:val="12"/>
              </w:rPr>
            </w:pPr>
            <w:r>
              <w:rPr>
                <w:color w:val="010202"/>
                <w:sz w:val="12"/>
              </w:rPr>
              <w:t>243</w:t>
            </w:r>
          </w:p>
        </w:tc>
        <w:tc>
          <w:tcPr>
            <w:tcW w:w="794" w:type="dxa"/>
          </w:tcPr>
          <w:p>
            <w:pPr/>
          </w:p>
        </w:tc>
        <w:tc>
          <w:tcPr>
            <w:tcW w:w="2551" w:type="dxa"/>
          </w:tcPr>
          <w:p>
            <w:pPr>
              <w:pStyle w:val="TableParagraph"/>
              <w:spacing w:before="68"/>
              <w:ind w:left="770" w:right="69"/>
              <w:jc w:val="left"/>
              <w:rPr>
                <w:rFonts w:ascii="Palatino Linotype"/>
                <w:b/>
                <w:sz w:val="12"/>
              </w:rPr>
            </w:pPr>
            <w:r>
              <w:rPr>
                <w:rFonts w:ascii="Palatino Linotype"/>
                <w:b/>
                <w:color w:val="010202"/>
                <w:w w:val="95"/>
                <w:sz w:val="12"/>
              </w:rPr>
              <w:t>Interfil, S.A. de C.V.</w:t>
            </w:r>
          </w:p>
        </w:tc>
        <w:tc>
          <w:tcPr>
            <w:tcW w:w="567" w:type="dxa"/>
          </w:tcPr>
          <w:p>
            <w:pPr/>
          </w:p>
        </w:tc>
        <w:tc>
          <w:tcPr>
            <w:tcW w:w="567" w:type="dxa"/>
          </w:tcPr>
          <w:p>
            <w:pPr/>
          </w:p>
        </w:tc>
        <w:tc>
          <w:tcPr>
            <w:tcW w:w="2381" w:type="dxa"/>
          </w:tcPr>
          <w:p>
            <w:pPr>
              <w:pStyle w:val="TableParagraph"/>
              <w:spacing w:before="82"/>
              <w:ind w:left="106" w:right="81"/>
              <w:rPr>
                <w:sz w:val="12"/>
              </w:rPr>
            </w:pPr>
            <w:r>
              <w:rPr>
                <w:color w:val="010202"/>
                <w:sz w:val="12"/>
              </w:rPr>
              <w:t>Fabricación de filtros automotrices</w:t>
            </w:r>
          </w:p>
        </w:tc>
      </w:tr>
      <w:tr>
        <w:trPr>
          <w:trHeight w:val="312" w:hRule="exact"/>
        </w:trPr>
        <w:tc>
          <w:tcPr>
            <w:tcW w:w="340" w:type="dxa"/>
          </w:tcPr>
          <w:p>
            <w:pPr>
              <w:pStyle w:val="TableParagraph"/>
              <w:spacing w:before="82"/>
              <w:ind w:left="45" w:right="46"/>
              <w:rPr>
                <w:sz w:val="12"/>
              </w:rPr>
            </w:pPr>
            <w:r>
              <w:rPr>
                <w:color w:val="010202"/>
                <w:sz w:val="12"/>
              </w:rPr>
              <w:t>244</w:t>
            </w:r>
          </w:p>
        </w:tc>
        <w:tc>
          <w:tcPr>
            <w:tcW w:w="794" w:type="dxa"/>
          </w:tcPr>
          <w:p>
            <w:pPr/>
          </w:p>
        </w:tc>
        <w:tc>
          <w:tcPr>
            <w:tcW w:w="2551" w:type="dxa"/>
          </w:tcPr>
          <w:p>
            <w:pPr>
              <w:pStyle w:val="TableParagraph"/>
              <w:spacing w:before="68"/>
              <w:ind w:right="95"/>
              <w:jc w:val="right"/>
              <w:rPr>
                <w:rFonts w:ascii="Palatino Linotype"/>
                <w:b/>
                <w:sz w:val="12"/>
              </w:rPr>
            </w:pPr>
            <w:r>
              <w:rPr>
                <w:rFonts w:ascii="Palatino Linotype"/>
                <w:b/>
                <w:color w:val="010202"/>
                <w:w w:val="95"/>
                <w:sz w:val="12"/>
              </w:rPr>
              <w:t>Mexicana de Lubricantes, S.A. de C.V. (Planta)</w:t>
            </w:r>
          </w:p>
        </w:tc>
        <w:tc>
          <w:tcPr>
            <w:tcW w:w="567" w:type="dxa"/>
          </w:tcPr>
          <w:p>
            <w:pPr>
              <w:pStyle w:val="TableParagraph"/>
              <w:spacing w:before="82"/>
              <w:ind w:left="45" w:right="46"/>
              <w:rPr>
                <w:sz w:val="12"/>
              </w:rPr>
            </w:pPr>
            <w:r>
              <w:rPr>
                <w:color w:val="010202"/>
                <w:sz w:val="12"/>
              </w:rPr>
              <w:t>1 y 2</w:t>
            </w:r>
          </w:p>
        </w:tc>
        <w:tc>
          <w:tcPr>
            <w:tcW w:w="567" w:type="dxa"/>
          </w:tcPr>
          <w:p>
            <w:pPr>
              <w:pStyle w:val="TableParagraph"/>
              <w:spacing w:before="82"/>
              <w:ind w:left="234"/>
              <w:jc w:val="left"/>
              <w:rPr>
                <w:sz w:val="12"/>
              </w:rPr>
            </w:pPr>
            <w:r>
              <w:rPr>
                <w:color w:val="010202"/>
                <w:w w:val="99"/>
                <w:sz w:val="12"/>
              </w:rPr>
              <w:t>G</w:t>
            </w:r>
          </w:p>
        </w:tc>
        <w:tc>
          <w:tcPr>
            <w:tcW w:w="2381" w:type="dxa"/>
          </w:tcPr>
          <w:p>
            <w:pPr>
              <w:pStyle w:val="TableParagraph"/>
              <w:spacing w:before="82"/>
              <w:ind w:left="105" w:right="106"/>
              <w:rPr>
                <w:sz w:val="12"/>
              </w:rPr>
            </w:pPr>
            <w:r>
              <w:rPr>
                <w:color w:val="010202"/>
                <w:sz w:val="12"/>
              </w:rPr>
              <w:t>Aceites</w:t>
            </w:r>
          </w:p>
        </w:tc>
      </w:tr>
      <w:tr>
        <w:trPr>
          <w:trHeight w:val="312" w:hRule="exact"/>
        </w:trPr>
        <w:tc>
          <w:tcPr>
            <w:tcW w:w="340" w:type="dxa"/>
          </w:tcPr>
          <w:p>
            <w:pPr>
              <w:pStyle w:val="TableParagraph"/>
              <w:spacing w:before="82"/>
              <w:ind w:left="45" w:right="46"/>
              <w:rPr>
                <w:sz w:val="12"/>
              </w:rPr>
            </w:pPr>
            <w:r>
              <w:rPr>
                <w:color w:val="010202"/>
                <w:sz w:val="12"/>
              </w:rPr>
              <w:t>245</w:t>
            </w:r>
          </w:p>
        </w:tc>
        <w:tc>
          <w:tcPr>
            <w:tcW w:w="794" w:type="dxa"/>
          </w:tcPr>
          <w:p>
            <w:pPr/>
          </w:p>
        </w:tc>
        <w:tc>
          <w:tcPr>
            <w:tcW w:w="2551" w:type="dxa"/>
          </w:tcPr>
          <w:p>
            <w:pPr>
              <w:pStyle w:val="TableParagraph"/>
              <w:spacing w:before="68"/>
              <w:ind w:left="236" w:right="69"/>
              <w:jc w:val="left"/>
              <w:rPr>
                <w:rFonts w:ascii="Palatino Linotype"/>
                <w:b/>
                <w:sz w:val="12"/>
              </w:rPr>
            </w:pPr>
            <w:r>
              <w:rPr>
                <w:rFonts w:ascii="Palatino Linotype"/>
                <w:b/>
                <w:color w:val="010202"/>
                <w:w w:val="95"/>
                <w:sz w:val="12"/>
              </w:rPr>
              <w:t>Nacional de Autopartes, S.A. (Gpo. Tebo)</w:t>
            </w:r>
          </w:p>
        </w:tc>
        <w:tc>
          <w:tcPr>
            <w:tcW w:w="567" w:type="dxa"/>
          </w:tcPr>
          <w:p>
            <w:pPr/>
          </w:p>
        </w:tc>
        <w:tc>
          <w:tcPr>
            <w:tcW w:w="567" w:type="dxa"/>
          </w:tcPr>
          <w:p>
            <w:pPr/>
          </w:p>
        </w:tc>
        <w:tc>
          <w:tcPr>
            <w:tcW w:w="2381" w:type="dxa"/>
          </w:tcPr>
          <w:p>
            <w:pPr>
              <w:pStyle w:val="TableParagraph"/>
              <w:spacing w:before="82"/>
              <w:ind w:left="105" w:right="106"/>
              <w:rPr>
                <w:sz w:val="12"/>
              </w:rPr>
            </w:pPr>
            <w:r>
              <w:rPr>
                <w:color w:val="010202"/>
                <w:sz w:val="12"/>
              </w:rPr>
              <w:t>Varillas de dirección, rótulas de suspensión</w:t>
            </w:r>
          </w:p>
        </w:tc>
      </w:tr>
      <w:tr>
        <w:trPr>
          <w:trHeight w:val="729" w:hRule="exact"/>
        </w:trPr>
        <w:tc>
          <w:tcPr>
            <w:tcW w:w="340" w:type="dxa"/>
          </w:tcPr>
          <w:p>
            <w:pPr>
              <w:pStyle w:val="TableParagraph"/>
              <w:jc w:val="left"/>
              <w:rPr>
                <w:sz w:val="12"/>
              </w:rPr>
            </w:pPr>
          </w:p>
          <w:p>
            <w:pPr>
              <w:pStyle w:val="TableParagraph"/>
              <w:spacing w:before="2"/>
              <w:jc w:val="left"/>
              <w:rPr>
                <w:sz w:val="13"/>
              </w:rPr>
            </w:pPr>
          </w:p>
          <w:p>
            <w:pPr>
              <w:pStyle w:val="TableParagraph"/>
              <w:spacing w:before="1"/>
              <w:ind w:left="45" w:right="46"/>
              <w:rPr>
                <w:sz w:val="12"/>
              </w:rPr>
            </w:pPr>
            <w:r>
              <w:rPr>
                <w:color w:val="010202"/>
                <w:sz w:val="12"/>
              </w:rPr>
              <w:t>246</w:t>
            </w:r>
          </w:p>
        </w:tc>
        <w:tc>
          <w:tcPr>
            <w:tcW w:w="794" w:type="dxa"/>
          </w:tcPr>
          <w:p>
            <w:pPr/>
          </w:p>
        </w:tc>
        <w:tc>
          <w:tcPr>
            <w:tcW w:w="2551" w:type="dxa"/>
          </w:tcPr>
          <w:p>
            <w:pPr>
              <w:pStyle w:val="TableParagraph"/>
              <w:jc w:val="left"/>
              <w:rPr>
                <w:sz w:val="12"/>
              </w:rPr>
            </w:pPr>
          </w:p>
          <w:p>
            <w:pPr>
              <w:pStyle w:val="TableParagraph"/>
              <w:jc w:val="left"/>
              <w:rPr>
                <w:sz w:val="12"/>
              </w:rPr>
            </w:pPr>
          </w:p>
          <w:p>
            <w:pPr>
              <w:pStyle w:val="TableParagraph"/>
              <w:ind w:left="793" w:right="69"/>
              <w:jc w:val="left"/>
              <w:rPr>
                <w:rFonts w:ascii="Palatino Linotype"/>
                <w:b/>
                <w:sz w:val="12"/>
              </w:rPr>
            </w:pPr>
            <w:r>
              <w:rPr>
                <w:rFonts w:ascii="Palatino Linotype"/>
                <w:b/>
                <w:color w:val="010202"/>
                <w:w w:val="95"/>
                <w:sz w:val="12"/>
              </w:rPr>
              <w:t>Nugar, S.A. de C.V.</w:t>
            </w:r>
          </w:p>
        </w:tc>
        <w:tc>
          <w:tcPr>
            <w:tcW w:w="567" w:type="dxa"/>
          </w:tcPr>
          <w:p>
            <w:pPr>
              <w:pStyle w:val="TableParagraph"/>
              <w:jc w:val="left"/>
              <w:rPr>
                <w:sz w:val="12"/>
              </w:rPr>
            </w:pPr>
          </w:p>
          <w:p>
            <w:pPr>
              <w:pStyle w:val="TableParagraph"/>
              <w:spacing w:before="2"/>
              <w:jc w:val="left"/>
              <w:rPr>
                <w:sz w:val="13"/>
              </w:rPr>
            </w:pPr>
          </w:p>
          <w:p>
            <w:pPr>
              <w:pStyle w:val="TableParagraph"/>
              <w:spacing w:before="1"/>
              <w:ind w:left="45" w:right="46"/>
              <w:rPr>
                <w:sz w:val="12"/>
              </w:rPr>
            </w:pPr>
            <w:r>
              <w:rPr>
                <w:color w:val="010202"/>
                <w:sz w:val="12"/>
              </w:rPr>
              <w:t>1 y 2</w:t>
            </w:r>
          </w:p>
        </w:tc>
        <w:tc>
          <w:tcPr>
            <w:tcW w:w="567" w:type="dxa"/>
          </w:tcPr>
          <w:p>
            <w:pPr>
              <w:pStyle w:val="TableParagraph"/>
              <w:jc w:val="left"/>
              <w:rPr>
                <w:sz w:val="12"/>
              </w:rPr>
            </w:pPr>
          </w:p>
          <w:p>
            <w:pPr>
              <w:pStyle w:val="TableParagraph"/>
              <w:spacing w:before="2"/>
              <w:jc w:val="left"/>
              <w:rPr>
                <w:sz w:val="13"/>
              </w:rPr>
            </w:pPr>
          </w:p>
          <w:p>
            <w:pPr>
              <w:pStyle w:val="TableParagraph"/>
              <w:spacing w:before="1"/>
              <w:ind w:left="234"/>
              <w:jc w:val="left"/>
              <w:rPr>
                <w:sz w:val="12"/>
              </w:rPr>
            </w:pPr>
            <w:r>
              <w:rPr>
                <w:color w:val="010202"/>
                <w:w w:val="99"/>
                <w:sz w:val="12"/>
              </w:rPr>
              <w:t>G</w:t>
            </w:r>
          </w:p>
        </w:tc>
        <w:tc>
          <w:tcPr>
            <w:tcW w:w="2381" w:type="dxa"/>
          </w:tcPr>
          <w:p>
            <w:pPr>
              <w:pStyle w:val="TableParagraph"/>
              <w:spacing w:line="132" w:lineRule="exact" w:before="33"/>
              <w:ind w:left="34" w:right="34"/>
              <w:rPr>
                <w:sz w:val="12"/>
              </w:rPr>
            </w:pPr>
            <w:r>
              <w:rPr>
                <w:color w:val="010202"/>
                <w:sz w:val="12"/>
              </w:rPr>
              <w:t>Ensamble soporte de pedales, pedal para embrague sedan, riel toldo lateral derecho e izquierdo, panel de cuarto izquierdo y derecho, soporte para cajas de velocidades, pedal para freno sedan, consola carrocería</w:t>
            </w:r>
          </w:p>
        </w:tc>
      </w:tr>
      <w:tr>
        <w:trPr>
          <w:trHeight w:val="496" w:hRule="exact"/>
        </w:trPr>
        <w:tc>
          <w:tcPr>
            <w:tcW w:w="340" w:type="dxa"/>
          </w:tcPr>
          <w:p>
            <w:pPr>
              <w:pStyle w:val="TableParagraph"/>
              <w:spacing w:before="1"/>
              <w:jc w:val="left"/>
              <w:rPr>
                <w:sz w:val="15"/>
              </w:rPr>
            </w:pPr>
          </w:p>
          <w:p>
            <w:pPr>
              <w:pStyle w:val="TableParagraph"/>
              <w:ind w:left="46" w:right="46"/>
              <w:rPr>
                <w:sz w:val="12"/>
              </w:rPr>
            </w:pPr>
            <w:r>
              <w:rPr>
                <w:color w:val="010202"/>
                <w:sz w:val="12"/>
              </w:rPr>
              <w:t>247</w:t>
            </w:r>
          </w:p>
        </w:tc>
        <w:tc>
          <w:tcPr>
            <w:tcW w:w="794" w:type="dxa"/>
          </w:tcPr>
          <w:p>
            <w:pPr/>
          </w:p>
        </w:tc>
        <w:tc>
          <w:tcPr>
            <w:tcW w:w="2551" w:type="dxa"/>
          </w:tcPr>
          <w:p>
            <w:pPr>
              <w:pStyle w:val="TableParagraph"/>
              <w:spacing w:before="10"/>
              <w:jc w:val="left"/>
              <w:rPr>
                <w:sz w:val="13"/>
              </w:rPr>
            </w:pPr>
          </w:p>
          <w:p>
            <w:pPr>
              <w:pStyle w:val="TableParagraph"/>
              <w:ind w:left="176" w:right="29"/>
              <w:jc w:val="left"/>
              <w:rPr>
                <w:rFonts w:ascii="Palatino Linotype" w:hAnsi="Palatino Linotype"/>
                <w:b/>
                <w:sz w:val="12"/>
              </w:rPr>
            </w:pPr>
            <w:r>
              <w:rPr>
                <w:rFonts w:ascii="Palatino Linotype" w:hAnsi="Palatino Linotype"/>
                <w:b/>
                <w:color w:val="010202"/>
                <w:w w:val="95"/>
                <w:sz w:val="12"/>
              </w:rPr>
              <w:t>Productos especiales metálicos, S.A. de C.V.</w:t>
            </w:r>
          </w:p>
        </w:tc>
        <w:tc>
          <w:tcPr>
            <w:tcW w:w="567" w:type="dxa"/>
          </w:tcPr>
          <w:p>
            <w:pPr/>
          </w:p>
        </w:tc>
        <w:tc>
          <w:tcPr>
            <w:tcW w:w="567" w:type="dxa"/>
          </w:tcPr>
          <w:p>
            <w:pPr/>
          </w:p>
        </w:tc>
        <w:tc>
          <w:tcPr>
            <w:tcW w:w="2381" w:type="dxa"/>
          </w:tcPr>
          <w:p>
            <w:pPr>
              <w:pStyle w:val="TableParagraph"/>
              <w:spacing w:line="132" w:lineRule="exact" w:before="48"/>
              <w:ind w:left="92" w:right="92" w:hanging="1"/>
              <w:rPr>
                <w:sz w:val="12"/>
              </w:rPr>
            </w:pPr>
            <w:r>
              <w:rPr>
                <w:color w:val="010202"/>
                <w:sz w:val="12"/>
              </w:rPr>
              <w:t>Tubos-preformados sistema combustible Tubos-preformado p/ inyección diésel,</w:t>
            </w:r>
            <w:r>
              <w:rPr>
                <w:color w:val="010202"/>
                <w:spacing w:val="-15"/>
                <w:sz w:val="12"/>
              </w:rPr>
              <w:t> </w:t>
            </w:r>
            <w:r>
              <w:rPr>
                <w:color w:val="010202"/>
                <w:sz w:val="12"/>
              </w:rPr>
              <w:t>tubos- preformados p/sistema de frenos</w:t>
            </w:r>
          </w:p>
        </w:tc>
      </w:tr>
      <w:tr>
        <w:trPr>
          <w:trHeight w:val="340" w:hRule="exact"/>
        </w:trPr>
        <w:tc>
          <w:tcPr>
            <w:tcW w:w="340" w:type="dxa"/>
          </w:tcPr>
          <w:p>
            <w:pPr>
              <w:pStyle w:val="TableParagraph"/>
              <w:spacing w:before="96"/>
              <w:ind w:left="46" w:right="46"/>
              <w:rPr>
                <w:sz w:val="12"/>
              </w:rPr>
            </w:pPr>
            <w:r>
              <w:rPr>
                <w:color w:val="010202"/>
                <w:sz w:val="12"/>
              </w:rPr>
              <w:t>248</w:t>
            </w:r>
          </w:p>
        </w:tc>
        <w:tc>
          <w:tcPr>
            <w:tcW w:w="794" w:type="dxa"/>
          </w:tcPr>
          <w:p>
            <w:pPr/>
          </w:p>
        </w:tc>
        <w:tc>
          <w:tcPr>
            <w:tcW w:w="2551" w:type="dxa"/>
          </w:tcPr>
          <w:p>
            <w:pPr>
              <w:pStyle w:val="TableParagraph"/>
              <w:spacing w:before="82"/>
              <w:ind w:left="776" w:right="69"/>
              <w:jc w:val="left"/>
              <w:rPr>
                <w:rFonts w:ascii="Palatino Linotype"/>
                <w:b/>
                <w:sz w:val="12"/>
              </w:rPr>
            </w:pPr>
            <w:r>
              <w:rPr>
                <w:rFonts w:ascii="Palatino Linotype"/>
                <w:b/>
                <w:color w:val="010202"/>
                <w:w w:val="95"/>
                <w:sz w:val="12"/>
              </w:rPr>
              <w:t>Osram, S.A. de C.V.</w:t>
            </w:r>
          </w:p>
        </w:tc>
        <w:tc>
          <w:tcPr>
            <w:tcW w:w="567" w:type="dxa"/>
          </w:tcPr>
          <w:p>
            <w:pPr>
              <w:pStyle w:val="TableParagraph"/>
              <w:spacing w:before="96"/>
              <w:ind w:left="46" w:right="46"/>
              <w:rPr>
                <w:sz w:val="12"/>
              </w:rPr>
            </w:pPr>
            <w:r>
              <w:rPr>
                <w:color w:val="010202"/>
                <w:sz w:val="12"/>
              </w:rPr>
              <w:t>1 y 2</w:t>
            </w:r>
          </w:p>
        </w:tc>
        <w:tc>
          <w:tcPr>
            <w:tcW w:w="567" w:type="dxa"/>
          </w:tcPr>
          <w:p>
            <w:pPr>
              <w:pStyle w:val="TableParagraph"/>
              <w:spacing w:before="96"/>
              <w:ind w:left="234"/>
              <w:jc w:val="left"/>
              <w:rPr>
                <w:sz w:val="12"/>
              </w:rPr>
            </w:pPr>
            <w:r>
              <w:rPr>
                <w:color w:val="010202"/>
                <w:w w:val="99"/>
                <w:sz w:val="12"/>
              </w:rPr>
              <w:t>G</w:t>
            </w:r>
          </w:p>
        </w:tc>
        <w:tc>
          <w:tcPr>
            <w:tcW w:w="2381" w:type="dxa"/>
          </w:tcPr>
          <w:p>
            <w:pPr>
              <w:pStyle w:val="TableParagraph"/>
              <w:spacing w:before="96"/>
              <w:ind w:left="106" w:right="106"/>
              <w:rPr>
                <w:sz w:val="12"/>
              </w:rPr>
            </w:pPr>
            <w:r>
              <w:rPr>
                <w:color w:val="010202"/>
                <w:sz w:val="12"/>
              </w:rPr>
              <w:t>Producción de focos y tubos de iluminación</w:t>
            </w:r>
          </w:p>
        </w:tc>
      </w:tr>
      <w:tr>
        <w:trPr>
          <w:trHeight w:val="312" w:hRule="exact"/>
        </w:trPr>
        <w:tc>
          <w:tcPr>
            <w:tcW w:w="340" w:type="dxa"/>
          </w:tcPr>
          <w:p>
            <w:pPr>
              <w:pStyle w:val="TableParagraph"/>
              <w:spacing w:before="82"/>
              <w:ind w:left="46" w:right="46"/>
              <w:rPr>
                <w:sz w:val="12"/>
              </w:rPr>
            </w:pPr>
            <w:r>
              <w:rPr>
                <w:color w:val="010202"/>
                <w:sz w:val="12"/>
              </w:rPr>
              <w:t>249</w:t>
            </w:r>
          </w:p>
        </w:tc>
        <w:tc>
          <w:tcPr>
            <w:tcW w:w="794" w:type="dxa"/>
          </w:tcPr>
          <w:p>
            <w:pPr/>
          </w:p>
        </w:tc>
        <w:tc>
          <w:tcPr>
            <w:tcW w:w="2551" w:type="dxa"/>
          </w:tcPr>
          <w:p>
            <w:pPr>
              <w:pStyle w:val="TableParagraph"/>
              <w:spacing w:before="68"/>
              <w:ind w:right="62"/>
              <w:jc w:val="right"/>
              <w:rPr>
                <w:rFonts w:ascii="Palatino Linotype"/>
                <w:b/>
                <w:sz w:val="12"/>
              </w:rPr>
            </w:pPr>
            <w:r>
              <w:rPr>
                <w:rFonts w:ascii="Palatino Linotype"/>
                <w:b/>
                <w:color w:val="010202"/>
                <w:w w:val="95"/>
                <w:sz w:val="12"/>
              </w:rPr>
              <w:t>Servicios y Derivados Erko, S.C. de R.L. de C.V.</w:t>
            </w:r>
          </w:p>
        </w:tc>
        <w:tc>
          <w:tcPr>
            <w:tcW w:w="567" w:type="dxa"/>
          </w:tcPr>
          <w:p>
            <w:pPr>
              <w:pStyle w:val="TableParagraph"/>
              <w:spacing w:before="82"/>
              <w:rPr>
                <w:sz w:val="12"/>
              </w:rPr>
            </w:pPr>
            <w:r>
              <w:rPr>
                <w:color w:val="010202"/>
                <w:w w:val="96"/>
                <w:sz w:val="12"/>
              </w:rPr>
              <w:t>2</w:t>
            </w:r>
          </w:p>
        </w:tc>
        <w:tc>
          <w:tcPr>
            <w:tcW w:w="567" w:type="dxa"/>
          </w:tcPr>
          <w:p>
            <w:pPr>
              <w:pStyle w:val="TableParagraph"/>
              <w:spacing w:before="82"/>
              <w:ind w:left="243"/>
              <w:jc w:val="left"/>
              <w:rPr>
                <w:sz w:val="12"/>
              </w:rPr>
            </w:pPr>
            <w:r>
              <w:rPr>
                <w:color w:val="010202"/>
                <w:w w:val="101"/>
                <w:sz w:val="12"/>
              </w:rPr>
              <w:t>P</w:t>
            </w:r>
          </w:p>
        </w:tc>
        <w:tc>
          <w:tcPr>
            <w:tcW w:w="2381" w:type="dxa"/>
          </w:tcPr>
          <w:p>
            <w:pPr>
              <w:pStyle w:val="TableParagraph"/>
              <w:spacing w:before="82"/>
              <w:ind w:left="106" w:right="106"/>
              <w:rPr>
                <w:sz w:val="12"/>
              </w:rPr>
            </w:pPr>
            <w:r>
              <w:rPr>
                <w:color w:val="010202"/>
                <w:sz w:val="12"/>
              </w:rPr>
              <w:t>Lubricantes</w:t>
            </w:r>
          </w:p>
        </w:tc>
      </w:tr>
      <w:tr>
        <w:trPr>
          <w:trHeight w:val="312" w:hRule="exact"/>
        </w:trPr>
        <w:tc>
          <w:tcPr>
            <w:tcW w:w="340" w:type="dxa"/>
          </w:tcPr>
          <w:p>
            <w:pPr>
              <w:pStyle w:val="TableParagraph"/>
              <w:spacing w:before="82"/>
              <w:ind w:left="46" w:right="46"/>
              <w:rPr>
                <w:sz w:val="12"/>
              </w:rPr>
            </w:pPr>
            <w:r>
              <w:rPr>
                <w:color w:val="010202"/>
                <w:sz w:val="12"/>
              </w:rPr>
              <w:t>250</w:t>
            </w:r>
          </w:p>
        </w:tc>
        <w:tc>
          <w:tcPr>
            <w:tcW w:w="794" w:type="dxa"/>
          </w:tcPr>
          <w:p>
            <w:pPr/>
          </w:p>
        </w:tc>
        <w:tc>
          <w:tcPr>
            <w:tcW w:w="2551" w:type="dxa"/>
          </w:tcPr>
          <w:p>
            <w:pPr>
              <w:pStyle w:val="TableParagraph"/>
              <w:spacing w:before="68"/>
              <w:ind w:right="71"/>
              <w:jc w:val="right"/>
              <w:rPr>
                <w:rFonts w:ascii="Palatino Linotype"/>
                <w:b/>
                <w:sz w:val="12"/>
              </w:rPr>
            </w:pPr>
            <w:r>
              <w:rPr>
                <w:rFonts w:ascii="Palatino Linotype"/>
                <w:b/>
                <w:color w:val="010202"/>
                <w:w w:val="95"/>
                <w:sz w:val="12"/>
              </w:rPr>
              <w:t>TI </w:t>
            </w:r>
            <w:r>
              <w:rPr>
                <w:rFonts w:ascii="Palatino Linotype"/>
                <w:b/>
                <w:color w:val="010202"/>
                <w:spacing w:val="-3"/>
                <w:w w:val="95"/>
                <w:sz w:val="12"/>
              </w:rPr>
              <w:t>Group Automotive Systems, </w:t>
            </w:r>
            <w:r>
              <w:rPr>
                <w:rFonts w:ascii="Palatino Linotype"/>
                <w:b/>
                <w:color w:val="010202"/>
                <w:w w:val="95"/>
                <w:sz w:val="12"/>
              </w:rPr>
              <w:t>S. de R.L. de </w:t>
            </w:r>
            <w:r>
              <w:rPr>
                <w:rFonts w:ascii="Palatino Linotype"/>
                <w:b/>
                <w:color w:val="010202"/>
                <w:spacing w:val="-6"/>
                <w:w w:val="95"/>
                <w:sz w:val="12"/>
              </w:rPr>
              <w:t>C.V.</w:t>
            </w:r>
          </w:p>
        </w:tc>
        <w:tc>
          <w:tcPr>
            <w:tcW w:w="567" w:type="dxa"/>
          </w:tcPr>
          <w:p>
            <w:pPr>
              <w:pStyle w:val="TableParagraph"/>
              <w:spacing w:before="82"/>
              <w:rPr>
                <w:sz w:val="12"/>
              </w:rPr>
            </w:pPr>
            <w:r>
              <w:rPr>
                <w:color w:val="010202"/>
                <w:w w:val="96"/>
                <w:sz w:val="12"/>
              </w:rPr>
              <w:t>1</w:t>
            </w:r>
          </w:p>
        </w:tc>
        <w:tc>
          <w:tcPr>
            <w:tcW w:w="567" w:type="dxa"/>
          </w:tcPr>
          <w:p>
            <w:pPr>
              <w:pStyle w:val="TableParagraph"/>
              <w:spacing w:before="82"/>
              <w:ind w:left="234"/>
              <w:jc w:val="left"/>
              <w:rPr>
                <w:sz w:val="12"/>
              </w:rPr>
            </w:pPr>
            <w:r>
              <w:rPr>
                <w:color w:val="010202"/>
                <w:w w:val="99"/>
                <w:sz w:val="12"/>
              </w:rPr>
              <w:t>G</w:t>
            </w:r>
          </w:p>
        </w:tc>
        <w:tc>
          <w:tcPr>
            <w:tcW w:w="2381" w:type="dxa"/>
          </w:tcPr>
          <w:p>
            <w:pPr>
              <w:pStyle w:val="TableParagraph"/>
              <w:spacing w:before="82"/>
              <w:ind w:left="106" w:right="106"/>
              <w:rPr>
                <w:sz w:val="12"/>
              </w:rPr>
            </w:pPr>
            <w:r>
              <w:rPr>
                <w:color w:val="010202"/>
                <w:sz w:val="12"/>
              </w:rPr>
              <w:t>Sistemas de fluidos</w:t>
            </w:r>
          </w:p>
        </w:tc>
      </w:tr>
      <w:tr>
        <w:trPr>
          <w:trHeight w:val="340" w:hRule="exact"/>
        </w:trPr>
        <w:tc>
          <w:tcPr>
            <w:tcW w:w="340" w:type="dxa"/>
          </w:tcPr>
          <w:p>
            <w:pPr>
              <w:pStyle w:val="TableParagraph"/>
              <w:spacing w:before="96"/>
              <w:ind w:left="46" w:right="46"/>
              <w:rPr>
                <w:sz w:val="12"/>
              </w:rPr>
            </w:pPr>
            <w:r>
              <w:rPr>
                <w:color w:val="010202"/>
                <w:sz w:val="12"/>
              </w:rPr>
              <w:t>251</w:t>
            </w:r>
          </w:p>
        </w:tc>
        <w:tc>
          <w:tcPr>
            <w:tcW w:w="794" w:type="dxa"/>
          </w:tcPr>
          <w:p>
            <w:pPr>
              <w:pStyle w:val="TableParagraph"/>
              <w:spacing w:before="96"/>
              <w:ind w:right="127"/>
              <w:jc w:val="right"/>
              <w:rPr>
                <w:sz w:val="12"/>
              </w:rPr>
            </w:pPr>
            <w:r>
              <w:rPr>
                <w:color w:val="010202"/>
                <w:sz w:val="12"/>
              </w:rPr>
              <w:t>Zumpango</w:t>
            </w:r>
          </w:p>
        </w:tc>
        <w:tc>
          <w:tcPr>
            <w:tcW w:w="2551" w:type="dxa"/>
          </w:tcPr>
          <w:p>
            <w:pPr>
              <w:pStyle w:val="TableParagraph"/>
              <w:spacing w:line="147" w:lineRule="exact" w:before="16"/>
              <w:ind w:left="120" w:right="69"/>
              <w:jc w:val="left"/>
              <w:rPr>
                <w:rFonts w:ascii="Palatino Linotype"/>
                <w:b/>
                <w:sz w:val="12"/>
              </w:rPr>
            </w:pPr>
            <w:r>
              <w:rPr>
                <w:rFonts w:ascii="Palatino Linotype"/>
                <w:b/>
                <w:color w:val="010202"/>
                <w:w w:val="90"/>
                <w:sz w:val="12"/>
              </w:rPr>
              <w:t>Hules y autopartes industriales de Zumpango,</w:t>
            </w:r>
          </w:p>
          <w:p>
            <w:pPr>
              <w:pStyle w:val="TableParagraph"/>
              <w:spacing w:line="147" w:lineRule="exact"/>
              <w:ind w:left="975" w:right="69"/>
              <w:jc w:val="left"/>
              <w:rPr>
                <w:rFonts w:ascii="Palatino Linotype"/>
                <w:b/>
                <w:sz w:val="12"/>
              </w:rPr>
            </w:pPr>
            <w:r>
              <w:rPr>
                <w:rFonts w:ascii="Palatino Linotype"/>
                <w:b/>
                <w:color w:val="010202"/>
                <w:w w:val="95"/>
                <w:sz w:val="12"/>
              </w:rPr>
              <w:t>S.A. de C.V.</w:t>
            </w:r>
          </w:p>
        </w:tc>
        <w:tc>
          <w:tcPr>
            <w:tcW w:w="567" w:type="dxa"/>
          </w:tcPr>
          <w:p>
            <w:pPr/>
          </w:p>
        </w:tc>
        <w:tc>
          <w:tcPr>
            <w:tcW w:w="567" w:type="dxa"/>
          </w:tcPr>
          <w:p>
            <w:pPr/>
          </w:p>
        </w:tc>
        <w:tc>
          <w:tcPr>
            <w:tcW w:w="2381" w:type="dxa"/>
          </w:tcPr>
          <w:p>
            <w:pPr>
              <w:pStyle w:val="TableParagraph"/>
              <w:spacing w:before="96"/>
              <w:ind w:left="106" w:right="106"/>
              <w:rPr>
                <w:sz w:val="12"/>
              </w:rPr>
            </w:pPr>
            <w:r>
              <w:rPr>
                <w:color w:val="010202"/>
                <w:sz w:val="12"/>
              </w:rPr>
              <w:t>Todo tipo de gomas para vehículos</w:t>
            </w:r>
          </w:p>
        </w:tc>
      </w:tr>
    </w:tbl>
    <w:p>
      <w:pPr>
        <w:pStyle w:val="BodyText"/>
        <w:spacing w:before="1"/>
        <w:rPr>
          <w:sz w:val="23"/>
        </w:rPr>
      </w:pPr>
    </w:p>
    <w:p>
      <w:pPr>
        <w:spacing w:before="38"/>
        <w:ind w:left="103" w:right="1617" w:firstLine="0"/>
        <w:jc w:val="left"/>
        <w:rPr>
          <w:sz w:val="20"/>
        </w:rPr>
      </w:pPr>
      <w:r>
        <w:rPr>
          <w:rFonts w:ascii="Palatino Linotype" w:hAnsi="Palatino Linotype"/>
          <w:i/>
          <w:color w:val="010202"/>
          <w:sz w:val="20"/>
        </w:rPr>
        <w:t>Fuente: </w:t>
      </w:r>
      <w:r>
        <w:rPr>
          <w:color w:val="010202"/>
          <w:sz w:val="20"/>
        </w:rPr>
        <w:t>Elaboración propia con datos de la STyPS (2013).</w:t>
      </w:r>
    </w:p>
    <w:p>
      <w:pPr>
        <w:spacing w:after="0"/>
        <w:jc w:val="left"/>
        <w:rPr>
          <w:sz w:val="20"/>
        </w:rPr>
        <w:sectPr>
          <w:pgSz w:w="9640" w:h="13040"/>
          <w:pgMar w:header="580" w:footer="654" w:top="780" w:bottom="840" w:left="1200" w:right="420"/>
        </w:sectPr>
      </w:pPr>
    </w:p>
    <w:p>
      <w:pPr>
        <w:pStyle w:val="BodyText"/>
        <w:spacing w:before="4"/>
        <w:rPr>
          <w:sz w:val="17"/>
        </w:rPr>
      </w:pPr>
    </w:p>
    <w:p>
      <w:pPr>
        <w:spacing w:after="0"/>
        <w:rPr>
          <w:sz w:val="17"/>
        </w:rPr>
        <w:sectPr>
          <w:headerReference w:type="even" r:id="rId409"/>
          <w:footerReference w:type="even" r:id="rId410"/>
          <w:pgSz w:w="9640" w:h="13040"/>
          <w:pgMar w:header="0" w:footer="0" w:top="1200" w:bottom="280" w:left="1340" w:right="134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320" w:lineRule="exact" w:before="137"/>
        <w:ind w:left="451" w:right="447" w:hanging="2"/>
        <w:jc w:val="center"/>
        <w:rPr>
          <w:sz w:val="20"/>
        </w:rPr>
      </w:pPr>
      <w:r>
        <w:rPr>
          <w:rFonts w:ascii="Palatino Linotype" w:hAnsi="Palatino Linotype"/>
          <w:b/>
          <w:color w:val="231F20"/>
          <w:spacing w:val="-1"/>
          <w:w w:val="105"/>
          <w:sz w:val="20"/>
        </w:rPr>
        <w:t>Evolución, condiciones </w:t>
      </w:r>
      <w:r>
        <w:rPr>
          <w:rFonts w:ascii="Palatino Linotype" w:hAnsi="Palatino Linotype"/>
          <w:b/>
          <w:color w:val="231F20"/>
          <w:w w:val="105"/>
          <w:sz w:val="20"/>
        </w:rPr>
        <w:t>actuales y retos del sector automotriz   en México y en el Estado de México </w:t>
      </w:r>
      <w:r>
        <w:rPr>
          <w:color w:val="231F20"/>
          <w:w w:val="105"/>
          <w:sz w:val="20"/>
        </w:rPr>
        <w:t>de </w:t>
      </w:r>
      <w:r>
        <w:rPr>
          <w:color w:val="231F20"/>
          <w:spacing w:val="-3"/>
          <w:w w:val="105"/>
          <w:sz w:val="20"/>
        </w:rPr>
        <w:t>Yolanda </w:t>
      </w:r>
      <w:r>
        <w:rPr>
          <w:color w:val="231F20"/>
          <w:w w:val="105"/>
          <w:sz w:val="20"/>
        </w:rPr>
        <w:t>Carbajal Suárez se imprimió</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el</w:t>
      </w:r>
      <w:r>
        <w:rPr>
          <w:color w:val="231F20"/>
          <w:spacing w:val="-16"/>
          <w:w w:val="105"/>
          <w:sz w:val="20"/>
        </w:rPr>
        <w:t> </w:t>
      </w:r>
      <w:r>
        <w:rPr>
          <w:color w:val="231F20"/>
          <w:w w:val="105"/>
          <w:sz w:val="20"/>
        </w:rPr>
        <w:t>mes</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noviembre</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2015,</w:t>
      </w:r>
      <w:r>
        <w:rPr>
          <w:color w:val="231F20"/>
          <w:spacing w:val="-16"/>
          <w:w w:val="105"/>
          <w:sz w:val="20"/>
        </w:rPr>
        <w:t> </w:t>
      </w:r>
      <w:r>
        <w:rPr>
          <w:color w:val="231F20"/>
          <w:w w:val="105"/>
          <w:sz w:val="20"/>
        </w:rPr>
        <w:t>en</w:t>
      </w:r>
      <w:r>
        <w:rPr>
          <w:color w:val="231F20"/>
          <w:spacing w:val="-16"/>
          <w:w w:val="105"/>
          <w:sz w:val="20"/>
        </w:rPr>
        <w:t> </w:t>
      </w:r>
      <w:r>
        <w:rPr>
          <w:color w:val="231F20"/>
          <w:w w:val="105"/>
          <w:sz w:val="20"/>
        </w:rPr>
        <w:t>la</w:t>
      </w:r>
      <w:r>
        <w:rPr>
          <w:color w:val="231F20"/>
          <w:spacing w:val="-16"/>
          <w:w w:val="105"/>
          <w:sz w:val="20"/>
        </w:rPr>
        <w:t> </w:t>
      </w:r>
      <w:r>
        <w:rPr>
          <w:color w:val="231F20"/>
          <w:w w:val="105"/>
          <w:sz w:val="20"/>
        </w:rPr>
        <w:t>ciudad</w:t>
      </w:r>
      <w:r>
        <w:rPr>
          <w:color w:val="231F20"/>
          <w:spacing w:val="-16"/>
          <w:w w:val="105"/>
          <w:sz w:val="20"/>
        </w:rPr>
        <w:t> </w:t>
      </w:r>
      <w:r>
        <w:rPr>
          <w:color w:val="231F20"/>
          <w:w w:val="105"/>
          <w:sz w:val="20"/>
        </w:rPr>
        <w:t>de</w:t>
      </w:r>
      <w:r>
        <w:rPr>
          <w:color w:val="231F20"/>
          <w:spacing w:val="-16"/>
          <w:w w:val="105"/>
          <w:sz w:val="20"/>
        </w:rPr>
        <w:t> </w:t>
      </w:r>
      <w:r>
        <w:rPr>
          <w:color w:val="231F20"/>
          <w:w w:val="105"/>
          <w:sz w:val="20"/>
        </w:rPr>
        <w:t>Toluca,</w:t>
      </w:r>
      <w:r>
        <w:rPr>
          <w:color w:val="231F20"/>
          <w:spacing w:val="-16"/>
          <w:w w:val="105"/>
          <w:sz w:val="20"/>
        </w:rPr>
        <w:t> </w:t>
      </w:r>
      <w:r>
        <w:rPr>
          <w:color w:val="231F20"/>
          <w:spacing w:val="2"/>
          <w:w w:val="105"/>
          <w:sz w:val="20"/>
        </w:rPr>
        <w:t>Estado </w:t>
      </w:r>
      <w:r>
        <w:rPr>
          <w:color w:val="231F20"/>
          <w:w w:val="105"/>
          <w:sz w:val="20"/>
        </w:rPr>
        <w:t>de México. Para su composición se utilizaron tipos de la familia</w:t>
      </w:r>
      <w:r>
        <w:rPr>
          <w:color w:val="231F20"/>
          <w:spacing w:val="-14"/>
          <w:w w:val="105"/>
          <w:sz w:val="20"/>
        </w:rPr>
        <w:t> </w:t>
      </w:r>
      <w:r>
        <w:rPr>
          <w:color w:val="231F20"/>
          <w:w w:val="105"/>
          <w:sz w:val="20"/>
        </w:rPr>
        <w:t>Minion Pro</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10.5</w:t>
      </w:r>
      <w:r>
        <w:rPr>
          <w:color w:val="231F20"/>
          <w:spacing w:val="-25"/>
          <w:w w:val="105"/>
          <w:sz w:val="20"/>
        </w:rPr>
        <w:t> </w:t>
      </w:r>
      <w:r>
        <w:rPr>
          <w:color w:val="231F20"/>
          <w:w w:val="105"/>
          <w:sz w:val="20"/>
        </w:rPr>
        <w:t>y</w:t>
      </w:r>
      <w:r>
        <w:rPr>
          <w:color w:val="231F20"/>
          <w:spacing w:val="-25"/>
          <w:w w:val="105"/>
          <w:sz w:val="20"/>
        </w:rPr>
        <w:t> </w:t>
      </w:r>
      <w:r>
        <w:rPr>
          <w:color w:val="231F20"/>
          <w:w w:val="105"/>
          <w:sz w:val="20"/>
        </w:rPr>
        <w:t>20</w:t>
      </w:r>
      <w:r>
        <w:rPr>
          <w:color w:val="231F20"/>
          <w:spacing w:val="-25"/>
          <w:w w:val="105"/>
          <w:sz w:val="20"/>
        </w:rPr>
        <w:t> </w:t>
      </w:r>
      <w:r>
        <w:rPr>
          <w:color w:val="231F20"/>
          <w:w w:val="105"/>
          <w:sz w:val="20"/>
        </w:rPr>
        <w:t>puntos.</w:t>
      </w:r>
      <w:r>
        <w:rPr>
          <w:color w:val="231F20"/>
          <w:spacing w:val="-25"/>
          <w:w w:val="105"/>
          <w:sz w:val="20"/>
        </w:rPr>
        <w:t> </w:t>
      </w:r>
      <w:r>
        <w:rPr>
          <w:color w:val="231F20"/>
          <w:w w:val="105"/>
          <w:sz w:val="20"/>
        </w:rPr>
        <w:t>La</w:t>
      </w:r>
      <w:r>
        <w:rPr>
          <w:color w:val="231F20"/>
          <w:spacing w:val="-25"/>
          <w:w w:val="105"/>
          <w:sz w:val="20"/>
        </w:rPr>
        <w:t> </w:t>
      </w:r>
      <w:r>
        <w:rPr>
          <w:color w:val="231F20"/>
          <w:w w:val="105"/>
          <w:sz w:val="20"/>
        </w:rPr>
        <w:t>edición</w:t>
      </w:r>
      <w:r>
        <w:rPr>
          <w:color w:val="231F20"/>
          <w:spacing w:val="-25"/>
          <w:w w:val="105"/>
          <w:sz w:val="20"/>
        </w:rPr>
        <w:t> </w:t>
      </w:r>
      <w:r>
        <w:rPr>
          <w:color w:val="231F20"/>
          <w:w w:val="105"/>
          <w:sz w:val="20"/>
        </w:rPr>
        <w:t>consta</w:t>
      </w:r>
      <w:r>
        <w:rPr>
          <w:color w:val="231F20"/>
          <w:spacing w:val="-25"/>
          <w:w w:val="105"/>
          <w:sz w:val="20"/>
        </w:rPr>
        <w:t> </w:t>
      </w:r>
      <w:r>
        <w:rPr>
          <w:color w:val="231F20"/>
          <w:w w:val="105"/>
          <w:sz w:val="20"/>
        </w:rPr>
        <w:t>de</w:t>
      </w:r>
      <w:r>
        <w:rPr>
          <w:color w:val="231F20"/>
          <w:spacing w:val="-25"/>
          <w:w w:val="105"/>
          <w:sz w:val="20"/>
        </w:rPr>
        <w:t> </w:t>
      </w:r>
      <w:r>
        <w:rPr>
          <w:color w:val="231F20"/>
          <w:w w:val="105"/>
          <w:sz w:val="20"/>
        </w:rPr>
        <w:t>300</w:t>
      </w:r>
      <w:r>
        <w:rPr>
          <w:color w:val="231F20"/>
          <w:spacing w:val="-25"/>
          <w:w w:val="105"/>
          <w:sz w:val="20"/>
        </w:rPr>
        <w:t> </w:t>
      </w:r>
      <w:r>
        <w:rPr>
          <w:color w:val="231F20"/>
          <w:w w:val="105"/>
          <w:sz w:val="20"/>
        </w:rPr>
        <w:t>ejemplares.</w:t>
      </w:r>
      <w:r>
        <w:rPr>
          <w:color w:val="231F20"/>
          <w:spacing w:val="-25"/>
          <w:w w:val="105"/>
          <w:sz w:val="20"/>
        </w:rPr>
        <w:t> </w:t>
      </w:r>
      <w:r>
        <w:rPr>
          <w:color w:val="231F20"/>
          <w:w w:val="105"/>
          <w:sz w:val="20"/>
        </w:rPr>
        <w:t>El</w:t>
      </w:r>
      <w:r>
        <w:rPr>
          <w:color w:val="231F20"/>
          <w:spacing w:val="-25"/>
          <w:w w:val="105"/>
          <w:sz w:val="20"/>
        </w:rPr>
        <w:t> </w:t>
      </w:r>
      <w:r>
        <w:rPr>
          <w:color w:val="231F20"/>
          <w:w w:val="105"/>
          <w:sz w:val="20"/>
        </w:rPr>
        <w:t>diseño</w:t>
      </w:r>
      <w:r>
        <w:rPr>
          <w:color w:val="231F20"/>
          <w:spacing w:val="-25"/>
          <w:w w:val="105"/>
          <w:sz w:val="20"/>
        </w:rPr>
        <w:t> </w:t>
      </w:r>
      <w:r>
        <w:rPr>
          <w:color w:val="231F20"/>
          <w:w w:val="105"/>
          <w:sz w:val="20"/>
        </w:rPr>
        <w:t>y</w:t>
      </w:r>
      <w:r>
        <w:rPr>
          <w:color w:val="231F20"/>
          <w:spacing w:val="-25"/>
          <w:w w:val="105"/>
          <w:sz w:val="20"/>
        </w:rPr>
        <w:t> </w:t>
      </w:r>
      <w:r>
        <w:rPr>
          <w:color w:val="231F20"/>
          <w:w w:val="105"/>
          <w:sz w:val="20"/>
        </w:rPr>
        <w:t>la </w:t>
      </w:r>
      <w:r>
        <w:rPr>
          <w:color w:val="231F20"/>
          <w:sz w:val="20"/>
        </w:rPr>
        <w:t>diagramación</w:t>
      </w:r>
      <w:r>
        <w:rPr>
          <w:color w:val="231F20"/>
          <w:spacing w:val="-9"/>
          <w:sz w:val="20"/>
        </w:rPr>
        <w:t> </w:t>
      </w:r>
      <w:r>
        <w:rPr>
          <w:color w:val="231F20"/>
          <w:sz w:val="20"/>
        </w:rPr>
        <w:t>estuvo</w:t>
      </w:r>
      <w:r>
        <w:rPr>
          <w:color w:val="231F20"/>
          <w:spacing w:val="-9"/>
          <w:sz w:val="20"/>
        </w:rPr>
        <w:t> </w:t>
      </w:r>
      <w:r>
        <w:rPr>
          <w:color w:val="231F20"/>
          <w:sz w:val="20"/>
        </w:rPr>
        <w:t>a</w:t>
      </w:r>
      <w:r>
        <w:rPr>
          <w:color w:val="231F20"/>
          <w:spacing w:val="-9"/>
          <w:sz w:val="20"/>
        </w:rPr>
        <w:t> </w:t>
      </w:r>
      <w:r>
        <w:rPr>
          <w:color w:val="231F20"/>
          <w:sz w:val="20"/>
        </w:rPr>
        <w:t>cargo</w:t>
      </w:r>
      <w:r>
        <w:rPr>
          <w:color w:val="231F20"/>
          <w:spacing w:val="-9"/>
          <w:sz w:val="20"/>
        </w:rPr>
        <w:t> </w:t>
      </w:r>
      <w:r>
        <w:rPr>
          <w:color w:val="231F20"/>
          <w:sz w:val="20"/>
        </w:rPr>
        <w:t>de</w:t>
      </w:r>
      <w:r>
        <w:rPr>
          <w:color w:val="231F20"/>
          <w:spacing w:val="-9"/>
          <w:sz w:val="20"/>
        </w:rPr>
        <w:t> </w:t>
      </w:r>
      <w:r>
        <w:rPr>
          <w:color w:val="231F20"/>
          <w:sz w:val="20"/>
        </w:rPr>
        <w:t>Bonobos</w:t>
      </w:r>
      <w:r>
        <w:rPr>
          <w:color w:val="231F20"/>
          <w:spacing w:val="-9"/>
          <w:sz w:val="20"/>
        </w:rPr>
        <w:t> </w:t>
      </w:r>
      <w:r>
        <w:rPr>
          <w:color w:val="231F20"/>
          <w:sz w:val="20"/>
        </w:rPr>
        <w:t>Editores.</w:t>
      </w:r>
    </w:p>
    <w:p>
      <w:pPr>
        <w:spacing w:after="0" w:line="320" w:lineRule="exact"/>
        <w:jc w:val="center"/>
        <w:rPr>
          <w:sz w:val="20"/>
        </w:rPr>
        <w:sectPr>
          <w:headerReference w:type="default" r:id="rId411"/>
          <w:footerReference w:type="default" r:id="rId412"/>
          <w:pgSz w:w="9640" w:h="13040"/>
          <w:pgMar w:header="0" w:footer="0" w:top="1200" w:bottom="280" w:left="1340" w:right="1340"/>
        </w:sectPr>
      </w:pPr>
    </w:p>
    <w:p>
      <w:pPr>
        <w:pStyle w:val="BodyText"/>
        <w:spacing w:before="4"/>
        <w:rPr>
          <w:sz w:val="17"/>
        </w:rPr>
      </w:pPr>
    </w:p>
    <w:sectPr>
      <w:headerReference w:type="even" r:id="rId413"/>
      <w:footerReference w:type="even" r:id="rId414"/>
      <w:pgSz w:w="9640" w:h="13040"/>
      <w:pgMar w:header="0" w:footer="0" w:top="1200" w:bottom="280" w:left="1340" w:right="13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Black">
    <w:altName w:val="Arial Black"/>
    <w:charset w:val="0"/>
    <w:family w:val="swiss"/>
    <w:pitch w:val="variable"/>
  </w:font>
  <w:font w:name="Calibri">
    <w:altName w:val="Calibri"/>
    <w:charset w:val="0"/>
    <w:family w:val="swiss"/>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441.895111pt;margin-top:608.265564pt;width:9.85pt;height:14pt;mso-position-horizontal-relative:page;mso-position-vertical-relative:page;z-index:-618568" type="#_x0000_t202" filled="false" stroked="false">
          <v:textbox inset="0,0,0,0">
            <w:txbxContent>
              <w:p>
                <w:pPr>
                  <w:spacing w:line="248" w:lineRule="exact" w:before="0"/>
                  <w:ind w:left="40" w:right="0" w:firstLine="0"/>
                  <w:jc w:val="left"/>
                  <w:rPr>
                    <w:sz w:val="24"/>
                  </w:rPr>
                </w:pPr>
                <w:r>
                  <w:rPr/>
                  <w:fldChar w:fldCharType="begin"/>
                </w:r>
                <w:r>
                  <w:rPr>
                    <w:color w:val="231F20"/>
                    <w:w w:val="97"/>
                    <w:sz w:val="24"/>
                  </w:rPr>
                  <w:instrText> PAGE </w:instrText>
                </w:r>
                <w:r>
                  <w:rPr/>
                  <w:fldChar w:fldCharType="separate"/>
                </w:r>
                <w:r>
                  <w:rPr/>
                  <w:t>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8208" type="#_x0000_t202" filled="false" stroked="false">
          <v:textbox inset="0,0,0,0">
            <w:txbxContent>
              <w:p>
                <w:pPr>
                  <w:spacing w:line="248" w:lineRule="exact" w:before="0"/>
                  <w:ind w:left="20" w:right="-6" w:firstLine="0"/>
                  <w:jc w:val="left"/>
                  <w:rPr>
                    <w:sz w:val="24"/>
                  </w:rPr>
                </w:pPr>
                <w:r>
                  <w:rPr>
                    <w:color w:val="231F20"/>
                    <w:sz w:val="24"/>
                  </w:rPr>
                  <w:t>20</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8136" type="#_x0000_t202" filled="false" stroked="false">
          <v:textbox inset="0,0,0,0">
            <w:txbxContent>
              <w:p>
                <w:pPr>
                  <w:spacing w:line="248" w:lineRule="exact" w:before="0"/>
                  <w:ind w:left="20" w:right="-6" w:firstLine="0"/>
                  <w:jc w:val="left"/>
                  <w:rPr>
                    <w:sz w:val="24"/>
                  </w:rPr>
                </w:pPr>
                <w:r>
                  <w:rPr>
                    <w:color w:val="231F20"/>
                    <w:sz w:val="24"/>
                  </w:rPr>
                  <w:t>21</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8112" type="#_x0000_t202" filled="false" stroked="false">
          <v:textbox inset="0,0,0,0">
            <w:txbxContent>
              <w:p>
                <w:pPr>
                  <w:spacing w:line="248" w:lineRule="exact" w:before="0"/>
                  <w:ind w:left="40" w:right="0" w:firstLine="0"/>
                  <w:jc w:val="left"/>
                  <w:rPr>
                    <w:sz w:val="24"/>
                  </w:rPr>
                </w:pPr>
                <w:r>
                  <w:rPr>
                    <w:color w:val="231F20"/>
                    <w:sz w:val="24"/>
                  </w:rPr>
                  <w:t>22</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808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23</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806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24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804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27</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801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28</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944" type="#_x0000_t202" filled="false" stroked="false">
          <v:textbox inset="0,0,0,0">
            <w:txbxContent>
              <w:p>
                <w:pPr>
                  <w:spacing w:line="248" w:lineRule="exact" w:before="0"/>
                  <w:ind w:left="20" w:right="-6" w:firstLine="0"/>
                  <w:jc w:val="left"/>
                  <w:rPr>
                    <w:sz w:val="24"/>
                  </w:rPr>
                </w:pPr>
                <w:r>
                  <w:rPr>
                    <w:color w:val="231F20"/>
                    <w:sz w:val="24"/>
                  </w:rPr>
                  <w:t>30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920" type="#_x0000_t202" filled="false" stroked="false">
          <v:textbox inset="0,0,0,0">
            <w:txbxContent>
              <w:p>
                <w:pPr>
                  <w:spacing w:line="248" w:lineRule="exact" w:before="0"/>
                  <w:ind w:left="20" w:right="-6" w:firstLine="0"/>
                  <w:jc w:val="left"/>
                  <w:rPr>
                    <w:sz w:val="24"/>
                  </w:rPr>
                </w:pPr>
                <w:r>
                  <w:rPr>
                    <w:color w:val="231F20"/>
                    <w:sz w:val="24"/>
                  </w:rPr>
                  <w:t>31</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89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32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1628pt;margin-top:608.265564pt;width:7.85pt;height:14pt;mso-position-horizontal-relative:page;mso-position-vertical-relative:page;z-index:-618544" type="#_x0000_t202" filled="false" stroked="false">
          <v:textbox inset="0,0,0,0">
            <w:txbxContent>
              <w:p>
                <w:pPr>
                  <w:spacing w:line="248" w:lineRule="exact" w:before="0"/>
                  <w:ind w:left="20" w:right="0" w:firstLine="0"/>
                  <w:jc w:val="left"/>
                  <w:rPr>
                    <w:sz w:val="24"/>
                  </w:rPr>
                </w:pPr>
                <w:r>
                  <w:rPr>
                    <w:color w:val="231F20"/>
                    <w:w w:val="97"/>
                    <w:sz w:val="24"/>
                  </w:rPr>
                  <w:t>8</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87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33</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848" type="#_x0000_t202" filled="false" stroked="false">
          <v:textbox inset="0,0,0,0">
            <w:txbxContent>
              <w:p>
                <w:pPr>
                  <w:spacing w:line="248" w:lineRule="exact" w:before="0"/>
                  <w:ind w:left="20" w:right="-6" w:firstLine="0"/>
                  <w:jc w:val="left"/>
                  <w:rPr>
                    <w:sz w:val="24"/>
                  </w:rPr>
                </w:pPr>
                <w:r>
                  <w:rPr>
                    <w:color w:val="231F20"/>
                    <w:sz w:val="24"/>
                  </w:rPr>
                  <w:t>40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824" type="#_x0000_t202" filled="false" stroked="false">
          <v:textbox inset="0,0,0,0">
            <w:txbxContent>
              <w:p>
                <w:pPr>
                  <w:spacing w:line="248" w:lineRule="exact" w:before="0"/>
                  <w:ind w:left="20" w:right="-6" w:firstLine="0"/>
                  <w:jc w:val="left"/>
                  <w:rPr>
                    <w:sz w:val="24"/>
                  </w:rPr>
                </w:pPr>
                <w:r>
                  <w:rPr>
                    <w:color w:val="231F20"/>
                    <w:sz w:val="24"/>
                  </w:rPr>
                  <w:t>41</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80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42</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77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43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752" type="#_x0000_t202" filled="false" stroked="false">
          <v:textbox inset="0,0,0,0">
            <w:txbxContent>
              <w:p>
                <w:pPr>
                  <w:spacing w:line="248" w:lineRule="exact" w:before="0"/>
                  <w:ind w:left="20" w:right="-6" w:firstLine="0"/>
                  <w:jc w:val="left"/>
                  <w:rPr>
                    <w:sz w:val="24"/>
                  </w:rPr>
                </w:pPr>
                <w:r>
                  <w:rPr>
                    <w:color w:val="231F20"/>
                    <w:sz w:val="24"/>
                  </w:rPr>
                  <w:t>50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728" type="#_x0000_t202" filled="false" stroked="false">
          <v:textbox inset="0,0,0,0">
            <w:txbxContent>
              <w:p>
                <w:pPr>
                  <w:spacing w:line="248" w:lineRule="exact" w:before="0"/>
                  <w:ind w:left="20" w:right="-6" w:firstLine="0"/>
                  <w:jc w:val="left"/>
                  <w:rPr>
                    <w:sz w:val="24"/>
                  </w:rPr>
                </w:pPr>
                <w:r>
                  <w:rPr>
                    <w:color w:val="231F20"/>
                    <w:sz w:val="24"/>
                  </w:rPr>
                  <w:t>51</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70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52</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68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53</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656" type="#_x0000_t202" filled="false" stroked="false">
          <v:textbox inset="0,0,0,0">
            <w:txbxContent>
              <w:p>
                <w:pPr>
                  <w:spacing w:line="248" w:lineRule="exact" w:before="0"/>
                  <w:ind w:left="20" w:right="-6" w:firstLine="0"/>
                  <w:jc w:val="left"/>
                  <w:rPr>
                    <w:sz w:val="24"/>
                  </w:rPr>
                </w:pPr>
                <w:r>
                  <w:rPr>
                    <w:color w:val="231F20"/>
                    <w:sz w:val="24"/>
                  </w:rPr>
                  <w:t>60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8520" type="#_x0000_t202" filled="false" stroked="false">
          <v:textbox inset="0,0,0,0">
            <w:txbxContent>
              <w:p>
                <w:pPr>
                  <w:spacing w:line="248" w:lineRule="exact" w:before="0"/>
                  <w:ind w:left="20" w:right="-6" w:firstLine="0"/>
                  <w:jc w:val="left"/>
                  <w:rPr>
                    <w:sz w:val="24"/>
                  </w:rPr>
                </w:pPr>
                <w:r>
                  <w:rPr>
                    <w:color w:val="231F20"/>
                    <w:sz w:val="24"/>
                  </w:rPr>
                  <w:t>10</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632" type="#_x0000_t202" filled="false" stroked="false">
          <v:textbox inset="0,0,0,0">
            <w:txbxContent>
              <w:p>
                <w:pPr>
                  <w:spacing w:line="248" w:lineRule="exact" w:before="0"/>
                  <w:ind w:left="20" w:right="-6" w:firstLine="0"/>
                  <w:jc w:val="left"/>
                  <w:rPr>
                    <w:sz w:val="24"/>
                  </w:rPr>
                </w:pPr>
                <w:r>
                  <w:rPr>
                    <w:color w:val="231F20"/>
                    <w:sz w:val="24"/>
                  </w:rPr>
                  <w:t>61</w:t>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60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62</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58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63</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56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65</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53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66</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464" type="#_x0000_t202" filled="false" stroked="false">
          <v:textbox inset="0,0,0,0">
            <w:txbxContent>
              <w:p>
                <w:pPr>
                  <w:spacing w:line="248" w:lineRule="exact" w:before="0"/>
                  <w:ind w:left="20" w:right="-6" w:firstLine="0"/>
                  <w:jc w:val="left"/>
                  <w:rPr>
                    <w:sz w:val="24"/>
                  </w:rPr>
                </w:pPr>
                <w:r>
                  <w:rPr>
                    <w:color w:val="231F20"/>
                    <w:sz w:val="24"/>
                  </w:rPr>
                  <w:t>70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440" type="#_x0000_t202" filled="false" stroked="false">
          <v:textbox inset="0,0,0,0">
            <w:txbxContent>
              <w:p>
                <w:pPr>
                  <w:spacing w:line="248" w:lineRule="exact" w:before="0"/>
                  <w:ind w:left="20" w:right="-6" w:firstLine="0"/>
                  <w:jc w:val="left"/>
                  <w:rPr>
                    <w:sz w:val="24"/>
                  </w:rPr>
                </w:pPr>
                <w:r>
                  <w:rPr>
                    <w:color w:val="231F20"/>
                    <w:sz w:val="24"/>
                  </w:rPr>
                  <w:t>71</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41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72</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39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73</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368" type="#_x0000_t202" filled="false" stroked="false">
          <v:textbox inset="0,0,0,0">
            <w:txbxContent>
              <w:p>
                <w:pPr>
                  <w:spacing w:line="248" w:lineRule="exact" w:before="0"/>
                  <w:ind w:left="20" w:right="-6" w:firstLine="0"/>
                  <w:jc w:val="left"/>
                  <w:rPr>
                    <w:sz w:val="24"/>
                  </w:rPr>
                </w:pPr>
                <w:r>
                  <w:rPr>
                    <w:color w:val="231F20"/>
                    <w:sz w:val="24"/>
                  </w:rPr>
                  <w:t>80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18496" from="335.067902pt,576.636475pt" to="335.067902pt,576.636475pt" stroked="true" strokeweight="1pt" strokecolor="#27211f">
          <w10:wrap type="none"/>
        </v:line>
      </w:pict>
    </w:r>
    <w:r>
      <w:rPr/>
      <w:pict>
        <v:line style="position:absolute;mso-position-horizontal-relative:page;mso-position-vertical-relative:page;z-index:-618472" from="406.4039pt,576.636475pt" to="406.4039pt,576.636475pt" stroked="true" strokeweight="1pt" strokecolor="#27211f">
          <w10:wrap type="none"/>
        </v:line>
      </w:pict>
    </w:r>
    <w:r>
      <w:rPr/>
      <w:pict>
        <v:line style="position:absolute;mso-position-horizontal-relative:page;mso-position-vertical-relative:page;z-index:-618448" from="209.481506pt,534.719177pt" to="209.481506pt,534.719177pt" stroked="true" strokeweight="1pt" strokecolor="#27211f">
          <w10:wrap type="none"/>
        </v:line>
      </w:pict>
    </w:r>
    <w:r>
      <w:rPr/>
      <w:pict>
        <v:line style="position:absolute;mso-position-horizontal-relative:page;mso-position-vertical-relative:page;z-index:-618424" from="406.403503pt,534.719177pt" to="406.403503pt,534.719177pt" stroked="true" strokeweight="1pt" strokecolor="#27211f">
          <w10:wrap type="none"/>
        </v:line>
      </w:pict>
    </w:r>
    <w:r>
      <w:rPr/>
      <w:pict>
        <v:line style="position:absolute;mso-position-horizontal-relative:page;mso-position-vertical-relative:page;z-index:-618400" from="206.037506pt,492.80188pt" to="206.037506pt,492.80188pt" stroked="true" strokeweight="1pt" strokecolor="#27211f">
          <w10:wrap type="none"/>
        </v:line>
      </w:pict>
    </w:r>
    <w:r>
      <w:rPr/>
      <w:pict>
        <v:line style="position:absolute;mso-position-horizontal-relative:page;mso-position-vertical-relative:page;z-index:-618376" from="406.403503pt,492.80188pt" to="406.403503pt,492.80188pt" stroked="true" strokeweight="1pt" strokecolor="#27211f">
          <w10:wrap type="none"/>
        </v:line>
      </w:pict>
    </w:r>
    <w:r>
      <w:rPr/>
      <w:pict>
        <v:shape style="position:absolute;margin-left:439.979095pt;margin-top:608.265564pt;width:13.7pt;height:14pt;mso-position-horizontal-relative:page;mso-position-vertical-relative:page;z-index:-618352" type="#_x0000_t202" filled="false" stroked="false">
          <v:textbox inset="0,0,0,0">
            <w:txbxContent>
              <w:p>
                <w:pPr>
                  <w:spacing w:line="248" w:lineRule="exact" w:before="0"/>
                  <w:ind w:left="20" w:right="-6" w:firstLine="0"/>
                  <w:jc w:val="left"/>
                  <w:rPr>
                    <w:sz w:val="24"/>
                  </w:rPr>
                </w:pPr>
                <w:r>
                  <w:rPr>
                    <w:color w:val="231F20"/>
                    <w:sz w:val="24"/>
                  </w:rPr>
                  <w:t>11</w:t>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344" type="#_x0000_t202" filled="false" stroked="false">
          <v:textbox inset="0,0,0,0">
            <w:txbxContent>
              <w:p>
                <w:pPr>
                  <w:spacing w:line="248" w:lineRule="exact" w:before="0"/>
                  <w:ind w:left="20" w:right="-6" w:firstLine="0"/>
                  <w:jc w:val="left"/>
                  <w:rPr>
                    <w:sz w:val="24"/>
                  </w:rPr>
                </w:pPr>
                <w:r>
                  <w:rPr>
                    <w:color w:val="231F20"/>
                    <w:sz w:val="24"/>
                  </w:rPr>
                  <w:t>81</w:t>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32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82</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9.979095pt;margin-top:608.265564pt;width:13.7pt;height:14pt;mso-position-horizontal-relative:page;mso-position-vertical-relative:page;z-index:-617296" type="#_x0000_t202" filled="false" stroked="false">
          <v:textbox inset="0,0,0,0">
            <w:txbxContent>
              <w:p>
                <w:pPr>
                  <w:spacing w:line="248" w:lineRule="exact" w:before="0"/>
                  <w:ind w:left="20" w:right="-6" w:firstLine="0"/>
                  <w:jc w:val="left"/>
                  <w:rPr>
                    <w:sz w:val="24"/>
                  </w:rPr>
                </w:pPr>
                <w:r>
                  <w:rPr>
                    <w:color w:val="231F20"/>
                    <w:sz w:val="24"/>
                  </w:rPr>
                  <w:t>83</w:t>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22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86</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20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87</w:t>
                </w:r>
                <w:r>
                  <w:rPr/>
                  <w:fldChar w:fldCharType="end"/>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8.246799pt;margin-top:608.265564pt;width:13.7pt;height:14pt;mso-position-horizontal-relative:page;mso-position-vertical-relative:page;z-index:-617176" type="#_x0000_t202" filled="false" stroked="false">
          <v:textbox inset="0,0,0,0">
            <w:txbxContent>
              <w:p>
                <w:pPr>
                  <w:spacing w:line="248" w:lineRule="exact" w:before="0"/>
                  <w:ind w:left="20" w:right="-6" w:firstLine="0"/>
                  <w:jc w:val="left"/>
                  <w:rPr>
                    <w:sz w:val="24"/>
                  </w:rPr>
                </w:pPr>
                <w:r>
                  <w:rPr>
                    <w:color w:val="231F20"/>
                    <w:sz w:val="24"/>
                  </w:rPr>
                  <w:t>90</w:t>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12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92</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705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94</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703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95</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6984" type="#_x0000_t202" filled="false" stroked="false">
          <v:textbox inset="0,0,0,0">
            <w:txbxContent>
              <w:p>
                <w:pPr>
                  <w:spacing w:line="248" w:lineRule="exact" w:before="0"/>
                  <w:ind w:left="20" w:right="-10" w:firstLine="0"/>
                  <w:jc w:val="left"/>
                  <w:rPr>
                    <w:sz w:val="24"/>
                  </w:rPr>
                </w:pPr>
                <w:r>
                  <w:rPr>
                    <w:color w:val="231F20"/>
                    <w:sz w:val="24"/>
                  </w:rPr>
                  <w:t>100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960" type="#_x0000_t202" filled="false" stroked="false">
          <v:textbox inset="0,0,0,0">
            <w:txbxContent>
              <w:p>
                <w:pPr>
                  <w:spacing w:line="248" w:lineRule="exact" w:before="0"/>
                  <w:ind w:left="40" w:right="0" w:firstLine="0"/>
                  <w:jc w:val="left"/>
                  <w:rPr>
                    <w:sz w:val="24"/>
                  </w:rPr>
                </w:pPr>
                <w:r>
                  <w:rPr>
                    <w:color w:val="231F20"/>
                    <w:sz w:val="24"/>
                  </w:rPr>
                  <w:t>101</w:t>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93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103</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91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104</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84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106</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832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13</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76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108</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6744" type="#_x0000_t202" filled="false" stroked="false">
          <v:textbox inset="0,0,0,0">
            <w:txbxContent>
              <w:p>
                <w:pPr>
                  <w:spacing w:line="248" w:lineRule="exact" w:before="0"/>
                  <w:ind w:left="20" w:right="-10" w:firstLine="0"/>
                  <w:jc w:val="left"/>
                  <w:rPr>
                    <w:sz w:val="24"/>
                  </w:rPr>
                </w:pPr>
                <w:r>
                  <w:rPr>
                    <w:color w:val="231F20"/>
                    <w:sz w:val="24"/>
                  </w:rPr>
                  <w:t>109</w:t>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6672" type="#_x0000_t202" filled="false" stroked="false">
          <v:textbox inset="0,0,0,0">
            <w:txbxContent>
              <w:p>
                <w:pPr>
                  <w:spacing w:line="248" w:lineRule="exact" w:before="0"/>
                  <w:ind w:left="20" w:right="-10" w:firstLine="0"/>
                  <w:jc w:val="left"/>
                  <w:rPr>
                    <w:sz w:val="24"/>
                  </w:rPr>
                </w:pPr>
                <w:r>
                  <w:rPr>
                    <w:color w:val="231F20"/>
                    <w:sz w:val="24"/>
                  </w:rPr>
                  <w:t>111</w:t>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648" type="#_x0000_t202" filled="false" stroked="false">
          <v:textbox inset="0,0,0,0">
            <w:txbxContent>
              <w:p>
                <w:pPr>
                  <w:spacing w:line="248" w:lineRule="exact" w:before="0"/>
                  <w:ind w:left="40" w:right="0" w:firstLine="0"/>
                  <w:jc w:val="left"/>
                  <w:rPr>
                    <w:sz w:val="24"/>
                  </w:rPr>
                </w:pPr>
                <w:r>
                  <w:rPr>
                    <w:color w:val="231F20"/>
                    <w:sz w:val="24"/>
                  </w:rPr>
                  <w:t>112</w:t>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57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114</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55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115</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6480" type="#_x0000_t202" filled="false" stroked="false">
          <v:textbox inset="0,0,0,0">
            <w:txbxContent>
              <w:p>
                <w:pPr>
                  <w:spacing w:line="248" w:lineRule="exact" w:before="0"/>
                  <w:ind w:left="20" w:right="-10" w:firstLine="0"/>
                  <w:jc w:val="left"/>
                  <w:rPr>
                    <w:sz w:val="24"/>
                  </w:rPr>
                </w:pPr>
                <w:r>
                  <w:rPr>
                    <w:color w:val="231F20"/>
                    <w:sz w:val="24"/>
                  </w:rPr>
                  <w:t>120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7.246799pt;margin-top:608.265564pt;width:15.7pt;height:14pt;mso-position-horizontal-relative:page;mso-position-vertical-relative:page;z-index:-61830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14</w:t>
                </w:r>
                <w:r>
                  <w:rPr/>
                  <w:fldChar w:fldCharType="end"/>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456" type="#_x0000_t202" filled="false" stroked="false">
          <v:textbox inset="0,0,0,0">
            <w:txbxContent>
              <w:p>
                <w:pPr>
                  <w:spacing w:line="248" w:lineRule="exact" w:before="0"/>
                  <w:ind w:left="40" w:right="0" w:firstLine="0"/>
                  <w:jc w:val="left"/>
                  <w:rPr>
                    <w:sz w:val="24"/>
                  </w:rPr>
                </w:pPr>
                <w:r>
                  <w:rPr>
                    <w:color w:val="231F20"/>
                    <w:sz w:val="24"/>
                  </w:rPr>
                  <w:t>121</w:t>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43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122</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40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123</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33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127</w:t>
                </w:r>
                <w:r>
                  <w:rPr/>
                  <w:fldChar w:fldCharType="end"/>
                </w:r>
              </w:p>
            </w:txbxContent>
          </v:textbox>
          <w10:wrap type="none"/>
        </v:shape>
      </w:pict>
    </w: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6312" type="#_x0000_t202" filled="false" stroked="false">
          <v:textbox inset="0,0,0,0">
            <w:txbxContent>
              <w:p>
                <w:pPr>
                  <w:spacing w:line="248" w:lineRule="exact" w:before="0"/>
                  <w:ind w:left="20" w:right="-10" w:firstLine="0"/>
                  <w:jc w:val="left"/>
                  <w:rPr>
                    <w:sz w:val="24"/>
                  </w:rPr>
                </w:pPr>
                <w:r>
                  <w:rPr>
                    <w:color w:val="231F20"/>
                    <w:sz w:val="24"/>
                  </w:rPr>
                  <w:t>128</w:t>
                </w:r>
              </w:p>
            </w:txbxContent>
          </v:textbox>
          <w10:wrap type="none"/>
        </v:shape>
      </w:pict>
    </w: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6288" type="#_x0000_t202" filled="false" stroked="false">
          <v:textbox inset="0,0,0,0">
            <w:txbxContent>
              <w:p>
                <w:pPr>
                  <w:spacing w:line="248" w:lineRule="exact" w:before="0"/>
                  <w:ind w:left="20" w:right="-10" w:firstLine="0"/>
                  <w:jc w:val="left"/>
                  <w:rPr>
                    <w:sz w:val="24"/>
                  </w:rPr>
                </w:pPr>
                <w:r>
                  <w:rPr>
                    <w:color w:val="231F20"/>
                    <w:sz w:val="24"/>
                  </w:rPr>
                  <w:t>130</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6264" type="#_x0000_t202" filled="false" stroked="false">
          <v:textbox inset="0,0,0,0">
            <w:txbxContent>
              <w:p>
                <w:pPr>
                  <w:spacing w:line="248" w:lineRule="exact" w:before="0"/>
                  <w:ind w:left="20" w:right="-10" w:firstLine="0"/>
                  <w:jc w:val="left"/>
                  <w:rPr>
                    <w:sz w:val="24"/>
                  </w:rPr>
                </w:pPr>
                <w:r>
                  <w:rPr>
                    <w:color w:val="231F20"/>
                    <w:sz w:val="24"/>
                  </w:rPr>
                  <w:t>131</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24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132</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21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133</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14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134</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12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135</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6096" type="#_x0000_t202" filled="false" stroked="false">
          <v:textbox inset="0,0,0,0">
            <w:txbxContent>
              <w:p>
                <w:pPr>
                  <w:spacing w:line="248" w:lineRule="exact" w:before="0"/>
                  <w:ind w:left="20" w:right="-10" w:firstLine="0"/>
                  <w:jc w:val="left"/>
                  <w:rPr>
                    <w:sz w:val="24"/>
                  </w:rPr>
                </w:pPr>
                <w:r>
                  <w:rPr>
                    <w:color w:val="231F20"/>
                    <w:sz w:val="24"/>
                  </w:rPr>
                  <w:t>140</w:t>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6072" type="#_x0000_t202" filled="false" stroked="false">
          <v:textbox inset="0,0,0,0">
            <w:txbxContent>
              <w:p>
                <w:pPr>
                  <w:spacing w:line="248" w:lineRule="exact" w:before="0"/>
                  <w:ind w:left="20" w:right="-10" w:firstLine="0"/>
                  <w:jc w:val="left"/>
                  <w:rPr>
                    <w:sz w:val="24"/>
                  </w:rPr>
                </w:pPr>
                <w:r>
                  <w:rPr>
                    <w:color w:val="231F20"/>
                    <w:sz w:val="24"/>
                  </w:rPr>
                  <w:t>141</w:t>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604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142</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602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143</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595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144</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5928"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145</w:t>
                </w:r>
                <w:r>
                  <w:rPr/>
                  <w:fldChar w:fldCharType="end"/>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5904" type="#_x0000_t202" filled="false" stroked="false">
          <v:textbox inset="0,0,0,0">
            <w:txbxContent>
              <w:p>
                <w:pPr>
                  <w:spacing w:line="248" w:lineRule="exact" w:before="0"/>
                  <w:ind w:left="20" w:right="-10" w:firstLine="0"/>
                  <w:jc w:val="left"/>
                  <w:rPr>
                    <w:sz w:val="24"/>
                  </w:rPr>
                </w:pPr>
                <w:r>
                  <w:rPr>
                    <w:color w:val="231F20"/>
                    <w:sz w:val="24"/>
                  </w:rPr>
                  <w:t>150</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5880" type="#_x0000_t202" filled="false" stroked="false">
          <v:textbox inset="0,0,0,0">
            <w:txbxContent>
              <w:p>
                <w:pPr>
                  <w:spacing w:line="248" w:lineRule="exact" w:before="0"/>
                  <w:ind w:left="20" w:right="-10" w:firstLine="0"/>
                  <w:jc w:val="left"/>
                  <w:rPr>
                    <w:sz w:val="24"/>
                  </w:rPr>
                </w:pPr>
                <w:r>
                  <w:rPr>
                    <w:color w:val="231F20"/>
                    <w:sz w:val="24"/>
                  </w:rPr>
                  <w:t>151</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8.979095pt;margin-top:608.265564pt;width:15.7pt;height:14pt;mso-position-horizontal-relative:page;mso-position-vertical-relative:page;z-index:-618232"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19</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5856" type="#_x0000_t202" filled="false" stroked="false">
          <v:textbox inset="0,0,0,0">
            <w:txbxContent>
              <w:p>
                <w:pPr>
                  <w:spacing w:line="248" w:lineRule="exact" w:before="0"/>
                  <w:ind w:left="20" w:right="-10" w:firstLine="0"/>
                  <w:jc w:val="left"/>
                  <w:rPr>
                    <w:sz w:val="24"/>
                  </w:rPr>
                </w:pPr>
                <w:r>
                  <w:rPr>
                    <w:color w:val="231F20"/>
                    <w:sz w:val="24"/>
                  </w:rPr>
                  <w:t>152</w:t>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5832" type="#_x0000_t202" filled="false" stroked="false">
          <v:textbox inset="0,0,0,0">
            <w:txbxContent>
              <w:p>
                <w:pPr>
                  <w:spacing w:line="248" w:lineRule="exact" w:before="0"/>
                  <w:ind w:left="20" w:right="-10" w:firstLine="0"/>
                  <w:jc w:val="left"/>
                  <w:rPr>
                    <w:sz w:val="24"/>
                  </w:rPr>
                </w:pPr>
                <w:r>
                  <w:rPr>
                    <w:color w:val="231F20"/>
                    <w:sz w:val="24"/>
                  </w:rPr>
                  <w:t>153</w:t>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576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156</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5736"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157</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3309pt;margin-top:608.265564pt;width:19.5pt;height:14pt;mso-position-horizontal-relative:page;mso-position-vertical-relative:page;z-index:-615712" type="#_x0000_t202" filled="false" stroked="false">
          <v:textbox inset="0,0,0,0">
            <w:txbxContent>
              <w:p>
                <w:pPr>
                  <w:spacing w:line="248" w:lineRule="exact" w:before="0"/>
                  <w:ind w:left="20" w:right="-10" w:firstLine="0"/>
                  <w:jc w:val="left"/>
                  <w:rPr>
                    <w:sz w:val="24"/>
                  </w:rPr>
                </w:pPr>
                <w:r>
                  <w:rPr>
                    <w:color w:val="231F20"/>
                    <w:sz w:val="24"/>
                  </w:rPr>
                  <w:t>160</w:t>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7.063202pt;margin-top:608.265564pt;width:19.5pt;height:14pt;mso-position-horizontal-relative:page;mso-position-vertical-relative:page;z-index:-615688" type="#_x0000_t202" filled="false" stroked="false">
          <v:textbox inset="0,0,0,0">
            <w:txbxContent>
              <w:p>
                <w:pPr>
                  <w:spacing w:line="248" w:lineRule="exact" w:before="0"/>
                  <w:ind w:left="20" w:right="-10" w:firstLine="0"/>
                  <w:jc w:val="left"/>
                  <w:rPr>
                    <w:sz w:val="24"/>
                  </w:rPr>
                </w:pPr>
                <w:r>
                  <w:rPr>
                    <w:color w:val="231F20"/>
                    <w:sz w:val="24"/>
                  </w:rPr>
                  <w:t>161</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4.3309pt;margin-top:608.265564pt;width:21.5pt;height:14pt;mso-position-horizontal-relative:page;mso-position-vertical-relative:page;z-index:-615664"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162</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36.063202pt;margin-top:608.265564pt;width:21.5pt;height:14pt;mso-position-horizontal-relative:page;mso-position-vertical-relative:page;z-index:-615640" type="#_x0000_t202" filled="false" stroked="false">
          <v:textbox inset="0,0,0,0">
            <w:txbxContent>
              <w:p>
                <w:pPr>
                  <w:spacing w:line="248" w:lineRule="exact" w:before="0"/>
                  <w:ind w:left="40" w:right="0" w:firstLine="0"/>
                  <w:jc w:val="left"/>
                  <w:rPr>
                    <w:sz w:val="24"/>
                  </w:rPr>
                </w:pPr>
                <w:r>
                  <w:rPr/>
                  <w:fldChar w:fldCharType="begin"/>
                </w:r>
                <w:r>
                  <w:rPr>
                    <w:color w:val="231F20"/>
                    <w:sz w:val="24"/>
                  </w:rPr>
                  <w:instrText> PAGE </w:instrText>
                </w:r>
                <w:r>
                  <w:rPr/>
                  <w:fldChar w:fldCharType="separate"/>
                </w:r>
                <w:r>
                  <w:rPr/>
                  <w:t>163</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828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51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9.614304pt;margin-top:25.005119pt;width:271.2pt;height:20.1pt;mso-position-horizontal-relative:page;mso-position-vertical-relative:page;z-index:-617488"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w:t>
                </w:r>
                <w:r>
                  <w:rPr>
                    <w:rFonts w:ascii="Arial Black" w:hAnsi="Arial Black"/>
                    <w:b/>
                    <w:color w:val="231F20"/>
                    <w:spacing w:val="-35"/>
                    <w:w w:val="105"/>
                    <w:sz w:val="16"/>
                  </w:rPr>
                  <w:t> </w:t>
                </w:r>
                <w:r>
                  <w:rPr>
                    <w:rFonts w:ascii="Arial Black" w:hAnsi="Arial Black"/>
                    <w:b/>
                    <w:color w:val="231F20"/>
                    <w:w w:val="105"/>
                    <w:sz w:val="16"/>
                  </w:rPr>
                  <w:t>III.</w:t>
                </w:r>
                <w:r>
                  <w:rPr>
                    <w:rFonts w:ascii="Arial Black" w:hAnsi="Arial Black"/>
                    <w:b/>
                    <w:color w:val="231F20"/>
                    <w:spacing w:val="-35"/>
                    <w:w w:val="105"/>
                    <w:sz w:val="16"/>
                  </w:rPr>
                  <w:t> </w:t>
                </w:r>
                <w:r>
                  <w:rPr>
                    <w:rFonts w:ascii="Palatino Linotype" w:hAnsi="Palatino Linotype"/>
                    <w:color w:val="231F20"/>
                    <w:w w:val="105"/>
                    <w:sz w:val="16"/>
                  </w:rPr>
                  <w:t>La</w:t>
                </w:r>
                <w:r>
                  <w:rPr>
                    <w:rFonts w:ascii="Palatino Linotype" w:hAnsi="Palatino Linotype"/>
                    <w:color w:val="231F20"/>
                    <w:spacing w:val="-19"/>
                    <w:w w:val="105"/>
                    <w:sz w:val="16"/>
                  </w:rPr>
                  <w:t> </w:t>
                </w:r>
                <w:r>
                  <w:rPr>
                    <w:rFonts w:ascii="Palatino Linotype" w:hAnsi="Palatino Linotype"/>
                    <w:color w:val="231F20"/>
                    <w:w w:val="105"/>
                    <w:sz w:val="16"/>
                  </w:rPr>
                  <w:t>industria</w:t>
                </w:r>
                <w:r>
                  <w:rPr>
                    <w:rFonts w:ascii="Palatino Linotype" w:hAnsi="Palatino Linotype"/>
                    <w:color w:val="231F20"/>
                    <w:spacing w:val="-19"/>
                    <w:w w:val="105"/>
                    <w:sz w:val="16"/>
                  </w:rPr>
                  <w:t> </w:t>
                </w:r>
                <w:r>
                  <w:rPr>
                    <w:rFonts w:ascii="Palatino Linotype" w:hAnsi="Palatino Linotype"/>
                    <w:color w:val="231F20"/>
                    <w:w w:val="105"/>
                    <w:sz w:val="16"/>
                  </w:rPr>
                  <w:t>automotriz</w:t>
                </w:r>
                <w:r>
                  <w:rPr>
                    <w:rFonts w:ascii="Palatino Linotype" w:hAnsi="Palatino Linotype"/>
                    <w:color w:val="231F20"/>
                    <w:spacing w:val="-19"/>
                    <w:w w:val="105"/>
                    <w:sz w:val="16"/>
                  </w:rPr>
                  <w:t> </w:t>
                </w:r>
                <w:r>
                  <w:rPr>
                    <w:rFonts w:ascii="Palatino Linotype" w:hAnsi="Palatino Linotype"/>
                    <w:color w:val="231F20"/>
                    <w:w w:val="105"/>
                    <w:sz w:val="16"/>
                  </w:rPr>
                  <w:t>en</w:t>
                </w:r>
                <w:r>
                  <w:rPr>
                    <w:rFonts w:ascii="Palatino Linotype" w:hAnsi="Palatino Linotype"/>
                    <w:color w:val="231F20"/>
                    <w:spacing w:val="-19"/>
                    <w:w w:val="105"/>
                    <w:sz w:val="16"/>
                  </w:rPr>
                  <w:t> </w:t>
                </w:r>
                <w:r>
                  <w:rPr>
                    <w:rFonts w:ascii="Palatino Linotype" w:hAnsi="Palatino Linotype"/>
                    <w:color w:val="231F20"/>
                    <w:w w:val="105"/>
                    <w:sz w:val="16"/>
                  </w:rPr>
                  <w:t>México.</w:t>
                </w:r>
                <w:r>
                  <w:rPr>
                    <w:rFonts w:ascii="Palatino Linotype" w:hAnsi="Palatino Linotype"/>
                    <w:color w:val="231F20"/>
                    <w:spacing w:val="-19"/>
                    <w:w w:val="105"/>
                    <w:sz w:val="16"/>
                  </w:rPr>
                  <w:t> </w:t>
                </w:r>
                <w:r>
                  <w:rPr>
                    <w:rFonts w:ascii="Palatino Linotype" w:hAnsi="Palatino Linotype"/>
                    <w:color w:val="231F20"/>
                    <w:w w:val="105"/>
                    <w:sz w:val="16"/>
                  </w:rPr>
                  <w:t>Importancia,</w:t>
                </w:r>
                <w:r>
                  <w:rPr>
                    <w:rFonts w:ascii="Palatino Linotype" w:hAnsi="Palatino Linotype"/>
                    <w:color w:val="231F20"/>
                    <w:spacing w:val="-19"/>
                    <w:w w:val="105"/>
                    <w:sz w:val="16"/>
                  </w:rPr>
                  <w:t> </w:t>
                </w:r>
                <w:r>
                  <w:rPr>
                    <w:rFonts w:ascii="Palatino Linotype" w:hAnsi="Palatino Linotype"/>
                    <w:color w:val="231F20"/>
                    <w:w w:val="105"/>
                    <w:sz w:val="16"/>
                  </w:rPr>
                  <w:t>evolución,</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desempeño y tendencias en el crecimiento de un sector estratégico</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27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9.614304pt;margin-top:25.005119pt;width:271.2pt;height:20.1pt;mso-position-horizontal-relative:page;mso-position-vertical-relative:page;z-index:-617248"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w:t>
                </w:r>
                <w:r>
                  <w:rPr>
                    <w:rFonts w:ascii="Arial Black" w:hAnsi="Arial Black"/>
                    <w:b/>
                    <w:color w:val="231F20"/>
                    <w:spacing w:val="-35"/>
                    <w:w w:val="105"/>
                    <w:sz w:val="16"/>
                  </w:rPr>
                  <w:t> </w:t>
                </w:r>
                <w:r>
                  <w:rPr>
                    <w:rFonts w:ascii="Arial Black" w:hAnsi="Arial Black"/>
                    <w:b/>
                    <w:color w:val="231F20"/>
                    <w:w w:val="105"/>
                    <w:sz w:val="16"/>
                  </w:rPr>
                  <w:t>III.</w:t>
                </w:r>
                <w:r>
                  <w:rPr>
                    <w:rFonts w:ascii="Arial Black" w:hAnsi="Arial Black"/>
                    <w:b/>
                    <w:color w:val="231F20"/>
                    <w:spacing w:val="-35"/>
                    <w:w w:val="105"/>
                    <w:sz w:val="16"/>
                  </w:rPr>
                  <w:t> </w:t>
                </w:r>
                <w:r>
                  <w:rPr>
                    <w:rFonts w:ascii="Palatino Linotype" w:hAnsi="Palatino Linotype"/>
                    <w:color w:val="231F20"/>
                    <w:w w:val="105"/>
                    <w:sz w:val="16"/>
                  </w:rPr>
                  <w:t>La</w:t>
                </w:r>
                <w:r>
                  <w:rPr>
                    <w:rFonts w:ascii="Palatino Linotype" w:hAnsi="Palatino Linotype"/>
                    <w:color w:val="231F20"/>
                    <w:spacing w:val="-19"/>
                    <w:w w:val="105"/>
                    <w:sz w:val="16"/>
                  </w:rPr>
                  <w:t> </w:t>
                </w:r>
                <w:r>
                  <w:rPr>
                    <w:rFonts w:ascii="Palatino Linotype" w:hAnsi="Palatino Linotype"/>
                    <w:color w:val="231F20"/>
                    <w:w w:val="105"/>
                    <w:sz w:val="16"/>
                  </w:rPr>
                  <w:t>industria</w:t>
                </w:r>
                <w:r>
                  <w:rPr>
                    <w:rFonts w:ascii="Palatino Linotype" w:hAnsi="Palatino Linotype"/>
                    <w:color w:val="231F20"/>
                    <w:spacing w:val="-19"/>
                    <w:w w:val="105"/>
                    <w:sz w:val="16"/>
                  </w:rPr>
                  <w:t> </w:t>
                </w:r>
                <w:r>
                  <w:rPr>
                    <w:rFonts w:ascii="Palatino Linotype" w:hAnsi="Palatino Linotype"/>
                    <w:color w:val="231F20"/>
                    <w:w w:val="105"/>
                    <w:sz w:val="16"/>
                  </w:rPr>
                  <w:t>automotriz</w:t>
                </w:r>
                <w:r>
                  <w:rPr>
                    <w:rFonts w:ascii="Palatino Linotype" w:hAnsi="Palatino Linotype"/>
                    <w:color w:val="231F20"/>
                    <w:spacing w:val="-19"/>
                    <w:w w:val="105"/>
                    <w:sz w:val="16"/>
                  </w:rPr>
                  <w:t> </w:t>
                </w:r>
                <w:r>
                  <w:rPr>
                    <w:rFonts w:ascii="Palatino Linotype" w:hAnsi="Palatino Linotype"/>
                    <w:color w:val="231F20"/>
                    <w:w w:val="105"/>
                    <w:sz w:val="16"/>
                  </w:rPr>
                  <w:t>en</w:t>
                </w:r>
                <w:r>
                  <w:rPr>
                    <w:rFonts w:ascii="Palatino Linotype" w:hAnsi="Palatino Linotype"/>
                    <w:color w:val="231F20"/>
                    <w:spacing w:val="-19"/>
                    <w:w w:val="105"/>
                    <w:sz w:val="16"/>
                  </w:rPr>
                  <w:t> </w:t>
                </w:r>
                <w:r>
                  <w:rPr>
                    <w:rFonts w:ascii="Palatino Linotype" w:hAnsi="Palatino Linotype"/>
                    <w:color w:val="231F20"/>
                    <w:w w:val="105"/>
                    <w:sz w:val="16"/>
                  </w:rPr>
                  <w:t>México.</w:t>
                </w:r>
                <w:r>
                  <w:rPr>
                    <w:rFonts w:ascii="Palatino Linotype" w:hAnsi="Palatino Linotype"/>
                    <w:color w:val="231F20"/>
                    <w:spacing w:val="-19"/>
                    <w:w w:val="105"/>
                    <w:sz w:val="16"/>
                  </w:rPr>
                  <w:t> </w:t>
                </w:r>
                <w:r>
                  <w:rPr>
                    <w:rFonts w:ascii="Palatino Linotype" w:hAnsi="Palatino Linotype"/>
                    <w:color w:val="231F20"/>
                    <w:w w:val="105"/>
                    <w:sz w:val="16"/>
                  </w:rPr>
                  <w:t>Importancia,</w:t>
                </w:r>
                <w:r>
                  <w:rPr>
                    <w:rFonts w:ascii="Palatino Linotype" w:hAnsi="Palatino Linotype"/>
                    <w:color w:val="231F20"/>
                    <w:spacing w:val="-19"/>
                    <w:w w:val="105"/>
                    <w:sz w:val="16"/>
                  </w:rPr>
                  <w:t> </w:t>
                </w:r>
                <w:r>
                  <w:rPr>
                    <w:rFonts w:ascii="Palatino Linotype" w:hAnsi="Palatino Linotype"/>
                    <w:color w:val="231F20"/>
                    <w:w w:val="105"/>
                    <w:sz w:val="16"/>
                  </w:rPr>
                  <w:t>evolución,</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desempeño y tendencias en el crecimiento de un sector estratégico</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15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104"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7.7771pt;margin-top:30.005119pt;width:54.85pt;height:10pt;mso-position-horizontal-relative:page;mso-position-vertical-relative:page;z-index:-618256" type="#_x0000_t202" filled="false" stroked="false">
          <v:textbox inset="0,0,0,0">
            <w:txbxContent>
              <w:p>
                <w:pPr>
                  <w:spacing w:line="186" w:lineRule="exact" w:before="0"/>
                  <w:ind w:left="20" w:right="0" w:firstLine="0"/>
                  <w:jc w:val="left"/>
                  <w:rPr>
                    <w:rFonts w:ascii="Palatino Linotype" w:hAnsi="Palatino Linotype"/>
                    <w:b/>
                    <w:sz w:val="16"/>
                  </w:rPr>
                </w:pPr>
                <w:r>
                  <w:rPr>
                    <w:rFonts w:ascii="Palatino Linotype" w:hAnsi="Palatino Linotype"/>
                    <w:b/>
                    <w:color w:val="231F20"/>
                    <w:w w:val="110"/>
                    <w:sz w:val="16"/>
                  </w:rPr>
                  <w:t>Introducción</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9.614304pt;margin-top:25.005119pt;width:271.2pt;height:20.1pt;mso-position-horizontal-relative:page;mso-position-vertical-relative:page;z-index:-617080"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w:t>
                </w:r>
                <w:r>
                  <w:rPr>
                    <w:rFonts w:ascii="Arial Black" w:hAnsi="Arial Black"/>
                    <w:b/>
                    <w:color w:val="231F20"/>
                    <w:spacing w:val="-35"/>
                    <w:w w:val="105"/>
                    <w:sz w:val="16"/>
                  </w:rPr>
                  <w:t> </w:t>
                </w:r>
                <w:r>
                  <w:rPr>
                    <w:rFonts w:ascii="Arial Black" w:hAnsi="Arial Black"/>
                    <w:b/>
                    <w:color w:val="231F20"/>
                    <w:w w:val="105"/>
                    <w:sz w:val="16"/>
                  </w:rPr>
                  <w:t>III.</w:t>
                </w:r>
                <w:r>
                  <w:rPr>
                    <w:rFonts w:ascii="Arial Black" w:hAnsi="Arial Black"/>
                    <w:b/>
                    <w:color w:val="231F20"/>
                    <w:spacing w:val="-35"/>
                    <w:w w:val="105"/>
                    <w:sz w:val="16"/>
                  </w:rPr>
                  <w:t> </w:t>
                </w:r>
                <w:r>
                  <w:rPr>
                    <w:rFonts w:ascii="Palatino Linotype" w:hAnsi="Palatino Linotype"/>
                    <w:color w:val="231F20"/>
                    <w:w w:val="105"/>
                    <w:sz w:val="16"/>
                  </w:rPr>
                  <w:t>La</w:t>
                </w:r>
                <w:r>
                  <w:rPr>
                    <w:rFonts w:ascii="Palatino Linotype" w:hAnsi="Palatino Linotype"/>
                    <w:color w:val="231F20"/>
                    <w:spacing w:val="-19"/>
                    <w:w w:val="105"/>
                    <w:sz w:val="16"/>
                  </w:rPr>
                  <w:t> </w:t>
                </w:r>
                <w:r>
                  <w:rPr>
                    <w:rFonts w:ascii="Palatino Linotype" w:hAnsi="Palatino Linotype"/>
                    <w:color w:val="231F20"/>
                    <w:w w:val="105"/>
                    <w:sz w:val="16"/>
                  </w:rPr>
                  <w:t>industria</w:t>
                </w:r>
                <w:r>
                  <w:rPr>
                    <w:rFonts w:ascii="Palatino Linotype" w:hAnsi="Palatino Linotype"/>
                    <w:color w:val="231F20"/>
                    <w:spacing w:val="-19"/>
                    <w:w w:val="105"/>
                    <w:sz w:val="16"/>
                  </w:rPr>
                  <w:t> </w:t>
                </w:r>
                <w:r>
                  <w:rPr>
                    <w:rFonts w:ascii="Palatino Linotype" w:hAnsi="Palatino Linotype"/>
                    <w:color w:val="231F20"/>
                    <w:w w:val="105"/>
                    <w:sz w:val="16"/>
                  </w:rPr>
                  <w:t>automotriz</w:t>
                </w:r>
                <w:r>
                  <w:rPr>
                    <w:rFonts w:ascii="Palatino Linotype" w:hAnsi="Palatino Linotype"/>
                    <w:color w:val="231F20"/>
                    <w:spacing w:val="-19"/>
                    <w:w w:val="105"/>
                    <w:sz w:val="16"/>
                  </w:rPr>
                  <w:t> </w:t>
                </w:r>
                <w:r>
                  <w:rPr>
                    <w:rFonts w:ascii="Palatino Linotype" w:hAnsi="Palatino Linotype"/>
                    <w:color w:val="231F20"/>
                    <w:w w:val="105"/>
                    <w:sz w:val="16"/>
                  </w:rPr>
                  <w:t>en</w:t>
                </w:r>
                <w:r>
                  <w:rPr>
                    <w:rFonts w:ascii="Palatino Linotype" w:hAnsi="Palatino Linotype"/>
                    <w:color w:val="231F20"/>
                    <w:spacing w:val="-19"/>
                    <w:w w:val="105"/>
                    <w:sz w:val="16"/>
                  </w:rPr>
                  <w:t> </w:t>
                </w:r>
                <w:r>
                  <w:rPr>
                    <w:rFonts w:ascii="Palatino Linotype" w:hAnsi="Palatino Linotype"/>
                    <w:color w:val="231F20"/>
                    <w:w w:val="105"/>
                    <w:sz w:val="16"/>
                  </w:rPr>
                  <w:t>México.</w:t>
                </w:r>
                <w:r>
                  <w:rPr>
                    <w:rFonts w:ascii="Palatino Linotype" w:hAnsi="Palatino Linotype"/>
                    <w:color w:val="231F20"/>
                    <w:spacing w:val="-19"/>
                    <w:w w:val="105"/>
                    <w:sz w:val="16"/>
                  </w:rPr>
                  <w:t> </w:t>
                </w:r>
                <w:r>
                  <w:rPr>
                    <w:rFonts w:ascii="Palatino Linotype" w:hAnsi="Palatino Linotype"/>
                    <w:color w:val="231F20"/>
                    <w:w w:val="105"/>
                    <w:sz w:val="16"/>
                  </w:rPr>
                  <w:t>Importancia,</w:t>
                </w:r>
                <w:r>
                  <w:rPr>
                    <w:rFonts w:ascii="Palatino Linotype" w:hAnsi="Palatino Linotype"/>
                    <w:color w:val="231F20"/>
                    <w:spacing w:val="-19"/>
                    <w:w w:val="105"/>
                    <w:sz w:val="16"/>
                  </w:rPr>
                  <w:t> </w:t>
                </w:r>
                <w:r>
                  <w:rPr>
                    <w:rFonts w:ascii="Palatino Linotype" w:hAnsi="Palatino Linotype"/>
                    <w:color w:val="231F20"/>
                    <w:w w:val="105"/>
                    <w:sz w:val="16"/>
                  </w:rPr>
                  <w:t>evolución,</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desempeño y tendencias en el crecimiento de un sector estratégico</w:t>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008"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888"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864"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816"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1.946198pt;margin-top:25.005119pt;width:266.5pt;height:20.1pt;mso-position-horizontal-relative:page;mso-position-vertical-relative:page;z-index:-616792"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Importancia,</w:t>
                </w:r>
                <w:r>
                  <w:rPr>
                    <w:rFonts w:ascii="Palatino Linotype" w:hAnsi="Palatino Linotype"/>
                    <w:color w:val="231F20"/>
                    <w:spacing w:val="-26"/>
                    <w:w w:val="105"/>
                    <w:sz w:val="16"/>
                  </w:rPr>
                  <w:t> </w:t>
                </w:r>
                <w:r>
                  <w:rPr>
                    <w:rFonts w:ascii="Palatino Linotype" w:hAnsi="Palatino Linotype"/>
                    <w:color w:val="231F20"/>
                    <w:w w:val="105"/>
                    <w:sz w:val="16"/>
                  </w:rPr>
                  <w:t>desempeño</w:t>
                </w:r>
                <w:r>
                  <w:rPr>
                    <w:rFonts w:ascii="Palatino Linotype" w:hAnsi="Palatino Linotype"/>
                    <w:color w:val="231F20"/>
                    <w:spacing w:val="-26"/>
                    <w:w w:val="105"/>
                    <w:sz w:val="16"/>
                  </w:rPr>
                  <w:t> </w:t>
                </w:r>
                <w:r>
                  <w:rPr>
                    <w:rFonts w:ascii="Palatino Linotype" w:hAnsi="Palatino Linotype"/>
                    <w:color w:val="231F20"/>
                    <w:w w:val="105"/>
                    <w:sz w:val="16"/>
                  </w:rPr>
                  <w:t>y</w:t>
                </w:r>
                <w:r>
                  <w:rPr>
                    <w:rFonts w:ascii="Palatino Linotype" w:hAnsi="Palatino Linotype"/>
                    <w:color w:val="231F20"/>
                    <w:spacing w:val="-26"/>
                    <w:w w:val="105"/>
                    <w:sz w:val="16"/>
                  </w:rPr>
                  <w:t> </w:t>
                </w:r>
                <w:r>
                  <w:rPr>
                    <w:rFonts w:ascii="Palatino Linotype" w:hAnsi="Palatino Linotype"/>
                    <w:color w:val="231F20"/>
                    <w:w w:val="105"/>
                    <w:sz w:val="16"/>
                  </w:rPr>
                  <w:t>pérdida</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dinamismo</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un</w:t>
                </w:r>
                <w:r>
                  <w:rPr>
                    <w:rFonts w:ascii="Palatino Linotype" w:hAnsi="Palatino Linotype"/>
                    <w:color w:val="231F20"/>
                    <w:spacing w:val="-26"/>
                    <w:w w:val="105"/>
                    <w:sz w:val="16"/>
                  </w:rPr>
                  <w:t> </w:t>
                </w:r>
                <w:r>
                  <w:rPr>
                    <w:rFonts w:ascii="Palatino Linotype" w:hAnsi="Palatino Linotype"/>
                    <w:color w:val="231F20"/>
                    <w:w w:val="105"/>
                    <w:sz w:val="16"/>
                  </w:rPr>
                  <w:t>sector</w:t>
                </w:r>
                <w:r>
                  <w:rPr>
                    <w:rFonts w:ascii="Palatino Linotype" w:hAnsi="Palatino Linotype"/>
                    <w:color w:val="231F20"/>
                    <w:spacing w:val="-26"/>
                    <w:w w:val="105"/>
                    <w:sz w:val="16"/>
                  </w:rPr>
                  <w:t> </w:t>
                </w:r>
                <w:r>
                  <w:rPr>
                    <w:rFonts w:ascii="Palatino Linotype" w:hAnsi="Palatino Linotype"/>
                    <w:color w:val="231F20"/>
                    <w:w w:val="105"/>
                    <w:sz w:val="16"/>
                  </w:rPr>
                  <w:t>estratégico</w:t>
                </w:r>
              </w:p>
            </w:txbxContent>
          </v:textbox>
          <w10:wrap type="none"/>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1.946198pt;margin-top:25.005119pt;width:266.5pt;height:20.1pt;mso-position-horizontal-relative:page;mso-position-vertical-relative:page;z-index:-616720"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Importancia,</w:t>
                </w:r>
                <w:r>
                  <w:rPr>
                    <w:rFonts w:ascii="Palatino Linotype" w:hAnsi="Palatino Linotype"/>
                    <w:color w:val="231F20"/>
                    <w:spacing w:val="-26"/>
                    <w:w w:val="105"/>
                    <w:sz w:val="16"/>
                  </w:rPr>
                  <w:t> </w:t>
                </w:r>
                <w:r>
                  <w:rPr>
                    <w:rFonts w:ascii="Palatino Linotype" w:hAnsi="Palatino Linotype"/>
                    <w:color w:val="231F20"/>
                    <w:w w:val="105"/>
                    <w:sz w:val="16"/>
                  </w:rPr>
                  <w:t>desempeño</w:t>
                </w:r>
                <w:r>
                  <w:rPr>
                    <w:rFonts w:ascii="Palatino Linotype" w:hAnsi="Palatino Linotype"/>
                    <w:color w:val="231F20"/>
                    <w:spacing w:val="-26"/>
                    <w:w w:val="105"/>
                    <w:sz w:val="16"/>
                  </w:rPr>
                  <w:t> </w:t>
                </w:r>
                <w:r>
                  <w:rPr>
                    <w:rFonts w:ascii="Palatino Linotype" w:hAnsi="Palatino Linotype"/>
                    <w:color w:val="231F20"/>
                    <w:w w:val="105"/>
                    <w:sz w:val="16"/>
                  </w:rPr>
                  <w:t>y</w:t>
                </w:r>
                <w:r>
                  <w:rPr>
                    <w:rFonts w:ascii="Palatino Linotype" w:hAnsi="Palatino Linotype"/>
                    <w:color w:val="231F20"/>
                    <w:spacing w:val="-26"/>
                    <w:w w:val="105"/>
                    <w:sz w:val="16"/>
                  </w:rPr>
                  <w:t> </w:t>
                </w:r>
                <w:r>
                  <w:rPr>
                    <w:rFonts w:ascii="Palatino Linotype" w:hAnsi="Palatino Linotype"/>
                    <w:color w:val="231F20"/>
                    <w:w w:val="105"/>
                    <w:sz w:val="16"/>
                  </w:rPr>
                  <w:t>pérdida</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dinamismo</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un</w:t>
                </w:r>
                <w:r>
                  <w:rPr>
                    <w:rFonts w:ascii="Palatino Linotype" w:hAnsi="Palatino Linotype"/>
                    <w:color w:val="231F20"/>
                    <w:spacing w:val="-26"/>
                    <w:w w:val="105"/>
                    <w:sz w:val="16"/>
                  </w:rPr>
                  <w:t> </w:t>
                </w:r>
                <w:r>
                  <w:rPr>
                    <w:rFonts w:ascii="Palatino Linotype" w:hAnsi="Palatino Linotype"/>
                    <w:color w:val="231F20"/>
                    <w:w w:val="105"/>
                    <w:sz w:val="16"/>
                  </w:rPr>
                  <w:t>sector</w:t>
                </w:r>
                <w:r>
                  <w:rPr>
                    <w:rFonts w:ascii="Palatino Linotype" w:hAnsi="Palatino Linotype"/>
                    <w:color w:val="231F20"/>
                    <w:spacing w:val="-26"/>
                    <w:w w:val="105"/>
                    <w:sz w:val="16"/>
                  </w:rPr>
                  <w:t> </w:t>
                </w:r>
                <w:r>
                  <w:rPr>
                    <w:rFonts w:ascii="Palatino Linotype" w:hAnsi="Palatino Linotype"/>
                    <w:color w:val="231F20"/>
                    <w:w w:val="105"/>
                    <w:sz w:val="16"/>
                  </w:rPr>
                  <w:t>estratégico</w:t>
                </w:r>
              </w:p>
            </w:txbxContent>
          </v:textbox>
          <w10:wrap type="none"/>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696"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624"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1.946198pt;margin-top:25.005119pt;width:266.5pt;height:20.1pt;mso-position-horizontal-relative:page;mso-position-vertical-relative:page;z-index:-616600"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Importancia,</w:t>
                </w:r>
                <w:r>
                  <w:rPr>
                    <w:rFonts w:ascii="Palatino Linotype" w:hAnsi="Palatino Linotype"/>
                    <w:color w:val="231F20"/>
                    <w:spacing w:val="-26"/>
                    <w:w w:val="105"/>
                    <w:sz w:val="16"/>
                  </w:rPr>
                  <w:t> </w:t>
                </w:r>
                <w:r>
                  <w:rPr>
                    <w:rFonts w:ascii="Palatino Linotype" w:hAnsi="Palatino Linotype"/>
                    <w:color w:val="231F20"/>
                    <w:w w:val="105"/>
                    <w:sz w:val="16"/>
                  </w:rPr>
                  <w:t>desempeño</w:t>
                </w:r>
                <w:r>
                  <w:rPr>
                    <w:rFonts w:ascii="Palatino Linotype" w:hAnsi="Palatino Linotype"/>
                    <w:color w:val="231F20"/>
                    <w:spacing w:val="-26"/>
                    <w:w w:val="105"/>
                    <w:sz w:val="16"/>
                  </w:rPr>
                  <w:t> </w:t>
                </w:r>
                <w:r>
                  <w:rPr>
                    <w:rFonts w:ascii="Palatino Linotype" w:hAnsi="Palatino Linotype"/>
                    <w:color w:val="231F20"/>
                    <w:w w:val="105"/>
                    <w:sz w:val="16"/>
                  </w:rPr>
                  <w:t>y</w:t>
                </w:r>
                <w:r>
                  <w:rPr>
                    <w:rFonts w:ascii="Palatino Linotype" w:hAnsi="Palatino Linotype"/>
                    <w:color w:val="231F20"/>
                    <w:spacing w:val="-26"/>
                    <w:w w:val="105"/>
                    <w:sz w:val="16"/>
                  </w:rPr>
                  <w:t> </w:t>
                </w:r>
                <w:r>
                  <w:rPr>
                    <w:rFonts w:ascii="Palatino Linotype" w:hAnsi="Palatino Linotype"/>
                    <w:color w:val="231F20"/>
                    <w:w w:val="105"/>
                    <w:sz w:val="16"/>
                  </w:rPr>
                  <w:t>pérdida</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dinamismo</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un</w:t>
                </w:r>
                <w:r>
                  <w:rPr>
                    <w:rFonts w:ascii="Palatino Linotype" w:hAnsi="Palatino Linotype"/>
                    <w:color w:val="231F20"/>
                    <w:spacing w:val="-26"/>
                    <w:w w:val="105"/>
                    <w:sz w:val="16"/>
                  </w:rPr>
                  <w:t> </w:t>
                </w:r>
                <w:r>
                  <w:rPr>
                    <w:rFonts w:ascii="Palatino Linotype" w:hAnsi="Palatino Linotype"/>
                    <w:color w:val="231F20"/>
                    <w:w w:val="105"/>
                    <w:sz w:val="16"/>
                  </w:rPr>
                  <w:t>sector</w:t>
                </w:r>
                <w:r>
                  <w:rPr>
                    <w:rFonts w:ascii="Palatino Linotype" w:hAnsi="Palatino Linotype"/>
                    <w:color w:val="231F20"/>
                    <w:spacing w:val="-26"/>
                    <w:w w:val="105"/>
                    <w:sz w:val="16"/>
                  </w:rPr>
                  <w:t> </w:t>
                </w:r>
                <w:r>
                  <w:rPr>
                    <w:rFonts w:ascii="Palatino Linotype" w:hAnsi="Palatino Linotype"/>
                    <w:color w:val="231F20"/>
                    <w:w w:val="105"/>
                    <w:sz w:val="16"/>
                  </w:rPr>
                  <w:t>estratégico</w:t>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528"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1.946198pt;margin-top:25.005119pt;width:266.5pt;height:20.1pt;mso-position-horizontal-relative:page;mso-position-vertical-relative:page;z-index:-616504"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Importancia,</w:t>
                </w:r>
                <w:r>
                  <w:rPr>
                    <w:rFonts w:ascii="Palatino Linotype" w:hAnsi="Palatino Linotype"/>
                    <w:color w:val="231F20"/>
                    <w:spacing w:val="-26"/>
                    <w:w w:val="105"/>
                    <w:sz w:val="16"/>
                  </w:rPr>
                  <w:t> </w:t>
                </w:r>
                <w:r>
                  <w:rPr>
                    <w:rFonts w:ascii="Palatino Linotype" w:hAnsi="Palatino Linotype"/>
                    <w:color w:val="231F20"/>
                    <w:w w:val="105"/>
                    <w:sz w:val="16"/>
                  </w:rPr>
                  <w:t>desempeño</w:t>
                </w:r>
                <w:r>
                  <w:rPr>
                    <w:rFonts w:ascii="Palatino Linotype" w:hAnsi="Palatino Linotype"/>
                    <w:color w:val="231F20"/>
                    <w:spacing w:val="-26"/>
                    <w:w w:val="105"/>
                    <w:sz w:val="16"/>
                  </w:rPr>
                  <w:t> </w:t>
                </w:r>
                <w:r>
                  <w:rPr>
                    <w:rFonts w:ascii="Palatino Linotype" w:hAnsi="Palatino Linotype"/>
                    <w:color w:val="231F20"/>
                    <w:w w:val="105"/>
                    <w:sz w:val="16"/>
                  </w:rPr>
                  <w:t>y</w:t>
                </w:r>
                <w:r>
                  <w:rPr>
                    <w:rFonts w:ascii="Palatino Linotype" w:hAnsi="Palatino Linotype"/>
                    <w:color w:val="231F20"/>
                    <w:spacing w:val="-26"/>
                    <w:w w:val="105"/>
                    <w:sz w:val="16"/>
                  </w:rPr>
                  <w:t> </w:t>
                </w:r>
                <w:r>
                  <w:rPr>
                    <w:rFonts w:ascii="Palatino Linotype" w:hAnsi="Palatino Linotype"/>
                    <w:color w:val="231F20"/>
                    <w:w w:val="105"/>
                    <w:sz w:val="16"/>
                  </w:rPr>
                  <w:t>pérdida</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dinamismo</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un</w:t>
                </w:r>
                <w:r>
                  <w:rPr>
                    <w:rFonts w:ascii="Palatino Linotype" w:hAnsi="Palatino Linotype"/>
                    <w:color w:val="231F20"/>
                    <w:spacing w:val="-26"/>
                    <w:w w:val="105"/>
                    <w:sz w:val="16"/>
                  </w:rPr>
                  <w:t> </w:t>
                </w:r>
                <w:r>
                  <w:rPr>
                    <w:rFonts w:ascii="Palatino Linotype" w:hAnsi="Palatino Linotype"/>
                    <w:color w:val="231F20"/>
                    <w:w w:val="105"/>
                    <w:sz w:val="16"/>
                  </w:rPr>
                  <w:t>sector</w:t>
                </w:r>
                <w:r>
                  <w:rPr>
                    <w:rFonts w:ascii="Palatino Linotype" w:hAnsi="Palatino Linotype"/>
                    <w:color w:val="231F20"/>
                    <w:spacing w:val="-26"/>
                    <w:w w:val="105"/>
                    <w:sz w:val="16"/>
                  </w:rPr>
                  <w:t> </w:t>
                </w:r>
                <w:r>
                  <w:rPr>
                    <w:rFonts w:ascii="Palatino Linotype" w:hAnsi="Palatino Linotype"/>
                    <w:color w:val="231F20"/>
                    <w:w w:val="105"/>
                    <w:sz w:val="16"/>
                  </w:rPr>
                  <w:t>estratégico</w:t>
                </w:r>
              </w:p>
            </w:txbxContent>
          </v:textbox>
          <w10:wrap type="none"/>
        </v:shape>
      </w:pict>
    </w: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11.946198pt;margin-top:25.005119pt;width:266.5pt;height:20.1pt;mso-position-horizontal-relative:page;mso-position-vertical-relative:page;z-index:-616384" type="#_x0000_t202" filled="false" stroked="false">
          <v:textbox inset="0,0,0,0">
            <w:txbxContent>
              <w:p>
                <w:pPr>
                  <w:spacing w:line="179" w:lineRule="exact" w:before="0"/>
                  <w:ind w:left="7" w:right="7" w:firstLine="0"/>
                  <w:jc w:val="center"/>
                  <w:rPr>
                    <w:rFonts w:ascii="Palatino Linotype" w:hAnsi="Palatino Linotype"/>
                    <w:sz w:val="16"/>
                  </w:rPr>
                </w:pPr>
                <w:r>
                  <w:rPr>
                    <w:rFonts w:ascii="Arial Black" w:hAnsi="Arial Black"/>
                    <w:b/>
                    <w:color w:val="231F20"/>
                    <w:w w:val="105"/>
                    <w:sz w:val="16"/>
                  </w:rPr>
                  <w:t>Capítulo IV. </w:t>
                </w:r>
                <w:r>
                  <w:rPr>
                    <w:rFonts w:ascii="Palatino Linotype" w:hAnsi="Palatino Linotype"/>
                    <w:color w:val="231F20"/>
                    <w:w w:val="105"/>
                    <w:sz w:val="16"/>
                  </w:rPr>
                  <w:t>La industria automotriz en el Estado de México.</w:t>
                </w:r>
              </w:p>
              <w:p>
                <w:pPr>
                  <w:spacing w:line="207" w:lineRule="exact" w:before="0"/>
                  <w:ind w:left="7" w:right="7" w:firstLine="0"/>
                  <w:jc w:val="center"/>
                  <w:rPr>
                    <w:rFonts w:ascii="Palatino Linotype" w:hAnsi="Palatino Linotype"/>
                    <w:sz w:val="16"/>
                  </w:rPr>
                </w:pPr>
                <w:r>
                  <w:rPr>
                    <w:rFonts w:ascii="Palatino Linotype" w:hAnsi="Palatino Linotype"/>
                    <w:color w:val="231F20"/>
                    <w:w w:val="105"/>
                    <w:sz w:val="16"/>
                  </w:rPr>
                  <w:t>Importancia,</w:t>
                </w:r>
                <w:r>
                  <w:rPr>
                    <w:rFonts w:ascii="Palatino Linotype" w:hAnsi="Palatino Linotype"/>
                    <w:color w:val="231F20"/>
                    <w:spacing w:val="-26"/>
                    <w:w w:val="105"/>
                    <w:sz w:val="16"/>
                  </w:rPr>
                  <w:t> </w:t>
                </w:r>
                <w:r>
                  <w:rPr>
                    <w:rFonts w:ascii="Palatino Linotype" w:hAnsi="Palatino Linotype"/>
                    <w:color w:val="231F20"/>
                    <w:w w:val="105"/>
                    <w:sz w:val="16"/>
                  </w:rPr>
                  <w:t>desempeño</w:t>
                </w:r>
                <w:r>
                  <w:rPr>
                    <w:rFonts w:ascii="Palatino Linotype" w:hAnsi="Palatino Linotype"/>
                    <w:color w:val="231F20"/>
                    <w:spacing w:val="-26"/>
                    <w:w w:val="105"/>
                    <w:sz w:val="16"/>
                  </w:rPr>
                  <w:t> </w:t>
                </w:r>
                <w:r>
                  <w:rPr>
                    <w:rFonts w:ascii="Palatino Linotype" w:hAnsi="Palatino Linotype"/>
                    <w:color w:val="231F20"/>
                    <w:w w:val="105"/>
                    <w:sz w:val="16"/>
                  </w:rPr>
                  <w:t>y</w:t>
                </w:r>
                <w:r>
                  <w:rPr>
                    <w:rFonts w:ascii="Palatino Linotype" w:hAnsi="Palatino Linotype"/>
                    <w:color w:val="231F20"/>
                    <w:spacing w:val="-26"/>
                    <w:w w:val="105"/>
                    <w:sz w:val="16"/>
                  </w:rPr>
                  <w:t> </w:t>
                </w:r>
                <w:r>
                  <w:rPr>
                    <w:rFonts w:ascii="Palatino Linotype" w:hAnsi="Palatino Linotype"/>
                    <w:color w:val="231F20"/>
                    <w:w w:val="105"/>
                    <w:sz w:val="16"/>
                  </w:rPr>
                  <w:t>pérdida</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dinamismo</w:t>
                </w:r>
                <w:r>
                  <w:rPr>
                    <w:rFonts w:ascii="Palatino Linotype" w:hAnsi="Palatino Linotype"/>
                    <w:color w:val="231F20"/>
                    <w:spacing w:val="-26"/>
                    <w:w w:val="105"/>
                    <w:sz w:val="16"/>
                  </w:rPr>
                  <w:t> </w:t>
                </w:r>
                <w:r>
                  <w:rPr>
                    <w:rFonts w:ascii="Palatino Linotype" w:hAnsi="Palatino Linotype"/>
                    <w:color w:val="231F20"/>
                    <w:w w:val="105"/>
                    <w:sz w:val="16"/>
                  </w:rPr>
                  <w:t>de</w:t>
                </w:r>
                <w:r>
                  <w:rPr>
                    <w:rFonts w:ascii="Palatino Linotype" w:hAnsi="Palatino Linotype"/>
                    <w:color w:val="231F20"/>
                    <w:spacing w:val="-26"/>
                    <w:w w:val="105"/>
                    <w:sz w:val="16"/>
                  </w:rPr>
                  <w:t> </w:t>
                </w:r>
                <w:r>
                  <w:rPr>
                    <w:rFonts w:ascii="Palatino Linotype" w:hAnsi="Palatino Linotype"/>
                    <w:color w:val="231F20"/>
                    <w:w w:val="105"/>
                    <w:sz w:val="16"/>
                  </w:rPr>
                  <w:t>un</w:t>
                </w:r>
                <w:r>
                  <w:rPr>
                    <w:rFonts w:ascii="Palatino Linotype" w:hAnsi="Palatino Linotype"/>
                    <w:color w:val="231F20"/>
                    <w:spacing w:val="-26"/>
                    <w:w w:val="105"/>
                    <w:sz w:val="16"/>
                  </w:rPr>
                  <w:t> </w:t>
                </w:r>
                <w:r>
                  <w:rPr>
                    <w:rFonts w:ascii="Palatino Linotype" w:hAnsi="Palatino Linotype"/>
                    <w:color w:val="231F20"/>
                    <w:w w:val="105"/>
                    <w:sz w:val="16"/>
                  </w:rPr>
                  <w:t>sector</w:t>
                </w:r>
                <w:r>
                  <w:rPr>
                    <w:rFonts w:ascii="Palatino Linotype" w:hAnsi="Palatino Linotype"/>
                    <w:color w:val="231F20"/>
                    <w:spacing w:val="-26"/>
                    <w:w w:val="105"/>
                    <w:sz w:val="16"/>
                  </w:rPr>
                  <w:t> </w:t>
                </w:r>
                <w:r>
                  <w:rPr>
                    <w:rFonts w:ascii="Palatino Linotype" w:hAnsi="Palatino Linotype"/>
                    <w:color w:val="231F20"/>
                    <w:w w:val="105"/>
                    <w:sz w:val="16"/>
                  </w:rPr>
                  <w:t>estratégico</w:t>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36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19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0.010803pt;margin-top:25.005119pt;width:290.4pt;height:20.1pt;mso-position-horizontal-relative:page;mso-position-vertical-relative:page;z-index:-616168" type="#_x0000_t202" filled="false" stroked="false">
          <v:textbox inset="0,0,0,0">
            <w:txbxContent>
              <w:p>
                <w:pPr>
                  <w:spacing w:line="188" w:lineRule="exact" w:before="0"/>
                  <w:ind w:left="0" w:right="0" w:firstLine="0"/>
                  <w:jc w:val="center"/>
                  <w:rPr>
                    <w:rFonts w:ascii="Arial" w:hAnsi="Arial"/>
                    <w:sz w:val="16"/>
                  </w:rPr>
                </w:pPr>
                <w:r>
                  <w:rPr>
                    <w:rFonts w:ascii="Arial Black" w:hAnsi="Arial Black"/>
                    <w:b/>
                    <w:color w:val="231F20"/>
                    <w:sz w:val="16"/>
                  </w:rPr>
                  <w:t>Capítulo V. </w:t>
                </w:r>
                <w:r>
                  <w:rPr>
                    <w:rFonts w:ascii="Arial" w:hAnsi="Arial"/>
                    <w:color w:val="231F20"/>
                    <w:sz w:val="16"/>
                  </w:rPr>
                  <w:t>Conclusiones generales, recomendaciones de política y escenarios</w:t>
                </w:r>
              </w:p>
              <w:p>
                <w:pPr>
                  <w:spacing w:before="0"/>
                  <w:ind w:left="0" w:right="0" w:firstLine="0"/>
                  <w:jc w:val="center"/>
                  <w:rPr>
                    <w:rFonts w:ascii="Arial" w:hAnsi="Arial"/>
                    <w:sz w:val="16"/>
                  </w:rPr>
                </w:pPr>
                <w:r>
                  <w:rPr>
                    <w:rFonts w:ascii="Arial" w:hAnsi="Arial"/>
                    <w:color w:val="231F20"/>
                    <w:spacing w:val="2"/>
                    <w:w w:val="87"/>
                    <w:sz w:val="16"/>
                  </w:rPr>
                  <w:t>p</w:t>
                </w:r>
                <w:r>
                  <w:rPr>
                    <w:rFonts w:ascii="Arial" w:hAnsi="Arial"/>
                    <w:color w:val="231F20"/>
                    <w:w w:val="93"/>
                    <w:sz w:val="16"/>
                  </w:rPr>
                  <w:t>o</w:t>
                </w:r>
                <w:r>
                  <w:rPr>
                    <w:rFonts w:ascii="Arial" w:hAnsi="Arial"/>
                    <w:color w:val="231F20"/>
                    <w:spacing w:val="-1"/>
                    <w:w w:val="93"/>
                    <w:sz w:val="16"/>
                  </w:rPr>
                  <w:t>s</w:t>
                </w:r>
                <w:r>
                  <w:rPr>
                    <w:rFonts w:ascii="Arial" w:hAnsi="Arial"/>
                    <w:color w:val="231F20"/>
                    <w:w w:val="105"/>
                    <w:sz w:val="16"/>
                  </w:rPr>
                  <w:t>ibles</w:t>
                </w:r>
                <w:r>
                  <w:rPr>
                    <w:rFonts w:ascii="Arial" w:hAnsi="Arial"/>
                    <w:color w:val="231F20"/>
                    <w:spacing w:val="-9"/>
                    <w:sz w:val="16"/>
                  </w:rPr>
                  <w:t> </w:t>
                </w:r>
                <w:r>
                  <w:rPr>
                    <w:rFonts w:ascii="Arial" w:hAnsi="Arial"/>
                    <w:color w:val="231F20"/>
                    <w:spacing w:val="-11"/>
                    <w:w w:val="87"/>
                    <w:sz w:val="16"/>
                  </w:rPr>
                  <w:t>p</w:t>
                </w:r>
                <w:r>
                  <w:rPr>
                    <w:rFonts w:ascii="Arial" w:hAnsi="Arial"/>
                    <w:color w:val="231F20"/>
                    <w:w w:val="114"/>
                    <w:sz w:val="16"/>
                  </w:rPr>
                  <w:t>ara</w:t>
                </w:r>
                <w:r>
                  <w:rPr>
                    <w:rFonts w:ascii="Arial" w:hAnsi="Arial"/>
                    <w:color w:val="231F20"/>
                    <w:spacing w:val="-9"/>
                    <w:sz w:val="16"/>
                  </w:rPr>
                  <w:t> </w:t>
                </w:r>
                <w:r>
                  <w:rPr>
                    <w:rFonts w:ascii="Arial" w:hAnsi="Arial"/>
                    <w:color w:val="231F20"/>
                    <w:w w:val="121"/>
                    <w:sz w:val="16"/>
                  </w:rPr>
                  <w:t>el</w:t>
                </w:r>
                <w:r>
                  <w:rPr>
                    <w:rFonts w:ascii="Arial" w:hAnsi="Arial"/>
                    <w:color w:val="231F20"/>
                    <w:spacing w:val="-9"/>
                    <w:sz w:val="16"/>
                  </w:rPr>
                  <w:t> </w:t>
                </w:r>
                <w:r>
                  <w:rPr>
                    <w:rFonts w:ascii="Arial" w:hAnsi="Arial"/>
                    <w:color w:val="231F20"/>
                    <w:spacing w:val="-1"/>
                    <w:w w:val="81"/>
                    <w:sz w:val="16"/>
                  </w:rPr>
                  <w:t>s</w:t>
                </w:r>
                <w:r>
                  <w:rPr>
                    <w:rFonts w:ascii="Arial" w:hAnsi="Arial"/>
                    <w:color w:val="231F20"/>
                    <w:w w:val="114"/>
                    <w:sz w:val="16"/>
                  </w:rPr>
                  <w:t>ec</w:t>
                </w:r>
                <w:r>
                  <w:rPr>
                    <w:rFonts w:ascii="Arial" w:hAnsi="Arial"/>
                    <w:color w:val="231F20"/>
                    <w:spacing w:val="-1"/>
                    <w:w w:val="114"/>
                    <w:sz w:val="16"/>
                  </w:rPr>
                  <w:t>t</w:t>
                </w:r>
                <w:r>
                  <w:rPr>
                    <w:rFonts w:ascii="Arial" w:hAnsi="Arial"/>
                    <w:color w:val="231F20"/>
                    <w:spacing w:val="-1"/>
                    <w:w w:val="105"/>
                    <w:sz w:val="16"/>
                  </w:rPr>
                  <w:t>o</w:t>
                </w:r>
                <w:r>
                  <w:rPr>
                    <w:rFonts w:ascii="Arial" w:hAnsi="Arial"/>
                    <w:color w:val="231F20"/>
                    <w:w w:val="158"/>
                    <w:sz w:val="16"/>
                  </w:rPr>
                  <w:t>r</w:t>
                </w:r>
                <w:r>
                  <w:rPr>
                    <w:rFonts w:ascii="Arial" w:hAnsi="Arial"/>
                    <w:color w:val="231F20"/>
                    <w:spacing w:val="-9"/>
                    <w:sz w:val="16"/>
                  </w:rPr>
                  <w:t> </w:t>
                </w:r>
                <w:r>
                  <w:rPr>
                    <w:rFonts w:ascii="Arial" w:hAnsi="Arial"/>
                    <w:color w:val="231F20"/>
                    <w:spacing w:val="-9"/>
                    <w:w w:val="101"/>
                    <w:sz w:val="16"/>
                  </w:rPr>
                  <w:t>a</w:t>
                </w:r>
                <w:r>
                  <w:rPr>
                    <w:rFonts w:ascii="Arial" w:hAnsi="Arial"/>
                    <w:color w:val="231F20"/>
                    <w:spacing w:val="2"/>
                    <w:w w:val="104"/>
                    <w:sz w:val="16"/>
                  </w:rPr>
                  <w:t>u</w:t>
                </w:r>
                <w:r>
                  <w:rPr>
                    <w:rFonts w:ascii="Arial" w:hAnsi="Arial"/>
                    <w:color w:val="231F20"/>
                    <w:spacing w:val="-1"/>
                    <w:w w:val="183"/>
                    <w:sz w:val="16"/>
                  </w:rPr>
                  <w:t>t</w:t>
                </w:r>
                <w:r>
                  <w:rPr>
                    <w:rFonts w:ascii="Arial" w:hAnsi="Arial"/>
                    <w:color w:val="231F20"/>
                    <w:w w:val="93"/>
                    <w:sz w:val="16"/>
                  </w:rPr>
                  <w:t>o</w:t>
                </w:r>
                <w:r>
                  <w:rPr>
                    <w:rFonts w:ascii="Arial" w:hAnsi="Arial"/>
                    <w:color w:val="231F20"/>
                    <w:spacing w:val="-1"/>
                    <w:w w:val="93"/>
                    <w:sz w:val="16"/>
                  </w:rPr>
                  <w:t>m</w:t>
                </w:r>
                <w:r>
                  <w:rPr>
                    <w:rFonts w:ascii="Arial" w:hAnsi="Arial"/>
                    <w:color w:val="231F20"/>
                    <w:spacing w:val="-2"/>
                    <w:w w:val="105"/>
                    <w:sz w:val="16"/>
                  </w:rPr>
                  <w:t>o</w:t>
                </w:r>
                <w:r>
                  <w:rPr>
                    <w:rFonts w:ascii="Arial" w:hAnsi="Arial"/>
                    <w:color w:val="231F20"/>
                    <w:w w:val="169"/>
                    <w:sz w:val="16"/>
                  </w:rPr>
                  <w:t>t</w:t>
                </w:r>
                <w:r>
                  <w:rPr>
                    <w:rFonts w:ascii="Arial" w:hAnsi="Arial"/>
                    <w:color w:val="231F20"/>
                    <w:spacing w:val="-2"/>
                    <w:w w:val="169"/>
                    <w:sz w:val="16"/>
                  </w:rPr>
                  <w:t>r</w:t>
                </w:r>
                <w:r>
                  <w:rPr>
                    <w:rFonts w:ascii="Arial" w:hAnsi="Arial"/>
                    <w:color w:val="231F20"/>
                    <w:w w:val="110"/>
                    <w:sz w:val="16"/>
                  </w:rPr>
                  <w:t>iz</w:t>
                </w:r>
                <w:r>
                  <w:rPr>
                    <w:rFonts w:ascii="Arial" w:hAnsi="Arial"/>
                    <w:color w:val="231F20"/>
                    <w:spacing w:val="-9"/>
                    <w:sz w:val="16"/>
                  </w:rPr>
                  <w:t> </w:t>
                </w:r>
                <w:r>
                  <w:rPr>
                    <w:rFonts w:ascii="Arial" w:hAnsi="Arial"/>
                    <w:color w:val="231F20"/>
                    <w:w w:val="95"/>
                    <w:sz w:val="16"/>
                  </w:rPr>
                  <w:t>en</w:t>
                </w:r>
                <w:r>
                  <w:rPr>
                    <w:rFonts w:ascii="Arial" w:hAnsi="Arial"/>
                    <w:color w:val="231F20"/>
                    <w:spacing w:val="-9"/>
                    <w:sz w:val="16"/>
                  </w:rPr>
                  <w:t> </w:t>
                </w:r>
                <w:r>
                  <w:rPr>
                    <w:rFonts w:ascii="Arial" w:hAnsi="Arial"/>
                    <w:color w:val="231F20"/>
                    <w:spacing w:val="-2"/>
                    <w:w w:val="106"/>
                    <w:sz w:val="16"/>
                  </w:rPr>
                  <w:t>M</w:t>
                </w:r>
                <w:r>
                  <w:rPr>
                    <w:rFonts w:ascii="Arial" w:hAnsi="Arial"/>
                    <w:color w:val="231F20"/>
                    <w:w w:val="105"/>
                    <w:sz w:val="16"/>
                  </w:rPr>
                  <w:t>éxic</w:t>
                </w:r>
                <w:r>
                  <w:rPr>
                    <w:rFonts w:ascii="Arial" w:hAnsi="Arial"/>
                    <w:color w:val="231F20"/>
                    <w:w w:val="105"/>
                    <w:sz w:val="16"/>
                  </w:rPr>
                  <w:t>o</w:t>
                </w:r>
                <w:r>
                  <w:rPr>
                    <w:rFonts w:ascii="Arial" w:hAnsi="Arial"/>
                    <w:color w:val="231F20"/>
                    <w:spacing w:val="-9"/>
                    <w:sz w:val="16"/>
                  </w:rPr>
                  <w:t> </w:t>
                </w:r>
                <w:r>
                  <w:rPr>
                    <w:rFonts w:ascii="Arial" w:hAnsi="Arial"/>
                    <w:color w:val="231F20"/>
                    <w:w w:val="102"/>
                    <w:sz w:val="16"/>
                  </w:rPr>
                  <w:t>y</w:t>
                </w:r>
                <w:r>
                  <w:rPr>
                    <w:rFonts w:ascii="Arial" w:hAnsi="Arial"/>
                    <w:color w:val="231F20"/>
                    <w:spacing w:val="-9"/>
                    <w:sz w:val="16"/>
                  </w:rPr>
                  <w:t> </w:t>
                </w:r>
                <w:r>
                  <w:rPr>
                    <w:rFonts w:ascii="Arial" w:hAnsi="Arial"/>
                    <w:color w:val="231F20"/>
                    <w:w w:val="95"/>
                    <w:sz w:val="16"/>
                  </w:rPr>
                  <w:t>en</w:t>
                </w:r>
                <w:r>
                  <w:rPr>
                    <w:rFonts w:ascii="Arial" w:hAnsi="Arial"/>
                    <w:color w:val="231F20"/>
                    <w:spacing w:val="-9"/>
                    <w:sz w:val="16"/>
                  </w:rPr>
                  <w:t> </w:t>
                </w:r>
                <w:r>
                  <w:rPr>
                    <w:rFonts w:ascii="Arial" w:hAnsi="Arial"/>
                    <w:color w:val="231F20"/>
                    <w:w w:val="121"/>
                    <w:sz w:val="16"/>
                  </w:rPr>
                  <w:t>el</w:t>
                </w:r>
                <w:r>
                  <w:rPr>
                    <w:rFonts w:ascii="Arial" w:hAnsi="Arial"/>
                    <w:color w:val="231F20"/>
                    <w:spacing w:val="-9"/>
                    <w:sz w:val="16"/>
                  </w:rPr>
                  <w:t> </w:t>
                </w:r>
                <w:r>
                  <w:rPr>
                    <w:rFonts w:ascii="Arial" w:hAnsi="Arial"/>
                    <w:color w:val="231F20"/>
                    <w:spacing w:val="1"/>
                    <w:w w:val="85"/>
                    <w:sz w:val="16"/>
                  </w:rPr>
                  <w:t>E</w:t>
                </w:r>
                <w:r>
                  <w:rPr>
                    <w:rFonts w:ascii="Arial" w:hAnsi="Arial"/>
                    <w:color w:val="231F20"/>
                    <w:spacing w:val="-1"/>
                    <w:w w:val="81"/>
                    <w:sz w:val="16"/>
                  </w:rPr>
                  <w:t>s</w:t>
                </w:r>
                <w:r>
                  <w:rPr>
                    <w:rFonts w:ascii="Arial" w:hAnsi="Arial"/>
                    <w:color w:val="231F20"/>
                    <w:spacing w:val="-10"/>
                    <w:w w:val="183"/>
                    <w:sz w:val="16"/>
                  </w:rPr>
                  <w:t>t</w:t>
                </w:r>
                <w:r>
                  <w:rPr>
                    <w:rFonts w:ascii="Arial" w:hAnsi="Arial"/>
                    <w:color w:val="231F20"/>
                    <w:w w:val="103"/>
                    <w:sz w:val="16"/>
                  </w:rPr>
                  <w:t>a</w:t>
                </w:r>
                <w:r>
                  <w:rPr>
                    <w:rFonts w:ascii="Arial" w:hAnsi="Arial"/>
                    <w:color w:val="231F20"/>
                    <w:spacing w:val="3"/>
                    <w:w w:val="103"/>
                    <w:sz w:val="16"/>
                  </w:rPr>
                  <w:t>d</w:t>
                </w:r>
                <w:r>
                  <w:rPr>
                    <w:rFonts w:ascii="Arial" w:hAnsi="Arial"/>
                    <w:color w:val="231F20"/>
                    <w:w w:val="105"/>
                    <w:sz w:val="16"/>
                  </w:rPr>
                  <w:t>o</w:t>
                </w:r>
                <w:r>
                  <w:rPr>
                    <w:rFonts w:ascii="Arial" w:hAnsi="Arial"/>
                    <w:color w:val="231F20"/>
                    <w:spacing w:val="-9"/>
                    <w:sz w:val="16"/>
                  </w:rPr>
                  <w:t> </w:t>
                </w:r>
                <w:r>
                  <w:rPr>
                    <w:rFonts w:ascii="Arial" w:hAnsi="Arial"/>
                    <w:color w:val="231F20"/>
                    <w:spacing w:val="-1"/>
                    <w:w w:val="105"/>
                    <w:sz w:val="16"/>
                  </w:rPr>
                  <w:t>d</w:t>
                </w:r>
                <w:r>
                  <w:rPr>
                    <w:rFonts w:ascii="Arial" w:hAnsi="Arial"/>
                    <w:color w:val="231F20"/>
                    <w:w w:val="86"/>
                    <w:sz w:val="16"/>
                  </w:rPr>
                  <w:t>e</w:t>
                </w:r>
                <w:r>
                  <w:rPr>
                    <w:rFonts w:ascii="Arial" w:hAnsi="Arial"/>
                    <w:color w:val="231F20"/>
                    <w:spacing w:val="-9"/>
                    <w:sz w:val="16"/>
                  </w:rPr>
                  <w:t> </w:t>
                </w:r>
                <w:r>
                  <w:rPr>
                    <w:rFonts w:ascii="Arial" w:hAnsi="Arial"/>
                    <w:color w:val="231F20"/>
                    <w:spacing w:val="-2"/>
                    <w:w w:val="106"/>
                    <w:sz w:val="16"/>
                  </w:rPr>
                  <w:t>M</w:t>
                </w:r>
                <w:r>
                  <w:rPr>
                    <w:rFonts w:ascii="Arial" w:hAnsi="Arial"/>
                    <w:color w:val="231F20"/>
                    <w:w w:val="105"/>
                    <w:sz w:val="16"/>
                  </w:rPr>
                  <w:t>éxic</w:t>
                </w:r>
                <w:r>
                  <w:rPr>
                    <w:rFonts w:ascii="Arial" w:hAnsi="Arial"/>
                    <w:color w:val="231F20"/>
                    <w:w w:val="105"/>
                    <w:sz w:val="16"/>
                  </w:rPr>
                  <w:t>o</w:t>
                </w:r>
              </w:p>
            </w:txbxContent>
          </v:textbox>
          <w10:wrap type="none"/>
        </v:shape>
      </w:pict>
    </w: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6000"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19.117203pt;margin-top:30.005119pt;width:52.2pt;height:10pt;mso-position-horizontal-relative:page;mso-position-vertical-relative:page;z-index:-615976" type="#_x0000_t202" filled="false" stroked="false">
          <v:textbox inset="0,0,0,0">
            <w:txbxContent>
              <w:p>
                <w:pPr>
                  <w:spacing w:line="188" w:lineRule="exact" w:before="0"/>
                  <w:ind w:left="20" w:right="-1" w:firstLine="0"/>
                  <w:jc w:val="left"/>
                  <w:rPr>
                    <w:rFonts w:ascii="Arial Black" w:hAnsi="Arial Black"/>
                    <w:b/>
                    <w:sz w:val="16"/>
                  </w:rPr>
                </w:pPr>
                <w:r>
                  <w:rPr>
                    <w:rFonts w:ascii="Arial Black" w:hAnsi="Arial Black"/>
                    <w:b/>
                    <w:color w:val="231F20"/>
                    <w:sz w:val="16"/>
                  </w:rPr>
                  <w:t>Bibliografía</w:t>
                </w:r>
              </w:p>
            </w:txbxContent>
          </v:textbox>
          <w10:wrap type="non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8184"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5808"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0.356995pt;margin-top:30.005119pt;width:29.7pt;height:10pt;mso-position-horizontal-relative:page;mso-position-vertical-relative:page;z-index:-615784" type="#_x0000_t202" filled="false" stroked="false">
          <v:textbox inset="0,0,0,0">
            <w:txbxContent>
              <w:p>
                <w:pPr>
                  <w:spacing w:line="186" w:lineRule="exact" w:before="0"/>
                  <w:ind w:left="20" w:right="0" w:firstLine="0"/>
                  <w:jc w:val="left"/>
                  <w:rPr>
                    <w:rFonts w:ascii="Palatino Linotype"/>
                    <w:b/>
                    <w:sz w:val="16"/>
                  </w:rPr>
                </w:pPr>
                <w:r>
                  <w:rPr>
                    <w:rFonts w:ascii="Palatino Linotype"/>
                    <w:b/>
                    <w:color w:val="231F20"/>
                    <w:sz w:val="16"/>
                  </w:rPr>
                  <w:t>Anexos</w:t>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1.527199pt;margin-top:30.005119pt;width:347.35pt;height:10.1pt;mso-position-horizontal-relative:page;mso-position-vertical-relative:page;z-index:-618160" type="#_x0000_t202" filled="false" stroked="false">
          <v:textbox inset="0,0,0,0">
            <w:txbxContent>
              <w:p>
                <w:pPr>
                  <w:spacing w:line="188" w:lineRule="exact" w:before="0"/>
                  <w:ind w:left="20" w:right="0" w:firstLine="0"/>
                  <w:jc w:val="left"/>
                  <w:rPr>
                    <w:rFonts w:ascii="Palatino Linotype" w:hAnsi="Palatino Linotype"/>
                    <w:sz w:val="16"/>
                  </w:rPr>
                </w:pPr>
                <w:r>
                  <w:rPr>
                    <w:rFonts w:ascii="Arial Black" w:hAnsi="Arial Black"/>
                    <w:b/>
                    <w:color w:val="231F20"/>
                    <w:w w:val="110"/>
                    <w:sz w:val="16"/>
                  </w:rPr>
                  <w:t>Capítulo</w:t>
                </w:r>
                <w:r>
                  <w:rPr>
                    <w:rFonts w:ascii="Arial Black" w:hAnsi="Arial Black"/>
                    <w:b/>
                    <w:color w:val="231F20"/>
                    <w:spacing w:val="-44"/>
                    <w:w w:val="110"/>
                    <w:sz w:val="16"/>
                  </w:rPr>
                  <w:t> </w:t>
                </w:r>
                <w:r>
                  <w:rPr>
                    <w:rFonts w:ascii="Arial Black" w:hAnsi="Arial Black"/>
                    <w:b/>
                    <w:color w:val="231F20"/>
                    <w:w w:val="110"/>
                    <w:sz w:val="16"/>
                  </w:rPr>
                  <w:t>I.</w:t>
                </w:r>
                <w:r>
                  <w:rPr>
                    <w:rFonts w:ascii="Arial Black" w:hAnsi="Arial Black"/>
                    <w:b/>
                    <w:color w:val="231F20"/>
                    <w:spacing w:val="-44"/>
                    <w:w w:val="110"/>
                    <w:sz w:val="16"/>
                  </w:rPr>
                  <w:t> </w:t>
                </w:r>
                <w:r>
                  <w:rPr>
                    <w:rFonts w:ascii="Palatino Linotype" w:hAnsi="Palatino Linotype"/>
                    <w:color w:val="231F20"/>
                    <w:w w:val="110"/>
                    <w:sz w:val="16"/>
                  </w:rPr>
                  <w:t>Las</w:t>
                </w:r>
                <w:r>
                  <w:rPr>
                    <w:rFonts w:ascii="Palatino Linotype" w:hAnsi="Palatino Linotype"/>
                    <w:color w:val="231F20"/>
                    <w:spacing w:val="-29"/>
                    <w:w w:val="110"/>
                    <w:sz w:val="16"/>
                  </w:rPr>
                  <w:t> </w:t>
                </w:r>
                <w:r>
                  <w:rPr>
                    <w:rFonts w:ascii="Palatino Linotype" w:hAnsi="Palatino Linotype"/>
                    <w:color w:val="231F20"/>
                    <w:w w:val="110"/>
                    <w:sz w:val="16"/>
                  </w:rPr>
                  <w:t>cadenas</w:t>
                </w:r>
                <w:r>
                  <w:rPr>
                    <w:rFonts w:ascii="Palatino Linotype" w:hAnsi="Palatino Linotype"/>
                    <w:color w:val="231F20"/>
                    <w:spacing w:val="-29"/>
                    <w:w w:val="110"/>
                    <w:sz w:val="16"/>
                  </w:rPr>
                  <w:t> </w:t>
                </w:r>
                <w:r>
                  <w:rPr>
                    <w:rFonts w:ascii="Palatino Linotype" w:hAnsi="Palatino Linotype"/>
                    <w:color w:val="231F20"/>
                    <w:w w:val="110"/>
                    <w:sz w:val="16"/>
                  </w:rPr>
                  <w:t>mercantiles</w:t>
                </w:r>
                <w:r>
                  <w:rPr>
                    <w:rFonts w:ascii="Palatino Linotype" w:hAnsi="Palatino Linotype"/>
                    <w:color w:val="231F20"/>
                    <w:spacing w:val="-29"/>
                    <w:w w:val="110"/>
                    <w:sz w:val="16"/>
                  </w:rPr>
                  <w:t> </w:t>
                </w:r>
                <w:r>
                  <w:rPr>
                    <w:rFonts w:ascii="Palatino Linotype" w:hAnsi="Palatino Linotype"/>
                    <w:color w:val="231F20"/>
                    <w:w w:val="110"/>
                    <w:sz w:val="16"/>
                  </w:rPr>
                  <w:t>globales.</w:t>
                </w:r>
                <w:r>
                  <w:rPr>
                    <w:rFonts w:ascii="Palatino Linotype" w:hAnsi="Palatino Linotype"/>
                    <w:color w:val="231F20"/>
                    <w:spacing w:val="-29"/>
                    <w:w w:val="110"/>
                    <w:sz w:val="16"/>
                  </w:rPr>
                  <w:t> </w:t>
                </w:r>
                <w:r>
                  <w:rPr>
                    <w:rFonts w:ascii="Palatino Linotype" w:hAnsi="Palatino Linotype"/>
                    <w:color w:val="231F20"/>
                    <w:spacing w:val="-4"/>
                    <w:w w:val="110"/>
                    <w:sz w:val="16"/>
                  </w:rPr>
                  <w:t>Un</w:t>
                </w:r>
                <w:r>
                  <w:rPr>
                    <w:rFonts w:ascii="Palatino Linotype" w:hAnsi="Palatino Linotype"/>
                    <w:color w:val="231F20"/>
                    <w:spacing w:val="-29"/>
                    <w:w w:val="110"/>
                    <w:sz w:val="16"/>
                  </w:rPr>
                  <w:t> </w:t>
                </w:r>
                <w:r>
                  <w:rPr>
                    <w:rFonts w:ascii="Palatino Linotype" w:hAnsi="Palatino Linotype"/>
                    <w:color w:val="231F20"/>
                    <w:w w:val="110"/>
                    <w:sz w:val="16"/>
                  </w:rPr>
                  <w:t>marco</w:t>
                </w:r>
                <w:r>
                  <w:rPr>
                    <w:rFonts w:ascii="Palatino Linotype" w:hAnsi="Palatino Linotype"/>
                    <w:color w:val="231F20"/>
                    <w:spacing w:val="-29"/>
                    <w:w w:val="110"/>
                    <w:sz w:val="16"/>
                  </w:rPr>
                  <w:t> </w:t>
                </w:r>
                <w:r>
                  <w:rPr>
                    <w:rFonts w:ascii="Palatino Linotype" w:hAnsi="Palatino Linotype"/>
                    <w:color w:val="231F20"/>
                    <w:w w:val="110"/>
                    <w:sz w:val="16"/>
                  </w:rPr>
                  <w:t>de</w:t>
                </w:r>
                <w:r>
                  <w:rPr>
                    <w:rFonts w:ascii="Palatino Linotype" w:hAnsi="Palatino Linotype"/>
                    <w:color w:val="231F20"/>
                    <w:spacing w:val="-29"/>
                    <w:w w:val="110"/>
                    <w:sz w:val="16"/>
                  </w:rPr>
                  <w:t> </w:t>
                </w:r>
                <w:r>
                  <w:rPr>
                    <w:rFonts w:ascii="Palatino Linotype" w:hAnsi="Palatino Linotype"/>
                    <w:color w:val="231F20"/>
                    <w:w w:val="110"/>
                    <w:sz w:val="16"/>
                  </w:rPr>
                  <w:t>análisis</w:t>
                </w:r>
                <w:r>
                  <w:rPr>
                    <w:rFonts w:ascii="Palatino Linotype" w:hAnsi="Palatino Linotype"/>
                    <w:color w:val="231F20"/>
                    <w:spacing w:val="-29"/>
                    <w:w w:val="110"/>
                    <w:sz w:val="16"/>
                  </w:rPr>
                  <w:t> </w:t>
                </w:r>
                <w:r>
                  <w:rPr>
                    <w:rFonts w:ascii="Palatino Linotype" w:hAnsi="Palatino Linotype"/>
                    <w:color w:val="231F20"/>
                    <w:spacing w:val="-3"/>
                    <w:w w:val="110"/>
                    <w:sz w:val="16"/>
                  </w:rPr>
                  <w:t>para</w:t>
                </w:r>
                <w:r>
                  <w:rPr>
                    <w:rFonts w:ascii="Palatino Linotype" w:hAnsi="Palatino Linotype"/>
                    <w:color w:val="231F20"/>
                    <w:spacing w:val="-29"/>
                    <w:w w:val="110"/>
                    <w:sz w:val="16"/>
                  </w:rPr>
                  <w:t> </w:t>
                </w:r>
                <w:r>
                  <w:rPr>
                    <w:rFonts w:ascii="Palatino Linotype" w:hAnsi="Palatino Linotype"/>
                    <w:color w:val="231F20"/>
                    <w:w w:val="110"/>
                    <w:sz w:val="16"/>
                  </w:rPr>
                  <w:t>el</w:t>
                </w:r>
                <w:r>
                  <w:rPr>
                    <w:rFonts w:ascii="Palatino Linotype" w:hAnsi="Palatino Linotype"/>
                    <w:color w:val="231F20"/>
                    <w:spacing w:val="-29"/>
                    <w:w w:val="110"/>
                    <w:sz w:val="16"/>
                  </w:rPr>
                  <w:t> </w:t>
                </w:r>
                <w:r>
                  <w:rPr>
                    <w:rFonts w:ascii="Palatino Linotype" w:hAnsi="Palatino Linotype"/>
                    <w:color w:val="231F20"/>
                    <w:w w:val="110"/>
                    <w:sz w:val="16"/>
                  </w:rPr>
                  <w:t>sector</w:t>
                </w:r>
                <w:r>
                  <w:rPr>
                    <w:rFonts w:ascii="Palatino Linotype" w:hAnsi="Palatino Linotype"/>
                    <w:color w:val="231F20"/>
                    <w:spacing w:val="-29"/>
                    <w:w w:val="110"/>
                    <w:sz w:val="16"/>
                  </w:rPr>
                  <w:t> </w:t>
                </w:r>
                <w:r>
                  <w:rPr>
                    <w:rFonts w:ascii="Palatino Linotype" w:hAnsi="Palatino Linotype"/>
                    <w:color w:val="231F20"/>
                    <w:w w:val="110"/>
                    <w:sz w:val="16"/>
                  </w:rPr>
                  <w:t>automotriz</w:t>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6.247398pt;margin-top:30.059109pt;width:360.9pt;height:10pt;mso-position-horizontal-relative:page;mso-position-vertical-relative:page;z-index:-617992" type="#_x0000_t202" filled="false" stroked="false">
          <v:textbox inset="0,0,0,0">
            <w:txbxContent>
              <w:p>
                <w:pPr>
                  <w:spacing w:line="185" w:lineRule="exact" w:before="0"/>
                  <w:ind w:left="20" w:right="0" w:firstLine="0"/>
                  <w:jc w:val="left"/>
                  <w:rPr>
                    <w:rFonts w:ascii="Palatino Linotype" w:hAnsi="Palatino Linotype"/>
                    <w:sz w:val="16"/>
                  </w:rPr>
                </w:pPr>
                <w:r>
                  <w:rPr>
                    <w:rFonts w:ascii="Palatino Linotype" w:hAnsi="Palatino Linotype"/>
                    <w:color w:val="231F20"/>
                    <w:spacing w:val="-3"/>
                    <w:w w:val="110"/>
                    <w:sz w:val="16"/>
                  </w:rPr>
                  <w:t>Evolución,</w:t>
                </w:r>
                <w:r>
                  <w:rPr>
                    <w:rFonts w:ascii="Palatino Linotype" w:hAnsi="Palatino Linotype"/>
                    <w:color w:val="231F20"/>
                    <w:spacing w:val="-25"/>
                    <w:w w:val="110"/>
                    <w:sz w:val="16"/>
                  </w:rPr>
                  <w:t> </w:t>
                </w:r>
                <w:r>
                  <w:rPr>
                    <w:rFonts w:ascii="Palatino Linotype" w:hAnsi="Palatino Linotype"/>
                    <w:color w:val="231F20"/>
                    <w:w w:val="110"/>
                    <w:sz w:val="16"/>
                  </w:rPr>
                  <w:t>condiciones</w:t>
                </w:r>
                <w:r>
                  <w:rPr>
                    <w:rFonts w:ascii="Palatino Linotype" w:hAnsi="Palatino Linotype"/>
                    <w:color w:val="231F20"/>
                    <w:spacing w:val="-25"/>
                    <w:w w:val="110"/>
                    <w:sz w:val="16"/>
                  </w:rPr>
                  <w:t> </w:t>
                </w:r>
                <w:r>
                  <w:rPr>
                    <w:rFonts w:ascii="Palatino Linotype" w:hAnsi="Palatino Linotype"/>
                    <w:color w:val="231F20"/>
                    <w:spacing w:val="-3"/>
                    <w:w w:val="110"/>
                    <w:sz w:val="16"/>
                  </w:rPr>
                  <w:t>actuales</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retos</w:t>
                </w:r>
                <w:r>
                  <w:rPr>
                    <w:rFonts w:ascii="Palatino Linotype" w:hAnsi="Palatino Linotype"/>
                    <w:color w:val="231F20"/>
                    <w:spacing w:val="-25"/>
                    <w:w w:val="110"/>
                    <w:sz w:val="16"/>
                  </w:rPr>
                  <w:t> </w:t>
                </w:r>
                <w:r>
                  <w:rPr>
                    <w:rFonts w:ascii="Palatino Linotype" w:hAnsi="Palatino Linotype"/>
                    <w:color w:val="231F20"/>
                    <w:w w:val="110"/>
                    <w:sz w:val="16"/>
                  </w:rPr>
                  <w:t>del</w:t>
                </w:r>
                <w:r>
                  <w:rPr>
                    <w:rFonts w:ascii="Palatino Linotype" w:hAnsi="Palatino Linotype"/>
                    <w:color w:val="231F20"/>
                    <w:spacing w:val="-25"/>
                    <w:w w:val="110"/>
                    <w:sz w:val="16"/>
                  </w:rPr>
                  <w:t> </w:t>
                </w:r>
                <w:r>
                  <w:rPr>
                    <w:rFonts w:ascii="Palatino Linotype" w:hAnsi="Palatino Linotype"/>
                    <w:color w:val="231F20"/>
                    <w:w w:val="110"/>
                    <w:sz w:val="16"/>
                  </w:rPr>
                  <w:t>sector</w:t>
                </w:r>
                <w:r>
                  <w:rPr>
                    <w:rFonts w:ascii="Palatino Linotype" w:hAnsi="Palatino Linotype"/>
                    <w:color w:val="231F20"/>
                    <w:spacing w:val="-25"/>
                    <w:w w:val="110"/>
                    <w:sz w:val="16"/>
                  </w:rPr>
                  <w:t> </w:t>
                </w:r>
                <w:r>
                  <w:rPr>
                    <w:rFonts w:ascii="Palatino Linotype" w:hAnsi="Palatino Linotype"/>
                    <w:color w:val="231F20"/>
                    <w:w w:val="110"/>
                    <w:sz w:val="16"/>
                  </w:rPr>
                  <w:t>automotriz</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México</w:t>
                </w:r>
                <w:r>
                  <w:rPr>
                    <w:rFonts w:ascii="Palatino Linotype" w:hAnsi="Palatino Linotype"/>
                    <w:color w:val="231F20"/>
                    <w:spacing w:val="-25"/>
                    <w:w w:val="110"/>
                    <w:sz w:val="16"/>
                  </w:rPr>
                  <w:t> </w:t>
                </w:r>
                <w:r>
                  <w:rPr>
                    <w:rFonts w:ascii="Palatino Linotype" w:hAnsi="Palatino Linotype"/>
                    <w:color w:val="231F20"/>
                    <w:w w:val="110"/>
                    <w:sz w:val="16"/>
                  </w:rPr>
                  <w:t>y</w:t>
                </w:r>
                <w:r>
                  <w:rPr>
                    <w:rFonts w:ascii="Palatino Linotype" w:hAnsi="Palatino Linotype"/>
                    <w:color w:val="231F20"/>
                    <w:spacing w:val="-25"/>
                    <w:w w:val="110"/>
                    <w:sz w:val="16"/>
                  </w:rPr>
                  <w:t> </w:t>
                </w:r>
                <w:r>
                  <w:rPr>
                    <w:rFonts w:ascii="Palatino Linotype" w:hAnsi="Palatino Linotype"/>
                    <w:color w:val="231F20"/>
                    <w:w w:val="110"/>
                    <w:sz w:val="16"/>
                  </w:rPr>
                  <w:t>en</w:t>
                </w:r>
                <w:r>
                  <w:rPr>
                    <w:rFonts w:ascii="Palatino Linotype" w:hAnsi="Palatino Linotype"/>
                    <w:color w:val="231F20"/>
                    <w:spacing w:val="-25"/>
                    <w:w w:val="110"/>
                    <w:sz w:val="16"/>
                  </w:rPr>
                  <w:t> </w:t>
                </w:r>
                <w:r>
                  <w:rPr>
                    <w:rFonts w:ascii="Palatino Linotype" w:hAnsi="Palatino Linotype"/>
                    <w:color w:val="231F20"/>
                    <w:w w:val="110"/>
                    <w:sz w:val="16"/>
                  </w:rPr>
                  <w:t>el</w:t>
                </w:r>
                <w:r>
                  <w:rPr>
                    <w:rFonts w:ascii="Palatino Linotype" w:hAnsi="Palatino Linotype"/>
                    <w:color w:val="231F20"/>
                    <w:spacing w:val="-25"/>
                    <w:w w:val="110"/>
                    <w:sz w:val="16"/>
                  </w:rPr>
                  <w:t> </w:t>
                </w:r>
                <w:r>
                  <w:rPr>
                    <w:rFonts w:ascii="Palatino Linotype" w:hAnsi="Palatino Linotype"/>
                    <w:color w:val="231F20"/>
                    <w:w w:val="110"/>
                    <w:sz w:val="16"/>
                  </w:rPr>
                  <w:t>Estado</w:t>
                </w:r>
                <w:r>
                  <w:rPr>
                    <w:rFonts w:ascii="Palatino Linotype" w:hAnsi="Palatino Linotype"/>
                    <w:color w:val="231F20"/>
                    <w:spacing w:val="-25"/>
                    <w:w w:val="110"/>
                    <w:sz w:val="16"/>
                  </w:rPr>
                  <w:t> </w:t>
                </w:r>
                <w:r>
                  <w:rPr>
                    <w:rFonts w:ascii="Palatino Linotype" w:hAnsi="Palatino Linotype"/>
                    <w:color w:val="231F20"/>
                    <w:w w:val="110"/>
                    <w:sz w:val="16"/>
                  </w:rPr>
                  <w:t>de</w:t>
                </w:r>
                <w:r>
                  <w:rPr>
                    <w:rFonts w:ascii="Palatino Linotype" w:hAnsi="Palatino Linotype"/>
                    <w:color w:val="231F20"/>
                    <w:spacing w:val="-25"/>
                    <w:w w:val="110"/>
                    <w:sz w:val="16"/>
                  </w:rPr>
                  <w:t> </w:t>
                </w:r>
                <w:r>
                  <w:rPr>
                    <w:rFonts w:ascii="Palatino Linotype" w:hAnsi="Palatino Linotype"/>
                    <w:color w:val="231F20"/>
                    <w:w w:val="110"/>
                    <w:sz w:val="16"/>
                  </w:rPr>
                  <w:t>México</w:t>
                </w:r>
              </w:p>
            </w:txbxContent>
          </v:textbox>
          <w10:wrap type="none"/>
        </v:shape>
      </w:pic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06.1147pt;margin-top:25.005119pt;width:278.2pt;height:20.1pt;mso-position-horizontal-relative:page;mso-position-vertical-relative:page;z-index:-617968" type="#_x0000_t202" filled="false" stroked="false">
          <v:textbox inset="0,0,0,0">
            <w:txbxContent>
              <w:p>
                <w:pPr>
                  <w:spacing w:line="179" w:lineRule="exact" w:before="0"/>
                  <w:ind w:left="22" w:right="0" w:hanging="3"/>
                  <w:jc w:val="left"/>
                  <w:rPr>
                    <w:rFonts w:ascii="Palatino Linotype" w:hAnsi="Palatino Linotype"/>
                    <w:sz w:val="16"/>
                  </w:rPr>
                </w:pPr>
                <w:r>
                  <w:rPr>
                    <w:rFonts w:ascii="Arial Black" w:hAnsi="Arial Black"/>
                    <w:b/>
                    <w:color w:val="231F20"/>
                    <w:w w:val="105"/>
                    <w:sz w:val="16"/>
                  </w:rPr>
                  <w:t>Capítulo</w:t>
                </w:r>
                <w:r>
                  <w:rPr>
                    <w:rFonts w:ascii="Arial Black" w:hAnsi="Arial Black"/>
                    <w:b/>
                    <w:color w:val="231F20"/>
                    <w:spacing w:val="-25"/>
                    <w:w w:val="105"/>
                    <w:sz w:val="16"/>
                  </w:rPr>
                  <w:t> </w:t>
                </w:r>
                <w:r>
                  <w:rPr>
                    <w:rFonts w:ascii="Arial Black" w:hAnsi="Arial Black"/>
                    <w:b/>
                    <w:color w:val="231F20"/>
                    <w:w w:val="105"/>
                    <w:sz w:val="16"/>
                  </w:rPr>
                  <w:t>II.</w:t>
                </w:r>
                <w:r>
                  <w:rPr>
                    <w:rFonts w:ascii="Arial Black" w:hAnsi="Arial Black"/>
                    <w:b/>
                    <w:color w:val="231F20"/>
                    <w:spacing w:val="-24"/>
                    <w:w w:val="105"/>
                    <w:sz w:val="16"/>
                  </w:rPr>
                  <w:t> </w:t>
                </w:r>
                <w:r>
                  <w:rPr>
                    <w:rFonts w:ascii="Palatino Linotype" w:hAnsi="Palatino Linotype"/>
                    <w:color w:val="231F20"/>
                    <w:w w:val="105"/>
                    <w:sz w:val="16"/>
                  </w:rPr>
                  <w:t>La</w:t>
                </w:r>
                <w:r>
                  <w:rPr>
                    <w:rFonts w:ascii="Palatino Linotype" w:hAnsi="Palatino Linotype"/>
                    <w:color w:val="231F20"/>
                    <w:spacing w:val="-10"/>
                    <w:w w:val="105"/>
                    <w:sz w:val="16"/>
                  </w:rPr>
                  <w:t> </w:t>
                </w:r>
                <w:r>
                  <w:rPr>
                    <w:rFonts w:ascii="Palatino Linotype" w:hAnsi="Palatino Linotype"/>
                    <w:color w:val="231F20"/>
                    <w:w w:val="105"/>
                    <w:sz w:val="16"/>
                  </w:rPr>
                  <w:t>industria</w:t>
                </w:r>
                <w:r>
                  <w:rPr>
                    <w:rFonts w:ascii="Palatino Linotype" w:hAnsi="Palatino Linotype"/>
                    <w:color w:val="231F20"/>
                    <w:spacing w:val="-10"/>
                    <w:w w:val="105"/>
                    <w:sz w:val="16"/>
                  </w:rPr>
                  <w:t> </w:t>
                </w:r>
                <w:r>
                  <w:rPr>
                    <w:rFonts w:ascii="Palatino Linotype" w:hAnsi="Palatino Linotype"/>
                    <w:color w:val="231F20"/>
                    <w:w w:val="105"/>
                    <w:sz w:val="16"/>
                  </w:rPr>
                  <w:t>automotriz</w:t>
                </w:r>
                <w:r>
                  <w:rPr>
                    <w:rFonts w:ascii="Palatino Linotype" w:hAnsi="Palatino Linotype"/>
                    <w:color w:val="231F20"/>
                    <w:spacing w:val="-10"/>
                    <w:w w:val="105"/>
                    <w:sz w:val="16"/>
                  </w:rPr>
                  <w:t> </w:t>
                </w:r>
                <w:r>
                  <w:rPr>
                    <w:rFonts w:ascii="Palatino Linotype" w:hAnsi="Palatino Linotype"/>
                    <w:color w:val="231F20"/>
                    <w:w w:val="105"/>
                    <w:sz w:val="16"/>
                  </w:rPr>
                  <w:t>en</w:t>
                </w:r>
                <w:r>
                  <w:rPr>
                    <w:rFonts w:ascii="Palatino Linotype" w:hAnsi="Palatino Linotype"/>
                    <w:color w:val="231F20"/>
                    <w:spacing w:val="-10"/>
                    <w:w w:val="105"/>
                    <w:sz w:val="16"/>
                  </w:rPr>
                  <w:t> </w:t>
                </w:r>
                <w:r>
                  <w:rPr>
                    <w:rFonts w:ascii="Palatino Linotype" w:hAnsi="Palatino Linotype"/>
                    <w:color w:val="231F20"/>
                    <w:w w:val="105"/>
                    <w:sz w:val="16"/>
                  </w:rPr>
                  <w:t>el</w:t>
                </w:r>
                <w:r>
                  <w:rPr>
                    <w:rFonts w:ascii="Palatino Linotype" w:hAnsi="Palatino Linotype"/>
                    <w:color w:val="231F20"/>
                    <w:spacing w:val="-10"/>
                    <w:w w:val="105"/>
                    <w:sz w:val="16"/>
                  </w:rPr>
                  <w:t> </w:t>
                </w:r>
                <w:r>
                  <w:rPr>
                    <w:rFonts w:ascii="Palatino Linotype" w:hAnsi="Palatino Linotype"/>
                    <w:color w:val="231F20"/>
                    <w:w w:val="105"/>
                    <w:sz w:val="16"/>
                  </w:rPr>
                  <w:t>mundo.</w:t>
                </w:r>
                <w:r>
                  <w:rPr>
                    <w:rFonts w:ascii="Palatino Linotype" w:hAnsi="Palatino Linotype"/>
                    <w:color w:val="231F20"/>
                    <w:spacing w:val="-10"/>
                    <w:w w:val="105"/>
                    <w:sz w:val="16"/>
                  </w:rPr>
                  <w:t> </w:t>
                </w:r>
                <w:r>
                  <w:rPr>
                    <w:rFonts w:ascii="Palatino Linotype" w:hAnsi="Palatino Linotype"/>
                    <w:color w:val="231F20"/>
                    <w:spacing w:val="-3"/>
                    <w:w w:val="105"/>
                    <w:sz w:val="16"/>
                  </w:rPr>
                  <w:t>Innovación</w:t>
                </w:r>
                <w:r>
                  <w:rPr>
                    <w:rFonts w:ascii="Palatino Linotype" w:hAnsi="Palatino Linotype"/>
                    <w:color w:val="231F20"/>
                    <w:spacing w:val="-10"/>
                    <w:w w:val="105"/>
                    <w:sz w:val="16"/>
                  </w:rPr>
                  <w:t> </w:t>
                </w:r>
                <w:r>
                  <w:rPr>
                    <w:rFonts w:ascii="Palatino Linotype" w:hAnsi="Palatino Linotype"/>
                    <w:color w:val="231F20"/>
                    <w:w w:val="105"/>
                    <w:sz w:val="16"/>
                  </w:rPr>
                  <w:t>tecnológica,</w:t>
                </w:r>
              </w:p>
              <w:p>
                <w:pPr>
                  <w:spacing w:line="207" w:lineRule="exact" w:before="0"/>
                  <w:ind w:left="22" w:right="0" w:firstLine="0"/>
                  <w:jc w:val="left"/>
                  <w:rPr>
                    <w:rFonts w:ascii="Palatino Linotype" w:hAnsi="Palatino Linotype"/>
                    <w:sz w:val="16"/>
                  </w:rPr>
                </w:pPr>
                <w:r>
                  <w:rPr>
                    <w:rFonts w:ascii="Palatino Linotype" w:hAnsi="Palatino Linotype"/>
                    <w:color w:val="231F20"/>
                    <w:w w:val="105"/>
                    <w:sz w:val="16"/>
                  </w:rPr>
                  <w:t>procesos</w:t>
                </w:r>
                <w:r>
                  <w:rPr>
                    <w:rFonts w:ascii="Palatino Linotype" w:hAnsi="Palatino Linotype"/>
                    <w:color w:val="231F20"/>
                    <w:spacing w:val="-6"/>
                    <w:w w:val="105"/>
                    <w:sz w:val="16"/>
                  </w:rPr>
                  <w:t> </w:t>
                </w:r>
                <w:r>
                  <w:rPr>
                    <w:rFonts w:ascii="Palatino Linotype" w:hAnsi="Palatino Linotype"/>
                    <w:color w:val="231F20"/>
                    <w:w w:val="105"/>
                    <w:sz w:val="16"/>
                  </w:rPr>
                  <w:t>productivos</w:t>
                </w:r>
                <w:r>
                  <w:rPr>
                    <w:rFonts w:ascii="Palatino Linotype" w:hAnsi="Palatino Linotype"/>
                    <w:color w:val="231F20"/>
                    <w:spacing w:val="-6"/>
                    <w:w w:val="105"/>
                    <w:sz w:val="16"/>
                  </w:rPr>
                  <w:t> </w:t>
                </w:r>
                <w:r>
                  <w:rPr>
                    <w:rFonts w:ascii="Palatino Linotype" w:hAnsi="Palatino Linotype"/>
                    <w:color w:val="231F20"/>
                    <w:w w:val="105"/>
                    <w:sz w:val="16"/>
                  </w:rPr>
                  <w:t>y</w:t>
                </w:r>
                <w:r>
                  <w:rPr>
                    <w:rFonts w:ascii="Palatino Linotype" w:hAnsi="Palatino Linotype"/>
                    <w:color w:val="231F20"/>
                    <w:spacing w:val="-6"/>
                    <w:w w:val="105"/>
                    <w:sz w:val="16"/>
                  </w:rPr>
                  <w:t> </w:t>
                </w:r>
                <w:r>
                  <w:rPr>
                    <w:rFonts w:ascii="Palatino Linotype" w:hAnsi="Palatino Linotype"/>
                    <w:color w:val="231F20"/>
                    <w:w w:val="105"/>
                    <w:sz w:val="16"/>
                  </w:rPr>
                  <w:t>reconfiguración</w:t>
                </w:r>
                <w:r>
                  <w:rPr>
                    <w:rFonts w:ascii="Palatino Linotype" w:hAnsi="Palatino Linotype"/>
                    <w:color w:val="231F20"/>
                    <w:spacing w:val="-6"/>
                    <w:w w:val="105"/>
                    <w:sz w:val="16"/>
                  </w:rPr>
                  <w:t> </w:t>
                </w:r>
                <w:r>
                  <w:rPr>
                    <w:rFonts w:ascii="Palatino Linotype" w:hAnsi="Palatino Linotype"/>
                    <w:color w:val="231F20"/>
                    <w:w w:val="105"/>
                    <w:sz w:val="16"/>
                  </w:rPr>
                  <w:t>del</w:t>
                </w:r>
                <w:r>
                  <w:rPr>
                    <w:rFonts w:ascii="Palatino Linotype" w:hAnsi="Palatino Linotype"/>
                    <w:color w:val="231F20"/>
                    <w:spacing w:val="-6"/>
                    <w:w w:val="105"/>
                    <w:sz w:val="16"/>
                  </w:rPr>
                  <w:t> </w:t>
                </w:r>
                <w:r>
                  <w:rPr>
                    <w:rFonts w:ascii="Palatino Linotype" w:hAnsi="Palatino Linotype"/>
                    <w:color w:val="231F20"/>
                    <w:w w:val="105"/>
                    <w:sz w:val="16"/>
                  </w:rPr>
                  <w:t>mercado</w:t>
                </w:r>
                <w:r>
                  <w:rPr>
                    <w:rFonts w:ascii="Palatino Linotype" w:hAnsi="Palatino Linotype"/>
                    <w:color w:val="231F20"/>
                    <w:spacing w:val="-6"/>
                    <w:w w:val="105"/>
                    <w:sz w:val="16"/>
                  </w:rPr>
                  <w:t> </w:t>
                </w:r>
                <w:r>
                  <w:rPr>
                    <w:rFonts w:ascii="Palatino Linotype" w:hAnsi="Palatino Linotype"/>
                    <w:color w:val="231F20"/>
                    <w:w w:val="105"/>
                    <w:sz w:val="16"/>
                  </w:rPr>
                  <w:t>mundial</w:t>
                </w:r>
                <w:r>
                  <w:rPr>
                    <w:rFonts w:ascii="Palatino Linotype" w:hAnsi="Palatino Linotype"/>
                    <w:color w:val="231F20"/>
                    <w:spacing w:val="-6"/>
                    <w:w w:val="105"/>
                    <w:sz w:val="16"/>
                  </w:rPr>
                  <w:t> </w:t>
                </w:r>
                <w:r>
                  <w:rPr>
                    <w:rFonts w:ascii="Palatino Linotype" w:hAnsi="Palatino Linotype"/>
                    <w:color w:val="231F20"/>
                    <w:w w:val="105"/>
                    <w:sz w:val="16"/>
                  </w:rPr>
                  <w:t>de</w:t>
                </w:r>
                <w:r>
                  <w:rPr>
                    <w:rFonts w:ascii="Palatino Linotype" w:hAnsi="Palatino Linotype"/>
                    <w:color w:val="231F20"/>
                    <w:spacing w:val="-6"/>
                    <w:w w:val="105"/>
                    <w:sz w:val="16"/>
                  </w:rPr>
                  <w:t> </w:t>
                </w:r>
                <w:r>
                  <w:rPr>
                    <w:rFonts w:ascii="Palatino Linotype" w:hAnsi="Palatino Linotype"/>
                    <w:color w:val="231F20"/>
                    <w:w w:val="105"/>
                    <w:sz w:val="16"/>
                  </w:rPr>
                  <w:t>vehículos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2">
    <w:multiLevelType w:val="hybridMultilevel"/>
    <w:lvl w:ilvl="0">
      <w:start w:val="5"/>
      <w:numFmt w:val="decimal"/>
      <w:lvlText w:val="%1"/>
      <w:lvlJc w:val="left"/>
      <w:pPr>
        <w:ind w:left="537" w:hanging="414"/>
        <w:jc w:val="left"/>
      </w:pPr>
      <w:rPr>
        <w:rFonts w:hint="default"/>
      </w:rPr>
    </w:lvl>
    <w:lvl w:ilvl="1">
      <w:start w:val="1"/>
      <w:numFmt w:val="decimal"/>
      <w:lvlText w:val="%1.%2."/>
      <w:lvlJc w:val="left"/>
      <w:pPr>
        <w:ind w:left="537" w:hanging="414"/>
        <w:jc w:val="right"/>
      </w:pPr>
      <w:rPr>
        <w:rFonts w:hint="default" w:ascii="Palatino Linotype" w:hAnsi="Palatino Linotype" w:eastAsia="Palatino Linotype" w:cs="Palatino Linotype"/>
        <w:b/>
        <w:bCs/>
        <w:color w:val="231F20"/>
        <w:w w:val="100"/>
        <w:sz w:val="24"/>
        <w:szCs w:val="24"/>
      </w:rPr>
    </w:lvl>
    <w:lvl w:ilvl="2">
      <w:start w:val="1"/>
      <w:numFmt w:val="bullet"/>
      <w:lvlText w:val="•"/>
      <w:lvlJc w:val="left"/>
      <w:pPr>
        <w:ind w:left="2123" w:hanging="414"/>
      </w:pPr>
      <w:rPr>
        <w:rFonts w:hint="default"/>
      </w:rPr>
    </w:lvl>
    <w:lvl w:ilvl="3">
      <w:start w:val="1"/>
      <w:numFmt w:val="bullet"/>
      <w:lvlText w:val="•"/>
      <w:lvlJc w:val="left"/>
      <w:pPr>
        <w:ind w:left="2915" w:hanging="414"/>
      </w:pPr>
      <w:rPr>
        <w:rFonts w:hint="default"/>
      </w:rPr>
    </w:lvl>
    <w:lvl w:ilvl="4">
      <w:start w:val="1"/>
      <w:numFmt w:val="bullet"/>
      <w:lvlText w:val="•"/>
      <w:lvlJc w:val="left"/>
      <w:pPr>
        <w:ind w:left="3707" w:hanging="414"/>
      </w:pPr>
      <w:rPr>
        <w:rFonts w:hint="default"/>
      </w:rPr>
    </w:lvl>
    <w:lvl w:ilvl="5">
      <w:start w:val="1"/>
      <w:numFmt w:val="bullet"/>
      <w:lvlText w:val="•"/>
      <w:lvlJc w:val="left"/>
      <w:pPr>
        <w:ind w:left="4498" w:hanging="414"/>
      </w:pPr>
      <w:rPr>
        <w:rFonts w:hint="default"/>
      </w:rPr>
    </w:lvl>
    <w:lvl w:ilvl="6">
      <w:start w:val="1"/>
      <w:numFmt w:val="bullet"/>
      <w:lvlText w:val="•"/>
      <w:lvlJc w:val="left"/>
      <w:pPr>
        <w:ind w:left="5290" w:hanging="414"/>
      </w:pPr>
      <w:rPr>
        <w:rFonts w:hint="default"/>
      </w:rPr>
    </w:lvl>
    <w:lvl w:ilvl="7">
      <w:start w:val="1"/>
      <w:numFmt w:val="bullet"/>
      <w:lvlText w:val="•"/>
      <w:lvlJc w:val="left"/>
      <w:pPr>
        <w:ind w:left="6082" w:hanging="414"/>
      </w:pPr>
      <w:rPr>
        <w:rFonts w:hint="default"/>
      </w:rPr>
    </w:lvl>
    <w:lvl w:ilvl="8">
      <w:start w:val="1"/>
      <w:numFmt w:val="bullet"/>
      <w:lvlText w:val="•"/>
      <w:lvlJc w:val="left"/>
      <w:pPr>
        <w:ind w:left="6874" w:hanging="414"/>
      </w:pPr>
      <w:rPr>
        <w:rFonts w:hint="default"/>
      </w:rPr>
    </w:lvl>
  </w:abstractNum>
  <w:abstractNum w:abstractNumId="21">
    <w:multiLevelType w:val="hybridMultilevel"/>
    <w:lvl w:ilvl="0">
      <w:start w:val="4"/>
      <w:numFmt w:val="decimal"/>
      <w:lvlText w:val="%1"/>
      <w:lvlJc w:val="left"/>
      <w:pPr>
        <w:ind w:left="713" w:hanging="414"/>
        <w:jc w:val="left"/>
      </w:pPr>
      <w:rPr>
        <w:rFonts w:hint="default"/>
      </w:rPr>
    </w:lvl>
    <w:lvl w:ilvl="1">
      <w:start w:val="4"/>
      <w:numFmt w:val="decimal"/>
      <w:lvlText w:val="%1.%2."/>
      <w:lvlJc w:val="left"/>
      <w:pPr>
        <w:ind w:left="713" w:hanging="414"/>
        <w:jc w:val="right"/>
      </w:pPr>
      <w:rPr>
        <w:rFonts w:hint="default" w:ascii="Palatino Linotype" w:hAnsi="Palatino Linotype" w:eastAsia="Palatino Linotype" w:cs="Palatino Linotype"/>
        <w:b/>
        <w:bCs/>
        <w:color w:val="231F20"/>
        <w:w w:val="100"/>
        <w:sz w:val="24"/>
        <w:szCs w:val="24"/>
      </w:rPr>
    </w:lvl>
    <w:lvl w:ilvl="2">
      <w:start w:val="1"/>
      <w:numFmt w:val="bullet"/>
      <w:lvlText w:val="•"/>
      <w:lvlJc w:val="left"/>
      <w:pPr>
        <w:ind w:left="2179" w:hanging="414"/>
      </w:pPr>
      <w:rPr>
        <w:rFonts w:hint="default"/>
      </w:rPr>
    </w:lvl>
    <w:lvl w:ilvl="3">
      <w:start w:val="1"/>
      <w:numFmt w:val="bullet"/>
      <w:lvlText w:val="•"/>
      <w:lvlJc w:val="left"/>
      <w:pPr>
        <w:ind w:left="2909" w:hanging="414"/>
      </w:pPr>
      <w:rPr>
        <w:rFonts w:hint="default"/>
      </w:rPr>
    </w:lvl>
    <w:lvl w:ilvl="4">
      <w:start w:val="1"/>
      <w:numFmt w:val="bullet"/>
      <w:lvlText w:val="•"/>
      <w:lvlJc w:val="left"/>
      <w:pPr>
        <w:ind w:left="3639" w:hanging="414"/>
      </w:pPr>
      <w:rPr>
        <w:rFonts w:hint="default"/>
      </w:rPr>
    </w:lvl>
    <w:lvl w:ilvl="5">
      <w:start w:val="1"/>
      <w:numFmt w:val="bullet"/>
      <w:lvlText w:val="•"/>
      <w:lvlJc w:val="left"/>
      <w:pPr>
        <w:ind w:left="4368" w:hanging="414"/>
      </w:pPr>
      <w:rPr>
        <w:rFonts w:hint="default"/>
      </w:rPr>
    </w:lvl>
    <w:lvl w:ilvl="6">
      <w:start w:val="1"/>
      <w:numFmt w:val="bullet"/>
      <w:lvlText w:val="•"/>
      <w:lvlJc w:val="left"/>
      <w:pPr>
        <w:ind w:left="5098" w:hanging="414"/>
      </w:pPr>
      <w:rPr>
        <w:rFonts w:hint="default"/>
      </w:rPr>
    </w:lvl>
    <w:lvl w:ilvl="7">
      <w:start w:val="1"/>
      <w:numFmt w:val="bullet"/>
      <w:lvlText w:val="•"/>
      <w:lvlJc w:val="left"/>
      <w:pPr>
        <w:ind w:left="5828" w:hanging="414"/>
      </w:pPr>
      <w:rPr>
        <w:rFonts w:hint="default"/>
      </w:rPr>
    </w:lvl>
    <w:lvl w:ilvl="8">
      <w:start w:val="1"/>
      <w:numFmt w:val="bullet"/>
      <w:lvlText w:val="•"/>
      <w:lvlJc w:val="left"/>
      <w:pPr>
        <w:ind w:left="6558" w:hanging="414"/>
      </w:pPr>
      <w:rPr>
        <w:rFonts w:hint="default"/>
      </w:rPr>
    </w:lvl>
  </w:abstractNum>
  <w:abstractNum w:abstractNumId="20">
    <w:multiLevelType w:val="hybridMultilevel"/>
    <w:lvl w:ilvl="0">
      <w:start w:val="4"/>
      <w:numFmt w:val="decimal"/>
      <w:lvlText w:val="%1"/>
      <w:lvlJc w:val="left"/>
      <w:pPr>
        <w:ind w:left="624" w:hanging="521"/>
        <w:jc w:val="left"/>
      </w:pPr>
      <w:rPr>
        <w:rFonts w:hint="default"/>
      </w:rPr>
    </w:lvl>
    <w:lvl w:ilvl="1">
      <w:start w:val="3"/>
      <w:numFmt w:val="decimal"/>
      <w:lvlText w:val="%1.%2"/>
      <w:lvlJc w:val="left"/>
      <w:pPr>
        <w:ind w:left="624" w:hanging="521"/>
        <w:jc w:val="left"/>
      </w:pPr>
      <w:rPr>
        <w:rFonts w:hint="default"/>
      </w:rPr>
    </w:lvl>
    <w:lvl w:ilvl="2">
      <w:start w:val="1"/>
      <w:numFmt w:val="decimal"/>
      <w:lvlText w:val="%1.%2.%3."/>
      <w:lvlJc w:val="left"/>
      <w:pPr>
        <w:ind w:left="624" w:hanging="521"/>
        <w:jc w:val="left"/>
      </w:pPr>
      <w:rPr>
        <w:rFonts w:hint="default" w:ascii="Palatino Linotype" w:hAnsi="Palatino Linotype" w:eastAsia="Palatino Linotype" w:cs="Palatino Linotype"/>
        <w:b/>
        <w:bCs/>
        <w:color w:val="231F20"/>
        <w:w w:val="100"/>
        <w:sz w:val="21"/>
        <w:szCs w:val="21"/>
      </w:rPr>
    </w:lvl>
    <w:lvl w:ilvl="3">
      <w:start w:val="1"/>
      <w:numFmt w:val="lowerLetter"/>
      <w:lvlText w:val="%4)"/>
      <w:lvlJc w:val="left"/>
      <w:pPr>
        <w:ind w:left="1229" w:hanging="216"/>
        <w:jc w:val="right"/>
      </w:pPr>
      <w:rPr>
        <w:rFonts w:hint="default" w:ascii="Palatino Linotype" w:hAnsi="Palatino Linotype" w:eastAsia="Palatino Linotype" w:cs="Palatino Linotype"/>
        <w:b/>
        <w:bCs/>
        <w:color w:val="231F20"/>
        <w:w w:val="96"/>
        <w:sz w:val="21"/>
        <w:szCs w:val="21"/>
      </w:rPr>
    </w:lvl>
    <w:lvl w:ilvl="4">
      <w:start w:val="1"/>
      <w:numFmt w:val="bullet"/>
      <w:lvlText w:val="•"/>
      <w:lvlJc w:val="left"/>
      <w:pPr>
        <w:ind w:left="2908" w:hanging="216"/>
      </w:pPr>
      <w:rPr>
        <w:rFonts w:hint="default"/>
      </w:rPr>
    </w:lvl>
    <w:lvl w:ilvl="5">
      <w:start w:val="1"/>
      <w:numFmt w:val="bullet"/>
      <w:lvlText w:val="•"/>
      <w:lvlJc w:val="left"/>
      <w:pPr>
        <w:ind w:left="3471" w:hanging="216"/>
      </w:pPr>
      <w:rPr>
        <w:rFonts w:hint="default"/>
      </w:rPr>
    </w:lvl>
    <w:lvl w:ilvl="6">
      <w:start w:val="1"/>
      <w:numFmt w:val="bullet"/>
      <w:lvlText w:val="•"/>
      <w:lvlJc w:val="left"/>
      <w:pPr>
        <w:ind w:left="4033" w:hanging="216"/>
      </w:pPr>
      <w:rPr>
        <w:rFonts w:hint="default"/>
      </w:rPr>
    </w:lvl>
    <w:lvl w:ilvl="7">
      <w:start w:val="1"/>
      <w:numFmt w:val="bullet"/>
      <w:lvlText w:val="•"/>
      <w:lvlJc w:val="left"/>
      <w:pPr>
        <w:ind w:left="4596" w:hanging="216"/>
      </w:pPr>
      <w:rPr>
        <w:rFonts w:hint="default"/>
      </w:rPr>
    </w:lvl>
    <w:lvl w:ilvl="8">
      <w:start w:val="1"/>
      <w:numFmt w:val="bullet"/>
      <w:lvlText w:val="•"/>
      <w:lvlJc w:val="left"/>
      <w:pPr>
        <w:ind w:left="5159" w:hanging="216"/>
      </w:pPr>
      <w:rPr>
        <w:rFonts w:hint="default"/>
      </w:rPr>
    </w:lvl>
  </w:abstractNum>
  <w:abstractNum w:abstractNumId="19">
    <w:multiLevelType w:val="hybridMultilevel"/>
    <w:lvl w:ilvl="0">
      <w:start w:val="1"/>
      <w:numFmt w:val="lowerLetter"/>
      <w:lvlText w:val="%1)"/>
      <w:lvlJc w:val="left"/>
      <w:pPr>
        <w:ind w:left="3029" w:hanging="216"/>
        <w:jc w:val="right"/>
      </w:pPr>
      <w:rPr>
        <w:rFonts w:hint="default" w:ascii="Palatino Linotype" w:hAnsi="Palatino Linotype" w:eastAsia="Palatino Linotype" w:cs="Palatino Linotype"/>
        <w:b/>
        <w:bCs/>
        <w:color w:val="231F20"/>
        <w:w w:val="96"/>
        <w:sz w:val="21"/>
        <w:szCs w:val="21"/>
      </w:rPr>
    </w:lvl>
    <w:lvl w:ilvl="1">
      <w:start w:val="1"/>
      <w:numFmt w:val="lowerLetter"/>
      <w:lvlText w:val="%2)"/>
      <w:lvlJc w:val="left"/>
      <w:pPr>
        <w:ind w:left="3651" w:hanging="216"/>
        <w:jc w:val="right"/>
      </w:pPr>
      <w:rPr>
        <w:rFonts w:hint="default" w:ascii="Palatino Linotype" w:hAnsi="Palatino Linotype" w:eastAsia="Palatino Linotype" w:cs="Palatino Linotype"/>
        <w:b/>
        <w:bCs/>
        <w:color w:val="231F20"/>
        <w:w w:val="96"/>
        <w:sz w:val="21"/>
        <w:szCs w:val="21"/>
      </w:rPr>
    </w:lvl>
    <w:lvl w:ilvl="2">
      <w:start w:val="1"/>
      <w:numFmt w:val="bullet"/>
      <w:lvlText w:val="•"/>
      <w:lvlJc w:val="left"/>
      <w:pPr>
        <w:ind w:left="4057" w:hanging="216"/>
      </w:pPr>
      <w:rPr>
        <w:rFonts w:hint="default"/>
      </w:rPr>
    </w:lvl>
    <w:lvl w:ilvl="3">
      <w:start w:val="1"/>
      <w:numFmt w:val="bullet"/>
      <w:lvlText w:val="•"/>
      <w:lvlJc w:val="left"/>
      <w:pPr>
        <w:ind w:left="4455" w:hanging="216"/>
      </w:pPr>
      <w:rPr>
        <w:rFonts w:hint="default"/>
      </w:rPr>
    </w:lvl>
    <w:lvl w:ilvl="4">
      <w:start w:val="1"/>
      <w:numFmt w:val="bullet"/>
      <w:lvlText w:val="•"/>
      <w:lvlJc w:val="left"/>
      <w:pPr>
        <w:ind w:left="4852" w:hanging="216"/>
      </w:pPr>
      <w:rPr>
        <w:rFonts w:hint="default"/>
      </w:rPr>
    </w:lvl>
    <w:lvl w:ilvl="5">
      <w:start w:val="1"/>
      <w:numFmt w:val="bullet"/>
      <w:lvlText w:val="•"/>
      <w:lvlJc w:val="left"/>
      <w:pPr>
        <w:ind w:left="5250" w:hanging="216"/>
      </w:pPr>
      <w:rPr>
        <w:rFonts w:hint="default"/>
      </w:rPr>
    </w:lvl>
    <w:lvl w:ilvl="6">
      <w:start w:val="1"/>
      <w:numFmt w:val="bullet"/>
      <w:lvlText w:val="•"/>
      <w:lvlJc w:val="left"/>
      <w:pPr>
        <w:ind w:left="5647" w:hanging="216"/>
      </w:pPr>
      <w:rPr>
        <w:rFonts w:hint="default"/>
      </w:rPr>
    </w:lvl>
    <w:lvl w:ilvl="7">
      <w:start w:val="1"/>
      <w:numFmt w:val="bullet"/>
      <w:lvlText w:val="•"/>
      <w:lvlJc w:val="left"/>
      <w:pPr>
        <w:ind w:left="6045" w:hanging="216"/>
      </w:pPr>
      <w:rPr>
        <w:rFonts w:hint="default"/>
      </w:rPr>
    </w:lvl>
    <w:lvl w:ilvl="8">
      <w:start w:val="1"/>
      <w:numFmt w:val="bullet"/>
      <w:lvlText w:val="•"/>
      <w:lvlJc w:val="left"/>
      <w:pPr>
        <w:ind w:left="6442" w:hanging="216"/>
      </w:pPr>
      <w:rPr>
        <w:rFonts w:hint="default"/>
      </w:rPr>
    </w:lvl>
  </w:abstractNum>
  <w:abstractNum w:abstractNumId="18">
    <w:multiLevelType w:val="hybridMultilevel"/>
    <w:lvl w:ilvl="0">
      <w:start w:val="4"/>
      <w:numFmt w:val="decimal"/>
      <w:lvlText w:val="%1"/>
      <w:lvlJc w:val="left"/>
      <w:pPr>
        <w:ind w:left="1127" w:hanging="414"/>
        <w:jc w:val="left"/>
      </w:pPr>
      <w:rPr>
        <w:rFonts w:hint="default"/>
      </w:rPr>
    </w:lvl>
    <w:lvl w:ilvl="1">
      <w:start w:val="1"/>
      <w:numFmt w:val="decimal"/>
      <w:lvlText w:val="%1.%2."/>
      <w:lvlJc w:val="left"/>
      <w:pPr>
        <w:ind w:left="1127" w:hanging="414"/>
        <w:jc w:val="right"/>
      </w:pPr>
      <w:rPr>
        <w:rFonts w:hint="default" w:ascii="Palatino Linotype" w:hAnsi="Palatino Linotype" w:eastAsia="Palatino Linotype" w:cs="Palatino Linotype"/>
        <w:b/>
        <w:bCs/>
        <w:color w:val="231F20"/>
        <w:w w:val="100"/>
        <w:sz w:val="24"/>
        <w:szCs w:val="24"/>
      </w:rPr>
    </w:lvl>
    <w:lvl w:ilvl="2">
      <w:start w:val="1"/>
      <w:numFmt w:val="decimal"/>
      <w:lvlText w:val="%1.%2.%3."/>
      <w:lvlJc w:val="left"/>
      <w:pPr>
        <w:ind w:left="624" w:hanging="521"/>
        <w:jc w:val="left"/>
      </w:pPr>
      <w:rPr>
        <w:rFonts w:hint="default" w:ascii="Palatino Linotype" w:hAnsi="Palatino Linotype" w:eastAsia="Palatino Linotype" w:cs="Palatino Linotype"/>
        <w:b/>
        <w:bCs/>
        <w:color w:val="231F20"/>
        <w:w w:val="100"/>
        <w:sz w:val="21"/>
        <w:szCs w:val="21"/>
      </w:rPr>
    </w:lvl>
    <w:lvl w:ilvl="3">
      <w:start w:val="1"/>
      <w:numFmt w:val="bullet"/>
      <w:lvlText w:val="•"/>
      <w:lvlJc w:val="left"/>
      <w:pPr>
        <w:ind w:left="2479" w:hanging="521"/>
      </w:pPr>
      <w:rPr>
        <w:rFonts w:hint="default"/>
      </w:rPr>
    </w:lvl>
    <w:lvl w:ilvl="4">
      <w:start w:val="1"/>
      <w:numFmt w:val="bullet"/>
      <w:lvlText w:val="•"/>
      <w:lvlJc w:val="left"/>
      <w:pPr>
        <w:ind w:left="3159" w:hanging="521"/>
      </w:pPr>
      <w:rPr>
        <w:rFonts w:hint="default"/>
      </w:rPr>
    </w:lvl>
    <w:lvl w:ilvl="5">
      <w:start w:val="1"/>
      <w:numFmt w:val="bullet"/>
      <w:lvlText w:val="•"/>
      <w:lvlJc w:val="left"/>
      <w:pPr>
        <w:ind w:left="3839" w:hanging="521"/>
      </w:pPr>
      <w:rPr>
        <w:rFonts w:hint="default"/>
      </w:rPr>
    </w:lvl>
    <w:lvl w:ilvl="6">
      <w:start w:val="1"/>
      <w:numFmt w:val="bullet"/>
      <w:lvlText w:val="•"/>
      <w:lvlJc w:val="left"/>
      <w:pPr>
        <w:ind w:left="4518" w:hanging="521"/>
      </w:pPr>
      <w:rPr>
        <w:rFonts w:hint="default"/>
      </w:rPr>
    </w:lvl>
    <w:lvl w:ilvl="7">
      <w:start w:val="1"/>
      <w:numFmt w:val="bullet"/>
      <w:lvlText w:val="•"/>
      <w:lvlJc w:val="left"/>
      <w:pPr>
        <w:ind w:left="5198" w:hanging="521"/>
      </w:pPr>
      <w:rPr>
        <w:rFonts w:hint="default"/>
      </w:rPr>
    </w:lvl>
    <w:lvl w:ilvl="8">
      <w:start w:val="1"/>
      <w:numFmt w:val="bullet"/>
      <w:lvlText w:val="•"/>
      <w:lvlJc w:val="left"/>
      <w:pPr>
        <w:ind w:left="5878" w:hanging="521"/>
      </w:pPr>
      <w:rPr>
        <w:rFonts w:hint="default"/>
      </w:rPr>
    </w:lvl>
  </w:abstractNum>
  <w:abstractNum w:abstractNumId="17">
    <w:multiLevelType w:val="hybridMultilevel"/>
    <w:lvl w:ilvl="0">
      <w:start w:val="3"/>
      <w:numFmt w:val="decimal"/>
      <w:lvlText w:val="%1"/>
      <w:lvlJc w:val="left"/>
      <w:pPr>
        <w:ind w:left="653" w:hanging="414"/>
        <w:jc w:val="left"/>
      </w:pPr>
      <w:rPr>
        <w:rFonts w:hint="default"/>
      </w:rPr>
    </w:lvl>
    <w:lvl w:ilvl="1">
      <w:start w:val="4"/>
      <w:numFmt w:val="decimal"/>
      <w:lvlText w:val="%1.%2."/>
      <w:lvlJc w:val="left"/>
      <w:pPr>
        <w:ind w:left="653" w:hanging="414"/>
        <w:jc w:val="right"/>
      </w:pPr>
      <w:rPr>
        <w:rFonts w:hint="default" w:ascii="Palatino Linotype" w:hAnsi="Palatino Linotype" w:eastAsia="Palatino Linotype" w:cs="Palatino Linotype"/>
        <w:b/>
        <w:bCs/>
        <w:color w:val="231F20"/>
        <w:w w:val="100"/>
        <w:sz w:val="24"/>
        <w:szCs w:val="24"/>
      </w:rPr>
    </w:lvl>
    <w:lvl w:ilvl="2">
      <w:start w:val="1"/>
      <w:numFmt w:val="bullet"/>
      <w:lvlText w:val="•"/>
      <w:lvlJc w:val="left"/>
      <w:pPr>
        <w:ind w:left="2119" w:hanging="414"/>
      </w:pPr>
      <w:rPr>
        <w:rFonts w:hint="default"/>
      </w:rPr>
    </w:lvl>
    <w:lvl w:ilvl="3">
      <w:start w:val="1"/>
      <w:numFmt w:val="bullet"/>
      <w:lvlText w:val="•"/>
      <w:lvlJc w:val="left"/>
      <w:pPr>
        <w:ind w:left="2849" w:hanging="414"/>
      </w:pPr>
      <w:rPr>
        <w:rFonts w:hint="default"/>
      </w:rPr>
    </w:lvl>
    <w:lvl w:ilvl="4">
      <w:start w:val="1"/>
      <w:numFmt w:val="bullet"/>
      <w:lvlText w:val="•"/>
      <w:lvlJc w:val="left"/>
      <w:pPr>
        <w:ind w:left="3579" w:hanging="414"/>
      </w:pPr>
      <w:rPr>
        <w:rFonts w:hint="default"/>
      </w:rPr>
    </w:lvl>
    <w:lvl w:ilvl="5">
      <w:start w:val="1"/>
      <w:numFmt w:val="bullet"/>
      <w:lvlText w:val="•"/>
      <w:lvlJc w:val="left"/>
      <w:pPr>
        <w:ind w:left="4308" w:hanging="414"/>
      </w:pPr>
      <w:rPr>
        <w:rFonts w:hint="default"/>
      </w:rPr>
    </w:lvl>
    <w:lvl w:ilvl="6">
      <w:start w:val="1"/>
      <w:numFmt w:val="bullet"/>
      <w:lvlText w:val="•"/>
      <w:lvlJc w:val="left"/>
      <w:pPr>
        <w:ind w:left="5038" w:hanging="414"/>
      </w:pPr>
      <w:rPr>
        <w:rFonts w:hint="default"/>
      </w:rPr>
    </w:lvl>
    <w:lvl w:ilvl="7">
      <w:start w:val="1"/>
      <w:numFmt w:val="bullet"/>
      <w:lvlText w:val="•"/>
      <w:lvlJc w:val="left"/>
      <w:pPr>
        <w:ind w:left="5768" w:hanging="414"/>
      </w:pPr>
      <w:rPr>
        <w:rFonts w:hint="default"/>
      </w:rPr>
    </w:lvl>
    <w:lvl w:ilvl="8">
      <w:start w:val="1"/>
      <w:numFmt w:val="bullet"/>
      <w:lvlText w:val="•"/>
      <w:lvlJc w:val="left"/>
      <w:pPr>
        <w:ind w:left="6498" w:hanging="414"/>
      </w:pPr>
      <w:rPr>
        <w:rFonts w:hint="default"/>
      </w:rPr>
    </w:lvl>
  </w:abstractNum>
  <w:abstractNum w:abstractNumId="16">
    <w:multiLevelType w:val="hybridMultilevel"/>
    <w:lvl w:ilvl="0">
      <w:start w:val="3"/>
      <w:numFmt w:val="decimal"/>
      <w:lvlText w:val="%1"/>
      <w:lvlJc w:val="left"/>
      <w:pPr>
        <w:ind w:left="1067" w:hanging="414"/>
        <w:jc w:val="left"/>
      </w:pPr>
      <w:rPr>
        <w:rFonts w:hint="default"/>
      </w:rPr>
    </w:lvl>
    <w:lvl w:ilvl="1">
      <w:start w:val="1"/>
      <w:numFmt w:val="decimal"/>
      <w:lvlText w:val="%1.%2."/>
      <w:lvlJc w:val="left"/>
      <w:pPr>
        <w:ind w:left="1067" w:hanging="414"/>
        <w:jc w:val="right"/>
      </w:pPr>
      <w:rPr>
        <w:rFonts w:hint="default" w:ascii="Palatino Linotype" w:hAnsi="Palatino Linotype" w:eastAsia="Palatino Linotype" w:cs="Palatino Linotype"/>
        <w:b/>
        <w:bCs/>
        <w:color w:val="231F20"/>
        <w:w w:val="100"/>
        <w:sz w:val="24"/>
        <w:szCs w:val="24"/>
      </w:rPr>
    </w:lvl>
    <w:lvl w:ilvl="2">
      <w:start w:val="1"/>
      <w:numFmt w:val="decimal"/>
      <w:lvlText w:val="%1.%2.%3."/>
      <w:lvlJc w:val="left"/>
      <w:pPr>
        <w:ind w:left="1174" w:hanging="521"/>
        <w:jc w:val="left"/>
      </w:pPr>
      <w:rPr>
        <w:rFonts w:hint="default" w:ascii="Palatino Linotype" w:hAnsi="Palatino Linotype" w:eastAsia="Palatino Linotype" w:cs="Palatino Linotype"/>
        <w:b/>
        <w:bCs/>
        <w:color w:val="231F20"/>
        <w:w w:val="100"/>
        <w:sz w:val="21"/>
        <w:szCs w:val="21"/>
      </w:rPr>
    </w:lvl>
    <w:lvl w:ilvl="3">
      <w:start w:val="1"/>
      <w:numFmt w:val="bullet"/>
      <w:lvlText w:val="•"/>
      <w:lvlJc w:val="left"/>
      <w:pPr>
        <w:ind w:left="2686" w:hanging="521"/>
      </w:pPr>
      <w:rPr>
        <w:rFonts w:hint="default"/>
      </w:rPr>
    </w:lvl>
    <w:lvl w:ilvl="4">
      <w:start w:val="1"/>
      <w:numFmt w:val="bullet"/>
      <w:lvlText w:val="•"/>
      <w:lvlJc w:val="left"/>
      <w:pPr>
        <w:ind w:left="3439" w:hanging="521"/>
      </w:pPr>
      <w:rPr>
        <w:rFonts w:hint="default"/>
      </w:rPr>
    </w:lvl>
    <w:lvl w:ilvl="5">
      <w:start w:val="1"/>
      <w:numFmt w:val="bullet"/>
      <w:lvlText w:val="•"/>
      <w:lvlJc w:val="left"/>
      <w:pPr>
        <w:ind w:left="4192" w:hanging="521"/>
      </w:pPr>
      <w:rPr>
        <w:rFonts w:hint="default"/>
      </w:rPr>
    </w:lvl>
    <w:lvl w:ilvl="6">
      <w:start w:val="1"/>
      <w:numFmt w:val="bullet"/>
      <w:lvlText w:val="•"/>
      <w:lvlJc w:val="left"/>
      <w:pPr>
        <w:ind w:left="4945" w:hanging="521"/>
      </w:pPr>
      <w:rPr>
        <w:rFonts w:hint="default"/>
      </w:rPr>
    </w:lvl>
    <w:lvl w:ilvl="7">
      <w:start w:val="1"/>
      <w:numFmt w:val="bullet"/>
      <w:lvlText w:val="•"/>
      <w:lvlJc w:val="left"/>
      <w:pPr>
        <w:ind w:left="5698" w:hanging="521"/>
      </w:pPr>
      <w:rPr>
        <w:rFonts w:hint="default"/>
      </w:rPr>
    </w:lvl>
    <w:lvl w:ilvl="8">
      <w:start w:val="1"/>
      <w:numFmt w:val="bullet"/>
      <w:lvlText w:val="•"/>
      <w:lvlJc w:val="left"/>
      <w:pPr>
        <w:ind w:left="6451" w:hanging="521"/>
      </w:pPr>
      <w:rPr>
        <w:rFonts w:hint="default"/>
      </w:rPr>
    </w:lvl>
  </w:abstractNum>
  <w:abstractNum w:abstractNumId="15">
    <w:multiLevelType w:val="hybridMultilevel"/>
    <w:lvl w:ilvl="0">
      <w:start w:val="29"/>
      <w:numFmt w:val="decimal"/>
      <w:lvlText w:val="%1"/>
      <w:lvlJc w:val="left"/>
      <w:pPr>
        <w:ind w:left="103" w:hanging="402"/>
        <w:jc w:val="left"/>
      </w:pPr>
      <w:rPr>
        <w:rFonts w:hint="default"/>
      </w:rPr>
    </w:lvl>
    <w:lvl w:ilvl="1">
      <w:start w:val="4"/>
      <w:numFmt w:val="decimal"/>
      <w:lvlText w:val="%1.%2"/>
      <w:lvlJc w:val="left"/>
      <w:pPr>
        <w:ind w:left="103" w:hanging="402"/>
        <w:jc w:val="left"/>
      </w:pPr>
      <w:rPr>
        <w:rFonts w:hint="default" w:ascii="Times New Roman" w:hAnsi="Times New Roman" w:eastAsia="Times New Roman" w:cs="Times New Roman"/>
        <w:color w:val="231F20"/>
        <w:w w:val="95"/>
        <w:sz w:val="21"/>
        <w:szCs w:val="21"/>
      </w:rPr>
    </w:lvl>
    <w:lvl w:ilvl="2">
      <w:start w:val="1"/>
      <w:numFmt w:val="lowerLetter"/>
      <w:lvlText w:val="%3)"/>
      <w:lvlJc w:val="left"/>
      <w:pPr>
        <w:ind w:left="520" w:hanging="279"/>
        <w:jc w:val="right"/>
      </w:pPr>
      <w:rPr>
        <w:rFonts w:hint="default" w:ascii="Times New Roman" w:hAnsi="Times New Roman" w:eastAsia="Times New Roman" w:cs="Times New Roman"/>
        <w:color w:val="231F20"/>
        <w:w w:val="101"/>
        <w:sz w:val="21"/>
        <w:szCs w:val="21"/>
      </w:rPr>
    </w:lvl>
    <w:lvl w:ilvl="3">
      <w:start w:val="1"/>
      <w:numFmt w:val="bullet"/>
      <w:lvlText w:val="•"/>
      <w:lvlJc w:val="left"/>
      <w:pPr>
        <w:ind w:left="2172" w:hanging="279"/>
      </w:pPr>
      <w:rPr>
        <w:rFonts w:hint="default"/>
      </w:rPr>
    </w:lvl>
    <w:lvl w:ilvl="4">
      <w:start w:val="1"/>
      <w:numFmt w:val="bullet"/>
      <w:lvlText w:val="•"/>
      <w:lvlJc w:val="left"/>
      <w:pPr>
        <w:ind w:left="2999" w:hanging="279"/>
      </w:pPr>
      <w:rPr>
        <w:rFonts w:hint="default"/>
      </w:rPr>
    </w:lvl>
    <w:lvl w:ilvl="5">
      <w:start w:val="1"/>
      <w:numFmt w:val="bullet"/>
      <w:lvlText w:val="•"/>
      <w:lvlJc w:val="left"/>
      <w:pPr>
        <w:ind w:left="3825" w:hanging="279"/>
      </w:pPr>
      <w:rPr>
        <w:rFonts w:hint="default"/>
      </w:rPr>
    </w:lvl>
    <w:lvl w:ilvl="6">
      <w:start w:val="1"/>
      <w:numFmt w:val="bullet"/>
      <w:lvlText w:val="•"/>
      <w:lvlJc w:val="left"/>
      <w:pPr>
        <w:ind w:left="4652" w:hanging="279"/>
      </w:pPr>
      <w:rPr>
        <w:rFonts w:hint="default"/>
      </w:rPr>
    </w:lvl>
    <w:lvl w:ilvl="7">
      <w:start w:val="1"/>
      <w:numFmt w:val="bullet"/>
      <w:lvlText w:val="•"/>
      <w:lvlJc w:val="left"/>
      <w:pPr>
        <w:ind w:left="5478" w:hanging="279"/>
      </w:pPr>
      <w:rPr>
        <w:rFonts w:hint="default"/>
      </w:rPr>
    </w:lvl>
    <w:lvl w:ilvl="8">
      <w:start w:val="1"/>
      <w:numFmt w:val="bullet"/>
      <w:lvlText w:val="•"/>
      <w:lvlJc w:val="left"/>
      <w:pPr>
        <w:ind w:left="6304" w:hanging="279"/>
      </w:pPr>
      <w:rPr>
        <w:rFonts w:hint="default"/>
      </w:rPr>
    </w:lvl>
  </w:abstractNum>
  <w:abstractNum w:abstractNumId="14">
    <w:multiLevelType w:val="hybridMultilevel"/>
    <w:lvl w:ilvl="0">
      <w:start w:val="2"/>
      <w:numFmt w:val="decimal"/>
      <w:lvlText w:val="%1"/>
      <w:lvlJc w:val="left"/>
      <w:pPr>
        <w:ind w:left="1067" w:hanging="414"/>
        <w:jc w:val="left"/>
      </w:pPr>
      <w:rPr>
        <w:rFonts w:hint="default"/>
      </w:rPr>
    </w:lvl>
    <w:lvl w:ilvl="1">
      <w:start w:val="2"/>
      <w:numFmt w:val="decimal"/>
      <w:lvlText w:val="%1.%2."/>
      <w:lvlJc w:val="left"/>
      <w:pPr>
        <w:ind w:left="1067" w:hanging="414"/>
        <w:jc w:val="right"/>
      </w:pPr>
      <w:rPr>
        <w:rFonts w:hint="default" w:ascii="Palatino Linotype" w:hAnsi="Palatino Linotype" w:eastAsia="Palatino Linotype" w:cs="Palatino Linotype"/>
        <w:b/>
        <w:bCs/>
        <w:color w:val="231F20"/>
        <w:w w:val="100"/>
        <w:sz w:val="24"/>
        <w:szCs w:val="24"/>
      </w:rPr>
    </w:lvl>
    <w:lvl w:ilvl="2">
      <w:start w:val="1"/>
      <w:numFmt w:val="decimal"/>
      <w:lvlText w:val="%1.%2.%3."/>
      <w:lvlJc w:val="left"/>
      <w:pPr>
        <w:ind w:left="1174" w:hanging="521"/>
        <w:jc w:val="right"/>
      </w:pPr>
      <w:rPr>
        <w:rFonts w:hint="default"/>
        <w:b/>
        <w:bCs/>
        <w:w w:val="100"/>
      </w:rPr>
    </w:lvl>
    <w:lvl w:ilvl="3">
      <w:start w:val="1"/>
      <w:numFmt w:val="bullet"/>
      <w:lvlText w:val="•"/>
      <w:lvlJc w:val="left"/>
      <w:pPr>
        <w:ind w:left="2686" w:hanging="521"/>
      </w:pPr>
      <w:rPr>
        <w:rFonts w:hint="default"/>
      </w:rPr>
    </w:lvl>
    <w:lvl w:ilvl="4">
      <w:start w:val="1"/>
      <w:numFmt w:val="bullet"/>
      <w:lvlText w:val="•"/>
      <w:lvlJc w:val="left"/>
      <w:pPr>
        <w:ind w:left="3439" w:hanging="521"/>
      </w:pPr>
      <w:rPr>
        <w:rFonts w:hint="default"/>
      </w:rPr>
    </w:lvl>
    <w:lvl w:ilvl="5">
      <w:start w:val="1"/>
      <w:numFmt w:val="bullet"/>
      <w:lvlText w:val="•"/>
      <w:lvlJc w:val="left"/>
      <w:pPr>
        <w:ind w:left="4192" w:hanging="521"/>
      </w:pPr>
      <w:rPr>
        <w:rFonts w:hint="default"/>
      </w:rPr>
    </w:lvl>
    <w:lvl w:ilvl="6">
      <w:start w:val="1"/>
      <w:numFmt w:val="bullet"/>
      <w:lvlText w:val="•"/>
      <w:lvlJc w:val="left"/>
      <w:pPr>
        <w:ind w:left="4945" w:hanging="521"/>
      </w:pPr>
      <w:rPr>
        <w:rFonts w:hint="default"/>
      </w:rPr>
    </w:lvl>
    <w:lvl w:ilvl="7">
      <w:start w:val="1"/>
      <w:numFmt w:val="bullet"/>
      <w:lvlText w:val="•"/>
      <w:lvlJc w:val="left"/>
      <w:pPr>
        <w:ind w:left="5698" w:hanging="521"/>
      </w:pPr>
      <w:rPr>
        <w:rFonts w:hint="default"/>
      </w:rPr>
    </w:lvl>
    <w:lvl w:ilvl="8">
      <w:start w:val="1"/>
      <w:numFmt w:val="bullet"/>
      <w:lvlText w:val="•"/>
      <w:lvlJc w:val="left"/>
      <w:pPr>
        <w:ind w:left="6451" w:hanging="521"/>
      </w:pPr>
      <w:rPr>
        <w:rFonts w:hint="default"/>
      </w:rPr>
    </w:lvl>
  </w:abstractNum>
  <w:abstractNum w:abstractNumId="13">
    <w:multiLevelType w:val="hybridMultilevel"/>
    <w:lvl w:ilvl="0">
      <w:start w:val="1"/>
      <w:numFmt w:val="lowerLetter"/>
      <w:lvlText w:val="%1)"/>
      <w:lvlJc w:val="left"/>
      <w:pPr>
        <w:ind w:left="500" w:hanging="279"/>
        <w:jc w:val="left"/>
      </w:pPr>
      <w:rPr>
        <w:rFonts w:hint="default" w:ascii="Times New Roman" w:hAnsi="Times New Roman" w:eastAsia="Times New Roman" w:cs="Times New Roman"/>
        <w:color w:val="231F20"/>
        <w:w w:val="101"/>
        <w:sz w:val="21"/>
        <w:szCs w:val="21"/>
      </w:rPr>
    </w:lvl>
    <w:lvl w:ilvl="1">
      <w:start w:val="1"/>
      <w:numFmt w:val="bullet"/>
      <w:lvlText w:val="•"/>
      <w:lvlJc w:val="left"/>
      <w:pPr>
        <w:ind w:left="1245" w:hanging="279"/>
      </w:pPr>
      <w:rPr>
        <w:rFonts w:hint="default"/>
      </w:rPr>
    </w:lvl>
    <w:lvl w:ilvl="2">
      <w:start w:val="1"/>
      <w:numFmt w:val="bullet"/>
      <w:lvlText w:val="•"/>
      <w:lvlJc w:val="left"/>
      <w:pPr>
        <w:ind w:left="1991" w:hanging="279"/>
      </w:pPr>
      <w:rPr>
        <w:rFonts w:hint="default"/>
      </w:rPr>
    </w:lvl>
    <w:lvl w:ilvl="3">
      <w:start w:val="1"/>
      <w:numFmt w:val="bullet"/>
      <w:lvlText w:val="•"/>
      <w:lvlJc w:val="left"/>
      <w:pPr>
        <w:ind w:left="2737" w:hanging="279"/>
      </w:pPr>
      <w:rPr>
        <w:rFonts w:hint="default"/>
      </w:rPr>
    </w:lvl>
    <w:lvl w:ilvl="4">
      <w:start w:val="1"/>
      <w:numFmt w:val="bullet"/>
      <w:lvlText w:val="•"/>
      <w:lvlJc w:val="left"/>
      <w:pPr>
        <w:ind w:left="3483" w:hanging="279"/>
      </w:pPr>
      <w:rPr>
        <w:rFonts w:hint="default"/>
      </w:rPr>
    </w:lvl>
    <w:lvl w:ilvl="5">
      <w:start w:val="1"/>
      <w:numFmt w:val="bullet"/>
      <w:lvlText w:val="•"/>
      <w:lvlJc w:val="left"/>
      <w:pPr>
        <w:ind w:left="4228" w:hanging="279"/>
      </w:pPr>
      <w:rPr>
        <w:rFonts w:hint="default"/>
      </w:rPr>
    </w:lvl>
    <w:lvl w:ilvl="6">
      <w:start w:val="1"/>
      <w:numFmt w:val="bullet"/>
      <w:lvlText w:val="•"/>
      <w:lvlJc w:val="left"/>
      <w:pPr>
        <w:ind w:left="4974" w:hanging="279"/>
      </w:pPr>
      <w:rPr>
        <w:rFonts w:hint="default"/>
      </w:rPr>
    </w:lvl>
    <w:lvl w:ilvl="7">
      <w:start w:val="1"/>
      <w:numFmt w:val="bullet"/>
      <w:lvlText w:val="•"/>
      <w:lvlJc w:val="left"/>
      <w:pPr>
        <w:ind w:left="5720" w:hanging="279"/>
      </w:pPr>
      <w:rPr>
        <w:rFonts w:hint="default"/>
      </w:rPr>
    </w:lvl>
    <w:lvl w:ilvl="8">
      <w:start w:val="1"/>
      <w:numFmt w:val="bullet"/>
      <w:lvlText w:val="•"/>
      <w:lvlJc w:val="left"/>
      <w:pPr>
        <w:ind w:left="6466" w:hanging="279"/>
      </w:pPr>
      <w:rPr>
        <w:rFonts w:hint="default"/>
      </w:rPr>
    </w:lvl>
  </w:abstractNum>
  <w:abstractNum w:abstractNumId="12">
    <w:multiLevelType w:val="hybridMultilevel"/>
    <w:lvl w:ilvl="0">
      <w:start w:val="1"/>
      <w:numFmt w:val="lowerLetter"/>
      <w:lvlText w:val="%1)"/>
      <w:lvlJc w:val="left"/>
      <w:pPr>
        <w:ind w:left="823" w:hanging="324"/>
        <w:jc w:val="left"/>
      </w:pPr>
      <w:rPr>
        <w:rFonts w:hint="default" w:ascii="Times New Roman" w:hAnsi="Times New Roman" w:eastAsia="Times New Roman" w:cs="Times New Roman"/>
        <w:color w:val="231F20"/>
        <w:w w:val="101"/>
        <w:sz w:val="21"/>
        <w:szCs w:val="21"/>
      </w:rPr>
    </w:lvl>
    <w:lvl w:ilvl="1">
      <w:start w:val="1"/>
      <w:numFmt w:val="lowerLetter"/>
      <w:lvlText w:val="%2)"/>
      <w:lvlJc w:val="left"/>
      <w:pPr>
        <w:ind w:left="1050" w:hanging="279"/>
        <w:jc w:val="left"/>
      </w:pPr>
      <w:rPr>
        <w:rFonts w:hint="default" w:ascii="Times New Roman" w:hAnsi="Times New Roman" w:eastAsia="Times New Roman" w:cs="Times New Roman"/>
        <w:color w:val="231F20"/>
        <w:w w:val="101"/>
        <w:sz w:val="21"/>
        <w:szCs w:val="21"/>
      </w:rPr>
    </w:lvl>
    <w:lvl w:ilvl="2">
      <w:start w:val="1"/>
      <w:numFmt w:val="bullet"/>
      <w:lvlText w:val="•"/>
      <w:lvlJc w:val="left"/>
      <w:pPr>
        <w:ind w:left="1746" w:hanging="279"/>
      </w:pPr>
      <w:rPr>
        <w:rFonts w:hint="default"/>
      </w:rPr>
    </w:lvl>
    <w:lvl w:ilvl="3">
      <w:start w:val="1"/>
      <w:numFmt w:val="bullet"/>
      <w:lvlText w:val="•"/>
      <w:lvlJc w:val="left"/>
      <w:pPr>
        <w:ind w:left="2432" w:hanging="279"/>
      </w:pPr>
      <w:rPr>
        <w:rFonts w:hint="default"/>
      </w:rPr>
    </w:lvl>
    <w:lvl w:ilvl="4">
      <w:start w:val="1"/>
      <w:numFmt w:val="bullet"/>
      <w:lvlText w:val="•"/>
      <w:lvlJc w:val="left"/>
      <w:pPr>
        <w:ind w:left="3119" w:hanging="279"/>
      </w:pPr>
      <w:rPr>
        <w:rFonts w:hint="default"/>
      </w:rPr>
    </w:lvl>
    <w:lvl w:ilvl="5">
      <w:start w:val="1"/>
      <w:numFmt w:val="bullet"/>
      <w:lvlText w:val="•"/>
      <w:lvlJc w:val="left"/>
      <w:pPr>
        <w:ind w:left="3805" w:hanging="279"/>
      </w:pPr>
      <w:rPr>
        <w:rFonts w:hint="default"/>
      </w:rPr>
    </w:lvl>
    <w:lvl w:ilvl="6">
      <w:start w:val="1"/>
      <w:numFmt w:val="bullet"/>
      <w:lvlText w:val="•"/>
      <w:lvlJc w:val="left"/>
      <w:pPr>
        <w:ind w:left="4492" w:hanging="279"/>
      </w:pPr>
      <w:rPr>
        <w:rFonts w:hint="default"/>
      </w:rPr>
    </w:lvl>
    <w:lvl w:ilvl="7">
      <w:start w:val="1"/>
      <w:numFmt w:val="bullet"/>
      <w:lvlText w:val="•"/>
      <w:lvlJc w:val="left"/>
      <w:pPr>
        <w:ind w:left="5178" w:hanging="279"/>
      </w:pPr>
      <w:rPr>
        <w:rFonts w:hint="default"/>
      </w:rPr>
    </w:lvl>
    <w:lvl w:ilvl="8">
      <w:start w:val="1"/>
      <w:numFmt w:val="bullet"/>
      <w:lvlText w:val="•"/>
      <w:lvlJc w:val="left"/>
      <w:pPr>
        <w:ind w:left="5864" w:hanging="279"/>
      </w:pPr>
      <w:rPr>
        <w:rFonts w:hint="default"/>
      </w:rPr>
    </w:lvl>
  </w:abstractNum>
  <w:abstractNum w:abstractNumId="11">
    <w:multiLevelType w:val="hybridMultilevel"/>
    <w:lvl w:ilvl="0">
      <w:start w:val="2"/>
      <w:numFmt w:val="decimal"/>
      <w:lvlText w:val="%1"/>
      <w:lvlJc w:val="left"/>
      <w:pPr>
        <w:ind w:left="1067" w:hanging="414"/>
        <w:jc w:val="left"/>
      </w:pPr>
      <w:rPr>
        <w:rFonts w:hint="default"/>
      </w:rPr>
    </w:lvl>
    <w:lvl w:ilvl="1">
      <w:start w:val="1"/>
      <w:numFmt w:val="decimal"/>
      <w:lvlText w:val="%1.%2."/>
      <w:lvlJc w:val="left"/>
      <w:pPr>
        <w:ind w:left="1067" w:hanging="414"/>
        <w:jc w:val="left"/>
      </w:pPr>
      <w:rPr>
        <w:rFonts w:hint="default" w:ascii="Palatino Linotype" w:hAnsi="Palatino Linotype" w:eastAsia="Palatino Linotype" w:cs="Palatino Linotype"/>
        <w:b/>
        <w:bCs/>
        <w:color w:val="231F20"/>
        <w:w w:val="100"/>
        <w:sz w:val="24"/>
        <w:szCs w:val="24"/>
      </w:rPr>
    </w:lvl>
    <w:lvl w:ilvl="2">
      <w:start w:val="1"/>
      <w:numFmt w:val="decimal"/>
      <w:lvlText w:val="%1.%2.%3."/>
      <w:lvlJc w:val="left"/>
      <w:pPr>
        <w:ind w:left="1174" w:hanging="521"/>
        <w:jc w:val="right"/>
      </w:pPr>
      <w:rPr>
        <w:rFonts w:hint="default" w:ascii="Palatino Linotype" w:hAnsi="Palatino Linotype" w:eastAsia="Palatino Linotype" w:cs="Palatino Linotype"/>
        <w:b/>
        <w:bCs/>
        <w:color w:val="231F20"/>
        <w:w w:val="100"/>
        <w:sz w:val="21"/>
        <w:szCs w:val="21"/>
      </w:rPr>
    </w:lvl>
    <w:lvl w:ilvl="3">
      <w:start w:val="1"/>
      <w:numFmt w:val="bullet"/>
      <w:lvlText w:val="•"/>
      <w:lvlJc w:val="left"/>
      <w:pPr>
        <w:ind w:left="2686" w:hanging="521"/>
      </w:pPr>
      <w:rPr>
        <w:rFonts w:hint="default"/>
      </w:rPr>
    </w:lvl>
    <w:lvl w:ilvl="4">
      <w:start w:val="1"/>
      <w:numFmt w:val="bullet"/>
      <w:lvlText w:val="•"/>
      <w:lvlJc w:val="left"/>
      <w:pPr>
        <w:ind w:left="3439" w:hanging="521"/>
      </w:pPr>
      <w:rPr>
        <w:rFonts w:hint="default"/>
      </w:rPr>
    </w:lvl>
    <w:lvl w:ilvl="5">
      <w:start w:val="1"/>
      <w:numFmt w:val="bullet"/>
      <w:lvlText w:val="•"/>
      <w:lvlJc w:val="left"/>
      <w:pPr>
        <w:ind w:left="4192" w:hanging="521"/>
      </w:pPr>
      <w:rPr>
        <w:rFonts w:hint="default"/>
      </w:rPr>
    </w:lvl>
    <w:lvl w:ilvl="6">
      <w:start w:val="1"/>
      <w:numFmt w:val="bullet"/>
      <w:lvlText w:val="•"/>
      <w:lvlJc w:val="left"/>
      <w:pPr>
        <w:ind w:left="4945" w:hanging="521"/>
      </w:pPr>
      <w:rPr>
        <w:rFonts w:hint="default"/>
      </w:rPr>
    </w:lvl>
    <w:lvl w:ilvl="7">
      <w:start w:val="1"/>
      <w:numFmt w:val="bullet"/>
      <w:lvlText w:val="•"/>
      <w:lvlJc w:val="left"/>
      <w:pPr>
        <w:ind w:left="5698" w:hanging="521"/>
      </w:pPr>
      <w:rPr>
        <w:rFonts w:hint="default"/>
      </w:rPr>
    </w:lvl>
    <w:lvl w:ilvl="8">
      <w:start w:val="1"/>
      <w:numFmt w:val="bullet"/>
      <w:lvlText w:val="•"/>
      <w:lvlJc w:val="left"/>
      <w:pPr>
        <w:ind w:left="6451" w:hanging="521"/>
      </w:pPr>
      <w:rPr>
        <w:rFonts w:hint="default"/>
      </w:rPr>
    </w:lvl>
  </w:abstractNum>
  <w:abstractNum w:abstractNumId="10">
    <w:multiLevelType w:val="hybridMultilevel"/>
    <w:lvl w:ilvl="0">
      <w:start w:val="1"/>
      <w:numFmt w:val="lowerLetter"/>
      <w:lvlText w:val="%1)"/>
      <w:lvlJc w:val="left"/>
      <w:pPr>
        <w:ind w:left="500" w:hanging="279"/>
        <w:jc w:val="right"/>
      </w:pPr>
      <w:rPr>
        <w:rFonts w:hint="default" w:ascii="Times New Roman" w:hAnsi="Times New Roman" w:eastAsia="Times New Roman" w:cs="Times New Roman"/>
        <w:color w:val="231F20"/>
        <w:w w:val="101"/>
        <w:sz w:val="21"/>
        <w:szCs w:val="21"/>
      </w:rPr>
    </w:lvl>
    <w:lvl w:ilvl="1">
      <w:start w:val="1"/>
      <w:numFmt w:val="bullet"/>
      <w:lvlText w:val="•"/>
      <w:lvlJc w:val="left"/>
      <w:pPr>
        <w:ind w:left="1245" w:hanging="279"/>
      </w:pPr>
      <w:rPr>
        <w:rFonts w:hint="default"/>
      </w:rPr>
    </w:lvl>
    <w:lvl w:ilvl="2">
      <w:start w:val="1"/>
      <w:numFmt w:val="bullet"/>
      <w:lvlText w:val="•"/>
      <w:lvlJc w:val="left"/>
      <w:pPr>
        <w:ind w:left="1991" w:hanging="279"/>
      </w:pPr>
      <w:rPr>
        <w:rFonts w:hint="default"/>
      </w:rPr>
    </w:lvl>
    <w:lvl w:ilvl="3">
      <w:start w:val="1"/>
      <w:numFmt w:val="bullet"/>
      <w:lvlText w:val="•"/>
      <w:lvlJc w:val="left"/>
      <w:pPr>
        <w:ind w:left="2737" w:hanging="279"/>
      </w:pPr>
      <w:rPr>
        <w:rFonts w:hint="default"/>
      </w:rPr>
    </w:lvl>
    <w:lvl w:ilvl="4">
      <w:start w:val="1"/>
      <w:numFmt w:val="bullet"/>
      <w:lvlText w:val="•"/>
      <w:lvlJc w:val="left"/>
      <w:pPr>
        <w:ind w:left="3483" w:hanging="279"/>
      </w:pPr>
      <w:rPr>
        <w:rFonts w:hint="default"/>
      </w:rPr>
    </w:lvl>
    <w:lvl w:ilvl="5">
      <w:start w:val="1"/>
      <w:numFmt w:val="bullet"/>
      <w:lvlText w:val="•"/>
      <w:lvlJc w:val="left"/>
      <w:pPr>
        <w:ind w:left="4228" w:hanging="279"/>
      </w:pPr>
      <w:rPr>
        <w:rFonts w:hint="default"/>
      </w:rPr>
    </w:lvl>
    <w:lvl w:ilvl="6">
      <w:start w:val="1"/>
      <w:numFmt w:val="bullet"/>
      <w:lvlText w:val="•"/>
      <w:lvlJc w:val="left"/>
      <w:pPr>
        <w:ind w:left="4974" w:hanging="279"/>
      </w:pPr>
      <w:rPr>
        <w:rFonts w:hint="default"/>
      </w:rPr>
    </w:lvl>
    <w:lvl w:ilvl="7">
      <w:start w:val="1"/>
      <w:numFmt w:val="bullet"/>
      <w:lvlText w:val="•"/>
      <w:lvlJc w:val="left"/>
      <w:pPr>
        <w:ind w:left="5720" w:hanging="279"/>
      </w:pPr>
      <w:rPr>
        <w:rFonts w:hint="default"/>
      </w:rPr>
    </w:lvl>
    <w:lvl w:ilvl="8">
      <w:start w:val="1"/>
      <w:numFmt w:val="bullet"/>
      <w:lvlText w:val="•"/>
      <w:lvlJc w:val="left"/>
      <w:pPr>
        <w:ind w:left="6466" w:hanging="279"/>
      </w:pPr>
      <w:rPr>
        <w:rFonts w:hint="default"/>
      </w:rPr>
    </w:lvl>
  </w:abstractNum>
  <w:abstractNum w:abstractNumId="9">
    <w:multiLevelType w:val="hybridMultilevel"/>
    <w:lvl w:ilvl="0">
      <w:start w:val="1"/>
      <w:numFmt w:val="decimal"/>
      <w:lvlText w:val="%1"/>
      <w:lvlJc w:val="left"/>
      <w:pPr>
        <w:ind w:left="537" w:hanging="414"/>
        <w:jc w:val="left"/>
      </w:pPr>
      <w:rPr>
        <w:rFonts w:hint="default"/>
      </w:rPr>
    </w:lvl>
    <w:lvl w:ilvl="1">
      <w:start w:val="1"/>
      <w:numFmt w:val="decimal"/>
      <w:lvlText w:val="%1.%2."/>
      <w:lvlJc w:val="left"/>
      <w:pPr>
        <w:ind w:left="537" w:hanging="414"/>
        <w:jc w:val="right"/>
      </w:pPr>
      <w:rPr>
        <w:rFonts w:hint="default" w:ascii="Palatino Linotype" w:hAnsi="Palatino Linotype" w:eastAsia="Palatino Linotype" w:cs="Palatino Linotype"/>
        <w:b/>
        <w:bCs/>
        <w:color w:val="231F20"/>
        <w:w w:val="100"/>
        <w:sz w:val="24"/>
        <w:szCs w:val="24"/>
      </w:rPr>
    </w:lvl>
    <w:lvl w:ilvl="2">
      <w:start w:val="1"/>
      <w:numFmt w:val="lowerLetter"/>
      <w:lvlText w:val="%3)"/>
      <w:lvlJc w:val="left"/>
      <w:pPr>
        <w:ind w:left="500" w:hanging="279"/>
        <w:jc w:val="right"/>
      </w:pPr>
      <w:rPr>
        <w:rFonts w:hint="default" w:ascii="Times New Roman" w:hAnsi="Times New Roman" w:eastAsia="Times New Roman" w:cs="Times New Roman"/>
        <w:color w:val="231F20"/>
        <w:w w:val="101"/>
        <w:sz w:val="21"/>
        <w:szCs w:val="21"/>
      </w:rPr>
    </w:lvl>
    <w:lvl w:ilvl="3">
      <w:start w:val="1"/>
      <w:numFmt w:val="bullet"/>
      <w:lvlText w:val="•"/>
      <w:lvlJc w:val="left"/>
      <w:pPr>
        <w:ind w:left="1832" w:hanging="279"/>
      </w:pPr>
      <w:rPr>
        <w:rFonts w:hint="default"/>
      </w:rPr>
    </w:lvl>
    <w:lvl w:ilvl="4">
      <w:start w:val="1"/>
      <w:numFmt w:val="bullet"/>
      <w:lvlText w:val="•"/>
      <w:lvlJc w:val="left"/>
      <w:pPr>
        <w:ind w:left="2604" w:hanging="279"/>
      </w:pPr>
      <w:rPr>
        <w:rFonts w:hint="default"/>
      </w:rPr>
    </w:lvl>
    <w:lvl w:ilvl="5">
      <w:start w:val="1"/>
      <w:numFmt w:val="bullet"/>
      <w:lvlText w:val="•"/>
      <w:lvlJc w:val="left"/>
      <w:pPr>
        <w:ind w:left="3376" w:hanging="279"/>
      </w:pPr>
      <w:rPr>
        <w:rFonts w:hint="default"/>
      </w:rPr>
    </w:lvl>
    <w:lvl w:ilvl="6">
      <w:start w:val="1"/>
      <w:numFmt w:val="bullet"/>
      <w:lvlText w:val="•"/>
      <w:lvlJc w:val="left"/>
      <w:pPr>
        <w:ind w:left="4148" w:hanging="279"/>
      </w:pPr>
      <w:rPr>
        <w:rFonts w:hint="default"/>
      </w:rPr>
    </w:lvl>
    <w:lvl w:ilvl="7">
      <w:start w:val="1"/>
      <w:numFmt w:val="bullet"/>
      <w:lvlText w:val="•"/>
      <w:lvlJc w:val="left"/>
      <w:pPr>
        <w:ind w:left="4921" w:hanging="279"/>
      </w:pPr>
      <w:rPr>
        <w:rFonts w:hint="default"/>
      </w:rPr>
    </w:lvl>
    <w:lvl w:ilvl="8">
      <w:start w:val="1"/>
      <w:numFmt w:val="bullet"/>
      <w:lvlText w:val="•"/>
      <w:lvlJc w:val="left"/>
      <w:pPr>
        <w:ind w:left="5693" w:hanging="279"/>
      </w:pPr>
      <w:rPr>
        <w:rFonts w:hint="default"/>
      </w:rPr>
    </w:lvl>
  </w:abstractNum>
  <w:abstractNum w:abstractNumId="8">
    <w:multiLevelType w:val="hybridMultilevel"/>
    <w:lvl w:ilvl="0">
      <w:start w:val="1"/>
      <w:numFmt w:val="lowerLetter"/>
      <w:lvlText w:val="%1)"/>
      <w:lvlJc w:val="left"/>
      <w:pPr>
        <w:ind w:left="113" w:hanging="207"/>
        <w:jc w:val="left"/>
      </w:pPr>
      <w:rPr>
        <w:rFonts w:hint="default" w:ascii="Times New Roman" w:hAnsi="Times New Roman" w:eastAsia="Times New Roman" w:cs="Times New Roman"/>
        <w:color w:val="231F20"/>
        <w:spacing w:val="-3"/>
        <w:w w:val="101"/>
        <w:sz w:val="21"/>
        <w:szCs w:val="21"/>
      </w:rPr>
    </w:lvl>
    <w:lvl w:ilvl="1">
      <w:start w:val="1"/>
      <w:numFmt w:val="bullet"/>
      <w:lvlText w:val="•"/>
      <w:lvlJc w:val="left"/>
      <w:pPr>
        <w:ind w:left="847" w:hanging="207"/>
      </w:pPr>
      <w:rPr>
        <w:rFonts w:hint="default"/>
      </w:rPr>
    </w:lvl>
    <w:lvl w:ilvl="2">
      <w:start w:val="1"/>
      <w:numFmt w:val="bullet"/>
      <w:lvlText w:val="•"/>
      <w:lvlJc w:val="left"/>
      <w:pPr>
        <w:ind w:left="1575" w:hanging="207"/>
      </w:pPr>
      <w:rPr>
        <w:rFonts w:hint="default"/>
      </w:rPr>
    </w:lvl>
    <w:lvl w:ilvl="3">
      <w:start w:val="1"/>
      <w:numFmt w:val="bullet"/>
      <w:lvlText w:val="•"/>
      <w:lvlJc w:val="left"/>
      <w:pPr>
        <w:ind w:left="2303" w:hanging="207"/>
      </w:pPr>
      <w:rPr>
        <w:rFonts w:hint="default"/>
      </w:rPr>
    </w:lvl>
    <w:lvl w:ilvl="4">
      <w:start w:val="1"/>
      <w:numFmt w:val="bullet"/>
      <w:lvlText w:val="•"/>
      <w:lvlJc w:val="left"/>
      <w:pPr>
        <w:ind w:left="3031" w:hanging="207"/>
      </w:pPr>
      <w:rPr>
        <w:rFonts w:hint="default"/>
      </w:rPr>
    </w:lvl>
    <w:lvl w:ilvl="5">
      <w:start w:val="1"/>
      <w:numFmt w:val="bullet"/>
      <w:lvlText w:val="•"/>
      <w:lvlJc w:val="left"/>
      <w:pPr>
        <w:ind w:left="3758" w:hanging="207"/>
      </w:pPr>
      <w:rPr>
        <w:rFonts w:hint="default"/>
      </w:rPr>
    </w:lvl>
    <w:lvl w:ilvl="6">
      <w:start w:val="1"/>
      <w:numFmt w:val="bullet"/>
      <w:lvlText w:val="•"/>
      <w:lvlJc w:val="left"/>
      <w:pPr>
        <w:ind w:left="4486" w:hanging="207"/>
      </w:pPr>
      <w:rPr>
        <w:rFonts w:hint="default"/>
      </w:rPr>
    </w:lvl>
    <w:lvl w:ilvl="7">
      <w:start w:val="1"/>
      <w:numFmt w:val="bullet"/>
      <w:lvlText w:val="•"/>
      <w:lvlJc w:val="left"/>
      <w:pPr>
        <w:ind w:left="5214" w:hanging="207"/>
      </w:pPr>
      <w:rPr>
        <w:rFonts w:hint="default"/>
      </w:rPr>
    </w:lvl>
    <w:lvl w:ilvl="8">
      <w:start w:val="1"/>
      <w:numFmt w:val="bullet"/>
      <w:lvlText w:val="•"/>
      <w:lvlJc w:val="left"/>
      <w:pPr>
        <w:ind w:left="5942" w:hanging="207"/>
      </w:pPr>
      <w:rPr>
        <w:rFonts w:hint="default"/>
      </w:rPr>
    </w:lvl>
  </w:abstractNum>
  <w:abstractNum w:abstractNumId="7">
    <w:multiLevelType w:val="hybridMultilevel"/>
    <w:lvl w:ilvl="0">
      <w:start w:val="1"/>
      <w:numFmt w:val="lowerLetter"/>
      <w:lvlText w:val="%1)"/>
      <w:lvlJc w:val="left"/>
      <w:pPr>
        <w:ind w:left="113" w:hanging="207"/>
        <w:jc w:val="left"/>
      </w:pPr>
      <w:rPr>
        <w:rFonts w:hint="default" w:ascii="Times New Roman" w:hAnsi="Times New Roman" w:eastAsia="Times New Roman" w:cs="Times New Roman"/>
        <w:color w:val="231F20"/>
        <w:spacing w:val="-3"/>
        <w:w w:val="101"/>
        <w:sz w:val="21"/>
        <w:szCs w:val="21"/>
      </w:rPr>
    </w:lvl>
    <w:lvl w:ilvl="1">
      <w:start w:val="1"/>
      <w:numFmt w:val="bullet"/>
      <w:lvlText w:val="•"/>
      <w:lvlJc w:val="left"/>
      <w:pPr>
        <w:ind w:left="847" w:hanging="207"/>
      </w:pPr>
      <w:rPr>
        <w:rFonts w:hint="default"/>
      </w:rPr>
    </w:lvl>
    <w:lvl w:ilvl="2">
      <w:start w:val="1"/>
      <w:numFmt w:val="bullet"/>
      <w:lvlText w:val="•"/>
      <w:lvlJc w:val="left"/>
      <w:pPr>
        <w:ind w:left="1575" w:hanging="207"/>
      </w:pPr>
      <w:rPr>
        <w:rFonts w:hint="default"/>
      </w:rPr>
    </w:lvl>
    <w:lvl w:ilvl="3">
      <w:start w:val="1"/>
      <w:numFmt w:val="bullet"/>
      <w:lvlText w:val="•"/>
      <w:lvlJc w:val="left"/>
      <w:pPr>
        <w:ind w:left="2303" w:hanging="207"/>
      </w:pPr>
      <w:rPr>
        <w:rFonts w:hint="default"/>
      </w:rPr>
    </w:lvl>
    <w:lvl w:ilvl="4">
      <w:start w:val="1"/>
      <w:numFmt w:val="bullet"/>
      <w:lvlText w:val="•"/>
      <w:lvlJc w:val="left"/>
      <w:pPr>
        <w:ind w:left="3031" w:hanging="207"/>
      </w:pPr>
      <w:rPr>
        <w:rFonts w:hint="default"/>
      </w:rPr>
    </w:lvl>
    <w:lvl w:ilvl="5">
      <w:start w:val="1"/>
      <w:numFmt w:val="bullet"/>
      <w:lvlText w:val="•"/>
      <w:lvlJc w:val="left"/>
      <w:pPr>
        <w:ind w:left="3758" w:hanging="207"/>
      </w:pPr>
      <w:rPr>
        <w:rFonts w:hint="default"/>
      </w:rPr>
    </w:lvl>
    <w:lvl w:ilvl="6">
      <w:start w:val="1"/>
      <w:numFmt w:val="bullet"/>
      <w:lvlText w:val="•"/>
      <w:lvlJc w:val="left"/>
      <w:pPr>
        <w:ind w:left="4486" w:hanging="207"/>
      </w:pPr>
      <w:rPr>
        <w:rFonts w:hint="default"/>
      </w:rPr>
    </w:lvl>
    <w:lvl w:ilvl="7">
      <w:start w:val="1"/>
      <w:numFmt w:val="bullet"/>
      <w:lvlText w:val="•"/>
      <w:lvlJc w:val="left"/>
      <w:pPr>
        <w:ind w:left="5214" w:hanging="207"/>
      </w:pPr>
      <w:rPr>
        <w:rFonts w:hint="default"/>
      </w:rPr>
    </w:lvl>
    <w:lvl w:ilvl="8">
      <w:start w:val="1"/>
      <w:numFmt w:val="bullet"/>
      <w:lvlText w:val="•"/>
      <w:lvlJc w:val="left"/>
      <w:pPr>
        <w:ind w:left="5942" w:hanging="207"/>
      </w:pPr>
      <w:rPr>
        <w:rFonts w:hint="default"/>
      </w:rPr>
    </w:lvl>
  </w:abstractNum>
  <w:abstractNum w:abstractNumId="6">
    <w:multiLevelType w:val="hybridMultilevel"/>
    <w:lvl w:ilvl="0">
      <w:start w:val="5"/>
      <w:numFmt w:val="decimal"/>
      <w:lvlText w:val="%1"/>
      <w:lvlJc w:val="left"/>
      <w:pPr>
        <w:ind w:left="1336" w:hanging="346"/>
        <w:jc w:val="left"/>
      </w:pPr>
      <w:rPr>
        <w:rFonts w:hint="default"/>
      </w:rPr>
    </w:lvl>
    <w:lvl w:ilvl="1">
      <w:start w:val="1"/>
      <w:numFmt w:val="decimal"/>
      <w:lvlText w:val="%1.%2."/>
      <w:lvlJc w:val="left"/>
      <w:pPr>
        <w:ind w:left="1336" w:hanging="346"/>
        <w:jc w:val="left"/>
      </w:pPr>
      <w:rPr>
        <w:rFonts w:hint="default" w:ascii="Times New Roman" w:hAnsi="Times New Roman" w:eastAsia="Times New Roman" w:cs="Times New Roman"/>
        <w:color w:val="231F20"/>
        <w:w w:val="94"/>
        <w:sz w:val="21"/>
        <w:szCs w:val="21"/>
      </w:rPr>
    </w:lvl>
    <w:lvl w:ilvl="2">
      <w:start w:val="1"/>
      <w:numFmt w:val="bullet"/>
      <w:lvlText w:val="•"/>
      <w:lvlJc w:val="left"/>
      <w:pPr>
        <w:ind w:left="2647" w:hanging="346"/>
      </w:pPr>
      <w:rPr>
        <w:rFonts w:hint="default"/>
      </w:rPr>
    </w:lvl>
    <w:lvl w:ilvl="3">
      <w:start w:val="1"/>
      <w:numFmt w:val="bullet"/>
      <w:lvlText w:val="•"/>
      <w:lvlJc w:val="left"/>
      <w:pPr>
        <w:ind w:left="3301" w:hanging="346"/>
      </w:pPr>
      <w:rPr>
        <w:rFonts w:hint="default"/>
      </w:rPr>
    </w:lvl>
    <w:lvl w:ilvl="4">
      <w:start w:val="1"/>
      <w:numFmt w:val="bullet"/>
      <w:lvlText w:val="•"/>
      <w:lvlJc w:val="left"/>
      <w:pPr>
        <w:ind w:left="3955" w:hanging="346"/>
      </w:pPr>
      <w:rPr>
        <w:rFonts w:hint="default"/>
      </w:rPr>
    </w:lvl>
    <w:lvl w:ilvl="5">
      <w:start w:val="1"/>
      <w:numFmt w:val="bullet"/>
      <w:lvlText w:val="•"/>
      <w:lvlJc w:val="left"/>
      <w:pPr>
        <w:ind w:left="4608" w:hanging="346"/>
      </w:pPr>
      <w:rPr>
        <w:rFonts w:hint="default"/>
      </w:rPr>
    </w:lvl>
    <w:lvl w:ilvl="6">
      <w:start w:val="1"/>
      <w:numFmt w:val="bullet"/>
      <w:lvlText w:val="•"/>
      <w:lvlJc w:val="left"/>
      <w:pPr>
        <w:ind w:left="5262" w:hanging="346"/>
      </w:pPr>
      <w:rPr>
        <w:rFonts w:hint="default"/>
      </w:rPr>
    </w:lvl>
    <w:lvl w:ilvl="7">
      <w:start w:val="1"/>
      <w:numFmt w:val="bullet"/>
      <w:lvlText w:val="•"/>
      <w:lvlJc w:val="left"/>
      <w:pPr>
        <w:ind w:left="5916" w:hanging="346"/>
      </w:pPr>
      <w:rPr>
        <w:rFonts w:hint="default"/>
      </w:rPr>
    </w:lvl>
    <w:lvl w:ilvl="8">
      <w:start w:val="1"/>
      <w:numFmt w:val="bullet"/>
      <w:lvlText w:val="•"/>
      <w:lvlJc w:val="left"/>
      <w:pPr>
        <w:ind w:left="6570" w:hanging="346"/>
      </w:pPr>
      <w:rPr>
        <w:rFonts w:hint="default"/>
      </w:rPr>
    </w:lvl>
  </w:abstractNum>
  <w:abstractNum w:abstractNumId="5">
    <w:multiLevelType w:val="hybridMultilevel"/>
    <w:lvl w:ilvl="0">
      <w:start w:val="4"/>
      <w:numFmt w:val="decimal"/>
      <w:lvlText w:val="%1"/>
      <w:lvlJc w:val="left"/>
      <w:pPr>
        <w:ind w:left="1337" w:hanging="346"/>
        <w:jc w:val="left"/>
      </w:pPr>
      <w:rPr>
        <w:rFonts w:hint="default"/>
      </w:rPr>
    </w:lvl>
    <w:lvl w:ilvl="1">
      <w:start w:val="1"/>
      <w:numFmt w:val="decimal"/>
      <w:lvlText w:val="%1.%2."/>
      <w:lvlJc w:val="left"/>
      <w:pPr>
        <w:ind w:left="1337" w:hanging="346"/>
        <w:jc w:val="left"/>
      </w:pPr>
      <w:rPr>
        <w:rFonts w:hint="default" w:ascii="Times New Roman" w:hAnsi="Times New Roman" w:eastAsia="Times New Roman" w:cs="Times New Roman"/>
        <w:color w:val="231F20"/>
        <w:w w:val="94"/>
        <w:sz w:val="21"/>
        <w:szCs w:val="21"/>
      </w:rPr>
    </w:lvl>
    <w:lvl w:ilvl="2">
      <w:start w:val="1"/>
      <w:numFmt w:val="decimal"/>
      <w:lvlText w:val="%1.%2.%3."/>
      <w:lvlJc w:val="left"/>
      <w:pPr>
        <w:ind w:left="1882" w:hanging="494"/>
        <w:jc w:val="left"/>
      </w:pPr>
      <w:rPr>
        <w:rFonts w:hint="default" w:ascii="Times New Roman" w:hAnsi="Times New Roman" w:eastAsia="Times New Roman" w:cs="Times New Roman"/>
        <w:color w:val="231F20"/>
        <w:w w:val="94"/>
        <w:sz w:val="21"/>
        <w:szCs w:val="21"/>
      </w:rPr>
    </w:lvl>
    <w:lvl w:ilvl="3">
      <w:start w:val="1"/>
      <w:numFmt w:val="bullet"/>
      <w:lvlText w:val="•"/>
      <w:lvlJc w:val="left"/>
      <w:pPr>
        <w:ind w:left="2629" w:hanging="494"/>
      </w:pPr>
      <w:rPr>
        <w:rFonts w:hint="default"/>
      </w:rPr>
    </w:lvl>
    <w:lvl w:ilvl="4">
      <w:start w:val="1"/>
      <w:numFmt w:val="bullet"/>
      <w:lvlText w:val="•"/>
      <w:lvlJc w:val="left"/>
      <w:pPr>
        <w:ind w:left="3379" w:hanging="494"/>
      </w:pPr>
      <w:rPr>
        <w:rFonts w:hint="default"/>
      </w:rPr>
    </w:lvl>
    <w:lvl w:ilvl="5">
      <w:start w:val="1"/>
      <w:numFmt w:val="bullet"/>
      <w:lvlText w:val="•"/>
      <w:lvlJc w:val="left"/>
      <w:pPr>
        <w:ind w:left="4129" w:hanging="494"/>
      </w:pPr>
      <w:rPr>
        <w:rFonts w:hint="default"/>
      </w:rPr>
    </w:lvl>
    <w:lvl w:ilvl="6">
      <w:start w:val="1"/>
      <w:numFmt w:val="bullet"/>
      <w:lvlText w:val="•"/>
      <w:lvlJc w:val="left"/>
      <w:pPr>
        <w:ind w:left="4878" w:hanging="494"/>
      </w:pPr>
      <w:rPr>
        <w:rFonts w:hint="default"/>
      </w:rPr>
    </w:lvl>
    <w:lvl w:ilvl="7">
      <w:start w:val="1"/>
      <w:numFmt w:val="bullet"/>
      <w:lvlText w:val="•"/>
      <w:lvlJc w:val="left"/>
      <w:pPr>
        <w:ind w:left="5628" w:hanging="494"/>
      </w:pPr>
      <w:rPr>
        <w:rFonts w:hint="default"/>
      </w:rPr>
    </w:lvl>
    <w:lvl w:ilvl="8">
      <w:start w:val="1"/>
      <w:numFmt w:val="bullet"/>
      <w:lvlText w:val="•"/>
      <w:lvlJc w:val="left"/>
      <w:pPr>
        <w:ind w:left="6378" w:hanging="494"/>
      </w:pPr>
      <w:rPr>
        <w:rFonts w:hint="default"/>
      </w:rPr>
    </w:lvl>
  </w:abstractNum>
  <w:abstractNum w:abstractNumId="4">
    <w:multiLevelType w:val="hybridMultilevel"/>
    <w:lvl w:ilvl="0">
      <w:start w:val="3"/>
      <w:numFmt w:val="decimal"/>
      <w:lvlText w:val="%1"/>
      <w:lvlJc w:val="left"/>
      <w:pPr>
        <w:ind w:left="1336" w:hanging="346"/>
        <w:jc w:val="left"/>
      </w:pPr>
      <w:rPr>
        <w:rFonts w:hint="default"/>
      </w:rPr>
    </w:lvl>
    <w:lvl w:ilvl="1">
      <w:start w:val="4"/>
      <w:numFmt w:val="decimal"/>
      <w:lvlText w:val="%1.%2."/>
      <w:lvlJc w:val="left"/>
      <w:pPr>
        <w:ind w:left="1336" w:hanging="346"/>
        <w:jc w:val="left"/>
      </w:pPr>
      <w:rPr>
        <w:rFonts w:hint="default" w:ascii="Times New Roman" w:hAnsi="Times New Roman" w:eastAsia="Times New Roman" w:cs="Times New Roman"/>
        <w:color w:val="231F20"/>
        <w:w w:val="94"/>
        <w:sz w:val="21"/>
        <w:szCs w:val="21"/>
      </w:rPr>
    </w:lvl>
    <w:lvl w:ilvl="2">
      <w:start w:val="1"/>
      <w:numFmt w:val="bullet"/>
      <w:lvlText w:val="•"/>
      <w:lvlJc w:val="left"/>
      <w:pPr>
        <w:ind w:left="2647" w:hanging="346"/>
      </w:pPr>
      <w:rPr>
        <w:rFonts w:hint="default"/>
      </w:rPr>
    </w:lvl>
    <w:lvl w:ilvl="3">
      <w:start w:val="1"/>
      <w:numFmt w:val="bullet"/>
      <w:lvlText w:val="•"/>
      <w:lvlJc w:val="left"/>
      <w:pPr>
        <w:ind w:left="3301" w:hanging="346"/>
      </w:pPr>
      <w:rPr>
        <w:rFonts w:hint="default"/>
      </w:rPr>
    </w:lvl>
    <w:lvl w:ilvl="4">
      <w:start w:val="1"/>
      <w:numFmt w:val="bullet"/>
      <w:lvlText w:val="•"/>
      <w:lvlJc w:val="left"/>
      <w:pPr>
        <w:ind w:left="3955" w:hanging="346"/>
      </w:pPr>
      <w:rPr>
        <w:rFonts w:hint="default"/>
      </w:rPr>
    </w:lvl>
    <w:lvl w:ilvl="5">
      <w:start w:val="1"/>
      <w:numFmt w:val="bullet"/>
      <w:lvlText w:val="•"/>
      <w:lvlJc w:val="left"/>
      <w:pPr>
        <w:ind w:left="4608" w:hanging="346"/>
      </w:pPr>
      <w:rPr>
        <w:rFonts w:hint="default"/>
      </w:rPr>
    </w:lvl>
    <w:lvl w:ilvl="6">
      <w:start w:val="1"/>
      <w:numFmt w:val="bullet"/>
      <w:lvlText w:val="•"/>
      <w:lvlJc w:val="left"/>
      <w:pPr>
        <w:ind w:left="5262" w:hanging="346"/>
      </w:pPr>
      <w:rPr>
        <w:rFonts w:hint="default"/>
      </w:rPr>
    </w:lvl>
    <w:lvl w:ilvl="7">
      <w:start w:val="1"/>
      <w:numFmt w:val="bullet"/>
      <w:lvlText w:val="•"/>
      <w:lvlJc w:val="left"/>
      <w:pPr>
        <w:ind w:left="5916" w:hanging="346"/>
      </w:pPr>
      <w:rPr>
        <w:rFonts w:hint="default"/>
      </w:rPr>
    </w:lvl>
    <w:lvl w:ilvl="8">
      <w:start w:val="1"/>
      <w:numFmt w:val="bullet"/>
      <w:lvlText w:val="•"/>
      <w:lvlJc w:val="left"/>
      <w:pPr>
        <w:ind w:left="6570" w:hanging="346"/>
      </w:pPr>
      <w:rPr>
        <w:rFonts w:hint="default"/>
      </w:rPr>
    </w:lvl>
  </w:abstractNum>
  <w:abstractNum w:abstractNumId="3">
    <w:multiLevelType w:val="hybridMultilevel"/>
    <w:lvl w:ilvl="0">
      <w:start w:val="3"/>
      <w:numFmt w:val="decimal"/>
      <w:lvlText w:val="%1"/>
      <w:lvlJc w:val="left"/>
      <w:pPr>
        <w:ind w:left="1288" w:hanging="298"/>
        <w:jc w:val="left"/>
      </w:pPr>
      <w:rPr>
        <w:rFonts w:hint="default"/>
      </w:rPr>
    </w:lvl>
    <w:lvl w:ilvl="1">
      <w:start w:val="3"/>
      <w:numFmt w:val="decimal"/>
      <w:lvlText w:val="%1.%2"/>
      <w:lvlJc w:val="left"/>
      <w:pPr>
        <w:ind w:left="1288" w:hanging="298"/>
        <w:jc w:val="left"/>
      </w:pPr>
      <w:rPr>
        <w:rFonts w:hint="default" w:ascii="Times New Roman" w:hAnsi="Times New Roman" w:eastAsia="Times New Roman" w:cs="Times New Roman"/>
        <w:color w:val="231F20"/>
        <w:w w:val="95"/>
        <w:sz w:val="21"/>
        <w:szCs w:val="21"/>
      </w:rPr>
    </w:lvl>
    <w:lvl w:ilvl="2">
      <w:start w:val="1"/>
      <w:numFmt w:val="decimal"/>
      <w:lvlText w:val="%1.%2.%3."/>
      <w:lvlJc w:val="left"/>
      <w:pPr>
        <w:ind w:left="1867" w:hanging="479"/>
        <w:jc w:val="left"/>
      </w:pPr>
      <w:rPr>
        <w:rFonts w:hint="default" w:ascii="Times New Roman" w:hAnsi="Times New Roman" w:eastAsia="Times New Roman" w:cs="Times New Roman"/>
        <w:color w:val="231F20"/>
        <w:spacing w:val="-3"/>
        <w:w w:val="94"/>
        <w:sz w:val="21"/>
        <w:szCs w:val="21"/>
      </w:rPr>
    </w:lvl>
    <w:lvl w:ilvl="3">
      <w:start w:val="1"/>
      <w:numFmt w:val="bullet"/>
      <w:lvlText w:val="•"/>
      <w:lvlJc w:val="left"/>
      <w:pPr>
        <w:ind w:left="3197" w:hanging="479"/>
      </w:pPr>
      <w:rPr>
        <w:rFonts w:hint="default"/>
      </w:rPr>
    </w:lvl>
    <w:lvl w:ilvl="4">
      <w:start w:val="1"/>
      <w:numFmt w:val="bullet"/>
      <w:lvlText w:val="•"/>
      <w:lvlJc w:val="left"/>
      <w:pPr>
        <w:ind w:left="3865" w:hanging="479"/>
      </w:pPr>
      <w:rPr>
        <w:rFonts w:hint="default"/>
      </w:rPr>
    </w:lvl>
    <w:lvl w:ilvl="5">
      <w:start w:val="1"/>
      <w:numFmt w:val="bullet"/>
      <w:lvlText w:val="•"/>
      <w:lvlJc w:val="left"/>
      <w:pPr>
        <w:ind w:left="4534" w:hanging="479"/>
      </w:pPr>
      <w:rPr>
        <w:rFonts w:hint="default"/>
      </w:rPr>
    </w:lvl>
    <w:lvl w:ilvl="6">
      <w:start w:val="1"/>
      <w:numFmt w:val="bullet"/>
      <w:lvlText w:val="•"/>
      <w:lvlJc w:val="left"/>
      <w:pPr>
        <w:ind w:left="5203" w:hanging="479"/>
      </w:pPr>
      <w:rPr>
        <w:rFonts w:hint="default"/>
      </w:rPr>
    </w:lvl>
    <w:lvl w:ilvl="7">
      <w:start w:val="1"/>
      <w:numFmt w:val="bullet"/>
      <w:lvlText w:val="•"/>
      <w:lvlJc w:val="left"/>
      <w:pPr>
        <w:ind w:left="5871" w:hanging="479"/>
      </w:pPr>
      <w:rPr>
        <w:rFonts w:hint="default"/>
      </w:rPr>
    </w:lvl>
    <w:lvl w:ilvl="8">
      <w:start w:val="1"/>
      <w:numFmt w:val="bullet"/>
      <w:lvlText w:val="•"/>
      <w:lvlJc w:val="left"/>
      <w:pPr>
        <w:ind w:left="6540" w:hanging="479"/>
      </w:pPr>
      <w:rPr>
        <w:rFonts w:hint="default"/>
      </w:rPr>
    </w:lvl>
  </w:abstractNum>
  <w:abstractNum w:abstractNumId="2">
    <w:multiLevelType w:val="hybridMultilevel"/>
    <w:lvl w:ilvl="0">
      <w:start w:val="3"/>
      <w:numFmt w:val="decimal"/>
      <w:lvlText w:val="%1"/>
      <w:lvlJc w:val="left"/>
      <w:pPr>
        <w:ind w:left="1335" w:hanging="346"/>
        <w:jc w:val="left"/>
      </w:pPr>
      <w:rPr>
        <w:rFonts w:hint="default"/>
      </w:rPr>
    </w:lvl>
    <w:lvl w:ilvl="1">
      <w:start w:val="1"/>
      <w:numFmt w:val="decimal"/>
      <w:lvlText w:val="%1.%2."/>
      <w:lvlJc w:val="left"/>
      <w:pPr>
        <w:ind w:left="1335" w:hanging="346"/>
        <w:jc w:val="left"/>
      </w:pPr>
      <w:rPr>
        <w:rFonts w:hint="default" w:ascii="Times New Roman" w:hAnsi="Times New Roman" w:eastAsia="Times New Roman" w:cs="Times New Roman"/>
        <w:color w:val="231F20"/>
        <w:w w:val="94"/>
        <w:sz w:val="21"/>
        <w:szCs w:val="21"/>
      </w:rPr>
    </w:lvl>
    <w:lvl w:ilvl="2">
      <w:start w:val="1"/>
      <w:numFmt w:val="bullet"/>
      <w:lvlText w:val="•"/>
      <w:lvlJc w:val="left"/>
      <w:pPr>
        <w:ind w:left="2647" w:hanging="346"/>
      </w:pPr>
      <w:rPr>
        <w:rFonts w:hint="default"/>
      </w:rPr>
    </w:lvl>
    <w:lvl w:ilvl="3">
      <w:start w:val="1"/>
      <w:numFmt w:val="bullet"/>
      <w:lvlText w:val="•"/>
      <w:lvlJc w:val="left"/>
      <w:pPr>
        <w:ind w:left="3301" w:hanging="346"/>
      </w:pPr>
      <w:rPr>
        <w:rFonts w:hint="default"/>
      </w:rPr>
    </w:lvl>
    <w:lvl w:ilvl="4">
      <w:start w:val="1"/>
      <w:numFmt w:val="bullet"/>
      <w:lvlText w:val="•"/>
      <w:lvlJc w:val="left"/>
      <w:pPr>
        <w:ind w:left="3955" w:hanging="346"/>
      </w:pPr>
      <w:rPr>
        <w:rFonts w:hint="default"/>
      </w:rPr>
    </w:lvl>
    <w:lvl w:ilvl="5">
      <w:start w:val="1"/>
      <w:numFmt w:val="bullet"/>
      <w:lvlText w:val="•"/>
      <w:lvlJc w:val="left"/>
      <w:pPr>
        <w:ind w:left="4608" w:hanging="346"/>
      </w:pPr>
      <w:rPr>
        <w:rFonts w:hint="default"/>
      </w:rPr>
    </w:lvl>
    <w:lvl w:ilvl="6">
      <w:start w:val="1"/>
      <w:numFmt w:val="bullet"/>
      <w:lvlText w:val="•"/>
      <w:lvlJc w:val="left"/>
      <w:pPr>
        <w:ind w:left="5262" w:hanging="346"/>
      </w:pPr>
      <w:rPr>
        <w:rFonts w:hint="default"/>
      </w:rPr>
    </w:lvl>
    <w:lvl w:ilvl="7">
      <w:start w:val="1"/>
      <w:numFmt w:val="bullet"/>
      <w:lvlText w:val="•"/>
      <w:lvlJc w:val="left"/>
      <w:pPr>
        <w:ind w:left="5916" w:hanging="346"/>
      </w:pPr>
      <w:rPr>
        <w:rFonts w:hint="default"/>
      </w:rPr>
    </w:lvl>
    <w:lvl w:ilvl="8">
      <w:start w:val="1"/>
      <w:numFmt w:val="bullet"/>
      <w:lvlText w:val="•"/>
      <w:lvlJc w:val="left"/>
      <w:pPr>
        <w:ind w:left="6570" w:hanging="346"/>
      </w:pPr>
      <w:rPr>
        <w:rFonts w:hint="default"/>
      </w:rPr>
    </w:lvl>
  </w:abstractNum>
  <w:abstractNum w:abstractNumId="1">
    <w:multiLevelType w:val="hybridMultilevel"/>
    <w:lvl w:ilvl="0">
      <w:start w:val="2"/>
      <w:numFmt w:val="decimal"/>
      <w:lvlText w:val="%1"/>
      <w:lvlJc w:val="left"/>
      <w:pPr>
        <w:ind w:left="866" w:hanging="346"/>
        <w:jc w:val="left"/>
      </w:pPr>
      <w:rPr>
        <w:rFonts w:hint="default"/>
      </w:rPr>
    </w:lvl>
    <w:lvl w:ilvl="1">
      <w:start w:val="1"/>
      <w:numFmt w:val="decimal"/>
      <w:lvlText w:val="%1.%2."/>
      <w:lvlJc w:val="left"/>
      <w:pPr>
        <w:ind w:left="866" w:hanging="346"/>
        <w:jc w:val="left"/>
      </w:pPr>
      <w:rPr>
        <w:rFonts w:hint="default" w:ascii="Times New Roman" w:hAnsi="Times New Roman" w:eastAsia="Times New Roman" w:cs="Times New Roman"/>
        <w:color w:val="231F20"/>
        <w:w w:val="94"/>
        <w:sz w:val="21"/>
        <w:szCs w:val="21"/>
      </w:rPr>
    </w:lvl>
    <w:lvl w:ilvl="2">
      <w:start w:val="1"/>
      <w:numFmt w:val="decimal"/>
      <w:lvlText w:val="%1.%2.%3."/>
      <w:lvlJc w:val="left"/>
      <w:pPr>
        <w:ind w:left="1412" w:hanging="494"/>
        <w:jc w:val="left"/>
      </w:pPr>
      <w:rPr>
        <w:rFonts w:hint="default" w:ascii="Times New Roman" w:hAnsi="Times New Roman" w:eastAsia="Times New Roman" w:cs="Times New Roman"/>
        <w:color w:val="231F20"/>
        <w:w w:val="94"/>
        <w:sz w:val="21"/>
        <w:szCs w:val="21"/>
      </w:rPr>
    </w:lvl>
    <w:lvl w:ilvl="3">
      <w:start w:val="1"/>
      <w:numFmt w:val="lowerLetter"/>
      <w:lvlText w:val="%4)"/>
      <w:lvlJc w:val="left"/>
      <w:pPr>
        <w:ind w:left="1623" w:hanging="213"/>
        <w:jc w:val="left"/>
      </w:pPr>
      <w:rPr>
        <w:rFonts w:hint="default"/>
        <w:w w:val="101"/>
      </w:rPr>
    </w:lvl>
    <w:lvl w:ilvl="4">
      <w:start w:val="1"/>
      <w:numFmt w:val="bullet"/>
      <w:lvlText w:val="•"/>
      <w:lvlJc w:val="left"/>
      <w:pPr>
        <w:ind w:left="3329" w:hanging="213"/>
      </w:pPr>
      <w:rPr>
        <w:rFonts w:hint="default"/>
      </w:rPr>
    </w:lvl>
    <w:lvl w:ilvl="5">
      <w:start w:val="1"/>
      <w:numFmt w:val="bullet"/>
      <w:lvlText w:val="•"/>
      <w:lvlJc w:val="left"/>
      <w:pPr>
        <w:ind w:left="4184" w:hanging="213"/>
      </w:pPr>
      <w:rPr>
        <w:rFonts w:hint="default"/>
      </w:rPr>
    </w:lvl>
    <w:lvl w:ilvl="6">
      <w:start w:val="1"/>
      <w:numFmt w:val="bullet"/>
      <w:lvlText w:val="•"/>
      <w:lvlJc w:val="left"/>
      <w:pPr>
        <w:ind w:left="5038" w:hanging="213"/>
      </w:pPr>
      <w:rPr>
        <w:rFonts w:hint="default"/>
      </w:rPr>
    </w:lvl>
    <w:lvl w:ilvl="7">
      <w:start w:val="1"/>
      <w:numFmt w:val="bullet"/>
      <w:lvlText w:val="•"/>
      <w:lvlJc w:val="left"/>
      <w:pPr>
        <w:ind w:left="5893" w:hanging="213"/>
      </w:pPr>
      <w:rPr>
        <w:rFonts w:hint="default"/>
      </w:rPr>
    </w:lvl>
    <w:lvl w:ilvl="8">
      <w:start w:val="1"/>
      <w:numFmt w:val="bullet"/>
      <w:lvlText w:val="•"/>
      <w:lvlJc w:val="left"/>
      <w:pPr>
        <w:ind w:left="6748" w:hanging="213"/>
      </w:pPr>
      <w:rPr>
        <w:rFonts w:hint="default"/>
      </w:rPr>
    </w:lvl>
  </w:abstractNum>
  <w:abstractNum w:abstractNumId="0">
    <w:multiLevelType w:val="hybridMultilevel"/>
    <w:lvl w:ilvl="0">
      <w:start w:val="1"/>
      <w:numFmt w:val="decimal"/>
      <w:lvlText w:val="%1"/>
      <w:lvlJc w:val="left"/>
      <w:pPr>
        <w:ind w:left="865" w:hanging="346"/>
        <w:jc w:val="left"/>
      </w:pPr>
      <w:rPr>
        <w:rFonts w:hint="default"/>
      </w:rPr>
    </w:lvl>
    <w:lvl w:ilvl="1">
      <w:start w:val="1"/>
      <w:numFmt w:val="decimal"/>
      <w:lvlText w:val="%1.%2."/>
      <w:lvlJc w:val="left"/>
      <w:pPr>
        <w:ind w:left="865" w:hanging="346"/>
        <w:jc w:val="left"/>
      </w:pPr>
      <w:rPr>
        <w:rFonts w:hint="default" w:ascii="Times New Roman" w:hAnsi="Times New Roman" w:eastAsia="Times New Roman" w:cs="Times New Roman"/>
        <w:color w:val="231F20"/>
        <w:w w:val="94"/>
        <w:sz w:val="21"/>
        <w:szCs w:val="21"/>
      </w:rPr>
    </w:lvl>
    <w:lvl w:ilvl="2">
      <w:start w:val="1"/>
      <w:numFmt w:val="bullet"/>
      <w:lvlText w:val="•"/>
      <w:lvlJc w:val="left"/>
      <w:pPr>
        <w:ind w:left="2379" w:hanging="346"/>
      </w:pPr>
      <w:rPr>
        <w:rFonts w:hint="default"/>
      </w:rPr>
    </w:lvl>
    <w:lvl w:ilvl="3">
      <w:start w:val="1"/>
      <w:numFmt w:val="bullet"/>
      <w:lvlText w:val="•"/>
      <w:lvlJc w:val="left"/>
      <w:pPr>
        <w:ind w:left="3139" w:hanging="346"/>
      </w:pPr>
      <w:rPr>
        <w:rFonts w:hint="default"/>
      </w:rPr>
    </w:lvl>
    <w:lvl w:ilvl="4">
      <w:start w:val="1"/>
      <w:numFmt w:val="bullet"/>
      <w:lvlText w:val="•"/>
      <w:lvlJc w:val="left"/>
      <w:pPr>
        <w:ind w:left="3899" w:hanging="346"/>
      </w:pPr>
      <w:rPr>
        <w:rFonts w:hint="default"/>
      </w:rPr>
    </w:lvl>
    <w:lvl w:ilvl="5">
      <w:start w:val="1"/>
      <w:numFmt w:val="bullet"/>
      <w:lvlText w:val="•"/>
      <w:lvlJc w:val="left"/>
      <w:pPr>
        <w:ind w:left="4658" w:hanging="346"/>
      </w:pPr>
      <w:rPr>
        <w:rFonts w:hint="default"/>
      </w:rPr>
    </w:lvl>
    <w:lvl w:ilvl="6">
      <w:start w:val="1"/>
      <w:numFmt w:val="bullet"/>
      <w:lvlText w:val="•"/>
      <w:lvlJc w:val="left"/>
      <w:pPr>
        <w:ind w:left="5418" w:hanging="346"/>
      </w:pPr>
      <w:rPr>
        <w:rFonts w:hint="default"/>
      </w:rPr>
    </w:lvl>
    <w:lvl w:ilvl="7">
      <w:start w:val="1"/>
      <w:numFmt w:val="bullet"/>
      <w:lvlText w:val="•"/>
      <w:lvlJc w:val="left"/>
      <w:pPr>
        <w:ind w:left="6178" w:hanging="346"/>
      </w:pPr>
      <w:rPr>
        <w:rFonts w:hint="default"/>
      </w:rPr>
    </w:lvl>
    <w:lvl w:ilvl="8">
      <w:start w:val="1"/>
      <w:numFmt w:val="bullet"/>
      <w:lvlText w:val="•"/>
      <w:lvlJc w:val="left"/>
      <w:pPr>
        <w:ind w:left="6938" w:hanging="346"/>
      </w:pPr>
      <w:rPr>
        <w:rFonts w:hint="default"/>
      </w:rPr>
    </w:lvl>
  </w:abstract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1"/>
      <w:szCs w:val="21"/>
    </w:rPr>
  </w:style>
  <w:style w:styleId="Heading1" w:type="paragraph">
    <w:name w:val="Heading 1"/>
    <w:basedOn w:val="Normal"/>
    <w:uiPriority w:val="1"/>
    <w:qFormat/>
    <w:pPr>
      <w:spacing w:line="516" w:lineRule="exact"/>
      <w:outlineLvl w:val="1"/>
    </w:pPr>
    <w:rPr>
      <w:rFonts w:ascii="Palatino Linotype" w:hAnsi="Palatino Linotype" w:eastAsia="Palatino Linotype" w:cs="Palatino Linotype"/>
      <w:b/>
      <w:bCs/>
      <w:sz w:val="40"/>
      <w:szCs w:val="40"/>
    </w:rPr>
  </w:style>
  <w:style w:styleId="Heading2" w:type="paragraph">
    <w:name w:val="Heading 2"/>
    <w:basedOn w:val="Normal"/>
    <w:uiPriority w:val="1"/>
    <w:qFormat/>
    <w:pPr>
      <w:ind w:right="1131"/>
      <w:outlineLvl w:val="2"/>
    </w:pPr>
    <w:rPr>
      <w:rFonts w:ascii="Times New Roman" w:hAnsi="Times New Roman" w:eastAsia="Times New Roman" w:cs="Times New Roman"/>
      <w:sz w:val="40"/>
      <w:szCs w:val="40"/>
    </w:rPr>
  </w:style>
  <w:style w:styleId="Heading3" w:type="paragraph">
    <w:name w:val="Heading 3"/>
    <w:basedOn w:val="Normal"/>
    <w:uiPriority w:val="1"/>
    <w:qFormat/>
    <w:pPr>
      <w:ind w:left="1067" w:hanging="414"/>
      <w:jc w:val="both"/>
      <w:outlineLvl w:val="3"/>
    </w:pPr>
    <w:rPr>
      <w:rFonts w:ascii="Palatino Linotype" w:hAnsi="Palatino Linotype" w:eastAsia="Palatino Linotype" w:cs="Palatino Linotype"/>
      <w:b/>
      <w:bCs/>
      <w:sz w:val="24"/>
      <w:szCs w:val="24"/>
    </w:rPr>
  </w:style>
  <w:style w:styleId="Heading4" w:type="paragraph">
    <w:name w:val="Heading 4"/>
    <w:basedOn w:val="Normal"/>
    <w:uiPriority w:val="1"/>
    <w:qFormat/>
    <w:pPr>
      <w:spacing w:line="282" w:lineRule="exact"/>
      <w:ind w:left="561"/>
      <w:jc w:val="center"/>
      <w:outlineLvl w:val="4"/>
    </w:pPr>
    <w:rPr>
      <w:rFonts w:ascii="Palatino Linotype" w:hAnsi="Palatino Linotype" w:eastAsia="Palatino Linotype" w:cs="Palatino Linotype"/>
      <w:b/>
      <w:bCs/>
      <w:sz w:val="21"/>
      <w:szCs w:val="21"/>
    </w:rPr>
  </w:style>
  <w:style w:styleId="ListParagraph" w:type="paragraph">
    <w:name w:val="List Paragraph"/>
    <w:basedOn w:val="Normal"/>
    <w:uiPriority w:val="1"/>
    <w:qFormat/>
    <w:pPr>
      <w:spacing w:before="95"/>
      <w:ind w:left="1050" w:hanging="414"/>
    </w:pPr>
    <w:rPr>
      <w:rFonts w:ascii="Times New Roman" w:hAnsi="Times New Roman" w:eastAsia="Times New Roman" w:cs="Times New Roman"/>
    </w:rPr>
  </w:style>
  <w:style w:styleId="TableParagraph" w:type="paragraph">
    <w:name w:val="Table Paragraph"/>
    <w:basedOn w:val="Normal"/>
    <w:uiPriority w:val="1"/>
    <w:qFormat/>
    <w:pPr>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hyperlink" Target="http://www.serviciosbonobos.com.mx/" TargetMode="External"/><Relationship Id="rId14" Type="http://schemas.openxmlformats.org/officeDocument/2006/relationships/footer" Target="footer1.xml"/><Relationship Id="rId15" Type="http://schemas.openxmlformats.org/officeDocument/2006/relationships/footer" Target="footer2.xml"/><Relationship Id="rId16" Type="http://schemas.openxmlformats.org/officeDocument/2006/relationships/footer" Target="footer3.xml"/><Relationship Id="rId17" Type="http://schemas.openxmlformats.org/officeDocument/2006/relationships/footer" Target="footer4.xml"/><Relationship Id="rId18" Type="http://schemas.openxmlformats.org/officeDocument/2006/relationships/footer" Target="footer5.xml"/><Relationship Id="rId19" Type="http://schemas.openxmlformats.org/officeDocument/2006/relationships/footer" Target="footer6.xml"/><Relationship Id="rId20" Type="http://schemas.openxmlformats.org/officeDocument/2006/relationships/footer" Target="footer7.xml"/><Relationship Id="rId21" Type="http://schemas.openxmlformats.org/officeDocument/2006/relationships/header" Target="header1.xml"/><Relationship Id="rId22" Type="http://schemas.openxmlformats.org/officeDocument/2006/relationships/header" Target="header2.xml"/><Relationship Id="rId23" Type="http://schemas.openxmlformats.org/officeDocument/2006/relationships/header" Target="header3.xml"/><Relationship Id="rId24" Type="http://schemas.openxmlformats.org/officeDocument/2006/relationships/footer" Target="footer8.xml"/><Relationship Id="rId25" Type="http://schemas.openxmlformats.org/officeDocument/2006/relationships/header" Target="header4.xml"/><Relationship Id="rId26" Type="http://schemas.openxmlformats.org/officeDocument/2006/relationships/footer" Target="footer9.xml"/><Relationship Id="rId27" Type="http://schemas.openxmlformats.org/officeDocument/2006/relationships/footer" Target="footer10.xml"/><Relationship Id="rId28" Type="http://schemas.openxmlformats.org/officeDocument/2006/relationships/header" Target="header5.xml"/><Relationship Id="rId29" Type="http://schemas.openxmlformats.org/officeDocument/2006/relationships/header" Target="header6.xml"/><Relationship Id="rId30" Type="http://schemas.openxmlformats.org/officeDocument/2006/relationships/footer" Target="footer11.xml"/><Relationship Id="rId31" Type="http://schemas.openxmlformats.org/officeDocument/2006/relationships/footer" Target="footer12.xml"/><Relationship Id="rId32" Type="http://schemas.openxmlformats.org/officeDocument/2006/relationships/footer" Target="footer13.xml"/><Relationship Id="rId33" Type="http://schemas.openxmlformats.org/officeDocument/2006/relationships/footer" Target="footer14.xml"/><Relationship Id="rId34" Type="http://schemas.openxmlformats.org/officeDocument/2006/relationships/header" Target="header7.xml"/><Relationship Id="rId35" Type="http://schemas.openxmlformats.org/officeDocument/2006/relationships/footer" Target="footer15.xml"/><Relationship Id="rId36" Type="http://schemas.openxmlformats.org/officeDocument/2006/relationships/footer" Target="footer16.xml"/><Relationship Id="rId37" Type="http://schemas.openxmlformats.org/officeDocument/2006/relationships/header" Target="header8.xml"/><Relationship Id="rId38" Type="http://schemas.openxmlformats.org/officeDocument/2006/relationships/header" Target="header9.xml"/><Relationship Id="rId39" Type="http://schemas.openxmlformats.org/officeDocument/2006/relationships/footer" Target="footer17.xml"/><Relationship Id="rId40" Type="http://schemas.openxmlformats.org/officeDocument/2006/relationships/footer" Target="footer18.xml"/><Relationship Id="rId41" Type="http://schemas.openxmlformats.org/officeDocument/2006/relationships/footer" Target="footer19.xml"/><Relationship Id="rId42" Type="http://schemas.openxmlformats.org/officeDocument/2006/relationships/footer" Target="footer20.xml"/><Relationship Id="rId43" Type="http://schemas.openxmlformats.org/officeDocument/2006/relationships/footer" Target="footer21.xml"/><Relationship Id="rId44" Type="http://schemas.openxmlformats.org/officeDocument/2006/relationships/footer" Target="footer22.xml"/><Relationship Id="rId45" Type="http://schemas.openxmlformats.org/officeDocument/2006/relationships/footer" Target="footer23.xml"/><Relationship Id="rId46" Type="http://schemas.openxmlformats.org/officeDocument/2006/relationships/footer" Target="footer24.xml"/><Relationship Id="rId47" Type="http://schemas.openxmlformats.org/officeDocument/2006/relationships/image" Target="media/image9.png"/><Relationship Id="rId48" Type="http://schemas.openxmlformats.org/officeDocument/2006/relationships/image" Target="media/image10.png"/><Relationship Id="rId49" Type="http://schemas.openxmlformats.org/officeDocument/2006/relationships/image" Target="media/image11.png"/><Relationship Id="rId50" Type="http://schemas.openxmlformats.org/officeDocument/2006/relationships/image" Target="media/image12.png"/><Relationship Id="rId51" Type="http://schemas.openxmlformats.org/officeDocument/2006/relationships/footer" Target="footer25.xml"/><Relationship Id="rId52" Type="http://schemas.openxmlformats.org/officeDocument/2006/relationships/footer" Target="footer26.xml"/><Relationship Id="rId53" Type="http://schemas.openxmlformats.org/officeDocument/2006/relationships/footer" Target="footer27.xml"/><Relationship Id="rId54" Type="http://schemas.openxmlformats.org/officeDocument/2006/relationships/footer" Target="footer28.xml"/><Relationship Id="rId55" Type="http://schemas.openxmlformats.org/officeDocument/2006/relationships/image" Target="media/image13.png"/><Relationship Id="rId56" Type="http://schemas.openxmlformats.org/officeDocument/2006/relationships/image" Target="media/image14.png"/><Relationship Id="rId57" Type="http://schemas.openxmlformats.org/officeDocument/2006/relationships/image" Target="media/image15.png"/><Relationship Id="rId58" Type="http://schemas.openxmlformats.org/officeDocument/2006/relationships/image" Target="media/image16.png"/><Relationship Id="rId59" Type="http://schemas.openxmlformats.org/officeDocument/2006/relationships/image" Target="media/image17.png"/><Relationship Id="rId60" Type="http://schemas.openxmlformats.org/officeDocument/2006/relationships/image" Target="media/image18.png"/><Relationship Id="rId61" Type="http://schemas.openxmlformats.org/officeDocument/2006/relationships/image" Target="media/image19.png"/><Relationship Id="rId62" Type="http://schemas.openxmlformats.org/officeDocument/2006/relationships/image" Target="media/image20.png"/><Relationship Id="rId63" Type="http://schemas.openxmlformats.org/officeDocument/2006/relationships/image" Target="media/image21.png"/><Relationship Id="rId64" Type="http://schemas.openxmlformats.org/officeDocument/2006/relationships/image" Target="media/image22.png"/><Relationship Id="rId65" Type="http://schemas.openxmlformats.org/officeDocument/2006/relationships/image" Target="media/image23.png"/><Relationship Id="rId66" Type="http://schemas.openxmlformats.org/officeDocument/2006/relationships/image" Target="media/image24.png"/><Relationship Id="rId67" Type="http://schemas.openxmlformats.org/officeDocument/2006/relationships/image" Target="media/image25.png"/><Relationship Id="rId68" Type="http://schemas.openxmlformats.org/officeDocument/2006/relationships/image" Target="media/image26.png"/><Relationship Id="rId69" Type="http://schemas.openxmlformats.org/officeDocument/2006/relationships/image" Target="media/image27.png"/><Relationship Id="rId70" Type="http://schemas.openxmlformats.org/officeDocument/2006/relationships/image" Target="media/image28.png"/><Relationship Id="rId71" Type="http://schemas.openxmlformats.org/officeDocument/2006/relationships/image" Target="media/image29.png"/><Relationship Id="rId72" Type="http://schemas.openxmlformats.org/officeDocument/2006/relationships/image" Target="media/image30.png"/><Relationship Id="rId73" Type="http://schemas.openxmlformats.org/officeDocument/2006/relationships/image" Target="media/image31.png"/><Relationship Id="rId74" Type="http://schemas.openxmlformats.org/officeDocument/2006/relationships/image" Target="media/image32.png"/><Relationship Id="rId75" Type="http://schemas.openxmlformats.org/officeDocument/2006/relationships/image" Target="media/image33.png"/><Relationship Id="rId76" Type="http://schemas.openxmlformats.org/officeDocument/2006/relationships/image" Target="media/image34.png"/><Relationship Id="rId77" Type="http://schemas.openxmlformats.org/officeDocument/2006/relationships/image" Target="media/image35.png"/><Relationship Id="rId78" Type="http://schemas.openxmlformats.org/officeDocument/2006/relationships/image" Target="media/image36.png"/><Relationship Id="rId79" Type="http://schemas.openxmlformats.org/officeDocument/2006/relationships/image" Target="media/image37.png"/><Relationship Id="rId80" Type="http://schemas.openxmlformats.org/officeDocument/2006/relationships/image" Target="media/image38.png"/><Relationship Id="rId81" Type="http://schemas.openxmlformats.org/officeDocument/2006/relationships/image" Target="media/image39.png"/><Relationship Id="rId82" Type="http://schemas.openxmlformats.org/officeDocument/2006/relationships/footer" Target="footer29.xml"/><Relationship Id="rId83" Type="http://schemas.openxmlformats.org/officeDocument/2006/relationships/footer" Target="footer30.xml"/><Relationship Id="rId84" Type="http://schemas.openxmlformats.org/officeDocument/2006/relationships/footer" Target="footer31.xml"/><Relationship Id="rId85" Type="http://schemas.openxmlformats.org/officeDocument/2006/relationships/footer" Target="footer32.xml"/><Relationship Id="rId86" Type="http://schemas.openxmlformats.org/officeDocument/2006/relationships/image" Target="media/image40.png"/><Relationship Id="rId87" Type="http://schemas.openxmlformats.org/officeDocument/2006/relationships/header" Target="header10.xml"/><Relationship Id="rId88" Type="http://schemas.openxmlformats.org/officeDocument/2006/relationships/footer" Target="footer33.xml"/><Relationship Id="rId89" Type="http://schemas.openxmlformats.org/officeDocument/2006/relationships/footer" Target="footer34.xml"/><Relationship Id="rId90" Type="http://schemas.openxmlformats.org/officeDocument/2006/relationships/header" Target="header11.xml"/><Relationship Id="rId91" Type="http://schemas.openxmlformats.org/officeDocument/2006/relationships/header" Target="header12.xml"/><Relationship Id="rId92" Type="http://schemas.openxmlformats.org/officeDocument/2006/relationships/footer" Target="footer35.xml"/><Relationship Id="rId93" Type="http://schemas.openxmlformats.org/officeDocument/2006/relationships/footer" Target="footer36.xml"/><Relationship Id="rId94" Type="http://schemas.openxmlformats.org/officeDocument/2006/relationships/footer" Target="footer37.xml"/><Relationship Id="rId95" Type="http://schemas.openxmlformats.org/officeDocument/2006/relationships/footer" Target="footer38.xml"/><Relationship Id="rId96" Type="http://schemas.openxmlformats.org/officeDocument/2006/relationships/image" Target="media/image41.png"/><Relationship Id="rId97" Type="http://schemas.openxmlformats.org/officeDocument/2006/relationships/image" Target="media/image42.png"/><Relationship Id="rId98" Type="http://schemas.openxmlformats.org/officeDocument/2006/relationships/image" Target="media/image43.png"/><Relationship Id="rId99" Type="http://schemas.openxmlformats.org/officeDocument/2006/relationships/image" Target="media/image44.png"/><Relationship Id="rId100" Type="http://schemas.openxmlformats.org/officeDocument/2006/relationships/image" Target="media/image45.png"/><Relationship Id="rId101" Type="http://schemas.openxmlformats.org/officeDocument/2006/relationships/image" Target="media/image46.png"/><Relationship Id="rId102" Type="http://schemas.openxmlformats.org/officeDocument/2006/relationships/image" Target="media/image47.png"/><Relationship Id="rId103" Type="http://schemas.openxmlformats.org/officeDocument/2006/relationships/image" Target="media/image48.png"/><Relationship Id="rId104" Type="http://schemas.openxmlformats.org/officeDocument/2006/relationships/image" Target="media/image49.png"/><Relationship Id="rId105" Type="http://schemas.openxmlformats.org/officeDocument/2006/relationships/image" Target="media/image50.png"/><Relationship Id="rId106" Type="http://schemas.openxmlformats.org/officeDocument/2006/relationships/image" Target="media/image51.png"/><Relationship Id="rId107" Type="http://schemas.openxmlformats.org/officeDocument/2006/relationships/image" Target="media/image52.png"/><Relationship Id="rId108" Type="http://schemas.openxmlformats.org/officeDocument/2006/relationships/image" Target="media/image53.png"/><Relationship Id="rId109" Type="http://schemas.openxmlformats.org/officeDocument/2006/relationships/image" Target="media/image54.png"/><Relationship Id="rId110" Type="http://schemas.openxmlformats.org/officeDocument/2006/relationships/image" Target="media/image55.png"/><Relationship Id="rId111" Type="http://schemas.openxmlformats.org/officeDocument/2006/relationships/image" Target="media/image56.png"/><Relationship Id="rId112" Type="http://schemas.openxmlformats.org/officeDocument/2006/relationships/image" Target="media/image57.png"/><Relationship Id="rId113" Type="http://schemas.openxmlformats.org/officeDocument/2006/relationships/image" Target="media/image58.png"/><Relationship Id="rId114" Type="http://schemas.openxmlformats.org/officeDocument/2006/relationships/image" Target="media/image59.png"/><Relationship Id="rId115" Type="http://schemas.openxmlformats.org/officeDocument/2006/relationships/image" Target="media/image60.png"/><Relationship Id="rId116" Type="http://schemas.openxmlformats.org/officeDocument/2006/relationships/image" Target="media/image61.png"/><Relationship Id="rId117" Type="http://schemas.openxmlformats.org/officeDocument/2006/relationships/image" Target="media/image62.png"/><Relationship Id="rId118" Type="http://schemas.openxmlformats.org/officeDocument/2006/relationships/image" Target="media/image63.png"/><Relationship Id="rId119" Type="http://schemas.openxmlformats.org/officeDocument/2006/relationships/image" Target="media/image64.png"/><Relationship Id="rId120" Type="http://schemas.openxmlformats.org/officeDocument/2006/relationships/image" Target="media/image65.png"/><Relationship Id="rId121" Type="http://schemas.openxmlformats.org/officeDocument/2006/relationships/image" Target="media/image66.png"/><Relationship Id="rId122" Type="http://schemas.openxmlformats.org/officeDocument/2006/relationships/image" Target="media/image67.png"/><Relationship Id="rId123" Type="http://schemas.openxmlformats.org/officeDocument/2006/relationships/image" Target="media/image68.png"/><Relationship Id="rId124" Type="http://schemas.openxmlformats.org/officeDocument/2006/relationships/image" Target="media/image69.png"/><Relationship Id="rId125" Type="http://schemas.openxmlformats.org/officeDocument/2006/relationships/image" Target="media/image70.png"/><Relationship Id="rId126" Type="http://schemas.openxmlformats.org/officeDocument/2006/relationships/image" Target="media/image71.png"/><Relationship Id="rId127" Type="http://schemas.openxmlformats.org/officeDocument/2006/relationships/image" Target="media/image72.png"/><Relationship Id="rId128" Type="http://schemas.openxmlformats.org/officeDocument/2006/relationships/image" Target="media/image73.png"/><Relationship Id="rId129" Type="http://schemas.openxmlformats.org/officeDocument/2006/relationships/image" Target="media/image74.png"/><Relationship Id="rId130" Type="http://schemas.openxmlformats.org/officeDocument/2006/relationships/image" Target="media/image75.png"/><Relationship Id="rId131" Type="http://schemas.openxmlformats.org/officeDocument/2006/relationships/image" Target="media/image76.png"/><Relationship Id="rId132" Type="http://schemas.openxmlformats.org/officeDocument/2006/relationships/image" Target="media/image77.png"/><Relationship Id="rId133" Type="http://schemas.openxmlformats.org/officeDocument/2006/relationships/image" Target="media/image78.png"/><Relationship Id="rId134" Type="http://schemas.openxmlformats.org/officeDocument/2006/relationships/image" Target="media/image79.png"/><Relationship Id="rId135" Type="http://schemas.openxmlformats.org/officeDocument/2006/relationships/image" Target="media/image80.png"/><Relationship Id="rId136" Type="http://schemas.openxmlformats.org/officeDocument/2006/relationships/image" Target="media/image81.png"/><Relationship Id="rId137" Type="http://schemas.openxmlformats.org/officeDocument/2006/relationships/image" Target="media/image82.png"/><Relationship Id="rId138" Type="http://schemas.openxmlformats.org/officeDocument/2006/relationships/image" Target="media/image83.png"/><Relationship Id="rId139" Type="http://schemas.openxmlformats.org/officeDocument/2006/relationships/image" Target="media/image84.png"/><Relationship Id="rId140" Type="http://schemas.openxmlformats.org/officeDocument/2006/relationships/image" Target="media/image85.png"/><Relationship Id="rId141" Type="http://schemas.openxmlformats.org/officeDocument/2006/relationships/image" Target="media/image86.png"/><Relationship Id="rId142" Type="http://schemas.openxmlformats.org/officeDocument/2006/relationships/image" Target="media/image87.png"/><Relationship Id="rId143" Type="http://schemas.openxmlformats.org/officeDocument/2006/relationships/image" Target="media/image88.png"/><Relationship Id="rId144" Type="http://schemas.openxmlformats.org/officeDocument/2006/relationships/image" Target="media/image89.png"/><Relationship Id="rId145" Type="http://schemas.openxmlformats.org/officeDocument/2006/relationships/image" Target="media/image90.png"/><Relationship Id="rId146" Type="http://schemas.openxmlformats.org/officeDocument/2006/relationships/image" Target="media/image91.png"/><Relationship Id="rId147" Type="http://schemas.openxmlformats.org/officeDocument/2006/relationships/image" Target="media/image92.png"/><Relationship Id="rId148" Type="http://schemas.openxmlformats.org/officeDocument/2006/relationships/image" Target="media/image93.png"/><Relationship Id="rId149" Type="http://schemas.openxmlformats.org/officeDocument/2006/relationships/image" Target="media/image94.png"/><Relationship Id="rId150" Type="http://schemas.openxmlformats.org/officeDocument/2006/relationships/image" Target="media/image95.png"/><Relationship Id="rId151" Type="http://schemas.openxmlformats.org/officeDocument/2006/relationships/image" Target="media/image96.png"/><Relationship Id="rId152" Type="http://schemas.openxmlformats.org/officeDocument/2006/relationships/image" Target="media/image97.png"/><Relationship Id="rId153" Type="http://schemas.openxmlformats.org/officeDocument/2006/relationships/image" Target="media/image98.png"/><Relationship Id="rId154" Type="http://schemas.openxmlformats.org/officeDocument/2006/relationships/image" Target="media/image99.png"/><Relationship Id="rId155" Type="http://schemas.openxmlformats.org/officeDocument/2006/relationships/image" Target="media/image100.png"/><Relationship Id="rId156" Type="http://schemas.openxmlformats.org/officeDocument/2006/relationships/image" Target="media/image101.png"/><Relationship Id="rId157" Type="http://schemas.openxmlformats.org/officeDocument/2006/relationships/image" Target="media/image102.png"/><Relationship Id="rId158" Type="http://schemas.openxmlformats.org/officeDocument/2006/relationships/image" Target="media/image103.png"/><Relationship Id="rId159" Type="http://schemas.openxmlformats.org/officeDocument/2006/relationships/image" Target="media/image104.png"/><Relationship Id="rId160" Type="http://schemas.openxmlformats.org/officeDocument/2006/relationships/image" Target="media/image105.png"/><Relationship Id="rId161" Type="http://schemas.openxmlformats.org/officeDocument/2006/relationships/image" Target="media/image106.png"/><Relationship Id="rId162" Type="http://schemas.openxmlformats.org/officeDocument/2006/relationships/image" Target="media/image107.png"/><Relationship Id="rId163" Type="http://schemas.openxmlformats.org/officeDocument/2006/relationships/image" Target="media/image108.png"/><Relationship Id="rId164" Type="http://schemas.openxmlformats.org/officeDocument/2006/relationships/image" Target="media/image109.png"/><Relationship Id="rId165" Type="http://schemas.openxmlformats.org/officeDocument/2006/relationships/image" Target="media/image110.png"/><Relationship Id="rId166" Type="http://schemas.openxmlformats.org/officeDocument/2006/relationships/image" Target="media/image111.png"/><Relationship Id="rId167" Type="http://schemas.openxmlformats.org/officeDocument/2006/relationships/image" Target="media/image112.png"/><Relationship Id="rId168" Type="http://schemas.openxmlformats.org/officeDocument/2006/relationships/image" Target="media/image113.png"/><Relationship Id="rId169" Type="http://schemas.openxmlformats.org/officeDocument/2006/relationships/image" Target="media/image114.png"/><Relationship Id="rId170" Type="http://schemas.openxmlformats.org/officeDocument/2006/relationships/image" Target="media/image115.png"/><Relationship Id="rId171" Type="http://schemas.openxmlformats.org/officeDocument/2006/relationships/image" Target="media/image116.png"/><Relationship Id="rId172" Type="http://schemas.openxmlformats.org/officeDocument/2006/relationships/image" Target="media/image117.png"/><Relationship Id="rId173" Type="http://schemas.openxmlformats.org/officeDocument/2006/relationships/footer" Target="footer39.xml"/><Relationship Id="rId174" Type="http://schemas.openxmlformats.org/officeDocument/2006/relationships/footer" Target="footer40.xml"/><Relationship Id="rId175" Type="http://schemas.openxmlformats.org/officeDocument/2006/relationships/footer" Target="footer41.xml"/><Relationship Id="rId176" Type="http://schemas.openxmlformats.org/officeDocument/2006/relationships/footer" Target="footer42.xml"/><Relationship Id="rId177" Type="http://schemas.openxmlformats.org/officeDocument/2006/relationships/header" Target="header13.xml"/><Relationship Id="rId178" Type="http://schemas.openxmlformats.org/officeDocument/2006/relationships/footer" Target="footer43.xml"/><Relationship Id="rId179" Type="http://schemas.openxmlformats.org/officeDocument/2006/relationships/header" Target="header14.xml"/><Relationship Id="rId180" Type="http://schemas.openxmlformats.org/officeDocument/2006/relationships/header" Target="header15.xml"/><Relationship Id="rId181" Type="http://schemas.openxmlformats.org/officeDocument/2006/relationships/footer" Target="footer44.xml"/><Relationship Id="rId182" Type="http://schemas.openxmlformats.org/officeDocument/2006/relationships/footer" Target="footer45.xml"/><Relationship Id="rId183" Type="http://schemas.openxmlformats.org/officeDocument/2006/relationships/image" Target="media/image118.png"/><Relationship Id="rId184" Type="http://schemas.openxmlformats.org/officeDocument/2006/relationships/image" Target="media/image119.png"/><Relationship Id="rId185" Type="http://schemas.openxmlformats.org/officeDocument/2006/relationships/image" Target="media/image120.png"/><Relationship Id="rId186" Type="http://schemas.openxmlformats.org/officeDocument/2006/relationships/image" Target="media/image121.png"/><Relationship Id="rId187" Type="http://schemas.openxmlformats.org/officeDocument/2006/relationships/footer" Target="footer46.xml"/><Relationship Id="rId188" Type="http://schemas.openxmlformats.org/officeDocument/2006/relationships/header" Target="header16.xml"/><Relationship Id="rId189" Type="http://schemas.openxmlformats.org/officeDocument/2006/relationships/footer" Target="footer47.xml"/><Relationship Id="rId190" Type="http://schemas.openxmlformats.org/officeDocument/2006/relationships/image" Target="media/image122.png"/><Relationship Id="rId191" Type="http://schemas.openxmlformats.org/officeDocument/2006/relationships/header" Target="header17.xml"/><Relationship Id="rId192" Type="http://schemas.openxmlformats.org/officeDocument/2006/relationships/footer" Target="footer48.xml"/><Relationship Id="rId193" Type="http://schemas.openxmlformats.org/officeDocument/2006/relationships/header" Target="header18.xml"/><Relationship Id="rId194" Type="http://schemas.openxmlformats.org/officeDocument/2006/relationships/footer" Target="footer49.xml"/><Relationship Id="rId195" Type="http://schemas.openxmlformats.org/officeDocument/2006/relationships/image" Target="media/image123.png"/><Relationship Id="rId196" Type="http://schemas.openxmlformats.org/officeDocument/2006/relationships/header" Target="header19.xml"/><Relationship Id="rId197" Type="http://schemas.openxmlformats.org/officeDocument/2006/relationships/header" Target="header20.xml"/><Relationship Id="rId198" Type="http://schemas.openxmlformats.org/officeDocument/2006/relationships/footer" Target="footer50.xml"/><Relationship Id="rId199" Type="http://schemas.openxmlformats.org/officeDocument/2006/relationships/footer" Target="footer51.xml"/><Relationship Id="rId200" Type="http://schemas.openxmlformats.org/officeDocument/2006/relationships/header" Target="header21.xml"/><Relationship Id="rId201" Type="http://schemas.openxmlformats.org/officeDocument/2006/relationships/footer" Target="footer52.xml"/><Relationship Id="rId202" Type="http://schemas.openxmlformats.org/officeDocument/2006/relationships/header" Target="header22.xml"/><Relationship Id="rId203" Type="http://schemas.openxmlformats.org/officeDocument/2006/relationships/footer" Target="footer53.xml"/><Relationship Id="rId204" Type="http://schemas.openxmlformats.org/officeDocument/2006/relationships/footer" Target="footer54.xml"/><Relationship Id="rId205" Type="http://schemas.openxmlformats.org/officeDocument/2006/relationships/header" Target="header23.xml"/><Relationship Id="rId206" Type="http://schemas.openxmlformats.org/officeDocument/2006/relationships/header" Target="header24.xml"/><Relationship Id="rId207" Type="http://schemas.openxmlformats.org/officeDocument/2006/relationships/footer" Target="footer55.xml"/><Relationship Id="rId208" Type="http://schemas.openxmlformats.org/officeDocument/2006/relationships/header" Target="header25.xml"/><Relationship Id="rId209" Type="http://schemas.openxmlformats.org/officeDocument/2006/relationships/footer" Target="footer56.xml"/><Relationship Id="rId210" Type="http://schemas.openxmlformats.org/officeDocument/2006/relationships/footer" Target="footer57.xml"/><Relationship Id="rId211" Type="http://schemas.openxmlformats.org/officeDocument/2006/relationships/header" Target="header26.xml"/><Relationship Id="rId212" Type="http://schemas.openxmlformats.org/officeDocument/2006/relationships/header" Target="header27.xml"/><Relationship Id="rId213" Type="http://schemas.openxmlformats.org/officeDocument/2006/relationships/header" Target="header28.xml"/><Relationship Id="rId214" Type="http://schemas.openxmlformats.org/officeDocument/2006/relationships/footer" Target="footer58.xml"/><Relationship Id="rId215" Type="http://schemas.openxmlformats.org/officeDocument/2006/relationships/header" Target="header29.xml"/><Relationship Id="rId216" Type="http://schemas.openxmlformats.org/officeDocument/2006/relationships/footer" Target="footer59.xml"/><Relationship Id="rId217" Type="http://schemas.openxmlformats.org/officeDocument/2006/relationships/header" Target="header30.xml"/><Relationship Id="rId218" Type="http://schemas.openxmlformats.org/officeDocument/2006/relationships/header" Target="header31.xml"/><Relationship Id="rId219" Type="http://schemas.openxmlformats.org/officeDocument/2006/relationships/footer" Target="footer60.xml"/><Relationship Id="rId220" Type="http://schemas.openxmlformats.org/officeDocument/2006/relationships/footer" Target="footer61.xml"/><Relationship Id="rId221" Type="http://schemas.openxmlformats.org/officeDocument/2006/relationships/image" Target="media/image124.png"/><Relationship Id="rId222" Type="http://schemas.openxmlformats.org/officeDocument/2006/relationships/image" Target="media/image125.png"/><Relationship Id="rId223" Type="http://schemas.openxmlformats.org/officeDocument/2006/relationships/header" Target="header32.xml"/><Relationship Id="rId224" Type="http://schemas.openxmlformats.org/officeDocument/2006/relationships/footer" Target="footer62.xml"/><Relationship Id="rId225" Type="http://schemas.openxmlformats.org/officeDocument/2006/relationships/image" Target="media/image126.png"/><Relationship Id="rId226" Type="http://schemas.openxmlformats.org/officeDocument/2006/relationships/header" Target="header33.xml"/><Relationship Id="rId227" Type="http://schemas.openxmlformats.org/officeDocument/2006/relationships/header" Target="header34.xml"/><Relationship Id="rId228" Type="http://schemas.openxmlformats.org/officeDocument/2006/relationships/footer" Target="footer63.xml"/><Relationship Id="rId229" Type="http://schemas.openxmlformats.org/officeDocument/2006/relationships/footer" Target="footer64.xml"/><Relationship Id="rId230" Type="http://schemas.openxmlformats.org/officeDocument/2006/relationships/header" Target="header35.xml"/><Relationship Id="rId231" Type="http://schemas.openxmlformats.org/officeDocument/2006/relationships/footer" Target="footer65.xml"/><Relationship Id="rId232" Type="http://schemas.openxmlformats.org/officeDocument/2006/relationships/header" Target="header36.xml"/><Relationship Id="rId233" Type="http://schemas.openxmlformats.org/officeDocument/2006/relationships/header" Target="header37.xml"/><Relationship Id="rId234" Type="http://schemas.openxmlformats.org/officeDocument/2006/relationships/footer" Target="footer66.xml"/><Relationship Id="rId235" Type="http://schemas.openxmlformats.org/officeDocument/2006/relationships/footer" Target="footer67.xml"/><Relationship Id="rId236" Type="http://schemas.openxmlformats.org/officeDocument/2006/relationships/image" Target="media/image127.png"/><Relationship Id="rId237" Type="http://schemas.openxmlformats.org/officeDocument/2006/relationships/image" Target="media/image128.png"/><Relationship Id="rId238" Type="http://schemas.openxmlformats.org/officeDocument/2006/relationships/image" Target="media/image129.png"/><Relationship Id="rId239" Type="http://schemas.openxmlformats.org/officeDocument/2006/relationships/image" Target="media/image130.png"/><Relationship Id="rId240" Type="http://schemas.openxmlformats.org/officeDocument/2006/relationships/image" Target="media/image131.png"/><Relationship Id="rId241" Type="http://schemas.openxmlformats.org/officeDocument/2006/relationships/image" Target="media/image132.png"/><Relationship Id="rId242" Type="http://schemas.openxmlformats.org/officeDocument/2006/relationships/image" Target="media/image133.png"/><Relationship Id="rId243" Type="http://schemas.openxmlformats.org/officeDocument/2006/relationships/image" Target="media/image134.png"/><Relationship Id="rId244" Type="http://schemas.openxmlformats.org/officeDocument/2006/relationships/image" Target="media/image135.png"/><Relationship Id="rId245" Type="http://schemas.openxmlformats.org/officeDocument/2006/relationships/image" Target="media/image136.png"/><Relationship Id="rId246" Type="http://schemas.openxmlformats.org/officeDocument/2006/relationships/image" Target="media/image137.png"/><Relationship Id="rId247" Type="http://schemas.openxmlformats.org/officeDocument/2006/relationships/image" Target="media/image138.png"/><Relationship Id="rId248" Type="http://schemas.openxmlformats.org/officeDocument/2006/relationships/image" Target="media/image139.png"/><Relationship Id="rId249" Type="http://schemas.openxmlformats.org/officeDocument/2006/relationships/header" Target="header38.xml"/><Relationship Id="rId250" Type="http://schemas.openxmlformats.org/officeDocument/2006/relationships/footer" Target="footer68.xml"/><Relationship Id="rId251" Type="http://schemas.openxmlformats.org/officeDocument/2006/relationships/header" Target="header39.xml"/><Relationship Id="rId252" Type="http://schemas.openxmlformats.org/officeDocument/2006/relationships/header" Target="header40.xml"/><Relationship Id="rId253" Type="http://schemas.openxmlformats.org/officeDocument/2006/relationships/footer" Target="footer69.xml"/><Relationship Id="rId254" Type="http://schemas.openxmlformats.org/officeDocument/2006/relationships/footer" Target="footer70.xml"/><Relationship Id="rId255" Type="http://schemas.openxmlformats.org/officeDocument/2006/relationships/image" Target="media/image140.png"/><Relationship Id="rId256" Type="http://schemas.openxmlformats.org/officeDocument/2006/relationships/image" Target="media/image141.png"/><Relationship Id="rId257" Type="http://schemas.openxmlformats.org/officeDocument/2006/relationships/image" Target="media/image142.png"/><Relationship Id="rId258" Type="http://schemas.openxmlformats.org/officeDocument/2006/relationships/image" Target="media/image143.png"/><Relationship Id="rId259" Type="http://schemas.openxmlformats.org/officeDocument/2006/relationships/image" Target="media/image144.png"/><Relationship Id="rId260" Type="http://schemas.openxmlformats.org/officeDocument/2006/relationships/image" Target="media/image145.png"/><Relationship Id="rId261" Type="http://schemas.openxmlformats.org/officeDocument/2006/relationships/image" Target="media/image146.png"/><Relationship Id="rId262" Type="http://schemas.openxmlformats.org/officeDocument/2006/relationships/image" Target="media/image147.png"/><Relationship Id="rId263" Type="http://schemas.openxmlformats.org/officeDocument/2006/relationships/image" Target="media/image148.png"/><Relationship Id="rId264" Type="http://schemas.openxmlformats.org/officeDocument/2006/relationships/image" Target="media/image149.png"/><Relationship Id="rId265" Type="http://schemas.openxmlformats.org/officeDocument/2006/relationships/image" Target="media/image150.png"/><Relationship Id="rId266" Type="http://schemas.openxmlformats.org/officeDocument/2006/relationships/image" Target="media/image151.png"/><Relationship Id="rId267" Type="http://schemas.openxmlformats.org/officeDocument/2006/relationships/image" Target="media/image152.png"/><Relationship Id="rId268" Type="http://schemas.openxmlformats.org/officeDocument/2006/relationships/image" Target="media/image153.png"/><Relationship Id="rId269" Type="http://schemas.openxmlformats.org/officeDocument/2006/relationships/footer" Target="footer71.xml"/><Relationship Id="rId270" Type="http://schemas.openxmlformats.org/officeDocument/2006/relationships/footer" Target="footer72.xml"/><Relationship Id="rId271" Type="http://schemas.openxmlformats.org/officeDocument/2006/relationships/image" Target="media/image154.png"/><Relationship Id="rId272" Type="http://schemas.openxmlformats.org/officeDocument/2006/relationships/image" Target="media/image155.png"/><Relationship Id="rId273" Type="http://schemas.openxmlformats.org/officeDocument/2006/relationships/image" Target="media/image156.png"/><Relationship Id="rId274" Type="http://schemas.openxmlformats.org/officeDocument/2006/relationships/image" Target="media/image157.png"/><Relationship Id="rId275" Type="http://schemas.openxmlformats.org/officeDocument/2006/relationships/image" Target="media/image158.png"/><Relationship Id="rId276" Type="http://schemas.openxmlformats.org/officeDocument/2006/relationships/image" Target="media/image159.png"/><Relationship Id="rId277" Type="http://schemas.openxmlformats.org/officeDocument/2006/relationships/image" Target="media/image160.png"/><Relationship Id="rId278" Type="http://schemas.openxmlformats.org/officeDocument/2006/relationships/image" Target="media/image161.png"/><Relationship Id="rId279" Type="http://schemas.openxmlformats.org/officeDocument/2006/relationships/image" Target="media/image162.png"/><Relationship Id="rId280" Type="http://schemas.openxmlformats.org/officeDocument/2006/relationships/image" Target="media/image163.png"/><Relationship Id="rId281" Type="http://schemas.openxmlformats.org/officeDocument/2006/relationships/image" Target="media/image164.png"/><Relationship Id="rId282" Type="http://schemas.openxmlformats.org/officeDocument/2006/relationships/image" Target="media/image165.png"/><Relationship Id="rId283" Type="http://schemas.openxmlformats.org/officeDocument/2006/relationships/image" Target="media/image166.png"/><Relationship Id="rId284" Type="http://schemas.openxmlformats.org/officeDocument/2006/relationships/image" Target="media/image167.png"/><Relationship Id="rId285" Type="http://schemas.openxmlformats.org/officeDocument/2006/relationships/image" Target="media/image168.png"/><Relationship Id="rId286" Type="http://schemas.openxmlformats.org/officeDocument/2006/relationships/image" Target="media/image169.png"/><Relationship Id="rId287" Type="http://schemas.openxmlformats.org/officeDocument/2006/relationships/image" Target="media/image170.png"/><Relationship Id="rId288" Type="http://schemas.openxmlformats.org/officeDocument/2006/relationships/image" Target="media/image171.png"/><Relationship Id="rId289" Type="http://schemas.openxmlformats.org/officeDocument/2006/relationships/image" Target="media/image172.png"/><Relationship Id="rId290" Type="http://schemas.openxmlformats.org/officeDocument/2006/relationships/image" Target="media/image173.png"/><Relationship Id="rId291" Type="http://schemas.openxmlformats.org/officeDocument/2006/relationships/image" Target="media/image174.png"/><Relationship Id="rId292" Type="http://schemas.openxmlformats.org/officeDocument/2006/relationships/image" Target="media/image175.png"/><Relationship Id="rId293" Type="http://schemas.openxmlformats.org/officeDocument/2006/relationships/image" Target="media/image176.png"/><Relationship Id="rId294" Type="http://schemas.openxmlformats.org/officeDocument/2006/relationships/image" Target="media/image177.png"/><Relationship Id="rId295" Type="http://schemas.openxmlformats.org/officeDocument/2006/relationships/image" Target="media/image178.png"/><Relationship Id="rId296" Type="http://schemas.openxmlformats.org/officeDocument/2006/relationships/image" Target="media/image179.png"/><Relationship Id="rId297" Type="http://schemas.openxmlformats.org/officeDocument/2006/relationships/image" Target="media/image180.png"/><Relationship Id="rId298" Type="http://schemas.openxmlformats.org/officeDocument/2006/relationships/image" Target="media/image181.png"/><Relationship Id="rId299" Type="http://schemas.openxmlformats.org/officeDocument/2006/relationships/image" Target="media/image182.png"/><Relationship Id="rId300" Type="http://schemas.openxmlformats.org/officeDocument/2006/relationships/image" Target="media/image183.png"/><Relationship Id="rId301" Type="http://schemas.openxmlformats.org/officeDocument/2006/relationships/image" Target="media/image184.png"/><Relationship Id="rId302" Type="http://schemas.openxmlformats.org/officeDocument/2006/relationships/image" Target="media/image185.png"/><Relationship Id="rId303" Type="http://schemas.openxmlformats.org/officeDocument/2006/relationships/image" Target="media/image186.png"/><Relationship Id="rId304" Type="http://schemas.openxmlformats.org/officeDocument/2006/relationships/image" Target="media/image187.png"/><Relationship Id="rId305" Type="http://schemas.openxmlformats.org/officeDocument/2006/relationships/image" Target="media/image188.png"/><Relationship Id="rId306" Type="http://schemas.openxmlformats.org/officeDocument/2006/relationships/image" Target="media/image189.png"/><Relationship Id="rId307" Type="http://schemas.openxmlformats.org/officeDocument/2006/relationships/image" Target="media/image190.png"/><Relationship Id="rId308" Type="http://schemas.openxmlformats.org/officeDocument/2006/relationships/image" Target="media/image191.png"/><Relationship Id="rId309" Type="http://schemas.openxmlformats.org/officeDocument/2006/relationships/image" Target="media/image192.png"/><Relationship Id="rId310" Type="http://schemas.openxmlformats.org/officeDocument/2006/relationships/image" Target="media/image193.png"/><Relationship Id="rId311" Type="http://schemas.openxmlformats.org/officeDocument/2006/relationships/image" Target="media/image194.png"/><Relationship Id="rId312" Type="http://schemas.openxmlformats.org/officeDocument/2006/relationships/image" Target="media/image195.png"/><Relationship Id="rId313" Type="http://schemas.openxmlformats.org/officeDocument/2006/relationships/image" Target="media/image196.png"/><Relationship Id="rId314" Type="http://schemas.openxmlformats.org/officeDocument/2006/relationships/image" Target="media/image197.png"/><Relationship Id="rId315" Type="http://schemas.openxmlformats.org/officeDocument/2006/relationships/image" Target="media/image198.png"/><Relationship Id="rId316" Type="http://schemas.openxmlformats.org/officeDocument/2006/relationships/image" Target="media/image199.png"/><Relationship Id="rId317" Type="http://schemas.openxmlformats.org/officeDocument/2006/relationships/image" Target="media/image200.png"/><Relationship Id="rId318" Type="http://schemas.openxmlformats.org/officeDocument/2006/relationships/image" Target="media/image201.png"/><Relationship Id="rId319" Type="http://schemas.openxmlformats.org/officeDocument/2006/relationships/image" Target="media/image202.png"/><Relationship Id="rId320" Type="http://schemas.openxmlformats.org/officeDocument/2006/relationships/image" Target="media/image203.png"/><Relationship Id="rId321" Type="http://schemas.openxmlformats.org/officeDocument/2006/relationships/image" Target="media/image204.png"/><Relationship Id="rId322" Type="http://schemas.openxmlformats.org/officeDocument/2006/relationships/image" Target="media/image205.png"/><Relationship Id="rId323" Type="http://schemas.openxmlformats.org/officeDocument/2006/relationships/image" Target="media/image206.png"/><Relationship Id="rId324" Type="http://schemas.openxmlformats.org/officeDocument/2006/relationships/image" Target="media/image207.png"/><Relationship Id="rId325" Type="http://schemas.openxmlformats.org/officeDocument/2006/relationships/image" Target="media/image208.png"/><Relationship Id="rId326" Type="http://schemas.openxmlformats.org/officeDocument/2006/relationships/image" Target="media/image209.png"/><Relationship Id="rId327" Type="http://schemas.openxmlformats.org/officeDocument/2006/relationships/image" Target="media/image210.png"/><Relationship Id="rId328" Type="http://schemas.openxmlformats.org/officeDocument/2006/relationships/image" Target="media/image211.png"/><Relationship Id="rId329" Type="http://schemas.openxmlformats.org/officeDocument/2006/relationships/image" Target="media/image212.png"/><Relationship Id="rId330" Type="http://schemas.openxmlformats.org/officeDocument/2006/relationships/image" Target="media/image213.png"/><Relationship Id="rId331" Type="http://schemas.openxmlformats.org/officeDocument/2006/relationships/image" Target="media/image214.png"/><Relationship Id="rId332" Type="http://schemas.openxmlformats.org/officeDocument/2006/relationships/image" Target="media/image215.png"/><Relationship Id="rId333" Type="http://schemas.openxmlformats.org/officeDocument/2006/relationships/header" Target="header41.xml"/><Relationship Id="rId334" Type="http://schemas.openxmlformats.org/officeDocument/2006/relationships/footer" Target="footer73.xml"/><Relationship Id="rId335" Type="http://schemas.openxmlformats.org/officeDocument/2006/relationships/header" Target="header42.xml"/><Relationship Id="rId336" Type="http://schemas.openxmlformats.org/officeDocument/2006/relationships/header" Target="header43.xml"/><Relationship Id="rId337" Type="http://schemas.openxmlformats.org/officeDocument/2006/relationships/footer" Target="footer74.xml"/><Relationship Id="rId338" Type="http://schemas.openxmlformats.org/officeDocument/2006/relationships/footer" Target="footer75.xml"/><Relationship Id="rId339" Type="http://schemas.openxmlformats.org/officeDocument/2006/relationships/image" Target="media/image216.png"/><Relationship Id="rId340" Type="http://schemas.openxmlformats.org/officeDocument/2006/relationships/image" Target="media/image217.png"/><Relationship Id="rId341" Type="http://schemas.openxmlformats.org/officeDocument/2006/relationships/image" Target="media/image218.png"/><Relationship Id="rId342" Type="http://schemas.openxmlformats.org/officeDocument/2006/relationships/image" Target="media/image219.png"/><Relationship Id="rId343" Type="http://schemas.openxmlformats.org/officeDocument/2006/relationships/image" Target="media/image220.png"/><Relationship Id="rId344" Type="http://schemas.openxmlformats.org/officeDocument/2006/relationships/image" Target="media/image221.png"/><Relationship Id="rId345" Type="http://schemas.openxmlformats.org/officeDocument/2006/relationships/image" Target="media/image222.png"/><Relationship Id="rId346" Type="http://schemas.openxmlformats.org/officeDocument/2006/relationships/image" Target="media/image223.png"/><Relationship Id="rId347" Type="http://schemas.openxmlformats.org/officeDocument/2006/relationships/image" Target="media/image224.png"/><Relationship Id="rId348" Type="http://schemas.openxmlformats.org/officeDocument/2006/relationships/footer" Target="footer76.xml"/><Relationship Id="rId349" Type="http://schemas.openxmlformats.org/officeDocument/2006/relationships/footer" Target="footer77.xml"/><Relationship Id="rId350" Type="http://schemas.openxmlformats.org/officeDocument/2006/relationships/footer" Target="footer78.xml"/><Relationship Id="rId351" Type="http://schemas.openxmlformats.org/officeDocument/2006/relationships/footer" Target="footer79.xml"/><Relationship Id="rId352" Type="http://schemas.openxmlformats.org/officeDocument/2006/relationships/header" Target="header44.xml"/><Relationship Id="rId353" Type="http://schemas.openxmlformats.org/officeDocument/2006/relationships/header" Target="header45.xml"/><Relationship Id="rId354" Type="http://schemas.openxmlformats.org/officeDocument/2006/relationships/header" Target="header46.xml"/><Relationship Id="rId355" Type="http://schemas.openxmlformats.org/officeDocument/2006/relationships/footer" Target="footer80.xml"/><Relationship Id="rId356" Type="http://schemas.openxmlformats.org/officeDocument/2006/relationships/footer" Target="footer81.xml"/><Relationship Id="rId357" Type="http://schemas.openxmlformats.org/officeDocument/2006/relationships/footer" Target="footer82.xml"/><Relationship Id="rId358" Type="http://schemas.openxmlformats.org/officeDocument/2006/relationships/footer" Target="footer83.xml"/><Relationship Id="rId359" Type="http://schemas.openxmlformats.org/officeDocument/2006/relationships/footer" Target="footer84.xml"/><Relationship Id="rId360" Type="http://schemas.openxmlformats.org/officeDocument/2006/relationships/footer" Target="footer85.xml"/><Relationship Id="rId361" Type="http://schemas.openxmlformats.org/officeDocument/2006/relationships/header" Target="header47.xml"/><Relationship Id="rId362" Type="http://schemas.openxmlformats.org/officeDocument/2006/relationships/hyperlink" Target="http://abcnews/" TargetMode="External"/><Relationship Id="rId363" Type="http://schemas.openxmlformats.org/officeDocument/2006/relationships/hyperlink" Target="http://www.amda.mx/images/stories/Analisis/2014/amda_" TargetMode="External"/><Relationship Id="rId364" Type="http://schemas.openxmlformats.org/officeDocument/2006/relationships/hyperlink" Target="http://test.amda.org.mx/index.php/Analisis-del-Sector-Automotor-Mexico/" TargetMode="External"/><Relationship Id="rId365" Type="http://schemas.openxmlformats.org/officeDocument/2006/relationships/hyperlink" Target="http://www.amia.com.mx/" TargetMode="External"/><Relationship Id="rId366" Type="http://schemas.openxmlformats.org/officeDocument/2006/relationships/header" Target="header48.xml"/><Relationship Id="rId367" Type="http://schemas.openxmlformats.org/officeDocument/2006/relationships/header" Target="header49.xml"/><Relationship Id="rId368" Type="http://schemas.openxmlformats.org/officeDocument/2006/relationships/footer" Target="footer86.xml"/><Relationship Id="rId369" Type="http://schemas.openxmlformats.org/officeDocument/2006/relationships/footer" Target="footer87.xml"/><Relationship Id="rId370" Type="http://schemas.openxmlformats.org/officeDocument/2006/relationships/hyperlink" Target="http://www.bts.gov/publications/transportation_statistics_" TargetMode="External"/><Relationship Id="rId371" Type="http://schemas.openxmlformats.org/officeDocument/2006/relationships/hyperlink" Target="http://www.pwc.com/mx/es/publicaciones/archivo/2011-06-DBusiness.pdf" TargetMode="External"/><Relationship Id="rId372" Type="http://schemas.openxmlformats.org/officeDocument/2006/relationships/hyperlink" Target="http://www.cepal.org/publicaciones" TargetMode="External"/><Relationship Id="rId373" Type="http://schemas.openxmlformats.org/officeDocument/2006/relationships/hyperlink" Target="http://www/" TargetMode="External"/><Relationship Id="rId374" Type="http://schemas.openxmlformats.org/officeDocument/2006/relationships/hyperlink" Target="http://www.elfinanciero.com.mx/" TargetMode="External"/><Relationship Id="rId375" Type="http://schemas.openxmlformats.org/officeDocument/2006/relationships/hyperlink" Target="http://www.chryslerdemexico.com.mx/" TargetMode="External"/><Relationship Id="rId376" Type="http://schemas.openxmlformats.org/officeDocument/2006/relationships/hyperlink" Target="http://www.ford.mx/" TargetMode="External"/><Relationship Id="rId377" Type="http://schemas.openxmlformats.org/officeDocument/2006/relationships/hyperlink" Target="http://www.gm.com.mx/" TargetMode="External"/><Relationship Id="rId378" Type="http://schemas.openxmlformats.org/officeDocument/2006/relationships/hyperlink" Target="http://eleconomista.com.mx/industrias/2013/12/03/indus-" TargetMode="External"/><Relationship Id="rId379" Type="http://schemas.openxmlformats.org/officeDocument/2006/relationships/hyperlink" Target="http://eleconomista.com.mx/industrias/2013/01/30/dragon-mart-" TargetMode="External"/><Relationship Id="rId380" Type="http://schemas.openxmlformats.org/officeDocument/2006/relationships/hyperlink" Target="http://www.ina.org.mx/" TargetMode="External"/><Relationship Id="rId381" Type="http://schemas.openxmlformats.org/officeDocument/2006/relationships/hyperlink" Target="http://www.topspeed.com/" TargetMode="External"/><Relationship Id="rId382" Type="http://schemas.openxmlformats.org/officeDocument/2006/relationships/hyperlink" Target="http://revistas.bancomext.gob.mx/rce/" TargetMode="External"/><Relationship Id="rId383" Type="http://schemas.openxmlformats.org/officeDocument/2006/relationships/footer" Target="footer88.xml"/><Relationship Id="rId384" Type="http://schemas.openxmlformats.org/officeDocument/2006/relationships/footer" Target="footer89.xml"/><Relationship Id="rId385" Type="http://schemas.openxmlformats.org/officeDocument/2006/relationships/hyperlink" Target="http://www.oica.net/" TargetMode="External"/><Relationship Id="rId386" Type="http://schemas.openxmlformats.org/officeDocument/2006/relationships/hyperlink" Target="http://www.financialpost.com/related/links/story.html?id=562830" TargetMode="External"/><Relationship Id="rId387" Type="http://schemas.openxmlformats.org/officeDocument/2006/relationships/hyperlink" Target="http://mim/" TargetMode="External"/><Relationship Id="rId388" Type="http://schemas.openxmlformats.org/officeDocument/2006/relationships/hyperlink" Target="http://www.iese.edu/en/files/6_12898.pdf" TargetMode="External"/><Relationship Id="rId389" Type="http://schemas.openxmlformats.org/officeDocument/2006/relationships/hyperlink" Target="http://www.mathworks.com/company/pres-" TargetMode="External"/><Relationship Id="rId390" Type="http://schemas.openxmlformats.org/officeDocument/2006/relationships/hyperlink" Target="http://www.economia.gob.mx/" TargetMode="External"/><Relationship Id="rId391" Type="http://schemas.openxmlformats.org/officeDocument/2006/relationships/hyperlink" Target="http://www.economia.gob/" TargetMode="External"/><Relationship Id="rId392" Type="http://schemas.openxmlformats.org/officeDocument/2006/relationships/hyperlink" Target="http://www.economia.gob.mx/comunidad-negocios/industria-y-" TargetMode="External"/><Relationship Id="rId393" Type="http://schemas.openxmlformats.org/officeDocument/2006/relationships/footer" Target="footer90.xml"/><Relationship Id="rId394" Type="http://schemas.openxmlformats.org/officeDocument/2006/relationships/footer" Target="footer91.xml"/><Relationship Id="rId395" Type="http://schemas.openxmlformats.org/officeDocument/2006/relationships/hyperlink" Target="http://www.cronica.com.mx/notas/" TargetMode="External"/><Relationship Id="rId396" Type="http://schemas.openxmlformats.org/officeDocument/2006/relationships/hyperlink" Target="http://csh.xoc.uam.mx/produccio-" TargetMode="External"/><Relationship Id="rId397" Type="http://schemas.openxmlformats.org/officeDocument/2006/relationships/header" Target="header50.xml"/><Relationship Id="rId398" Type="http://schemas.openxmlformats.org/officeDocument/2006/relationships/footer" Target="footer92.xml"/><Relationship Id="rId399" Type="http://schemas.openxmlformats.org/officeDocument/2006/relationships/header" Target="header51.xml"/><Relationship Id="rId400" Type="http://schemas.openxmlformats.org/officeDocument/2006/relationships/footer" Target="footer93.xml"/><Relationship Id="rId401" Type="http://schemas.openxmlformats.org/officeDocument/2006/relationships/header" Target="header52.xml"/><Relationship Id="rId402" Type="http://schemas.openxmlformats.org/officeDocument/2006/relationships/header" Target="header53.xml"/><Relationship Id="rId403" Type="http://schemas.openxmlformats.org/officeDocument/2006/relationships/footer" Target="footer94.xml"/><Relationship Id="rId404" Type="http://schemas.openxmlformats.org/officeDocument/2006/relationships/footer" Target="footer95.xml"/><Relationship Id="rId405" Type="http://schemas.openxmlformats.org/officeDocument/2006/relationships/footer" Target="footer96.xml"/><Relationship Id="rId406" Type="http://schemas.openxmlformats.org/officeDocument/2006/relationships/footer" Target="footer97.xml"/><Relationship Id="rId407" Type="http://schemas.openxmlformats.org/officeDocument/2006/relationships/footer" Target="footer98.xml"/><Relationship Id="rId408" Type="http://schemas.openxmlformats.org/officeDocument/2006/relationships/footer" Target="footer99.xml"/><Relationship Id="rId409" Type="http://schemas.openxmlformats.org/officeDocument/2006/relationships/header" Target="header54.xml"/><Relationship Id="rId410" Type="http://schemas.openxmlformats.org/officeDocument/2006/relationships/footer" Target="footer100.xml"/><Relationship Id="rId411" Type="http://schemas.openxmlformats.org/officeDocument/2006/relationships/header" Target="header55.xml"/><Relationship Id="rId412" Type="http://schemas.openxmlformats.org/officeDocument/2006/relationships/footer" Target="footer101.xml"/><Relationship Id="rId413" Type="http://schemas.openxmlformats.org/officeDocument/2006/relationships/header" Target="header56.xml"/><Relationship Id="rId414" Type="http://schemas.openxmlformats.org/officeDocument/2006/relationships/footer" Target="footer102.xml"/><Relationship Id="rId4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2017-05-31T20:27:58Z</dcterms:created>
  <dcterms:modified xsi:type="dcterms:W3CDTF">2017-05-31T20:27:58Z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2015-12-07T00:00:00Z</vt:filetime>
  </property>
  <property fmtid="{D5CDD505-2E9C-101B-9397-08002B2CF9AE}" pid="3" name="Creator">
    <vt:lpwstr>Adobe InDesign CS6 (Macintosh)</vt:lpwstr>
  </property>
  <property fmtid="{D5CDD505-2E9C-101B-9397-08002B2CF9AE}" pid="4" name="LastSaved">
    <vt:filetime>2017-05-31T00:00:00Z</vt:filetime>
  </property>
</Properties>
</file>